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A9668A">
      <w:pPr>
        <w:pStyle w:val="106"/>
        <w:framePr w:w="9639" w:h="867" w:hRule="exact" w:hSpace="181" w:vSpace="181" w:wrap="around" w:vAnchor="page" w:hAnchor="page" w:x="1279" w:y="2175"/>
        <w:rPr>
          <w:rFonts w:ascii="黑体" w:hAnsi="黑体" w:eastAsia="黑体"/>
          <w:b/>
          <w:bCs/>
          <w:w w:val="110"/>
          <w:sz w:val="72"/>
          <w:szCs w:val="72"/>
        </w:rPr>
      </w:pPr>
      <w:bookmarkStart w:id="0" w:name="_Hlk26473981"/>
      <w:r>
        <w:rPr>
          <w:rFonts w:hint="eastAsia" w:ascii="黑体" w:hAnsi="黑体" w:eastAsia="黑体"/>
          <w:b/>
          <w:bCs/>
          <w:w w:val="110"/>
          <w:sz w:val="72"/>
          <w:szCs w:val="72"/>
          <w:lang w:val="en-US" w:eastAsia="zh-CN"/>
        </w:rPr>
        <w:t>团体</w:t>
      </w:r>
      <w:r>
        <w:rPr>
          <w:rFonts w:hint="eastAsia" w:ascii="黑体" w:hAnsi="黑体" w:eastAsia="黑体"/>
          <w:b/>
          <w:bCs/>
          <w:w w:val="110"/>
          <w:sz w:val="72"/>
          <w:szCs w:val="72"/>
        </w:rPr>
        <w:t>标准</w:t>
      </w:r>
    </w:p>
    <w:bookmarkEnd w:id="0"/>
    <w:p w14:paraId="47EF3A45">
      <w:pPr>
        <w:pStyle w:val="107"/>
        <w:framePr w:y="3141"/>
        <w:rPr>
          <w:rFonts w:hint="eastAsia" w:ascii="方正小标宋_GBK" w:hAnsi="方正小标宋_GBK" w:eastAsia="方正小标宋_GBK" w:cs="方正小标宋_GBK"/>
        </w:rPr>
      </w:pPr>
    </w:p>
    <w:p w14:paraId="4B29DD6F">
      <w:pPr>
        <w:pStyle w:val="107"/>
        <w:framePr w:y="3141"/>
      </w:pPr>
      <w:r>
        <w:rPr>
          <w:rFonts w:hint="eastAsia" w:ascii="方正小标宋_GBK" w:hAnsi="方正小标宋_GBK" w:eastAsia="方正小标宋_GBK" w:cs="方正小标宋_GBK"/>
        </w:rPr>
        <w:t>T/</w:t>
      </w:r>
      <w:r>
        <w:rPr>
          <w:rFonts w:hint="eastAsia" w:ascii="方正小标宋_GBK" w:hAnsi="方正小标宋_GBK" w:eastAsia="方正小标宋_GBK" w:cs="方正小标宋_GBK"/>
        </w:rPr>
        <w:fldChar w:fldCharType="begin">
          <w:ffData>
            <w:name w:val="文字1"/>
            <w:enabled/>
            <w:calcOnExit w:val="0"/>
            <w:textInput>
              <w:default w:val="XXX"/>
            </w:textInput>
          </w:ffData>
        </w:fldChar>
      </w:r>
      <w:bookmarkStart w:id="1" w:name="文字1"/>
      <w:r>
        <w:rPr>
          <w:rFonts w:hint="eastAsia" w:ascii="方正小标宋_GBK" w:hAnsi="方正小标宋_GBK" w:eastAsia="方正小标宋_GBK" w:cs="方正小标宋_GBK"/>
        </w:rPr>
        <w:instrText xml:space="preserve"> FORMTEXT </w:instrText>
      </w:r>
      <w:r>
        <w:rPr>
          <w:rFonts w:hint="eastAsia" w:ascii="方正小标宋_GBK" w:hAnsi="方正小标宋_GBK" w:eastAsia="方正小标宋_GBK" w:cs="方正小标宋_GBK"/>
        </w:rPr>
        <w:fldChar w:fldCharType="separate"/>
      </w:r>
      <w:r>
        <w:rPr>
          <w:rFonts w:hint="eastAsia" w:ascii="方正小标宋_GBK" w:hAnsi="方正小标宋_GBK" w:eastAsia="方正小标宋_GBK" w:cs="方正小标宋_GBK"/>
        </w:rPr>
        <w:t>CEPCA</w:t>
      </w:r>
      <w:r>
        <w:rPr>
          <w:rFonts w:hint="eastAsia" w:ascii="方正小标宋_GBK" w:hAnsi="方正小标宋_GBK" w:eastAsia="方正小标宋_GBK" w:cs="方正小标宋_GBK"/>
        </w:rPr>
        <w:fldChar w:fldCharType="end"/>
      </w:r>
      <w:bookmarkEnd w:id="1"/>
      <w:r>
        <w:t xml:space="preserve"> </w:t>
      </w:r>
      <w:r>
        <w:fldChar w:fldCharType="begin">
          <w:ffData>
            <w:name w:val="NSTD_CODE_F"/>
            <w:enabled/>
            <w:calcOnExit w:val="0"/>
            <w:textInput>
              <w:default w:val="XXXX"/>
            </w:textInput>
          </w:ffData>
        </w:fldChar>
      </w:r>
      <w:bookmarkStart w:id="2" w:name="NSTD_CODE_F"/>
      <w:r>
        <w:instrText xml:space="preserve"> FORMTEXT </w:instrText>
      </w:r>
      <w:r>
        <w:fldChar w:fldCharType="separate"/>
      </w:r>
      <w:r>
        <w:t>XXXX</w:t>
      </w:r>
      <w:r>
        <w:fldChar w:fldCharType="end"/>
      </w:r>
      <w:bookmarkEnd w:id="2"/>
      <w:r>
        <w:rPr>
          <w:rFonts w:hAnsi="黑体"/>
        </w:rPr>
        <w:t>—</w:t>
      </w:r>
      <w:r>
        <w:fldChar w:fldCharType="begin">
          <w:ffData>
            <w:name w:val="NSTD_CODE_B"/>
            <w:enabled/>
            <w:calcOnExit w:val="0"/>
            <w:textInput>
              <w:default w:val="XXXX"/>
            </w:textInput>
          </w:ffData>
        </w:fldChar>
      </w:r>
      <w:bookmarkStart w:id="3" w:name="NSTD_CODE_B"/>
      <w:r>
        <w:instrText xml:space="preserve"> FORMTEXT </w:instrText>
      </w:r>
      <w:r>
        <w:fldChar w:fldCharType="separate"/>
      </w:r>
      <w:r>
        <w:t>XXXX</w:t>
      </w:r>
      <w:r>
        <w:fldChar w:fldCharType="end"/>
      </w:r>
      <w:bookmarkEnd w:id="3"/>
    </w:p>
    <w:p w14:paraId="77D2B478">
      <w:pPr>
        <w:pStyle w:val="109"/>
        <w:framePr w:y="3141"/>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4"/>
    </w:p>
    <w:p w14:paraId="46B70750">
      <w:pPr>
        <w:pStyle w:val="109"/>
        <w:framePr w:y="3141"/>
        <w:rPr>
          <w:rFonts w:hAnsi="黑体"/>
        </w:rPr>
      </w:pPr>
    </w:p>
    <w:p w14:paraId="775AE068">
      <w:pPr>
        <w:rPr>
          <w:rFonts w:ascii="黑体" w:hAnsi="黑体" w:eastAsia="黑体"/>
          <w:kern w:val="0"/>
          <w:sz w:val="10"/>
          <w:szCs w:val="10"/>
        </w:rPr>
      </w:pPr>
      <w:r>
        <w:rPr>
          <w:rFonts w:eastAsia="华文行楷"/>
          <w:color w:val="000000"/>
          <w:sz w:val="30"/>
        </w:rPr>
        <w:drawing>
          <wp:anchor distT="0" distB="0" distL="0" distR="0" simplePos="0" relativeHeight="251764736" behindDoc="0" locked="0" layoutInCell="1" allowOverlap="1">
            <wp:simplePos x="0" y="0"/>
            <wp:positionH relativeFrom="column">
              <wp:posOffset>-265430</wp:posOffset>
            </wp:positionH>
            <wp:positionV relativeFrom="paragraph">
              <wp:posOffset>-187960</wp:posOffset>
            </wp:positionV>
            <wp:extent cx="750570" cy="720725"/>
            <wp:effectExtent l="0" t="0" r="11430" b="3175"/>
            <wp:wrapNone/>
            <wp:docPr id="1029" name="图片 2"/>
            <wp:cNvGraphicFramePr/>
            <a:graphic xmlns:a="http://schemas.openxmlformats.org/drawingml/2006/main">
              <a:graphicData uri="http://schemas.openxmlformats.org/drawingml/2006/picture">
                <pic:pic xmlns:pic="http://schemas.openxmlformats.org/drawingml/2006/picture">
                  <pic:nvPicPr>
                    <pic:cNvPr id="1029" name="图片 2"/>
                    <pic:cNvPicPr/>
                  </pic:nvPicPr>
                  <pic:blipFill>
                    <a:blip r:embed="rId8" cstate="print"/>
                    <a:srcRect/>
                    <a:stretch>
                      <a:fillRect/>
                    </a:stretch>
                  </pic:blipFill>
                  <pic:spPr>
                    <a:xfrm>
                      <a:off x="0" y="0"/>
                      <a:ext cx="750570" cy="720725"/>
                    </a:xfrm>
                    <a:prstGeom prst="rect">
                      <a:avLst/>
                    </a:prstGeom>
                    <a:ln>
                      <a:noFill/>
                    </a:ln>
                  </pic:spPr>
                </pic:pic>
              </a:graphicData>
            </a:graphic>
          </wp:anchor>
        </w:drawing>
      </w:r>
      <w:r>
        <w:rPr>
          <w:sz w:val="10"/>
        </w:rPr>
        <mc:AlternateContent>
          <mc:Choice Requires="wps">
            <w:drawing>
              <wp:anchor distT="0" distB="0" distL="114300" distR="114300" simplePos="0" relativeHeight="251762688" behindDoc="0" locked="0" layoutInCell="1" allowOverlap="1">
                <wp:simplePos x="0" y="0"/>
                <wp:positionH relativeFrom="column">
                  <wp:posOffset>-302260</wp:posOffset>
                </wp:positionH>
                <wp:positionV relativeFrom="paragraph">
                  <wp:posOffset>-655320</wp:posOffset>
                </wp:positionV>
                <wp:extent cx="975360" cy="498475"/>
                <wp:effectExtent l="0" t="0" r="0" b="0"/>
                <wp:wrapNone/>
                <wp:docPr id="1" name="文本框 1"/>
                <wp:cNvGraphicFramePr/>
                <a:graphic xmlns:a="http://schemas.openxmlformats.org/drawingml/2006/main">
                  <a:graphicData uri="http://schemas.microsoft.com/office/word/2010/wordprocessingShape">
                    <wps:wsp>
                      <wps:cNvSpPr txBox="1"/>
                      <wps:spPr>
                        <a:xfrm>
                          <a:off x="875665" y="513715"/>
                          <a:ext cx="975360" cy="4984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8D5AE7">
                            <w:pPr>
                              <w:rPr>
                                <w:rFonts w:hint="eastAsia" w:ascii="Malgun Gothic" w:hAnsi="Malgun Gothic" w:eastAsia="Malgun Gothic" w:cs="Malgun Gothic"/>
                                <w:b w:val="0"/>
                                <w:bCs w:val="0"/>
                                <w:kern w:val="0"/>
                                <w:sz w:val="18"/>
                                <w:szCs w:val="18"/>
                                <w:vertAlign w:val="baseline"/>
                                <w:lang w:val="en-US" w:eastAsia="zh-CN"/>
                              </w:rPr>
                            </w:pPr>
                            <w:r>
                              <w:rPr>
                                <w:rFonts w:hint="eastAsia" w:ascii="方正公文小标宋" w:hAnsi="方正公文小标宋" w:eastAsia="方正公文小标宋" w:cs="方正公文小标宋"/>
                                <w:b/>
                                <w:bCs/>
                                <w:kern w:val="0"/>
                                <w:sz w:val="18"/>
                                <w:szCs w:val="18"/>
                                <w:vertAlign w:val="baseline"/>
                                <w:lang w:val="en-US" w:eastAsia="zh-CN"/>
                              </w:rPr>
                              <w:t xml:space="preserve">ICS  </w:t>
                            </w:r>
                            <w:r>
                              <w:rPr>
                                <w:rFonts w:hint="eastAsia" w:ascii="Malgun Gothic" w:hAnsi="Malgun Gothic" w:eastAsia="Malgun Gothic" w:cs="Malgun Gothic"/>
                                <w:b w:val="0"/>
                                <w:bCs w:val="0"/>
                                <w:kern w:val="0"/>
                                <w:sz w:val="18"/>
                                <w:szCs w:val="18"/>
                                <w:vertAlign w:val="baseline"/>
                                <w:lang w:val="en-US" w:eastAsia="zh-CN"/>
                              </w:rPr>
                              <w:t>29.240</w:t>
                            </w:r>
                          </w:p>
                          <w:p w14:paraId="78C613C9">
                            <w:pPr>
                              <w:rPr>
                                <w:rFonts w:hint="eastAsia" w:ascii="Malgun Gothic" w:hAnsi="Malgun Gothic" w:eastAsia="Malgun Gothic" w:cs="Malgun Gothic"/>
                                <w:b w:val="0"/>
                                <w:bCs w:val="0"/>
                                <w:kern w:val="0"/>
                                <w:sz w:val="18"/>
                                <w:szCs w:val="18"/>
                                <w:vertAlign w:val="baseline"/>
                                <w:lang w:val="en-US" w:eastAsia="zh-CN"/>
                              </w:rPr>
                            </w:pPr>
                            <w:r>
                              <w:rPr>
                                <w:rFonts w:hint="eastAsia" w:ascii="方正公文小标宋" w:hAnsi="方正公文小标宋" w:eastAsia="方正公文小标宋" w:cs="方正公文小标宋"/>
                                <w:b/>
                                <w:bCs/>
                                <w:kern w:val="0"/>
                                <w:sz w:val="18"/>
                                <w:szCs w:val="18"/>
                                <w:vertAlign w:val="baseline"/>
                                <w:lang w:val="en-US" w:eastAsia="zh-CN"/>
                              </w:rPr>
                              <w:t xml:space="preserve">CCS  F  </w:t>
                            </w:r>
                            <w:r>
                              <w:rPr>
                                <w:rFonts w:hint="eastAsia" w:ascii="Malgun Gothic" w:hAnsi="Malgun Gothic" w:eastAsia="Malgun Gothic" w:cs="Malgun Gothic"/>
                                <w:b w:val="0"/>
                                <w:bCs w:val="0"/>
                                <w:kern w:val="0"/>
                                <w:sz w:val="18"/>
                                <w:szCs w:val="18"/>
                                <w:vertAlign w:val="baseline"/>
                                <w:lang w:val="en-US" w:eastAsia="zh-CN"/>
                              </w:rPr>
                              <w:t>29</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8pt;margin-top:-51.6pt;height:39.25pt;width:76.8pt;z-index:251762688;mso-width-relative:page;mso-height-relative:page;" filled="f" stroked="f" coordsize="21600,21600" o:gfxdata="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S30xe3QAAAAwBAAAPAAAAAAAA&#10;AAEAIAAAACIAAABkcnMvZG93bnJldi54bWxQSwECFAAUAAAACACHTuJAs179lUYCAABvBAAADgAA&#10;AAAAAAABACAAAAAsAQAAZHJzL2Uyb0RvYy54bWxQSwUGAAAAAAYABgBZAQAA5AUAAAAA&#10;">
                <v:fill on="f" focussize="0,0"/>
                <v:stroke on="f" weight="0.5pt"/>
                <v:imagedata o:title=""/>
                <o:lock v:ext="edit" aspectratio="f"/>
                <v:textbox>
                  <w:txbxContent>
                    <w:p w14:paraId="268D5AE7">
                      <w:pPr>
                        <w:rPr>
                          <w:rFonts w:hint="eastAsia" w:ascii="Malgun Gothic" w:hAnsi="Malgun Gothic" w:eastAsia="Malgun Gothic" w:cs="Malgun Gothic"/>
                          <w:b w:val="0"/>
                          <w:bCs w:val="0"/>
                          <w:kern w:val="0"/>
                          <w:sz w:val="18"/>
                          <w:szCs w:val="18"/>
                          <w:vertAlign w:val="baseline"/>
                          <w:lang w:val="en-US" w:eastAsia="zh-CN"/>
                        </w:rPr>
                      </w:pPr>
                      <w:r>
                        <w:rPr>
                          <w:rFonts w:hint="eastAsia" w:ascii="方正公文小标宋" w:hAnsi="方正公文小标宋" w:eastAsia="方正公文小标宋" w:cs="方正公文小标宋"/>
                          <w:b/>
                          <w:bCs/>
                          <w:kern w:val="0"/>
                          <w:sz w:val="18"/>
                          <w:szCs w:val="18"/>
                          <w:vertAlign w:val="baseline"/>
                          <w:lang w:val="en-US" w:eastAsia="zh-CN"/>
                        </w:rPr>
                        <w:t xml:space="preserve">ICS  </w:t>
                      </w:r>
                      <w:r>
                        <w:rPr>
                          <w:rFonts w:hint="eastAsia" w:ascii="Malgun Gothic" w:hAnsi="Malgun Gothic" w:eastAsia="Malgun Gothic" w:cs="Malgun Gothic"/>
                          <w:b w:val="0"/>
                          <w:bCs w:val="0"/>
                          <w:kern w:val="0"/>
                          <w:sz w:val="18"/>
                          <w:szCs w:val="18"/>
                          <w:vertAlign w:val="baseline"/>
                          <w:lang w:val="en-US" w:eastAsia="zh-CN"/>
                        </w:rPr>
                        <w:t>29.240</w:t>
                      </w:r>
                    </w:p>
                    <w:p w14:paraId="78C613C9">
                      <w:pPr>
                        <w:rPr>
                          <w:rFonts w:hint="eastAsia" w:ascii="Malgun Gothic" w:hAnsi="Malgun Gothic" w:eastAsia="Malgun Gothic" w:cs="Malgun Gothic"/>
                          <w:b w:val="0"/>
                          <w:bCs w:val="0"/>
                          <w:kern w:val="0"/>
                          <w:sz w:val="18"/>
                          <w:szCs w:val="18"/>
                          <w:vertAlign w:val="baseline"/>
                          <w:lang w:val="en-US" w:eastAsia="zh-CN"/>
                        </w:rPr>
                      </w:pPr>
                      <w:r>
                        <w:rPr>
                          <w:rFonts w:hint="eastAsia" w:ascii="方正公文小标宋" w:hAnsi="方正公文小标宋" w:eastAsia="方正公文小标宋" w:cs="方正公文小标宋"/>
                          <w:b/>
                          <w:bCs/>
                          <w:kern w:val="0"/>
                          <w:sz w:val="18"/>
                          <w:szCs w:val="18"/>
                          <w:vertAlign w:val="baseline"/>
                          <w:lang w:val="en-US" w:eastAsia="zh-CN"/>
                        </w:rPr>
                        <w:t xml:space="preserve">CCS  F  </w:t>
                      </w:r>
                      <w:r>
                        <w:rPr>
                          <w:rFonts w:hint="eastAsia" w:ascii="Malgun Gothic" w:hAnsi="Malgun Gothic" w:eastAsia="Malgun Gothic" w:cs="Malgun Gothic"/>
                          <w:b w:val="0"/>
                          <w:bCs w:val="0"/>
                          <w:kern w:val="0"/>
                          <w:sz w:val="18"/>
                          <w:szCs w:val="18"/>
                          <w:vertAlign w:val="baseline"/>
                          <w:lang w:val="en-US" w:eastAsia="zh-CN"/>
                        </w:rPr>
                        <w:t>29</w:t>
                      </w:r>
                    </w:p>
                  </w:txbxContent>
                </v:textbox>
              </v:shape>
            </w:pict>
          </mc:Fallback>
        </mc:AlternateContent>
      </w:r>
      <w:r>
        <w:rPr>
          <w:sz w:val="10"/>
        </w:rPr>
        <mc:AlternateContent>
          <mc:Choice Requires="wps">
            <w:drawing>
              <wp:anchor distT="0" distB="0" distL="114300" distR="114300" simplePos="0" relativeHeight="251763712" behindDoc="0" locked="0" layoutInCell="1" allowOverlap="1">
                <wp:simplePos x="0" y="0"/>
                <wp:positionH relativeFrom="column">
                  <wp:posOffset>2750185</wp:posOffset>
                </wp:positionH>
                <wp:positionV relativeFrom="paragraph">
                  <wp:posOffset>-897890</wp:posOffset>
                </wp:positionV>
                <wp:extent cx="3000375" cy="824230"/>
                <wp:effectExtent l="0" t="0" r="0" b="0"/>
                <wp:wrapNone/>
                <wp:docPr id="3" name="文本框 3"/>
                <wp:cNvGraphicFramePr/>
                <a:graphic xmlns:a="http://schemas.openxmlformats.org/drawingml/2006/main">
                  <a:graphicData uri="http://schemas.microsoft.com/office/word/2010/wordprocessingShape">
                    <wps:wsp>
                      <wps:cNvSpPr txBox="1"/>
                      <wps:spPr>
                        <a:xfrm>
                          <a:off x="2494915" y="405130"/>
                          <a:ext cx="3000375" cy="8242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490FCF">
                            <w:pPr>
                              <w:rPr>
                                <w:rFonts w:hint="eastAsia" w:ascii="方正小标宋_GBK" w:hAnsi="方正小标宋_GBK" w:eastAsia="方正小标宋_GBK" w:cs="方正小标宋_GBK"/>
                                <w:w w:val="120"/>
                                <w:sz w:val="84"/>
                                <w:szCs w:val="84"/>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6.55pt;margin-top:-70.7pt;height:64.9pt;width:236.25pt;z-index:251763712;mso-width-relative:page;mso-height-relative:page;" filled="f" stroked="f" coordsize="21600,21600" o:gfxdata="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L7BG4t0AAAAMAQAADwAAAAAA&#10;AAABACAAAAAiAAAAZHJzL2Rvd25yZXYueG1sUEsBAhQAFAAAAAgAh07iQGG87YJHAgAAcQQAAA4A&#10;AAAAAAAAAQAgAAAALAEAAGRycy9lMm9Eb2MueG1sUEsFBgAAAAAGAAYAWQEAAOUFAAAAAA==&#10;">
                <v:fill on="f" focussize="0,0"/>
                <v:stroke on="f" weight="0.5pt"/>
                <v:imagedata o:title=""/>
                <o:lock v:ext="edit" aspectratio="f"/>
                <v:textbox>
                  <w:txbxContent>
                    <w:p w14:paraId="75490FCF">
                      <w:pPr>
                        <w:rPr>
                          <w:rFonts w:hint="eastAsia" w:ascii="方正小标宋_GBK" w:hAnsi="方正小标宋_GBK" w:eastAsia="方正小标宋_GBK" w:cs="方正小标宋_GBK"/>
                          <w:w w:val="120"/>
                          <w:sz w:val="84"/>
                          <w:szCs w:val="84"/>
                          <w:lang w:val="en-US" w:eastAsia="zh-CN"/>
                        </w:rPr>
                      </w:pPr>
                    </w:p>
                  </w:txbxContent>
                </v:textbox>
              </v:shape>
            </w:pict>
          </mc:Fallback>
        </mc:AlternateContent>
      </w:r>
      <w:r>
        <w:rPr>
          <w:rFonts w:ascii="黑体" w:hAnsi="黑体" w:eastAsia="黑体"/>
          <w:kern w:val="0"/>
          <w:sz w:val="10"/>
          <w:szCs w:val="10"/>
        </w:rPr>
        <mc:AlternateContent>
          <mc:Choice Requires="wps">
            <w:drawing>
              <wp:anchor distT="0" distB="0" distL="114300" distR="114300" simplePos="0" relativeHeight="251760640"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760640;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E5E3992">
      <w:pPr>
        <w:pStyle w:val="106"/>
        <w:framePr w:w="9639" w:h="6976" w:hRule="exact" w:hSpace="0" w:vSpace="0" w:wrap="around" w:hAnchor="page" w:y="6408"/>
        <w:jc w:val="center"/>
        <w:rPr>
          <w:rFonts w:ascii="黑体" w:hAnsi="黑体" w:eastAsia="黑体"/>
          <w:b w:val="0"/>
          <w:bCs w:val="0"/>
          <w:w w:val="100"/>
        </w:rPr>
      </w:pPr>
    </w:p>
    <w:p w14:paraId="5170B5B8">
      <w:pPr>
        <w:pStyle w:val="110"/>
        <w:framePr w:h="6974" w:hRule="exact" w:wrap="around" w:x="1381" w:y="5746" w:anchorLock="1"/>
        <w:rPr>
          <w:rFonts w:hint="eastAsia" w:eastAsia="黑体"/>
          <w:lang w:val="en-US" w:eastAsia="zh-CN"/>
        </w:rPr>
      </w:pPr>
      <w:r>
        <w:rPr>
          <w:rFonts w:hint="eastAsia"/>
          <w:lang w:val="en-US" w:eastAsia="zh-CN"/>
        </w:rPr>
        <w:t>电力建设工程绿色建造评价规范</w:t>
      </w:r>
    </w:p>
    <w:p w14:paraId="4724A70F">
      <w:pPr>
        <w:framePr w:w="9639" w:h="6974" w:hRule="exact" w:wrap="around" w:vAnchor="page" w:hAnchor="page" w:x="1381" w:y="5746" w:anchorLock="1"/>
        <w:ind w:left="-1418"/>
      </w:pPr>
    </w:p>
    <w:p w14:paraId="23379C09">
      <w:pPr>
        <w:framePr w:w="9639" w:h="6974" w:hRule="exact" w:wrap="around" w:vAnchor="page" w:hAnchor="page" w:x="1381" w:y="5746" w:anchorLock="1"/>
        <w:pBdr>
          <w:top w:val="none" w:sz="0" w:space="0"/>
          <w:left w:val="none" w:sz="0" w:space="0"/>
          <w:bottom w:val="none" w:sz="0" w:space="0"/>
          <w:right w:val="none" w:sz="0" w:space="0"/>
        </w:pBdr>
        <w:jc w:val="center"/>
        <w:rPr>
          <w:rFonts w:hint="eastAsia" w:asciiTheme="minorEastAsia" w:hAnsiTheme="minorEastAsia" w:eastAsiaTheme="minorEastAsia"/>
          <w:sz w:val="28"/>
          <w:szCs w:val="28"/>
          <w:highlight w:val="none"/>
        </w:rPr>
      </w:pPr>
      <w:r>
        <w:rPr>
          <w:rFonts w:hint="eastAsia" w:asciiTheme="minorEastAsia" w:hAnsiTheme="minorEastAsia" w:eastAsiaTheme="minorEastAsia"/>
          <w:sz w:val="32"/>
          <w:szCs w:val="32"/>
          <w:highlight w:val="none"/>
        </w:rPr>
        <w:t>Specification standard for green level evaluation of electric power construction engineering</w:t>
      </w:r>
    </w:p>
    <w:p w14:paraId="0A43CF2A">
      <w:pPr>
        <w:framePr w:w="9639" w:h="6974" w:hRule="exact" w:wrap="around" w:vAnchor="page" w:hAnchor="page" w:x="1381" w:y="5746" w:anchorLock="1"/>
        <w:pBdr>
          <w:top w:val="none" w:sz="0" w:space="0"/>
          <w:left w:val="none" w:sz="0" w:space="0"/>
          <w:bottom w:val="none" w:sz="0" w:space="0"/>
          <w:right w:val="none" w:sz="0" w:space="0"/>
        </w:pBdr>
        <w:snapToGrid w:val="0"/>
        <w:jc w:val="center"/>
        <w:rPr>
          <w:rFonts w:hint="eastAsia" w:asciiTheme="minorEastAsia" w:hAnsiTheme="minorEastAsia" w:eastAsiaTheme="minorEastAsia"/>
          <w:sz w:val="32"/>
          <w:szCs w:val="32"/>
          <w:highlight w:val="yellow"/>
        </w:rPr>
      </w:pPr>
    </w:p>
    <w:p w14:paraId="6D07E787">
      <w:pPr>
        <w:framePr w:w="9639" w:h="6974" w:hRule="exact" w:wrap="around" w:vAnchor="page" w:hAnchor="page" w:x="1381" w:y="5746" w:anchorLock="1"/>
        <w:spacing w:line="760" w:lineRule="exact"/>
        <w:ind w:left="-1418"/>
      </w:pPr>
    </w:p>
    <w:p w14:paraId="02EABD4C">
      <w:pPr>
        <w:pStyle w:val="111"/>
        <w:framePr w:w="9639" w:h="6974" w:hRule="exact" w:wrap="around" w:vAnchor="page" w:hAnchor="page" w:x="1381" w:y="5746" w:anchorLock="1"/>
        <w:textAlignment w:val="bottom"/>
        <w:rPr>
          <w:rFonts w:eastAsia="黑体"/>
          <w:szCs w:val="28"/>
        </w:rPr>
      </w:pPr>
    </w:p>
    <w:p w14:paraId="62C844D0">
      <w:pPr>
        <w:pStyle w:val="111"/>
        <w:framePr w:w="9639" w:h="6974" w:hRule="exact" w:wrap="around" w:vAnchor="page" w:hAnchor="page" w:x="1381" w:y="5746" w:anchorLock="1"/>
        <w:spacing w:before="440" w:after="160"/>
        <w:textAlignment w:val="bottom"/>
        <w:rPr>
          <w:rFonts w:hint="eastAsia" w:eastAsia="宋体"/>
          <w:sz w:val="24"/>
          <w:szCs w:val="28"/>
          <w:lang w:eastAsia="zh-CN"/>
        </w:rPr>
      </w:pPr>
      <w:r>
        <w:rPr>
          <w:rFonts w:hint="eastAsia"/>
          <w:sz w:val="24"/>
          <w:szCs w:val="28"/>
          <w:lang w:eastAsia="zh-CN"/>
        </w:rPr>
        <w:t>（</w:t>
      </w:r>
      <w:r>
        <w:rPr>
          <w:rFonts w:hint="eastAsia"/>
          <w:sz w:val="24"/>
          <w:szCs w:val="28"/>
          <w:lang w:val="en-US" w:eastAsia="zh-CN"/>
        </w:rPr>
        <w:t>征求意见稿</w:t>
      </w:r>
      <w:r>
        <w:rPr>
          <w:rFonts w:hint="eastAsia"/>
          <w:sz w:val="24"/>
          <w:szCs w:val="28"/>
          <w:lang w:eastAsia="zh-CN"/>
        </w:rPr>
        <w:t>）</w:t>
      </w:r>
    </w:p>
    <w:p w14:paraId="32928F0F">
      <w:pPr>
        <w:pStyle w:val="111"/>
        <w:framePr w:w="9639" w:h="6974" w:hRule="exact" w:wrap="around" w:vAnchor="page" w:hAnchor="page" w:x="1381" w:y="5746"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5"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5"/>
    </w:p>
    <w:p w14:paraId="574E4B58">
      <w:pPr>
        <w:pStyle w:val="111"/>
        <w:framePr w:w="9639" w:h="6974" w:hRule="exact" w:wrap="around" w:vAnchor="page" w:hAnchor="page" w:x="1381" w:y="5746" w:anchorLock="1"/>
        <w:spacing w:before="954" w:beforeLines="300" w:after="95"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6" w:name="下拉2"/>
      <w:r>
        <w:rPr>
          <w:b/>
          <w:sz w:val="21"/>
          <w:szCs w:val="28"/>
        </w:rPr>
        <w:instrText xml:space="preserve"> FORMDROPDOWN </w:instrText>
      </w:r>
      <w:r>
        <w:rPr>
          <w:b/>
          <w:sz w:val="21"/>
          <w:szCs w:val="28"/>
        </w:rPr>
        <w:fldChar w:fldCharType="separate"/>
      </w:r>
      <w:r>
        <w:rPr>
          <w:b/>
          <w:sz w:val="21"/>
          <w:szCs w:val="28"/>
        </w:rPr>
        <w:fldChar w:fldCharType="end"/>
      </w:r>
      <w:bookmarkEnd w:id="6"/>
    </w:p>
    <w:p w14:paraId="521350B3">
      <w:pPr>
        <w:pStyle w:val="112"/>
        <w:framePr w:wrap="around" w:y="14176"/>
      </w:pPr>
      <w:r>
        <w:fldChar w:fldCharType="begin">
          <w:ffData>
            <w:name w:val="PLSH_DATE_Y"/>
            <w:enabled/>
            <w:calcOnExit w:val="0"/>
            <w:textInput>
              <w:default w:val="XXXX"/>
              <w:maxLength w:val="4"/>
            </w:textInput>
          </w:ffData>
        </w:fldChar>
      </w:r>
      <w:bookmarkStart w:id="7" w:name="PLSH_DATE_Y"/>
      <w:r>
        <w:instrText xml:space="preserve"> FORMTEXT </w:instrText>
      </w:r>
      <w:r>
        <w:fldChar w:fldCharType="separate"/>
      </w:r>
      <w:r>
        <w:t>XXXX</w:t>
      </w:r>
      <w:r>
        <w:fldChar w:fldCharType="end"/>
      </w:r>
      <w:bookmarkEnd w:id="7"/>
      <w:r>
        <w:t xml:space="preserve"> - </w:t>
      </w:r>
      <w:r>
        <w:fldChar w:fldCharType="begin">
          <w:ffData>
            <w:name w:val="PLSH_DATE_M"/>
            <w:enabled/>
            <w:calcOnExit w:val="0"/>
            <w:textInput>
              <w:default w:val="XX"/>
              <w:maxLength w:val="2"/>
            </w:textInput>
          </w:ffData>
        </w:fldChar>
      </w:r>
      <w:r>
        <w:instrText xml:space="preserve"> FORMTEXT </w:instrText>
      </w:r>
      <w:r>
        <w:fldChar w:fldCharType="separate"/>
      </w:r>
      <w:r>
        <w:t>XX</w:t>
      </w:r>
      <w:r>
        <w:fldChar w:fldCharType="end"/>
      </w:r>
      <w:r>
        <w:t xml:space="preserve"> - </w:t>
      </w:r>
      <w:r>
        <w:fldChar w:fldCharType="begin">
          <w:ffData>
            <w:name w:val="PLSH_DATE_D"/>
            <w:enabled/>
            <w:calcOnExit w:val="0"/>
            <w:textInput>
              <w:default w:val="XX"/>
              <w:maxLength w:val="2"/>
            </w:textInput>
          </w:ffData>
        </w:fldChar>
      </w:r>
      <w:r>
        <w:instrText xml:space="preserve"> FORMTEXT </w:instrText>
      </w:r>
      <w:r>
        <w:fldChar w:fldCharType="separate"/>
      </w:r>
      <w:r>
        <w:t>XX</w:t>
      </w:r>
      <w:r>
        <w:fldChar w:fldCharType="end"/>
      </w:r>
      <w:r>
        <w:rPr>
          <w:rFonts w:hint="eastAsia"/>
        </w:rPr>
        <w:t xml:space="preserve"> 发布</w:t>
      </w:r>
    </w:p>
    <w:p w14:paraId="6D0A3D1B">
      <w:pPr>
        <w:pStyle w:val="112"/>
        <w:framePr w:wrap="around" w:y="14176"/>
        <w:ind w:left="5250"/>
      </w:pP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8"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9"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hint="eastAsia"/>
        </w:rPr>
        <w:t>发布</w:t>
      </w:r>
    </w:p>
    <w:p w14:paraId="1F95710E">
      <w:pPr>
        <w:pStyle w:val="113"/>
        <w:framePr w:wrap="around" w:y="14176"/>
        <w:rPr>
          <w:b/>
          <w:bCs/>
        </w:rPr>
      </w:pPr>
      <w:r>
        <w:fldChar w:fldCharType="begin">
          <w:ffData>
            <w:name w:val="PLSH_DATE_Y"/>
            <w:enabled/>
            <w:calcOnExit w:val="0"/>
            <w:textInput>
              <w:default w:val="XXXX"/>
              <w:maxLength w:val="4"/>
            </w:textInput>
          </w:ffData>
        </w:fldChar>
      </w:r>
      <w:r>
        <w:instrText xml:space="preserve"> FORMTEXT </w:instrText>
      </w:r>
      <w:r>
        <w:fldChar w:fldCharType="separate"/>
      </w:r>
      <w:r>
        <w:t>XXXX</w:t>
      </w:r>
      <w:r>
        <w:fldChar w:fldCharType="end"/>
      </w:r>
      <w:r>
        <w:t xml:space="preserve"> - </w:t>
      </w:r>
      <w:r>
        <w:fldChar w:fldCharType="begin">
          <w:ffData>
            <w:name w:val="PLSH_DATE_M"/>
            <w:enabled/>
            <w:calcOnExit w:val="0"/>
            <w:textInput>
              <w:default w:val="XX"/>
              <w:maxLength w:val="2"/>
            </w:textInput>
          </w:ffData>
        </w:fldChar>
      </w:r>
      <w:r>
        <w:instrText xml:space="preserve"> FORMTEXT </w:instrText>
      </w:r>
      <w:r>
        <w:fldChar w:fldCharType="separate"/>
      </w:r>
      <w:r>
        <w:t>XX</w:t>
      </w:r>
      <w:r>
        <w:fldChar w:fldCharType="end"/>
      </w:r>
      <w:r>
        <w:t xml:space="preserve"> - </w:t>
      </w:r>
      <w:r>
        <w:fldChar w:fldCharType="begin">
          <w:ffData>
            <w:name w:val="PLSH_DATE_D"/>
            <w:enabled/>
            <w:calcOnExit w:val="0"/>
            <w:textInput>
              <w:default w:val="XX"/>
              <w:maxLength w:val="2"/>
            </w:textInput>
          </w:ffData>
        </w:fldChar>
      </w:r>
      <w:r>
        <w:instrText xml:space="preserve"> FORMTEXT </w:instrText>
      </w:r>
      <w:r>
        <w:fldChar w:fldCharType="separate"/>
      </w:r>
      <w:r>
        <w:t>XX</w:t>
      </w:r>
      <w:r>
        <w:fldChar w:fldCharType="end"/>
      </w:r>
      <w:r>
        <w:rPr>
          <w:rFonts w:hint="eastAsia"/>
        </w:rPr>
        <w:t xml:space="preserve"> </w:t>
      </w:r>
      <w:r>
        <w:rPr>
          <w:rFonts w:hint="eastAsia"/>
          <w:lang w:val="en-US" w:eastAsia="zh-CN"/>
        </w:rPr>
        <w:t>实施</w:t>
      </w:r>
    </w:p>
    <w:p w14:paraId="58BF905B">
      <w:pPr>
        <w:pStyle w:val="114"/>
        <w:framePr w:h="584" w:hRule="exact" w:hSpace="181" w:vSpace="181" w:wrap="around" w:vAnchor="page" w:hAnchor="page" w:x="2487" w:y="15507"/>
        <w:rPr>
          <w:rStyle w:val="115"/>
          <w:rFonts w:hint="eastAsia" w:hAnsi="黑体" w:eastAsia="黑体"/>
          <w:b/>
          <w:bCs/>
          <w:sz w:val="36"/>
          <w:szCs w:val="36"/>
          <w:lang w:val="en-US" w:eastAsia="zh-CN"/>
        </w:rPr>
      </w:pPr>
      <w:r>
        <w:rPr>
          <w:rFonts w:hint="eastAsia" w:hAnsi="黑体"/>
          <w:b/>
          <w:bCs/>
          <w:w w:val="100"/>
          <w:sz w:val="36"/>
          <w:szCs w:val="22"/>
          <w:lang w:val="en-US" w:eastAsia="zh-CN"/>
        </w:rPr>
        <w:t>中国电力建设企业协会</w:t>
      </w:r>
      <w:r>
        <w:rPr>
          <w:rFonts w:ascii="Times New Roman"/>
          <w:b/>
          <w:bCs/>
          <w:w w:val="100"/>
          <w:sz w:val="36"/>
          <w:szCs w:val="22"/>
        </w:rPr>
        <w:t>  </w:t>
      </w:r>
      <w:r>
        <w:rPr>
          <w:rFonts w:hint="eastAsia" w:ascii="Times New Roman"/>
          <w:b/>
          <w:bCs/>
          <w:w w:val="100"/>
          <w:sz w:val="36"/>
          <w:szCs w:val="22"/>
          <w:lang w:val="en-US" w:eastAsia="zh-CN"/>
        </w:rPr>
        <w:t>发  布</w:t>
      </w:r>
    </w:p>
    <w:p w14:paraId="7C2DADA9">
      <w:pPr>
        <w:pStyle w:val="114"/>
        <w:framePr w:h="584" w:hRule="exact" w:hSpace="181" w:vSpace="181" w:wrap="around" w:vAnchor="page" w:hAnchor="page" w:x="2487" w:y="15507"/>
        <w:rPr>
          <w:rStyle w:val="115"/>
        </w:rPr>
      </w:pPr>
    </w:p>
    <w:p w14:paraId="01ABE777">
      <w:pPr>
        <w:pStyle w:val="24"/>
        <w:tabs>
          <w:tab w:val="right" w:leader="dot" w:pos="8302"/>
        </w:tabs>
        <w:jc w:val="both"/>
        <w:rPr>
          <w:rFonts w:ascii="宋体" w:hAnsi="宋体" w:cs="宋体"/>
          <w:b/>
          <w:sz w:val="32"/>
          <w:szCs w:val="32"/>
        </w:rPr>
        <w:sectPr>
          <w:type w:val="nextColumn"/>
          <w:pgSz w:w="11906" w:h="16838"/>
          <w:pgMar w:top="1440" w:right="1797" w:bottom="1440" w:left="1797" w:header="851" w:footer="850" w:gutter="0"/>
          <w:pgNumType w:start="0"/>
          <w:cols w:space="0" w:num="1"/>
          <w:docGrid w:type="lines" w:linePitch="318" w:charSpace="0"/>
        </w:sectPr>
      </w:pPr>
      <w:r>
        <w:rPr>
          <w:rFonts w:ascii="黑体" w:hAnsi="黑体" w:eastAsia="黑体"/>
          <w:kern w:val="0"/>
          <w:sz w:val="10"/>
          <w:szCs w:val="10"/>
        </w:rPr>
        <mc:AlternateContent>
          <mc:Choice Requires="wps">
            <w:drawing>
              <wp:anchor distT="0" distB="0" distL="114300" distR="114300" simplePos="0" relativeHeight="251761664" behindDoc="0" locked="0" layoutInCell="1" allowOverlap="0">
                <wp:simplePos x="0" y="0"/>
                <wp:positionH relativeFrom="page">
                  <wp:posOffset>900430</wp:posOffset>
                </wp:positionH>
                <wp:positionV relativeFrom="page">
                  <wp:posOffset>9481185</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746.55pt;height:0pt;width:481.9pt;mso-position-horizontal-relative:page;mso-position-vertical-relative:page;z-index:251761664;mso-width-relative:page;mso-height-relative:page;" filled="f" stroked="t" coordsize="21600,21600" o:allowoverlap="f" o:gfxdata="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xGfcH1wAAAA4B&#10;AAAPAAAAAAAAAAEAIAAAACIAAABkcnMvZG93bnJldi54bWxQSwECFAAUAAAACACHTuJAAzUM5uMB&#10;AACqAwAADgAAAAAAAAABACAAAAAmAQAAZHJzL2Uyb0RvYy54bWxQSwUGAAAAAAYABgBZAQAAewUA&#10;AAAA&#10;">
                <v:fill on="f" focussize="0,0"/>
                <v:stroke color="#000000" joinstyle="round"/>
                <v:imagedata o:title=""/>
                <o:lock v:ext="edit" aspectratio="f"/>
              </v:line>
            </w:pict>
          </mc:Fallback>
        </mc:AlternateContent>
      </w:r>
    </w:p>
    <w:p w14:paraId="0753BB02">
      <w:pPr>
        <w:ind w:firstLine="420" w:firstLineChars="200"/>
        <w:jc w:val="center"/>
        <w:rPr>
          <w:rFonts w:hint="eastAsia"/>
          <w:sz w:val="21"/>
          <w:szCs w:val="21"/>
        </w:rPr>
      </w:pPr>
      <w:bookmarkStart w:id="10" w:name="_Toc174141227"/>
      <w:bookmarkStart w:id="11" w:name="_Toc86754270"/>
      <w:r>
        <w:rPr>
          <w:rFonts w:hint="eastAsia"/>
          <w:sz w:val="21"/>
          <w:szCs w:val="21"/>
        </w:rPr>
        <w:t>目</w:t>
      </w:r>
      <w:r>
        <w:rPr>
          <w:sz w:val="21"/>
          <w:szCs w:val="21"/>
        </w:rPr>
        <w:t xml:space="preserve">   </w:t>
      </w:r>
      <w:r>
        <w:rPr>
          <w:rFonts w:hint="eastAsia"/>
          <w:sz w:val="21"/>
          <w:szCs w:val="21"/>
        </w:rPr>
        <w:t>次</w:t>
      </w:r>
    </w:p>
    <w:sdt>
      <w:sdtPr>
        <w:rPr>
          <w:rFonts w:ascii="宋体" w:hAnsi="宋体" w:eastAsia="宋体" w:cstheme="minorBidi"/>
          <w:color w:val="auto"/>
          <w:kern w:val="2"/>
          <w:sz w:val="24"/>
          <w:szCs w:val="24"/>
          <w:lang w:val="zh-CN"/>
        </w:rPr>
        <w:id w:val="147482849"/>
        <w:docPartObj>
          <w:docPartGallery w:val="Table of Contents"/>
          <w:docPartUnique/>
        </w:docPartObj>
      </w:sdtPr>
      <w:sdtEndPr>
        <w:rPr>
          <w:rFonts w:ascii="宋体" w:hAnsi="宋体" w:eastAsia="宋体" w:cstheme="minorBidi"/>
          <w:b/>
          <w:bCs/>
          <w:color w:val="auto"/>
          <w:kern w:val="2"/>
          <w:sz w:val="24"/>
          <w:szCs w:val="24"/>
          <w:lang w:val="zh-CN"/>
        </w:rPr>
      </w:sdtEndPr>
      <w:sdtContent>
        <w:p w14:paraId="18DC453E">
          <w:pPr>
            <w:pStyle w:val="87"/>
            <w:jc w:val="center"/>
            <w:rPr>
              <w:rFonts w:hint="eastAsia"/>
            </w:rPr>
          </w:pPr>
        </w:p>
        <w:p w14:paraId="2F60E1D6">
          <w:pPr>
            <w:pStyle w:val="24"/>
            <w:tabs>
              <w:tab w:val="right" w:leader="dot" w:pos="7417"/>
            </w:tabs>
            <w:ind w:firstLine="482" w:firstLineChars="200"/>
            <w:jc w:val="center"/>
            <w:rPr>
              <w:rFonts w:hint="eastAsia" w:asciiTheme="minorHAnsi" w:hAnsiTheme="minorHAnsi" w:eastAsiaTheme="minorEastAsia"/>
              <w:sz w:val="21"/>
              <w:szCs w:val="21"/>
            </w:rPr>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"_Toc174141227" </w:instrText>
          </w:r>
          <w:r>
            <w:fldChar w:fldCharType="separate"/>
          </w:r>
          <w:r>
            <w:rPr>
              <w:rStyle w:val="41"/>
              <w:rFonts w:hint="eastAsia"/>
              <w:sz w:val="21"/>
              <w:szCs w:val="21"/>
            </w:rPr>
            <w:t>前言</w:t>
          </w:r>
          <w:r>
            <w:rPr>
              <w:sz w:val="21"/>
              <w:szCs w:val="21"/>
            </w:rPr>
            <w:tab/>
          </w:r>
          <w:r>
            <w:rPr>
              <w:sz w:val="21"/>
              <w:szCs w:val="21"/>
            </w:rPr>
            <w:fldChar w:fldCharType="begin"/>
          </w:r>
          <w:r>
            <w:rPr>
              <w:sz w:val="21"/>
              <w:szCs w:val="21"/>
            </w:rPr>
            <w:instrText xml:space="preserve"> PAGEREF _Toc174141227 \h </w:instrText>
          </w:r>
          <w:r>
            <w:rPr>
              <w:sz w:val="21"/>
              <w:szCs w:val="21"/>
            </w:rPr>
            <w:fldChar w:fldCharType="separate"/>
          </w:r>
          <w:r>
            <w:rPr>
              <w:sz w:val="21"/>
              <w:szCs w:val="21"/>
            </w:rPr>
            <w:t>2</w:t>
          </w:r>
          <w:r>
            <w:rPr>
              <w:sz w:val="21"/>
              <w:szCs w:val="21"/>
            </w:rPr>
            <w:fldChar w:fldCharType="end"/>
          </w:r>
          <w:r>
            <w:rPr>
              <w:sz w:val="21"/>
              <w:szCs w:val="21"/>
            </w:rPr>
            <w:fldChar w:fldCharType="end"/>
          </w:r>
        </w:p>
        <w:p w14:paraId="3FD7EFD4">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"_Toc174141228" </w:instrText>
          </w:r>
          <w:r>
            <w:fldChar w:fldCharType="separate"/>
          </w:r>
          <w:r>
            <w:rPr>
              <w:rStyle w:val="41"/>
              <w:sz w:val="21"/>
              <w:szCs w:val="21"/>
            </w:rPr>
            <w:t xml:space="preserve">1  </w:t>
          </w:r>
          <w:r>
            <w:rPr>
              <w:rStyle w:val="41"/>
              <w:rFonts w:hint="eastAsia"/>
              <w:sz w:val="21"/>
              <w:szCs w:val="21"/>
            </w:rPr>
            <w:t>总</w:t>
          </w:r>
          <w:r>
            <w:rPr>
              <w:rStyle w:val="41"/>
              <w:sz w:val="21"/>
              <w:szCs w:val="21"/>
            </w:rPr>
            <w:t xml:space="preserve">    </w:t>
          </w:r>
          <w:r>
            <w:rPr>
              <w:rStyle w:val="41"/>
              <w:rFonts w:hint="eastAsia"/>
              <w:sz w:val="21"/>
              <w:szCs w:val="21"/>
            </w:rPr>
            <w:t>则</w:t>
          </w:r>
          <w:r>
            <w:rPr>
              <w:sz w:val="21"/>
              <w:szCs w:val="21"/>
            </w:rPr>
            <w:tab/>
          </w:r>
          <w:r>
            <w:rPr>
              <w:sz w:val="21"/>
              <w:szCs w:val="21"/>
            </w:rPr>
            <w:fldChar w:fldCharType="begin"/>
          </w:r>
          <w:r>
            <w:rPr>
              <w:sz w:val="21"/>
              <w:szCs w:val="21"/>
            </w:rPr>
            <w:instrText xml:space="preserve"> PAGEREF _Toc174141228 \h </w:instrText>
          </w:r>
          <w:r>
            <w:rPr>
              <w:sz w:val="21"/>
              <w:szCs w:val="21"/>
            </w:rPr>
            <w:fldChar w:fldCharType="separate"/>
          </w:r>
          <w:r>
            <w:rPr>
              <w:sz w:val="21"/>
              <w:szCs w:val="21"/>
            </w:rPr>
            <w:t>7</w:t>
          </w:r>
          <w:r>
            <w:rPr>
              <w:sz w:val="21"/>
              <w:szCs w:val="21"/>
            </w:rPr>
            <w:fldChar w:fldCharType="end"/>
          </w:r>
          <w:r>
            <w:rPr>
              <w:sz w:val="21"/>
              <w:szCs w:val="21"/>
            </w:rPr>
            <w:fldChar w:fldCharType="end"/>
          </w:r>
        </w:p>
        <w:p w14:paraId="5ABE9EBF">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"_Toc174141229" </w:instrText>
          </w:r>
          <w:r>
            <w:fldChar w:fldCharType="separate"/>
          </w:r>
          <w:r>
            <w:rPr>
              <w:rStyle w:val="41"/>
              <w:sz w:val="21"/>
              <w:szCs w:val="21"/>
            </w:rPr>
            <w:t xml:space="preserve">2  </w:t>
          </w:r>
          <w:r>
            <w:rPr>
              <w:rStyle w:val="41"/>
              <w:rFonts w:hint="eastAsia"/>
              <w:sz w:val="21"/>
              <w:szCs w:val="21"/>
            </w:rPr>
            <w:t>术</w:t>
          </w:r>
          <w:r>
            <w:rPr>
              <w:rStyle w:val="41"/>
              <w:sz w:val="21"/>
              <w:szCs w:val="21"/>
            </w:rPr>
            <w:t xml:space="preserve">    </w:t>
          </w:r>
          <w:r>
            <w:rPr>
              <w:rStyle w:val="41"/>
              <w:rFonts w:hint="eastAsia"/>
              <w:sz w:val="21"/>
              <w:szCs w:val="21"/>
            </w:rPr>
            <w:t>语</w:t>
          </w:r>
          <w:r>
            <w:rPr>
              <w:sz w:val="21"/>
              <w:szCs w:val="21"/>
            </w:rPr>
            <w:tab/>
          </w:r>
          <w:r>
            <w:rPr>
              <w:sz w:val="21"/>
              <w:szCs w:val="21"/>
            </w:rPr>
            <w:fldChar w:fldCharType="begin"/>
          </w:r>
          <w:r>
            <w:rPr>
              <w:sz w:val="21"/>
              <w:szCs w:val="21"/>
            </w:rPr>
            <w:instrText xml:space="preserve"> PAGEREF _Toc174141229 \h </w:instrText>
          </w:r>
          <w:r>
            <w:rPr>
              <w:sz w:val="21"/>
              <w:szCs w:val="21"/>
            </w:rPr>
            <w:fldChar w:fldCharType="separate"/>
          </w:r>
          <w:r>
            <w:rPr>
              <w:sz w:val="21"/>
              <w:szCs w:val="21"/>
            </w:rPr>
            <w:t>8</w:t>
          </w:r>
          <w:r>
            <w:rPr>
              <w:sz w:val="21"/>
              <w:szCs w:val="21"/>
            </w:rPr>
            <w:fldChar w:fldCharType="end"/>
          </w:r>
          <w:r>
            <w:rPr>
              <w:sz w:val="21"/>
              <w:szCs w:val="21"/>
            </w:rPr>
            <w:fldChar w:fldCharType="end"/>
          </w:r>
        </w:p>
        <w:p w14:paraId="7981ADD5">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"_Toc174141230" </w:instrText>
          </w:r>
          <w:r>
            <w:fldChar w:fldCharType="separate"/>
          </w:r>
          <w:r>
            <w:rPr>
              <w:rStyle w:val="41"/>
              <w:sz w:val="21"/>
              <w:szCs w:val="21"/>
            </w:rPr>
            <w:t xml:space="preserve">3  </w:t>
          </w:r>
          <w:r>
            <w:rPr>
              <w:rStyle w:val="41"/>
              <w:rFonts w:hint="eastAsia"/>
              <w:sz w:val="21"/>
              <w:szCs w:val="21"/>
            </w:rPr>
            <w:t>基本规定</w:t>
          </w:r>
          <w:r>
            <w:rPr>
              <w:sz w:val="21"/>
              <w:szCs w:val="21"/>
            </w:rPr>
            <w:tab/>
          </w:r>
          <w:r>
            <w:rPr>
              <w:sz w:val="21"/>
              <w:szCs w:val="21"/>
            </w:rPr>
            <w:fldChar w:fldCharType="begin"/>
          </w:r>
          <w:r>
            <w:rPr>
              <w:sz w:val="21"/>
              <w:szCs w:val="21"/>
            </w:rPr>
            <w:instrText xml:space="preserve"> PAGEREF _Toc174141230 \h </w:instrText>
          </w:r>
          <w:r>
            <w:rPr>
              <w:sz w:val="21"/>
              <w:szCs w:val="21"/>
            </w:rPr>
            <w:fldChar w:fldCharType="separate"/>
          </w:r>
          <w:r>
            <w:rPr>
              <w:sz w:val="21"/>
              <w:szCs w:val="21"/>
            </w:rPr>
            <w:t>9</w:t>
          </w:r>
          <w:r>
            <w:rPr>
              <w:sz w:val="21"/>
              <w:szCs w:val="21"/>
            </w:rPr>
            <w:fldChar w:fldCharType="end"/>
          </w:r>
          <w:r>
            <w:rPr>
              <w:sz w:val="21"/>
              <w:szCs w:val="21"/>
            </w:rPr>
            <w:fldChar w:fldCharType="end"/>
          </w:r>
        </w:p>
        <w:p w14:paraId="134B1F80">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"_Toc174141231" </w:instrText>
          </w:r>
          <w:r>
            <w:fldChar w:fldCharType="separate"/>
          </w:r>
          <w:r>
            <w:rPr>
              <w:rStyle w:val="41"/>
              <w:sz w:val="21"/>
              <w:szCs w:val="21"/>
            </w:rPr>
            <w:t xml:space="preserve">3.1  </w:t>
          </w:r>
          <w:r>
            <w:rPr>
              <w:rStyle w:val="41"/>
              <w:rFonts w:hint="eastAsia"/>
              <w:sz w:val="21"/>
              <w:szCs w:val="21"/>
            </w:rPr>
            <w:t>评价体系</w:t>
          </w:r>
          <w:r>
            <w:rPr>
              <w:sz w:val="21"/>
              <w:szCs w:val="21"/>
            </w:rPr>
            <w:tab/>
          </w:r>
          <w:r>
            <w:rPr>
              <w:sz w:val="21"/>
              <w:szCs w:val="21"/>
            </w:rPr>
            <w:fldChar w:fldCharType="begin"/>
          </w:r>
          <w:r>
            <w:rPr>
              <w:sz w:val="21"/>
              <w:szCs w:val="21"/>
            </w:rPr>
            <w:instrText xml:space="preserve"> PAGEREF _Toc174141231 \h </w:instrText>
          </w:r>
          <w:r>
            <w:rPr>
              <w:sz w:val="21"/>
              <w:szCs w:val="21"/>
            </w:rPr>
            <w:fldChar w:fldCharType="separate"/>
          </w:r>
          <w:r>
            <w:rPr>
              <w:sz w:val="21"/>
              <w:szCs w:val="21"/>
            </w:rPr>
            <w:t>9</w:t>
          </w:r>
          <w:r>
            <w:rPr>
              <w:sz w:val="21"/>
              <w:szCs w:val="21"/>
            </w:rPr>
            <w:fldChar w:fldCharType="end"/>
          </w:r>
          <w:r>
            <w:rPr>
              <w:sz w:val="21"/>
              <w:szCs w:val="21"/>
            </w:rPr>
            <w:fldChar w:fldCharType="end"/>
          </w:r>
        </w:p>
        <w:p w14:paraId="748388C0">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"_Toc174141232" </w:instrText>
          </w:r>
          <w:r>
            <w:fldChar w:fldCharType="separate"/>
          </w:r>
          <w:r>
            <w:rPr>
              <w:rStyle w:val="41"/>
              <w:sz w:val="21"/>
              <w:szCs w:val="21"/>
            </w:rPr>
            <w:t xml:space="preserve">3.2  </w:t>
          </w:r>
          <w:r>
            <w:rPr>
              <w:rStyle w:val="41"/>
              <w:rFonts w:hint="eastAsia"/>
              <w:sz w:val="21"/>
              <w:szCs w:val="21"/>
            </w:rPr>
            <w:t>评价等级划分</w:t>
          </w:r>
          <w:r>
            <w:rPr>
              <w:sz w:val="21"/>
              <w:szCs w:val="21"/>
            </w:rPr>
            <w:tab/>
          </w:r>
          <w:r>
            <w:rPr>
              <w:sz w:val="21"/>
              <w:szCs w:val="21"/>
            </w:rPr>
            <w:fldChar w:fldCharType="begin"/>
          </w:r>
          <w:r>
            <w:rPr>
              <w:sz w:val="21"/>
              <w:szCs w:val="21"/>
            </w:rPr>
            <w:instrText xml:space="preserve"> PAGEREF _Toc174141232 \h </w:instrText>
          </w:r>
          <w:r>
            <w:rPr>
              <w:sz w:val="21"/>
              <w:szCs w:val="21"/>
            </w:rPr>
            <w:fldChar w:fldCharType="separate"/>
          </w:r>
          <w:r>
            <w:rPr>
              <w:sz w:val="21"/>
              <w:szCs w:val="21"/>
            </w:rPr>
            <w:t>11</w:t>
          </w:r>
          <w:r>
            <w:rPr>
              <w:sz w:val="21"/>
              <w:szCs w:val="21"/>
            </w:rPr>
            <w:fldChar w:fldCharType="end"/>
          </w:r>
          <w:r>
            <w:rPr>
              <w:sz w:val="21"/>
              <w:szCs w:val="21"/>
            </w:rPr>
            <w:fldChar w:fldCharType="end"/>
          </w:r>
        </w:p>
        <w:p w14:paraId="57309C5F">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"_Toc174141233" </w:instrText>
          </w:r>
          <w:r>
            <w:fldChar w:fldCharType="separate"/>
          </w:r>
          <w:r>
            <w:rPr>
              <w:rStyle w:val="41"/>
              <w:sz w:val="21"/>
              <w:szCs w:val="21"/>
            </w:rPr>
            <w:t xml:space="preserve">3.3  </w:t>
          </w:r>
          <w:r>
            <w:rPr>
              <w:rStyle w:val="41"/>
              <w:rFonts w:hint="eastAsia"/>
              <w:sz w:val="21"/>
              <w:szCs w:val="21"/>
            </w:rPr>
            <w:t>一般规定</w:t>
          </w:r>
          <w:r>
            <w:rPr>
              <w:sz w:val="21"/>
              <w:szCs w:val="21"/>
            </w:rPr>
            <w:tab/>
          </w:r>
          <w:r>
            <w:rPr>
              <w:sz w:val="21"/>
              <w:szCs w:val="21"/>
            </w:rPr>
            <w:fldChar w:fldCharType="begin"/>
          </w:r>
          <w:r>
            <w:rPr>
              <w:sz w:val="21"/>
              <w:szCs w:val="21"/>
            </w:rPr>
            <w:instrText xml:space="preserve"> PAGEREF _Toc174141233 \h </w:instrText>
          </w:r>
          <w:r>
            <w:rPr>
              <w:sz w:val="21"/>
              <w:szCs w:val="21"/>
            </w:rPr>
            <w:fldChar w:fldCharType="separate"/>
          </w:r>
          <w:r>
            <w:rPr>
              <w:sz w:val="21"/>
              <w:szCs w:val="21"/>
            </w:rPr>
            <w:t>11</w:t>
          </w:r>
          <w:r>
            <w:rPr>
              <w:sz w:val="21"/>
              <w:szCs w:val="21"/>
            </w:rPr>
            <w:fldChar w:fldCharType="end"/>
          </w:r>
          <w:r>
            <w:rPr>
              <w:sz w:val="21"/>
              <w:szCs w:val="21"/>
            </w:rPr>
            <w:fldChar w:fldCharType="end"/>
          </w:r>
        </w:p>
        <w:p w14:paraId="3702CAF4">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"_Toc174141234" </w:instrText>
          </w:r>
          <w:r>
            <w:fldChar w:fldCharType="separate"/>
          </w:r>
          <w:r>
            <w:rPr>
              <w:rStyle w:val="41"/>
              <w:sz w:val="21"/>
              <w:szCs w:val="21"/>
            </w:rPr>
            <w:t xml:space="preserve">4  </w:t>
          </w:r>
          <w:r>
            <w:rPr>
              <w:rStyle w:val="41"/>
              <w:rFonts w:hint="eastAsia"/>
              <w:sz w:val="21"/>
              <w:szCs w:val="21"/>
            </w:rPr>
            <w:t>绿色策划</w:t>
          </w:r>
          <w:r>
            <w:rPr>
              <w:sz w:val="21"/>
              <w:szCs w:val="21"/>
            </w:rPr>
            <w:tab/>
          </w:r>
          <w:r>
            <w:rPr>
              <w:sz w:val="21"/>
              <w:szCs w:val="21"/>
            </w:rPr>
            <w:fldChar w:fldCharType="begin"/>
          </w:r>
          <w:r>
            <w:rPr>
              <w:sz w:val="21"/>
              <w:szCs w:val="21"/>
            </w:rPr>
            <w:instrText xml:space="preserve"> PAGEREF _Toc174141234 \h </w:instrText>
          </w:r>
          <w:r>
            <w:rPr>
              <w:sz w:val="21"/>
              <w:szCs w:val="21"/>
            </w:rPr>
            <w:fldChar w:fldCharType="separate"/>
          </w:r>
          <w:r>
            <w:rPr>
              <w:sz w:val="21"/>
              <w:szCs w:val="21"/>
            </w:rPr>
            <w:t>14</w:t>
          </w:r>
          <w:r>
            <w:rPr>
              <w:sz w:val="21"/>
              <w:szCs w:val="21"/>
            </w:rPr>
            <w:fldChar w:fldCharType="end"/>
          </w:r>
          <w:r>
            <w:rPr>
              <w:sz w:val="21"/>
              <w:szCs w:val="21"/>
            </w:rPr>
            <w:fldChar w:fldCharType="end"/>
          </w:r>
        </w:p>
        <w:p w14:paraId="4CC6A4D3">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"_Toc174141235" </w:instrText>
          </w:r>
          <w:r>
            <w:fldChar w:fldCharType="separate"/>
          </w:r>
          <w:r>
            <w:rPr>
              <w:rStyle w:val="41"/>
              <w:sz w:val="21"/>
              <w:szCs w:val="21"/>
            </w:rPr>
            <w:t xml:space="preserve">4.1  </w:t>
          </w:r>
          <w:r>
            <w:rPr>
              <w:rStyle w:val="41"/>
              <w:rFonts w:hint="eastAsia"/>
              <w:sz w:val="21"/>
              <w:szCs w:val="21"/>
            </w:rPr>
            <w:t>总体策划</w:t>
          </w:r>
          <w:r>
            <w:rPr>
              <w:sz w:val="21"/>
              <w:szCs w:val="21"/>
            </w:rPr>
            <w:tab/>
          </w:r>
          <w:r>
            <w:rPr>
              <w:sz w:val="21"/>
              <w:szCs w:val="21"/>
            </w:rPr>
            <w:fldChar w:fldCharType="begin"/>
          </w:r>
          <w:r>
            <w:rPr>
              <w:sz w:val="21"/>
              <w:szCs w:val="21"/>
            </w:rPr>
            <w:instrText xml:space="preserve"> PAGEREF _Toc174141235 \h </w:instrText>
          </w:r>
          <w:r>
            <w:rPr>
              <w:sz w:val="21"/>
              <w:szCs w:val="21"/>
            </w:rPr>
            <w:fldChar w:fldCharType="separate"/>
          </w:r>
          <w:r>
            <w:rPr>
              <w:sz w:val="21"/>
              <w:szCs w:val="21"/>
            </w:rPr>
            <w:t>14</w:t>
          </w:r>
          <w:r>
            <w:rPr>
              <w:sz w:val="21"/>
              <w:szCs w:val="21"/>
            </w:rPr>
            <w:fldChar w:fldCharType="end"/>
          </w:r>
          <w:r>
            <w:rPr>
              <w:sz w:val="21"/>
              <w:szCs w:val="21"/>
            </w:rPr>
            <w:fldChar w:fldCharType="end"/>
          </w:r>
        </w:p>
        <w:p w14:paraId="7C374ED5">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"_Toc174141236" </w:instrText>
          </w:r>
          <w:r>
            <w:fldChar w:fldCharType="separate"/>
          </w:r>
          <w:r>
            <w:rPr>
              <w:rStyle w:val="41"/>
              <w:sz w:val="21"/>
              <w:szCs w:val="21"/>
            </w:rPr>
            <w:t xml:space="preserve">4.2  </w:t>
          </w:r>
          <w:r>
            <w:rPr>
              <w:rStyle w:val="41"/>
              <w:rFonts w:hint="eastAsia"/>
              <w:sz w:val="21"/>
              <w:szCs w:val="21"/>
            </w:rPr>
            <w:t>设计策划</w:t>
          </w:r>
          <w:r>
            <w:rPr>
              <w:sz w:val="21"/>
              <w:szCs w:val="21"/>
            </w:rPr>
            <w:tab/>
          </w:r>
          <w:r>
            <w:rPr>
              <w:sz w:val="21"/>
              <w:szCs w:val="21"/>
            </w:rPr>
            <w:fldChar w:fldCharType="begin"/>
          </w:r>
          <w:r>
            <w:rPr>
              <w:sz w:val="21"/>
              <w:szCs w:val="21"/>
            </w:rPr>
            <w:instrText xml:space="preserve"> PAGEREF _Toc174141236 \h </w:instrText>
          </w:r>
          <w:r>
            <w:rPr>
              <w:sz w:val="21"/>
              <w:szCs w:val="21"/>
            </w:rPr>
            <w:fldChar w:fldCharType="separate"/>
          </w:r>
          <w:r>
            <w:rPr>
              <w:sz w:val="21"/>
              <w:szCs w:val="21"/>
            </w:rPr>
            <w:t>14</w:t>
          </w:r>
          <w:r>
            <w:rPr>
              <w:sz w:val="21"/>
              <w:szCs w:val="21"/>
            </w:rPr>
            <w:fldChar w:fldCharType="end"/>
          </w:r>
          <w:r>
            <w:rPr>
              <w:sz w:val="21"/>
              <w:szCs w:val="21"/>
            </w:rPr>
            <w:fldChar w:fldCharType="end"/>
          </w:r>
        </w:p>
        <w:p w14:paraId="3D907BDE">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"_Toc174141237" </w:instrText>
          </w:r>
          <w:r>
            <w:fldChar w:fldCharType="separate"/>
          </w:r>
          <w:r>
            <w:rPr>
              <w:rStyle w:val="41"/>
              <w:sz w:val="21"/>
              <w:szCs w:val="21"/>
            </w:rPr>
            <w:t xml:space="preserve">4.3  </w:t>
          </w:r>
          <w:r>
            <w:rPr>
              <w:rStyle w:val="41"/>
              <w:rFonts w:hint="eastAsia"/>
              <w:sz w:val="21"/>
              <w:szCs w:val="21"/>
            </w:rPr>
            <w:t>施工策划</w:t>
          </w:r>
          <w:r>
            <w:rPr>
              <w:sz w:val="21"/>
              <w:szCs w:val="21"/>
            </w:rPr>
            <w:tab/>
          </w:r>
          <w:r>
            <w:rPr>
              <w:sz w:val="21"/>
              <w:szCs w:val="21"/>
            </w:rPr>
            <w:fldChar w:fldCharType="begin"/>
          </w:r>
          <w:r>
            <w:rPr>
              <w:sz w:val="21"/>
              <w:szCs w:val="21"/>
            </w:rPr>
            <w:instrText xml:space="preserve"> PAGEREF _Toc174141237 \h </w:instrText>
          </w:r>
          <w:r>
            <w:rPr>
              <w:sz w:val="21"/>
              <w:szCs w:val="21"/>
            </w:rPr>
            <w:fldChar w:fldCharType="separate"/>
          </w:r>
          <w:r>
            <w:rPr>
              <w:sz w:val="21"/>
              <w:szCs w:val="21"/>
            </w:rPr>
            <w:t>14</w:t>
          </w:r>
          <w:r>
            <w:rPr>
              <w:sz w:val="21"/>
              <w:szCs w:val="21"/>
            </w:rPr>
            <w:fldChar w:fldCharType="end"/>
          </w:r>
          <w:r>
            <w:rPr>
              <w:sz w:val="21"/>
              <w:szCs w:val="21"/>
            </w:rPr>
            <w:fldChar w:fldCharType="end"/>
          </w:r>
        </w:p>
        <w:p w14:paraId="0E62E79E">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"_Toc174141238" </w:instrText>
          </w:r>
          <w:r>
            <w:fldChar w:fldCharType="separate"/>
          </w:r>
          <w:r>
            <w:rPr>
              <w:rStyle w:val="41"/>
              <w:sz w:val="21"/>
              <w:szCs w:val="21"/>
            </w:rPr>
            <w:t xml:space="preserve">4.4  </w:t>
          </w:r>
          <w:r>
            <w:rPr>
              <w:rStyle w:val="41"/>
              <w:rFonts w:hint="eastAsia"/>
              <w:sz w:val="21"/>
              <w:szCs w:val="21"/>
            </w:rPr>
            <w:t>移交策划</w:t>
          </w:r>
          <w:r>
            <w:rPr>
              <w:sz w:val="21"/>
              <w:szCs w:val="21"/>
            </w:rPr>
            <w:tab/>
          </w:r>
          <w:r>
            <w:rPr>
              <w:sz w:val="21"/>
              <w:szCs w:val="21"/>
            </w:rPr>
            <w:fldChar w:fldCharType="begin"/>
          </w:r>
          <w:r>
            <w:rPr>
              <w:sz w:val="21"/>
              <w:szCs w:val="21"/>
            </w:rPr>
            <w:instrText xml:space="preserve"> PAGEREF _Toc174141238 \h </w:instrText>
          </w:r>
          <w:r>
            <w:rPr>
              <w:sz w:val="21"/>
              <w:szCs w:val="21"/>
            </w:rPr>
            <w:fldChar w:fldCharType="separate"/>
          </w:r>
          <w:r>
            <w:rPr>
              <w:sz w:val="21"/>
              <w:szCs w:val="21"/>
            </w:rPr>
            <w:t>15</w:t>
          </w:r>
          <w:r>
            <w:rPr>
              <w:sz w:val="21"/>
              <w:szCs w:val="21"/>
            </w:rPr>
            <w:fldChar w:fldCharType="end"/>
          </w:r>
          <w:r>
            <w:rPr>
              <w:sz w:val="21"/>
              <w:szCs w:val="21"/>
            </w:rPr>
            <w:fldChar w:fldCharType="end"/>
          </w:r>
        </w:p>
        <w:p w14:paraId="7C077CD4">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"_Toc174141239" </w:instrText>
          </w:r>
          <w:r>
            <w:fldChar w:fldCharType="separate"/>
          </w:r>
          <w:r>
            <w:rPr>
              <w:rStyle w:val="41"/>
              <w:sz w:val="21"/>
              <w:szCs w:val="21"/>
            </w:rPr>
            <w:t xml:space="preserve">5  </w:t>
          </w:r>
          <w:r>
            <w:rPr>
              <w:rStyle w:val="41"/>
              <w:rFonts w:hint="eastAsia"/>
              <w:sz w:val="21"/>
              <w:szCs w:val="21"/>
            </w:rPr>
            <w:t>绿色设计</w:t>
          </w:r>
          <w:r>
            <w:rPr>
              <w:sz w:val="21"/>
              <w:szCs w:val="21"/>
            </w:rPr>
            <w:tab/>
          </w:r>
          <w:r>
            <w:rPr>
              <w:sz w:val="21"/>
              <w:szCs w:val="21"/>
            </w:rPr>
            <w:fldChar w:fldCharType="begin"/>
          </w:r>
          <w:r>
            <w:rPr>
              <w:sz w:val="21"/>
              <w:szCs w:val="21"/>
            </w:rPr>
            <w:instrText xml:space="preserve"> PAGEREF _Toc174141239 \h </w:instrText>
          </w:r>
          <w:r>
            <w:rPr>
              <w:sz w:val="21"/>
              <w:szCs w:val="21"/>
            </w:rPr>
            <w:fldChar w:fldCharType="separate"/>
          </w:r>
          <w:r>
            <w:rPr>
              <w:sz w:val="21"/>
              <w:szCs w:val="21"/>
            </w:rPr>
            <w:t>16</w:t>
          </w:r>
          <w:r>
            <w:rPr>
              <w:sz w:val="21"/>
              <w:szCs w:val="21"/>
            </w:rPr>
            <w:fldChar w:fldCharType="end"/>
          </w:r>
          <w:r>
            <w:rPr>
              <w:sz w:val="21"/>
              <w:szCs w:val="21"/>
            </w:rPr>
            <w:fldChar w:fldCharType="end"/>
          </w:r>
        </w:p>
        <w:p w14:paraId="037DF60C">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"_Toc174141240" </w:instrText>
          </w:r>
          <w:r>
            <w:fldChar w:fldCharType="separate"/>
          </w:r>
          <w:r>
            <w:rPr>
              <w:rStyle w:val="41"/>
              <w:sz w:val="21"/>
              <w:szCs w:val="21"/>
            </w:rPr>
            <w:t xml:space="preserve">5.1  </w:t>
          </w:r>
          <w:r>
            <w:rPr>
              <w:rStyle w:val="41"/>
              <w:rFonts w:hint="eastAsia"/>
              <w:sz w:val="21"/>
              <w:szCs w:val="21"/>
            </w:rPr>
            <w:t>火力发电（含核电常规岛）工程</w:t>
          </w:r>
          <w:r>
            <w:rPr>
              <w:sz w:val="21"/>
              <w:szCs w:val="21"/>
            </w:rPr>
            <w:tab/>
          </w:r>
          <w:r>
            <w:rPr>
              <w:sz w:val="21"/>
              <w:szCs w:val="21"/>
            </w:rPr>
            <w:fldChar w:fldCharType="begin"/>
          </w:r>
          <w:r>
            <w:rPr>
              <w:sz w:val="21"/>
              <w:szCs w:val="21"/>
            </w:rPr>
            <w:instrText xml:space="preserve"> PAGEREF _Toc174141240 \h </w:instrText>
          </w:r>
          <w:r>
            <w:rPr>
              <w:sz w:val="21"/>
              <w:szCs w:val="21"/>
            </w:rPr>
            <w:fldChar w:fldCharType="separate"/>
          </w:r>
          <w:r>
            <w:rPr>
              <w:sz w:val="21"/>
              <w:szCs w:val="21"/>
            </w:rPr>
            <w:t>16</w:t>
          </w:r>
          <w:r>
            <w:rPr>
              <w:sz w:val="21"/>
              <w:szCs w:val="21"/>
            </w:rPr>
            <w:fldChar w:fldCharType="end"/>
          </w:r>
          <w:r>
            <w:rPr>
              <w:sz w:val="21"/>
              <w:szCs w:val="21"/>
            </w:rPr>
            <w:fldChar w:fldCharType="end"/>
          </w:r>
        </w:p>
        <w:p w14:paraId="39D7AF38">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"_Toc174141241" </w:instrText>
          </w:r>
          <w:r>
            <w:fldChar w:fldCharType="separate"/>
          </w:r>
          <w:r>
            <w:rPr>
              <w:rStyle w:val="41"/>
              <w:sz w:val="21"/>
              <w:szCs w:val="21"/>
            </w:rPr>
            <w:t xml:space="preserve">5.2  </w:t>
          </w:r>
          <w:r>
            <w:rPr>
              <w:rStyle w:val="41"/>
              <w:rFonts w:hint="eastAsia"/>
              <w:sz w:val="21"/>
              <w:szCs w:val="21"/>
            </w:rPr>
            <w:t>水力发电（含抽水蓄能）工程</w:t>
          </w:r>
          <w:r>
            <w:rPr>
              <w:sz w:val="21"/>
              <w:szCs w:val="21"/>
            </w:rPr>
            <w:tab/>
          </w:r>
          <w:r>
            <w:rPr>
              <w:sz w:val="21"/>
              <w:szCs w:val="21"/>
            </w:rPr>
            <w:fldChar w:fldCharType="begin"/>
          </w:r>
          <w:r>
            <w:rPr>
              <w:sz w:val="21"/>
              <w:szCs w:val="21"/>
            </w:rPr>
            <w:instrText xml:space="preserve"> PAGEREF _Toc174141241 \h </w:instrText>
          </w:r>
          <w:r>
            <w:rPr>
              <w:sz w:val="21"/>
              <w:szCs w:val="21"/>
            </w:rPr>
            <w:fldChar w:fldCharType="separate"/>
          </w:r>
          <w:r>
            <w:rPr>
              <w:sz w:val="21"/>
              <w:szCs w:val="21"/>
            </w:rPr>
            <w:t>20</w:t>
          </w:r>
          <w:r>
            <w:rPr>
              <w:sz w:val="21"/>
              <w:szCs w:val="21"/>
            </w:rPr>
            <w:fldChar w:fldCharType="end"/>
          </w:r>
          <w:r>
            <w:rPr>
              <w:sz w:val="21"/>
              <w:szCs w:val="21"/>
            </w:rPr>
            <w:fldChar w:fldCharType="end"/>
          </w:r>
        </w:p>
        <w:p w14:paraId="766D81C6">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"_Toc174141242" </w:instrText>
          </w:r>
          <w:r>
            <w:fldChar w:fldCharType="separate"/>
          </w:r>
          <w:r>
            <w:rPr>
              <w:rStyle w:val="41"/>
              <w:sz w:val="21"/>
              <w:szCs w:val="21"/>
            </w:rPr>
            <w:t xml:space="preserve">5.3  </w:t>
          </w:r>
          <w:r>
            <w:rPr>
              <w:rStyle w:val="41"/>
              <w:rFonts w:hint="eastAsia"/>
              <w:sz w:val="21"/>
              <w:szCs w:val="21"/>
            </w:rPr>
            <w:t>风力发电工程</w:t>
          </w:r>
          <w:r>
            <w:rPr>
              <w:sz w:val="21"/>
              <w:szCs w:val="21"/>
            </w:rPr>
            <w:tab/>
          </w:r>
          <w:r>
            <w:rPr>
              <w:sz w:val="21"/>
              <w:szCs w:val="21"/>
            </w:rPr>
            <w:fldChar w:fldCharType="begin"/>
          </w:r>
          <w:r>
            <w:rPr>
              <w:sz w:val="21"/>
              <w:szCs w:val="21"/>
            </w:rPr>
            <w:instrText xml:space="preserve"> PAGEREF _Toc174141242 \h </w:instrText>
          </w:r>
          <w:r>
            <w:rPr>
              <w:sz w:val="21"/>
              <w:szCs w:val="21"/>
            </w:rPr>
            <w:fldChar w:fldCharType="separate"/>
          </w:r>
          <w:r>
            <w:rPr>
              <w:sz w:val="21"/>
              <w:szCs w:val="21"/>
            </w:rPr>
            <w:t>23</w:t>
          </w:r>
          <w:r>
            <w:rPr>
              <w:sz w:val="21"/>
              <w:szCs w:val="21"/>
            </w:rPr>
            <w:fldChar w:fldCharType="end"/>
          </w:r>
          <w:r>
            <w:rPr>
              <w:sz w:val="21"/>
              <w:szCs w:val="21"/>
            </w:rPr>
            <w:fldChar w:fldCharType="end"/>
          </w:r>
        </w:p>
        <w:p w14:paraId="3F9BFFE0">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"_Toc174141243" </w:instrText>
          </w:r>
          <w:r>
            <w:fldChar w:fldCharType="separate"/>
          </w:r>
          <w:r>
            <w:rPr>
              <w:rStyle w:val="41"/>
              <w:sz w:val="21"/>
              <w:szCs w:val="21"/>
            </w:rPr>
            <w:t xml:space="preserve">5.4  </w:t>
          </w:r>
          <w:r>
            <w:rPr>
              <w:rStyle w:val="41"/>
              <w:rFonts w:hint="eastAsia"/>
              <w:sz w:val="21"/>
              <w:szCs w:val="21"/>
            </w:rPr>
            <w:t>太阳能发电工程</w:t>
          </w:r>
          <w:r>
            <w:rPr>
              <w:sz w:val="21"/>
              <w:szCs w:val="21"/>
            </w:rPr>
            <w:tab/>
          </w:r>
          <w:r>
            <w:rPr>
              <w:sz w:val="21"/>
              <w:szCs w:val="21"/>
            </w:rPr>
            <w:fldChar w:fldCharType="begin"/>
          </w:r>
          <w:r>
            <w:rPr>
              <w:sz w:val="21"/>
              <w:szCs w:val="21"/>
            </w:rPr>
            <w:instrText xml:space="preserve"> PAGEREF _Toc174141243 \h </w:instrText>
          </w:r>
          <w:r>
            <w:rPr>
              <w:sz w:val="21"/>
              <w:szCs w:val="21"/>
            </w:rPr>
            <w:fldChar w:fldCharType="separate"/>
          </w:r>
          <w:r>
            <w:rPr>
              <w:sz w:val="21"/>
              <w:szCs w:val="21"/>
            </w:rPr>
            <w:t>25</w:t>
          </w:r>
          <w:r>
            <w:rPr>
              <w:sz w:val="21"/>
              <w:szCs w:val="21"/>
            </w:rPr>
            <w:fldChar w:fldCharType="end"/>
          </w:r>
          <w:r>
            <w:rPr>
              <w:sz w:val="21"/>
              <w:szCs w:val="21"/>
            </w:rPr>
            <w:fldChar w:fldCharType="end"/>
          </w:r>
        </w:p>
        <w:p w14:paraId="02CB64E9">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"_Toc174141244" </w:instrText>
          </w:r>
          <w:r>
            <w:fldChar w:fldCharType="separate"/>
          </w:r>
          <w:r>
            <w:rPr>
              <w:rStyle w:val="41"/>
              <w:sz w:val="21"/>
              <w:szCs w:val="21"/>
            </w:rPr>
            <w:t xml:space="preserve">5.5  </w:t>
          </w:r>
          <w:r>
            <w:rPr>
              <w:rStyle w:val="41"/>
              <w:rFonts w:hint="eastAsia"/>
              <w:sz w:val="21"/>
              <w:szCs w:val="21"/>
            </w:rPr>
            <w:t>输变电工程</w:t>
          </w:r>
          <w:r>
            <w:rPr>
              <w:sz w:val="21"/>
              <w:szCs w:val="21"/>
            </w:rPr>
            <w:tab/>
          </w:r>
          <w:r>
            <w:rPr>
              <w:sz w:val="21"/>
              <w:szCs w:val="21"/>
            </w:rPr>
            <w:fldChar w:fldCharType="begin"/>
          </w:r>
          <w:r>
            <w:rPr>
              <w:sz w:val="21"/>
              <w:szCs w:val="21"/>
            </w:rPr>
            <w:instrText xml:space="preserve"> PAGEREF _Toc174141244 \h </w:instrText>
          </w:r>
          <w:r>
            <w:rPr>
              <w:sz w:val="21"/>
              <w:szCs w:val="21"/>
            </w:rPr>
            <w:fldChar w:fldCharType="separate"/>
          </w:r>
          <w:r>
            <w:rPr>
              <w:sz w:val="21"/>
              <w:szCs w:val="21"/>
            </w:rPr>
            <w:t>28</w:t>
          </w:r>
          <w:r>
            <w:rPr>
              <w:sz w:val="21"/>
              <w:szCs w:val="21"/>
            </w:rPr>
            <w:fldChar w:fldCharType="end"/>
          </w:r>
          <w:r>
            <w:rPr>
              <w:sz w:val="21"/>
              <w:szCs w:val="21"/>
            </w:rPr>
            <w:fldChar w:fldCharType="end"/>
          </w:r>
        </w:p>
        <w:p w14:paraId="19DBD945">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"_Toc174141245" </w:instrText>
          </w:r>
          <w:r>
            <w:fldChar w:fldCharType="separate"/>
          </w:r>
          <w:r>
            <w:rPr>
              <w:rStyle w:val="41"/>
              <w:sz w:val="21"/>
              <w:szCs w:val="21"/>
            </w:rPr>
            <w:t xml:space="preserve">5.6  </w:t>
          </w:r>
          <w:r>
            <w:rPr>
              <w:rStyle w:val="41"/>
              <w:rFonts w:hint="eastAsia"/>
              <w:sz w:val="21"/>
              <w:szCs w:val="21"/>
            </w:rPr>
            <w:t>电力储能工程</w:t>
          </w:r>
          <w:r>
            <w:rPr>
              <w:sz w:val="21"/>
              <w:szCs w:val="21"/>
            </w:rPr>
            <w:tab/>
          </w:r>
          <w:r>
            <w:rPr>
              <w:sz w:val="21"/>
              <w:szCs w:val="21"/>
            </w:rPr>
            <w:fldChar w:fldCharType="begin"/>
          </w:r>
          <w:r>
            <w:rPr>
              <w:sz w:val="21"/>
              <w:szCs w:val="21"/>
            </w:rPr>
            <w:instrText xml:space="preserve"> PAGEREF _Toc174141245 \h </w:instrText>
          </w:r>
          <w:r>
            <w:rPr>
              <w:sz w:val="21"/>
              <w:szCs w:val="21"/>
            </w:rPr>
            <w:fldChar w:fldCharType="separate"/>
          </w:r>
          <w:r>
            <w:rPr>
              <w:sz w:val="21"/>
              <w:szCs w:val="21"/>
            </w:rPr>
            <w:t>31</w:t>
          </w:r>
          <w:r>
            <w:rPr>
              <w:sz w:val="21"/>
              <w:szCs w:val="21"/>
            </w:rPr>
            <w:fldChar w:fldCharType="end"/>
          </w:r>
          <w:r>
            <w:rPr>
              <w:sz w:val="21"/>
              <w:szCs w:val="21"/>
            </w:rPr>
            <w:fldChar w:fldCharType="end"/>
          </w:r>
        </w:p>
        <w:p w14:paraId="5116A0DE">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"_Toc174141246" </w:instrText>
          </w:r>
          <w:r>
            <w:fldChar w:fldCharType="separate"/>
          </w:r>
          <w:r>
            <w:rPr>
              <w:rStyle w:val="41"/>
              <w:sz w:val="21"/>
              <w:szCs w:val="21"/>
            </w:rPr>
            <w:t xml:space="preserve">6  </w:t>
          </w:r>
          <w:r>
            <w:rPr>
              <w:rStyle w:val="41"/>
              <w:rFonts w:hint="eastAsia"/>
              <w:sz w:val="21"/>
              <w:szCs w:val="21"/>
            </w:rPr>
            <w:t>绿色施工</w:t>
          </w:r>
          <w:r>
            <w:rPr>
              <w:sz w:val="21"/>
              <w:szCs w:val="21"/>
            </w:rPr>
            <w:tab/>
          </w:r>
          <w:r>
            <w:rPr>
              <w:sz w:val="21"/>
              <w:szCs w:val="21"/>
            </w:rPr>
            <w:fldChar w:fldCharType="begin"/>
          </w:r>
          <w:r>
            <w:rPr>
              <w:sz w:val="21"/>
              <w:szCs w:val="21"/>
            </w:rPr>
            <w:instrText xml:space="preserve"> PAGEREF _Toc174141246 \h </w:instrText>
          </w:r>
          <w:r>
            <w:rPr>
              <w:sz w:val="21"/>
              <w:szCs w:val="21"/>
            </w:rPr>
            <w:fldChar w:fldCharType="separate"/>
          </w:r>
          <w:r>
            <w:rPr>
              <w:sz w:val="21"/>
              <w:szCs w:val="21"/>
            </w:rPr>
            <w:t>34</w:t>
          </w:r>
          <w:r>
            <w:rPr>
              <w:sz w:val="21"/>
              <w:szCs w:val="21"/>
            </w:rPr>
            <w:fldChar w:fldCharType="end"/>
          </w:r>
          <w:r>
            <w:rPr>
              <w:sz w:val="21"/>
              <w:szCs w:val="21"/>
            </w:rPr>
            <w:fldChar w:fldCharType="end"/>
          </w:r>
        </w:p>
        <w:p w14:paraId="06E67124">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"_Toc174141247" </w:instrText>
          </w:r>
          <w:r>
            <w:fldChar w:fldCharType="separate"/>
          </w:r>
          <w:r>
            <w:rPr>
              <w:rStyle w:val="41"/>
              <w:sz w:val="21"/>
              <w:szCs w:val="21"/>
            </w:rPr>
            <w:t xml:space="preserve">6.1  </w:t>
          </w:r>
          <w:r>
            <w:rPr>
              <w:rStyle w:val="41"/>
              <w:rFonts w:hint="eastAsia"/>
              <w:sz w:val="21"/>
              <w:szCs w:val="21"/>
            </w:rPr>
            <w:t>管理科学</w:t>
          </w:r>
          <w:r>
            <w:rPr>
              <w:sz w:val="21"/>
              <w:szCs w:val="21"/>
            </w:rPr>
            <w:tab/>
          </w:r>
          <w:r>
            <w:rPr>
              <w:sz w:val="21"/>
              <w:szCs w:val="21"/>
            </w:rPr>
            <w:fldChar w:fldCharType="begin"/>
          </w:r>
          <w:r>
            <w:rPr>
              <w:sz w:val="21"/>
              <w:szCs w:val="21"/>
            </w:rPr>
            <w:instrText xml:space="preserve"> PAGEREF _Toc174141247 \h </w:instrText>
          </w:r>
          <w:r>
            <w:rPr>
              <w:sz w:val="21"/>
              <w:szCs w:val="21"/>
            </w:rPr>
            <w:fldChar w:fldCharType="separate"/>
          </w:r>
          <w:r>
            <w:rPr>
              <w:sz w:val="21"/>
              <w:szCs w:val="21"/>
            </w:rPr>
            <w:t>34</w:t>
          </w:r>
          <w:r>
            <w:rPr>
              <w:sz w:val="21"/>
              <w:szCs w:val="21"/>
            </w:rPr>
            <w:fldChar w:fldCharType="end"/>
          </w:r>
          <w:r>
            <w:rPr>
              <w:sz w:val="21"/>
              <w:szCs w:val="21"/>
            </w:rPr>
            <w:fldChar w:fldCharType="end"/>
          </w:r>
        </w:p>
        <w:p w14:paraId="275EFA5A">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"_Toc174141248" </w:instrText>
          </w:r>
          <w:r>
            <w:fldChar w:fldCharType="separate"/>
          </w:r>
          <w:r>
            <w:rPr>
              <w:rStyle w:val="41"/>
              <w:sz w:val="21"/>
              <w:szCs w:val="21"/>
            </w:rPr>
            <w:t xml:space="preserve">6.2  </w:t>
          </w:r>
          <w:r>
            <w:rPr>
              <w:rStyle w:val="41"/>
              <w:rFonts w:hint="eastAsia"/>
              <w:sz w:val="21"/>
              <w:szCs w:val="21"/>
            </w:rPr>
            <w:t>安全环保</w:t>
          </w:r>
          <w:r>
            <w:rPr>
              <w:sz w:val="21"/>
              <w:szCs w:val="21"/>
            </w:rPr>
            <w:tab/>
          </w:r>
          <w:r>
            <w:rPr>
              <w:sz w:val="21"/>
              <w:szCs w:val="21"/>
            </w:rPr>
            <w:fldChar w:fldCharType="begin"/>
          </w:r>
          <w:r>
            <w:rPr>
              <w:sz w:val="21"/>
              <w:szCs w:val="21"/>
            </w:rPr>
            <w:instrText xml:space="preserve"> PAGEREF _Toc174141248 \h </w:instrText>
          </w:r>
          <w:r>
            <w:rPr>
              <w:sz w:val="21"/>
              <w:szCs w:val="21"/>
            </w:rPr>
            <w:fldChar w:fldCharType="separate"/>
          </w:r>
          <w:r>
            <w:rPr>
              <w:sz w:val="21"/>
              <w:szCs w:val="21"/>
            </w:rPr>
            <w:t>34</w:t>
          </w:r>
          <w:r>
            <w:rPr>
              <w:sz w:val="21"/>
              <w:szCs w:val="21"/>
            </w:rPr>
            <w:fldChar w:fldCharType="end"/>
          </w:r>
          <w:r>
            <w:rPr>
              <w:sz w:val="21"/>
              <w:szCs w:val="21"/>
            </w:rPr>
            <w:fldChar w:fldCharType="end"/>
          </w:r>
        </w:p>
        <w:p w14:paraId="48D84BDB">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"_Toc174141249" </w:instrText>
          </w:r>
          <w:r>
            <w:fldChar w:fldCharType="separate"/>
          </w:r>
          <w:r>
            <w:rPr>
              <w:rStyle w:val="41"/>
              <w:sz w:val="21"/>
              <w:szCs w:val="21"/>
            </w:rPr>
            <w:t xml:space="preserve">6.3  </w:t>
          </w:r>
          <w:r>
            <w:rPr>
              <w:rStyle w:val="41"/>
              <w:rFonts w:hint="eastAsia"/>
              <w:sz w:val="21"/>
              <w:szCs w:val="21"/>
            </w:rPr>
            <w:t>资源节约</w:t>
          </w:r>
          <w:r>
            <w:rPr>
              <w:sz w:val="21"/>
              <w:szCs w:val="21"/>
            </w:rPr>
            <w:tab/>
          </w:r>
          <w:r>
            <w:rPr>
              <w:sz w:val="21"/>
              <w:szCs w:val="21"/>
            </w:rPr>
            <w:fldChar w:fldCharType="begin"/>
          </w:r>
          <w:r>
            <w:rPr>
              <w:sz w:val="21"/>
              <w:szCs w:val="21"/>
            </w:rPr>
            <w:instrText xml:space="preserve"> PAGEREF _Toc174141249 \h </w:instrText>
          </w:r>
          <w:r>
            <w:rPr>
              <w:sz w:val="21"/>
              <w:szCs w:val="21"/>
            </w:rPr>
            <w:fldChar w:fldCharType="separate"/>
          </w:r>
          <w:r>
            <w:rPr>
              <w:sz w:val="21"/>
              <w:szCs w:val="21"/>
            </w:rPr>
            <w:t>47</w:t>
          </w:r>
          <w:r>
            <w:rPr>
              <w:sz w:val="21"/>
              <w:szCs w:val="21"/>
            </w:rPr>
            <w:fldChar w:fldCharType="end"/>
          </w:r>
          <w:r>
            <w:rPr>
              <w:sz w:val="21"/>
              <w:szCs w:val="21"/>
            </w:rPr>
            <w:fldChar w:fldCharType="end"/>
          </w:r>
        </w:p>
        <w:p w14:paraId="2ED58BF8">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"_Toc174141250" </w:instrText>
          </w:r>
          <w:r>
            <w:fldChar w:fldCharType="separate"/>
          </w:r>
          <w:r>
            <w:rPr>
              <w:rStyle w:val="41"/>
              <w:sz w:val="21"/>
              <w:szCs w:val="21"/>
            </w:rPr>
            <w:t xml:space="preserve">6.4  </w:t>
          </w:r>
          <w:r>
            <w:rPr>
              <w:rStyle w:val="41"/>
              <w:rFonts w:hint="eastAsia"/>
              <w:sz w:val="21"/>
              <w:szCs w:val="21"/>
            </w:rPr>
            <w:t>技术创新</w:t>
          </w:r>
          <w:r>
            <w:rPr>
              <w:sz w:val="21"/>
              <w:szCs w:val="21"/>
            </w:rPr>
            <w:tab/>
          </w:r>
          <w:r>
            <w:rPr>
              <w:sz w:val="21"/>
              <w:szCs w:val="21"/>
            </w:rPr>
            <w:fldChar w:fldCharType="begin"/>
          </w:r>
          <w:r>
            <w:rPr>
              <w:sz w:val="21"/>
              <w:szCs w:val="21"/>
            </w:rPr>
            <w:instrText xml:space="preserve"> PAGEREF _Toc174141250 \h </w:instrText>
          </w:r>
          <w:r>
            <w:rPr>
              <w:sz w:val="21"/>
              <w:szCs w:val="21"/>
            </w:rPr>
            <w:fldChar w:fldCharType="separate"/>
          </w:r>
          <w:r>
            <w:rPr>
              <w:sz w:val="21"/>
              <w:szCs w:val="21"/>
            </w:rPr>
            <w:t>69</w:t>
          </w:r>
          <w:r>
            <w:rPr>
              <w:sz w:val="21"/>
              <w:szCs w:val="21"/>
            </w:rPr>
            <w:fldChar w:fldCharType="end"/>
          </w:r>
          <w:r>
            <w:rPr>
              <w:sz w:val="21"/>
              <w:szCs w:val="21"/>
            </w:rPr>
            <w:fldChar w:fldCharType="end"/>
          </w:r>
        </w:p>
        <w:p w14:paraId="7DC02081">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"_Toc174141251" </w:instrText>
          </w:r>
          <w:r>
            <w:fldChar w:fldCharType="separate"/>
          </w:r>
          <w:r>
            <w:rPr>
              <w:rStyle w:val="41"/>
              <w:sz w:val="21"/>
              <w:szCs w:val="21"/>
            </w:rPr>
            <w:t xml:space="preserve">6.5  </w:t>
          </w:r>
          <w:r>
            <w:rPr>
              <w:rStyle w:val="41"/>
              <w:rFonts w:hint="eastAsia"/>
              <w:sz w:val="21"/>
              <w:szCs w:val="21"/>
            </w:rPr>
            <w:t>综合效益</w:t>
          </w:r>
          <w:r>
            <w:rPr>
              <w:sz w:val="21"/>
              <w:szCs w:val="21"/>
            </w:rPr>
            <w:tab/>
          </w:r>
          <w:r>
            <w:rPr>
              <w:sz w:val="21"/>
              <w:szCs w:val="21"/>
            </w:rPr>
            <w:fldChar w:fldCharType="begin"/>
          </w:r>
          <w:r>
            <w:rPr>
              <w:sz w:val="21"/>
              <w:szCs w:val="21"/>
            </w:rPr>
            <w:instrText xml:space="preserve"> PAGEREF _Toc174141251 \h </w:instrText>
          </w:r>
          <w:r>
            <w:rPr>
              <w:sz w:val="21"/>
              <w:szCs w:val="21"/>
            </w:rPr>
            <w:fldChar w:fldCharType="separate"/>
          </w:r>
          <w:r>
            <w:rPr>
              <w:sz w:val="21"/>
              <w:szCs w:val="21"/>
            </w:rPr>
            <w:t>70</w:t>
          </w:r>
          <w:r>
            <w:rPr>
              <w:sz w:val="21"/>
              <w:szCs w:val="21"/>
            </w:rPr>
            <w:fldChar w:fldCharType="end"/>
          </w:r>
          <w:r>
            <w:rPr>
              <w:sz w:val="21"/>
              <w:szCs w:val="21"/>
            </w:rPr>
            <w:fldChar w:fldCharType="end"/>
          </w:r>
        </w:p>
        <w:p w14:paraId="04E8652A">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"_Toc174141252" </w:instrText>
          </w:r>
          <w:r>
            <w:fldChar w:fldCharType="separate"/>
          </w:r>
          <w:r>
            <w:rPr>
              <w:rStyle w:val="41"/>
              <w:sz w:val="21"/>
              <w:szCs w:val="21"/>
            </w:rPr>
            <w:t xml:space="preserve">7  </w:t>
          </w:r>
          <w:r>
            <w:rPr>
              <w:rStyle w:val="41"/>
              <w:rFonts w:hint="eastAsia"/>
              <w:sz w:val="21"/>
              <w:szCs w:val="21"/>
            </w:rPr>
            <w:t>绿色移交</w:t>
          </w:r>
          <w:r>
            <w:rPr>
              <w:sz w:val="21"/>
              <w:szCs w:val="21"/>
            </w:rPr>
            <w:tab/>
          </w:r>
          <w:r>
            <w:rPr>
              <w:sz w:val="21"/>
              <w:szCs w:val="21"/>
            </w:rPr>
            <w:fldChar w:fldCharType="begin"/>
          </w:r>
          <w:r>
            <w:rPr>
              <w:sz w:val="21"/>
              <w:szCs w:val="21"/>
            </w:rPr>
            <w:instrText xml:space="preserve"> PAGEREF _Toc174141252 \h </w:instrText>
          </w:r>
          <w:r>
            <w:rPr>
              <w:sz w:val="21"/>
              <w:szCs w:val="21"/>
            </w:rPr>
            <w:fldChar w:fldCharType="separate"/>
          </w:r>
          <w:r>
            <w:rPr>
              <w:sz w:val="21"/>
              <w:szCs w:val="21"/>
            </w:rPr>
            <w:t>71</w:t>
          </w:r>
          <w:r>
            <w:rPr>
              <w:sz w:val="21"/>
              <w:szCs w:val="21"/>
            </w:rPr>
            <w:fldChar w:fldCharType="end"/>
          </w:r>
          <w:r>
            <w:rPr>
              <w:sz w:val="21"/>
              <w:szCs w:val="21"/>
            </w:rPr>
            <w:fldChar w:fldCharType="end"/>
          </w:r>
        </w:p>
        <w:p w14:paraId="4FA0298E">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"_Toc174141253" </w:instrText>
          </w:r>
          <w:r>
            <w:fldChar w:fldCharType="separate"/>
          </w:r>
          <w:r>
            <w:rPr>
              <w:rStyle w:val="41"/>
              <w:sz w:val="21"/>
              <w:szCs w:val="21"/>
            </w:rPr>
            <w:t xml:space="preserve">7.1  </w:t>
          </w:r>
          <w:r>
            <w:rPr>
              <w:rStyle w:val="41"/>
              <w:rFonts w:hint="eastAsia"/>
              <w:sz w:val="21"/>
              <w:szCs w:val="21"/>
            </w:rPr>
            <w:t>综合效能</w:t>
          </w:r>
          <w:r>
            <w:rPr>
              <w:sz w:val="21"/>
              <w:szCs w:val="21"/>
            </w:rPr>
            <w:tab/>
          </w:r>
          <w:r>
            <w:rPr>
              <w:sz w:val="21"/>
              <w:szCs w:val="21"/>
            </w:rPr>
            <w:fldChar w:fldCharType="begin"/>
          </w:r>
          <w:r>
            <w:rPr>
              <w:sz w:val="21"/>
              <w:szCs w:val="21"/>
            </w:rPr>
            <w:instrText xml:space="preserve"> PAGEREF _Toc174141253 \h </w:instrText>
          </w:r>
          <w:r>
            <w:rPr>
              <w:sz w:val="21"/>
              <w:szCs w:val="21"/>
            </w:rPr>
            <w:fldChar w:fldCharType="separate"/>
          </w:r>
          <w:r>
            <w:rPr>
              <w:sz w:val="21"/>
              <w:szCs w:val="21"/>
            </w:rPr>
            <w:t>71</w:t>
          </w:r>
          <w:r>
            <w:rPr>
              <w:sz w:val="21"/>
              <w:szCs w:val="21"/>
            </w:rPr>
            <w:fldChar w:fldCharType="end"/>
          </w:r>
          <w:r>
            <w:rPr>
              <w:sz w:val="21"/>
              <w:szCs w:val="21"/>
            </w:rPr>
            <w:fldChar w:fldCharType="end"/>
          </w:r>
        </w:p>
        <w:p w14:paraId="123F990E">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"_Toc174141254" </w:instrText>
          </w:r>
          <w:r>
            <w:fldChar w:fldCharType="separate"/>
          </w:r>
          <w:r>
            <w:rPr>
              <w:rStyle w:val="41"/>
              <w:sz w:val="21"/>
              <w:szCs w:val="21"/>
            </w:rPr>
            <w:t xml:space="preserve">7.2  </w:t>
          </w:r>
          <w:r>
            <w:rPr>
              <w:rStyle w:val="41"/>
              <w:rFonts w:hint="eastAsia"/>
              <w:sz w:val="21"/>
              <w:szCs w:val="21"/>
            </w:rPr>
            <w:t>数字化移交</w:t>
          </w:r>
          <w:r>
            <w:rPr>
              <w:sz w:val="21"/>
              <w:szCs w:val="21"/>
            </w:rPr>
            <w:tab/>
          </w:r>
          <w:r>
            <w:rPr>
              <w:sz w:val="21"/>
              <w:szCs w:val="21"/>
            </w:rPr>
            <w:fldChar w:fldCharType="begin"/>
          </w:r>
          <w:r>
            <w:rPr>
              <w:sz w:val="21"/>
              <w:szCs w:val="21"/>
            </w:rPr>
            <w:instrText xml:space="preserve"> PAGEREF _Toc174141254 \h </w:instrText>
          </w:r>
          <w:r>
            <w:rPr>
              <w:sz w:val="21"/>
              <w:szCs w:val="21"/>
            </w:rPr>
            <w:fldChar w:fldCharType="separate"/>
          </w:r>
          <w:r>
            <w:rPr>
              <w:sz w:val="21"/>
              <w:szCs w:val="21"/>
            </w:rPr>
            <w:t>71</w:t>
          </w:r>
          <w:r>
            <w:rPr>
              <w:sz w:val="21"/>
              <w:szCs w:val="21"/>
            </w:rPr>
            <w:fldChar w:fldCharType="end"/>
          </w:r>
          <w:r>
            <w:rPr>
              <w:sz w:val="21"/>
              <w:szCs w:val="21"/>
            </w:rPr>
            <w:fldChar w:fldCharType="end"/>
          </w:r>
        </w:p>
        <w:p w14:paraId="036E9395">
          <w:pPr>
            <w:pStyle w:val="29"/>
            <w:tabs>
              <w:tab w:val="right" w:leader="dot" w:pos="7417"/>
            </w:tabs>
            <w:ind w:left="480"/>
            <w:jc w:val="center"/>
            <w:rPr>
              <w:rFonts w:hint="eastAsia" w:asciiTheme="minorHAnsi" w:hAnsiTheme="minorHAnsi" w:eastAsiaTheme="minorEastAsia"/>
              <w:sz w:val="21"/>
              <w:szCs w:val="21"/>
            </w:rPr>
          </w:pPr>
          <w:r>
            <w:fldChar w:fldCharType="begin"/>
          </w:r>
          <w:r>
            <w:instrText xml:space="preserve"> HYPERLINK \l "_Toc174141255" </w:instrText>
          </w:r>
          <w:r>
            <w:fldChar w:fldCharType="separate"/>
          </w:r>
          <w:r>
            <w:rPr>
              <w:rStyle w:val="41"/>
              <w:sz w:val="21"/>
              <w:szCs w:val="21"/>
            </w:rPr>
            <w:t xml:space="preserve">7.3  </w:t>
          </w:r>
          <w:r>
            <w:rPr>
              <w:rStyle w:val="41"/>
              <w:rFonts w:hint="eastAsia"/>
              <w:sz w:val="21"/>
              <w:szCs w:val="21"/>
            </w:rPr>
            <w:t>绿色效果评估</w:t>
          </w:r>
          <w:r>
            <w:rPr>
              <w:sz w:val="21"/>
              <w:szCs w:val="21"/>
            </w:rPr>
            <w:tab/>
          </w:r>
          <w:r>
            <w:rPr>
              <w:sz w:val="21"/>
              <w:szCs w:val="21"/>
            </w:rPr>
            <w:fldChar w:fldCharType="begin"/>
          </w:r>
          <w:r>
            <w:rPr>
              <w:sz w:val="21"/>
              <w:szCs w:val="21"/>
            </w:rPr>
            <w:instrText xml:space="preserve"> PAGEREF _Toc174141255 \h </w:instrText>
          </w:r>
          <w:r>
            <w:rPr>
              <w:sz w:val="21"/>
              <w:szCs w:val="21"/>
            </w:rPr>
            <w:fldChar w:fldCharType="separate"/>
          </w:r>
          <w:r>
            <w:rPr>
              <w:sz w:val="21"/>
              <w:szCs w:val="21"/>
            </w:rPr>
            <w:t>71</w:t>
          </w:r>
          <w:r>
            <w:rPr>
              <w:sz w:val="21"/>
              <w:szCs w:val="21"/>
            </w:rPr>
            <w:fldChar w:fldCharType="end"/>
          </w:r>
          <w:r>
            <w:rPr>
              <w:sz w:val="21"/>
              <w:szCs w:val="21"/>
            </w:rPr>
            <w:fldChar w:fldCharType="end"/>
          </w:r>
        </w:p>
        <w:p w14:paraId="379AA1A9">
          <w:pPr>
            <w:pStyle w:val="24"/>
            <w:tabs>
              <w:tab w:val="right" w:leader="dot" w:pos="7417"/>
            </w:tabs>
            <w:jc w:val="center"/>
            <w:rPr>
              <w:rFonts w:hint="eastAsia" w:asciiTheme="minorHAnsi" w:hAnsiTheme="minorHAnsi" w:eastAsiaTheme="minorEastAsia"/>
              <w:sz w:val="21"/>
              <w:szCs w:val="21"/>
            </w:rPr>
          </w:pPr>
          <w:r>
            <w:fldChar w:fldCharType="begin"/>
          </w:r>
          <w:r>
            <w:instrText xml:space="preserve"> HYPERLINK \l "_Toc174141256" </w:instrText>
          </w:r>
          <w:r>
            <w:fldChar w:fldCharType="separate"/>
          </w:r>
          <w:r>
            <w:rPr>
              <w:rStyle w:val="41"/>
              <w:rFonts w:hint="eastAsia"/>
              <w:sz w:val="21"/>
              <w:szCs w:val="21"/>
            </w:rPr>
            <w:t>本标准用词说明</w:t>
          </w:r>
          <w:r>
            <w:rPr>
              <w:sz w:val="21"/>
              <w:szCs w:val="21"/>
            </w:rPr>
            <w:tab/>
          </w:r>
          <w:r>
            <w:rPr>
              <w:sz w:val="21"/>
              <w:szCs w:val="21"/>
            </w:rPr>
            <w:fldChar w:fldCharType="begin"/>
          </w:r>
          <w:r>
            <w:rPr>
              <w:sz w:val="21"/>
              <w:szCs w:val="21"/>
            </w:rPr>
            <w:instrText xml:space="preserve"> PAGEREF _Toc174141256 \h </w:instrText>
          </w:r>
          <w:r>
            <w:rPr>
              <w:sz w:val="21"/>
              <w:szCs w:val="21"/>
            </w:rPr>
            <w:fldChar w:fldCharType="separate"/>
          </w:r>
          <w:r>
            <w:rPr>
              <w:sz w:val="21"/>
              <w:szCs w:val="21"/>
            </w:rPr>
            <w:t>74</w:t>
          </w:r>
          <w:r>
            <w:rPr>
              <w:sz w:val="21"/>
              <w:szCs w:val="21"/>
            </w:rPr>
            <w:fldChar w:fldCharType="end"/>
          </w:r>
          <w:r>
            <w:rPr>
              <w:sz w:val="21"/>
              <w:szCs w:val="21"/>
            </w:rPr>
            <w:fldChar w:fldCharType="end"/>
          </w:r>
        </w:p>
        <w:p w14:paraId="7C5B2A8F">
          <w:pPr>
            <w:pStyle w:val="24"/>
            <w:tabs>
              <w:tab w:val="right" w:leader="dot" w:pos="7417"/>
            </w:tabs>
            <w:jc w:val="center"/>
            <w:rPr>
              <w:rFonts w:hint="eastAsia" w:asciiTheme="minorHAnsi" w:hAnsiTheme="minorHAnsi" w:eastAsiaTheme="minorEastAsia"/>
              <w:sz w:val="21"/>
              <w:szCs w:val="21"/>
            </w:rPr>
          </w:pPr>
          <w:r>
            <w:fldChar w:fldCharType="begin"/>
          </w:r>
          <w:r>
            <w:instrText xml:space="preserve"> HYPERLINK \l "_Toc174141257" </w:instrText>
          </w:r>
          <w:r>
            <w:fldChar w:fldCharType="separate"/>
          </w:r>
          <w:r>
            <w:rPr>
              <w:rStyle w:val="41"/>
              <w:rFonts w:hint="eastAsia"/>
              <w:sz w:val="21"/>
              <w:szCs w:val="21"/>
            </w:rPr>
            <w:t>引用标准名录</w:t>
          </w:r>
          <w:r>
            <w:rPr>
              <w:sz w:val="21"/>
              <w:szCs w:val="21"/>
            </w:rPr>
            <w:tab/>
          </w:r>
          <w:r>
            <w:rPr>
              <w:sz w:val="21"/>
              <w:szCs w:val="21"/>
            </w:rPr>
            <w:fldChar w:fldCharType="begin"/>
          </w:r>
          <w:r>
            <w:rPr>
              <w:sz w:val="21"/>
              <w:szCs w:val="21"/>
            </w:rPr>
            <w:instrText xml:space="preserve"> PAGEREF _Toc174141257 \h </w:instrText>
          </w:r>
          <w:r>
            <w:rPr>
              <w:sz w:val="21"/>
              <w:szCs w:val="21"/>
            </w:rPr>
            <w:fldChar w:fldCharType="separate"/>
          </w:r>
          <w:r>
            <w:rPr>
              <w:sz w:val="21"/>
              <w:szCs w:val="21"/>
            </w:rPr>
            <w:t>75</w:t>
          </w:r>
          <w:r>
            <w:rPr>
              <w:sz w:val="21"/>
              <w:szCs w:val="21"/>
            </w:rPr>
            <w:fldChar w:fldCharType="end"/>
          </w:r>
          <w:r>
            <w:rPr>
              <w:sz w:val="21"/>
              <w:szCs w:val="21"/>
            </w:rPr>
            <w:fldChar w:fldCharType="end"/>
          </w:r>
        </w:p>
        <w:p w14:paraId="3B7E6E31">
          <w:pPr>
            <w:pStyle w:val="24"/>
            <w:tabs>
              <w:tab w:val="right" w:leader="dot" w:pos="7417"/>
            </w:tabs>
            <w:jc w:val="center"/>
            <w:rPr>
              <w:rFonts w:hint="eastAsia" w:asciiTheme="minorHAnsi" w:hAnsiTheme="minorHAnsi" w:eastAsiaTheme="minorEastAsia"/>
              <w:sz w:val="21"/>
              <w:szCs w:val="22"/>
            </w:rPr>
          </w:pPr>
          <w:r>
            <w:fldChar w:fldCharType="begin"/>
          </w:r>
          <w:r>
            <w:instrText xml:space="preserve"> HYPERLINK \l "_Toc174141258" </w:instrText>
          </w:r>
          <w:r>
            <w:fldChar w:fldCharType="separate"/>
          </w:r>
          <w:r>
            <w:rPr>
              <w:rStyle w:val="41"/>
              <w:rFonts w:hint="eastAsia"/>
              <w:sz w:val="21"/>
              <w:szCs w:val="21"/>
            </w:rPr>
            <w:t>条文说明</w:t>
          </w:r>
          <w:r>
            <w:rPr>
              <w:sz w:val="21"/>
              <w:szCs w:val="21"/>
            </w:rPr>
            <w:tab/>
          </w:r>
          <w:r>
            <w:rPr>
              <w:sz w:val="21"/>
              <w:szCs w:val="21"/>
            </w:rPr>
            <w:fldChar w:fldCharType="begin"/>
          </w:r>
          <w:r>
            <w:rPr>
              <w:sz w:val="21"/>
              <w:szCs w:val="21"/>
            </w:rPr>
            <w:instrText xml:space="preserve"> PAGEREF _Toc174141258 \h </w:instrText>
          </w:r>
          <w:r>
            <w:rPr>
              <w:sz w:val="21"/>
              <w:szCs w:val="21"/>
            </w:rPr>
            <w:fldChar w:fldCharType="separate"/>
          </w:r>
          <w:r>
            <w:rPr>
              <w:sz w:val="21"/>
              <w:szCs w:val="21"/>
            </w:rPr>
            <w:t>76</w:t>
          </w:r>
          <w:r>
            <w:rPr>
              <w:sz w:val="21"/>
              <w:szCs w:val="21"/>
            </w:rPr>
            <w:fldChar w:fldCharType="end"/>
          </w:r>
          <w:r>
            <w:rPr>
              <w:sz w:val="21"/>
              <w:szCs w:val="21"/>
            </w:rPr>
            <w:fldChar w:fldCharType="end"/>
          </w:r>
        </w:p>
        <w:p w14:paraId="687EAB10">
          <w:pPr>
            <w:spacing w:before="120" w:beforeLines="50" w:after="240" w:afterLines="100"/>
            <w:jc w:val="center"/>
            <w:outlineLvl w:val="9"/>
            <w:rPr>
              <w:rFonts w:ascii="宋体" w:hAnsi="宋体" w:eastAsia="宋体" w:cstheme="minorBidi"/>
              <w:b/>
              <w:bCs/>
              <w:color w:val="auto"/>
              <w:kern w:val="2"/>
              <w:sz w:val="24"/>
              <w:szCs w:val="24"/>
              <w:lang w:val="zh-CN"/>
            </w:rPr>
          </w:pPr>
          <w:r>
            <w:rPr>
              <w:b/>
              <w:bCs/>
              <w:lang w:val="zh-CN"/>
            </w:rPr>
            <w:fldChar w:fldCharType="end"/>
          </w:r>
        </w:p>
      </w:sdtContent>
    </w:sdt>
    <w:p w14:paraId="4DF44F20">
      <w:pPr>
        <w:rPr>
          <w:rFonts w:hint="eastAsia"/>
          <w:sz w:val="21"/>
          <w:szCs w:val="21"/>
        </w:rPr>
      </w:pPr>
      <w:r>
        <w:rPr>
          <w:rFonts w:hint="eastAsia"/>
          <w:sz w:val="21"/>
          <w:szCs w:val="21"/>
        </w:rPr>
        <w:br w:type="page"/>
      </w:r>
    </w:p>
    <w:bookmarkEnd w:id="10"/>
    <w:bookmarkEnd w:id="11"/>
    <w:p w14:paraId="2EA0F003">
      <w:pPr>
        <w:pStyle w:val="117"/>
        <w:rPr>
          <w:rFonts w:ascii="Times New Roman"/>
          <w:b/>
          <w:bCs/>
        </w:rPr>
      </w:pPr>
      <w:bookmarkStart w:id="12" w:name="_Toc22136"/>
      <w:bookmarkStart w:id="13" w:name="_Toc12288"/>
      <w:bookmarkStart w:id="14" w:name="_Toc4624"/>
      <w:bookmarkStart w:id="15" w:name="_Toc16473"/>
      <w:bookmarkStart w:id="16" w:name="_Toc31685"/>
      <w:bookmarkStart w:id="17" w:name="_Toc28638"/>
      <w:bookmarkStart w:id="18" w:name="_Toc10171"/>
      <w:bookmarkStart w:id="19" w:name="_Toc32560"/>
      <w:bookmarkStart w:id="20" w:name="_Toc17430"/>
      <w:bookmarkStart w:id="21" w:name="_Toc27340"/>
      <w:bookmarkStart w:id="22" w:name="_Toc6504"/>
      <w:bookmarkStart w:id="23" w:name="_Toc13530"/>
      <w:bookmarkStart w:id="24" w:name="_Toc24893"/>
      <w:bookmarkStart w:id="25" w:name="_Toc14794"/>
      <w:bookmarkStart w:id="26" w:name="_Toc22832"/>
      <w:bookmarkStart w:id="27" w:name="_Toc26914"/>
      <w:bookmarkStart w:id="28" w:name="_Toc14455"/>
      <w:bookmarkStart w:id="29" w:name="OLE_LINK1"/>
      <w:r>
        <w:rPr>
          <w:rFonts w:hint="eastAsia" w:ascii="Times New Roman"/>
          <w:b/>
          <w:bCs/>
        </w:rPr>
        <w:t>前  言</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7ED9B20">
      <w:pPr>
        <w:ind w:firstLine="420" w:firstLineChars="200"/>
        <w:rPr>
          <w:rFonts w:hint="eastAsia" w:ascii="宋体" w:hAnsi="宋体" w:eastAsia="宋体"/>
          <w:sz w:val="21"/>
          <w:szCs w:val="21"/>
        </w:rPr>
      </w:pPr>
      <w:r>
        <w:rPr>
          <w:rFonts w:hint="eastAsia" w:ascii="宋体" w:hAnsi="宋体" w:eastAsia="宋体"/>
          <w:sz w:val="21"/>
          <w:szCs w:val="21"/>
        </w:rPr>
        <w:t>本文件按照GB/T 1.1—2020《标准化工作导则 第1部分：标准化文件的结构和起草规则》的规定起草。</w:t>
      </w:r>
    </w:p>
    <w:p w14:paraId="01EAEFD6">
      <w:pPr>
        <w:ind w:firstLine="420" w:firstLineChars="200"/>
        <w:rPr>
          <w:rFonts w:hint="eastAsia" w:ascii="宋体" w:hAnsi="宋体" w:eastAsia="宋体"/>
          <w:sz w:val="21"/>
          <w:szCs w:val="21"/>
        </w:rPr>
      </w:pPr>
      <w:r>
        <w:rPr>
          <w:rFonts w:hint="eastAsia" w:ascii="宋体" w:hAnsi="宋体" w:eastAsia="宋体"/>
          <w:sz w:val="21"/>
          <w:szCs w:val="21"/>
          <w:lang w:eastAsia="zh-CN"/>
        </w:rPr>
        <w:t>本文件</w:t>
      </w:r>
      <w:r>
        <w:rPr>
          <w:rFonts w:hint="eastAsia" w:ascii="宋体" w:hAnsi="宋体" w:eastAsia="宋体"/>
          <w:sz w:val="21"/>
          <w:szCs w:val="21"/>
        </w:rPr>
        <w:t>主要技术内容包括电力建设工程绿色策划、绿色设计、绿色施工和绿色移交工作的评价内容和方法。</w:t>
      </w:r>
    </w:p>
    <w:p w14:paraId="2A164A13">
      <w:pPr>
        <w:ind w:firstLine="420" w:firstLineChars="200"/>
        <w:rPr>
          <w:rFonts w:hint="eastAsia" w:ascii="宋体" w:hAnsi="宋体" w:eastAsia="宋体"/>
          <w:sz w:val="21"/>
          <w:szCs w:val="21"/>
          <w:lang w:eastAsia="zh-CN"/>
        </w:rPr>
      </w:pPr>
      <w:r>
        <w:rPr>
          <w:rFonts w:hint="eastAsia" w:ascii="宋体" w:hAnsi="宋体" w:eastAsia="宋体"/>
          <w:sz w:val="21"/>
          <w:szCs w:val="21"/>
          <w:lang w:eastAsia="zh-CN"/>
        </w:rPr>
        <w:t>本文件根据《关于印发 2024 年第二批中国电力建设企业协会团体标准制定计划的通知》（中电建协〔2024〕302 号）要求制定。</w:t>
      </w:r>
    </w:p>
    <w:p w14:paraId="09D4D28A">
      <w:pPr>
        <w:ind w:firstLine="420" w:firstLineChars="200"/>
        <w:rPr>
          <w:rFonts w:hint="eastAsia" w:ascii="宋体" w:hAnsi="宋体" w:eastAsia="宋体"/>
          <w:sz w:val="21"/>
          <w:szCs w:val="21"/>
          <w:lang w:eastAsia="zh-CN"/>
        </w:rPr>
      </w:pPr>
      <w:r>
        <w:rPr>
          <w:rFonts w:hint="eastAsia" w:ascii="宋体" w:hAnsi="宋体" w:eastAsia="宋体"/>
          <w:sz w:val="21"/>
          <w:szCs w:val="21"/>
          <w:lang w:eastAsia="zh-CN"/>
        </w:rPr>
        <w:t>请注意本文件的某些内容可能涉及专利，本文件的发布机构不承担识别这些专利的责任。</w:t>
      </w:r>
    </w:p>
    <w:p w14:paraId="5E601729">
      <w:pPr>
        <w:ind w:firstLine="420" w:firstLineChars="200"/>
        <w:rPr>
          <w:rFonts w:hint="eastAsia" w:ascii="宋体" w:hAnsi="宋体" w:eastAsia="宋体"/>
          <w:sz w:val="21"/>
          <w:szCs w:val="21"/>
          <w:lang w:eastAsia="zh-CN"/>
        </w:rPr>
      </w:pPr>
      <w:r>
        <w:rPr>
          <w:rFonts w:hint="eastAsia" w:ascii="宋体" w:hAnsi="宋体" w:eastAsia="宋体"/>
          <w:sz w:val="21"/>
          <w:szCs w:val="21"/>
          <w:lang w:eastAsia="zh-CN"/>
        </w:rPr>
        <w:t>本文件由中国电力建设企业协会提出并归口。</w:t>
      </w:r>
    </w:p>
    <w:p w14:paraId="5C406C0D">
      <w:pPr>
        <w:ind w:firstLine="420" w:firstLineChars="200"/>
        <w:rPr>
          <w:rFonts w:hint="eastAsia" w:ascii="宋体" w:hAnsi="宋体" w:eastAsia="宋体"/>
          <w:sz w:val="21"/>
          <w:szCs w:val="21"/>
        </w:rPr>
      </w:pPr>
      <w:r>
        <w:rPr>
          <w:rFonts w:hint="eastAsia" w:ascii="宋体" w:hAnsi="宋体" w:eastAsia="宋体"/>
          <w:sz w:val="21"/>
          <w:szCs w:val="21"/>
          <w:lang w:eastAsia="zh-CN"/>
        </w:rPr>
        <w:t>本文件</w:t>
      </w:r>
      <w:r>
        <w:rPr>
          <w:rFonts w:hint="eastAsia" w:ascii="宋体" w:hAnsi="宋体" w:eastAsia="宋体"/>
          <w:sz w:val="21"/>
          <w:szCs w:val="21"/>
        </w:rPr>
        <w:t>主编单位：</w:t>
      </w:r>
    </w:p>
    <w:p w14:paraId="2E7E07BD">
      <w:pPr>
        <w:ind w:firstLine="420" w:firstLineChars="200"/>
        <w:rPr>
          <w:rFonts w:hint="eastAsia" w:ascii="宋体" w:hAnsi="宋体" w:eastAsia="宋体"/>
          <w:sz w:val="21"/>
          <w:szCs w:val="21"/>
        </w:rPr>
      </w:pPr>
      <w:r>
        <w:rPr>
          <w:rFonts w:hint="eastAsia" w:ascii="宋体" w:hAnsi="宋体" w:eastAsia="宋体"/>
          <w:sz w:val="21"/>
          <w:szCs w:val="21"/>
          <w:lang w:eastAsia="zh-CN"/>
        </w:rPr>
        <w:t>本文件</w:t>
      </w:r>
      <w:r>
        <w:rPr>
          <w:rFonts w:hint="eastAsia" w:ascii="宋体" w:hAnsi="宋体" w:eastAsia="宋体"/>
          <w:sz w:val="21"/>
          <w:szCs w:val="21"/>
        </w:rPr>
        <w:t>参编单位：</w:t>
      </w:r>
    </w:p>
    <w:p w14:paraId="33FBAF68">
      <w:pPr>
        <w:ind w:firstLine="420" w:firstLineChars="200"/>
        <w:rPr>
          <w:rFonts w:hint="eastAsia" w:ascii="宋体" w:hAnsi="宋体" w:eastAsia="宋体"/>
          <w:sz w:val="21"/>
          <w:szCs w:val="21"/>
        </w:rPr>
      </w:pPr>
      <w:r>
        <w:rPr>
          <w:rFonts w:hint="eastAsia" w:ascii="宋体" w:hAnsi="宋体" w:eastAsia="宋体"/>
          <w:sz w:val="21"/>
          <w:szCs w:val="21"/>
          <w:lang w:eastAsia="zh-CN"/>
        </w:rPr>
        <w:t>本文件</w:t>
      </w:r>
      <w:r>
        <w:rPr>
          <w:rFonts w:hint="eastAsia" w:ascii="宋体" w:hAnsi="宋体" w:eastAsia="宋体"/>
          <w:sz w:val="21"/>
          <w:szCs w:val="21"/>
        </w:rPr>
        <w:t>主要起草</w:t>
      </w:r>
      <w:r>
        <w:rPr>
          <w:rFonts w:hint="eastAsia" w:ascii="宋体" w:hAnsi="宋体" w:eastAsia="宋体"/>
          <w:sz w:val="21"/>
          <w:szCs w:val="21"/>
          <w:lang w:eastAsia="zh-CN"/>
        </w:rPr>
        <w:t>人员</w:t>
      </w:r>
      <w:r>
        <w:rPr>
          <w:rFonts w:hint="eastAsia" w:ascii="宋体" w:hAnsi="宋体" w:eastAsia="宋体"/>
          <w:sz w:val="21"/>
          <w:szCs w:val="21"/>
        </w:rPr>
        <w:t>：</w:t>
      </w:r>
    </w:p>
    <w:p w14:paraId="59850923">
      <w:pPr>
        <w:ind w:firstLine="420" w:firstLineChars="200"/>
        <w:rPr>
          <w:rFonts w:hint="eastAsia" w:ascii="宋体" w:hAnsi="宋体" w:eastAsia="宋体"/>
          <w:sz w:val="21"/>
          <w:szCs w:val="21"/>
        </w:rPr>
      </w:pPr>
      <w:r>
        <w:rPr>
          <w:rFonts w:hint="eastAsia" w:ascii="宋体" w:hAnsi="宋体" w:eastAsia="宋体"/>
          <w:sz w:val="21"/>
          <w:szCs w:val="21"/>
          <w:lang w:eastAsia="zh-CN"/>
        </w:rPr>
        <w:t>本文件</w:t>
      </w:r>
      <w:r>
        <w:rPr>
          <w:rFonts w:hint="eastAsia" w:ascii="宋体" w:hAnsi="宋体" w:eastAsia="宋体"/>
          <w:sz w:val="21"/>
          <w:szCs w:val="21"/>
        </w:rPr>
        <w:t>主要审查</w:t>
      </w:r>
      <w:r>
        <w:rPr>
          <w:rFonts w:hint="eastAsia" w:ascii="宋体" w:hAnsi="宋体" w:eastAsia="宋体"/>
          <w:sz w:val="21"/>
          <w:szCs w:val="21"/>
          <w:lang w:eastAsia="zh-CN"/>
        </w:rPr>
        <w:t>人员</w:t>
      </w:r>
      <w:r>
        <w:rPr>
          <w:rFonts w:hint="eastAsia" w:ascii="宋体" w:hAnsi="宋体" w:eastAsia="宋体"/>
          <w:sz w:val="21"/>
          <w:szCs w:val="21"/>
        </w:rPr>
        <w:t>：</w:t>
      </w:r>
    </w:p>
    <w:p w14:paraId="548D0D6C">
      <w:pPr>
        <w:ind w:firstLine="420" w:firstLineChars="200"/>
        <w:rPr>
          <w:rFonts w:hint="eastAsia" w:ascii="宋体" w:hAnsi="宋体" w:eastAsia="宋体"/>
          <w:sz w:val="21"/>
          <w:szCs w:val="21"/>
        </w:rPr>
      </w:pPr>
    </w:p>
    <w:p w14:paraId="3FDE10A8">
      <w:pPr>
        <w:ind w:firstLine="420" w:firstLineChars="200"/>
        <w:rPr>
          <w:rFonts w:hint="eastAsia" w:ascii="宋体" w:hAnsi="宋体" w:eastAsia="宋体"/>
          <w:sz w:val="21"/>
          <w:szCs w:val="21"/>
        </w:rPr>
      </w:pPr>
      <w:r>
        <w:rPr>
          <w:rFonts w:hint="eastAsia" w:ascii="宋体" w:hAnsi="宋体" w:eastAsia="宋体"/>
          <w:sz w:val="21"/>
          <w:szCs w:val="21"/>
          <w:lang w:eastAsia="zh-CN"/>
        </w:rPr>
        <w:t>本文件</w:t>
      </w:r>
      <w:r>
        <w:rPr>
          <w:rFonts w:hint="eastAsia" w:ascii="宋体" w:hAnsi="宋体" w:eastAsia="宋体"/>
          <w:sz w:val="21"/>
          <w:szCs w:val="21"/>
        </w:rPr>
        <w:t>为首次发布。</w:t>
      </w:r>
    </w:p>
    <w:p w14:paraId="69B0627F">
      <w:pPr>
        <w:ind w:firstLine="420" w:firstLineChars="200"/>
        <w:rPr>
          <w:rFonts w:hint="eastAsia" w:ascii="宋体" w:hAnsi="宋体" w:eastAsia="宋体"/>
          <w:sz w:val="21"/>
          <w:szCs w:val="21"/>
        </w:rPr>
      </w:pPr>
      <w:r>
        <w:rPr>
          <w:rFonts w:hint="eastAsia" w:ascii="宋体" w:hAnsi="宋体" w:eastAsia="宋体"/>
          <w:sz w:val="21"/>
          <w:szCs w:val="21"/>
          <w:lang w:eastAsia="zh-CN"/>
        </w:rPr>
        <w:t>本文件</w:t>
      </w:r>
      <w:r>
        <w:rPr>
          <w:rFonts w:hint="eastAsia" w:ascii="宋体" w:hAnsi="宋体" w:eastAsia="宋体"/>
          <w:sz w:val="21"/>
          <w:szCs w:val="21"/>
        </w:rPr>
        <w:t>在执行过程中的意见或建议反馈至中国电力建设企业协会（地址：北京市丰台区西四环南路35号中都科技大厦3层，100071）</w:t>
      </w:r>
    </w:p>
    <w:bookmarkEnd w:id="29"/>
    <w:p w14:paraId="19CE7B9D">
      <w:pPr>
        <w:rPr>
          <w:rFonts w:hint="eastAsia"/>
        </w:rPr>
      </w:pPr>
    </w:p>
    <w:p w14:paraId="2168F9B3">
      <w:pPr>
        <w:ind w:firstLine="420" w:firstLineChars="200"/>
        <w:rPr>
          <w:rFonts w:hint="eastAsia"/>
          <w:sz w:val="21"/>
          <w:szCs w:val="21"/>
        </w:rPr>
      </w:pPr>
    </w:p>
    <w:p w14:paraId="533FFC54">
      <w:pPr>
        <w:ind w:firstLine="452" w:firstLineChars="200"/>
        <w:jc w:val="center"/>
        <w:rPr>
          <w:rFonts w:hint="eastAsia" w:cs="Consolas"/>
          <w:color w:val="383A42"/>
          <w:spacing w:val="8"/>
          <w:sz w:val="21"/>
          <w:szCs w:val="21"/>
        </w:rPr>
      </w:pPr>
    </w:p>
    <w:p w14:paraId="58BFF41D">
      <w:pPr>
        <w:ind w:firstLine="452" w:firstLineChars="200"/>
        <w:jc w:val="center"/>
        <w:rPr>
          <w:rFonts w:hint="eastAsia" w:cs="Consolas"/>
          <w:color w:val="383A42"/>
          <w:spacing w:val="8"/>
          <w:sz w:val="21"/>
          <w:szCs w:val="21"/>
        </w:rPr>
      </w:pPr>
    </w:p>
    <w:p w14:paraId="5704CEF5">
      <w:pPr>
        <w:ind w:firstLine="452" w:firstLineChars="200"/>
        <w:jc w:val="center"/>
        <w:rPr>
          <w:rFonts w:hint="eastAsia" w:cs="Consolas"/>
          <w:color w:val="383A42"/>
          <w:spacing w:val="8"/>
          <w:sz w:val="21"/>
          <w:szCs w:val="21"/>
        </w:rPr>
      </w:pPr>
    </w:p>
    <w:p w14:paraId="6E845F59">
      <w:pPr>
        <w:ind w:firstLine="452" w:firstLineChars="200"/>
        <w:jc w:val="center"/>
        <w:rPr>
          <w:rFonts w:hint="eastAsia" w:cs="Consolas"/>
          <w:color w:val="383A42"/>
          <w:spacing w:val="8"/>
          <w:sz w:val="21"/>
          <w:szCs w:val="21"/>
        </w:rPr>
      </w:pPr>
    </w:p>
    <w:p w14:paraId="674ACB12">
      <w:pPr>
        <w:ind w:firstLine="452" w:firstLineChars="200"/>
        <w:jc w:val="center"/>
        <w:rPr>
          <w:rFonts w:hint="eastAsia" w:cs="Consolas"/>
          <w:color w:val="383A42"/>
          <w:spacing w:val="8"/>
          <w:sz w:val="21"/>
          <w:szCs w:val="21"/>
        </w:rPr>
      </w:pPr>
    </w:p>
    <w:p w14:paraId="3B5D678D">
      <w:pPr>
        <w:ind w:firstLine="452" w:firstLineChars="200"/>
        <w:jc w:val="center"/>
        <w:rPr>
          <w:rFonts w:hint="eastAsia" w:cs="Consolas"/>
          <w:color w:val="383A42"/>
          <w:spacing w:val="8"/>
          <w:sz w:val="21"/>
          <w:szCs w:val="21"/>
        </w:rPr>
      </w:pPr>
    </w:p>
    <w:p w14:paraId="0EE2E4B7">
      <w:pPr>
        <w:spacing w:before="120" w:beforeLines="50" w:after="240" w:afterLines="100"/>
        <w:jc w:val="both"/>
        <w:outlineLvl w:val="0"/>
        <w:rPr>
          <w:rFonts w:hint="eastAsia" w:ascii="黑体" w:hAnsi="黑体" w:eastAsia="黑体" w:cs="黑体"/>
          <w:sz w:val="21"/>
          <w:szCs w:val="21"/>
          <w:lang w:val="en-US" w:eastAsia="zh-CN"/>
        </w:rPr>
      </w:pPr>
      <w:bookmarkStart w:id="30" w:name="_Toc174141228"/>
      <w:bookmarkStart w:id="31" w:name="_Toc21007"/>
      <w:bookmarkStart w:id="32" w:name="_Toc23908"/>
      <w:r>
        <w:rPr>
          <w:rFonts w:hint="eastAsia" w:ascii="黑体" w:hAnsi="黑体" w:eastAsia="黑体" w:cs="黑体"/>
          <w:sz w:val="21"/>
          <w:szCs w:val="21"/>
        </w:rPr>
        <w:t xml:space="preserve">1 </w:t>
      </w:r>
      <w:bookmarkEnd w:id="30"/>
      <w:r>
        <w:rPr>
          <w:rFonts w:hint="eastAsia" w:ascii="黑体" w:hAnsi="黑体" w:eastAsia="黑体" w:cs="黑体"/>
          <w:sz w:val="21"/>
          <w:szCs w:val="21"/>
          <w:lang w:val="en-US" w:eastAsia="zh-CN"/>
        </w:rPr>
        <w:t xml:space="preserve"> 范围</w:t>
      </w:r>
      <w:bookmarkEnd w:id="31"/>
      <w:bookmarkEnd w:id="32"/>
    </w:p>
    <w:p w14:paraId="3C508A3F">
      <w:pPr>
        <w:rPr>
          <w:rFonts w:hint="eastAsia"/>
          <w:sz w:val="21"/>
          <w:szCs w:val="21"/>
        </w:rPr>
      </w:pPr>
      <w:r>
        <w:rPr>
          <w:rFonts w:hint="eastAsia"/>
          <w:sz w:val="21"/>
          <w:szCs w:val="21"/>
          <w:lang w:val="en-US" w:eastAsia="zh-CN"/>
        </w:rPr>
        <w:t xml:space="preserve">    本文件适用于</w:t>
      </w:r>
      <w:r>
        <w:rPr>
          <w:rFonts w:hint="eastAsia"/>
          <w:sz w:val="21"/>
          <w:szCs w:val="21"/>
        </w:rPr>
        <w:t>火力发电（含核电常规岛）、水力发</w:t>
      </w:r>
      <w:r>
        <w:rPr>
          <w:sz w:val="21"/>
          <w:szCs w:val="21"/>
        </w:rPr>
        <w:t>电</w:t>
      </w:r>
      <w:r>
        <w:rPr>
          <w:rFonts w:hint="eastAsia"/>
          <w:sz w:val="21"/>
          <w:szCs w:val="21"/>
        </w:rPr>
        <w:t>（含抽水蓄能）、风力发电、太阳</w:t>
      </w:r>
      <w:r>
        <w:rPr>
          <w:sz w:val="21"/>
          <w:szCs w:val="21"/>
        </w:rPr>
        <w:t>能</w:t>
      </w:r>
      <w:r>
        <w:rPr>
          <w:rFonts w:hint="eastAsia"/>
          <w:sz w:val="21"/>
          <w:szCs w:val="21"/>
        </w:rPr>
        <w:t>发电、输变电工</w:t>
      </w:r>
      <w:r>
        <w:rPr>
          <w:sz w:val="21"/>
          <w:szCs w:val="21"/>
        </w:rPr>
        <w:t>程</w:t>
      </w:r>
      <w:r>
        <w:rPr>
          <w:rFonts w:hint="eastAsia"/>
          <w:sz w:val="21"/>
          <w:szCs w:val="21"/>
        </w:rPr>
        <w:t>和电</w:t>
      </w:r>
      <w:r>
        <w:rPr>
          <w:sz w:val="21"/>
          <w:szCs w:val="21"/>
        </w:rPr>
        <w:t>力</w:t>
      </w:r>
      <w:r>
        <w:rPr>
          <w:rFonts w:hint="eastAsia"/>
          <w:sz w:val="21"/>
          <w:szCs w:val="21"/>
        </w:rPr>
        <w:t>储能工</w:t>
      </w:r>
      <w:r>
        <w:rPr>
          <w:sz w:val="21"/>
          <w:szCs w:val="21"/>
        </w:rPr>
        <w:t>程</w:t>
      </w:r>
      <w:r>
        <w:rPr>
          <w:rFonts w:hint="eastAsia"/>
          <w:sz w:val="21"/>
          <w:szCs w:val="21"/>
        </w:rPr>
        <w:t>等电力建设工程。</w:t>
      </w:r>
    </w:p>
    <w:p w14:paraId="78D458A4">
      <w:pPr>
        <w:ind w:firstLine="420"/>
        <w:jc w:val="left"/>
        <w:rPr>
          <w:rFonts w:hint="eastAsia"/>
          <w:sz w:val="21"/>
          <w:szCs w:val="21"/>
        </w:rPr>
      </w:pPr>
      <w:r>
        <w:rPr>
          <w:rFonts w:hint="eastAsia"/>
          <w:sz w:val="21"/>
          <w:szCs w:val="21"/>
        </w:rPr>
        <w:t>电</w:t>
      </w:r>
      <w:r>
        <w:rPr>
          <w:sz w:val="21"/>
          <w:szCs w:val="21"/>
        </w:rPr>
        <w:t>力建设</w:t>
      </w:r>
      <w:r>
        <w:rPr>
          <w:rFonts w:hint="eastAsia"/>
          <w:sz w:val="21"/>
          <w:szCs w:val="21"/>
        </w:rPr>
        <w:t>工</w:t>
      </w:r>
      <w:r>
        <w:rPr>
          <w:sz w:val="21"/>
          <w:szCs w:val="21"/>
        </w:rPr>
        <w:t>程绿色建造评价</w:t>
      </w:r>
      <w:r>
        <w:rPr>
          <w:rFonts w:hint="eastAsia"/>
          <w:sz w:val="21"/>
          <w:szCs w:val="21"/>
        </w:rPr>
        <w:t>工</w:t>
      </w:r>
      <w:r>
        <w:rPr>
          <w:sz w:val="21"/>
          <w:szCs w:val="21"/>
        </w:rPr>
        <w:t>作除应符合本</w:t>
      </w:r>
      <w:r>
        <w:rPr>
          <w:rFonts w:hint="eastAsia"/>
          <w:sz w:val="21"/>
          <w:szCs w:val="21"/>
        </w:rPr>
        <w:t>规范</w:t>
      </w:r>
      <w:r>
        <w:rPr>
          <w:sz w:val="21"/>
          <w:szCs w:val="21"/>
        </w:rPr>
        <w:t>外，尚应符合国家现行有关</w:t>
      </w:r>
      <w:r>
        <w:rPr>
          <w:rFonts w:hint="eastAsia"/>
          <w:sz w:val="21"/>
          <w:szCs w:val="21"/>
        </w:rPr>
        <w:t>法律、法规和标准的规定。</w:t>
      </w:r>
    </w:p>
    <w:p w14:paraId="1D28D093">
      <w:pPr>
        <w:ind w:firstLine="420"/>
        <w:jc w:val="left"/>
        <w:rPr>
          <w:rFonts w:hint="eastAsia"/>
          <w:sz w:val="21"/>
          <w:szCs w:val="21"/>
        </w:rPr>
      </w:pPr>
    </w:p>
    <w:p w14:paraId="6755381F">
      <w:pPr>
        <w:outlineLvl w:val="0"/>
        <w:rPr>
          <w:rFonts w:hint="eastAsia" w:ascii="黑体" w:hAnsi="黑体" w:eastAsia="黑体" w:cs="黑体"/>
          <w:sz w:val="21"/>
          <w:szCs w:val="21"/>
          <w:lang w:val="en-US" w:eastAsia="zh-CN"/>
        </w:rPr>
      </w:pPr>
      <w:bookmarkStart w:id="33" w:name="_Toc23170"/>
      <w:bookmarkStart w:id="34" w:name="_Toc13345"/>
      <w:r>
        <w:rPr>
          <w:rFonts w:hint="eastAsia" w:ascii="黑体" w:hAnsi="黑体" w:eastAsia="黑体" w:cs="黑体"/>
          <w:sz w:val="21"/>
          <w:szCs w:val="21"/>
          <w:lang w:val="en-US" w:eastAsia="zh-CN"/>
        </w:rPr>
        <w:t>2  规范性引用文件</w:t>
      </w:r>
      <w:bookmarkEnd w:id="33"/>
      <w:bookmarkEnd w:id="34"/>
    </w:p>
    <w:p w14:paraId="67EC452C">
      <w:pPr>
        <w:rPr>
          <w:rFonts w:hint="eastAsia" w:ascii="黑体" w:hAnsi="黑体" w:eastAsia="黑体" w:cs="黑体"/>
          <w:sz w:val="21"/>
          <w:szCs w:val="21"/>
          <w:lang w:val="en-US" w:eastAsia="zh-CN"/>
        </w:rPr>
      </w:pPr>
    </w:p>
    <w:p w14:paraId="2F718397">
      <w:pPr>
        <w:ind w:firstLine="420" w:firstLineChars="200"/>
        <w:rPr>
          <w:rFonts w:hint="eastAsia" w:eastAsia="宋体"/>
          <w:sz w:val="21"/>
          <w:szCs w:val="21"/>
          <w:lang w:eastAsia="zh-CN"/>
        </w:rPr>
      </w:pPr>
      <w:r>
        <w:rPr>
          <w:rFonts w:hint="eastAsia"/>
          <w:sz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hint="eastAsia"/>
          <w:sz w:val="21"/>
          <w:szCs w:val="21"/>
          <w:lang w:eastAsia="zh-CN"/>
        </w:rPr>
        <w:t>。</w:t>
      </w:r>
    </w:p>
    <w:p w14:paraId="33FAFE2D">
      <w:pPr>
        <w:ind w:firstLine="420" w:firstLineChars="200"/>
        <w:rPr>
          <w:rFonts w:hint="eastAsia"/>
          <w:sz w:val="21"/>
          <w:szCs w:val="21"/>
        </w:rPr>
      </w:pPr>
      <w:r>
        <w:rPr>
          <w:sz w:val="21"/>
          <w:szCs w:val="21"/>
        </w:rPr>
        <w:t>GB 8978</w:t>
      </w:r>
      <w:r>
        <w:rPr>
          <w:rFonts w:hint="eastAsia"/>
          <w:sz w:val="21"/>
          <w:szCs w:val="21"/>
        </w:rPr>
        <w:t>《污水综合排放标准》</w:t>
      </w:r>
    </w:p>
    <w:p w14:paraId="7A60E1D7">
      <w:pPr>
        <w:ind w:firstLine="420" w:firstLineChars="200"/>
        <w:rPr>
          <w:rFonts w:hint="eastAsia"/>
          <w:sz w:val="21"/>
          <w:szCs w:val="21"/>
        </w:rPr>
      </w:pPr>
      <w:r>
        <w:rPr>
          <w:sz w:val="21"/>
          <w:szCs w:val="21"/>
        </w:rPr>
        <w:t>GB 16297</w:t>
      </w:r>
      <w:r>
        <w:rPr>
          <w:rFonts w:hint="eastAsia"/>
          <w:sz w:val="21"/>
          <w:szCs w:val="21"/>
        </w:rPr>
        <w:t>《大气污染物综合排放标准》</w:t>
      </w:r>
    </w:p>
    <w:p w14:paraId="1D1953A6">
      <w:pPr>
        <w:ind w:firstLine="420" w:firstLineChars="200"/>
        <w:rPr>
          <w:rFonts w:hint="eastAsia"/>
          <w:sz w:val="21"/>
          <w:szCs w:val="21"/>
        </w:rPr>
      </w:pPr>
      <w:r>
        <w:rPr>
          <w:sz w:val="21"/>
          <w:szCs w:val="21"/>
        </w:rPr>
        <w:t>GB 12523</w:t>
      </w:r>
      <w:r>
        <w:rPr>
          <w:rFonts w:hint="eastAsia"/>
          <w:sz w:val="21"/>
          <w:szCs w:val="21"/>
        </w:rPr>
        <w:t>《建筑施工场界环境噪声排放标准》</w:t>
      </w:r>
    </w:p>
    <w:p w14:paraId="27BCB803">
      <w:pPr>
        <w:ind w:firstLine="420" w:firstLineChars="200"/>
        <w:rPr>
          <w:rFonts w:hint="eastAsia"/>
          <w:sz w:val="21"/>
          <w:szCs w:val="21"/>
        </w:rPr>
      </w:pPr>
      <w:r>
        <w:rPr>
          <w:rFonts w:hint="eastAsia"/>
          <w:sz w:val="21"/>
          <w:szCs w:val="21"/>
        </w:rPr>
        <w:t>《住房和城乡建设部关于推进建筑垃圾减量化的指导意见》（建质〔</w:t>
      </w:r>
      <w:r>
        <w:rPr>
          <w:sz w:val="21"/>
          <w:szCs w:val="21"/>
        </w:rPr>
        <w:t>2020</w:t>
      </w:r>
      <w:r>
        <w:rPr>
          <w:rFonts w:hint="eastAsia"/>
          <w:sz w:val="21"/>
          <w:szCs w:val="21"/>
        </w:rPr>
        <w:t>〕</w:t>
      </w:r>
      <w:r>
        <w:rPr>
          <w:sz w:val="21"/>
          <w:szCs w:val="21"/>
        </w:rPr>
        <w:t xml:space="preserve">46 </w:t>
      </w:r>
      <w:r>
        <w:rPr>
          <w:rFonts w:hint="eastAsia"/>
          <w:sz w:val="21"/>
          <w:szCs w:val="21"/>
        </w:rPr>
        <w:t>号）</w:t>
      </w:r>
    </w:p>
    <w:p w14:paraId="41F62F4A">
      <w:pPr>
        <w:ind w:firstLine="420" w:firstLineChars="200"/>
        <w:rPr>
          <w:rFonts w:hint="eastAsia"/>
          <w:sz w:val="21"/>
          <w:szCs w:val="21"/>
        </w:rPr>
      </w:pPr>
      <w:r>
        <w:rPr>
          <w:rFonts w:hint="eastAsia"/>
          <w:sz w:val="21"/>
          <w:szCs w:val="21"/>
        </w:rPr>
        <w:t>《建设部推广应用和限制禁止使用技术公告》</w:t>
      </w:r>
      <w:r>
        <w:rPr>
          <w:sz w:val="21"/>
          <w:szCs w:val="21"/>
        </w:rPr>
        <w:t>(</w:t>
      </w:r>
      <w:r>
        <w:rPr>
          <w:rFonts w:hint="eastAsia"/>
          <w:sz w:val="21"/>
          <w:szCs w:val="21"/>
        </w:rPr>
        <w:t>建设部第</w:t>
      </w:r>
      <w:r>
        <w:rPr>
          <w:sz w:val="21"/>
          <w:szCs w:val="21"/>
        </w:rPr>
        <w:t>218</w:t>
      </w:r>
      <w:r>
        <w:rPr>
          <w:rFonts w:hint="eastAsia"/>
          <w:sz w:val="21"/>
          <w:szCs w:val="21"/>
        </w:rPr>
        <w:t>号公告</w:t>
      </w:r>
      <w:r>
        <w:rPr>
          <w:sz w:val="21"/>
          <w:szCs w:val="21"/>
        </w:rPr>
        <w:t>)</w:t>
      </w:r>
    </w:p>
    <w:p w14:paraId="41E75758">
      <w:pPr>
        <w:ind w:firstLine="420" w:firstLineChars="200"/>
        <w:rPr>
          <w:rFonts w:hint="eastAsia"/>
          <w:sz w:val="21"/>
          <w:szCs w:val="21"/>
        </w:rPr>
      </w:pPr>
      <w:r>
        <w:rPr>
          <w:rFonts w:hint="eastAsia"/>
          <w:sz w:val="21"/>
          <w:szCs w:val="21"/>
        </w:rPr>
        <w:t>《危险化学品安全管理条例》国务院第</w:t>
      </w:r>
      <w:r>
        <w:rPr>
          <w:sz w:val="21"/>
          <w:szCs w:val="21"/>
        </w:rPr>
        <w:t>591号</w:t>
      </w:r>
      <w:r>
        <w:rPr>
          <w:rFonts w:hint="eastAsia"/>
          <w:sz w:val="21"/>
          <w:szCs w:val="21"/>
        </w:rPr>
        <w:t>令</w:t>
      </w:r>
    </w:p>
    <w:p w14:paraId="792B420B">
      <w:pPr>
        <w:rPr>
          <w:rFonts w:hint="eastAsia" w:ascii="黑体" w:hAnsi="黑体" w:eastAsia="黑体" w:cs="黑体"/>
          <w:sz w:val="21"/>
          <w:szCs w:val="21"/>
          <w:lang w:val="en-US" w:eastAsia="zh-CN"/>
        </w:rPr>
      </w:pPr>
    </w:p>
    <w:p w14:paraId="2F0DD494">
      <w:pPr>
        <w:outlineLvl w:val="0"/>
        <w:rPr>
          <w:rFonts w:hint="default" w:ascii="黑体" w:hAnsi="黑体" w:eastAsia="黑体" w:cs="黑体"/>
          <w:sz w:val="21"/>
          <w:szCs w:val="21"/>
          <w:lang w:val="en-US" w:eastAsia="zh-CN"/>
        </w:rPr>
      </w:pPr>
      <w:bookmarkStart w:id="35" w:name="_Toc31143"/>
      <w:bookmarkStart w:id="36" w:name="_Toc17163"/>
      <w:r>
        <w:rPr>
          <w:rFonts w:hint="eastAsia" w:ascii="黑体" w:hAnsi="黑体" w:eastAsia="黑体" w:cs="黑体"/>
          <w:sz w:val="21"/>
          <w:szCs w:val="21"/>
          <w:lang w:val="en-US" w:eastAsia="zh-CN"/>
        </w:rPr>
        <w:t>3  术语和定义</w:t>
      </w:r>
      <w:bookmarkEnd w:id="35"/>
      <w:bookmarkEnd w:id="36"/>
    </w:p>
    <w:p w14:paraId="67FE5AEB">
      <w:pPr>
        <w:keepNext w:val="0"/>
        <w:keepLines w:val="0"/>
        <w:pageBreakBefore w:val="0"/>
        <w:widowControl w:val="0"/>
        <w:kinsoku/>
        <w:wordWrap/>
        <w:overflowPunct/>
        <w:topLinePunct w:val="0"/>
        <w:autoSpaceDE/>
        <w:autoSpaceDN/>
        <w:bidi w:val="0"/>
        <w:adjustRightInd/>
        <w:snapToGrid/>
        <w:spacing w:before="0" w:beforeLines="0" w:line="240" w:lineRule="auto"/>
        <w:ind w:left="0" w:firstLine="420" w:firstLineChars="200"/>
        <w:jc w:val="both"/>
        <w:textAlignment w:val="auto"/>
        <w:rPr>
          <w:rFonts w:hint="eastAsia" w:ascii="宋体" w:hAnsi="宋体" w:eastAsia="宋体" w:cs="宋体"/>
          <w:kern w:val="2"/>
          <w:sz w:val="21"/>
          <w:szCs w:val="21"/>
          <w:lang w:val="en-US" w:eastAsia="zh-CN" w:bidi="ar-SA"/>
        </w:rPr>
      </w:pPr>
      <w:bookmarkStart w:id="37" w:name="_Toc5675"/>
    </w:p>
    <w:p w14:paraId="14AC6E47">
      <w:pPr>
        <w:keepNext w:val="0"/>
        <w:keepLines w:val="0"/>
        <w:pageBreakBefore w:val="0"/>
        <w:widowControl w:val="0"/>
        <w:kinsoku/>
        <w:wordWrap/>
        <w:overflowPunct/>
        <w:topLinePunct w:val="0"/>
        <w:autoSpaceDE/>
        <w:autoSpaceDN/>
        <w:bidi w:val="0"/>
        <w:adjustRightInd/>
        <w:snapToGrid/>
        <w:spacing w:before="0" w:beforeLines="0" w:line="240" w:lineRule="auto"/>
        <w:ind w:left="0"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下列术语和定义适用于本文件。</w:t>
      </w:r>
      <w:bookmarkEnd w:id="37"/>
    </w:p>
    <w:p w14:paraId="0DCCB7D1">
      <w:pPr>
        <w:rPr>
          <w:rFonts w:hint="eastAsia" w:ascii="黑体" w:hAnsi="黑体" w:eastAsia="黑体" w:cs="黑体"/>
          <w:sz w:val="21"/>
          <w:szCs w:val="21"/>
          <w:lang w:val="en-US" w:eastAsia="zh-CN"/>
        </w:rPr>
      </w:pPr>
    </w:p>
    <w:p w14:paraId="696C603D">
      <w:pPr>
        <w:outlineLvl w:val="1"/>
        <w:rPr>
          <w:rFonts w:hint="eastAsia" w:ascii="黑体" w:hAnsi="黑体" w:eastAsia="黑体" w:cs="黑体"/>
          <w:sz w:val="21"/>
          <w:szCs w:val="21"/>
        </w:rPr>
      </w:pPr>
      <w:bookmarkStart w:id="38" w:name="_Toc11305"/>
      <w:bookmarkStart w:id="39" w:name="_Toc29148"/>
      <w:r>
        <w:rPr>
          <w:rFonts w:hint="eastAsia" w:ascii="黑体" w:hAnsi="黑体" w:eastAsia="黑体" w:cs="黑体"/>
          <w:sz w:val="21"/>
          <w:szCs w:val="21"/>
          <w:lang w:val="en-US" w:eastAsia="zh-CN"/>
        </w:rPr>
        <w:t>3.1</w:t>
      </w:r>
      <w:bookmarkEnd w:id="38"/>
      <w:bookmarkEnd w:id="39"/>
      <w:r>
        <w:rPr>
          <w:rFonts w:hint="eastAsia" w:ascii="黑体" w:hAnsi="黑体" w:eastAsia="黑体" w:cs="黑体"/>
          <w:sz w:val="21"/>
          <w:szCs w:val="21"/>
        </w:rPr>
        <w:t xml:space="preserve">  </w:t>
      </w:r>
    </w:p>
    <w:p w14:paraId="57F2625D">
      <w:pPr>
        <w:ind w:firstLine="420" w:firstLineChars="200"/>
        <w:rPr>
          <w:rFonts w:hint="eastAsia" w:ascii="黑体" w:hAnsi="黑体" w:eastAsia="黑体" w:cs="黑体"/>
          <w:sz w:val="21"/>
          <w:szCs w:val="21"/>
        </w:rPr>
      </w:pPr>
      <w:r>
        <w:rPr>
          <w:rFonts w:hint="eastAsia" w:ascii="黑体" w:hAnsi="黑体" w:eastAsia="黑体" w:cs="黑体"/>
          <w:sz w:val="21"/>
          <w:szCs w:val="21"/>
        </w:rPr>
        <w:t xml:space="preserve">绿色建造 green construction </w:t>
      </w:r>
    </w:p>
    <w:p w14:paraId="08B474A3">
      <w:pPr>
        <w:ind w:firstLine="420" w:firstLineChars="200"/>
        <w:rPr>
          <w:rFonts w:hint="eastAsia"/>
          <w:strike/>
          <w:sz w:val="21"/>
          <w:szCs w:val="21"/>
        </w:rPr>
      </w:pPr>
      <w:r>
        <w:rPr>
          <w:rFonts w:hint="eastAsia"/>
          <w:sz w:val="21"/>
          <w:szCs w:val="21"/>
        </w:rPr>
        <w:t>按照绿色发展的要求，通过科学管理和技术创新，采用有利于节约资源、保护环境、减少排放、提高效率、保障品质的建造方式，实现人与自然和谐共生的工程建造活动。</w:t>
      </w:r>
    </w:p>
    <w:p w14:paraId="36DF1047">
      <w:pP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3.2</w:t>
      </w:r>
    </w:p>
    <w:p w14:paraId="0DEB4571">
      <w:pP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 xml:space="preserve">    绿色策划 green planning </w:t>
      </w:r>
    </w:p>
    <w:p w14:paraId="15D3CAAF">
      <w:pPr>
        <w:ind w:firstLine="420" w:firstLineChars="200"/>
        <w:rPr>
          <w:rFonts w:hint="eastAsia"/>
          <w:sz w:val="21"/>
          <w:szCs w:val="21"/>
        </w:rPr>
      </w:pPr>
      <w:r>
        <w:rPr>
          <w:sz w:val="21"/>
          <w:szCs w:val="21"/>
        </w:rPr>
        <w:t>因地制宜对建造全过程、全要素进行统筹，科学确定绿色建造目标及实施路径的工程策划活动。</w:t>
      </w:r>
    </w:p>
    <w:p w14:paraId="76DDEEDD">
      <w:pP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3.3</w:t>
      </w:r>
    </w:p>
    <w:p w14:paraId="79134BC0">
      <w:pPr>
        <w:ind w:firstLine="210" w:firstLineChars="10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 xml:space="preserve">  绿色设计 green design </w:t>
      </w:r>
    </w:p>
    <w:p w14:paraId="744DFD15">
      <w:pPr>
        <w:ind w:firstLine="420" w:firstLineChars="200"/>
        <w:rPr>
          <w:rFonts w:hint="eastAsia"/>
          <w:sz w:val="21"/>
          <w:szCs w:val="21"/>
        </w:rPr>
      </w:pPr>
      <w:r>
        <w:rPr>
          <w:sz w:val="21"/>
          <w:szCs w:val="21"/>
        </w:rPr>
        <w:t xml:space="preserve">贯彻绿色建造理念，落实绿色策划目标的工程设计活动。 </w:t>
      </w:r>
    </w:p>
    <w:p w14:paraId="7620CD58">
      <w:pP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3.4</w:t>
      </w:r>
    </w:p>
    <w:p w14:paraId="6EF3040A">
      <w:pPr>
        <w:ind w:firstLine="210" w:firstLineChars="10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 xml:space="preserve">  绿色施工 green construction operation </w:t>
      </w:r>
    </w:p>
    <w:p w14:paraId="7BEEE5BF">
      <w:pPr>
        <w:ind w:firstLine="420" w:firstLineChars="200"/>
        <w:rPr>
          <w:rFonts w:hint="eastAsia"/>
          <w:sz w:val="21"/>
          <w:szCs w:val="21"/>
        </w:rPr>
      </w:pPr>
      <w:r>
        <w:rPr>
          <w:sz w:val="21"/>
          <w:szCs w:val="21"/>
        </w:rPr>
        <w:t>在保证工程质量、施工安全等基本要求的前提下，以人为本，因地制宜，通过科学管理和技术进步，最大限度地节约资源，减少对环境负面影响的施工及生产活动。</w:t>
      </w:r>
    </w:p>
    <w:p w14:paraId="498BBAC7">
      <w:pPr>
        <w:rPr>
          <w:rFonts w:hint="eastAsia" w:ascii="黑体" w:hAnsi="黑体" w:eastAsia="黑体" w:cs="黑体"/>
          <w:sz w:val="21"/>
          <w:szCs w:val="21"/>
          <w:lang w:val="en-US" w:eastAsia="zh-CN"/>
        </w:rPr>
      </w:pPr>
    </w:p>
    <w:p w14:paraId="1BE2D3E1">
      <w:pP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3.5</w:t>
      </w:r>
    </w:p>
    <w:p w14:paraId="16F0C2CE">
      <w:pPr>
        <w:ind w:firstLine="210" w:firstLineChars="100"/>
        <w:rPr>
          <w:rFonts w:hint="eastAsia"/>
          <w:color w:val="000000"/>
          <w:sz w:val="21"/>
          <w:szCs w:val="21"/>
        </w:rPr>
      </w:pPr>
      <w:r>
        <w:rPr>
          <w:rFonts w:hint="eastAsia" w:ascii="黑体" w:hAnsi="黑体" w:eastAsia="黑体" w:cs="黑体"/>
          <w:sz w:val="21"/>
          <w:szCs w:val="21"/>
          <w:lang w:val="en-US" w:eastAsia="zh-CN"/>
        </w:rPr>
        <w:t xml:space="preserve">  绿色移交 green delivery</w:t>
      </w:r>
      <w:r>
        <w:rPr>
          <w:sz w:val="21"/>
          <w:szCs w:val="21"/>
        </w:rPr>
        <w:t xml:space="preserve">                                                                                                                                                                                                                                                                                                                                                                                                                                                                                                                                                                                                                                                                                                                                                                                                                                                                                                                                                                                                                                                                                                                                                                                                                                                                                                                                                                                                                                                                                                                                                                                                                                                                                                                                   </w:t>
      </w:r>
      <w:r>
        <w:rPr>
          <w:color w:val="000000"/>
          <w:sz w:val="21"/>
          <w:szCs w:val="21"/>
        </w:rPr>
        <w:t xml:space="preserve"> </w:t>
      </w:r>
    </w:p>
    <w:p w14:paraId="2D6E1A66">
      <w:pPr>
        <w:ind w:firstLine="420" w:firstLineChars="200"/>
        <w:rPr>
          <w:rFonts w:hint="eastAsia"/>
          <w:sz w:val="21"/>
          <w:szCs w:val="21"/>
        </w:rPr>
      </w:pPr>
      <w:r>
        <w:rPr>
          <w:rFonts w:hint="eastAsia"/>
          <w:sz w:val="21"/>
          <w:szCs w:val="21"/>
        </w:rPr>
        <w:t>电力建设工程项目</w:t>
      </w:r>
      <w:r>
        <w:rPr>
          <w:sz w:val="21"/>
          <w:szCs w:val="21"/>
        </w:rPr>
        <w:t>在综合效能、绿色建造效果评估的基础上，制定交付策略、交付标准、交付方案，采用实体与数字化同步交付的方式，进行工程移交和验收的活动。</w:t>
      </w:r>
    </w:p>
    <w:p w14:paraId="425F33F2">
      <w:pP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3.6</w:t>
      </w:r>
    </w:p>
    <w:p w14:paraId="73F7926B">
      <w:pPr>
        <w:ind w:firstLine="420" w:firstLineChars="20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绿色建造评价 green construction evaluation</w:t>
      </w:r>
    </w:p>
    <w:p w14:paraId="7BB90B21">
      <w:pPr>
        <w:ind w:firstLine="420" w:firstLineChars="200"/>
        <w:rPr>
          <w:rFonts w:hint="eastAsia"/>
          <w:sz w:val="21"/>
          <w:szCs w:val="21"/>
        </w:rPr>
      </w:pPr>
      <w:r>
        <w:rPr>
          <w:rFonts w:hint="eastAsia"/>
          <w:sz w:val="21"/>
          <w:szCs w:val="21"/>
        </w:rPr>
        <w:t>对工程建设项目绿色建造水平及效果所进行的评价活动。</w:t>
      </w:r>
    </w:p>
    <w:p w14:paraId="37A86389">
      <w:pP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3.7</w:t>
      </w:r>
    </w:p>
    <w:p w14:paraId="04ECDF5D">
      <w:pPr>
        <w:ind w:firstLine="420" w:firstLineChars="20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综合效能comprehensive  effectiveness</w:t>
      </w:r>
    </w:p>
    <w:p w14:paraId="0E419555">
      <w:pPr>
        <w:ind w:firstLine="420" w:firstLineChars="200"/>
        <w:rPr>
          <w:rFonts w:hint="eastAsia"/>
          <w:sz w:val="21"/>
          <w:szCs w:val="21"/>
        </w:rPr>
      </w:pPr>
      <w:r>
        <w:rPr>
          <w:rFonts w:hint="eastAsia"/>
          <w:sz w:val="21"/>
          <w:szCs w:val="21"/>
        </w:rPr>
        <w:t>通过对项目各个系统的调试、性能验证、验收和季节性工况验证进行全过程管理，以确保实现设计意图和满足业主的实际使用要求的工作程序和方法。</w:t>
      </w:r>
    </w:p>
    <w:p w14:paraId="40ED9AD7">
      <w:pPr>
        <w:rPr>
          <w:rFonts w:hint="eastAsia" w:ascii="黑体" w:hAnsi="黑体" w:eastAsia="黑体" w:cs="黑体"/>
          <w:sz w:val="21"/>
          <w:szCs w:val="21"/>
          <w:lang w:val="en-US" w:eastAsia="zh-CN"/>
        </w:rPr>
      </w:pPr>
      <w:bookmarkStart w:id="40" w:name="_Toc174141231"/>
    </w:p>
    <w:p w14:paraId="30CA11D5">
      <w:pPr>
        <w:outlineLvl w:val="0"/>
        <w:rPr>
          <w:rFonts w:hint="eastAsia" w:ascii="黑体" w:hAnsi="黑体" w:eastAsia="黑体" w:cs="黑体"/>
          <w:sz w:val="21"/>
          <w:szCs w:val="21"/>
          <w:lang w:val="en-US" w:eastAsia="zh-CN"/>
        </w:rPr>
      </w:pPr>
      <w:bookmarkStart w:id="41" w:name="_Toc30848"/>
      <w:bookmarkStart w:id="42" w:name="_Toc21484"/>
      <w:r>
        <w:rPr>
          <w:rFonts w:hint="eastAsia" w:ascii="黑体" w:hAnsi="黑体" w:eastAsia="黑体" w:cs="黑体"/>
          <w:sz w:val="21"/>
          <w:szCs w:val="21"/>
          <w:lang w:val="en-US" w:eastAsia="zh-CN"/>
        </w:rPr>
        <w:t>4  基本要求</w:t>
      </w:r>
      <w:bookmarkEnd w:id="41"/>
      <w:bookmarkEnd w:id="42"/>
    </w:p>
    <w:p w14:paraId="2943F710">
      <w:pPr>
        <w:rPr>
          <w:rFonts w:hint="default" w:ascii="黑体" w:hAnsi="黑体" w:eastAsia="黑体" w:cs="黑体"/>
          <w:sz w:val="21"/>
          <w:szCs w:val="21"/>
          <w:lang w:val="en-US" w:eastAsia="zh-CN"/>
        </w:rPr>
      </w:pPr>
    </w:p>
    <w:p w14:paraId="1F3644CE">
      <w:pPr>
        <w:outlineLvl w:val="1"/>
        <w:rPr>
          <w:rFonts w:hint="eastAsia" w:ascii="黑体" w:hAnsi="黑体" w:eastAsia="黑体" w:cs="黑体"/>
          <w:sz w:val="21"/>
          <w:szCs w:val="21"/>
          <w:lang w:val="en-US" w:eastAsia="zh-CN"/>
        </w:rPr>
      </w:pPr>
      <w:bookmarkStart w:id="43" w:name="_Toc27862"/>
      <w:bookmarkStart w:id="44" w:name="_Toc7841"/>
      <w:r>
        <w:rPr>
          <w:rFonts w:hint="eastAsia" w:ascii="黑体" w:hAnsi="黑体" w:eastAsia="黑体" w:cs="黑体"/>
          <w:sz w:val="21"/>
          <w:szCs w:val="21"/>
          <w:lang w:val="en-US" w:eastAsia="zh-CN"/>
        </w:rPr>
        <w:t>4.1  评价体系</w:t>
      </w:r>
      <w:bookmarkEnd w:id="43"/>
      <w:bookmarkEnd w:id="44"/>
    </w:p>
    <w:bookmarkEnd w:id="40"/>
    <w:p w14:paraId="2585BE2A">
      <w:pPr>
        <w:rPr>
          <w:rFonts w:hint="eastAsia"/>
          <w:sz w:val="21"/>
          <w:szCs w:val="21"/>
        </w:rPr>
      </w:pPr>
      <w:r>
        <w:rPr>
          <w:rFonts w:hint="eastAsia" w:ascii="黑体" w:hAnsi="黑体" w:eastAsia="黑体" w:cs="黑体"/>
          <w:sz w:val="21"/>
          <w:szCs w:val="21"/>
          <w:lang w:eastAsia="zh-CN"/>
        </w:rPr>
        <w:t>4.1</w:t>
      </w:r>
      <w:r>
        <w:rPr>
          <w:rFonts w:hint="eastAsia" w:ascii="黑体" w:hAnsi="黑体" w:eastAsia="黑体" w:cs="黑体"/>
          <w:sz w:val="21"/>
          <w:szCs w:val="21"/>
        </w:rPr>
        <w:t xml:space="preserve">.1 </w:t>
      </w:r>
      <w:r>
        <w:rPr>
          <w:sz w:val="21"/>
          <w:szCs w:val="21"/>
        </w:rPr>
        <w:t xml:space="preserve"> 绿色</w:t>
      </w:r>
      <w:r>
        <w:rPr>
          <w:rFonts w:hint="eastAsia"/>
          <w:sz w:val="21"/>
          <w:szCs w:val="21"/>
        </w:rPr>
        <w:t>建造</w:t>
      </w:r>
      <w:r>
        <w:rPr>
          <w:sz w:val="21"/>
          <w:szCs w:val="21"/>
        </w:rPr>
        <w:t>评价</w:t>
      </w:r>
      <w:r>
        <w:rPr>
          <w:rFonts w:hint="eastAsia"/>
          <w:sz w:val="21"/>
          <w:szCs w:val="21"/>
        </w:rPr>
        <w:t>分</w:t>
      </w:r>
      <w:r>
        <w:rPr>
          <w:sz w:val="21"/>
          <w:szCs w:val="21"/>
        </w:rPr>
        <w:t>为</w:t>
      </w:r>
      <w:r>
        <w:rPr>
          <w:rFonts w:hint="eastAsia"/>
          <w:sz w:val="21"/>
          <w:szCs w:val="21"/>
        </w:rPr>
        <w:t>绿色策划、绿色设计、绿色施工、绿色移交四</w:t>
      </w:r>
      <w:r>
        <w:rPr>
          <w:sz w:val="21"/>
          <w:szCs w:val="21"/>
        </w:rPr>
        <w:t>个方面。</w:t>
      </w:r>
    </w:p>
    <w:p w14:paraId="12230510">
      <w:pPr>
        <w:rPr>
          <w:rFonts w:hint="eastAsia"/>
          <w:sz w:val="21"/>
          <w:szCs w:val="21"/>
        </w:rPr>
      </w:pPr>
      <w:r>
        <w:rPr>
          <w:rFonts w:hint="eastAsia" w:ascii="黑体" w:hAnsi="黑体" w:eastAsia="黑体" w:cs="黑体"/>
          <w:sz w:val="21"/>
          <w:szCs w:val="21"/>
          <w:lang w:eastAsia="zh-CN"/>
        </w:rPr>
        <w:t>4.1.2</w:t>
      </w:r>
      <w:r>
        <w:rPr>
          <w:sz w:val="21"/>
          <w:szCs w:val="21"/>
        </w:rPr>
        <w:t xml:space="preserve">  </w:t>
      </w:r>
      <w:r>
        <w:rPr>
          <w:rFonts w:hint="eastAsia"/>
          <w:sz w:val="21"/>
          <w:szCs w:val="21"/>
        </w:rPr>
        <w:t>绿色策划评</w:t>
      </w:r>
      <w:r>
        <w:rPr>
          <w:sz w:val="21"/>
          <w:szCs w:val="21"/>
        </w:rPr>
        <w:t>价分为</w:t>
      </w:r>
      <w:r>
        <w:rPr>
          <w:rFonts w:hint="eastAsia"/>
          <w:sz w:val="21"/>
          <w:szCs w:val="21"/>
        </w:rPr>
        <w:t>总</w:t>
      </w:r>
      <w:r>
        <w:rPr>
          <w:sz w:val="21"/>
          <w:szCs w:val="21"/>
        </w:rPr>
        <w:t>体策划、设计策划、施工策划、移交策划四个方面。</w:t>
      </w:r>
    </w:p>
    <w:p w14:paraId="7AA9B369">
      <w:pPr>
        <w:rPr>
          <w:rFonts w:hint="eastAsia"/>
          <w:sz w:val="21"/>
          <w:szCs w:val="21"/>
        </w:rPr>
      </w:pPr>
      <w:r>
        <w:rPr>
          <w:rFonts w:hint="eastAsia" w:ascii="黑体" w:hAnsi="黑体" w:eastAsia="黑体" w:cs="黑体"/>
          <w:sz w:val="21"/>
          <w:szCs w:val="21"/>
          <w:lang w:eastAsia="zh-CN"/>
        </w:rPr>
        <w:t xml:space="preserve">4.1.3  </w:t>
      </w:r>
      <w:r>
        <w:rPr>
          <w:rFonts w:hint="eastAsia"/>
          <w:sz w:val="21"/>
          <w:szCs w:val="21"/>
        </w:rPr>
        <w:t>绿色</w:t>
      </w:r>
      <w:r>
        <w:rPr>
          <w:sz w:val="21"/>
          <w:szCs w:val="21"/>
        </w:rPr>
        <w:t>设计</w:t>
      </w:r>
      <w:r>
        <w:rPr>
          <w:rFonts w:hint="eastAsia"/>
          <w:sz w:val="21"/>
          <w:szCs w:val="21"/>
        </w:rPr>
        <w:t>评价</w:t>
      </w:r>
      <w:r>
        <w:rPr>
          <w:sz w:val="21"/>
          <w:szCs w:val="21"/>
        </w:rPr>
        <w:t>分为</w:t>
      </w:r>
      <w:r>
        <w:rPr>
          <w:rFonts w:hint="eastAsia"/>
          <w:sz w:val="21"/>
          <w:szCs w:val="21"/>
        </w:rPr>
        <w:t>技术先进、资源节约、生态</w:t>
      </w:r>
      <w:r>
        <w:rPr>
          <w:sz w:val="21"/>
          <w:szCs w:val="21"/>
        </w:rPr>
        <w:t>环保</w:t>
      </w:r>
      <w:r>
        <w:rPr>
          <w:rFonts w:hint="eastAsia"/>
          <w:sz w:val="21"/>
          <w:szCs w:val="21"/>
        </w:rPr>
        <w:t>、综合效益</w:t>
      </w:r>
      <w:r>
        <w:rPr>
          <w:sz w:val="21"/>
          <w:szCs w:val="21"/>
        </w:rPr>
        <w:t>和</w:t>
      </w:r>
      <w:r>
        <w:rPr>
          <w:rFonts w:hint="eastAsia"/>
          <w:sz w:val="21"/>
          <w:szCs w:val="21"/>
        </w:rPr>
        <w:t>科技</w:t>
      </w:r>
      <w:r>
        <w:rPr>
          <w:sz w:val="21"/>
          <w:szCs w:val="21"/>
        </w:rPr>
        <w:t>创新</w:t>
      </w:r>
      <w:r>
        <w:rPr>
          <w:rFonts w:hint="eastAsia"/>
          <w:sz w:val="21"/>
          <w:szCs w:val="21"/>
        </w:rPr>
        <w:t>五个方面。</w:t>
      </w:r>
    </w:p>
    <w:p w14:paraId="63BA5411">
      <w:pPr>
        <w:rPr>
          <w:rFonts w:hint="eastAsia"/>
          <w:sz w:val="21"/>
          <w:szCs w:val="21"/>
        </w:rPr>
      </w:pPr>
      <w:r>
        <w:rPr>
          <w:rFonts w:hint="eastAsia" w:ascii="黑体" w:hAnsi="黑体" w:eastAsia="黑体" w:cs="黑体"/>
          <w:sz w:val="21"/>
          <w:szCs w:val="21"/>
          <w:lang w:eastAsia="zh-CN"/>
        </w:rPr>
        <w:t xml:space="preserve">4.1.4 </w:t>
      </w:r>
      <w:r>
        <w:rPr>
          <w:sz w:val="21"/>
          <w:szCs w:val="21"/>
        </w:rPr>
        <w:t xml:space="preserve"> 绿色施工</w:t>
      </w:r>
      <w:r>
        <w:rPr>
          <w:rFonts w:hint="eastAsia"/>
          <w:sz w:val="21"/>
          <w:szCs w:val="21"/>
        </w:rPr>
        <w:t>评</w:t>
      </w:r>
      <w:r>
        <w:rPr>
          <w:sz w:val="21"/>
          <w:szCs w:val="21"/>
        </w:rPr>
        <w:t>价分为</w:t>
      </w:r>
      <w:r>
        <w:rPr>
          <w:rFonts w:hint="eastAsia"/>
          <w:kern w:val="0"/>
          <w:sz w:val="21"/>
          <w:szCs w:val="21"/>
        </w:rPr>
        <w:t>管理科学</w:t>
      </w:r>
      <w:r>
        <w:rPr>
          <w:rFonts w:hint="eastAsia"/>
          <w:sz w:val="21"/>
          <w:szCs w:val="21"/>
        </w:rPr>
        <w:t>、</w:t>
      </w:r>
      <w:r>
        <w:rPr>
          <w:kern w:val="0"/>
          <w:sz w:val="21"/>
          <w:szCs w:val="21"/>
        </w:rPr>
        <w:t>安全</w:t>
      </w:r>
      <w:r>
        <w:rPr>
          <w:rFonts w:hint="eastAsia"/>
          <w:kern w:val="0"/>
          <w:sz w:val="21"/>
          <w:szCs w:val="21"/>
        </w:rPr>
        <w:t>环保</w:t>
      </w:r>
      <w:r>
        <w:rPr>
          <w:rFonts w:hint="eastAsia"/>
          <w:sz w:val="21"/>
          <w:szCs w:val="21"/>
        </w:rPr>
        <w:t>、</w:t>
      </w:r>
      <w:r>
        <w:rPr>
          <w:rFonts w:hint="eastAsia"/>
          <w:kern w:val="0"/>
          <w:sz w:val="21"/>
          <w:szCs w:val="21"/>
        </w:rPr>
        <w:t>资源</w:t>
      </w:r>
      <w:r>
        <w:rPr>
          <w:kern w:val="0"/>
          <w:sz w:val="21"/>
          <w:szCs w:val="21"/>
        </w:rPr>
        <w:t>节约</w:t>
      </w:r>
      <w:r>
        <w:rPr>
          <w:rFonts w:hint="eastAsia"/>
          <w:sz w:val="21"/>
          <w:szCs w:val="21"/>
        </w:rPr>
        <w:t>、</w:t>
      </w:r>
      <w:r>
        <w:rPr>
          <w:kern w:val="0"/>
          <w:sz w:val="21"/>
          <w:szCs w:val="21"/>
        </w:rPr>
        <w:t>技</w:t>
      </w:r>
      <w:r>
        <w:rPr>
          <w:rFonts w:hint="eastAsia"/>
          <w:kern w:val="0"/>
          <w:sz w:val="21"/>
          <w:szCs w:val="21"/>
        </w:rPr>
        <w:t>术</w:t>
      </w:r>
      <w:r>
        <w:rPr>
          <w:kern w:val="0"/>
          <w:sz w:val="21"/>
          <w:szCs w:val="21"/>
        </w:rPr>
        <w:t>创新</w:t>
      </w:r>
      <w:r>
        <w:rPr>
          <w:rFonts w:hint="eastAsia"/>
          <w:sz w:val="21"/>
          <w:szCs w:val="21"/>
        </w:rPr>
        <w:t>、综合效益五</w:t>
      </w:r>
      <w:r>
        <w:rPr>
          <w:sz w:val="21"/>
          <w:szCs w:val="21"/>
        </w:rPr>
        <w:t>个</w:t>
      </w:r>
      <w:r>
        <w:rPr>
          <w:rFonts w:hint="eastAsia"/>
          <w:sz w:val="21"/>
          <w:szCs w:val="21"/>
        </w:rPr>
        <w:t>方面。</w:t>
      </w:r>
    </w:p>
    <w:p w14:paraId="73108536">
      <w:pPr>
        <w:rPr>
          <w:rFonts w:hint="eastAsia"/>
          <w:sz w:val="21"/>
          <w:szCs w:val="21"/>
        </w:rPr>
      </w:pPr>
      <w:r>
        <w:rPr>
          <w:rFonts w:hint="eastAsia" w:ascii="黑体" w:hAnsi="黑体" w:eastAsia="黑体" w:cs="黑体"/>
          <w:sz w:val="21"/>
          <w:szCs w:val="21"/>
          <w:lang w:eastAsia="zh-CN"/>
        </w:rPr>
        <w:t xml:space="preserve">4.1.5 </w:t>
      </w:r>
      <w:r>
        <w:rPr>
          <w:sz w:val="21"/>
          <w:szCs w:val="21"/>
        </w:rPr>
        <w:t xml:space="preserve"> </w:t>
      </w:r>
      <w:r>
        <w:rPr>
          <w:rFonts w:hint="eastAsia"/>
          <w:sz w:val="21"/>
          <w:szCs w:val="21"/>
        </w:rPr>
        <w:t>绿色移交评价</w:t>
      </w:r>
      <w:r>
        <w:rPr>
          <w:sz w:val="21"/>
          <w:szCs w:val="21"/>
        </w:rPr>
        <w:t>分别从</w:t>
      </w:r>
      <w:r>
        <w:rPr>
          <w:rFonts w:hint="eastAsia"/>
          <w:sz w:val="21"/>
          <w:szCs w:val="21"/>
        </w:rPr>
        <w:t>综合效能、数字化交付和效果评估三</w:t>
      </w:r>
      <w:r>
        <w:rPr>
          <w:sz w:val="21"/>
          <w:szCs w:val="21"/>
        </w:rPr>
        <w:t>个方面进行评价。</w:t>
      </w:r>
    </w:p>
    <w:p w14:paraId="19586244">
      <w:pPr>
        <w:jc w:val="left"/>
        <w:outlineLvl w:val="2"/>
        <w:rPr>
          <w:sz w:val="21"/>
          <w:szCs w:val="21"/>
        </w:rPr>
        <w:sectPr>
          <w:footerReference r:id="rId5" w:type="default"/>
          <w:footerReference r:id="rId6" w:type="even"/>
          <w:type w:val="nextColumn"/>
          <w:pgSz w:w="9979" w:h="14181"/>
          <w:pgMar w:top="1134" w:right="1418" w:bottom="1418" w:left="1134" w:header="851" w:footer="992" w:gutter="0"/>
          <w:cols w:space="425" w:num="1"/>
          <w:docGrid w:linePitch="326" w:charSpace="0"/>
        </w:sectPr>
      </w:pPr>
      <w:bookmarkStart w:id="45" w:name="_Toc13555"/>
      <w:r>
        <w:rPr>
          <w:rFonts w:hint="eastAsia" w:ascii="黑体" w:hAnsi="黑体" w:eastAsia="黑体" w:cs="黑体"/>
          <w:sz w:val="21"/>
          <w:szCs w:val="21"/>
          <w:lang w:eastAsia="zh-CN"/>
        </w:rPr>
        <w:t xml:space="preserve">4.1.6 </w:t>
      </w:r>
      <w:r>
        <w:rPr>
          <w:sz w:val="21"/>
          <w:szCs w:val="21"/>
        </w:rPr>
        <w:t xml:space="preserve"> </w:t>
      </w:r>
      <w:r>
        <w:rPr>
          <w:rFonts w:hint="eastAsia"/>
          <w:sz w:val="21"/>
          <w:szCs w:val="21"/>
        </w:rPr>
        <w:t>电</w:t>
      </w:r>
      <w:r>
        <w:rPr>
          <w:sz w:val="21"/>
          <w:szCs w:val="21"/>
        </w:rPr>
        <w:t>力建设</w:t>
      </w:r>
      <w:r>
        <w:rPr>
          <w:rFonts w:hint="eastAsia"/>
          <w:sz w:val="21"/>
          <w:szCs w:val="21"/>
        </w:rPr>
        <w:t>工</w:t>
      </w:r>
      <w:r>
        <w:rPr>
          <w:sz w:val="21"/>
          <w:szCs w:val="21"/>
        </w:rPr>
        <w:t>程绿色建造评价</w:t>
      </w:r>
      <w:r>
        <w:rPr>
          <w:rFonts w:hint="eastAsia"/>
          <w:sz w:val="21"/>
          <w:szCs w:val="21"/>
        </w:rPr>
        <w:t>体系</w:t>
      </w:r>
      <w:r>
        <w:rPr>
          <w:sz w:val="21"/>
          <w:szCs w:val="21"/>
        </w:rPr>
        <w:t>见图</w:t>
      </w:r>
      <w:r>
        <w:rPr>
          <w:rFonts w:hint="eastAsia"/>
          <w:sz w:val="21"/>
          <w:szCs w:val="21"/>
          <w:lang w:val="en-US" w:eastAsia="zh-CN"/>
        </w:rPr>
        <w:t>1</w:t>
      </w:r>
      <w:r>
        <w:rPr>
          <w:sz w:val="21"/>
          <w:szCs w:val="21"/>
        </w:rPr>
        <w:t>。</w:t>
      </w:r>
      <w:bookmarkEnd w:id="45"/>
    </w:p>
    <w:p w14:paraId="2879C9CB">
      <w:pPr>
        <w:jc w:val="left"/>
        <w:rPr>
          <w:rFonts w:hint="eastAsia"/>
          <w:sz w:val="21"/>
          <w:szCs w:val="21"/>
        </w:rPr>
      </w:pPr>
    </w:p>
    <w:p w14:paraId="64DE1044">
      <w:pPr>
        <w:rPr>
          <w:rFonts w:hint="eastAsia"/>
          <w:sz w:val="21"/>
          <w:szCs w:val="21"/>
        </w:rPr>
      </w:pPr>
      <w:r>
        <w:rPr>
          <w:sz w:val="21"/>
          <w:szCs w:val="21"/>
        </w:rPr>
        <mc:AlternateContent>
          <mc:Choice Requires="wps">
            <w:drawing>
              <wp:anchor distT="0" distB="0" distL="114300" distR="114300" simplePos="0" relativeHeight="251662336" behindDoc="0" locked="0" layoutInCell="1" allowOverlap="1">
                <wp:simplePos x="0" y="0"/>
                <wp:positionH relativeFrom="column">
                  <wp:posOffset>3004820</wp:posOffset>
                </wp:positionH>
                <wp:positionV relativeFrom="paragraph">
                  <wp:posOffset>-194945</wp:posOffset>
                </wp:positionV>
                <wp:extent cx="1812925" cy="272415"/>
                <wp:effectExtent l="0" t="0" r="15875" b="13335"/>
                <wp:wrapNone/>
                <wp:docPr id="167" name="AutoShape 971"/>
                <wp:cNvGraphicFramePr/>
                <a:graphic xmlns:a="http://schemas.openxmlformats.org/drawingml/2006/main">
                  <a:graphicData uri="http://schemas.microsoft.com/office/word/2010/wordprocessingShape">
                    <wps:wsp>
                      <wps:cNvSpPr>
                        <a:spLocks noChangeArrowheads="1"/>
                      </wps:cNvSpPr>
                      <wps:spPr bwMode="auto">
                        <a:xfrm>
                          <a:off x="0" y="0"/>
                          <a:ext cx="1812925" cy="272415"/>
                        </a:xfrm>
                        <a:prstGeom prst="flowChartProcess">
                          <a:avLst/>
                        </a:prstGeom>
                        <a:solidFill>
                          <a:srgbClr val="FFFFFF"/>
                        </a:solidFill>
                        <a:ln w="9525">
                          <a:solidFill>
                            <a:srgbClr val="000000"/>
                          </a:solidFill>
                          <a:miter lim="800000"/>
                        </a:ln>
                      </wps:spPr>
                      <wps:txbx>
                        <w:txbxContent>
                          <w:p w14:paraId="6D84DE52">
                            <w:pPr>
                              <w:jc w:val="center"/>
                              <w:rPr>
                                <w:rFonts w:hint="eastAsia" w:ascii="黑体" w:hAnsi="黑体" w:eastAsia="黑体"/>
                              </w:rPr>
                            </w:pPr>
                            <w:r>
                              <w:rPr>
                                <w:rFonts w:hint="eastAsia"/>
                                <w:sz w:val="21"/>
                                <w:szCs w:val="21"/>
                              </w:rPr>
                              <w:t>电力</w:t>
                            </w:r>
                            <w:r>
                              <w:rPr>
                                <w:sz w:val="21"/>
                                <w:szCs w:val="21"/>
                              </w:rPr>
                              <w:t>建设</w:t>
                            </w:r>
                            <w:r>
                              <w:rPr>
                                <w:rFonts w:hint="eastAsia"/>
                                <w:sz w:val="21"/>
                                <w:szCs w:val="21"/>
                              </w:rPr>
                              <w:t>工</w:t>
                            </w:r>
                            <w:r>
                              <w:rPr>
                                <w:sz w:val="21"/>
                                <w:szCs w:val="21"/>
                              </w:rPr>
                              <w:t>程绿色建造评价</w:t>
                            </w:r>
                          </w:p>
                        </w:txbxContent>
                      </wps:txbx>
                      <wps:bodyPr rot="0" vert="horz" wrap="square" lIns="91440" tIns="45720" rIns="91440" bIns="45720" anchor="t" anchorCtr="0" upright="1">
                        <a:noAutofit/>
                      </wps:bodyPr>
                    </wps:wsp>
                  </a:graphicData>
                </a:graphic>
              </wp:anchor>
            </w:drawing>
          </mc:Choice>
          <mc:Fallback>
            <w:pict>
              <v:shape id="AutoShape 971" o:spid="_x0000_s1026" o:spt="109" type="#_x0000_t109" style="position:absolute;left:0pt;margin-left:236.6pt;margin-top:-15.35pt;height:21.45pt;width:142.75pt;z-index:251662336;mso-width-relative:page;mso-height-relative:page;" fillcolor="#FFFFFF" filled="t" stroked="t" coordsize="21600,21600" o:gfxdata="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RiKSzaAAAACgEAAA8AAAAAAAAAAQAgAAAAIgAAAGRycy9kb3ducmV2Lnht&#10;bFBLAQIUABQAAAAIAIdO4kD+nHXEMAIAAI0EAAAOAAAAAAAAAAEAIAAAACkBAABkcnMvZTJvRG9j&#10;LnhtbFBLBQYAAAAABgAGAFkBAADLBQAAAAA=&#10;">
                <v:fill on="t" focussize="0,0"/>
                <v:stroke color="#000000" miterlimit="8" joinstyle="miter"/>
                <v:imagedata o:title=""/>
                <o:lock v:ext="edit" aspectratio="f"/>
                <v:textbox>
                  <w:txbxContent>
                    <w:p w14:paraId="6D84DE52">
                      <w:pPr>
                        <w:jc w:val="center"/>
                        <w:rPr>
                          <w:rFonts w:hint="eastAsia" w:ascii="黑体" w:hAnsi="黑体" w:eastAsia="黑体"/>
                        </w:rPr>
                      </w:pPr>
                      <w:r>
                        <w:rPr>
                          <w:rFonts w:hint="eastAsia"/>
                          <w:sz w:val="21"/>
                          <w:szCs w:val="21"/>
                        </w:rPr>
                        <w:t>电力</w:t>
                      </w:r>
                      <w:r>
                        <w:rPr>
                          <w:sz w:val="21"/>
                          <w:szCs w:val="21"/>
                        </w:rPr>
                        <w:t>建设</w:t>
                      </w:r>
                      <w:r>
                        <w:rPr>
                          <w:rFonts w:hint="eastAsia"/>
                          <w:sz w:val="21"/>
                          <w:szCs w:val="21"/>
                        </w:rPr>
                        <w:t>工</w:t>
                      </w:r>
                      <w:r>
                        <w:rPr>
                          <w:sz w:val="21"/>
                          <w:szCs w:val="21"/>
                        </w:rPr>
                        <w:t>程绿色建造评价</w:t>
                      </w:r>
                    </w:p>
                  </w:txbxContent>
                </v:textbox>
              </v:shape>
            </w:pict>
          </mc:Fallback>
        </mc:AlternateContent>
      </w:r>
      <w:r>
        <w:rPr>
          <w:sz w:val="21"/>
          <w:szCs w:val="21"/>
        </w:rPr>
        <mc:AlternateContent>
          <mc:Choice Requires="wps">
            <w:drawing>
              <wp:anchor distT="0" distB="0" distL="113030" distR="113030" simplePos="0" relativeHeight="251700224" behindDoc="0" locked="0" layoutInCell="1" allowOverlap="1">
                <wp:simplePos x="0" y="0"/>
                <wp:positionH relativeFrom="column">
                  <wp:posOffset>5655945</wp:posOffset>
                </wp:positionH>
                <wp:positionV relativeFrom="paragraph">
                  <wp:posOffset>245745</wp:posOffset>
                </wp:positionV>
                <wp:extent cx="0" cy="136525"/>
                <wp:effectExtent l="0" t="0" r="19050" b="34925"/>
                <wp:wrapNone/>
                <wp:docPr id="150" name="Line 946"/>
                <wp:cNvGraphicFramePr/>
                <a:graphic xmlns:a="http://schemas.openxmlformats.org/drawingml/2006/main">
                  <a:graphicData uri="http://schemas.microsoft.com/office/word/2010/wordprocessingShape">
                    <wps:wsp>
                      <wps:cNvCnPr>
                        <a:cxnSpLocks noChangeShapeType="1"/>
                      </wps:cNvCnPr>
                      <wps:spPr bwMode="auto">
                        <a:xfrm flipH="1">
                          <a:off x="0" y="0"/>
                          <a:ext cx="0" cy="136525"/>
                        </a:xfrm>
                        <a:prstGeom prst="line">
                          <a:avLst/>
                        </a:prstGeom>
                        <a:noFill/>
                        <a:ln w="9525">
                          <a:solidFill>
                            <a:srgbClr val="000000"/>
                          </a:solidFill>
                          <a:round/>
                        </a:ln>
                      </wps:spPr>
                      <wps:bodyPr/>
                    </wps:wsp>
                  </a:graphicData>
                </a:graphic>
              </wp:anchor>
            </w:drawing>
          </mc:Choice>
          <mc:Fallback>
            <w:pict>
              <v:line id="Line 946" o:spid="_x0000_s1026" o:spt="20" style="position:absolute;left:0pt;flip:x;margin-left:445.35pt;margin-top:19.35pt;height:10.75pt;width:0pt;z-index:251700224;mso-width-relative:page;mso-height-relative:page;" filled="f" stroked="t" coordsize="21600,21600" o:gfxdata="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CXnPi1gAAAAkBAAAPAAAAAAAAAAEAIAAAACIAAABk&#10;cnMvZG93bnJldi54bWxQSwECFAAUAAAACACHTuJADhKJOM8BAACsAwAADgAAAAAAAAABACAAAAAl&#10;AQAAZHJzL2Uyb0RvYy54bWxQSwUGAAAAAAYABgBZAQAAZgUAAAAA&#10;">
                <v:fill on="f" focussize="0,0"/>
                <v:stroke color="#000000" joinstyle="round"/>
                <v:imagedata o:title=""/>
                <o:lock v:ext="edit" aspectratio="f"/>
              </v:line>
            </w:pict>
          </mc:Fallback>
        </mc:AlternateContent>
      </w:r>
      <w:r>
        <w:rPr>
          <w:sz w:val="21"/>
          <w:szCs w:val="21"/>
        </w:rPr>
        <mc:AlternateContent>
          <mc:Choice Requires="wps">
            <w:drawing>
              <wp:anchor distT="0" distB="0" distL="113030" distR="113030" simplePos="0" relativeHeight="251707392" behindDoc="0" locked="0" layoutInCell="1" allowOverlap="1">
                <wp:simplePos x="0" y="0"/>
                <wp:positionH relativeFrom="column">
                  <wp:posOffset>6997065</wp:posOffset>
                </wp:positionH>
                <wp:positionV relativeFrom="paragraph">
                  <wp:posOffset>241300</wp:posOffset>
                </wp:positionV>
                <wp:extent cx="0" cy="136525"/>
                <wp:effectExtent l="0" t="0" r="19050" b="34925"/>
                <wp:wrapNone/>
                <wp:docPr id="149" name="Line 946"/>
                <wp:cNvGraphicFramePr/>
                <a:graphic xmlns:a="http://schemas.openxmlformats.org/drawingml/2006/main">
                  <a:graphicData uri="http://schemas.microsoft.com/office/word/2010/wordprocessingShape">
                    <wps:wsp>
                      <wps:cNvCnPr>
                        <a:cxnSpLocks noChangeShapeType="1"/>
                      </wps:cNvCnPr>
                      <wps:spPr bwMode="auto">
                        <a:xfrm flipH="1">
                          <a:off x="0" y="0"/>
                          <a:ext cx="0" cy="136525"/>
                        </a:xfrm>
                        <a:prstGeom prst="line">
                          <a:avLst/>
                        </a:prstGeom>
                        <a:noFill/>
                        <a:ln w="9525">
                          <a:solidFill>
                            <a:srgbClr val="000000"/>
                          </a:solidFill>
                          <a:round/>
                        </a:ln>
                      </wps:spPr>
                      <wps:bodyPr/>
                    </wps:wsp>
                  </a:graphicData>
                </a:graphic>
              </wp:anchor>
            </w:drawing>
          </mc:Choice>
          <mc:Fallback>
            <w:pict>
              <v:line id="Line 946" o:spid="_x0000_s1026" o:spt="20" style="position:absolute;left:0pt;flip:x;margin-left:550.95pt;margin-top:19pt;height:10.75pt;width:0pt;z-index:251707392;mso-width-relative:page;mso-height-relative:page;" filled="f" stroked="t" coordsize="21600,21600" o:gfxdata="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MVI26tYAAAALAQAADwAAAAAAAAABACAAAAAiAAAA&#10;ZHJzL2Rvd25yZXYueG1sUEsBAhQAFAAAAAgAh07iQIf4iIbQAQAArAMAAA4AAAAAAAAAAQAgAAAA&#10;JQEAAGRycy9lMm9Eb2MueG1sUEsFBgAAAAAGAAYAWQEAAGcFAAAAAA==&#10;">
                <v:fill on="f" focussize="0,0"/>
                <v:stroke color="#000000" joinstyle="round"/>
                <v:imagedata o:title=""/>
                <o:lock v:ext="edit" aspectratio="f"/>
              </v:line>
            </w:pict>
          </mc:Fallback>
        </mc:AlternateContent>
      </w:r>
      <w:r>
        <w:rPr>
          <w:sz w:val="21"/>
          <w:szCs w:val="21"/>
        </w:rPr>
        <mc:AlternateContent>
          <mc:Choice Requires="wps">
            <w:drawing>
              <wp:anchor distT="0" distB="0" distL="113030" distR="113030" simplePos="0" relativeHeight="251699200" behindDoc="0" locked="0" layoutInCell="1" allowOverlap="1">
                <wp:simplePos x="0" y="0"/>
                <wp:positionH relativeFrom="column">
                  <wp:posOffset>1146175</wp:posOffset>
                </wp:positionH>
                <wp:positionV relativeFrom="paragraph">
                  <wp:posOffset>239395</wp:posOffset>
                </wp:positionV>
                <wp:extent cx="0" cy="136525"/>
                <wp:effectExtent l="0" t="0" r="19050" b="34925"/>
                <wp:wrapNone/>
                <wp:docPr id="148" name="Line 946"/>
                <wp:cNvGraphicFramePr/>
                <a:graphic xmlns:a="http://schemas.openxmlformats.org/drawingml/2006/main">
                  <a:graphicData uri="http://schemas.microsoft.com/office/word/2010/wordprocessingShape">
                    <wps:wsp>
                      <wps:cNvCnPr>
                        <a:cxnSpLocks noChangeShapeType="1"/>
                      </wps:cNvCnPr>
                      <wps:spPr bwMode="auto">
                        <a:xfrm flipH="1">
                          <a:off x="0" y="0"/>
                          <a:ext cx="0" cy="136525"/>
                        </a:xfrm>
                        <a:prstGeom prst="line">
                          <a:avLst/>
                        </a:prstGeom>
                        <a:noFill/>
                        <a:ln w="9525">
                          <a:solidFill>
                            <a:srgbClr val="000000"/>
                          </a:solidFill>
                          <a:round/>
                        </a:ln>
                      </wps:spPr>
                      <wps:bodyPr/>
                    </wps:wsp>
                  </a:graphicData>
                </a:graphic>
              </wp:anchor>
            </w:drawing>
          </mc:Choice>
          <mc:Fallback>
            <w:pict>
              <v:line id="Line 946" o:spid="_x0000_s1026" o:spt="20" style="position:absolute;left:0pt;flip:x;margin-left:90.25pt;margin-top:18.85pt;height:10.75pt;width:0pt;z-index:251699200;mso-width-relative:page;mso-height-relative:page;" filled="f" stroked="t" coordsize="21600,21600" o:gfxdata="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DUIaM1gAAAAkBAAAPAAAAAAAAAAEAIAAAACIAAABk&#10;cnMvZG93bnJldi54bWxQSwECFAAUAAAACACHTuJAHsC1gM8BAACsAwAADgAAAAAAAAABACAAAAAl&#10;AQAAZHJzL2Uyb0RvYy54bWxQSwUGAAAAAAYABgBZAQAAZgUAAAAA&#10;">
                <v:fill on="f" focussize="0,0"/>
                <v:stroke color="#000000" joinstyle="round"/>
                <v:imagedata o:title=""/>
                <o:lock v:ext="edit" aspectratio="f"/>
              </v:line>
            </w:pict>
          </mc:Fallback>
        </mc:AlternateContent>
      </w:r>
      <w:r>
        <w:rPr>
          <w:sz w:val="21"/>
          <w:szCs w:val="21"/>
        </w:rPr>
        <mc:AlternateContent>
          <mc:Choice Requires="wps">
            <w:drawing>
              <wp:anchor distT="0" distB="0" distL="114300" distR="114300" simplePos="0" relativeHeight="251693056" behindDoc="0" locked="0" layoutInCell="1" allowOverlap="1">
                <wp:simplePos x="0" y="0"/>
                <wp:positionH relativeFrom="column">
                  <wp:posOffset>1147445</wp:posOffset>
                </wp:positionH>
                <wp:positionV relativeFrom="paragraph">
                  <wp:posOffset>239395</wp:posOffset>
                </wp:positionV>
                <wp:extent cx="5845810" cy="0"/>
                <wp:effectExtent l="0" t="0" r="21590" b="19050"/>
                <wp:wrapNone/>
                <wp:docPr id="207" name="直接连接符 207"/>
                <wp:cNvGraphicFramePr/>
                <a:graphic xmlns:a="http://schemas.openxmlformats.org/drawingml/2006/main">
                  <a:graphicData uri="http://schemas.microsoft.com/office/word/2010/wordprocessingShape">
                    <wps:wsp>
                      <wps:cNvCnPr/>
                      <wps:spPr>
                        <a:xfrm flipV="1">
                          <a:off x="0" y="0"/>
                          <a:ext cx="58458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90.35pt;margin-top:18.85pt;height:0pt;width:460.3pt;z-index:251693056;mso-width-relative:page;mso-height-relative:page;" filled="f" stroked="t" coordsize="21600,21600" o:gfxdata="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MxN&#10;ocnWAAAACgEAAA8AAAAAAAAAAQAgAAAAIgAAAGRycy9kb3ducmV2LnhtbFBLAQIUABQAAAAIAIdO&#10;4kCIKZrb7AEAAL8DAAAOAAAAAAAAAAEAIAAAACUBAABkcnMvZTJvRG9jLnhtbFBLBQYAAAAABgAG&#10;AFkBAACDBQAA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030" distR="113030" simplePos="0" relativeHeight="251698176" behindDoc="0" locked="0" layoutInCell="1" allowOverlap="1">
                <wp:simplePos x="0" y="0"/>
                <wp:positionH relativeFrom="column">
                  <wp:posOffset>2573655</wp:posOffset>
                </wp:positionH>
                <wp:positionV relativeFrom="paragraph">
                  <wp:posOffset>243840</wp:posOffset>
                </wp:positionV>
                <wp:extent cx="0" cy="136525"/>
                <wp:effectExtent l="0" t="0" r="19050" b="34925"/>
                <wp:wrapNone/>
                <wp:docPr id="144" name="Line 946"/>
                <wp:cNvGraphicFramePr/>
                <a:graphic xmlns:a="http://schemas.openxmlformats.org/drawingml/2006/main">
                  <a:graphicData uri="http://schemas.microsoft.com/office/word/2010/wordprocessingShape">
                    <wps:wsp>
                      <wps:cNvCnPr>
                        <a:cxnSpLocks noChangeShapeType="1"/>
                      </wps:cNvCnPr>
                      <wps:spPr bwMode="auto">
                        <a:xfrm flipH="1">
                          <a:off x="0" y="0"/>
                          <a:ext cx="0" cy="136525"/>
                        </a:xfrm>
                        <a:prstGeom prst="line">
                          <a:avLst/>
                        </a:prstGeom>
                        <a:noFill/>
                        <a:ln w="9525">
                          <a:solidFill>
                            <a:srgbClr val="000000"/>
                          </a:solidFill>
                          <a:round/>
                        </a:ln>
                      </wps:spPr>
                      <wps:bodyPr/>
                    </wps:wsp>
                  </a:graphicData>
                </a:graphic>
              </wp:anchor>
            </w:drawing>
          </mc:Choice>
          <mc:Fallback>
            <w:pict>
              <v:line id="Line 946" o:spid="_x0000_s1026" o:spt="20" style="position:absolute;left:0pt;flip:x;margin-left:202.65pt;margin-top:19.2pt;height:10.75pt;width:0pt;z-index:251698176;mso-width-relative:page;mso-height-relative:page;" filled="f" stroked="t" coordsize="21600,21600" o:gfxdata="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WjukdYAAAAJAQAADwAAAAAAAAABACAAAAAiAAAA&#10;ZHJzL2Rvd25yZXYueG1sUEsBAhQAFAAAAAgAh07iQLLmqKnQAQAArAMAAA4AAAAAAAAAAQAgAAAA&#10;JQEAAGRycy9lMm9Eb2MueG1sUEsFBgAAAAAGAAYAWQEAAGcFAAAAAA==&#10;">
                <v:fill on="f" focussize="0,0"/>
                <v:stroke color="#000000" joinstyle="round"/>
                <v:imagedata o:title=""/>
                <o:lock v:ext="edit" aspectratio="f"/>
              </v:line>
            </w:pict>
          </mc:Fallback>
        </mc:AlternateContent>
      </w:r>
      <w:r>
        <w:rPr>
          <w:sz w:val="21"/>
          <w:szCs w:val="21"/>
        </w:rPr>
        <mc:AlternateContent>
          <mc:Choice Requires="wps">
            <w:drawing>
              <wp:anchor distT="0" distB="0" distL="114300" distR="114300" simplePos="0" relativeHeight="251705344" behindDoc="0" locked="0" layoutInCell="1" allowOverlap="1">
                <wp:simplePos x="0" y="0"/>
                <wp:positionH relativeFrom="margin">
                  <wp:posOffset>6594475</wp:posOffset>
                </wp:positionH>
                <wp:positionV relativeFrom="paragraph">
                  <wp:posOffset>375285</wp:posOffset>
                </wp:positionV>
                <wp:extent cx="732790" cy="276225"/>
                <wp:effectExtent l="0" t="0" r="10160" b="28575"/>
                <wp:wrapNone/>
                <wp:docPr id="143" name="AutoShape 968"/>
                <wp:cNvGraphicFramePr/>
                <a:graphic xmlns:a="http://schemas.openxmlformats.org/drawingml/2006/main">
                  <a:graphicData uri="http://schemas.microsoft.com/office/word/2010/wordprocessingShape">
                    <wps:wsp>
                      <wps:cNvSpPr>
                        <a:spLocks noChangeArrowheads="1"/>
                      </wps:cNvSpPr>
                      <wps:spPr bwMode="auto">
                        <a:xfrm>
                          <a:off x="0" y="0"/>
                          <a:ext cx="732790" cy="276225"/>
                        </a:xfrm>
                        <a:prstGeom prst="flowChartProcess">
                          <a:avLst/>
                        </a:prstGeom>
                        <a:solidFill>
                          <a:srgbClr val="FFFFFF"/>
                        </a:solidFill>
                        <a:ln w="9525">
                          <a:solidFill>
                            <a:srgbClr val="000000"/>
                          </a:solidFill>
                          <a:miter lim="800000"/>
                        </a:ln>
                      </wps:spPr>
                      <wps:txbx>
                        <w:txbxContent>
                          <w:p w14:paraId="6B5F75CB">
                            <w:pPr>
                              <w:jc w:val="center"/>
                              <w:rPr>
                                <w:rFonts w:hint="eastAsia" w:ascii="黑体" w:hAnsi="黑体" w:eastAsia="黑体"/>
                                <w:sz w:val="15"/>
                                <w:szCs w:val="15"/>
                              </w:rPr>
                            </w:pPr>
                            <w:bookmarkStart w:id="896" w:name="OLE_LINK4"/>
                            <w:bookmarkStart w:id="897" w:name="OLE_LINK5"/>
                            <w:r>
                              <w:rPr>
                                <w:sz w:val="21"/>
                                <w:szCs w:val="21"/>
                              </w:rPr>
                              <w:t>绿色</w:t>
                            </w:r>
                            <w:r>
                              <w:rPr>
                                <w:rFonts w:hint="eastAsia"/>
                                <w:sz w:val="21"/>
                                <w:szCs w:val="21"/>
                              </w:rPr>
                              <w:t>移交</w:t>
                            </w:r>
                          </w:p>
                          <w:bookmarkEnd w:id="896"/>
                          <w:bookmarkEnd w:id="897"/>
                          <w:p w14:paraId="4836E5D4">
                            <w:pPr>
                              <w:jc w:val="center"/>
                              <w:rPr>
                                <w:rFonts w:hint="eastAsia" w:ascii="黑体" w:hAnsi="黑体" w:eastAsia="黑体"/>
                                <w:sz w:val="15"/>
                                <w:szCs w:val="15"/>
                              </w:rPr>
                            </w:pPr>
                          </w:p>
                        </w:txbxContent>
                      </wps:txbx>
                      <wps:bodyPr rot="0" vert="horz" wrap="square" lIns="91440" tIns="45720" rIns="91440" bIns="45720" anchor="t" anchorCtr="0" upright="1">
                        <a:noAutofit/>
                      </wps:bodyPr>
                    </wps:wsp>
                  </a:graphicData>
                </a:graphic>
              </wp:anchor>
            </w:drawing>
          </mc:Choice>
          <mc:Fallback>
            <w:pict>
              <v:shape id="AutoShape 968" o:spid="_x0000_s1026" o:spt="109" type="#_x0000_t109" style="position:absolute;left:0pt;margin-left:519.25pt;margin-top:29.55pt;height:21.75pt;width:57.7pt;mso-position-horizontal-relative:margin;z-index:251705344;mso-width-relative:page;mso-height-relative:page;" fillcolor="#FFFFFF" filled="t" stroked="t" coordsize="21600,21600" o:gfxdata="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kgwcg2QAAAAwBAAAPAAAAAAAAAAEAIAAAACIAAABkcnMvZG93bnJldi54&#10;bWxQSwECFAAUAAAACACHTuJAPPJ0PDICAACMBAAADgAAAAAAAAABACAAAAAoAQAAZHJzL2Uyb0Rv&#10;Yy54bWxQSwUGAAAAAAYABgBZAQAAzAUAAAAA&#10;">
                <v:fill on="t" focussize="0,0"/>
                <v:stroke color="#000000" miterlimit="8" joinstyle="miter"/>
                <v:imagedata o:title=""/>
                <o:lock v:ext="edit" aspectratio="f"/>
                <v:textbox>
                  <w:txbxContent>
                    <w:p w14:paraId="6B5F75CB">
                      <w:pPr>
                        <w:jc w:val="center"/>
                        <w:rPr>
                          <w:rFonts w:hint="eastAsia" w:ascii="黑体" w:hAnsi="黑体" w:eastAsia="黑体"/>
                          <w:sz w:val="15"/>
                          <w:szCs w:val="15"/>
                        </w:rPr>
                      </w:pPr>
                      <w:bookmarkStart w:id="896" w:name="OLE_LINK4"/>
                      <w:bookmarkStart w:id="897" w:name="OLE_LINK5"/>
                      <w:r>
                        <w:rPr>
                          <w:sz w:val="21"/>
                          <w:szCs w:val="21"/>
                        </w:rPr>
                        <w:t>绿色</w:t>
                      </w:r>
                      <w:r>
                        <w:rPr>
                          <w:rFonts w:hint="eastAsia"/>
                          <w:sz w:val="21"/>
                          <w:szCs w:val="21"/>
                        </w:rPr>
                        <w:t>移交</w:t>
                      </w:r>
                    </w:p>
                    <w:bookmarkEnd w:id="896"/>
                    <w:bookmarkEnd w:id="897"/>
                    <w:p w14:paraId="4836E5D4">
                      <w:pPr>
                        <w:jc w:val="center"/>
                        <w:rPr>
                          <w:rFonts w:hint="eastAsia" w:ascii="黑体" w:hAnsi="黑体" w:eastAsia="黑体"/>
                          <w:sz w:val="15"/>
                          <w:szCs w:val="15"/>
                        </w:rPr>
                      </w:pPr>
                    </w:p>
                  </w:txbxContent>
                </v:textbox>
              </v:shape>
            </w:pict>
          </mc:Fallback>
        </mc:AlternateContent>
      </w:r>
      <w:r>
        <w:rPr>
          <w:sz w:val="21"/>
          <w:szCs w:val="21"/>
        </w:rPr>
        <mc:AlternateContent>
          <mc:Choice Requires="wps">
            <w:drawing>
              <wp:anchor distT="0" distB="0" distL="113030" distR="113030" simplePos="0" relativeHeight="251701248" behindDoc="0" locked="0" layoutInCell="1" allowOverlap="1">
                <wp:simplePos x="0" y="0"/>
                <wp:positionH relativeFrom="column">
                  <wp:posOffset>3907155</wp:posOffset>
                </wp:positionH>
                <wp:positionV relativeFrom="paragraph">
                  <wp:posOffset>74295</wp:posOffset>
                </wp:positionV>
                <wp:extent cx="0" cy="168910"/>
                <wp:effectExtent l="0" t="0" r="19050" b="21590"/>
                <wp:wrapNone/>
                <wp:docPr id="142" name="Line 957"/>
                <wp:cNvGraphicFramePr/>
                <a:graphic xmlns:a="http://schemas.openxmlformats.org/drawingml/2006/main">
                  <a:graphicData uri="http://schemas.microsoft.com/office/word/2010/wordprocessingShape">
                    <wps:wsp>
                      <wps:cNvCnPr>
                        <a:cxnSpLocks noChangeShapeType="1"/>
                      </wps:cNvCnPr>
                      <wps:spPr bwMode="auto">
                        <a:xfrm flipH="1">
                          <a:off x="0" y="0"/>
                          <a:ext cx="0" cy="168910"/>
                        </a:xfrm>
                        <a:prstGeom prst="line">
                          <a:avLst/>
                        </a:prstGeom>
                        <a:noFill/>
                        <a:ln w="9525">
                          <a:solidFill>
                            <a:srgbClr val="000000"/>
                          </a:solidFill>
                          <a:round/>
                        </a:ln>
                      </wps:spPr>
                      <wps:bodyPr/>
                    </wps:wsp>
                  </a:graphicData>
                </a:graphic>
              </wp:anchor>
            </w:drawing>
          </mc:Choice>
          <mc:Fallback>
            <w:pict>
              <v:line id="Line 957" o:spid="_x0000_s1026" o:spt="20" style="position:absolute;left:0pt;flip:x;margin-left:307.65pt;margin-top:5.85pt;height:13.3pt;width:0pt;z-index:251701248;mso-width-relative:page;mso-height-relative:page;" filled="f" stroked="t" coordsize="21600,21600" o:gfxdata="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O44ox1QAAAAkBAAAPAAAAAAAAAAEAIAAAACIA&#10;AABkcnMvZG93bnJldi54bWxQSwECFAAUAAAACACHTuJA2DJkhtMBAACsAwAADgAAAAAAAAABACAA&#10;AAAkAQAAZHJzL2Uyb0RvYy54bWxQSwUGAAAAAAYABgBZAQAAaQUAAAAA&#10;">
                <v:fill on="f" focussize="0,0"/>
                <v:stroke color="#000000" joinstyle="round"/>
                <v:imagedata o:title=""/>
                <o:lock v:ext="edit" aspectratio="f"/>
              </v:line>
            </w:pict>
          </mc:Fallback>
        </mc:AlternateContent>
      </w:r>
    </w:p>
    <w:p w14:paraId="3622EC73">
      <w:pPr>
        <w:rPr>
          <w:rFonts w:hint="eastAsia"/>
          <w:sz w:val="21"/>
          <w:szCs w:val="21"/>
        </w:rPr>
      </w:pPr>
      <w:r>
        <w:rPr>
          <w:sz w:val="21"/>
          <w:szCs w:val="21"/>
        </w:rPr>
        <mc:AlternateContent>
          <mc:Choice Requires="wps">
            <w:drawing>
              <wp:anchor distT="0" distB="0" distL="114300" distR="114300" simplePos="0" relativeHeight="251695104" behindDoc="0" locked="0" layoutInCell="1" allowOverlap="1">
                <wp:simplePos x="0" y="0"/>
                <wp:positionH relativeFrom="column">
                  <wp:posOffset>2197100</wp:posOffset>
                </wp:positionH>
                <wp:positionV relativeFrom="paragraph">
                  <wp:posOffset>123190</wp:posOffset>
                </wp:positionV>
                <wp:extent cx="741680" cy="276225"/>
                <wp:effectExtent l="0" t="0" r="20320" b="28575"/>
                <wp:wrapNone/>
                <wp:docPr id="209" name="AutoShape 968"/>
                <wp:cNvGraphicFramePr/>
                <a:graphic xmlns:a="http://schemas.openxmlformats.org/drawingml/2006/main">
                  <a:graphicData uri="http://schemas.microsoft.com/office/word/2010/wordprocessingShape">
                    <wps:wsp>
                      <wps:cNvSpPr>
                        <a:spLocks noChangeArrowheads="1"/>
                      </wps:cNvSpPr>
                      <wps:spPr bwMode="auto">
                        <a:xfrm>
                          <a:off x="0" y="0"/>
                          <a:ext cx="741680" cy="276225"/>
                        </a:xfrm>
                        <a:prstGeom prst="flowChartProcess">
                          <a:avLst/>
                        </a:prstGeom>
                        <a:solidFill>
                          <a:srgbClr val="FFFFFF"/>
                        </a:solidFill>
                        <a:ln w="9525">
                          <a:solidFill>
                            <a:srgbClr val="000000"/>
                          </a:solidFill>
                          <a:miter lim="800000"/>
                        </a:ln>
                      </wps:spPr>
                      <wps:txbx>
                        <w:txbxContent>
                          <w:p w14:paraId="320FB30E">
                            <w:pPr>
                              <w:jc w:val="center"/>
                              <w:rPr>
                                <w:rFonts w:hint="eastAsia" w:ascii="黑体" w:hAnsi="黑体" w:eastAsia="黑体"/>
                                <w:sz w:val="15"/>
                                <w:szCs w:val="15"/>
                              </w:rPr>
                            </w:pPr>
                            <w:r>
                              <w:rPr>
                                <w:sz w:val="21"/>
                                <w:szCs w:val="21"/>
                              </w:rPr>
                              <w:t>绿色设计</w:t>
                            </w:r>
                          </w:p>
                          <w:p w14:paraId="1F54F13C">
                            <w:pPr>
                              <w:jc w:val="center"/>
                              <w:rPr>
                                <w:rFonts w:hint="eastAsia" w:ascii="黑体" w:hAnsi="黑体" w:eastAsia="黑体"/>
                                <w:sz w:val="15"/>
                                <w:szCs w:val="15"/>
                              </w:rPr>
                            </w:pPr>
                          </w:p>
                        </w:txbxContent>
                      </wps:txbx>
                      <wps:bodyPr rot="0" vert="horz" wrap="square" lIns="91440" tIns="45720" rIns="91440" bIns="45720" anchor="t" anchorCtr="0" upright="1">
                        <a:noAutofit/>
                      </wps:bodyPr>
                    </wps:wsp>
                  </a:graphicData>
                </a:graphic>
              </wp:anchor>
            </w:drawing>
          </mc:Choice>
          <mc:Fallback>
            <w:pict>
              <v:shape id="AutoShape 968" o:spid="_x0000_s1026" o:spt="109" type="#_x0000_t109" style="position:absolute;left:0pt;margin-left:173pt;margin-top:9.7pt;height:21.75pt;width:58.4pt;z-index:251695104;mso-width-relative:page;mso-height-relative:page;" fillcolor="#FFFFFF" filled="t" stroked="t" coordsize="21600,21600" o:gfxdata="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2PrRd2QAAAAkBAAAPAAAAAAAAAAEAIAAAACIAAABkcnMvZG93bnJldi54&#10;bWxQSwECFAAUAAAACACHTuJAmmNZQTICAACMBAAADgAAAAAAAAABACAAAAAoAQAAZHJzL2Uyb0Rv&#10;Yy54bWxQSwUGAAAAAAYABgBZAQAAzAUAAAAA&#10;">
                <v:fill on="t" focussize="0,0"/>
                <v:stroke color="#000000" miterlimit="8" joinstyle="miter"/>
                <v:imagedata o:title=""/>
                <o:lock v:ext="edit" aspectratio="f"/>
                <v:textbox>
                  <w:txbxContent>
                    <w:p w14:paraId="320FB30E">
                      <w:pPr>
                        <w:jc w:val="center"/>
                        <w:rPr>
                          <w:rFonts w:hint="eastAsia" w:ascii="黑体" w:hAnsi="黑体" w:eastAsia="黑体"/>
                          <w:sz w:val="15"/>
                          <w:szCs w:val="15"/>
                        </w:rPr>
                      </w:pPr>
                      <w:r>
                        <w:rPr>
                          <w:sz w:val="21"/>
                          <w:szCs w:val="21"/>
                        </w:rPr>
                        <w:t>绿色设计</w:t>
                      </w:r>
                    </w:p>
                    <w:p w14:paraId="1F54F13C">
                      <w:pPr>
                        <w:jc w:val="center"/>
                        <w:rPr>
                          <w:rFonts w:hint="eastAsia" w:ascii="黑体" w:hAnsi="黑体" w:eastAsia="黑体"/>
                          <w:sz w:val="15"/>
                          <w:szCs w:val="15"/>
                        </w:rPr>
                      </w:pPr>
                    </w:p>
                  </w:txbxContent>
                </v:textbox>
              </v:shape>
            </w:pict>
          </mc:Fallback>
        </mc:AlternateContent>
      </w:r>
      <w:r>
        <w:rPr>
          <w:sz w:val="21"/>
          <w:szCs w:val="21"/>
        </w:rPr>
        <mc:AlternateContent>
          <mc:Choice Requires="wps">
            <w:drawing>
              <wp:anchor distT="0" distB="0" distL="114300" distR="114300" simplePos="0" relativeHeight="251696128" behindDoc="0" locked="0" layoutInCell="1" allowOverlap="1">
                <wp:simplePos x="0" y="0"/>
                <wp:positionH relativeFrom="column">
                  <wp:posOffset>5269865</wp:posOffset>
                </wp:positionH>
                <wp:positionV relativeFrom="paragraph">
                  <wp:posOffset>111760</wp:posOffset>
                </wp:positionV>
                <wp:extent cx="767715" cy="276225"/>
                <wp:effectExtent l="0" t="0" r="13335" b="28575"/>
                <wp:wrapNone/>
                <wp:docPr id="210" name="AutoShape 968"/>
                <wp:cNvGraphicFramePr/>
                <a:graphic xmlns:a="http://schemas.openxmlformats.org/drawingml/2006/main">
                  <a:graphicData uri="http://schemas.microsoft.com/office/word/2010/wordprocessingShape">
                    <wps:wsp>
                      <wps:cNvSpPr>
                        <a:spLocks noChangeArrowheads="1"/>
                      </wps:cNvSpPr>
                      <wps:spPr bwMode="auto">
                        <a:xfrm>
                          <a:off x="0" y="0"/>
                          <a:ext cx="767715" cy="276225"/>
                        </a:xfrm>
                        <a:prstGeom prst="flowChartProcess">
                          <a:avLst/>
                        </a:prstGeom>
                        <a:solidFill>
                          <a:srgbClr val="FFFFFF"/>
                        </a:solidFill>
                        <a:ln w="9525">
                          <a:solidFill>
                            <a:srgbClr val="000000"/>
                          </a:solidFill>
                          <a:miter lim="800000"/>
                        </a:ln>
                      </wps:spPr>
                      <wps:txbx>
                        <w:txbxContent>
                          <w:p w14:paraId="4CFBC5A3">
                            <w:pPr>
                              <w:jc w:val="center"/>
                              <w:rPr>
                                <w:rFonts w:hint="eastAsia" w:ascii="黑体" w:hAnsi="黑体" w:eastAsia="黑体"/>
                                <w:sz w:val="15"/>
                                <w:szCs w:val="15"/>
                              </w:rPr>
                            </w:pPr>
                            <w:r>
                              <w:rPr>
                                <w:sz w:val="21"/>
                                <w:szCs w:val="21"/>
                              </w:rPr>
                              <w:t>绿色</w:t>
                            </w:r>
                            <w:r>
                              <w:rPr>
                                <w:rFonts w:hint="eastAsia"/>
                                <w:sz w:val="21"/>
                                <w:szCs w:val="21"/>
                              </w:rPr>
                              <w:t>施工</w:t>
                            </w:r>
                          </w:p>
                          <w:p w14:paraId="71D9EDB5">
                            <w:pPr>
                              <w:jc w:val="center"/>
                              <w:rPr>
                                <w:rFonts w:hint="eastAsia" w:ascii="黑体" w:hAnsi="黑体" w:eastAsia="黑体"/>
                                <w:sz w:val="15"/>
                                <w:szCs w:val="15"/>
                              </w:rPr>
                            </w:pPr>
                          </w:p>
                        </w:txbxContent>
                      </wps:txbx>
                      <wps:bodyPr rot="0" vert="horz" wrap="square" lIns="91440" tIns="45720" rIns="91440" bIns="45720" anchor="t" anchorCtr="0" upright="1">
                        <a:noAutofit/>
                      </wps:bodyPr>
                    </wps:wsp>
                  </a:graphicData>
                </a:graphic>
              </wp:anchor>
            </w:drawing>
          </mc:Choice>
          <mc:Fallback>
            <w:pict>
              <v:shape id="AutoShape 968" o:spid="_x0000_s1026" o:spt="109" type="#_x0000_t109" style="position:absolute;left:0pt;margin-left:414.95pt;margin-top:8.8pt;height:21.75pt;width:60.45pt;z-index:251696128;mso-width-relative:page;mso-height-relative:page;" fillcolor="#FFFFFF" filled="t" stroked="t" coordsize="21600,21600" o:gfxdata="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eJczYAAAACQEAAA8AAAAAAAAAAQAgAAAAIgAAAGRycy9kb3ducmV2Lnht&#10;bFBLAQIUABQAAAAIAIdO4kBtAgEiMgIAAIwEAAAOAAAAAAAAAAEAIAAAACcBAABkcnMvZTJvRG9j&#10;LnhtbFBLBQYAAAAABgAGAFkBAADLBQAAAAA=&#10;">
                <v:fill on="t" focussize="0,0"/>
                <v:stroke color="#000000" miterlimit="8" joinstyle="miter"/>
                <v:imagedata o:title=""/>
                <o:lock v:ext="edit" aspectratio="f"/>
                <v:textbox>
                  <w:txbxContent>
                    <w:p w14:paraId="4CFBC5A3">
                      <w:pPr>
                        <w:jc w:val="center"/>
                        <w:rPr>
                          <w:rFonts w:hint="eastAsia" w:ascii="黑体" w:hAnsi="黑体" w:eastAsia="黑体"/>
                          <w:sz w:val="15"/>
                          <w:szCs w:val="15"/>
                        </w:rPr>
                      </w:pPr>
                      <w:r>
                        <w:rPr>
                          <w:sz w:val="21"/>
                          <w:szCs w:val="21"/>
                        </w:rPr>
                        <w:t>绿色</w:t>
                      </w:r>
                      <w:r>
                        <w:rPr>
                          <w:rFonts w:hint="eastAsia"/>
                          <w:sz w:val="21"/>
                          <w:szCs w:val="21"/>
                        </w:rPr>
                        <w:t>施工</w:t>
                      </w:r>
                    </w:p>
                    <w:p w14:paraId="71D9EDB5">
                      <w:pPr>
                        <w:jc w:val="center"/>
                        <w:rPr>
                          <w:rFonts w:hint="eastAsia" w:ascii="黑体" w:hAnsi="黑体" w:eastAsia="黑体"/>
                          <w:sz w:val="15"/>
                          <w:szCs w:val="15"/>
                        </w:rPr>
                      </w:pPr>
                    </w:p>
                  </w:txbxContent>
                </v:textbox>
              </v:shape>
            </w:pict>
          </mc:Fallback>
        </mc:AlternateContent>
      </w:r>
      <w:r>
        <w:rPr>
          <w:sz w:val="21"/>
          <w:szCs w:val="21"/>
        </w:rPr>
        <mc:AlternateContent>
          <mc:Choice Requires="wps">
            <w:drawing>
              <wp:anchor distT="0" distB="0" distL="114300" distR="114300" simplePos="0" relativeHeight="251694080" behindDoc="0" locked="0" layoutInCell="1" allowOverlap="1">
                <wp:simplePos x="0" y="0"/>
                <wp:positionH relativeFrom="column">
                  <wp:posOffset>774065</wp:posOffset>
                </wp:positionH>
                <wp:positionV relativeFrom="paragraph">
                  <wp:posOffset>118745</wp:posOffset>
                </wp:positionV>
                <wp:extent cx="741680" cy="276225"/>
                <wp:effectExtent l="0" t="0" r="20320" b="28575"/>
                <wp:wrapNone/>
                <wp:docPr id="208" name="AutoShape 968"/>
                <wp:cNvGraphicFramePr/>
                <a:graphic xmlns:a="http://schemas.openxmlformats.org/drawingml/2006/main">
                  <a:graphicData uri="http://schemas.microsoft.com/office/word/2010/wordprocessingShape">
                    <wps:wsp>
                      <wps:cNvSpPr>
                        <a:spLocks noChangeArrowheads="1"/>
                      </wps:cNvSpPr>
                      <wps:spPr bwMode="auto">
                        <a:xfrm>
                          <a:off x="0" y="0"/>
                          <a:ext cx="741680" cy="276225"/>
                        </a:xfrm>
                        <a:prstGeom prst="flowChartProcess">
                          <a:avLst/>
                        </a:prstGeom>
                        <a:solidFill>
                          <a:srgbClr val="FFFFFF"/>
                        </a:solidFill>
                        <a:ln w="9525">
                          <a:solidFill>
                            <a:srgbClr val="000000"/>
                          </a:solidFill>
                          <a:miter lim="800000"/>
                        </a:ln>
                      </wps:spPr>
                      <wps:txbx>
                        <w:txbxContent>
                          <w:p w14:paraId="04511059">
                            <w:pPr>
                              <w:jc w:val="center"/>
                              <w:rPr>
                                <w:rFonts w:hint="eastAsia" w:ascii="黑体" w:hAnsi="黑体" w:eastAsia="黑体"/>
                                <w:sz w:val="15"/>
                                <w:szCs w:val="15"/>
                              </w:rPr>
                            </w:pPr>
                            <w:r>
                              <w:rPr>
                                <w:sz w:val="21"/>
                                <w:szCs w:val="21"/>
                              </w:rPr>
                              <w:t>绿色</w:t>
                            </w:r>
                            <w:r>
                              <w:rPr>
                                <w:rFonts w:hint="eastAsia"/>
                                <w:sz w:val="21"/>
                                <w:szCs w:val="21"/>
                              </w:rPr>
                              <w:t>策划</w:t>
                            </w:r>
                          </w:p>
                        </w:txbxContent>
                      </wps:txbx>
                      <wps:bodyPr rot="0" vert="horz" wrap="square" lIns="91440" tIns="45720" rIns="91440" bIns="45720" anchor="t" anchorCtr="0" upright="1">
                        <a:noAutofit/>
                      </wps:bodyPr>
                    </wps:wsp>
                  </a:graphicData>
                </a:graphic>
              </wp:anchor>
            </w:drawing>
          </mc:Choice>
          <mc:Fallback>
            <w:pict>
              <v:shape id="AutoShape 968" o:spid="_x0000_s1026" o:spt="109" type="#_x0000_t109" style="position:absolute;left:0pt;margin-left:60.95pt;margin-top:9.35pt;height:21.75pt;width:58.4pt;z-index:251694080;mso-width-relative:page;mso-height-relative:page;" fillcolor="#FFFFFF" filled="t" stroked="t" coordsize="21600,21600" o:gfxdata="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U28XF1wAAAAkBAAAPAAAAAAAAAAEAIAAAACIAAABkcnMvZG93bnJldi54bWxQ&#10;SwECFAAUAAAACACHTuJAqdaxXjECAACMBAAADgAAAAAAAAABACAAAAAmAQAAZHJzL2Uyb0RvYy54&#10;bWxQSwUGAAAAAAYABgBZAQAAyQUAAAAA&#10;">
                <v:fill on="t" focussize="0,0"/>
                <v:stroke color="#000000" miterlimit="8" joinstyle="miter"/>
                <v:imagedata o:title=""/>
                <o:lock v:ext="edit" aspectratio="f"/>
                <v:textbox>
                  <w:txbxContent>
                    <w:p w14:paraId="04511059">
                      <w:pPr>
                        <w:jc w:val="center"/>
                        <w:rPr>
                          <w:rFonts w:hint="eastAsia" w:ascii="黑体" w:hAnsi="黑体" w:eastAsia="黑体"/>
                          <w:sz w:val="15"/>
                          <w:szCs w:val="15"/>
                        </w:rPr>
                      </w:pPr>
                      <w:r>
                        <w:rPr>
                          <w:sz w:val="21"/>
                          <w:szCs w:val="21"/>
                        </w:rPr>
                        <w:t>绿色</w:t>
                      </w:r>
                      <w:r>
                        <w:rPr>
                          <w:rFonts w:hint="eastAsia"/>
                          <w:sz w:val="21"/>
                          <w:szCs w:val="21"/>
                        </w:rPr>
                        <w:t>策划</w:t>
                      </w:r>
                    </w:p>
                  </w:txbxContent>
                </v:textbox>
              </v:shape>
            </w:pict>
          </mc:Fallback>
        </mc:AlternateContent>
      </w:r>
    </w:p>
    <w:p w14:paraId="74D5D942">
      <w:pPr>
        <w:rPr>
          <w:rFonts w:hint="eastAsia"/>
          <w:sz w:val="21"/>
          <w:szCs w:val="21"/>
        </w:rPr>
      </w:pPr>
      <w:r>
        <w:rPr>
          <w:sz w:val="21"/>
          <w:szCs w:val="21"/>
        </w:rPr>
        <mc:AlternateContent>
          <mc:Choice Requires="wps">
            <w:drawing>
              <wp:anchor distT="0" distB="0" distL="113665" distR="113665" simplePos="0" relativeHeight="251729920" behindDoc="0" locked="0" layoutInCell="1" allowOverlap="1">
                <wp:simplePos x="0" y="0"/>
                <wp:positionH relativeFrom="column">
                  <wp:posOffset>2569210</wp:posOffset>
                </wp:positionH>
                <wp:positionV relativeFrom="paragraph">
                  <wp:posOffset>146685</wp:posOffset>
                </wp:positionV>
                <wp:extent cx="0" cy="140335"/>
                <wp:effectExtent l="0" t="0" r="19050" b="31115"/>
                <wp:wrapNone/>
                <wp:docPr id="141" name="直接连接符 42"/>
                <wp:cNvGraphicFramePr/>
                <a:graphic xmlns:a="http://schemas.openxmlformats.org/drawingml/2006/main">
                  <a:graphicData uri="http://schemas.microsoft.com/office/word/2010/wordprocessingShape">
                    <wps:wsp>
                      <wps:cNvCnPr/>
                      <wps:spPr>
                        <a:xfrm>
                          <a:off x="0" y="0"/>
                          <a:ext cx="0" cy="1403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42" o:spid="_x0000_s1026" o:spt="20" style="position:absolute;left:0pt;margin-left:202.3pt;margin-top:11.55pt;height:11.05pt;width:0pt;z-index:251729920;mso-width-relative:page;mso-height-relative:page;" filled="f" stroked="t" coordsize="21600,21600" o:gfxdata="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qGzr21gAAAAkB&#10;AAAPAAAAAAAAAAEAIAAAACIAAABkcnMvZG93bnJldi54bWxQSwECFAAUAAAACACHTuJAo/tJ4OQB&#10;AACzAwAADgAAAAAAAAABACAAAAAlAQAAZHJzL2Uyb0RvYy54bWxQSwUGAAAAAAYABgBZAQAAewUA&#10;A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665" distR="113665" simplePos="0" relativeHeight="251724800" behindDoc="0" locked="0" layoutInCell="1" allowOverlap="1">
                <wp:simplePos x="0" y="0"/>
                <wp:positionH relativeFrom="column">
                  <wp:posOffset>7592060</wp:posOffset>
                </wp:positionH>
                <wp:positionV relativeFrom="paragraph">
                  <wp:posOffset>285750</wp:posOffset>
                </wp:positionV>
                <wp:extent cx="0" cy="179705"/>
                <wp:effectExtent l="0" t="0" r="19050" b="29845"/>
                <wp:wrapNone/>
                <wp:docPr id="140" name="Line 957"/>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597.8pt;margin-top:22.5pt;height:14.15pt;width:0pt;z-index:251724800;mso-width-relative:page;mso-height-relative:page;" filled="f" stroked="t" coordsize="21600,21600" o:gfxdata="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wTM+7XAAAACwEAAA8AAAAAAAAAAQAgAAAAIgAAAGRycy9k&#10;b3ducmV2LnhtbFBLAQIUABQAAAAIAIdO4kA+nT0AygEAAKIDAAAOAAAAAAAAAAEAIAAAACYBAABk&#10;cnMvZTJvRG9jLnhtbFBLBQYAAAAABgAGAFkBAABiBQAAAAA=&#10;">
                <v:fill on="f" focussize="0,0"/>
                <v:stroke color="#000000" joinstyle="round"/>
                <v:imagedata o:title=""/>
                <o:lock v:ext="edit" aspectratio="f"/>
              </v:line>
            </w:pict>
          </mc:Fallback>
        </mc:AlternateContent>
      </w:r>
      <w:r>
        <w:rPr>
          <w:sz w:val="21"/>
          <w:szCs w:val="21"/>
        </w:rPr>
        <mc:AlternateContent>
          <mc:Choice Requires="wps">
            <w:drawing>
              <wp:anchor distT="0" distB="0" distL="113665" distR="113665" simplePos="0" relativeHeight="251730944" behindDoc="0" locked="0" layoutInCell="1" allowOverlap="1">
                <wp:simplePos x="0" y="0"/>
                <wp:positionH relativeFrom="column">
                  <wp:posOffset>1143000</wp:posOffset>
                </wp:positionH>
                <wp:positionV relativeFrom="paragraph">
                  <wp:posOffset>137795</wp:posOffset>
                </wp:positionV>
                <wp:extent cx="0" cy="140970"/>
                <wp:effectExtent l="0" t="0" r="19050" b="30480"/>
                <wp:wrapNone/>
                <wp:docPr id="139" name="直接连接符 43"/>
                <wp:cNvGraphicFramePr/>
                <a:graphic xmlns:a="http://schemas.openxmlformats.org/drawingml/2006/main">
                  <a:graphicData uri="http://schemas.microsoft.com/office/word/2010/wordprocessingShape">
                    <wps:wsp>
                      <wps:cNvCnPr/>
                      <wps:spPr>
                        <a:xfrm>
                          <a:off x="0" y="0"/>
                          <a:ext cx="0" cy="140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43" o:spid="_x0000_s1026" o:spt="20" style="position:absolute;left:0pt;margin-left:90pt;margin-top:10.85pt;height:11.1pt;width:0pt;z-index:251730944;mso-width-relative:page;mso-height-relative:page;" filled="f" stroked="t" coordsize="21600,21600" o:gfxdata="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t3UtYAAAAJ&#10;AQAADwAAAAAAAAABACAAAAAiAAAAZHJzL2Rvd25yZXYueG1sUEsBAhQAFAAAAAgAh07iQPDD3tvl&#10;AQAAswMAAA4AAAAAAAAAAQAgAAAAJQEAAGRycy9lMm9Eb2MueG1sUEsFBgAAAAAGAAYAWQEAAHwF&#10;AAA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665" distR="113665" simplePos="0" relativeHeight="251728896" behindDoc="0" locked="0" layoutInCell="1" allowOverlap="1">
                <wp:simplePos x="0" y="0"/>
                <wp:positionH relativeFrom="column">
                  <wp:posOffset>6994525</wp:posOffset>
                </wp:positionH>
                <wp:positionV relativeFrom="paragraph">
                  <wp:posOffset>132715</wp:posOffset>
                </wp:positionV>
                <wp:extent cx="0" cy="140970"/>
                <wp:effectExtent l="0" t="0" r="19050" b="30480"/>
                <wp:wrapNone/>
                <wp:docPr id="138" name="直接连接符 41"/>
                <wp:cNvGraphicFramePr/>
                <a:graphic xmlns:a="http://schemas.openxmlformats.org/drawingml/2006/main">
                  <a:graphicData uri="http://schemas.microsoft.com/office/word/2010/wordprocessingShape">
                    <wps:wsp>
                      <wps:cNvCnPr/>
                      <wps:spPr>
                        <a:xfrm>
                          <a:off x="0" y="0"/>
                          <a:ext cx="0" cy="140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41" o:spid="_x0000_s1026" o:spt="20" style="position:absolute;left:0pt;margin-left:550.75pt;margin-top:10.45pt;height:11.1pt;width:0pt;z-index:251728896;mso-width-relative:page;mso-height-relative:page;" filled="f" stroked="t" coordsize="21600,21600" o:gfxdata="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E7Aks9cAAAAL&#10;AQAADwAAAAAAAAABACAAAAAiAAAAZHJzL2Rvd25yZXYueG1sUEsBAhQAFAAAAAgAh07iQP6Eo/7k&#10;AQAAswMAAA4AAAAAAAAAAQAgAAAAJgEAAGRycy9lMm9Eb2MueG1sUEsFBgAAAAAGAAYAWQEAAHwF&#10;AAA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665" distR="113665" simplePos="0" relativeHeight="251727872" behindDoc="0" locked="0" layoutInCell="1" allowOverlap="1">
                <wp:simplePos x="0" y="0"/>
                <wp:positionH relativeFrom="column">
                  <wp:posOffset>5674995</wp:posOffset>
                </wp:positionH>
                <wp:positionV relativeFrom="paragraph">
                  <wp:posOffset>133350</wp:posOffset>
                </wp:positionV>
                <wp:extent cx="0" cy="140970"/>
                <wp:effectExtent l="0" t="0" r="19050" b="30480"/>
                <wp:wrapNone/>
                <wp:docPr id="137" name="直接连接符 40"/>
                <wp:cNvGraphicFramePr/>
                <a:graphic xmlns:a="http://schemas.openxmlformats.org/drawingml/2006/main">
                  <a:graphicData uri="http://schemas.microsoft.com/office/word/2010/wordprocessingShape">
                    <wps:wsp>
                      <wps:cNvCnPr/>
                      <wps:spPr>
                        <a:xfrm>
                          <a:off x="0" y="0"/>
                          <a:ext cx="0" cy="140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40" o:spid="_x0000_s1026" o:spt="20" style="position:absolute;left:0pt;margin-left:446.85pt;margin-top:10.5pt;height:11.1pt;width:0pt;z-index:251727872;mso-width-relative:page;mso-height-relative:page;" filled="f" stroked="t" coordsize="21600,21600" o:gfxdata="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LGoxHVAAAACQEA&#10;AA8AAAAAAAAAAQAgAAAAIgAAAGRycy9kb3ducmV2LnhtbFBLAQIUABQAAAAIAIdO4kAguW1n5AEA&#10;ALMDAAAOAAAAAAAAAAEAIAAAACQBAABkcnMvZTJvRG9jLnhtbFBLBQYAAAAABgAGAFkBAAB6BQAA&#10;AAA=&#10;">
                <v:fill on="f" focussize="0,0"/>
                <v:stroke weight="0.5pt" color="#000000 [3213]" miterlimit="8" joinstyle="miter"/>
                <v:imagedata o:title=""/>
                <o:lock v:ext="edit" aspectratio="f"/>
              </v:line>
            </w:pict>
          </mc:Fallback>
        </mc:AlternateContent>
      </w:r>
      <w:r>
        <w:rPr>
          <w:sz w:val="21"/>
          <w:szCs w:val="21"/>
        </w:rPr>
        <w:drawing>
          <wp:anchor distT="0" distB="0" distL="114300" distR="114300" simplePos="0" relativeHeight="251659264" behindDoc="1" locked="1" layoutInCell="1" allowOverlap="1">
            <wp:simplePos x="0" y="0"/>
            <wp:positionH relativeFrom="column">
              <wp:posOffset>2692400</wp:posOffset>
            </wp:positionH>
            <wp:positionV relativeFrom="paragraph">
              <wp:posOffset>6718300</wp:posOffset>
            </wp:positionV>
            <wp:extent cx="495300" cy="469900"/>
            <wp:effectExtent l="19050" t="0" r="0" b="0"/>
            <wp:wrapNone/>
            <wp:docPr id="2" name="图片 367" descr="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67" descr="38"/>
                    <pic:cNvPicPr>
                      <a:picLocks noChangeAspect="1" noChangeArrowheads="1"/>
                    </pic:cNvPicPr>
                  </pic:nvPicPr>
                  <pic:blipFill>
                    <a:blip r:embed="rId9" cstate="print"/>
                    <a:srcRect/>
                    <a:stretch>
                      <a:fillRect/>
                    </a:stretch>
                  </pic:blipFill>
                  <pic:spPr>
                    <a:xfrm>
                      <a:off x="0" y="0"/>
                      <a:ext cx="495300" cy="469900"/>
                    </a:xfrm>
                    <a:prstGeom prst="rect">
                      <a:avLst/>
                    </a:prstGeom>
                    <a:noFill/>
                    <a:ln w="9525">
                      <a:noFill/>
                      <a:miter lim="800000"/>
                      <a:headEnd/>
                      <a:tailEnd/>
                    </a:ln>
                  </pic:spPr>
                </pic:pic>
              </a:graphicData>
            </a:graphic>
          </wp:anchor>
        </w:drawing>
      </w:r>
    </w:p>
    <w:p w14:paraId="4AFC9EE1">
      <w:pPr>
        <w:rPr>
          <w:rFonts w:hint="eastAsia"/>
          <w:sz w:val="21"/>
          <w:szCs w:val="21"/>
        </w:rPr>
      </w:pPr>
      <w:r>
        <w:rPr>
          <w:sz w:val="21"/>
          <w:szCs w:val="21"/>
        </w:rPr>
        <mc:AlternateContent>
          <mc:Choice Requires="wps">
            <w:drawing>
              <wp:anchor distT="0" distB="0" distL="113665" distR="113665" simplePos="0" relativeHeight="251689984" behindDoc="0" locked="0" layoutInCell="1" allowOverlap="1">
                <wp:simplePos x="0" y="0"/>
                <wp:positionH relativeFrom="column">
                  <wp:posOffset>1475105</wp:posOffset>
                </wp:positionH>
                <wp:positionV relativeFrom="paragraph">
                  <wp:posOffset>20955</wp:posOffset>
                </wp:positionV>
                <wp:extent cx="0" cy="194945"/>
                <wp:effectExtent l="0" t="0" r="19050" b="33655"/>
                <wp:wrapNone/>
                <wp:docPr id="162" name="Line 957"/>
                <wp:cNvGraphicFramePr/>
                <a:graphic xmlns:a="http://schemas.openxmlformats.org/drawingml/2006/main">
                  <a:graphicData uri="http://schemas.microsoft.com/office/word/2010/wordprocessingShape">
                    <wps:wsp>
                      <wps:cNvCnPr>
                        <a:cxnSpLocks noChangeShapeType="1"/>
                      </wps:cNvCnPr>
                      <wps:spPr bwMode="auto">
                        <a:xfrm>
                          <a:off x="0" y="0"/>
                          <a:ext cx="0" cy="194945"/>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116.15pt;margin-top:1.65pt;height:15.35pt;width:0pt;z-index:251689984;mso-width-relative:page;mso-height-relative:page;" filled="f" stroked="t" coordsize="21600,21600" o:gfxdata="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Mbv7r1AAAAAgBAAAPAAAAAAAAAAEAIAAAACIAAABkcnMvZG93&#10;bnJldi54bWxQSwECFAAUAAAACACHTuJAl/Sf18sBAACiAwAADgAAAAAAAAABACAAAAAjAQAAZHJz&#10;L2Uyb0RvYy54bWxQSwUGAAAAAAYABgBZAQAAYAUAAAAA&#10;">
                <v:fill on="f" focussize="0,0"/>
                <v:stroke color="#000000" joinstyle="round"/>
                <v:imagedata o:title=""/>
                <o:lock v:ext="edit" aspectratio="f"/>
              </v:line>
            </w:pict>
          </mc:Fallback>
        </mc:AlternateContent>
      </w:r>
      <w:r>
        <w:rPr>
          <w:sz w:val="21"/>
          <w:szCs w:val="21"/>
        </w:rPr>
        <mc:AlternateContent>
          <mc:Choice Requires="wps">
            <w:drawing>
              <wp:anchor distT="0" distB="0" distL="114300" distR="114300" simplePos="0" relativeHeight="251703296" behindDoc="0" locked="0" layoutInCell="1" allowOverlap="1">
                <wp:simplePos x="0" y="0"/>
                <wp:positionH relativeFrom="column">
                  <wp:posOffset>283210</wp:posOffset>
                </wp:positionH>
                <wp:positionV relativeFrom="paragraph">
                  <wp:posOffset>22860</wp:posOffset>
                </wp:positionV>
                <wp:extent cx="1193800" cy="0"/>
                <wp:effectExtent l="0" t="0" r="25400" b="19050"/>
                <wp:wrapNone/>
                <wp:docPr id="43" name="直接连接符 232"/>
                <wp:cNvGraphicFramePr/>
                <a:graphic xmlns:a="http://schemas.openxmlformats.org/drawingml/2006/main">
                  <a:graphicData uri="http://schemas.microsoft.com/office/word/2010/wordprocessingShape">
                    <wps:wsp>
                      <wps:cNvCnPr/>
                      <wps:spPr>
                        <a:xfrm>
                          <a:off x="0" y="0"/>
                          <a:ext cx="1193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32" o:spid="_x0000_s1026" o:spt="20" style="position:absolute;left:0pt;margin-left:22.3pt;margin-top:1.8pt;height:0pt;width:94pt;z-index:251703296;mso-width-relative:page;mso-height-relative:page;" filled="f" stroked="t" coordsize="21600,21600" o:gfxdata="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69YeXTAAAABgEA&#10;AA8AAAAAAAAAAQAgAAAAIgAAAGRycy9kb3ducmV2LnhtbFBLAQIUABQAAAAIAIdO4kCz5ME05gEA&#10;ALQDAAAOAAAAAAAAAAEAIAAAACIBAABkcnMvZTJvRG9jLnhtbFBLBQYAAAAABgAGAFkBAAB6BQAA&#10;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665" distR="113665" simplePos="0" relativeHeight="251688960" behindDoc="0" locked="0" layoutInCell="1" allowOverlap="1">
                <wp:simplePos x="0" y="0"/>
                <wp:positionH relativeFrom="column">
                  <wp:posOffset>693420</wp:posOffset>
                </wp:positionH>
                <wp:positionV relativeFrom="paragraph">
                  <wp:posOffset>26670</wp:posOffset>
                </wp:positionV>
                <wp:extent cx="0" cy="179705"/>
                <wp:effectExtent l="0" t="0" r="19050" b="29845"/>
                <wp:wrapNone/>
                <wp:docPr id="161" name="Line 957"/>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54.6pt;margin-top:2.1pt;height:14.15pt;width:0pt;z-index:251688960;mso-width-relative:page;mso-height-relative:page;" filled="f" stroked="t" coordsize="21600,21600" o:gfxdata="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D/Qi3zUAAAACAEAAA8AAAAAAAAAAQAgAAAAIgAAAGRycy9kb3du&#10;cmV2LnhtbFBLAQIUABQAAAAIAIdO4kDa8l38ygEAAKIDAAAOAAAAAAAAAAEAIAAAACMBAABkcnMv&#10;ZTJvRG9jLnhtbFBLBQYAAAAABgAGAFkBAABfBQAAAAA=&#10;">
                <v:fill on="f" focussize="0,0"/>
                <v:stroke color="#000000" joinstyle="round"/>
                <v:imagedata o:title=""/>
                <o:lock v:ext="edit" aspectratio="f"/>
              </v:line>
            </w:pict>
          </mc:Fallback>
        </mc:AlternateContent>
      </w:r>
      <w:r>
        <w:rPr>
          <w:sz w:val="21"/>
          <w:szCs w:val="21"/>
        </w:rPr>
        <mc:AlternateContent>
          <mc:Choice Requires="wps">
            <w:drawing>
              <wp:anchor distT="0" distB="0" distL="113665" distR="113665" simplePos="0" relativeHeight="251731968" behindDoc="0" locked="0" layoutInCell="1" allowOverlap="1">
                <wp:simplePos x="0" y="0"/>
                <wp:positionH relativeFrom="column">
                  <wp:posOffset>1082040</wp:posOffset>
                </wp:positionH>
                <wp:positionV relativeFrom="paragraph">
                  <wp:posOffset>26670</wp:posOffset>
                </wp:positionV>
                <wp:extent cx="0" cy="179705"/>
                <wp:effectExtent l="0" t="0" r="19050" b="29845"/>
                <wp:wrapNone/>
                <wp:docPr id="46" name="Line 957"/>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85.2pt;margin-top:2.1pt;height:14.15pt;width:0pt;z-index:251731968;mso-width-relative:page;mso-height-relative:page;" filled="f" stroked="t" coordsize="21600,21600" o:gfxdata="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6JrwvUAAAACAEAAA8AAAAAAAAAAQAgAAAAIgAAAGRycy9kb3du&#10;cmV2LnhtbFBLAQIUABQAAAAIAIdO4kDa0sIQygEAAKEDAAAOAAAAAAAAAAEAIAAAACMBAABkcnMv&#10;ZTJvRG9jLnhtbFBLBQYAAAAABgAGAFkBAABfBQAAAAA=&#10;">
                <v:fill on="f" focussize="0,0"/>
                <v:stroke color="#000000" joinstyle="round"/>
                <v:imagedata o:title=""/>
                <o:lock v:ext="edit" aspectratio="f"/>
              </v:line>
            </w:pict>
          </mc:Fallback>
        </mc:AlternateContent>
      </w:r>
      <w:r>
        <w:rPr>
          <w:sz w:val="21"/>
          <w:szCs w:val="21"/>
        </w:rPr>
        <mc:AlternateContent>
          <mc:Choice Requires="wps">
            <w:drawing>
              <wp:anchor distT="0" distB="0" distL="113665" distR="113665" simplePos="0" relativeHeight="251687936" behindDoc="0" locked="0" layoutInCell="1" allowOverlap="1">
                <wp:simplePos x="0" y="0"/>
                <wp:positionH relativeFrom="column">
                  <wp:posOffset>289560</wp:posOffset>
                </wp:positionH>
                <wp:positionV relativeFrom="paragraph">
                  <wp:posOffset>22860</wp:posOffset>
                </wp:positionV>
                <wp:extent cx="0" cy="196850"/>
                <wp:effectExtent l="0" t="0" r="19050" b="31750"/>
                <wp:wrapNone/>
                <wp:docPr id="160" name="Line 957"/>
                <wp:cNvGraphicFramePr/>
                <a:graphic xmlns:a="http://schemas.openxmlformats.org/drawingml/2006/main">
                  <a:graphicData uri="http://schemas.microsoft.com/office/word/2010/wordprocessingShape">
                    <wps:wsp>
                      <wps:cNvCnPr>
                        <a:cxnSpLocks noChangeShapeType="1"/>
                      </wps:cNvCnPr>
                      <wps:spPr bwMode="auto">
                        <a:xfrm>
                          <a:off x="0" y="0"/>
                          <a:ext cx="0" cy="196850"/>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22.8pt;margin-top:1.8pt;height:15.5pt;width:0pt;z-index:251687936;mso-width-relative:page;mso-height-relative:page;" filled="f" stroked="t" coordsize="21600,21600" o:gfxdata="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Tc7YQ9IAAAAGAQAADwAAAAAAAAABACAAAAAiAAAAZHJzL2Rvd25y&#10;ZXYueG1sUEsBAhQAFAAAAAgAh07iQK1qThPLAQAAogMAAA4AAAAAAAAAAQAgAAAAIQEAAGRycy9l&#10;Mm9Eb2MueG1sUEsFBgAAAAAGAAYAWQEAAF4FAAAAAA==&#10;">
                <v:fill on="f" focussize="0,0"/>
                <v:stroke color="#000000" joinstyle="round"/>
                <v:imagedata o:title=""/>
                <o:lock v:ext="edit" aspectratio="f"/>
              </v:line>
            </w:pict>
          </mc:Fallback>
        </mc:AlternateContent>
      </w:r>
      <w:r>
        <w:rPr>
          <w:sz w:val="21"/>
          <w:szCs w:val="21"/>
        </w:rPr>
        <mc:AlternateContent>
          <mc:Choice Requires="wps">
            <w:drawing>
              <wp:anchor distT="0" distB="0" distL="114300" distR="114300" simplePos="0" relativeHeight="251684864" behindDoc="0" locked="0" layoutInCell="1" allowOverlap="1">
                <wp:simplePos x="0" y="0"/>
                <wp:positionH relativeFrom="margin">
                  <wp:posOffset>91440</wp:posOffset>
                </wp:positionH>
                <wp:positionV relativeFrom="paragraph">
                  <wp:posOffset>213360</wp:posOffset>
                </wp:positionV>
                <wp:extent cx="372110" cy="1199515"/>
                <wp:effectExtent l="0" t="0" r="27940" b="19685"/>
                <wp:wrapNone/>
                <wp:docPr id="145" name="AutoShape 974"/>
                <wp:cNvGraphicFramePr/>
                <a:graphic xmlns:a="http://schemas.openxmlformats.org/drawingml/2006/main">
                  <a:graphicData uri="http://schemas.microsoft.com/office/word/2010/wordprocessingShape">
                    <wps:wsp>
                      <wps:cNvSpPr>
                        <a:spLocks noChangeArrowheads="1"/>
                      </wps:cNvSpPr>
                      <wps:spPr bwMode="auto">
                        <a:xfrm>
                          <a:off x="0" y="0"/>
                          <a:ext cx="372110" cy="1199515"/>
                        </a:xfrm>
                        <a:prstGeom prst="flowChartProcess">
                          <a:avLst/>
                        </a:prstGeom>
                        <a:solidFill>
                          <a:srgbClr val="FFFFFF"/>
                        </a:solidFill>
                        <a:ln w="9525">
                          <a:solidFill>
                            <a:srgbClr val="000000"/>
                          </a:solidFill>
                          <a:miter lim="800000"/>
                        </a:ln>
                      </wps:spPr>
                      <wps:txbx>
                        <w:txbxContent>
                          <w:p w14:paraId="7BB4DFA8">
                            <w:pPr>
                              <w:spacing w:line="240" w:lineRule="auto"/>
                              <w:jc w:val="center"/>
                              <w:rPr>
                                <w:rFonts w:hint="eastAsia"/>
                                <w:sz w:val="21"/>
                                <w:szCs w:val="21"/>
                              </w:rPr>
                            </w:pPr>
                            <w:r>
                              <w:rPr>
                                <w:rFonts w:hint="eastAsia"/>
                                <w:sz w:val="21"/>
                                <w:szCs w:val="21"/>
                              </w:rPr>
                              <w:t>总</w:t>
                            </w:r>
                          </w:p>
                          <w:p w14:paraId="64F51A21">
                            <w:pPr>
                              <w:spacing w:line="240" w:lineRule="auto"/>
                              <w:jc w:val="center"/>
                              <w:rPr>
                                <w:rFonts w:hint="eastAsia"/>
                                <w:sz w:val="21"/>
                                <w:szCs w:val="21"/>
                              </w:rPr>
                            </w:pPr>
                            <w:r>
                              <w:rPr>
                                <w:rFonts w:hint="eastAsia"/>
                                <w:sz w:val="21"/>
                                <w:szCs w:val="21"/>
                              </w:rPr>
                              <w:t>体</w:t>
                            </w:r>
                          </w:p>
                          <w:p w14:paraId="29F8459F">
                            <w:pPr>
                              <w:spacing w:line="240" w:lineRule="auto"/>
                              <w:jc w:val="center"/>
                              <w:rPr>
                                <w:rFonts w:hint="eastAsia"/>
                                <w:sz w:val="21"/>
                                <w:szCs w:val="21"/>
                              </w:rPr>
                            </w:pPr>
                            <w:r>
                              <w:rPr>
                                <w:rFonts w:hint="eastAsia"/>
                                <w:sz w:val="21"/>
                                <w:szCs w:val="21"/>
                              </w:rPr>
                              <w:t>策</w:t>
                            </w:r>
                          </w:p>
                          <w:p w14:paraId="3493B23D">
                            <w:pPr>
                              <w:spacing w:line="240" w:lineRule="auto"/>
                              <w:jc w:val="center"/>
                              <w:rPr>
                                <w:rFonts w:hint="eastAsia"/>
                                <w:sz w:val="21"/>
                                <w:szCs w:val="21"/>
                              </w:rPr>
                            </w:pPr>
                            <w:r>
                              <w:rPr>
                                <w:rFonts w:hint="eastAsia"/>
                                <w:sz w:val="21"/>
                                <w:szCs w:val="21"/>
                              </w:rPr>
                              <w:t>划</w:t>
                            </w:r>
                          </w:p>
                        </w:txbxContent>
                      </wps:txbx>
                      <wps:bodyPr rot="0" vert="horz" wrap="square" lIns="36000" tIns="0" rIns="36000" bIns="0" anchor="ctr" anchorCtr="0" upright="1">
                        <a:noAutofit/>
                      </wps:bodyPr>
                    </wps:wsp>
                  </a:graphicData>
                </a:graphic>
              </wp:anchor>
            </w:drawing>
          </mc:Choice>
          <mc:Fallback>
            <w:pict>
              <v:shape id="AutoShape 974" o:spid="_x0000_s1026" o:spt="109" type="#_x0000_t109" style="position:absolute;left:0pt;margin-left:7.2pt;margin-top:16.8pt;height:94.45pt;width:29.3pt;mso-position-horizontal-relative:margin;z-index:251684864;v-text-anchor:middle;mso-width-relative:page;mso-height-relative:page;" fillcolor="#FFFFFF" filled="t" stroked="t" coordsize="21600,21600" o:gfxdata="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MS2rl/XAAAACAEAAA8AAAAAAAAAAQAgAAAAIgAAAGRycy9kb3ducmV2Lnht&#10;bFBLAQIUABQAAAAIAIdO4kCtS149MwIAAIcEAAAOAAAAAAAAAAEAIAAAACYBAABkcnMvZTJvRG9j&#10;LnhtbFBLBQYAAAAABgAGAFkBAADLBQAAAAA=&#10;">
                <v:fill on="t" focussize="0,0"/>
                <v:stroke color="#000000" miterlimit="8" joinstyle="miter"/>
                <v:imagedata o:title=""/>
                <o:lock v:ext="edit" aspectratio="f"/>
                <v:textbox inset="1mm,0mm,1mm,0mm">
                  <w:txbxContent>
                    <w:p w14:paraId="7BB4DFA8">
                      <w:pPr>
                        <w:spacing w:line="240" w:lineRule="auto"/>
                        <w:jc w:val="center"/>
                        <w:rPr>
                          <w:rFonts w:hint="eastAsia"/>
                          <w:sz w:val="21"/>
                          <w:szCs w:val="21"/>
                        </w:rPr>
                      </w:pPr>
                      <w:r>
                        <w:rPr>
                          <w:rFonts w:hint="eastAsia"/>
                          <w:sz w:val="21"/>
                          <w:szCs w:val="21"/>
                        </w:rPr>
                        <w:t>总</w:t>
                      </w:r>
                    </w:p>
                    <w:p w14:paraId="64F51A21">
                      <w:pPr>
                        <w:spacing w:line="240" w:lineRule="auto"/>
                        <w:jc w:val="center"/>
                        <w:rPr>
                          <w:rFonts w:hint="eastAsia"/>
                          <w:sz w:val="21"/>
                          <w:szCs w:val="21"/>
                        </w:rPr>
                      </w:pPr>
                      <w:r>
                        <w:rPr>
                          <w:rFonts w:hint="eastAsia"/>
                          <w:sz w:val="21"/>
                          <w:szCs w:val="21"/>
                        </w:rPr>
                        <w:t>体</w:t>
                      </w:r>
                    </w:p>
                    <w:p w14:paraId="29F8459F">
                      <w:pPr>
                        <w:spacing w:line="240" w:lineRule="auto"/>
                        <w:jc w:val="center"/>
                        <w:rPr>
                          <w:rFonts w:hint="eastAsia"/>
                          <w:sz w:val="21"/>
                          <w:szCs w:val="21"/>
                        </w:rPr>
                      </w:pPr>
                      <w:r>
                        <w:rPr>
                          <w:rFonts w:hint="eastAsia"/>
                          <w:sz w:val="21"/>
                          <w:szCs w:val="21"/>
                        </w:rPr>
                        <w:t>策</w:t>
                      </w:r>
                    </w:p>
                    <w:p w14:paraId="3493B23D">
                      <w:pPr>
                        <w:spacing w:line="240" w:lineRule="auto"/>
                        <w:jc w:val="center"/>
                        <w:rPr>
                          <w:rFonts w:hint="eastAsia"/>
                          <w:sz w:val="21"/>
                          <w:szCs w:val="21"/>
                        </w:rPr>
                      </w:pPr>
                      <w:r>
                        <w:rPr>
                          <w:rFonts w:hint="eastAsia"/>
                          <w:sz w:val="21"/>
                          <w:szCs w:val="21"/>
                        </w:rPr>
                        <w:t>划</w:t>
                      </w:r>
                    </w:p>
                  </w:txbxContent>
                </v:textbox>
              </v:shape>
            </w:pict>
          </mc:Fallback>
        </mc:AlternateContent>
      </w:r>
      <w:r>
        <w:rPr>
          <w:sz w:val="21"/>
          <w:szCs w:val="21"/>
        </w:rPr>
        <mc:AlternateContent>
          <mc:Choice Requires="wps">
            <w:drawing>
              <wp:anchor distT="0" distB="0" distL="114300" distR="114300" simplePos="0" relativeHeight="251685888" behindDoc="0" locked="0" layoutInCell="1" allowOverlap="1">
                <wp:simplePos x="0" y="0"/>
                <wp:positionH relativeFrom="column">
                  <wp:posOffset>499745</wp:posOffset>
                </wp:positionH>
                <wp:positionV relativeFrom="paragraph">
                  <wp:posOffset>213360</wp:posOffset>
                </wp:positionV>
                <wp:extent cx="350520" cy="1199515"/>
                <wp:effectExtent l="0" t="0" r="11430" b="19685"/>
                <wp:wrapNone/>
                <wp:docPr id="146" name="AutoShape 974"/>
                <wp:cNvGraphicFramePr/>
                <a:graphic xmlns:a="http://schemas.openxmlformats.org/drawingml/2006/main">
                  <a:graphicData uri="http://schemas.microsoft.com/office/word/2010/wordprocessingShape">
                    <wps:wsp>
                      <wps:cNvSpPr>
                        <a:spLocks noChangeArrowheads="1"/>
                      </wps:cNvSpPr>
                      <wps:spPr bwMode="auto">
                        <a:xfrm>
                          <a:off x="0" y="0"/>
                          <a:ext cx="350520" cy="1199515"/>
                        </a:xfrm>
                        <a:prstGeom prst="flowChartProcess">
                          <a:avLst/>
                        </a:prstGeom>
                        <a:solidFill>
                          <a:srgbClr val="FFFFFF"/>
                        </a:solidFill>
                        <a:ln w="9525">
                          <a:solidFill>
                            <a:srgbClr val="000000"/>
                          </a:solidFill>
                          <a:miter lim="800000"/>
                        </a:ln>
                      </wps:spPr>
                      <wps:txbx>
                        <w:txbxContent>
                          <w:p w14:paraId="5510A5D4">
                            <w:pPr>
                              <w:spacing w:line="240" w:lineRule="auto"/>
                              <w:jc w:val="center"/>
                              <w:rPr>
                                <w:rFonts w:hint="eastAsia"/>
                                <w:sz w:val="21"/>
                                <w:szCs w:val="21"/>
                              </w:rPr>
                            </w:pPr>
                            <w:r>
                              <w:rPr>
                                <w:rFonts w:hint="eastAsia"/>
                                <w:sz w:val="21"/>
                                <w:szCs w:val="21"/>
                              </w:rPr>
                              <w:t>设</w:t>
                            </w:r>
                          </w:p>
                          <w:p w14:paraId="7AB69326">
                            <w:pPr>
                              <w:spacing w:line="240" w:lineRule="auto"/>
                              <w:jc w:val="center"/>
                              <w:rPr>
                                <w:rFonts w:hint="eastAsia"/>
                                <w:sz w:val="21"/>
                                <w:szCs w:val="21"/>
                              </w:rPr>
                            </w:pPr>
                            <w:r>
                              <w:rPr>
                                <w:rFonts w:hint="eastAsia"/>
                                <w:sz w:val="21"/>
                                <w:szCs w:val="21"/>
                              </w:rPr>
                              <w:t>计</w:t>
                            </w:r>
                          </w:p>
                          <w:p w14:paraId="4938108A">
                            <w:pPr>
                              <w:spacing w:line="240" w:lineRule="auto"/>
                              <w:jc w:val="center"/>
                              <w:rPr>
                                <w:rFonts w:hint="eastAsia"/>
                                <w:sz w:val="21"/>
                                <w:szCs w:val="21"/>
                              </w:rPr>
                            </w:pPr>
                            <w:r>
                              <w:rPr>
                                <w:rFonts w:hint="eastAsia"/>
                                <w:sz w:val="21"/>
                                <w:szCs w:val="21"/>
                              </w:rPr>
                              <w:t>策</w:t>
                            </w:r>
                          </w:p>
                          <w:p w14:paraId="06DF622A">
                            <w:pPr>
                              <w:spacing w:line="240" w:lineRule="auto"/>
                              <w:jc w:val="center"/>
                              <w:rPr>
                                <w:rFonts w:hint="eastAsia"/>
                                <w:sz w:val="21"/>
                                <w:szCs w:val="21"/>
                              </w:rPr>
                            </w:pPr>
                            <w:r>
                              <w:rPr>
                                <w:rFonts w:hint="eastAsia"/>
                                <w:sz w:val="21"/>
                                <w:szCs w:val="21"/>
                              </w:rPr>
                              <w:t>划</w:t>
                            </w:r>
                          </w:p>
                        </w:txbxContent>
                      </wps:txbx>
                      <wps:bodyPr rot="0" vert="horz" wrap="square" lIns="36000" tIns="0" rIns="36000" bIns="0" anchor="ctr" anchorCtr="0" upright="1">
                        <a:noAutofit/>
                      </wps:bodyPr>
                    </wps:wsp>
                  </a:graphicData>
                </a:graphic>
              </wp:anchor>
            </w:drawing>
          </mc:Choice>
          <mc:Fallback>
            <w:pict>
              <v:shape id="AutoShape 974" o:spid="_x0000_s1026" o:spt="109" type="#_x0000_t109" style="position:absolute;left:0pt;margin-left:39.35pt;margin-top:16.8pt;height:94.45pt;width:27.6pt;z-index:251685888;v-text-anchor:middle;mso-width-relative:page;mso-height-relative:page;" fillcolor="#FFFFFF" filled="t" stroked="t" coordsize="21600,21600" o:gfxdata="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ClgGj2AAAAAkBAAAPAAAAAAAAAAEAIAAAACIAAABkcnMvZG93bnJldi54&#10;bWxQSwECFAAUAAAACACHTuJAeHz5rzMCAACHBAAADgAAAAAAAAABACAAAAAnAQAAZHJzL2Uyb0Rv&#10;Yy54bWxQSwUGAAAAAAYABgBZAQAAzAUAAAAA&#10;">
                <v:fill on="t" focussize="0,0"/>
                <v:stroke color="#000000" miterlimit="8" joinstyle="miter"/>
                <v:imagedata o:title=""/>
                <o:lock v:ext="edit" aspectratio="f"/>
                <v:textbox inset="1mm,0mm,1mm,0mm">
                  <w:txbxContent>
                    <w:p w14:paraId="5510A5D4">
                      <w:pPr>
                        <w:spacing w:line="240" w:lineRule="auto"/>
                        <w:jc w:val="center"/>
                        <w:rPr>
                          <w:rFonts w:hint="eastAsia"/>
                          <w:sz w:val="21"/>
                          <w:szCs w:val="21"/>
                        </w:rPr>
                      </w:pPr>
                      <w:r>
                        <w:rPr>
                          <w:rFonts w:hint="eastAsia"/>
                          <w:sz w:val="21"/>
                          <w:szCs w:val="21"/>
                        </w:rPr>
                        <w:t>设</w:t>
                      </w:r>
                    </w:p>
                    <w:p w14:paraId="7AB69326">
                      <w:pPr>
                        <w:spacing w:line="240" w:lineRule="auto"/>
                        <w:jc w:val="center"/>
                        <w:rPr>
                          <w:rFonts w:hint="eastAsia"/>
                          <w:sz w:val="21"/>
                          <w:szCs w:val="21"/>
                        </w:rPr>
                      </w:pPr>
                      <w:r>
                        <w:rPr>
                          <w:rFonts w:hint="eastAsia"/>
                          <w:sz w:val="21"/>
                          <w:szCs w:val="21"/>
                        </w:rPr>
                        <w:t>计</w:t>
                      </w:r>
                    </w:p>
                    <w:p w14:paraId="4938108A">
                      <w:pPr>
                        <w:spacing w:line="240" w:lineRule="auto"/>
                        <w:jc w:val="center"/>
                        <w:rPr>
                          <w:rFonts w:hint="eastAsia"/>
                          <w:sz w:val="21"/>
                          <w:szCs w:val="21"/>
                        </w:rPr>
                      </w:pPr>
                      <w:r>
                        <w:rPr>
                          <w:rFonts w:hint="eastAsia"/>
                          <w:sz w:val="21"/>
                          <w:szCs w:val="21"/>
                        </w:rPr>
                        <w:t>策</w:t>
                      </w:r>
                    </w:p>
                    <w:p w14:paraId="06DF622A">
                      <w:pPr>
                        <w:spacing w:line="240" w:lineRule="auto"/>
                        <w:jc w:val="center"/>
                        <w:rPr>
                          <w:rFonts w:hint="eastAsia"/>
                          <w:sz w:val="21"/>
                          <w:szCs w:val="21"/>
                        </w:rPr>
                      </w:pPr>
                      <w:r>
                        <w:rPr>
                          <w:rFonts w:hint="eastAsia"/>
                          <w:sz w:val="21"/>
                          <w:szCs w:val="21"/>
                        </w:rPr>
                        <w:t>划</w:t>
                      </w:r>
                    </w:p>
                  </w:txbxContent>
                </v:textbox>
              </v:shape>
            </w:pict>
          </mc:Fallback>
        </mc:AlternateContent>
      </w:r>
      <w:r>
        <w:rPr>
          <w:sz w:val="21"/>
          <w:szCs w:val="21"/>
        </w:rPr>
        <mc:AlternateContent>
          <mc:Choice Requires="wps">
            <w:drawing>
              <wp:anchor distT="0" distB="0" distL="114300" distR="114300" simplePos="0" relativeHeight="251686912" behindDoc="0" locked="0" layoutInCell="1" allowOverlap="1">
                <wp:simplePos x="0" y="0"/>
                <wp:positionH relativeFrom="column">
                  <wp:posOffset>894715</wp:posOffset>
                </wp:positionH>
                <wp:positionV relativeFrom="paragraph">
                  <wp:posOffset>213360</wp:posOffset>
                </wp:positionV>
                <wp:extent cx="354965" cy="1203960"/>
                <wp:effectExtent l="0" t="0" r="26035" b="15240"/>
                <wp:wrapNone/>
                <wp:docPr id="147" name="AutoShape 974"/>
                <wp:cNvGraphicFramePr/>
                <a:graphic xmlns:a="http://schemas.openxmlformats.org/drawingml/2006/main">
                  <a:graphicData uri="http://schemas.microsoft.com/office/word/2010/wordprocessingShape">
                    <wps:wsp>
                      <wps:cNvSpPr>
                        <a:spLocks noChangeArrowheads="1"/>
                      </wps:cNvSpPr>
                      <wps:spPr bwMode="auto">
                        <a:xfrm>
                          <a:off x="0" y="0"/>
                          <a:ext cx="354965" cy="1203960"/>
                        </a:xfrm>
                        <a:prstGeom prst="flowChartProcess">
                          <a:avLst/>
                        </a:prstGeom>
                        <a:solidFill>
                          <a:srgbClr val="FFFFFF"/>
                        </a:solidFill>
                        <a:ln w="9525">
                          <a:solidFill>
                            <a:srgbClr val="000000"/>
                          </a:solidFill>
                          <a:miter lim="800000"/>
                        </a:ln>
                      </wps:spPr>
                      <wps:txbx>
                        <w:txbxContent>
                          <w:p w14:paraId="3452B582">
                            <w:pPr>
                              <w:spacing w:line="240" w:lineRule="auto"/>
                              <w:jc w:val="center"/>
                              <w:rPr>
                                <w:rFonts w:hint="eastAsia"/>
                                <w:sz w:val="21"/>
                                <w:szCs w:val="21"/>
                              </w:rPr>
                            </w:pPr>
                            <w:r>
                              <w:rPr>
                                <w:rFonts w:hint="eastAsia"/>
                                <w:sz w:val="21"/>
                                <w:szCs w:val="21"/>
                              </w:rPr>
                              <w:t>施</w:t>
                            </w:r>
                          </w:p>
                          <w:p w14:paraId="640A170A">
                            <w:pPr>
                              <w:spacing w:line="240" w:lineRule="auto"/>
                              <w:jc w:val="center"/>
                              <w:rPr>
                                <w:rFonts w:hint="eastAsia"/>
                                <w:sz w:val="21"/>
                                <w:szCs w:val="21"/>
                              </w:rPr>
                            </w:pPr>
                            <w:r>
                              <w:rPr>
                                <w:rFonts w:hint="eastAsia"/>
                                <w:sz w:val="21"/>
                                <w:szCs w:val="21"/>
                              </w:rPr>
                              <w:t>工</w:t>
                            </w:r>
                          </w:p>
                          <w:p w14:paraId="7222BA2A">
                            <w:pPr>
                              <w:spacing w:line="240" w:lineRule="auto"/>
                              <w:jc w:val="center"/>
                              <w:rPr>
                                <w:rFonts w:hint="eastAsia"/>
                                <w:sz w:val="21"/>
                                <w:szCs w:val="21"/>
                              </w:rPr>
                            </w:pPr>
                            <w:r>
                              <w:rPr>
                                <w:rFonts w:hint="eastAsia"/>
                                <w:sz w:val="21"/>
                                <w:szCs w:val="21"/>
                              </w:rPr>
                              <w:t>策</w:t>
                            </w:r>
                          </w:p>
                          <w:p w14:paraId="394CCDCD">
                            <w:pPr>
                              <w:spacing w:line="240" w:lineRule="auto"/>
                              <w:jc w:val="center"/>
                              <w:rPr>
                                <w:rFonts w:hint="eastAsia"/>
                                <w:sz w:val="21"/>
                                <w:szCs w:val="21"/>
                              </w:rPr>
                            </w:pPr>
                            <w:r>
                              <w:rPr>
                                <w:rFonts w:hint="eastAsia"/>
                                <w:sz w:val="21"/>
                                <w:szCs w:val="21"/>
                              </w:rPr>
                              <w:t>划</w:t>
                            </w:r>
                          </w:p>
                        </w:txbxContent>
                      </wps:txbx>
                      <wps:bodyPr rot="0" vert="horz" wrap="square" lIns="36000" tIns="0" rIns="36000" bIns="0" anchor="ctr" anchorCtr="0" upright="1">
                        <a:noAutofit/>
                      </wps:bodyPr>
                    </wps:wsp>
                  </a:graphicData>
                </a:graphic>
              </wp:anchor>
            </w:drawing>
          </mc:Choice>
          <mc:Fallback>
            <w:pict>
              <v:shape id="AutoShape 974" o:spid="_x0000_s1026" o:spt="109" type="#_x0000_t109" style="position:absolute;left:0pt;margin-left:70.45pt;margin-top:16.8pt;height:94.8pt;width:27.95pt;z-index:251686912;v-text-anchor:middle;mso-width-relative:page;mso-height-relative:page;" fillcolor="#FFFFFF" filled="t" stroked="t" coordsize="21600,21600" o:gfxdata="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L1C+NtgAAAAKAQAADwAAAAAAAAABACAAAAAiAAAAZHJzL2Rvd25yZXYu&#10;eG1sUEsBAhQAFAAAAAgAh07iQJ3rcMY0AgAAhwQAAA4AAAAAAAAAAQAgAAAAJwEAAGRycy9lMm9E&#10;b2MueG1sUEsFBgAAAAAGAAYAWQEAAM0FAAAAAA==&#10;">
                <v:fill on="t" focussize="0,0"/>
                <v:stroke color="#000000" miterlimit="8" joinstyle="miter"/>
                <v:imagedata o:title=""/>
                <o:lock v:ext="edit" aspectratio="f"/>
                <v:textbox inset="1mm,0mm,1mm,0mm">
                  <w:txbxContent>
                    <w:p w14:paraId="3452B582">
                      <w:pPr>
                        <w:spacing w:line="240" w:lineRule="auto"/>
                        <w:jc w:val="center"/>
                        <w:rPr>
                          <w:rFonts w:hint="eastAsia"/>
                          <w:sz w:val="21"/>
                          <w:szCs w:val="21"/>
                        </w:rPr>
                      </w:pPr>
                      <w:r>
                        <w:rPr>
                          <w:rFonts w:hint="eastAsia"/>
                          <w:sz w:val="21"/>
                          <w:szCs w:val="21"/>
                        </w:rPr>
                        <w:t>施</w:t>
                      </w:r>
                    </w:p>
                    <w:p w14:paraId="640A170A">
                      <w:pPr>
                        <w:spacing w:line="240" w:lineRule="auto"/>
                        <w:jc w:val="center"/>
                        <w:rPr>
                          <w:rFonts w:hint="eastAsia"/>
                          <w:sz w:val="21"/>
                          <w:szCs w:val="21"/>
                        </w:rPr>
                      </w:pPr>
                      <w:r>
                        <w:rPr>
                          <w:rFonts w:hint="eastAsia"/>
                          <w:sz w:val="21"/>
                          <w:szCs w:val="21"/>
                        </w:rPr>
                        <w:t>工</w:t>
                      </w:r>
                    </w:p>
                    <w:p w14:paraId="7222BA2A">
                      <w:pPr>
                        <w:spacing w:line="240" w:lineRule="auto"/>
                        <w:jc w:val="center"/>
                        <w:rPr>
                          <w:rFonts w:hint="eastAsia"/>
                          <w:sz w:val="21"/>
                          <w:szCs w:val="21"/>
                        </w:rPr>
                      </w:pPr>
                      <w:r>
                        <w:rPr>
                          <w:rFonts w:hint="eastAsia"/>
                          <w:sz w:val="21"/>
                          <w:szCs w:val="21"/>
                        </w:rPr>
                        <w:t>策</w:t>
                      </w:r>
                    </w:p>
                    <w:p w14:paraId="394CCDCD">
                      <w:pPr>
                        <w:spacing w:line="240" w:lineRule="auto"/>
                        <w:jc w:val="center"/>
                        <w:rPr>
                          <w:rFonts w:hint="eastAsia"/>
                          <w:sz w:val="21"/>
                          <w:szCs w:val="21"/>
                        </w:rPr>
                      </w:pPr>
                      <w:r>
                        <w:rPr>
                          <w:rFonts w:hint="eastAsia"/>
                          <w:sz w:val="21"/>
                          <w:szCs w:val="21"/>
                        </w:rPr>
                        <w:t>划</w:t>
                      </w:r>
                    </w:p>
                  </w:txbxContent>
                </v:textbox>
              </v:shape>
            </w:pict>
          </mc:Fallback>
        </mc:AlternateContent>
      </w:r>
      <w:r>
        <w:rPr>
          <w:sz w:val="21"/>
          <w:szCs w:val="21"/>
        </w:rPr>
        <mc:AlternateContent>
          <mc:Choice Requires="wps">
            <w:drawing>
              <wp:anchor distT="0" distB="0" distL="114300" distR="114300" simplePos="0" relativeHeight="251660288" behindDoc="0" locked="0" layoutInCell="1" allowOverlap="1">
                <wp:simplePos x="0" y="0"/>
                <wp:positionH relativeFrom="column">
                  <wp:posOffset>1289050</wp:posOffset>
                </wp:positionH>
                <wp:positionV relativeFrom="paragraph">
                  <wp:posOffset>213360</wp:posOffset>
                </wp:positionV>
                <wp:extent cx="348615" cy="1203960"/>
                <wp:effectExtent l="0" t="0" r="13335" b="15240"/>
                <wp:wrapNone/>
                <wp:docPr id="136" name="AutoShape 974"/>
                <wp:cNvGraphicFramePr/>
                <a:graphic xmlns:a="http://schemas.openxmlformats.org/drawingml/2006/main">
                  <a:graphicData uri="http://schemas.microsoft.com/office/word/2010/wordprocessingShape">
                    <wps:wsp>
                      <wps:cNvSpPr>
                        <a:spLocks noChangeArrowheads="1"/>
                      </wps:cNvSpPr>
                      <wps:spPr bwMode="auto">
                        <a:xfrm>
                          <a:off x="0" y="0"/>
                          <a:ext cx="348615" cy="1203960"/>
                        </a:xfrm>
                        <a:prstGeom prst="flowChartProcess">
                          <a:avLst/>
                        </a:prstGeom>
                        <a:solidFill>
                          <a:srgbClr val="FFFFFF"/>
                        </a:solidFill>
                        <a:ln w="9525">
                          <a:solidFill>
                            <a:srgbClr val="000000"/>
                          </a:solidFill>
                          <a:miter lim="800000"/>
                        </a:ln>
                      </wps:spPr>
                      <wps:txbx>
                        <w:txbxContent>
                          <w:p w14:paraId="1441D91E">
                            <w:pPr>
                              <w:spacing w:line="240" w:lineRule="auto"/>
                              <w:jc w:val="center"/>
                              <w:rPr>
                                <w:rFonts w:hint="eastAsia"/>
                                <w:sz w:val="21"/>
                                <w:szCs w:val="21"/>
                              </w:rPr>
                            </w:pPr>
                            <w:r>
                              <w:rPr>
                                <w:rFonts w:hint="eastAsia"/>
                                <w:sz w:val="21"/>
                                <w:szCs w:val="21"/>
                              </w:rPr>
                              <w:t>移</w:t>
                            </w:r>
                          </w:p>
                          <w:p w14:paraId="3D33184F">
                            <w:pPr>
                              <w:spacing w:line="240" w:lineRule="auto"/>
                              <w:jc w:val="center"/>
                              <w:rPr>
                                <w:rFonts w:hint="eastAsia"/>
                                <w:sz w:val="21"/>
                                <w:szCs w:val="21"/>
                              </w:rPr>
                            </w:pPr>
                            <w:r>
                              <w:rPr>
                                <w:rFonts w:hint="eastAsia"/>
                                <w:sz w:val="21"/>
                                <w:szCs w:val="21"/>
                              </w:rPr>
                              <w:t>交</w:t>
                            </w:r>
                          </w:p>
                          <w:p w14:paraId="6C386251">
                            <w:pPr>
                              <w:spacing w:line="240" w:lineRule="auto"/>
                              <w:jc w:val="center"/>
                              <w:rPr>
                                <w:rFonts w:hint="eastAsia"/>
                                <w:sz w:val="21"/>
                                <w:szCs w:val="21"/>
                              </w:rPr>
                            </w:pPr>
                            <w:r>
                              <w:rPr>
                                <w:rFonts w:hint="eastAsia"/>
                                <w:sz w:val="21"/>
                                <w:szCs w:val="21"/>
                              </w:rPr>
                              <w:t>策</w:t>
                            </w:r>
                          </w:p>
                          <w:p w14:paraId="4A20B28A">
                            <w:pPr>
                              <w:spacing w:line="240" w:lineRule="auto"/>
                              <w:jc w:val="center"/>
                              <w:rPr>
                                <w:rFonts w:hint="eastAsia"/>
                                <w:snapToGrid w:val="0"/>
                                <w:kern w:val="0"/>
                              </w:rPr>
                            </w:pPr>
                            <w:r>
                              <w:rPr>
                                <w:rFonts w:hint="eastAsia"/>
                                <w:sz w:val="21"/>
                                <w:szCs w:val="21"/>
                              </w:rPr>
                              <w:t>划</w:t>
                            </w:r>
                          </w:p>
                        </w:txbxContent>
                      </wps:txbx>
                      <wps:bodyPr rot="0" vert="horz" wrap="square" lIns="36000" tIns="0" rIns="36000" bIns="0" anchor="ctr" anchorCtr="0" upright="1">
                        <a:noAutofit/>
                      </wps:bodyPr>
                    </wps:wsp>
                  </a:graphicData>
                </a:graphic>
              </wp:anchor>
            </w:drawing>
          </mc:Choice>
          <mc:Fallback>
            <w:pict>
              <v:shape id="AutoShape 974" o:spid="_x0000_s1026" o:spt="109" type="#_x0000_t109" style="position:absolute;left:0pt;margin-left:101.5pt;margin-top:16.8pt;height:94.8pt;width:27.45pt;z-index:251660288;v-text-anchor:middle;mso-width-relative:page;mso-height-relative:page;" fillcolor="#FFFFFF" filled="t" stroked="t" coordsize="21600,21600" o:gfxdata="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rFLyJ2QAAAAoBAAAPAAAAAAAAAAEAIAAAACIAAABkcnMvZG93bnJl&#10;di54bWxQSwECFAAUAAAACACHTuJAE/U9IDUCAACHBAAADgAAAAAAAAABACAAAAAoAQAAZHJzL2Uy&#10;b0RvYy54bWxQSwUGAAAAAAYABgBZAQAAzwUAAAAA&#10;">
                <v:fill on="t" focussize="0,0"/>
                <v:stroke color="#000000" miterlimit="8" joinstyle="miter"/>
                <v:imagedata o:title=""/>
                <o:lock v:ext="edit" aspectratio="f"/>
                <v:textbox inset="1mm,0mm,1mm,0mm">
                  <w:txbxContent>
                    <w:p w14:paraId="1441D91E">
                      <w:pPr>
                        <w:spacing w:line="240" w:lineRule="auto"/>
                        <w:jc w:val="center"/>
                        <w:rPr>
                          <w:rFonts w:hint="eastAsia"/>
                          <w:sz w:val="21"/>
                          <w:szCs w:val="21"/>
                        </w:rPr>
                      </w:pPr>
                      <w:r>
                        <w:rPr>
                          <w:rFonts w:hint="eastAsia"/>
                          <w:sz w:val="21"/>
                          <w:szCs w:val="21"/>
                        </w:rPr>
                        <w:t>移</w:t>
                      </w:r>
                    </w:p>
                    <w:p w14:paraId="3D33184F">
                      <w:pPr>
                        <w:spacing w:line="240" w:lineRule="auto"/>
                        <w:jc w:val="center"/>
                        <w:rPr>
                          <w:rFonts w:hint="eastAsia"/>
                          <w:sz w:val="21"/>
                          <w:szCs w:val="21"/>
                        </w:rPr>
                      </w:pPr>
                      <w:r>
                        <w:rPr>
                          <w:rFonts w:hint="eastAsia"/>
                          <w:sz w:val="21"/>
                          <w:szCs w:val="21"/>
                        </w:rPr>
                        <w:t>交</w:t>
                      </w:r>
                    </w:p>
                    <w:p w14:paraId="6C386251">
                      <w:pPr>
                        <w:spacing w:line="240" w:lineRule="auto"/>
                        <w:jc w:val="center"/>
                        <w:rPr>
                          <w:rFonts w:hint="eastAsia"/>
                          <w:sz w:val="21"/>
                          <w:szCs w:val="21"/>
                        </w:rPr>
                      </w:pPr>
                      <w:r>
                        <w:rPr>
                          <w:rFonts w:hint="eastAsia"/>
                          <w:sz w:val="21"/>
                          <w:szCs w:val="21"/>
                        </w:rPr>
                        <w:t>策</w:t>
                      </w:r>
                    </w:p>
                    <w:p w14:paraId="4A20B28A">
                      <w:pPr>
                        <w:spacing w:line="240" w:lineRule="auto"/>
                        <w:jc w:val="center"/>
                        <w:rPr>
                          <w:rFonts w:hint="eastAsia"/>
                          <w:snapToGrid w:val="0"/>
                          <w:kern w:val="0"/>
                        </w:rPr>
                      </w:pPr>
                      <w:r>
                        <w:rPr>
                          <w:rFonts w:hint="eastAsia"/>
                          <w:sz w:val="21"/>
                          <w:szCs w:val="21"/>
                        </w:rPr>
                        <w:t>划</w:t>
                      </w:r>
                    </w:p>
                  </w:txbxContent>
                </v:textbox>
              </v:shape>
            </w:pict>
          </mc:Fallback>
        </mc:AlternateContent>
      </w:r>
      <w:r>
        <w:rPr>
          <w:sz w:val="21"/>
          <w:szCs w:val="21"/>
        </w:rPr>
        <mc:AlternateContent>
          <mc:Choice Requires="wps">
            <w:drawing>
              <wp:anchor distT="0" distB="0" distL="114300" distR="114300" simplePos="0" relativeHeight="251669504" behindDoc="0" locked="0" layoutInCell="1" allowOverlap="1">
                <wp:simplePos x="0" y="0"/>
                <wp:positionH relativeFrom="column">
                  <wp:posOffset>3103245</wp:posOffset>
                </wp:positionH>
                <wp:positionV relativeFrom="paragraph">
                  <wp:posOffset>211455</wp:posOffset>
                </wp:positionV>
                <wp:extent cx="332105" cy="1203960"/>
                <wp:effectExtent l="0" t="0" r="10795" b="15240"/>
                <wp:wrapNone/>
                <wp:docPr id="130" name="AutoShape 974"/>
                <wp:cNvGraphicFramePr/>
                <a:graphic xmlns:a="http://schemas.openxmlformats.org/drawingml/2006/main">
                  <a:graphicData uri="http://schemas.microsoft.com/office/word/2010/wordprocessingShape">
                    <wps:wsp>
                      <wps:cNvSpPr>
                        <a:spLocks noChangeArrowheads="1"/>
                      </wps:cNvSpPr>
                      <wps:spPr bwMode="auto">
                        <a:xfrm>
                          <a:off x="0" y="0"/>
                          <a:ext cx="332105" cy="1203960"/>
                        </a:xfrm>
                        <a:prstGeom prst="flowChartProcess">
                          <a:avLst/>
                        </a:prstGeom>
                        <a:solidFill>
                          <a:srgbClr val="FFFFFF"/>
                        </a:solidFill>
                        <a:ln w="9525">
                          <a:solidFill>
                            <a:srgbClr val="000000"/>
                          </a:solidFill>
                          <a:miter lim="800000"/>
                        </a:ln>
                      </wps:spPr>
                      <wps:txbx>
                        <w:txbxContent>
                          <w:p w14:paraId="14F5F557">
                            <w:pPr>
                              <w:spacing w:line="240" w:lineRule="auto"/>
                              <w:jc w:val="center"/>
                              <w:rPr>
                                <w:rFonts w:hint="eastAsia"/>
                                <w:sz w:val="21"/>
                                <w:szCs w:val="21"/>
                              </w:rPr>
                            </w:pPr>
                            <w:r>
                              <w:rPr>
                                <w:rFonts w:hint="eastAsia"/>
                                <w:sz w:val="21"/>
                                <w:szCs w:val="21"/>
                              </w:rPr>
                              <w:t>太阳能</w:t>
                            </w:r>
                            <w:r>
                              <w:rPr>
                                <w:sz w:val="21"/>
                                <w:szCs w:val="21"/>
                              </w:rPr>
                              <w:t>发</w:t>
                            </w:r>
                            <w:r>
                              <w:rPr>
                                <w:rFonts w:hint="eastAsia"/>
                                <w:sz w:val="21"/>
                                <w:szCs w:val="21"/>
                              </w:rPr>
                              <w:t>电工</w:t>
                            </w:r>
                            <w:r>
                              <w:rPr>
                                <w:sz w:val="21"/>
                                <w:szCs w:val="21"/>
                              </w:rPr>
                              <w:t>程</w:t>
                            </w:r>
                          </w:p>
                          <w:p w14:paraId="3AD1C3A0">
                            <w:pPr>
                              <w:spacing w:line="240" w:lineRule="auto"/>
                              <w:jc w:val="center"/>
                              <w:rPr>
                                <w:rFonts w:hint="eastAsia"/>
                                <w:sz w:val="21"/>
                                <w:szCs w:val="21"/>
                              </w:rPr>
                            </w:pPr>
                          </w:p>
                        </w:txbxContent>
                      </wps:txbx>
                      <wps:bodyPr rot="0" vert="horz" wrap="square" lIns="91440" tIns="0" rIns="91440" bIns="0" anchor="ctr" anchorCtr="0" upright="1">
                        <a:noAutofit/>
                      </wps:bodyPr>
                    </wps:wsp>
                  </a:graphicData>
                </a:graphic>
              </wp:anchor>
            </w:drawing>
          </mc:Choice>
          <mc:Fallback>
            <w:pict>
              <v:shape id="AutoShape 974" o:spid="_x0000_s1026" o:spt="109" type="#_x0000_t109" style="position:absolute;left:0pt;margin-left:244.35pt;margin-top:16.65pt;height:94.8pt;width:26.15pt;z-index:251669504;v-text-anchor:middle;mso-width-relative:page;mso-height-relative:page;" fillcolor="#FFFFFF" filled="t" stroked="t" coordsize="21600,21600" o:gfxdata="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WnVZ83AAAAAoBAAAPAAAAAAAAAAEAIAAAACIAAABkcnMvZG93&#10;bnJldi54bWxQSwECFAAUAAAACACHTuJAkzMxwzUCAACHBAAADgAAAAAAAAABACAAAAArAQAAZHJz&#10;L2Uyb0RvYy54bWxQSwUGAAAAAAYABgBZAQAA0gUAAAAA&#10;">
                <v:fill on="t" focussize="0,0"/>
                <v:stroke color="#000000" miterlimit="8" joinstyle="miter"/>
                <v:imagedata o:title=""/>
                <o:lock v:ext="edit" aspectratio="f"/>
                <v:textbox inset="2.54mm,0mm,2.54mm,0mm">
                  <w:txbxContent>
                    <w:p w14:paraId="14F5F557">
                      <w:pPr>
                        <w:spacing w:line="240" w:lineRule="auto"/>
                        <w:jc w:val="center"/>
                        <w:rPr>
                          <w:rFonts w:hint="eastAsia"/>
                          <w:sz w:val="21"/>
                          <w:szCs w:val="21"/>
                        </w:rPr>
                      </w:pPr>
                      <w:r>
                        <w:rPr>
                          <w:rFonts w:hint="eastAsia"/>
                          <w:sz w:val="21"/>
                          <w:szCs w:val="21"/>
                        </w:rPr>
                        <w:t>太阳能</w:t>
                      </w:r>
                      <w:r>
                        <w:rPr>
                          <w:sz w:val="21"/>
                          <w:szCs w:val="21"/>
                        </w:rPr>
                        <w:t>发</w:t>
                      </w:r>
                      <w:r>
                        <w:rPr>
                          <w:rFonts w:hint="eastAsia"/>
                          <w:sz w:val="21"/>
                          <w:szCs w:val="21"/>
                        </w:rPr>
                        <w:t>电工</w:t>
                      </w:r>
                      <w:r>
                        <w:rPr>
                          <w:sz w:val="21"/>
                          <w:szCs w:val="21"/>
                        </w:rPr>
                        <w:t>程</w:t>
                      </w:r>
                    </w:p>
                    <w:p w14:paraId="3AD1C3A0">
                      <w:pPr>
                        <w:spacing w:line="240" w:lineRule="auto"/>
                        <w:jc w:val="center"/>
                        <w:rPr>
                          <w:rFonts w:hint="eastAsia"/>
                          <w:sz w:val="21"/>
                          <w:szCs w:val="21"/>
                        </w:rPr>
                      </w:pPr>
                    </w:p>
                  </w:txbxContent>
                </v:textbox>
              </v:shape>
            </w:pict>
          </mc:Fallback>
        </mc:AlternateContent>
      </w:r>
      <w:r>
        <w:rPr>
          <w:sz w:val="21"/>
          <w:szCs w:val="21"/>
        </w:rPr>
        <mc:AlternateContent>
          <mc:Choice Requires="wps">
            <w:drawing>
              <wp:anchor distT="0" distB="0" distL="114300" distR="114300" simplePos="0" relativeHeight="251709440" behindDoc="0" locked="0" layoutInCell="1" allowOverlap="1">
                <wp:simplePos x="0" y="0"/>
                <wp:positionH relativeFrom="column">
                  <wp:posOffset>1932940</wp:posOffset>
                </wp:positionH>
                <wp:positionV relativeFrom="paragraph">
                  <wp:posOffset>13335</wp:posOffset>
                </wp:positionV>
                <wp:extent cx="2079625" cy="0"/>
                <wp:effectExtent l="0" t="0" r="34925" b="19050"/>
                <wp:wrapNone/>
                <wp:docPr id="135" name="直接连接符 28"/>
                <wp:cNvGraphicFramePr/>
                <a:graphic xmlns:a="http://schemas.openxmlformats.org/drawingml/2006/main">
                  <a:graphicData uri="http://schemas.microsoft.com/office/word/2010/wordprocessingShape">
                    <wps:wsp>
                      <wps:cNvCnPr/>
                      <wps:spPr>
                        <a:xfrm>
                          <a:off x="0" y="0"/>
                          <a:ext cx="20796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8" o:spid="_x0000_s1026" o:spt="20" style="position:absolute;left:0pt;margin-left:152.2pt;margin-top:1.05pt;height:0pt;width:163.75pt;z-index:251709440;mso-width-relative:page;mso-height-relative:page;" filled="f" stroked="t" coordsize="21600,21600" o:gfxdata="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nxr011AAAAAcB&#10;AAAPAAAAAAAAAAEAIAAAACIAAABkcnMvZG93bnJldi54bWxQSwECFAAUAAAACACHTuJAjomw9+YB&#10;AAC0AwAADgAAAAAAAAABACAAAAAjAQAAZHJzL2Uyb0RvYy54bWxQSwUGAAAAAAYABgBZAQAAewUA&#10;A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4300" distR="114300" simplePos="0" relativeHeight="251706368" behindDoc="0" locked="0" layoutInCell="1" allowOverlap="1">
                <wp:simplePos x="0" y="0"/>
                <wp:positionH relativeFrom="column">
                  <wp:posOffset>1685290</wp:posOffset>
                </wp:positionH>
                <wp:positionV relativeFrom="paragraph">
                  <wp:posOffset>217170</wp:posOffset>
                </wp:positionV>
                <wp:extent cx="464185" cy="1198880"/>
                <wp:effectExtent l="0" t="0" r="12065" b="20320"/>
                <wp:wrapNone/>
                <wp:docPr id="133" name="AutoShape 974"/>
                <wp:cNvGraphicFramePr/>
                <a:graphic xmlns:a="http://schemas.openxmlformats.org/drawingml/2006/main">
                  <a:graphicData uri="http://schemas.microsoft.com/office/word/2010/wordprocessingShape">
                    <wps:wsp>
                      <wps:cNvSpPr>
                        <a:spLocks noChangeArrowheads="1"/>
                      </wps:cNvSpPr>
                      <wps:spPr bwMode="auto">
                        <a:xfrm>
                          <a:off x="0" y="0"/>
                          <a:ext cx="464185" cy="1198880"/>
                        </a:xfrm>
                        <a:prstGeom prst="flowChartProcess">
                          <a:avLst/>
                        </a:prstGeom>
                        <a:solidFill>
                          <a:srgbClr val="FFFFFF"/>
                        </a:solidFill>
                        <a:ln w="9525">
                          <a:solidFill>
                            <a:srgbClr val="000000"/>
                          </a:solidFill>
                          <a:miter lim="800000"/>
                        </a:ln>
                      </wps:spPr>
                      <wps:txbx>
                        <w:txbxContent>
                          <w:p w14:paraId="78DDE845">
                            <w:pPr>
                              <w:spacing w:line="240" w:lineRule="auto"/>
                              <w:jc w:val="center"/>
                              <w:rPr>
                                <w:rFonts w:hint="eastAsia"/>
                                <w:snapToGrid w:val="0"/>
                                <w:kern w:val="0"/>
                              </w:rPr>
                            </w:pPr>
                            <w:r>
                              <w:rPr>
                                <w:rFonts w:hint="eastAsia"/>
                                <w:sz w:val="21"/>
                                <w:szCs w:val="21"/>
                              </w:rPr>
                              <w:t>火</w:t>
                            </w:r>
                            <w:r>
                              <w:rPr>
                                <w:sz w:val="21"/>
                                <w:szCs w:val="21"/>
                              </w:rPr>
                              <w:t>力发电</w:t>
                            </w:r>
                            <w:r>
                              <w:rPr>
                                <w:rFonts w:hint="eastAsia"/>
                                <w:sz w:val="21"/>
                                <w:szCs w:val="21"/>
                              </w:rPr>
                              <w:t>（含核电常规岛）工</w:t>
                            </w:r>
                            <w:r>
                              <w:rPr>
                                <w:sz w:val="21"/>
                                <w:szCs w:val="21"/>
                              </w:rPr>
                              <w:t>程</w:t>
                            </w:r>
                          </w:p>
                        </w:txbxContent>
                      </wps:txbx>
                      <wps:bodyPr rot="0" vert="horz" wrap="square" lIns="91440" tIns="0" rIns="91440" bIns="0" anchor="ctr" anchorCtr="0" upright="1">
                        <a:noAutofit/>
                      </wps:bodyPr>
                    </wps:wsp>
                  </a:graphicData>
                </a:graphic>
              </wp:anchor>
            </w:drawing>
          </mc:Choice>
          <mc:Fallback>
            <w:pict>
              <v:shape id="AutoShape 974" o:spid="_x0000_s1026" o:spt="109" type="#_x0000_t109" style="position:absolute;left:0pt;margin-left:132.7pt;margin-top:17.1pt;height:94.4pt;width:36.55pt;z-index:251706368;v-text-anchor:middle;mso-width-relative:page;mso-height-relative:page;" fillcolor="#FFFFFF" filled="t" stroked="t" coordsize="21600,21600" o:gfxdata="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CNCA/jbAAAACgEAAA8AAAAAAAAAAQAgAAAAIgAAAGRycy9kb3du&#10;cmV2LnhtbFBLAQIUABQAAAAIAIdO4kBa+2EPNQIAAIcEAAAOAAAAAAAAAAEAIAAAACoBAABkcnMv&#10;ZTJvRG9jLnhtbFBLBQYAAAAABgAGAFkBAADRBQAAAAA=&#10;">
                <v:fill on="t" focussize="0,0"/>
                <v:stroke color="#000000" miterlimit="8" joinstyle="miter"/>
                <v:imagedata o:title=""/>
                <o:lock v:ext="edit" aspectratio="f"/>
                <v:textbox inset="2.54mm,0mm,2.54mm,0mm">
                  <w:txbxContent>
                    <w:p w14:paraId="78DDE845">
                      <w:pPr>
                        <w:spacing w:line="240" w:lineRule="auto"/>
                        <w:jc w:val="center"/>
                        <w:rPr>
                          <w:rFonts w:hint="eastAsia"/>
                          <w:snapToGrid w:val="0"/>
                          <w:kern w:val="0"/>
                        </w:rPr>
                      </w:pPr>
                      <w:r>
                        <w:rPr>
                          <w:rFonts w:hint="eastAsia"/>
                          <w:sz w:val="21"/>
                          <w:szCs w:val="21"/>
                        </w:rPr>
                        <w:t>火</w:t>
                      </w:r>
                      <w:r>
                        <w:rPr>
                          <w:sz w:val="21"/>
                          <w:szCs w:val="21"/>
                        </w:rPr>
                        <w:t>力发电</w:t>
                      </w:r>
                      <w:r>
                        <w:rPr>
                          <w:rFonts w:hint="eastAsia"/>
                          <w:sz w:val="21"/>
                          <w:szCs w:val="21"/>
                        </w:rPr>
                        <w:t>（含核电常规岛）工</w:t>
                      </w:r>
                      <w:r>
                        <w:rPr>
                          <w:sz w:val="21"/>
                          <w:szCs w:val="21"/>
                        </w:rPr>
                        <w:t>程</w:t>
                      </w:r>
                    </w:p>
                  </w:txbxContent>
                </v:textbox>
              </v:shape>
            </w:pict>
          </mc:Fallback>
        </mc:AlternateContent>
      </w:r>
      <w:r>
        <w:rPr>
          <w:sz w:val="21"/>
          <w:szCs w:val="21"/>
        </w:rPr>
        <mc:AlternateContent>
          <mc:Choice Requires="wps">
            <w:drawing>
              <wp:anchor distT="0" distB="0" distL="114300" distR="114300" simplePos="0" relativeHeight="251667456" behindDoc="0" locked="0" layoutInCell="1" allowOverlap="1">
                <wp:simplePos x="0" y="0"/>
                <wp:positionH relativeFrom="column">
                  <wp:posOffset>2192020</wp:posOffset>
                </wp:positionH>
                <wp:positionV relativeFrom="paragraph">
                  <wp:posOffset>216535</wp:posOffset>
                </wp:positionV>
                <wp:extent cx="490855" cy="1198245"/>
                <wp:effectExtent l="0" t="0" r="23495" b="20955"/>
                <wp:wrapNone/>
                <wp:docPr id="132" name="AutoShape 974"/>
                <wp:cNvGraphicFramePr/>
                <a:graphic xmlns:a="http://schemas.openxmlformats.org/drawingml/2006/main">
                  <a:graphicData uri="http://schemas.microsoft.com/office/word/2010/wordprocessingShape">
                    <wps:wsp>
                      <wps:cNvSpPr>
                        <a:spLocks noChangeArrowheads="1"/>
                      </wps:cNvSpPr>
                      <wps:spPr bwMode="auto">
                        <a:xfrm>
                          <a:off x="0" y="0"/>
                          <a:ext cx="490855" cy="1198245"/>
                        </a:xfrm>
                        <a:prstGeom prst="flowChartProcess">
                          <a:avLst/>
                        </a:prstGeom>
                        <a:solidFill>
                          <a:srgbClr val="FFFFFF"/>
                        </a:solidFill>
                        <a:ln w="9525">
                          <a:solidFill>
                            <a:srgbClr val="000000"/>
                          </a:solidFill>
                          <a:miter lim="800000"/>
                        </a:ln>
                      </wps:spPr>
                      <wps:txbx>
                        <w:txbxContent>
                          <w:p w14:paraId="38A9324C">
                            <w:pPr>
                              <w:spacing w:line="240" w:lineRule="auto"/>
                              <w:jc w:val="center"/>
                              <w:rPr>
                                <w:rFonts w:hint="eastAsia"/>
                                <w:snapToGrid w:val="0"/>
                                <w:kern w:val="0"/>
                              </w:rPr>
                            </w:pPr>
                            <w:r>
                              <w:rPr>
                                <w:rFonts w:hint="eastAsia"/>
                                <w:sz w:val="21"/>
                                <w:szCs w:val="21"/>
                              </w:rPr>
                              <w:t>水力发电（含抽水蓄能）工</w:t>
                            </w:r>
                            <w:r>
                              <w:rPr>
                                <w:sz w:val="21"/>
                                <w:szCs w:val="21"/>
                              </w:rPr>
                              <w:t>程</w:t>
                            </w:r>
                          </w:p>
                        </w:txbxContent>
                      </wps:txbx>
                      <wps:bodyPr rot="0" vert="horz" wrap="square" lIns="91440" tIns="0" rIns="91440" bIns="0" anchor="ctr" anchorCtr="0" upright="1">
                        <a:noAutofit/>
                      </wps:bodyPr>
                    </wps:wsp>
                  </a:graphicData>
                </a:graphic>
              </wp:anchor>
            </w:drawing>
          </mc:Choice>
          <mc:Fallback>
            <w:pict>
              <v:shape id="AutoShape 974" o:spid="_x0000_s1026" o:spt="109" type="#_x0000_t109" style="position:absolute;left:0pt;margin-left:172.6pt;margin-top:17.05pt;height:94.35pt;width:38.65pt;z-index:251667456;v-text-anchor:middle;mso-width-relative:page;mso-height-relative:page;" fillcolor="#FFFFFF" filled="t" stroked="t" coordsize="21600,21600" o:gfxdata="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aVJ1ItsAAAAKAQAADwAAAAAAAAABACAAAAAiAAAAZHJzL2Rvd25y&#10;ZXYueG1sUEsBAhQAFAAAAAgAh07iQJOYZ+80AgAAhwQAAA4AAAAAAAAAAQAgAAAAKgEAAGRycy9l&#10;Mm9Eb2MueG1sUEsFBgAAAAAGAAYAWQEAANAFAAAAAA==&#10;">
                <v:fill on="t" focussize="0,0"/>
                <v:stroke color="#000000" miterlimit="8" joinstyle="miter"/>
                <v:imagedata o:title=""/>
                <o:lock v:ext="edit" aspectratio="f"/>
                <v:textbox inset="2.54mm,0mm,2.54mm,0mm">
                  <w:txbxContent>
                    <w:p w14:paraId="38A9324C">
                      <w:pPr>
                        <w:spacing w:line="240" w:lineRule="auto"/>
                        <w:jc w:val="center"/>
                        <w:rPr>
                          <w:rFonts w:hint="eastAsia"/>
                          <w:snapToGrid w:val="0"/>
                          <w:kern w:val="0"/>
                        </w:rPr>
                      </w:pPr>
                      <w:r>
                        <w:rPr>
                          <w:rFonts w:hint="eastAsia"/>
                          <w:sz w:val="21"/>
                          <w:szCs w:val="21"/>
                        </w:rPr>
                        <w:t>水力发电（含抽水蓄能）工</w:t>
                      </w:r>
                      <w:r>
                        <w:rPr>
                          <w:sz w:val="21"/>
                          <w:szCs w:val="21"/>
                        </w:rPr>
                        <w:t>程</w:t>
                      </w:r>
                    </w:p>
                  </w:txbxContent>
                </v:textbox>
              </v:shape>
            </w:pict>
          </mc:Fallback>
        </mc:AlternateContent>
      </w:r>
      <w:r>
        <w:rPr>
          <w:sz w:val="21"/>
          <w:szCs w:val="21"/>
        </w:rPr>
        <mc:AlternateContent>
          <mc:Choice Requires="wps">
            <w:drawing>
              <wp:anchor distT="0" distB="0" distL="114300" distR="114300" simplePos="0" relativeHeight="251668480" behindDoc="0" locked="0" layoutInCell="1" allowOverlap="1">
                <wp:simplePos x="0" y="0"/>
                <wp:positionH relativeFrom="column">
                  <wp:posOffset>2735580</wp:posOffset>
                </wp:positionH>
                <wp:positionV relativeFrom="paragraph">
                  <wp:posOffset>216535</wp:posOffset>
                </wp:positionV>
                <wp:extent cx="320040" cy="1198880"/>
                <wp:effectExtent l="0" t="0" r="22860" b="20320"/>
                <wp:wrapNone/>
                <wp:docPr id="131" name="AutoShape 974"/>
                <wp:cNvGraphicFramePr/>
                <a:graphic xmlns:a="http://schemas.openxmlformats.org/drawingml/2006/main">
                  <a:graphicData uri="http://schemas.microsoft.com/office/word/2010/wordprocessingShape">
                    <wps:wsp>
                      <wps:cNvSpPr>
                        <a:spLocks noChangeArrowheads="1"/>
                      </wps:cNvSpPr>
                      <wps:spPr bwMode="auto">
                        <a:xfrm>
                          <a:off x="0" y="0"/>
                          <a:ext cx="320040" cy="1198880"/>
                        </a:xfrm>
                        <a:prstGeom prst="flowChartProcess">
                          <a:avLst/>
                        </a:prstGeom>
                        <a:solidFill>
                          <a:srgbClr val="FFFFFF"/>
                        </a:solidFill>
                        <a:ln w="9525">
                          <a:solidFill>
                            <a:srgbClr val="000000"/>
                          </a:solidFill>
                          <a:miter lim="800000"/>
                        </a:ln>
                      </wps:spPr>
                      <wps:txbx>
                        <w:txbxContent>
                          <w:p w14:paraId="4237E761">
                            <w:pPr>
                              <w:spacing w:line="240" w:lineRule="auto"/>
                              <w:jc w:val="center"/>
                              <w:rPr>
                                <w:rFonts w:hint="eastAsia"/>
                                <w:color w:val="FF0000"/>
                                <w:sz w:val="21"/>
                                <w:szCs w:val="21"/>
                              </w:rPr>
                            </w:pPr>
                            <w:r>
                              <w:rPr>
                                <w:rFonts w:hint="eastAsia"/>
                                <w:sz w:val="21"/>
                                <w:szCs w:val="21"/>
                              </w:rPr>
                              <w:t>风</w:t>
                            </w:r>
                            <w:r>
                              <w:rPr>
                                <w:sz w:val="21"/>
                                <w:szCs w:val="21"/>
                              </w:rPr>
                              <w:t>力发</w:t>
                            </w:r>
                            <w:r>
                              <w:rPr>
                                <w:rFonts w:hint="eastAsia"/>
                                <w:sz w:val="21"/>
                                <w:szCs w:val="21"/>
                              </w:rPr>
                              <w:t>电工</w:t>
                            </w:r>
                            <w:r>
                              <w:rPr>
                                <w:sz w:val="21"/>
                                <w:szCs w:val="21"/>
                              </w:rPr>
                              <w:t>程</w:t>
                            </w:r>
                          </w:p>
                        </w:txbxContent>
                      </wps:txbx>
                      <wps:bodyPr rot="0" vert="horz" wrap="square" lIns="91440" tIns="0" rIns="91440" bIns="0" anchor="ctr" anchorCtr="0" upright="1">
                        <a:noAutofit/>
                      </wps:bodyPr>
                    </wps:wsp>
                  </a:graphicData>
                </a:graphic>
              </wp:anchor>
            </w:drawing>
          </mc:Choice>
          <mc:Fallback>
            <w:pict>
              <v:shape id="AutoShape 974" o:spid="_x0000_s1026" o:spt="109" type="#_x0000_t109" style="position:absolute;left:0pt;margin-left:215.4pt;margin-top:17.05pt;height:94.4pt;width:25.2pt;z-index:251668480;v-text-anchor:middle;mso-width-relative:page;mso-height-relative:page;" fillcolor="#FFFFFF" filled="t" stroked="t" coordsize="21600,21600" o:gfxdata="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R1g+62wAAAAoBAAAPAAAAAAAAAAEAIAAAACIAAABkcnMvZG93bnJl&#10;di54bWxQSwECFAAUAAAACACHTuJA7CjHcjMCAACHBAAADgAAAAAAAAABACAAAAAqAQAAZHJzL2Uy&#10;b0RvYy54bWxQSwUGAAAAAAYABgBZAQAAzwUAAAAA&#10;">
                <v:fill on="t" focussize="0,0"/>
                <v:stroke color="#000000" miterlimit="8" joinstyle="miter"/>
                <v:imagedata o:title=""/>
                <o:lock v:ext="edit" aspectratio="f"/>
                <v:textbox inset="2.54mm,0mm,2.54mm,0mm">
                  <w:txbxContent>
                    <w:p w14:paraId="4237E761">
                      <w:pPr>
                        <w:spacing w:line="240" w:lineRule="auto"/>
                        <w:jc w:val="center"/>
                        <w:rPr>
                          <w:rFonts w:hint="eastAsia"/>
                          <w:color w:val="FF0000"/>
                          <w:sz w:val="21"/>
                          <w:szCs w:val="21"/>
                        </w:rPr>
                      </w:pPr>
                      <w:r>
                        <w:rPr>
                          <w:rFonts w:hint="eastAsia"/>
                          <w:sz w:val="21"/>
                          <w:szCs w:val="21"/>
                        </w:rPr>
                        <w:t>风</w:t>
                      </w:r>
                      <w:r>
                        <w:rPr>
                          <w:sz w:val="21"/>
                          <w:szCs w:val="21"/>
                        </w:rPr>
                        <w:t>力发</w:t>
                      </w:r>
                      <w:r>
                        <w:rPr>
                          <w:rFonts w:hint="eastAsia"/>
                          <w:sz w:val="21"/>
                          <w:szCs w:val="21"/>
                        </w:rPr>
                        <w:t>电工</w:t>
                      </w:r>
                      <w:r>
                        <w:rPr>
                          <w:sz w:val="21"/>
                          <w:szCs w:val="21"/>
                        </w:rPr>
                        <w:t>程</w:t>
                      </w:r>
                    </w:p>
                  </w:txbxContent>
                </v:textbox>
              </v:shape>
            </w:pict>
          </mc:Fallback>
        </mc:AlternateContent>
      </w:r>
      <w:r>
        <w:rPr>
          <w:sz w:val="21"/>
          <w:szCs w:val="21"/>
        </w:rPr>
        <mc:AlternateContent>
          <mc:Choice Requires="wps">
            <w:drawing>
              <wp:anchor distT="0" distB="0" distL="114300" distR="114300" simplePos="0" relativeHeight="251670528" behindDoc="0" locked="0" layoutInCell="1" allowOverlap="1">
                <wp:simplePos x="0" y="0"/>
                <wp:positionH relativeFrom="column">
                  <wp:posOffset>3482975</wp:posOffset>
                </wp:positionH>
                <wp:positionV relativeFrom="paragraph">
                  <wp:posOffset>219075</wp:posOffset>
                </wp:positionV>
                <wp:extent cx="330835" cy="1197610"/>
                <wp:effectExtent l="0" t="0" r="12065" b="21590"/>
                <wp:wrapNone/>
                <wp:docPr id="129" name="AutoShape 974"/>
                <wp:cNvGraphicFramePr/>
                <a:graphic xmlns:a="http://schemas.openxmlformats.org/drawingml/2006/main">
                  <a:graphicData uri="http://schemas.microsoft.com/office/word/2010/wordprocessingShape">
                    <wps:wsp>
                      <wps:cNvSpPr>
                        <a:spLocks noChangeArrowheads="1"/>
                      </wps:cNvSpPr>
                      <wps:spPr bwMode="auto">
                        <a:xfrm>
                          <a:off x="0" y="0"/>
                          <a:ext cx="330835" cy="1197610"/>
                        </a:xfrm>
                        <a:prstGeom prst="flowChartProcess">
                          <a:avLst/>
                        </a:prstGeom>
                        <a:solidFill>
                          <a:srgbClr val="FFFFFF"/>
                        </a:solidFill>
                        <a:ln w="9525">
                          <a:solidFill>
                            <a:srgbClr val="000000"/>
                          </a:solidFill>
                          <a:miter lim="800000"/>
                        </a:ln>
                      </wps:spPr>
                      <wps:txbx>
                        <w:txbxContent>
                          <w:p w14:paraId="200A739D">
                            <w:pPr>
                              <w:spacing w:line="240" w:lineRule="auto"/>
                              <w:jc w:val="center"/>
                              <w:rPr>
                                <w:rFonts w:hint="eastAsia"/>
                                <w:sz w:val="21"/>
                                <w:szCs w:val="21"/>
                              </w:rPr>
                            </w:pPr>
                            <w:r>
                              <w:rPr>
                                <w:rFonts w:hint="eastAsia"/>
                                <w:sz w:val="21"/>
                                <w:szCs w:val="21"/>
                              </w:rPr>
                              <w:t>输变电工</w:t>
                            </w:r>
                            <w:r>
                              <w:rPr>
                                <w:sz w:val="21"/>
                                <w:szCs w:val="21"/>
                              </w:rPr>
                              <w:t>程</w:t>
                            </w:r>
                          </w:p>
                        </w:txbxContent>
                      </wps:txbx>
                      <wps:bodyPr rot="0" vert="horz" wrap="square" lIns="91440" tIns="0" rIns="91440" bIns="0" anchor="ctr" anchorCtr="0" upright="1">
                        <a:noAutofit/>
                      </wps:bodyPr>
                    </wps:wsp>
                  </a:graphicData>
                </a:graphic>
              </wp:anchor>
            </w:drawing>
          </mc:Choice>
          <mc:Fallback>
            <w:pict>
              <v:shape id="AutoShape 974" o:spid="_x0000_s1026" o:spt="109" type="#_x0000_t109" style="position:absolute;left:0pt;margin-left:274.25pt;margin-top:17.25pt;height:94.3pt;width:26.05pt;z-index:251670528;v-text-anchor:middle;mso-width-relative:page;mso-height-relative:page;" fillcolor="#FFFFFF" filled="t" stroked="t" coordsize="21600,21600" o:gfxdata="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LqcSRTbAAAACgEAAA8AAAAAAAAAAQAgAAAAIgAAAGRycy9kb3du&#10;cmV2LnhtbFBLAQIUABQAAAAIAIdO4kDSPGTHNQIAAIcEAAAOAAAAAAAAAAEAIAAAACoBAABkcnMv&#10;ZTJvRG9jLnhtbFBLBQYAAAAABgAGAFkBAADRBQAAAAA=&#10;">
                <v:fill on="t" focussize="0,0"/>
                <v:stroke color="#000000" miterlimit="8" joinstyle="miter"/>
                <v:imagedata o:title=""/>
                <o:lock v:ext="edit" aspectratio="f"/>
                <v:textbox inset="2.54mm,0mm,2.54mm,0mm">
                  <w:txbxContent>
                    <w:p w14:paraId="200A739D">
                      <w:pPr>
                        <w:spacing w:line="240" w:lineRule="auto"/>
                        <w:jc w:val="center"/>
                        <w:rPr>
                          <w:rFonts w:hint="eastAsia"/>
                          <w:sz w:val="21"/>
                          <w:szCs w:val="21"/>
                        </w:rPr>
                      </w:pPr>
                      <w:r>
                        <w:rPr>
                          <w:rFonts w:hint="eastAsia"/>
                          <w:sz w:val="21"/>
                          <w:szCs w:val="21"/>
                        </w:rPr>
                        <w:t>输变电工</w:t>
                      </w:r>
                      <w:r>
                        <w:rPr>
                          <w:sz w:val="21"/>
                          <w:szCs w:val="21"/>
                        </w:rPr>
                        <w:t>程</w:t>
                      </w:r>
                    </w:p>
                  </w:txbxContent>
                </v:textbox>
              </v:shape>
            </w:pict>
          </mc:Fallback>
        </mc:AlternateContent>
      </w:r>
      <w:r>
        <w:rPr>
          <w:sz w:val="21"/>
          <w:szCs w:val="21"/>
        </w:rPr>
        <mc:AlternateContent>
          <mc:Choice Requires="wps">
            <w:drawing>
              <wp:anchor distT="0" distB="0" distL="114300" distR="114300" simplePos="0" relativeHeight="251671552" behindDoc="0" locked="0" layoutInCell="1" allowOverlap="1">
                <wp:simplePos x="0" y="0"/>
                <wp:positionH relativeFrom="column">
                  <wp:posOffset>3866515</wp:posOffset>
                </wp:positionH>
                <wp:positionV relativeFrom="paragraph">
                  <wp:posOffset>218440</wp:posOffset>
                </wp:positionV>
                <wp:extent cx="297180" cy="1198245"/>
                <wp:effectExtent l="0" t="0" r="26670" b="20955"/>
                <wp:wrapNone/>
                <wp:docPr id="128" name="AutoShape 974"/>
                <wp:cNvGraphicFramePr/>
                <a:graphic xmlns:a="http://schemas.openxmlformats.org/drawingml/2006/main">
                  <a:graphicData uri="http://schemas.microsoft.com/office/word/2010/wordprocessingShape">
                    <wps:wsp>
                      <wps:cNvSpPr>
                        <a:spLocks noChangeArrowheads="1"/>
                      </wps:cNvSpPr>
                      <wps:spPr bwMode="auto">
                        <a:xfrm>
                          <a:off x="0" y="0"/>
                          <a:ext cx="297180" cy="1198245"/>
                        </a:xfrm>
                        <a:prstGeom prst="flowChartProcess">
                          <a:avLst/>
                        </a:prstGeom>
                        <a:solidFill>
                          <a:srgbClr val="FFFFFF"/>
                        </a:solidFill>
                        <a:ln w="9525">
                          <a:solidFill>
                            <a:srgbClr val="000000"/>
                          </a:solidFill>
                          <a:miter lim="800000"/>
                        </a:ln>
                      </wps:spPr>
                      <wps:txbx>
                        <w:txbxContent>
                          <w:p w14:paraId="06F7AE20">
                            <w:pPr>
                              <w:spacing w:line="240" w:lineRule="auto"/>
                              <w:jc w:val="center"/>
                              <w:rPr>
                                <w:rFonts w:hint="eastAsia"/>
                                <w:sz w:val="21"/>
                                <w:szCs w:val="21"/>
                              </w:rPr>
                            </w:pPr>
                            <w:r>
                              <w:rPr>
                                <w:rFonts w:hint="eastAsia"/>
                                <w:sz w:val="21"/>
                                <w:szCs w:val="21"/>
                              </w:rPr>
                              <w:t>电力储能工程</w:t>
                            </w:r>
                          </w:p>
                        </w:txbxContent>
                      </wps:txbx>
                      <wps:bodyPr rot="0" vert="horz" wrap="square" lIns="91440" tIns="0" rIns="91440" bIns="0" anchor="ctr" anchorCtr="0" upright="1">
                        <a:noAutofit/>
                      </wps:bodyPr>
                    </wps:wsp>
                  </a:graphicData>
                </a:graphic>
              </wp:anchor>
            </w:drawing>
          </mc:Choice>
          <mc:Fallback>
            <w:pict>
              <v:shape id="AutoShape 974" o:spid="_x0000_s1026" o:spt="109" type="#_x0000_t109" style="position:absolute;left:0pt;margin-left:304.45pt;margin-top:17.2pt;height:94.35pt;width:23.4pt;z-index:251671552;v-text-anchor:middle;mso-width-relative:page;mso-height-relative:page;" fillcolor="#FFFFFF" filled="t" stroked="t" coordsize="21600,21600" o:gfxdata="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gEbsq9wAAAAKAQAADwAAAAAAAAABACAAAAAiAAAAZHJzL2Rvd25y&#10;ZXYueG1sUEsBAhQAFAAAAAgAh07iQACuPB8zAgAAhwQAAA4AAAAAAAAAAQAgAAAAKwEAAGRycy9l&#10;Mm9Eb2MueG1sUEsFBgAAAAAGAAYAWQEAANAFAAAAAA==&#10;">
                <v:fill on="t" focussize="0,0"/>
                <v:stroke color="#000000" miterlimit="8" joinstyle="miter"/>
                <v:imagedata o:title=""/>
                <o:lock v:ext="edit" aspectratio="f"/>
                <v:textbox inset="2.54mm,0mm,2.54mm,0mm">
                  <w:txbxContent>
                    <w:p w14:paraId="06F7AE20">
                      <w:pPr>
                        <w:spacing w:line="240" w:lineRule="auto"/>
                        <w:jc w:val="center"/>
                        <w:rPr>
                          <w:rFonts w:hint="eastAsia"/>
                          <w:sz w:val="21"/>
                          <w:szCs w:val="21"/>
                        </w:rPr>
                      </w:pPr>
                      <w:r>
                        <w:rPr>
                          <w:rFonts w:hint="eastAsia"/>
                          <w:sz w:val="21"/>
                          <w:szCs w:val="21"/>
                        </w:rPr>
                        <w:t>电力储能工程</w:t>
                      </w:r>
                    </w:p>
                  </w:txbxContent>
                </v:textbox>
              </v:shape>
            </w:pict>
          </mc:Fallback>
        </mc:AlternateContent>
      </w:r>
      <w:r>
        <w:rPr>
          <w:sz w:val="21"/>
          <w:szCs w:val="21"/>
        </w:rPr>
        <mc:AlternateContent>
          <mc:Choice Requires="wps">
            <w:drawing>
              <wp:anchor distT="0" distB="0" distL="114300" distR="114300" simplePos="0" relativeHeight="251710464" behindDoc="0" locked="0" layoutInCell="1" allowOverlap="1">
                <wp:simplePos x="0" y="0"/>
                <wp:positionH relativeFrom="column">
                  <wp:posOffset>1924685</wp:posOffset>
                </wp:positionH>
                <wp:positionV relativeFrom="paragraph">
                  <wp:posOffset>13970</wp:posOffset>
                </wp:positionV>
                <wp:extent cx="0" cy="200025"/>
                <wp:effectExtent l="0" t="0" r="19050" b="28575"/>
                <wp:wrapNone/>
                <wp:docPr id="56" name="Line 278"/>
                <wp:cNvGraphicFramePr/>
                <a:graphic xmlns:a="http://schemas.openxmlformats.org/drawingml/2006/main">
                  <a:graphicData uri="http://schemas.microsoft.com/office/word/2010/wordprocessingShape">
                    <wps:wsp>
                      <wps:cNvCnPr>
                        <a:cxnSpLocks noChangeShapeType="1"/>
                      </wps:cNvCnPr>
                      <wps:spPr bwMode="auto">
                        <a:xfrm flipH="1">
                          <a:off x="0" y="0"/>
                          <a:ext cx="0" cy="200025"/>
                        </a:xfrm>
                        <a:prstGeom prst="line">
                          <a:avLst/>
                        </a:prstGeom>
                        <a:noFill/>
                        <a:ln w="6350">
                          <a:solidFill>
                            <a:schemeClr val="tx1"/>
                          </a:solidFill>
                          <a:miter lim="800000"/>
                        </a:ln>
                      </wps:spPr>
                      <wps:bodyPr/>
                    </wps:wsp>
                  </a:graphicData>
                </a:graphic>
              </wp:anchor>
            </w:drawing>
          </mc:Choice>
          <mc:Fallback>
            <w:pict>
              <v:line id="Line 278" o:spid="_x0000_s1026" o:spt="20" style="position:absolute;left:0pt;flip:x;margin-left:151.55pt;margin-top:1.1pt;height:15.75pt;width:0pt;z-index:251710464;mso-width-relative:page;mso-height-relative:page;" filled="f" stroked="t" coordsize="21600,21600" o:gfxdata="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KufxdLVAAAACAEAAA8AAAAAAAAAAQAgAAAA&#10;IgAAAGRycy9kb3ducmV2LnhtbFBLAQIUABQAAAAIAIdO4kAnvOnD1QEAALgDAAAOAAAAAAAAAAEA&#10;IAAAACQBAABkcnMvZTJvRG9jLnhtbFBLBQYAAAAABgAGAFkBAABrBQAA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665" distR="113665" simplePos="0" relativeHeight="251715584" behindDoc="0" locked="0" layoutInCell="1" allowOverlap="1">
                <wp:simplePos x="0" y="0"/>
                <wp:positionH relativeFrom="column">
                  <wp:posOffset>4018915</wp:posOffset>
                </wp:positionH>
                <wp:positionV relativeFrom="paragraph">
                  <wp:posOffset>13970</wp:posOffset>
                </wp:positionV>
                <wp:extent cx="0" cy="202565"/>
                <wp:effectExtent l="0" t="0" r="19050" b="26035"/>
                <wp:wrapNone/>
                <wp:docPr id="55" name="直接连接符 237"/>
                <wp:cNvGraphicFramePr/>
                <a:graphic xmlns:a="http://schemas.openxmlformats.org/drawingml/2006/main">
                  <a:graphicData uri="http://schemas.microsoft.com/office/word/2010/wordprocessingShape">
                    <wps:wsp>
                      <wps:cNvCnPr/>
                      <wps:spPr>
                        <a:xfrm>
                          <a:off x="0" y="0"/>
                          <a:ext cx="0" cy="2025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37" o:spid="_x0000_s1026" o:spt="20" style="position:absolute;left:0pt;margin-left:316.45pt;margin-top:1.1pt;height:15.95pt;width:0pt;z-index:251715584;mso-width-relative:page;mso-height-relative:page;" filled="f" stroked="t" coordsize="21600,21600" o:gfxdata="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1nrSD1gAAAAgB&#10;AAAPAAAAAAAAAAEAIAAAACIAAABkcnMvZG93bnJldi54bWxQSwECFAAUAAAACACHTuJADtw1seQB&#10;AACzAwAADgAAAAAAAAABACAAAAAlAQAAZHJzL2Uyb0RvYy54bWxQSwUGAAAAAAYABgBZAQAAewUA&#10;A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665" distR="113665" simplePos="0" relativeHeight="251714560" behindDoc="0" locked="0" layoutInCell="1" allowOverlap="1">
                <wp:simplePos x="0" y="0"/>
                <wp:positionH relativeFrom="column">
                  <wp:posOffset>3651885</wp:posOffset>
                </wp:positionH>
                <wp:positionV relativeFrom="paragraph">
                  <wp:posOffset>13970</wp:posOffset>
                </wp:positionV>
                <wp:extent cx="0" cy="200660"/>
                <wp:effectExtent l="0" t="0" r="19050" b="27940"/>
                <wp:wrapNone/>
                <wp:docPr id="54" name="直接连接符 236"/>
                <wp:cNvGraphicFramePr/>
                <a:graphic xmlns:a="http://schemas.openxmlformats.org/drawingml/2006/main">
                  <a:graphicData uri="http://schemas.microsoft.com/office/word/2010/wordprocessingShape">
                    <wps:wsp>
                      <wps:cNvCnPr/>
                      <wps:spPr>
                        <a:xfrm>
                          <a:off x="0" y="0"/>
                          <a:ext cx="0" cy="2006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36" o:spid="_x0000_s1026" o:spt="20" style="position:absolute;left:0pt;margin-left:287.55pt;margin-top:1.1pt;height:15.8pt;width:0pt;z-index:251714560;mso-width-relative:page;mso-height-relative:page;" filled="f" stroked="t" coordsize="21600,21600" o:gfxdata="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mNSyidUAAAAIAQAA&#10;DwAAAAAAAAABACAAAAAiAAAAZHJzL2Rvd25yZXYueG1sUEsBAhQAFAAAAAgAh07iQEUxRYTjAQAA&#10;swMAAA4AAAAAAAAAAQAgAAAAJAEAAGRycy9lMm9Eb2MueG1sUEsFBgAAAAAGAAYAWQEAAHkFAAAA&#10;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665" distR="113665" simplePos="0" relativeHeight="251713536" behindDoc="0" locked="0" layoutInCell="1" allowOverlap="1">
                <wp:simplePos x="0" y="0"/>
                <wp:positionH relativeFrom="column">
                  <wp:posOffset>3268980</wp:posOffset>
                </wp:positionH>
                <wp:positionV relativeFrom="paragraph">
                  <wp:posOffset>13970</wp:posOffset>
                </wp:positionV>
                <wp:extent cx="0" cy="200660"/>
                <wp:effectExtent l="0" t="0" r="19050" b="27940"/>
                <wp:wrapNone/>
                <wp:docPr id="53" name="直接连接符 235"/>
                <wp:cNvGraphicFramePr/>
                <a:graphic xmlns:a="http://schemas.openxmlformats.org/drawingml/2006/main">
                  <a:graphicData uri="http://schemas.microsoft.com/office/word/2010/wordprocessingShape">
                    <wps:wsp>
                      <wps:cNvCnPr/>
                      <wps:spPr>
                        <a:xfrm>
                          <a:off x="0" y="0"/>
                          <a:ext cx="0" cy="2006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35" o:spid="_x0000_s1026" o:spt="20" style="position:absolute;left:0pt;margin-left:257.4pt;margin-top:1.1pt;height:15.8pt;width:0pt;z-index:251713536;mso-width-relative:page;mso-height-relative:page;" filled="f" stroked="t" coordsize="21600,21600" o:gfxdata="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f7rJ8tUAAAAIAQAA&#10;DwAAAAAAAAABACAAAAAiAAAAZHJzL2Rvd25yZXYueG1sUEsBAhQAFAAAAAgAh07iQNz9IErjAQAA&#10;swMAAA4AAAAAAAAAAQAgAAAAJAEAAGRycy9lMm9Eb2MueG1sUEsFBgAAAAAGAAYAWQEAAHkFAAAA&#10;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665" distR="113665" simplePos="0" relativeHeight="251712512" behindDoc="0" locked="0" layoutInCell="1" allowOverlap="1">
                <wp:simplePos x="0" y="0"/>
                <wp:positionH relativeFrom="column">
                  <wp:posOffset>2898140</wp:posOffset>
                </wp:positionH>
                <wp:positionV relativeFrom="paragraph">
                  <wp:posOffset>13970</wp:posOffset>
                </wp:positionV>
                <wp:extent cx="0" cy="203835"/>
                <wp:effectExtent l="0" t="0" r="19050" b="24765"/>
                <wp:wrapNone/>
                <wp:docPr id="52" name="直接连接符 31"/>
                <wp:cNvGraphicFramePr/>
                <a:graphic xmlns:a="http://schemas.openxmlformats.org/drawingml/2006/main">
                  <a:graphicData uri="http://schemas.microsoft.com/office/word/2010/wordprocessingShape">
                    <wps:wsp>
                      <wps:cNvCnPr/>
                      <wps:spPr>
                        <a:xfrm>
                          <a:off x="0" y="0"/>
                          <a:ext cx="0" cy="2038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31" o:spid="_x0000_s1026" o:spt="20" style="position:absolute;left:0pt;margin-left:228.2pt;margin-top:1.1pt;height:16.05pt;width:0pt;z-index:251712512;mso-width-relative:page;mso-height-relative:page;" filled="f" stroked="t" coordsize="21600,21600" o:gfxdata="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mG8KNUAAAAIAQAA&#10;DwAAAAAAAAABACAAAAAiAAAAZHJzL2Rvd25yZXYueG1sUEsBAhQAFAAAAAgAh07iQPOSDoHjAQAA&#10;sgMAAA4AAAAAAAAAAQAgAAAAJAEAAGRycy9lMm9Eb2MueG1sUEsFBgAAAAAGAAYAWQEAAHkFAAAA&#10;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665" distR="113665" simplePos="0" relativeHeight="251711488" behindDoc="0" locked="0" layoutInCell="1" allowOverlap="1">
                <wp:simplePos x="0" y="0"/>
                <wp:positionH relativeFrom="column">
                  <wp:posOffset>2444115</wp:posOffset>
                </wp:positionH>
                <wp:positionV relativeFrom="paragraph">
                  <wp:posOffset>13970</wp:posOffset>
                </wp:positionV>
                <wp:extent cx="0" cy="204470"/>
                <wp:effectExtent l="0" t="0" r="19050" b="24130"/>
                <wp:wrapNone/>
                <wp:docPr id="45" name="直接连接符 30"/>
                <wp:cNvGraphicFramePr/>
                <a:graphic xmlns:a="http://schemas.openxmlformats.org/drawingml/2006/main">
                  <a:graphicData uri="http://schemas.microsoft.com/office/word/2010/wordprocessingShape">
                    <wps:wsp>
                      <wps:cNvCnPr/>
                      <wps:spPr>
                        <a:xfrm>
                          <a:off x="0" y="0"/>
                          <a:ext cx="0" cy="2044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30" o:spid="_x0000_s1026" o:spt="20" style="position:absolute;left:0pt;margin-left:192.45pt;margin-top:1.1pt;height:16.1pt;width:0pt;z-index:251711488;mso-width-relative:page;mso-height-relative:page;" filled="f" stroked="t" coordsize="21600,21600" o:gfxdata="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R5H2+tUAAAAIAQAA&#10;DwAAAAAAAAABACAAAAAiAAAAZHJzL2Rvd25yZXYueG1sUEsBAhQAFAAAAAgAh07iQNSZ2cvjAQAA&#10;sgMAAA4AAAAAAAAAAQAgAAAAJAEAAGRycy9lMm9Eb2MueG1sUEsFBgAAAAAGAAYAWQEAAHkFAAAA&#10;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4300" distR="114300" simplePos="0" relativeHeight="251725824" behindDoc="0" locked="0" layoutInCell="1" allowOverlap="1">
                <wp:simplePos x="0" y="0"/>
                <wp:positionH relativeFrom="column">
                  <wp:posOffset>4652645</wp:posOffset>
                </wp:positionH>
                <wp:positionV relativeFrom="paragraph">
                  <wp:posOffset>13335</wp:posOffset>
                </wp:positionV>
                <wp:extent cx="1633855" cy="0"/>
                <wp:effectExtent l="0" t="0" r="23495" b="19050"/>
                <wp:wrapNone/>
                <wp:docPr id="44" name="直接连接符 38"/>
                <wp:cNvGraphicFramePr/>
                <a:graphic xmlns:a="http://schemas.openxmlformats.org/drawingml/2006/main">
                  <a:graphicData uri="http://schemas.microsoft.com/office/word/2010/wordprocessingShape">
                    <wps:wsp>
                      <wps:cNvCnPr/>
                      <wps:spPr>
                        <a:xfrm>
                          <a:off x="0" y="0"/>
                          <a:ext cx="16338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38" o:spid="_x0000_s1026" o:spt="20" style="position:absolute;left:0pt;margin-left:366.35pt;margin-top:1.05pt;height:0pt;width:128.65pt;z-index:251725824;mso-width-relative:page;mso-height-relative:page;" filled="f" stroked="t" coordsize="21600,21600" o:gfxdata="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3Q6lfUAAAABwEA&#10;AA8AAAAAAAAAAQAgAAAAIgAAAGRycy9kb3ducmV2LnhtbFBLAQIUABQAAAAIAIdO4kDxb39L5QEA&#10;ALMDAAAOAAAAAAAAAAEAIAAAACMBAABkcnMvZTJvRG9jLnhtbFBLBQYAAAAABgAGAFkBAAB6BQAA&#10;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4300" distR="114300" simplePos="0" relativeHeight="251678720" behindDoc="0" locked="0" layoutInCell="1" allowOverlap="1">
                <wp:simplePos x="0" y="0"/>
                <wp:positionH relativeFrom="column">
                  <wp:posOffset>5696585</wp:posOffset>
                </wp:positionH>
                <wp:positionV relativeFrom="paragraph">
                  <wp:posOffset>203835</wp:posOffset>
                </wp:positionV>
                <wp:extent cx="381000" cy="1206500"/>
                <wp:effectExtent l="0" t="0" r="19050" b="12700"/>
                <wp:wrapNone/>
                <wp:docPr id="50" name="AutoShape 974"/>
                <wp:cNvGraphicFramePr/>
                <a:graphic xmlns:a="http://schemas.openxmlformats.org/drawingml/2006/main">
                  <a:graphicData uri="http://schemas.microsoft.com/office/word/2010/wordprocessingShape">
                    <wps:wsp>
                      <wps:cNvSpPr>
                        <a:spLocks noChangeArrowheads="1"/>
                      </wps:cNvSpPr>
                      <wps:spPr bwMode="auto">
                        <a:xfrm>
                          <a:off x="0" y="0"/>
                          <a:ext cx="381000" cy="1206500"/>
                        </a:xfrm>
                        <a:prstGeom prst="flowChartProcess">
                          <a:avLst/>
                        </a:prstGeom>
                        <a:solidFill>
                          <a:srgbClr val="FFFFFF"/>
                        </a:solidFill>
                        <a:ln w="9525">
                          <a:solidFill>
                            <a:srgbClr val="000000"/>
                          </a:solidFill>
                          <a:miter lim="800000"/>
                        </a:ln>
                      </wps:spPr>
                      <wps:txbx>
                        <w:txbxContent>
                          <w:p w14:paraId="2D1150B1">
                            <w:pPr>
                              <w:spacing w:line="240" w:lineRule="auto"/>
                              <w:jc w:val="center"/>
                              <w:rPr>
                                <w:rFonts w:hint="eastAsia"/>
                                <w:sz w:val="21"/>
                                <w:szCs w:val="21"/>
                              </w:rPr>
                            </w:pPr>
                            <w:r>
                              <w:rPr>
                                <w:rFonts w:hint="eastAsia"/>
                                <w:sz w:val="21"/>
                                <w:szCs w:val="21"/>
                              </w:rPr>
                              <w:t>技</w:t>
                            </w:r>
                          </w:p>
                          <w:p w14:paraId="0C515911">
                            <w:pPr>
                              <w:spacing w:line="240" w:lineRule="auto"/>
                              <w:jc w:val="center"/>
                              <w:rPr>
                                <w:rFonts w:hint="eastAsia"/>
                                <w:sz w:val="21"/>
                                <w:szCs w:val="21"/>
                              </w:rPr>
                            </w:pPr>
                            <w:r>
                              <w:rPr>
                                <w:rFonts w:hint="eastAsia"/>
                                <w:sz w:val="21"/>
                                <w:szCs w:val="21"/>
                              </w:rPr>
                              <w:t>术</w:t>
                            </w:r>
                          </w:p>
                          <w:p w14:paraId="27D28E96">
                            <w:pPr>
                              <w:spacing w:line="240" w:lineRule="auto"/>
                              <w:jc w:val="center"/>
                              <w:rPr>
                                <w:rFonts w:hint="eastAsia"/>
                                <w:sz w:val="21"/>
                                <w:szCs w:val="21"/>
                              </w:rPr>
                            </w:pPr>
                            <w:r>
                              <w:rPr>
                                <w:sz w:val="21"/>
                                <w:szCs w:val="21"/>
                              </w:rPr>
                              <w:t>创</w:t>
                            </w:r>
                          </w:p>
                          <w:p w14:paraId="53B4C6D0">
                            <w:pPr>
                              <w:spacing w:line="240" w:lineRule="auto"/>
                              <w:jc w:val="center"/>
                              <w:rPr>
                                <w:rFonts w:hint="eastAsia"/>
                                <w:sz w:val="21"/>
                                <w:szCs w:val="21"/>
                              </w:rPr>
                            </w:pPr>
                            <w:r>
                              <w:rPr>
                                <w:sz w:val="21"/>
                                <w:szCs w:val="21"/>
                              </w:rPr>
                              <w:t>新</w:t>
                            </w:r>
                          </w:p>
                        </w:txbxContent>
                      </wps:txbx>
                      <wps:bodyPr rot="0" vert="horz" wrap="square" lIns="36000" tIns="0" rIns="36000" bIns="0" anchor="ctr" anchorCtr="0" upright="1">
                        <a:noAutofit/>
                      </wps:bodyPr>
                    </wps:wsp>
                  </a:graphicData>
                </a:graphic>
              </wp:anchor>
            </w:drawing>
          </mc:Choice>
          <mc:Fallback>
            <w:pict>
              <v:shape id="AutoShape 974" o:spid="_x0000_s1026" o:spt="109" type="#_x0000_t109" style="position:absolute;left:0pt;margin-left:448.55pt;margin-top:16.05pt;height:95pt;width:30pt;z-index:251678720;v-text-anchor:middle;mso-width-relative:page;mso-height-relative:page;" fillcolor="#FFFFFF" filled="t" stroked="t" coordsize="21600,21600" o:gfxdata="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P0PgMHYAAAACgEAAA8AAAAAAAAAAQAgAAAAIgAAAGRycy9kb3ducmV2Lnht&#10;bFBLAQIUABQAAAAIAIdO4kBFRPVuMgIAAIYEAAAOAAAAAAAAAAEAIAAAACcBAABkcnMvZTJvRG9j&#10;LnhtbFBLBQYAAAAABgAGAFkBAADLBQAAAAA=&#10;">
                <v:fill on="t" focussize="0,0"/>
                <v:stroke color="#000000" miterlimit="8" joinstyle="miter"/>
                <v:imagedata o:title=""/>
                <o:lock v:ext="edit" aspectratio="f"/>
                <v:textbox inset="1mm,0mm,1mm,0mm">
                  <w:txbxContent>
                    <w:p w14:paraId="2D1150B1">
                      <w:pPr>
                        <w:spacing w:line="240" w:lineRule="auto"/>
                        <w:jc w:val="center"/>
                        <w:rPr>
                          <w:rFonts w:hint="eastAsia"/>
                          <w:sz w:val="21"/>
                          <w:szCs w:val="21"/>
                        </w:rPr>
                      </w:pPr>
                      <w:r>
                        <w:rPr>
                          <w:rFonts w:hint="eastAsia"/>
                          <w:sz w:val="21"/>
                          <w:szCs w:val="21"/>
                        </w:rPr>
                        <w:t>技</w:t>
                      </w:r>
                    </w:p>
                    <w:p w14:paraId="0C515911">
                      <w:pPr>
                        <w:spacing w:line="240" w:lineRule="auto"/>
                        <w:jc w:val="center"/>
                        <w:rPr>
                          <w:rFonts w:hint="eastAsia"/>
                          <w:sz w:val="21"/>
                          <w:szCs w:val="21"/>
                        </w:rPr>
                      </w:pPr>
                      <w:r>
                        <w:rPr>
                          <w:rFonts w:hint="eastAsia"/>
                          <w:sz w:val="21"/>
                          <w:szCs w:val="21"/>
                        </w:rPr>
                        <w:t>术</w:t>
                      </w:r>
                    </w:p>
                    <w:p w14:paraId="27D28E96">
                      <w:pPr>
                        <w:spacing w:line="240" w:lineRule="auto"/>
                        <w:jc w:val="center"/>
                        <w:rPr>
                          <w:rFonts w:hint="eastAsia"/>
                          <w:sz w:val="21"/>
                          <w:szCs w:val="21"/>
                        </w:rPr>
                      </w:pPr>
                      <w:r>
                        <w:rPr>
                          <w:sz w:val="21"/>
                          <w:szCs w:val="21"/>
                        </w:rPr>
                        <w:t>创</w:t>
                      </w:r>
                    </w:p>
                    <w:p w14:paraId="53B4C6D0">
                      <w:pPr>
                        <w:spacing w:line="240" w:lineRule="auto"/>
                        <w:jc w:val="center"/>
                        <w:rPr>
                          <w:rFonts w:hint="eastAsia"/>
                          <w:sz w:val="21"/>
                          <w:szCs w:val="21"/>
                        </w:rPr>
                      </w:pPr>
                      <w:r>
                        <w:rPr>
                          <w:sz w:val="21"/>
                          <w:szCs w:val="21"/>
                        </w:rPr>
                        <w:t>新</w:t>
                      </w:r>
                    </w:p>
                  </w:txbxContent>
                </v:textbox>
              </v:shape>
            </w:pict>
          </mc:Fallback>
        </mc:AlternateContent>
      </w:r>
      <w:r>
        <w:rPr>
          <w:sz w:val="21"/>
          <w:szCs w:val="21"/>
        </w:rPr>
        <mc:AlternateContent>
          <mc:Choice Requires="wps">
            <w:drawing>
              <wp:anchor distT="0" distB="0" distL="114300" distR="114300" simplePos="0" relativeHeight="251726848" behindDoc="0" locked="0" layoutInCell="1" allowOverlap="1">
                <wp:simplePos x="0" y="0"/>
                <wp:positionH relativeFrom="column">
                  <wp:posOffset>6824345</wp:posOffset>
                </wp:positionH>
                <wp:positionV relativeFrom="paragraph">
                  <wp:posOffset>24130</wp:posOffset>
                </wp:positionV>
                <wp:extent cx="773430" cy="0"/>
                <wp:effectExtent l="0" t="0" r="26670" b="19050"/>
                <wp:wrapNone/>
                <wp:docPr id="42" name="直接连接符 39"/>
                <wp:cNvGraphicFramePr/>
                <a:graphic xmlns:a="http://schemas.openxmlformats.org/drawingml/2006/main">
                  <a:graphicData uri="http://schemas.microsoft.com/office/word/2010/wordprocessingShape">
                    <wps:wsp>
                      <wps:cNvCnPr/>
                      <wps:spPr>
                        <a:xfrm>
                          <a:off x="0" y="0"/>
                          <a:ext cx="773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39" o:spid="_x0000_s1026" o:spt="20" style="position:absolute;left:0pt;margin-left:537.35pt;margin-top:1.9pt;height:0pt;width:60.9pt;z-index:251726848;mso-width-relative:page;mso-height-relative:page;" filled="f" stroked="t" coordsize="21600,21600" o:gfxdata="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FRRCMfWAAAACQEA&#10;AA8AAAAAAAAAAQAgAAAAIgAAAGRycy9kb3ducmV2LnhtbFBLAQIUABQAAAAIAIdO4kDjxDMF4wEA&#10;ALIDAAAOAAAAAAAAAAEAIAAAACUBAABkcnMvZTJvRG9jLnhtbFBLBQYAAAAABgAGAFkBAAB6BQAA&#10;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665" distR="113665" simplePos="0" relativeHeight="251734016" behindDoc="0" locked="0" layoutInCell="1" allowOverlap="1">
                <wp:simplePos x="0" y="0"/>
                <wp:positionH relativeFrom="column">
                  <wp:posOffset>7207885</wp:posOffset>
                </wp:positionH>
                <wp:positionV relativeFrom="paragraph">
                  <wp:posOffset>20320</wp:posOffset>
                </wp:positionV>
                <wp:extent cx="0" cy="179705"/>
                <wp:effectExtent l="0" t="0" r="19050" b="29845"/>
                <wp:wrapNone/>
                <wp:docPr id="62" name="Line 957"/>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567.55pt;margin-top:1.6pt;height:14.15pt;width:0pt;z-index:251734016;mso-width-relative:page;mso-height-relative:page;" filled="f" stroked="t" coordsize="21600,21600" o:gfxdata="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jvyXd1QAAAAoBAAAPAAAAAAAAAAEAIAAAACIAAABkcnMvZG93&#10;bnJldi54bWxQSwECFAAUAAAACACHTuJAo1FWkcoBAAChAwAADgAAAAAAAAABACAAAAAkAQAAZHJz&#10;L2Uyb0RvYy54bWxQSwUGAAAAAAYABgBZAQAAYAUAAAAA&#10;">
                <v:fill on="f" focussize="0,0"/>
                <v:stroke color="#000000" joinstyle="round"/>
                <v:imagedata o:title=""/>
                <o:lock v:ext="edit" aspectratio="f"/>
              </v:line>
            </w:pict>
          </mc:Fallback>
        </mc:AlternateContent>
      </w:r>
      <w:r>
        <w:rPr>
          <w:sz w:val="21"/>
          <w:szCs w:val="21"/>
        </w:rPr>
        <mc:AlternateContent>
          <mc:Choice Requires="wps">
            <w:drawing>
              <wp:anchor distT="0" distB="0" distL="113665" distR="113665" simplePos="0" relativeHeight="251723776" behindDoc="0" locked="0" layoutInCell="1" allowOverlap="1">
                <wp:simplePos x="0" y="0"/>
                <wp:positionH relativeFrom="column">
                  <wp:posOffset>6821805</wp:posOffset>
                </wp:positionH>
                <wp:positionV relativeFrom="paragraph">
                  <wp:posOffset>22225</wp:posOffset>
                </wp:positionV>
                <wp:extent cx="0" cy="179705"/>
                <wp:effectExtent l="0" t="0" r="19050" b="29845"/>
                <wp:wrapNone/>
                <wp:docPr id="41" name="Line 957"/>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537.15pt;margin-top:1.75pt;height:14.15pt;width:0pt;z-index:251723776;mso-width-relative:page;mso-height-relative:page;" filled="f" stroked="t" coordsize="21600,21600" o:gfxdata="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Td309YAAAAKAQAADwAAAAAAAAABACAAAAAiAAAAZHJzL2Rv&#10;d25yZXYueG1sUEsBAhQAFAAAAAgAh07iQJ9QNITKAQAAoQMAAA4AAAAAAAAAAQAgAAAAJQEAAGRy&#10;cy9lMm9Eb2MueG1sUEsFBgAAAAAGAAYAWQEAAGEFAAAAAA==&#10;">
                <v:fill on="f" focussize="0,0"/>
                <v:stroke color="#000000" joinstyle="round"/>
                <v:imagedata o:title=""/>
                <o:lock v:ext="edit" aspectratio="f"/>
              </v:line>
            </w:pict>
          </mc:Fallback>
        </mc:AlternateContent>
      </w:r>
      <w:r>
        <w:rPr>
          <w:sz w:val="21"/>
          <w:szCs w:val="21"/>
        </w:rPr>
        <mc:AlternateContent>
          <mc:Choice Requires="wps">
            <w:drawing>
              <wp:anchor distT="0" distB="0" distL="114300" distR="114300" simplePos="0" relativeHeight="251704320" behindDoc="0" locked="0" layoutInCell="1" allowOverlap="1">
                <wp:simplePos x="0" y="0"/>
                <wp:positionH relativeFrom="column">
                  <wp:posOffset>6640830</wp:posOffset>
                </wp:positionH>
                <wp:positionV relativeFrom="paragraph">
                  <wp:posOffset>205105</wp:posOffset>
                </wp:positionV>
                <wp:extent cx="349250" cy="1198880"/>
                <wp:effectExtent l="0" t="0" r="12700" b="20320"/>
                <wp:wrapNone/>
                <wp:docPr id="40" name="AutoShape 974"/>
                <wp:cNvGraphicFramePr/>
                <a:graphic xmlns:a="http://schemas.openxmlformats.org/drawingml/2006/main">
                  <a:graphicData uri="http://schemas.microsoft.com/office/word/2010/wordprocessingShape">
                    <wps:wsp>
                      <wps:cNvSpPr>
                        <a:spLocks noChangeArrowheads="1"/>
                      </wps:cNvSpPr>
                      <wps:spPr bwMode="auto">
                        <a:xfrm>
                          <a:off x="0" y="0"/>
                          <a:ext cx="349250" cy="1198880"/>
                        </a:xfrm>
                        <a:prstGeom prst="flowChartProcess">
                          <a:avLst/>
                        </a:prstGeom>
                        <a:solidFill>
                          <a:srgbClr val="FFFFFF"/>
                        </a:solidFill>
                        <a:ln w="9525">
                          <a:solidFill>
                            <a:srgbClr val="000000"/>
                          </a:solidFill>
                          <a:miter lim="800000"/>
                        </a:ln>
                      </wps:spPr>
                      <wps:txbx>
                        <w:txbxContent>
                          <w:p w14:paraId="6FEC3A6F">
                            <w:pPr>
                              <w:spacing w:line="240" w:lineRule="auto"/>
                              <w:jc w:val="center"/>
                              <w:rPr>
                                <w:rFonts w:hint="eastAsia"/>
                                <w:sz w:val="21"/>
                                <w:szCs w:val="21"/>
                              </w:rPr>
                            </w:pPr>
                            <w:r>
                              <w:rPr>
                                <w:rFonts w:hint="eastAsia"/>
                                <w:sz w:val="21"/>
                                <w:szCs w:val="21"/>
                              </w:rPr>
                              <w:t>综</w:t>
                            </w:r>
                          </w:p>
                          <w:p w14:paraId="548AB726">
                            <w:pPr>
                              <w:spacing w:line="240" w:lineRule="auto"/>
                              <w:jc w:val="center"/>
                              <w:rPr>
                                <w:rFonts w:hint="eastAsia"/>
                                <w:sz w:val="21"/>
                                <w:szCs w:val="21"/>
                              </w:rPr>
                            </w:pPr>
                            <w:r>
                              <w:rPr>
                                <w:rFonts w:hint="eastAsia"/>
                                <w:sz w:val="21"/>
                                <w:szCs w:val="21"/>
                              </w:rPr>
                              <w:t>合</w:t>
                            </w:r>
                          </w:p>
                          <w:p w14:paraId="68A10C56">
                            <w:pPr>
                              <w:spacing w:line="240" w:lineRule="auto"/>
                              <w:jc w:val="center"/>
                              <w:rPr>
                                <w:rFonts w:hint="eastAsia"/>
                                <w:sz w:val="21"/>
                                <w:szCs w:val="21"/>
                              </w:rPr>
                            </w:pPr>
                            <w:r>
                              <w:rPr>
                                <w:sz w:val="21"/>
                                <w:szCs w:val="21"/>
                              </w:rPr>
                              <w:t>效</w:t>
                            </w:r>
                          </w:p>
                          <w:p w14:paraId="05632FCA">
                            <w:pPr>
                              <w:spacing w:line="240" w:lineRule="auto"/>
                              <w:jc w:val="center"/>
                              <w:rPr>
                                <w:rFonts w:hint="eastAsia"/>
                              </w:rPr>
                            </w:pPr>
                            <w:r>
                              <w:rPr>
                                <w:sz w:val="21"/>
                                <w:szCs w:val="21"/>
                              </w:rPr>
                              <w:t>能</w:t>
                            </w:r>
                          </w:p>
                        </w:txbxContent>
                      </wps:txbx>
                      <wps:bodyPr rot="0" vert="horz" wrap="square" lIns="36000" tIns="0" rIns="36000" bIns="0" anchor="ctr" anchorCtr="0" upright="1">
                        <a:noAutofit/>
                      </wps:bodyPr>
                    </wps:wsp>
                  </a:graphicData>
                </a:graphic>
              </wp:anchor>
            </w:drawing>
          </mc:Choice>
          <mc:Fallback>
            <w:pict>
              <v:shape id="AutoShape 974" o:spid="_x0000_s1026" o:spt="109" type="#_x0000_t109" style="position:absolute;left:0pt;margin-left:522.9pt;margin-top:16.15pt;height:94.4pt;width:27.5pt;z-index:251704320;v-text-anchor:middle;mso-width-relative:page;mso-height-relative:page;" fillcolor="#FFFFFF" filled="t" stroked="t" coordsize="21600,21600" o:gfxdata="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pXhC3dkAAAAMAQAADwAAAAAAAAABACAAAAAiAAAAZHJzL2Rvd25yZXYu&#10;eG1sUEsBAhQAFAAAAAgAh07iQBfOXoczAgAAhgQAAA4AAAAAAAAAAQAgAAAAKAEAAGRycy9lMm9E&#10;b2MueG1sUEsFBgAAAAAGAAYAWQEAAM0FAAAAAA==&#10;">
                <v:fill on="t" focussize="0,0"/>
                <v:stroke color="#000000" miterlimit="8" joinstyle="miter"/>
                <v:imagedata o:title=""/>
                <o:lock v:ext="edit" aspectratio="f"/>
                <v:textbox inset="1mm,0mm,1mm,0mm">
                  <w:txbxContent>
                    <w:p w14:paraId="6FEC3A6F">
                      <w:pPr>
                        <w:spacing w:line="240" w:lineRule="auto"/>
                        <w:jc w:val="center"/>
                        <w:rPr>
                          <w:rFonts w:hint="eastAsia"/>
                          <w:sz w:val="21"/>
                          <w:szCs w:val="21"/>
                        </w:rPr>
                      </w:pPr>
                      <w:r>
                        <w:rPr>
                          <w:rFonts w:hint="eastAsia"/>
                          <w:sz w:val="21"/>
                          <w:szCs w:val="21"/>
                        </w:rPr>
                        <w:t>综</w:t>
                      </w:r>
                    </w:p>
                    <w:p w14:paraId="548AB726">
                      <w:pPr>
                        <w:spacing w:line="240" w:lineRule="auto"/>
                        <w:jc w:val="center"/>
                        <w:rPr>
                          <w:rFonts w:hint="eastAsia"/>
                          <w:sz w:val="21"/>
                          <w:szCs w:val="21"/>
                        </w:rPr>
                      </w:pPr>
                      <w:r>
                        <w:rPr>
                          <w:rFonts w:hint="eastAsia"/>
                          <w:sz w:val="21"/>
                          <w:szCs w:val="21"/>
                        </w:rPr>
                        <w:t>合</w:t>
                      </w:r>
                    </w:p>
                    <w:p w14:paraId="68A10C56">
                      <w:pPr>
                        <w:spacing w:line="240" w:lineRule="auto"/>
                        <w:jc w:val="center"/>
                        <w:rPr>
                          <w:rFonts w:hint="eastAsia"/>
                          <w:sz w:val="21"/>
                          <w:szCs w:val="21"/>
                        </w:rPr>
                      </w:pPr>
                      <w:r>
                        <w:rPr>
                          <w:sz w:val="21"/>
                          <w:szCs w:val="21"/>
                        </w:rPr>
                        <w:t>效</w:t>
                      </w:r>
                    </w:p>
                    <w:p w14:paraId="05632FCA">
                      <w:pPr>
                        <w:spacing w:line="240" w:lineRule="auto"/>
                        <w:jc w:val="center"/>
                        <w:rPr>
                          <w:rFonts w:hint="eastAsia"/>
                        </w:rPr>
                      </w:pPr>
                      <w:r>
                        <w:rPr>
                          <w:sz w:val="21"/>
                          <w:szCs w:val="21"/>
                        </w:rPr>
                        <w:t>能</w:t>
                      </w:r>
                    </w:p>
                  </w:txbxContent>
                </v:textbox>
              </v:shape>
            </w:pict>
          </mc:Fallback>
        </mc:AlternateContent>
      </w:r>
      <w:r>
        <w:rPr>
          <w:sz w:val="21"/>
          <w:szCs w:val="21"/>
        </w:rPr>
        <mc:AlternateContent>
          <mc:Choice Requires="wps">
            <w:drawing>
              <wp:anchor distT="0" distB="0" distL="114300" distR="114300" simplePos="0" relativeHeight="251708416" behindDoc="0" locked="0" layoutInCell="1" allowOverlap="1">
                <wp:simplePos x="0" y="0"/>
                <wp:positionH relativeFrom="column">
                  <wp:posOffset>7026910</wp:posOffset>
                </wp:positionH>
                <wp:positionV relativeFrom="paragraph">
                  <wp:posOffset>205105</wp:posOffset>
                </wp:positionV>
                <wp:extent cx="349250" cy="1198880"/>
                <wp:effectExtent l="0" t="0" r="12700" b="20320"/>
                <wp:wrapNone/>
                <wp:docPr id="39" name="AutoShape 974"/>
                <wp:cNvGraphicFramePr/>
                <a:graphic xmlns:a="http://schemas.openxmlformats.org/drawingml/2006/main">
                  <a:graphicData uri="http://schemas.microsoft.com/office/word/2010/wordprocessingShape">
                    <wps:wsp>
                      <wps:cNvSpPr>
                        <a:spLocks noChangeArrowheads="1"/>
                      </wps:cNvSpPr>
                      <wps:spPr bwMode="auto">
                        <a:xfrm>
                          <a:off x="0" y="0"/>
                          <a:ext cx="349250" cy="1198880"/>
                        </a:xfrm>
                        <a:prstGeom prst="flowChartProcess">
                          <a:avLst/>
                        </a:prstGeom>
                        <a:solidFill>
                          <a:srgbClr val="FFFFFF"/>
                        </a:solidFill>
                        <a:ln w="9525">
                          <a:solidFill>
                            <a:srgbClr val="000000"/>
                          </a:solidFill>
                          <a:miter lim="800000"/>
                        </a:ln>
                      </wps:spPr>
                      <wps:txbx>
                        <w:txbxContent>
                          <w:p w14:paraId="5F2A143B">
                            <w:pPr>
                              <w:spacing w:line="240" w:lineRule="auto"/>
                              <w:jc w:val="center"/>
                              <w:rPr>
                                <w:rFonts w:hint="eastAsia"/>
                                <w:sz w:val="21"/>
                                <w:szCs w:val="21"/>
                              </w:rPr>
                            </w:pPr>
                            <w:r>
                              <w:rPr>
                                <w:rFonts w:hint="eastAsia"/>
                                <w:sz w:val="21"/>
                                <w:szCs w:val="21"/>
                              </w:rPr>
                              <w:t>数</w:t>
                            </w:r>
                          </w:p>
                          <w:p w14:paraId="6C570E72">
                            <w:pPr>
                              <w:spacing w:line="240" w:lineRule="auto"/>
                              <w:jc w:val="center"/>
                              <w:rPr>
                                <w:rFonts w:hint="eastAsia"/>
                                <w:sz w:val="21"/>
                                <w:szCs w:val="21"/>
                              </w:rPr>
                            </w:pPr>
                            <w:r>
                              <w:rPr>
                                <w:rFonts w:hint="eastAsia"/>
                                <w:sz w:val="21"/>
                                <w:szCs w:val="21"/>
                              </w:rPr>
                              <w:t>字</w:t>
                            </w:r>
                          </w:p>
                          <w:p w14:paraId="62D224A5">
                            <w:pPr>
                              <w:spacing w:line="240" w:lineRule="auto"/>
                              <w:jc w:val="center"/>
                              <w:rPr>
                                <w:rFonts w:hint="eastAsia"/>
                                <w:sz w:val="21"/>
                                <w:szCs w:val="21"/>
                              </w:rPr>
                            </w:pPr>
                            <w:r>
                              <w:rPr>
                                <w:sz w:val="21"/>
                                <w:szCs w:val="21"/>
                              </w:rPr>
                              <w:t>化</w:t>
                            </w:r>
                          </w:p>
                          <w:p w14:paraId="32D4CA40">
                            <w:pPr>
                              <w:spacing w:line="240" w:lineRule="auto"/>
                              <w:jc w:val="center"/>
                              <w:rPr>
                                <w:rFonts w:hint="eastAsia"/>
                                <w:sz w:val="21"/>
                                <w:szCs w:val="21"/>
                              </w:rPr>
                            </w:pPr>
                            <w:r>
                              <w:rPr>
                                <w:rFonts w:hint="eastAsia"/>
                                <w:sz w:val="21"/>
                                <w:szCs w:val="21"/>
                              </w:rPr>
                              <w:t>移</w:t>
                            </w:r>
                          </w:p>
                          <w:p w14:paraId="285FB9D7">
                            <w:pPr>
                              <w:spacing w:line="240" w:lineRule="auto"/>
                              <w:jc w:val="center"/>
                              <w:rPr>
                                <w:rFonts w:hint="eastAsia"/>
                              </w:rPr>
                            </w:pPr>
                            <w:r>
                              <w:rPr>
                                <w:rFonts w:hint="eastAsia"/>
                                <w:sz w:val="21"/>
                                <w:szCs w:val="21"/>
                              </w:rPr>
                              <w:t>交</w:t>
                            </w:r>
                          </w:p>
                        </w:txbxContent>
                      </wps:txbx>
                      <wps:bodyPr rot="0" vert="horz" wrap="square" lIns="36000" tIns="0" rIns="36000" bIns="0" anchor="ctr" anchorCtr="0" upright="1">
                        <a:noAutofit/>
                      </wps:bodyPr>
                    </wps:wsp>
                  </a:graphicData>
                </a:graphic>
              </wp:anchor>
            </w:drawing>
          </mc:Choice>
          <mc:Fallback>
            <w:pict>
              <v:shape id="AutoShape 974" o:spid="_x0000_s1026" o:spt="109" type="#_x0000_t109" style="position:absolute;left:0pt;margin-left:553.3pt;margin-top:16.15pt;height:94.4pt;width:27.5pt;z-index:251708416;v-text-anchor:middle;mso-width-relative:page;mso-height-relative:page;" fillcolor="#FFFFFF" filled="t" stroked="t" coordsize="21600,21600" o:gfxdata="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6gNqbtgAAAAMAQAADwAAAAAAAAABACAAAAAiAAAAZHJzL2Rvd25yZXYu&#10;eG1sUEsBAhQAFAAAAAgAh07iQEobSB40AgAAhgQAAA4AAAAAAAAAAQAgAAAAJwEAAGRycy9lMm9E&#10;b2MueG1sUEsFBgAAAAAGAAYAWQEAAM0FAAAAAA==&#10;">
                <v:fill on="t" focussize="0,0"/>
                <v:stroke color="#000000" miterlimit="8" joinstyle="miter"/>
                <v:imagedata o:title=""/>
                <o:lock v:ext="edit" aspectratio="f"/>
                <v:textbox inset="1mm,0mm,1mm,0mm">
                  <w:txbxContent>
                    <w:p w14:paraId="5F2A143B">
                      <w:pPr>
                        <w:spacing w:line="240" w:lineRule="auto"/>
                        <w:jc w:val="center"/>
                        <w:rPr>
                          <w:rFonts w:hint="eastAsia"/>
                          <w:sz w:val="21"/>
                          <w:szCs w:val="21"/>
                        </w:rPr>
                      </w:pPr>
                      <w:r>
                        <w:rPr>
                          <w:rFonts w:hint="eastAsia"/>
                          <w:sz w:val="21"/>
                          <w:szCs w:val="21"/>
                        </w:rPr>
                        <w:t>数</w:t>
                      </w:r>
                    </w:p>
                    <w:p w14:paraId="6C570E72">
                      <w:pPr>
                        <w:spacing w:line="240" w:lineRule="auto"/>
                        <w:jc w:val="center"/>
                        <w:rPr>
                          <w:rFonts w:hint="eastAsia"/>
                          <w:sz w:val="21"/>
                          <w:szCs w:val="21"/>
                        </w:rPr>
                      </w:pPr>
                      <w:r>
                        <w:rPr>
                          <w:rFonts w:hint="eastAsia"/>
                          <w:sz w:val="21"/>
                          <w:szCs w:val="21"/>
                        </w:rPr>
                        <w:t>字</w:t>
                      </w:r>
                    </w:p>
                    <w:p w14:paraId="62D224A5">
                      <w:pPr>
                        <w:spacing w:line="240" w:lineRule="auto"/>
                        <w:jc w:val="center"/>
                        <w:rPr>
                          <w:rFonts w:hint="eastAsia"/>
                          <w:sz w:val="21"/>
                          <w:szCs w:val="21"/>
                        </w:rPr>
                      </w:pPr>
                      <w:r>
                        <w:rPr>
                          <w:sz w:val="21"/>
                          <w:szCs w:val="21"/>
                        </w:rPr>
                        <w:t>化</w:t>
                      </w:r>
                    </w:p>
                    <w:p w14:paraId="32D4CA40">
                      <w:pPr>
                        <w:spacing w:line="240" w:lineRule="auto"/>
                        <w:jc w:val="center"/>
                        <w:rPr>
                          <w:rFonts w:hint="eastAsia"/>
                          <w:sz w:val="21"/>
                          <w:szCs w:val="21"/>
                        </w:rPr>
                      </w:pPr>
                      <w:r>
                        <w:rPr>
                          <w:rFonts w:hint="eastAsia"/>
                          <w:sz w:val="21"/>
                          <w:szCs w:val="21"/>
                        </w:rPr>
                        <w:t>移</w:t>
                      </w:r>
                    </w:p>
                    <w:p w14:paraId="285FB9D7">
                      <w:pPr>
                        <w:spacing w:line="240" w:lineRule="auto"/>
                        <w:jc w:val="center"/>
                        <w:rPr>
                          <w:rFonts w:hint="eastAsia"/>
                        </w:rPr>
                      </w:pPr>
                      <w:r>
                        <w:rPr>
                          <w:rFonts w:hint="eastAsia"/>
                          <w:sz w:val="21"/>
                          <w:szCs w:val="21"/>
                        </w:rPr>
                        <w:t>交</w:t>
                      </w:r>
                    </w:p>
                  </w:txbxContent>
                </v:textbox>
              </v:shape>
            </w:pict>
          </mc:Fallback>
        </mc:AlternateContent>
      </w:r>
      <w:r>
        <w:rPr>
          <w:sz w:val="21"/>
          <w:szCs w:val="21"/>
        </w:rPr>
        <mc:AlternateContent>
          <mc:Choice Requires="wps">
            <w:drawing>
              <wp:anchor distT="0" distB="0" distL="114300" distR="114300" simplePos="0" relativeHeight="251732992" behindDoc="0" locked="0" layoutInCell="1" allowOverlap="1">
                <wp:simplePos x="0" y="0"/>
                <wp:positionH relativeFrom="rightMargin">
                  <wp:posOffset>28575</wp:posOffset>
                </wp:positionH>
                <wp:positionV relativeFrom="paragraph">
                  <wp:posOffset>205105</wp:posOffset>
                </wp:positionV>
                <wp:extent cx="349250" cy="1198880"/>
                <wp:effectExtent l="0" t="0" r="12700" b="20320"/>
                <wp:wrapNone/>
                <wp:docPr id="58" name="AutoShape 974"/>
                <wp:cNvGraphicFramePr/>
                <a:graphic xmlns:a="http://schemas.openxmlformats.org/drawingml/2006/main">
                  <a:graphicData uri="http://schemas.microsoft.com/office/word/2010/wordprocessingShape">
                    <wps:wsp>
                      <wps:cNvSpPr>
                        <a:spLocks noChangeArrowheads="1"/>
                      </wps:cNvSpPr>
                      <wps:spPr bwMode="auto">
                        <a:xfrm>
                          <a:off x="0" y="0"/>
                          <a:ext cx="349250" cy="1198880"/>
                        </a:xfrm>
                        <a:prstGeom prst="flowChartProcess">
                          <a:avLst/>
                        </a:prstGeom>
                        <a:solidFill>
                          <a:srgbClr val="FFFFFF"/>
                        </a:solidFill>
                        <a:ln w="9525">
                          <a:solidFill>
                            <a:srgbClr val="000000"/>
                          </a:solidFill>
                          <a:miter lim="800000"/>
                        </a:ln>
                      </wps:spPr>
                      <wps:txbx>
                        <w:txbxContent>
                          <w:p w14:paraId="0E60DFC8">
                            <w:pPr>
                              <w:spacing w:line="240" w:lineRule="auto"/>
                              <w:jc w:val="center"/>
                              <w:rPr>
                                <w:rFonts w:hint="eastAsia"/>
                                <w:sz w:val="21"/>
                                <w:szCs w:val="21"/>
                              </w:rPr>
                            </w:pPr>
                            <w:r>
                              <w:rPr>
                                <w:rFonts w:hint="eastAsia"/>
                                <w:sz w:val="21"/>
                                <w:szCs w:val="21"/>
                              </w:rPr>
                              <w:t>效</w:t>
                            </w:r>
                          </w:p>
                          <w:p w14:paraId="3575BEB8">
                            <w:pPr>
                              <w:spacing w:line="240" w:lineRule="auto"/>
                              <w:jc w:val="center"/>
                              <w:rPr>
                                <w:rFonts w:hint="eastAsia"/>
                                <w:sz w:val="21"/>
                                <w:szCs w:val="21"/>
                              </w:rPr>
                            </w:pPr>
                            <w:r>
                              <w:rPr>
                                <w:rFonts w:hint="eastAsia"/>
                                <w:sz w:val="21"/>
                                <w:szCs w:val="21"/>
                              </w:rPr>
                              <w:t>果</w:t>
                            </w:r>
                          </w:p>
                          <w:p w14:paraId="01226221">
                            <w:pPr>
                              <w:spacing w:line="240" w:lineRule="auto"/>
                              <w:jc w:val="center"/>
                              <w:rPr>
                                <w:rFonts w:hint="eastAsia"/>
                                <w:sz w:val="21"/>
                                <w:szCs w:val="21"/>
                              </w:rPr>
                            </w:pPr>
                            <w:r>
                              <w:rPr>
                                <w:sz w:val="21"/>
                                <w:szCs w:val="21"/>
                              </w:rPr>
                              <w:t>评</w:t>
                            </w:r>
                          </w:p>
                          <w:p w14:paraId="1F1B31D4">
                            <w:pPr>
                              <w:spacing w:line="240" w:lineRule="auto"/>
                              <w:jc w:val="center"/>
                              <w:rPr>
                                <w:rFonts w:hint="eastAsia"/>
                              </w:rPr>
                            </w:pPr>
                            <w:r>
                              <w:rPr>
                                <w:sz w:val="21"/>
                                <w:szCs w:val="21"/>
                              </w:rPr>
                              <w:t>估</w:t>
                            </w:r>
                          </w:p>
                        </w:txbxContent>
                      </wps:txbx>
                      <wps:bodyPr rot="0" vert="horz" wrap="square" lIns="36000" tIns="0" rIns="36000" bIns="0" anchor="ctr" anchorCtr="0" upright="1">
                        <a:noAutofit/>
                      </wps:bodyPr>
                    </wps:wsp>
                  </a:graphicData>
                </a:graphic>
              </wp:anchor>
            </w:drawing>
          </mc:Choice>
          <mc:Fallback>
            <w:pict>
              <v:shape id="AutoShape 974" o:spid="_x0000_s1026" o:spt="109" type="#_x0000_t109" style="position:absolute;left:0pt;margin-left:654.6pt;margin-top:154.55pt;height:94.4pt;width:27.5pt;mso-position-horizontal-relative:page;mso-position-vertical-relative:page;z-index:251732992;v-text-anchor:middle;mso-width-relative:page;mso-height-relative:page;" fillcolor="#FFFFFF" filled="t" stroked="t" coordsize="21600,21600" o:gfxdata="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vHTIF1QAAAAcBAAAPAAAAAAAAAAEAIAAAACIAAABkcnMvZG93bnJldi54bWxQ&#10;SwECFAAUAAAACACHTuJA0X3dIzMCAACGBAAADgAAAAAAAAABACAAAAAkAQAAZHJzL2Uyb0RvYy54&#10;bWxQSwUGAAAAAAYABgBZAQAAyQUAAAAA&#10;">
                <v:fill on="t" focussize="0,0"/>
                <v:stroke color="#000000" miterlimit="8" joinstyle="miter"/>
                <v:imagedata o:title=""/>
                <o:lock v:ext="edit" aspectratio="f"/>
                <v:textbox inset="1mm,0mm,1mm,0mm">
                  <w:txbxContent>
                    <w:p w14:paraId="0E60DFC8">
                      <w:pPr>
                        <w:spacing w:line="240" w:lineRule="auto"/>
                        <w:jc w:val="center"/>
                        <w:rPr>
                          <w:rFonts w:hint="eastAsia"/>
                          <w:sz w:val="21"/>
                          <w:szCs w:val="21"/>
                        </w:rPr>
                      </w:pPr>
                      <w:r>
                        <w:rPr>
                          <w:rFonts w:hint="eastAsia"/>
                          <w:sz w:val="21"/>
                          <w:szCs w:val="21"/>
                        </w:rPr>
                        <w:t>效</w:t>
                      </w:r>
                    </w:p>
                    <w:p w14:paraId="3575BEB8">
                      <w:pPr>
                        <w:spacing w:line="240" w:lineRule="auto"/>
                        <w:jc w:val="center"/>
                        <w:rPr>
                          <w:rFonts w:hint="eastAsia"/>
                          <w:sz w:val="21"/>
                          <w:szCs w:val="21"/>
                        </w:rPr>
                      </w:pPr>
                      <w:r>
                        <w:rPr>
                          <w:rFonts w:hint="eastAsia"/>
                          <w:sz w:val="21"/>
                          <w:szCs w:val="21"/>
                        </w:rPr>
                        <w:t>果</w:t>
                      </w:r>
                    </w:p>
                    <w:p w14:paraId="01226221">
                      <w:pPr>
                        <w:spacing w:line="240" w:lineRule="auto"/>
                        <w:jc w:val="center"/>
                        <w:rPr>
                          <w:rFonts w:hint="eastAsia"/>
                          <w:sz w:val="21"/>
                          <w:szCs w:val="21"/>
                        </w:rPr>
                      </w:pPr>
                      <w:r>
                        <w:rPr>
                          <w:sz w:val="21"/>
                          <w:szCs w:val="21"/>
                        </w:rPr>
                        <w:t>评</w:t>
                      </w:r>
                    </w:p>
                    <w:p w14:paraId="1F1B31D4">
                      <w:pPr>
                        <w:spacing w:line="240" w:lineRule="auto"/>
                        <w:jc w:val="center"/>
                        <w:rPr>
                          <w:rFonts w:hint="eastAsia"/>
                        </w:rPr>
                      </w:pPr>
                      <w:r>
                        <w:rPr>
                          <w:sz w:val="21"/>
                          <w:szCs w:val="21"/>
                        </w:rPr>
                        <w:t>估</w:t>
                      </w:r>
                    </w:p>
                  </w:txbxContent>
                </v:textbox>
              </v:shape>
            </w:pict>
          </mc:Fallback>
        </mc:AlternateContent>
      </w:r>
      <w:r>
        <w:rPr>
          <w:sz w:val="21"/>
          <w:szCs w:val="21"/>
        </w:rPr>
        <mc:AlternateContent>
          <mc:Choice Requires="wps">
            <w:drawing>
              <wp:anchor distT="0" distB="0" distL="114300" distR="114300" simplePos="0" relativeHeight="251679744" behindDoc="0" locked="0" layoutInCell="1" allowOverlap="1">
                <wp:simplePos x="0" y="0"/>
                <wp:positionH relativeFrom="column">
                  <wp:posOffset>6111240</wp:posOffset>
                </wp:positionH>
                <wp:positionV relativeFrom="paragraph">
                  <wp:posOffset>203200</wp:posOffset>
                </wp:positionV>
                <wp:extent cx="381000" cy="1203960"/>
                <wp:effectExtent l="0" t="0" r="19050" b="15240"/>
                <wp:wrapNone/>
                <wp:docPr id="51" name="AutoShape 974"/>
                <wp:cNvGraphicFramePr/>
                <a:graphic xmlns:a="http://schemas.openxmlformats.org/drawingml/2006/main">
                  <a:graphicData uri="http://schemas.microsoft.com/office/word/2010/wordprocessingShape">
                    <wps:wsp>
                      <wps:cNvSpPr>
                        <a:spLocks noChangeArrowheads="1"/>
                      </wps:cNvSpPr>
                      <wps:spPr bwMode="auto">
                        <a:xfrm>
                          <a:off x="0" y="0"/>
                          <a:ext cx="381000" cy="1203960"/>
                        </a:xfrm>
                        <a:prstGeom prst="flowChartProcess">
                          <a:avLst/>
                        </a:prstGeom>
                        <a:solidFill>
                          <a:srgbClr val="FFFFFF"/>
                        </a:solidFill>
                        <a:ln w="9525">
                          <a:solidFill>
                            <a:srgbClr val="000000"/>
                          </a:solidFill>
                          <a:miter lim="800000"/>
                        </a:ln>
                      </wps:spPr>
                      <wps:txbx>
                        <w:txbxContent>
                          <w:p w14:paraId="26CDFFB6">
                            <w:pPr>
                              <w:spacing w:line="240" w:lineRule="auto"/>
                              <w:jc w:val="center"/>
                              <w:rPr>
                                <w:rFonts w:hint="eastAsia"/>
                                <w:sz w:val="21"/>
                                <w:szCs w:val="21"/>
                              </w:rPr>
                            </w:pPr>
                            <w:r>
                              <w:rPr>
                                <w:rFonts w:hint="eastAsia"/>
                                <w:sz w:val="21"/>
                                <w:szCs w:val="21"/>
                              </w:rPr>
                              <w:t>综</w:t>
                            </w:r>
                          </w:p>
                          <w:p w14:paraId="47D7A848">
                            <w:pPr>
                              <w:spacing w:line="240" w:lineRule="auto"/>
                              <w:jc w:val="center"/>
                              <w:rPr>
                                <w:rFonts w:hint="eastAsia"/>
                                <w:sz w:val="21"/>
                                <w:szCs w:val="21"/>
                              </w:rPr>
                            </w:pPr>
                            <w:r>
                              <w:rPr>
                                <w:rFonts w:hint="eastAsia"/>
                                <w:sz w:val="21"/>
                                <w:szCs w:val="21"/>
                              </w:rPr>
                              <w:t>合</w:t>
                            </w:r>
                          </w:p>
                          <w:p w14:paraId="375FB0B7">
                            <w:pPr>
                              <w:spacing w:line="240" w:lineRule="auto"/>
                              <w:jc w:val="center"/>
                              <w:rPr>
                                <w:rFonts w:hint="eastAsia"/>
                                <w:sz w:val="21"/>
                                <w:szCs w:val="21"/>
                              </w:rPr>
                            </w:pPr>
                            <w:r>
                              <w:rPr>
                                <w:rFonts w:hint="eastAsia"/>
                                <w:sz w:val="21"/>
                                <w:szCs w:val="21"/>
                              </w:rPr>
                              <w:t>效</w:t>
                            </w:r>
                          </w:p>
                          <w:p w14:paraId="6D0B3F29">
                            <w:pPr>
                              <w:spacing w:line="240" w:lineRule="auto"/>
                              <w:jc w:val="center"/>
                              <w:rPr>
                                <w:rFonts w:hint="eastAsia"/>
                              </w:rPr>
                            </w:pPr>
                            <w:r>
                              <w:rPr>
                                <w:rFonts w:hint="eastAsia"/>
                                <w:sz w:val="21"/>
                                <w:szCs w:val="21"/>
                              </w:rPr>
                              <w:t>益</w:t>
                            </w:r>
                          </w:p>
                        </w:txbxContent>
                      </wps:txbx>
                      <wps:bodyPr rot="0" vert="horz" wrap="square" lIns="36000" tIns="0" rIns="36000" bIns="0" anchor="ctr" anchorCtr="0" upright="1">
                        <a:noAutofit/>
                      </wps:bodyPr>
                    </wps:wsp>
                  </a:graphicData>
                </a:graphic>
              </wp:anchor>
            </w:drawing>
          </mc:Choice>
          <mc:Fallback>
            <w:pict>
              <v:shape id="AutoShape 974" o:spid="_x0000_s1026" o:spt="109" type="#_x0000_t109" style="position:absolute;left:0pt;margin-left:481.2pt;margin-top:16pt;height:94.8pt;width:30pt;z-index:251679744;v-text-anchor:middle;mso-width-relative:page;mso-height-relative:page;" fillcolor="#FFFFFF" filled="t" stroked="t" coordsize="21600,21600" o:gfxdata="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wj4a+2AAAAAsBAAAPAAAAAAAAAAEAIAAAACIAAABkcnMvZG93bnJl&#10;di54bWxQSwECFAAUAAAACACHTuJAOBdG2jYCAACGBAAADgAAAAAAAAABACAAAAAnAQAAZHJzL2Uy&#10;b0RvYy54bWxQSwUGAAAAAAYABgBZAQAAzwUAAAAA&#10;">
                <v:fill on="t" focussize="0,0"/>
                <v:stroke color="#000000" miterlimit="8" joinstyle="miter"/>
                <v:imagedata o:title=""/>
                <o:lock v:ext="edit" aspectratio="f"/>
                <v:textbox inset="1mm,0mm,1mm,0mm">
                  <w:txbxContent>
                    <w:p w14:paraId="26CDFFB6">
                      <w:pPr>
                        <w:spacing w:line="240" w:lineRule="auto"/>
                        <w:jc w:val="center"/>
                        <w:rPr>
                          <w:rFonts w:hint="eastAsia"/>
                          <w:sz w:val="21"/>
                          <w:szCs w:val="21"/>
                        </w:rPr>
                      </w:pPr>
                      <w:r>
                        <w:rPr>
                          <w:rFonts w:hint="eastAsia"/>
                          <w:sz w:val="21"/>
                          <w:szCs w:val="21"/>
                        </w:rPr>
                        <w:t>综</w:t>
                      </w:r>
                    </w:p>
                    <w:p w14:paraId="47D7A848">
                      <w:pPr>
                        <w:spacing w:line="240" w:lineRule="auto"/>
                        <w:jc w:val="center"/>
                        <w:rPr>
                          <w:rFonts w:hint="eastAsia"/>
                          <w:sz w:val="21"/>
                          <w:szCs w:val="21"/>
                        </w:rPr>
                      </w:pPr>
                      <w:r>
                        <w:rPr>
                          <w:rFonts w:hint="eastAsia"/>
                          <w:sz w:val="21"/>
                          <w:szCs w:val="21"/>
                        </w:rPr>
                        <w:t>合</w:t>
                      </w:r>
                    </w:p>
                    <w:p w14:paraId="375FB0B7">
                      <w:pPr>
                        <w:spacing w:line="240" w:lineRule="auto"/>
                        <w:jc w:val="center"/>
                        <w:rPr>
                          <w:rFonts w:hint="eastAsia"/>
                          <w:sz w:val="21"/>
                          <w:szCs w:val="21"/>
                        </w:rPr>
                      </w:pPr>
                      <w:r>
                        <w:rPr>
                          <w:rFonts w:hint="eastAsia"/>
                          <w:sz w:val="21"/>
                          <w:szCs w:val="21"/>
                        </w:rPr>
                        <w:t>效</w:t>
                      </w:r>
                    </w:p>
                    <w:p w14:paraId="6D0B3F29">
                      <w:pPr>
                        <w:spacing w:line="240" w:lineRule="auto"/>
                        <w:jc w:val="center"/>
                        <w:rPr>
                          <w:rFonts w:hint="eastAsia"/>
                        </w:rPr>
                      </w:pPr>
                      <w:r>
                        <w:rPr>
                          <w:rFonts w:hint="eastAsia"/>
                          <w:sz w:val="21"/>
                          <w:szCs w:val="21"/>
                        </w:rPr>
                        <w:t>益</w:t>
                      </w:r>
                    </w:p>
                  </w:txbxContent>
                </v:textbox>
              </v:shape>
            </w:pict>
          </mc:Fallback>
        </mc:AlternateContent>
      </w:r>
      <w:r>
        <w:rPr>
          <w:sz w:val="21"/>
          <w:szCs w:val="21"/>
        </w:rPr>
        <mc:AlternateContent>
          <mc:Choice Requires="wps">
            <w:drawing>
              <wp:anchor distT="0" distB="0" distL="114300" distR="114300" simplePos="0" relativeHeight="251676672" behindDoc="0" locked="0" layoutInCell="1" allowOverlap="1">
                <wp:simplePos x="0" y="0"/>
                <wp:positionH relativeFrom="column">
                  <wp:posOffset>4869180</wp:posOffset>
                </wp:positionH>
                <wp:positionV relativeFrom="paragraph">
                  <wp:posOffset>203200</wp:posOffset>
                </wp:positionV>
                <wp:extent cx="374650" cy="1203960"/>
                <wp:effectExtent l="0" t="0" r="25400" b="15240"/>
                <wp:wrapNone/>
                <wp:docPr id="48" name="AutoShape 974"/>
                <wp:cNvGraphicFramePr/>
                <a:graphic xmlns:a="http://schemas.openxmlformats.org/drawingml/2006/main">
                  <a:graphicData uri="http://schemas.microsoft.com/office/word/2010/wordprocessingShape">
                    <wps:wsp>
                      <wps:cNvSpPr>
                        <a:spLocks noChangeArrowheads="1"/>
                      </wps:cNvSpPr>
                      <wps:spPr bwMode="auto">
                        <a:xfrm>
                          <a:off x="0" y="0"/>
                          <a:ext cx="374650" cy="1203960"/>
                        </a:xfrm>
                        <a:prstGeom prst="flowChartProcess">
                          <a:avLst/>
                        </a:prstGeom>
                        <a:solidFill>
                          <a:srgbClr val="FFFFFF"/>
                        </a:solidFill>
                        <a:ln w="9525">
                          <a:solidFill>
                            <a:srgbClr val="000000"/>
                          </a:solidFill>
                          <a:miter lim="800000"/>
                        </a:ln>
                      </wps:spPr>
                      <wps:txbx>
                        <w:txbxContent>
                          <w:p w14:paraId="305F8C5B">
                            <w:pPr>
                              <w:spacing w:line="240" w:lineRule="auto"/>
                              <w:jc w:val="center"/>
                              <w:rPr>
                                <w:rFonts w:hint="eastAsia"/>
                                <w:sz w:val="21"/>
                                <w:szCs w:val="21"/>
                              </w:rPr>
                            </w:pPr>
                            <w:r>
                              <w:rPr>
                                <w:rFonts w:hint="eastAsia"/>
                                <w:sz w:val="21"/>
                                <w:szCs w:val="21"/>
                              </w:rPr>
                              <w:t>安</w:t>
                            </w:r>
                          </w:p>
                          <w:p w14:paraId="5C985320">
                            <w:pPr>
                              <w:spacing w:line="240" w:lineRule="auto"/>
                              <w:jc w:val="center"/>
                              <w:rPr>
                                <w:rFonts w:hint="eastAsia"/>
                                <w:sz w:val="21"/>
                                <w:szCs w:val="21"/>
                              </w:rPr>
                            </w:pPr>
                            <w:r>
                              <w:rPr>
                                <w:rFonts w:hint="eastAsia"/>
                                <w:sz w:val="21"/>
                                <w:szCs w:val="21"/>
                              </w:rPr>
                              <w:t>全</w:t>
                            </w:r>
                          </w:p>
                          <w:p w14:paraId="5AB9EB2F">
                            <w:pPr>
                              <w:spacing w:line="240" w:lineRule="auto"/>
                              <w:jc w:val="center"/>
                              <w:rPr>
                                <w:rFonts w:hint="eastAsia"/>
                                <w:sz w:val="21"/>
                                <w:szCs w:val="21"/>
                              </w:rPr>
                            </w:pPr>
                            <w:r>
                              <w:rPr>
                                <w:sz w:val="21"/>
                                <w:szCs w:val="21"/>
                              </w:rPr>
                              <w:t>环</w:t>
                            </w:r>
                          </w:p>
                          <w:p w14:paraId="29804DE1">
                            <w:pPr>
                              <w:spacing w:line="240" w:lineRule="auto"/>
                              <w:jc w:val="center"/>
                              <w:rPr>
                                <w:rFonts w:hint="eastAsia"/>
                                <w:sz w:val="21"/>
                                <w:szCs w:val="21"/>
                              </w:rPr>
                            </w:pPr>
                            <w:r>
                              <w:rPr>
                                <w:sz w:val="21"/>
                                <w:szCs w:val="21"/>
                              </w:rPr>
                              <w:t>保</w:t>
                            </w:r>
                          </w:p>
                        </w:txbxContent>
                      </wps:txbx>
                      <wps:bodyPr rot="0" vert="horz" wrap="square" lIns="36000" tIns="0" rIns="36000" bIns="0" anchor="ctr" anchorCtr="0" upright="1">
                        <a:noAutofit/>
                      </wps:bodyPr>
                    </wps:wsp>
                  </a:graphicData>
                </a:graphic>
              </wp:anchor>
            </w:drawing>
          </mc:Choice>
          <mc:Fallback>
            <w:pict>
              <v:shape id="AutoShape 974" o:spid="_x0000_s1026" o:spt="109" type="#_x0000_t109" style="position:absolute;left:0pt;margin-left:383.4pt;margin-top:16pt;height:94.8pt;width:29.5pt;z-index:251676672;v-text-anchor:middle;mso-width-relative:page;mso-height-relative:page;" fillcolor="#FFFFFF" filled="t" stroked="t" coordsize="21600,21600" o:gfxdata="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qXVGr2AAAAAoBAAAPAAAAAAAAAAEAIAAAACIAAABkcnMvZG93bnJldi54&#10;bWxQSwECFAAUAAAACACHTuJAVdrYYzMCAACGBAAADgAAAAAAAAABACAAAAAnAQAAZHJzL2Uyb0Rv&#10;Yy54bWxQSwUGAAAAAAYABgBZAQAAzAUAAAAA&#10;">
                <v:fill on="t" focussize="0,0"/>
                <v:stroke color="#000000" miterlimit="8" joinstyle="miter"/>
                <v:imagedata o:title=""/>
                <o:lock v:ext="edit" aspectratio="f"/>
                <v:textbox inset="1mm,0mm,1mm,0mm">
                  <w:txbxContent>
                    <w:p w14:paraId="305F8C5B">
                      <w:pPr>
                        <w:spacing w:line="240" w:lineRule="auto"/>
                        <w:jc w:val="center"/>
                        <w:rPr>
                          <w:rFonts w:hint="eastAsia"/>
                          <w:sz w:val="21"/>
                          <w:szCs w:val="21"/>
                        </w:rPr>
                      </w:pPr>
                      <w:r>
                        <w:rPr>
                          <w:rFonts w:hint="eastAsia"/>
                          <w:sz w:val="21"/>
                          <w:szCs w:val="21"/>
                        </w:rPr>
                        <w:t>安</w:t>
                      </w:r>
                    </w:p>
                    <w:p w14:paraId="5C985320">
                      <w:pPr>
                        <w:spacing w:line="240" w:lineRule="auto"/>
                        <w:jc w:val="center"/>
                        <w:rPr>
                          <w:rFonts w:hint="eastAsia"/>
                          <w:sz w:val="21"/>
                          <w:szCs w:val="21"/>
                        </w:rPr>
                      </w:pPr>
                      <w:r>
                        <w:rPr>
                          <w:rFonts w:hint="eastAsia"/>
                          <w:sz w:val="21"/>
                          <w:szCs w:val="21"/>
                        </w:rPr>
                        <w:t>全</w:t>
                      </w:r>
                    </w:p>
                    <w:p w14:paraId="5AB9EB2F">
                      <w:pPr>
                        <w:spacing w:line="240" w:lineRule="auto"/>
                        <w:jc w:val="center"/>
                        <w:rPr>
                          <w:rFonts w:hint="eastAsia"/>
                          <w:sz w:val="21"/>
                          <w:szCs w:val="21"/>
                        </w:rPr>
                      </w:pPr>
                      <w:r>
                        <w:rPr>
                          <w:sz w:val="21"/>
                          <w:szCs w:val="21"/>
                        </w:rPr>
                        <w:t>环</w:t>
                      </w:r>
                    </w:p>
                    <w:p w14:paraId="29804DE1">
                      <w:pPr>
                        <w:spacing w:line="240" w:lineRule="auto"/>
                        <w:jc w:val="center"/>
                        <w:rPr>
                          <w:rFonts w:hint="eastAsia"/>
                          <w:sz w:val="21"/>
                          <w:szCs w:val="21"/>
                        </w:rPr>
                      </w:pPr>
                      <w:r>
                        <w:rPr>
                          <w:sz w:val="21"/>
                          <w:szCs w:val="21"/>
                        </w:rPr>
                        <w:t>保</w:t>
                      </w:r>
                    </w:p>
                  </w:txbxContent>
                </v:textbox>
              </v:shape>
            </w:pict>
          </mc:Fallback>
        </mc:AlternateContent>
      </w:r>
      <w:r>
        <w:rPr>
          <w:sz w:val="21"/>
          <w:szCs w:val="21"/>
        </w:rPr>
        <mc:AlternateContent>
          <mc:Choice Requires="wps">
            <w:drawing>
              <wp:anchor distT="0" distB="0" distL="113665" distR="113665" simplePos="0" relativeHeight="251680768" behindDoc="0" locked="0" layoutInCell="1" allowOverlap="1">
                <wp:simplePos x="0" y="0"/>
                <wp:positionH relativeFrom="column">
                  <wp:posOffset>4657725</wp:posOffset>
                </wp:positionH>
                <wp:positionV relativeFrom="paragraph">
                  <wp:posOffset>17780</wp:posOffset>
                </wp:positionV>
                <wp:extent cx="0" cy="179705"/>
                <wp:effectExtent l="0" t="0" r="19050" b="29845"/>
                <wp:wrapNone/>
                <wp:docPr id="57" name="Line 957"/>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366.75pt;margin-top:1.4pt;height:14.15pt;width:0pt;z-index:251680768;mso-width-relative:page;mso-height-relative:page;" filled="f" stroked="t" coordsize="21600,21600" o:gfxdata="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EdeGy9QAAAAIAQAADwAAAAAAAAABACAAAAAiAAAAZHJzL2Rvd25y&#10;ZXYueG1sUEsBAhQAFAAAAAgAh07iQPJJMyDJAQAAoQMAAA4AAAAAAAAAAQAgAAAAIwEAAGRycy9l&#10;Mm9Eb2MueG1sUEsFBgAAAAAGAAYAWQEAAF4FAAAAAA==&#10;">
                <v:fill on="f" focussize="0,0"/>
                <v:stroke color="#000000" joinstyle="round"/>
                <v:imagedata o:title=""/>
                <o:lock v:ext="edit" aspectratio="f"/>
              </v:line>
            </w:pict>
          </mc:Fallback>
        </mc:AlternateContent>
      </w:r>
      <w:r>
        <w:rPr>
          <w:sz w:val="21"/>
          <w:szCs w:val="21"/>
        </w:rPr>
        <mc:AlternateContent>
          <mc:Choice Requires="wps">
            <w:drawing>
              <wp:anchor distT="0" distB="0" distL="113665" distR="113665" simplePos="0" relativeHeight="251702272" behindDoc="0" locked="0" layoutInCell="1" allowOverlap="1">
                <wp:simplePos x="0" y="0"/>
                <wp:positionH relativeFrom="column">
                  <wp:posOffset>5062220</wp:posOffset>
                </wp:positionH>
                <wp:positionV relativeFrom="paragraph">
                  <wp:posOffset>19050</wp:posOffset>
                </wp:positionV>
                <wp:extent cx="0" cy="179705"/>
                <wp:effectExtent l="0" t="0" r="19050" b="29845"/>
                <wp:wrapNone/>
                <wp:docPr id="38" name="Line 957"/>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398.6pt;margin-top:1.5pt;height:14.15pt;width:0pt;z-index:251702272;mso-width-relative:page;mso-height-relative:page;" filled="f" stroked="t" coordsize="21600,21600" o:gfxdata="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fkqLV0wAAAAgBAAAPAAAAAAAAAAEAIAAAACIAAABkcnMvZG93bnJl&#10;di54bWxQSwECFAAUAAAACACHTuJAjJN85MkBAAChAwAADgAAAAAAAAABACAAAAAiAQAAZHJzL2Uy&#10;b0RvYy54bWxQSwUGAAAAAAYABgBZAQAAXQUAAAAA&#10;">
                <v:fill on="f" focussize="0,0"/>
                <v:stroke color="#000000" joinstyle="round"/>
                <v:imagedata o:title=""/>
                <o:lock v:ext="edit" aspectratio="f"/>
              </v:line>
            </w:pict>
          </mc:Fallback>
        </mc:AlternateContent>
      </w:r>
      <w:r>
        <w:rPr>
          <w:sz w:val="21"/>
          <w:szCs w:val="21"/>
        </w:rPr>
        <mc:AlternateContent>
          <mc:Choice Requires="wps">
            <w:drawing>
              <wp:anchor distT="0" distB="0" distL="114300" distR="114300" simplePos="0" relativeHeight="251675648" behindDoc="0" locked="0" layoutInCell="1" allowOverlap="1">
                <wp:simplePos x="0" y="0"/>
                <wp:positionH relativeFrom="column">
                  <wp:posOffset>4454525</wp:posOffset>
                </wp:positionH>
                <wp:positionV relativeFrom="paragraph">
                  <wp:posOffset>202565</wp:posOffset>
                </wp:positionV>
                <wp:extent cx="376555" cy="1203325"/>
                <wp:effectExtent l="0" t="0" r="23495" b="15875"/>
                <wp:wrapNone/>
                <wp:docPr id="47" name="AutoShape 974"/>
                <wp:cNvGraphicFramePr/>
                <a:graphic xmlns:a="http://schemas.openxmlformats.org/drawingml/2006/main">
                  <a:graphicData uri="http://schemas.microsoft.com/office/word/2010/wordprocessingShape">
                    <wps:wsp>
                      <wps:cNvSpPr>
                        <a:spLocks noChangeArrowheads="1"/>
                      </wps:cNvSpPr>
                      <wps:spPr bwMode="auto">
                        <a:xfrm>
                          <a:off x="0" y="0"/>
                          <a:ext cx="376555" cy="1203325"/>
                        </a:xfrm>
                        <a:prstGeom prst="flowChartProcess">
                          <a:avLst/>
                        </a:prstGeom>
                        <a:solidFill>
                          <a:srgbClr val="FFFFFF"/>
                        </a:solidFill>
                        <a:ln w="9525">
                          <a:solidFill>
                            <a:srgbClr val="000000"/>
                          </a:solidFill>
                          <a:miter lim="800000"/>
                        </a:ln>
                      </wps:spPr>
                      <wps:txbx>
                        <w:txbxContent>
                          <w:p w14:paraId="25D8A50F">
                            <w:pPr>
                              <w:spacing w:line="240" w:lineRule="auto"/>
                              <w:jc w:val="distribute"/>
                              <w:rPr>
                                <w:rFonts w:hint="eastAsia"/>
                                <w:snapToGrid w:val="0"/>
                                <w:kern w:val="0"/>
                              </w:rPr>
                            </w:pPr>
                            <w:r>
                              <w:rPr>
                                <w:rFonts w:hint="eastAsia"/>
                                <w:sz w:val="21"/>
                                <w:szCs w:val="21"/>
                              </w:rPr>
                              <w:t>管理科学</w:t>
                            </w:r>
                          </w:p>
                        </w:txbxContent>
                      </wps:txbx>
                      <wps:bodyPr rot="0" vert="horz" wrap="square" lIns="91440" tIns="0" rIns="91440" bIns="0" anchor="ctr" anchorCtr="0" upright="1">
                        <a:noAutofit/>
                      </wps:bodyPr>
                    </wps:wsp>
                  </a:graphicData>
                </a:graphic>
              </wp:anchor>
            </w:drawing>
          </mc:Choice>
          <mc:Fallback>
            <w:pict>
              <v:shape id="AutoShape 974" o:spid="_x0000_s1026" o:spt="109" type="#_x0000_t109" style="position:absolute;left:0pt;margin-left:350.75pt;margin-top:15.95pt;height:94.75pt;width:29.65pt;z-index:251675648;v-text-anchor:middle;mso-width-relative:page;mso-height-relative:page;" fillcolor="#FFFFFF" filled="t" stroked="t" coordsize="21600,21600" o:gfxdata="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Edh5znbAAAACgEAAA8AAAAAAAAAAQAgAAAAIgAAAGRycy9kb3ducmV2Lnht&#10;bFBLAQIUABQAAAAIAIdO4kD4IxNDLwIAAIYEAAAOAAAAAAAAAAEAIAAAACoBAABkcnMvZTJvRG9j&#10;LnhtbFBLBQYAAAAABgAGAFkBAADLBQAAAAA=&#10;">
                <v:fill on="t" focussize="0,0"/>
                <v:stroke color="#000000" miterlimit="8" joinstyle="miter"/>
                <v:imagedata o:title=""/>
                <o:lock v:ext="edit" aspectratio="f"/>
                <v:textbox inset="2.54mm,0mm,2.54mm,0mm">
                  <w:txbxContent>
                    <w:p w14:paraId="25D8A50F">
                      <w:pPr>
                        <w:spacing w:line="240" w:lineRule="auto"/>
                        <w:jc w:val="distribute"/>
                        <w:rPr>
                          <w:rFonts w:hint="eastAsia"/>
                          <w:snapToGrid w:val="0"/>
                          <w:kern w:val="0"/>
                        </w:rPr>
                      </w:pPr>
                      <w:r>
                        <w:rPr>
                          <w:rFonts w:hint="eastAsia"/>
                          <w:sz w:val="21"/>
                          <w:szCs w:val="21"/>
                        </w:rPr>
                        <w:t>管理科学</w:t>
                      </w:r>
                    </w:p>
                  </w:txbxContent>
                </v:textbox>
              </v:shape>
            </w:pict>
          </mc:Fallback>
        </mc:AlternateContent>
      </w:r>
      <w:r>
        <w:rPr>
          <w:sz w:val="21"/>
          <w:szCs w:val="21"/>
        </w:rPr>
        <mc:AlternateContent>
          <mc:Choice Requires="wps">
            <w:drawing>
              <wp:anchor distT="0" distB="0" distL="113665" distR="113665" simplePos="0" relativeHeight="251683840" behindDoc="0" locked="0" layoutInCell="1" allowOverlap="1">
                <wp:simplePos x="0" y="0"/>
                <wp:positionH relativeFrom="column">
                  <wp:posOffset>6300470</wp:posOffset>
                </wp:positionH>
                <wp:positionV relativeFrom="paragraph">
                  <wp:posOffset>17780</wp:posOffset>
                </wp:positionV>
                <wp:extent cx="0" cy="179705"/>
                <wp:effectExtent l="0" t="0" r="19050" b="29845"/>
                <wp:wrapNone/>
                <wp:docPr id="61" name="Line 957"/>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496.1pt;margin-top:1.4pt;height:14.15pt;width:0pt;z-index:251683840;mso-width-relative:page;mso-height-relative:page;" filled="f" stroked="t" coordsize="21600,21600" o:gfxdata="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Nw58vbUAAAACAEAAA8AAAAAAAAAAQAgAAAAIgAAAGRycy9kb3du&#10;cmV2LnhtbFBLAQIUABQAAAAIAIdO4kAXCNUMygEAAKEDAAAOAAAAAAAAAAEAIAAAACMBAABkcnMv&#10;ZTJvRG9jLnhtbFBLBQYAAAAABgAGAFkBAABfBQAAAAA=&#10;">
                <v:fill on="f" focussize="0,0"/>
                <v:stroke color="#000000" joinstyle="round"/>
                <v:imagedata o:title=""/>
                <o:lock v:ext="edit" aspectratio="f"/>
              </v:line>
            </w:pict>
          </mc:Fallback>
        </mc:AlternateContent>
      </w:r>
      <w:r>
        <w:rPr>
          <w:sz w:val="21"/>
          <w:szCs w:val="21"/>
        </w:rPr>
        <mc:AlternateContent>
          <mc:Choice Requires="wps">
            <w:drawing>
              <wp:anchor distT="0" distB="0" distL="113665" distR="113665" simplePos="0" relativeHeight="251682816" behindDoc="0" locked="0" layoutInCell="1" allowOverlap="1">
                <wp:simplePos x="0" y="0"/>
                <wp:positionH relativeFrom="column">
                  <wp:posOffset>5890895</wp:posOffset>
                </wp:positionH>
                <wp:positionV relativeFrom="paragraph">
                  <wp:posOffset>17780</wp:posOffset>
                </wp:positionV>
                <wp:extent cx="0" cy="179705"/>
                <wp:effectExtent l="0" t="0" r="19050" b="29845"/>
                <wp:wrapNone/>
                <wp:docPr id="60" name="Line 957"/>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463.85pt;margin-top:1.4pt;height:14.15pt;width:0pt;z-index:251682816;mso-width-relative:page;mso-height-relative:page;" filled="f" stroked="t" coordsize="21600,21600" o:gfxdata="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8TMB1NQAAAAIAQAADwAAAAAAAAABACAAAAAiAAAAZHJzL2Rvd25y&#10;ZXYueG1sUEsBAhQAFAAAAAgAh07iQHs/VHjJAQAAoQMAAA4AAAAAAAAAAQAgAAAAIwEAAGRycy9l&#10;Mm9Eb2MueG1sUEsFBgAAAAAGAAYAWQEAAF4FAAAAAA==&#10;">
                <v:fill on="f" focussize="0,0"/>
                <v:stroke color="#000000" joinstyle="round"/>
                <v:imagedata o:title=""/>
                <o:lock v:ext="edit" aspectratio="f"/>
              </v:line>
            </w:pict>
          </mc:Fallback>
        </mc:AlternateContent>
      </w:r>
      <w:r>
        <w:rPr>
          <w:sz w:val="21"/>
          <w:szCs w:val="21"/>
        </w:rPr>
        <mc:AlternateContent>
          <mc:Choice Requires="wps">
            <w:drawing>
              <wp:anchor distT="0" distB="0" distL="113665" distR="113665" simplePos="0" relativeHeight="251681792" behindDoc="0" locked="0" layoutInCell="1" allowOverlap="1">
                <wp:simplePos x="0" y="0"/>
                <wp:positionH relativeFrom="column">
                  <wp:posOffset>5493385</wp:posOffset>
                </wp:positionH>
                <wp:positionV relativeFrom="paragraph">
                  <wp:posOffset>17780</wp:posOffset>
                </wp:positionV>
                <wp:extent cx="0" cy="179705"/>
                <wp:effectExtent l="0" t="0" r="19050" b="29845"/>
                <wp:wrapNone/>
                <wp:docPr id="59" name="Line 957"/>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432.55pt;margin-top:1.4pt;height:14.15pt;width:0pt;z-index:251681792;mso-width-relative:page;mso-height-relative:page;" filled="f" stroked="t" coordsize="21600,21600" o:gfxdata="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KmV2gdQAAAAIAQAADwAAAAAAAAABACAAAAAiAAAAZHJzL2Rvd25y&#10;ZXYueG1sUEsBAhQAFAAAAAgAh07iQDlLr9LJAQAAoQMAAA4AAAAAAAAAAQAgAAAAIwEAAGRycy9l&#10;Mm9Eb2MueG1sUEsFBgAAAAAGAAYAWQEAAF4FAAAAAA==&#10;">
                <v:fill on="f" focussize="0,0"/>
                <v:stroke color="#000000" joinstyle="round"/>
                <v:imagedata o:title=""/>
                <o:lock v:ext="edit" aspectratio="f"/>
              </v:line>
            </w:pict>
          </mc:Fallback>
        </mc:AlternateContent>
      </w:r>
      <w:r>
        <w:rPr>
          <w:sz w:val="21"/>
          <w:szCs w:val="21"/>
        </w:rPr>
        <mc:AlternateContent>
          <mc:Choice Requires="wps">
            <w:drawing>
              <wp:anchor distT="0" distB="0" distL="114300" distR="114300" simplePos="0" relativeHeight="251677696" behindDoc="0" locked="0" layoutInCell="1" allowOverlap="1">
                <wp:simplePos x="0" y="0"/>
                <wp:positionH relativeFrom="column">
                  <wp:posOffset>5284470</wp:posOffset>
                </wp:positionH>
                <wp:positionV relativeFrom="paragraph">
                  <wp:posOffset>201930</wp:posOffset>
                </wp:positionV>
                <wp:extent cx="381000" cy="1207770"/>
                <wp:effectExtent l="0" t="0" r="19050" b="11430"/>
                <wp:wrapNone/>
                <wp:docPr id="49" name="AutoShape 974"/>
                <wp:cNvGraphicFramePr/>
                <a:graphic xmlns:a="http://schemas.openxmlformats.org/drawingml/2006/main">
                  <a:graphicData uri="http://schemas.microsoft.com/office/word/2010/wordprocessingShape">
                    <wps:wsp>
                      <wps:cNvSpPr>
                        <a:spLocks noChangeArrowheads="1"/>
                      </wps:cNvSpPr>
                      <wps:spPr bwMode="auto">
                        <a:xfrm>
                          <a:off x="0" y="0"/>
                          <a:ext cx="381000" cy="1207770"/>
                        </a:xfrm>
                        <a:prstGeom prst="flowChartProcess">
                          <a:avLst/>
                        </a:prstGeom>
                        <a:solidFill>
                          <a:srgbClr val="FFFFFF"/>
                        </a:solidFill>
                        <a:ln w="9525">
                          <a:solidFill>
                            <a:srgbClr val="000000"/>
                          </a:solidFill>
                          <a:miter lim="800000"/>
                        </a:ln>
                      </wps:spPr>
                      <wps:txbx>
                        <w:txbxContent>
                          <w:p w14:paraId="712ECAD0">
                            <w:pPr>
                              <w:spacing w:line="240" w:lineRule="auto"/>
                              <w:jc w:val="center"/>
                              <w:rPr>
                                <w:rFonts w:hint="eastAsia"/>
                                <w:sz w:val="21"/>
                                <w:szCs w:val="21"/>
                              </w:rPr>
                            </w:pPr>
                            <w:r>
                              <w:rPr>
                                <w:rFonts w:hint="eastAsia"/>
                                <w:sz w:val="21"/>
                                <w:szCs w:val="21"/>
                              </w:rPr>
                              <w:t>资</w:t>
                            </w:r>
                          </w:p>
                          <w:p w14:paraId="2B276F33">
                            <w:pPr>
                              <w:spacing w:line="240" w:lineRule="auto"/>
                              <w:jc w:val="center"/>
                              <w:rPr>
                                <w:rFonts w:hint="eastAsia"/>
                                <w:sz w:val="21"/>
                                <w:szCs w:val="21"/>
                              </w:rPr>
                            </w:pPr>
                            <w:r>
                              <w:rPr>
                                <w:rFonts w:hint="eastAsia"/>
                                <w:sz w:val="21"/>
                                <w:szCs w:val="21"/>
                              </w:rPr>
                              <w:t>源</w:t>
                            </w:r>
                          </w:p>
                          <w:p w14:paraId="22E1B5A5">
                            <w:pPr>
                              <w:spacing w:line="240" w:lineRule="auto"/>
                              <w:jc w:val="center"/>
                              <w:rPr>
                                <w:rFonts w:hint="eastAsia"/>
                                <w:sz w:val="21"/>
                                <w:szCs w:val="21"/>
                              </w:rPr>
                            </w:pPr>
                            <w:r>
                              <w:rPr>
                                <w:rFonts w:hint="eastAsia"/>
                                <w:sz w:val="21"/>
                                <w:szCs w:val="21"/>
                              </w:rPr>
                              <w:t>节</w:t>
                            </w:r>
                          </w:p>
                          <w:p w14:paraId="480244AC">
                            <w:pPr>
                              <w:spacing w:line="240" w:lineRule="auto"/>
                              <w:jc w:val="center"/>
                              <w:rPr>
                                <w:rFonts w:hint="eastAsia"/>
                                <w:sz w:val="21"/>
                                <w:szCs w:val="21"/>
                              </w:rPr>
                            </w:pPr>
                            <w:r>
                              <w:rPr>
                                <w:rFonts w:hint="eastAsia"/>
                                <w:sz w:val="21"/>
                                <w:szCs w:val="21"/>
                              </w:rPr>
                              <w:t>约</w:t>
                            </w:r>
                          </w:p>
                        </w:txbxContent>
                      </wps:txbx>
                      <wps:bodyPr rot="0" vert="horz" wrap="square" lIns="36000" tIns="0" rIns="36000" bIns="0" anchor="ctr" anchorCtr="0" upright="1">
                        <a:noAutofit/>
                      </wps:bodyPr>
                    </wps:wsp>
                  </a:graphicData>
                </a:graphic>
              </wp:anchor>
            </w:drawing>
          </mc:Choice>
          <mc:Fallback>
            <w:pict>
              <v:shape id="AutoShape 974" o:spid="_x0000_s1026" o:spt="109" type="#_x0000_t109" style="position:absolute;left:0pt;margin-left:416.1pt;margin-top:15.9pt;height:95.1pt;width:30pt;z-index:251677696;v-text-anchor:middle;mso-width-relative:page;mso-height-relative:page;" fillcolor="#FFFFFF" filled="t" stroked="t" coordsize="21600,21600" o:gfxdata="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Oo/9L3XAAAACgEAAA8AAAAAAAAAAQAgAAAAIgAAAGRycy9kb3ducmV2&#10;LnhtbFBLAQIUABQAAAAIAIdO4kBlam8qNgIAAIYEAAAOAAAAAAAAAAEAIAAAACYBAABkcnMvZTJv&#10;RG9jLnhtbFBLBQYAAAAABgAGAFkBAADOBQAAAAA=&#10;">
                <v:fill on="t" focussize="0,0"/>
                <v:stroke color="#000000" miterlimit="8" joinstyle="miter"/>
                <v:imagedata o:title=""/>
                <o:lock v:ext="edit" aspectratio="f"/>
                <v:textbox inset="1mm,0mm,1mm,0mm">
                  <w:txbxContent>
                    <w:p w14:paraId="712ECAD0">
                      <w:pPr>
                        <w:spacing w:line="240" w:lineRule="auto"/>
                        <w:jc w:val="center"/>
                        <w:rPr>
                          <w:rFonts w:hint="eastAsia"/>
                          <w:sz w:val="21"/>
                          <w:szCs w:val="21"/>
                        </w:rPr>
                      </w:pPr>
                      <w:r>
                        <w:rPr>
                          <w:rFonts w:hint="eastAsia"/>
                          <w:sz w:val="21"/>
                          <w:szCs w:val="21"/>
                        </w:rPr>
                        <w:t>资</w:t>
                      </w:r>
                    </w:p>
                    <w:p w14:paraId="2B276F33">
                      <w:pPr>
                        <w:spacing w:line="240" w:lineRule="auto"/>
                        <w:jc w:val="center"/>
                        <w:rPr>
                          <w:rFonts w:hint="eastAsia"/>
                          <w:sz w:val="21"/>
                          <w:szCs w:val="21"/>
                        </w:rPr>
                      </w:pPr>
                      <w:r>
                        <w:rPr>
                          <w:rFonts w:hint="eastAsia"/>
                          <w:sz w:val="21"/>
                          <w:szCs w:val="21"/>
                        </w:rPr>
                        <w:t>源</w:t>
                      </w:r>
                    </w:p>
                    <w:p w14:paraId="22E1B5A5">
                      <w:pPr>
                        <w:spacing w:line="240" w:lineRule="auto"/>
                        <w:jc w:val="center"/>
                        <w:rPr>
                          <w:rFonts w:hint="eastAsia"/>
                          <w:sz w:val="21"/>
                          <w:szCs w:val="21"/>
                        </w:rPr>
                      </w:pPr>
                      <w:r>
                        <w:rPr>
                          <w:rFonts w:hint="eastAsia"/>
                          <w:sz w:val="21"/>
                          <w:szCs w:val="21"/>
                        </w:rPr>
                        <w:t>节</w:t>
                      </w:r>
                    </w:p>
                    <w:p w14:paraId="480244AC">
                      <w:pPr>
                        <w:spacing w:line="240" w:lineRule="auto"/>
                        <w:jc w:val="center"/>
                        <w:rPr>
                          <w:rFonts w:hint="eastAsia"/>
                          <w:sz w:val="21"/>
                          <w:szCs w:val="21"/>
                        </w:rPr>
                      </w:pPr>
                      <w:r>
                        <w:rPr>
                          <w:rFonts w:hint="eastAsia"/>
                          <w:sz w:val="21"/>
                          <w:szCs w:val="21"/>
                        </w:rPr>
                        <w:t>约</w:t>
                      </w:r>
                    </w:p>
                  </w:txbxContent>
                </v:textbox>
              </v:shape>
            </w:pict>
          </mc:Fallback>
        </mc:AlternateContent>
      </w:r>
    </w:p>
    <w:p w14:paraId="5867F8C6">
      <w:pPr>
        <w:rPr>
          <w:rFonts w:hint="eastAsia"/>
          <w:sz w:val="21"/>
          <w:szCs w:val="21"/>
        </w:rPr>
      </w:pPr>
    </w:p>
    <w:p w14:paraId="27BFB85F">
      <w:pPr>
        <w:rPr>
          <w:rFonts w:hint="eastAsia"/>
          <w:sz w:val="21"/>
          <w:szCs w:val="21"/>
        </w:rPr>
      </w:pPr>
    </w:p>
    <w:p w14:paraId="0110D255">
      <w:pPr>
        <w:rPr>
          <w:rFonts w:hint="eastAsia"/>
          <w:sz w:val="21"/>
          <w:szCs w:val="21"/>
        </w:rPr>
      </w:pPr>
    </w:p>
    <w:p w14:paraId="7D61B4BB">
      <w:pPr>
        <w:rPr>
          <w:rFonts w:hint="eastAsia"/>
          <w:sz w:val="21"/>
          <w:szCs w:val="21"/>
        </w:rPr>
      </w:pPr>
    </w:p>
    <w:p w14:paraId="285F706F">
      <w:pPr>
        <w:rPr>
          <w:rFonts w:hint="eastAsia"/>
          <w:sz w:val="21"/>
          <w:szCs w:val="21"/>
        </w:rPr>
      </w:pPr>
      <w:r>
        <w:rPr>
          <w:sz w:val="21"/>
          <w:szCs w:val="21"/>
        </w:rPr>
        <mc:AlternateContent>
          <mc:Choice Requires="wps">
            <w:drawing>
              <wp:anchor distT="0" distB="0" distL="114300" distR="114300" simplePos="0" relativeHeight="251758592" behindDoc="0" locked="0" layoutInCell="1" allowOverlap="1">
                <wp:simplePos x="0" y="0"/>
                <wp:positionH relativeFrom="column">
                  <wp:posOffset>5892800</wp:posOffset>
                </wp:positionH>
                <wp:positionV relativeFrom="paragraph">
                  <wp:posOffset>103505</wp:posOffset>
                </wp:positionV>
                <wp:extent cx="635" cy="102235"/>
                <wp:effectExtent l="0" t="0" r="37465" b="12065"/>
                <wp:wrapNone/>
                <wp:docPr id="17" name="Line 291"/>
                <wp:cNvGraphicFramePr/>
                <a:graphic xmlns:a="http://schemas.openxmlformats.org/drawingml/2006/main">
                  <a:graphicData uri="http://schemas.microsoft.com/office/word/2010/wordprocessingShape">
                    <wps:wsp>
                      <wps:cNvCnPr>
                        <a:cxnSpLocks noChangeShapeType="1"/>
                      </wps:cNvCnPr>
                      <wps:spPr bwMode="auto">
                        <a:xfrm flipH="1" flipV="1">
                          <a:off x="0" y="0"/>
                          <a:ext cx="635" cy="102235"/>
                        </a:xfrm>
                        <a:prstGeom prst="line">
                          <a:avLst/>
                        </a:prstGeom>
                        <a:noFill/>
                        <a:ln w="6350">
                          <a:solidFill>
                            <a:schemeClr val="tx1"/>
                          </a:solidFill>
                          <a:miter lim="800000"/>
                        </a:ln>
                      </wps:spPr>
                      <wps:bodyPr/>
                    </wps:wsp>
                  </a:graphicData>
                </a:graphic>
              </wp:anchor>
            </w:drawing>
          </mc:Choice>
          <mc:Fallback>
            <w:pict>
              <v:line id="Line 291" o:spid="_x0000_s1026" o:spt="20" style="position:absolute;left:0pt;flip:x y;margin-left:464pt;margin-top:8.15pt;height:8.05pt;width:0.05pt;z-index:251758592;mso-width-relative:page;mso-height-relative:page;" filled="f" stroked="t" coordsize="21600,21600" o:gfxdata="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A52u5LYAAAACQEAAA8AAAAA&#10;AAAAAQAgAAAAIgAAAGRycy9kb3ducmV2LnhtbFBLAQIUABQAAAAIAIdO4kC3QIEg2wEAAMQDAAAO&#10;AAAAAAAAAAEAIAAAACcBAABkcnMvZTJvRG9jLnhtbFBLBQYAAAAABgAGAFkBAAB0BQAA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030" distR="113030" simplePos="0" relativeHeight="251716608" behindDoc="0" locked="0" layoutInCell="1" allowOverlap="1">
                <wp:simplePos x="0" y="0"/>
                <wp:positionH relativeFrom="column">
                  <wp:posOffset>2437765</wp:posOffset>
                </wp:positionH>
                <wp:positionV relativeFrom="paragraph">
                  <wp:posOffset>118110</wp:posOffset>
                </wp:positionV>
                <wp:extent cx="0" cy="278765"/>
                <wp:effectExtent l="0" t="0" r="19050" b="26035"/>
                <wp:wrapNone/>
                <wp:docPr id="255" name="Line 957"/>
                <wp:cNvGraphicFramePr/>
                <a:graphic xmlns:a="http://schemas.openxmlformats.org/drawingml/2006/main">
                  <a:graphicData uri="http://schemas.microsoft.com/office/word/2010/wordprocessingShape">
                    <wps:wsp>
                      <wps:cNvCnPr>
                        <a:cxnSpLocks noChangeShapeType="1"/>
                      </wps:cNvCnPr>
                      <wps:spPr bwMode="auto">
                        <a:xfrm>
                          <a:off x="0" y="0"/>
                          <a:ext cx="0" cy="278765"/>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191.95pt;margin-top:9.3pt;height:21.95pt;width:0pt;z-index:251716608;mso-width-relative:page;mso-height-relative:page;" filled="f" stroked="t" coordsize="21600,21600" o:gfxdata="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pqvj+NUAAAAJAQAADwAAAAAAAAABACAAAAAiAAAAZHJzL2Rv&#10;d25yZXYueG1sUEsBAhQAFAAAAAgAh07iQJBhrILLAQAAogMAAA4AAAAAAAAAAQAgAAAAJAEAAGRy&#10;cy9lMm9Eb2MueG1sUEsFBgAAAAAGAAYAWQEAAGEFAAAAAA==&#10;">
                <v:fill on="f" focussize="0,0"/>
                <v:stroke color="#000000" joinstyle="round"/>
                <v:imagedata o:title=""/>
                <o:lock v:ext="edit" aspectratio="f"/>
              </v:line>
            </w:pict>
          </mc:Fallback>
        </mc:AlternateContent>
      </w:r>
      <w:r>
        <w:rPr>
          <w:sz w:val="21"/>
          <w:szCs w:val="21"/>
        </w:rPr>
        <mc:AlternateContent>
          <mc:Choice Requires="wps">
            <w:drawing>
              <wp:anchor distT="0" distB="0" distL="114300" distR="114300" simplePos="0" relativeHeight="251720704" behindDoc="0" locked="0" layoutInCell="1" allowOverlap="1">
                <wp:simplePos x="0" y="0"/>
                <wp:positionH relativeFrom="column">
                  <wp:posOffset>4640580</wp:posOffset>
                </wp:positionH>
                <wp:positionV relativeFrom="paragraph">
                  <wp:posOffset>205105</wp:posOffset>
                </wp:positionV>
                <wp:extent cx="1661160" cy="635"/>
                <wp:effectExtent l="0" t="0" r="34290" b="37465"/>
                <wp:wrapNone/>
                <wp:docPr id="250" name="直接连接符 250"/>
                <wp:cNvGraphicFramePr/>
                <a:graphic xmlns:a="http://schemas.openxmlformats.org/drawingml/2006/main">
                  <a:graphicData uri="http://schemas.microsoft.com/office/word/2010/wordprocessingShape">
                    <wps:wsp>
                      <wps:cNvCnPr/>
                      <wps:spPr>
                        <a:xfrm>
                          <a:off x="0" y="0"/>
                          <a:ext cx="1661160" cy="6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65.4pt;margin-top:16.15pt;height:0.05pt;width:130.8pt;z-index:251720704;mso-width-relative:page;mso-height-relative:page;" filled="f" stroked="t" coordsize="21600,21600" o:gfxdata="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zbp1R1wAAAAkB&#10;AAAPAAAAAAAAAAEAIAAAACIAAABkcnMvZG93bnJldi54bWxQSwECFAAUAAAACACHTuJASSFqwOMB&#10;AAC3AwAADgAAAAAAAAABACAAAAAmAQAAZHJzL2Uyb0RvYy54bWxQSwUGAAAAAAYABgBZAQAAewUA&#10;A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665" distR="113665" simplePos="0" relativeHeight="251721728" behindDoc="0" locked="0" layoutInCell="1" allowOverlap="1">
                <wp:simplePos x="0" y="0"/>
                <wp:positionH relativeFrom="column">
                  <wp:posOffset>4645660</wp:posOffset>
                </wp:positionH>
                <wp:positionV relativeFrom="paragraph">
                  <wp:posOffset>106045</wp:posOffset>
                </wp:positionV>
                <wp:extent cx="635" cy="320675"/>
                <wp:effectExtent l="0" t="0" r="37465" b="22225"/>
                <wp:wrapNone/>
                <wp:docPr id="251" name="直接连接符 251"/>
                <wp:cNvGraphicFramePr/>
                <a:graphic xmlns:a="http://schemas.openxmlformats.org/drawingml/2006/main">
                  <a:graphicData uri="http://schemas.microsoft.com/office/word/2010/wordprocessingShape">
                    <wps:wsp>
                      <wps:cNvCnPr/>
                      <wps:spPr>
                        <a:xfrm flipH="1" flipV="1">
                          <a:off x="0" y="0"/>
                          <a:ext cx="635" cy="3206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 y;margin-left:365.8pt;margin-top:8.35pt;height:25.25pt;width:0.05pt;z-index:251721728;mso-width-relative:page;mso-height-relative:page;" filled="f" stroked="t" coordsize="21600,21600" o:gfxdata="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au6p7XAAAACQEAAA8AAAAAAAAAAQAgAAAAIgAAAGRycy9kb3ducmV2LnhtbFBLAQIUABQA&#10;AAAIAIdO4kASjsYt8QEAAMoDAAAOAAAAAAAAAAEAIAAAACYBAABkcnMvZTJvRG9jLnhtbFBLBQYA&#10;AAAABgAGAFkBAACJBQAA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665" distR="113665" simplePos="0" relativeHeight="251697152" behindDoc="0" locked="0" layoutInCell="1" allowOverlap="1">
                <wp:simplePos x="0" y="0"/>
                <wp:positionH relativeFrom="column">
                  <wp:posOffset>5490210</wp:posOffset>
                </wp:positionH>
                <wp:positionV relativeFrom="paragraph">
                  <wp:posOffset>106680</wp:posOffset>
                </wp:positionV>
                <wp:extent cx="0" cy="220980"/>
                <wp:effectExtent l="0" t="0" r="19050" b="26670"/>
                <wp:wrapNone/>
                <wp:docPr id="223" name="直接连接符 223"/>
                <wp:cNvGraphicFramePr/>
                <a:graphic xmlns:a="http://schemas.openxmlformats.org/drawingml/2006/main">
                  <a:graphicData uri="http://schemas.microsoft.com/office/word/2010/wordprocessingShape">
                    <wps:wsp>
                      <wps:cNvCnPr/>
                      <wps:spPr>
                        <a:xfrm>
                          <a:off x="0" y="0"/>
                          <a:ext cx="0" cy="2209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32.3pt;margin-top:8.4pt;height:17.4pt;width:0pt;z-index:251697152;mso-width-relative:page;mso-height-relative:page;" filled="f" stroked="t" coordsize="21600,21600" o:gfxdata="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87EYjVAAAACQEA&#10;AA8AAAAAAAAAAQAgAAAAIgAAAGRycy9kb3ducmV2LnhtbFBLAQIUABQAAAAIAIdO4kCMgrFk5AEA&#10;ALQDAAAOAAAAAAAAAAEAIAAAACQBAABkcnMvZTJvRG9jLnhtbFBLBQYAAAAABgAGAFkBAAB6BQAA&#10;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665" distR="113665" simplePos="0" relativeHeight="251719680" behindDoc="0" locked="0" layoutInCell="1" allowOverlap="1">
                <wp:simplePos x="0" y="0"/>
                <wp:positionH relativeFrom="column">
                  <wp:posOffset>5063490</wp:posOffset>
                </wp:positionH>
                <wp:positionV relativeFrom="paragraph">
                  <wp:posOffset>111760</wp:posOffset>
                </wp:positionV>
                <wp:extent cx="0" cy="208280"/>
                <wp:effectExtent l="0" t="0" r="19050" b="20320"/>
                <wp:wrapNone/>
                <wp:docPr id="245" name="直接连接符 249"/>
                <wp:cNvGraphicFramePr/>
                <a:graphic xmlns:a="http://schemas.openxmlformats.org/drawingml/2006/main">
                  <a:graphicData uri="http://schemas.microsoft.com/office/word/2010/wordprocessingShape">
                    <wps:wsp>
                      <wps:cNvCnPr/>
                      <wps:spPr>
                        <a:xfrm>
                          <a:off x="0" y="0"/>
                          <a:ext cx="0" cy="2082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49" o:spid="_x0000_s1026" o:spt="20" style="position:absolute;left:0pt;margin-left:398.7pt;margin-top:8.8pt;height:16.4pt;width:0pt;z-index:251719680;mso-width-relative:page;mso-height-relative:page;" filled="f" stroked="t" coordsize="21600,21600" o:gfxdata="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xWZ2EdYAAAAJ&#10;AQAADwAAAAAAAAABACAAAAAiAAAAZHJzL2Rvd25yZXYueG1sUEsBAhQAFAAAAAgAh07iQGP1Qr/l&#10;AQAAtAMAAA4AAAAAAAAAAQAgAAAAJQEAAGRycy9lMm9Eb2MueG1sUEsFBgAAAAAGAAYAWQEAAHwF&#10;AAA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030" distR="113030" simplePos="0" relativeHeight="251751424" behindDoc="0" locked="0" layoutInCell="1" allowOverlap="1">
                <wp:simplePos x="0" y="0"/>
                <wp:positionH relativeFrom="column">
                  <wp:posOffset>1904365</wp:posOffset>
                </wp:positionH>
                <wp:positionV relativeFrom="paragraph">
                  <wp:posOffset>118110</wp:posOffset>
                </wp:positionV>
                <wp:extent cx="0" cy="278765"/>
                <wp:effectExtent l="0" t="0" r="19050" b="26035"/>
                <wp:wrapNone/>
                <wp:docPr id="154" name="Line 957"/>
                <wp:cNvGraphicFramePr/>
                <a:graphic xmlns:a="http://schemas.openxmlformats.org/drawingml/2006/main">
                  <a:graphicData uri="http://schemas.microsoft.com/office/word/2010/wordprocessingShape">
                    <wps:wsp>
                      <wps:cNvCnPr>
                        <a:cxnSpLocks noChangeShapeType="1"/>
                      </wps:cNvCnPr>
                      <wps:spPr bwMode="auto">
                        <a:xfrm>
                          <a:off x="0" y="0"/>
                          <a:ext cx="0" cy="278765"/>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149.95pt;margin-top:9.3pt;height:21.95pt;width:0pt;z-index:251751424;mso-width-relative:page;mso-height-relative:page;" filled="f" stroked="t" coordsize="21600,21600" o:gfxdata="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AUSz/WAAAACQEAAA8AAAAAAAAAAQAgAAAAIgAAAGRycy9k&#10;b3ducmV2LnhtbFBLAQIUABQAAAAIAIdO4kCTSTNkywEAAKIDAAAOAAAAAAAAAAEAIAAAACUBAABk&#10;cnMvZTJvRG9jLnhtbFBLBQYAAAAABgAGAFkBAABiBQAAAAA=&#10;">
                <v:fill on="f" focussize="0,0"/>
                <v:stroke color="#000000" joinstyle="round"/>
                <v:imagedata o:title=""/>
                <o:lock v:ext="edit" aspectratio="f"/>
              </v:line>
            </w:pict>
          </mc:Fallback>
        </mc:AlternateContent>
      </w:r>
      <w:r>
        <w:rPr>
          <w:sz w:val="21"/>
          <w:szCs w:val="21"/>
        </w:rPr>
        <mc:AlternateContent>
          <mc:Choice Requires="wps">
            <w:drawing>
              <wp:anchor distT="0" distB="0" distL="113030" distR="113030" simplePos="0" relativeHeight="251717632" behindDoc="0" locked="0" layoutInCell="1" allowOverlap="1">
                <wp:simplePos x="0" y="0"/>
                <wp:positionH relativeFrom="margin">
                  <wp:posOffset>3656330</wp:posOffset>
                </wp:positionH>
                <wp:positionV relativeFrom="paragraph">
                  <wp:posOffset>120650</wp:posOffset>
                </wp:positionV>
                <wp:extent cx="0" cy="276225"/>
                <wp:effectExtent l="0" t="0" r="19050" b="28575"/>
                <wp:wrapNone/>
                <wp:docPr id="32" name="Line 957"/>
                <wp:cNvGraphicFramePr/>
                <a:graphic xmlns:a="http://schemas.openxmlformats.org/drawingml/2006/main">
                  <a:graphicData uri="http://schemas.microsoft.com/office/word/2010/wordprocessingShape">
                    <wps:wsp>
                      <wps:cNvCnPr>
                        <a:cxnSpLocks noChangeShapeType="1"/>
                      </wps:cNvCnPr>
                      <wps:spPr bwMode="auto">
                        <a:xfrm>
                          <a:off x="0" y="0"/>
                          <a:ext cx="0" cy="276225"/>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287.9pt;margin-top:9.5pt;height:21.75pt;width:0pt;mso-position-horizontal-relative:margin;z-index:251717632;mso-width-relative:page;mso-height-relative:page;" filled="f" stroked="t" coordsize="21600,21600" o:gfxdata="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JA0YRrVAAAACQEAAA8AAAAAAAAAAQAgAAAAIgAAAGRycy9kb3du&#10;cmV2LnhtbFBLAQIUABQAAAAIAIdO4kDqkgnayQEAAKEDAAAOAAAAAAAAAAEAIAAAACQBAABkcnMv&#10;ZTJvRG9jLnhtbFBLBQYAAAAABgAGAFkBAABfBQAAAAA=&#10;">
                <v:fill on="f" focussize="0,0"/>
                <v:stroke color="#000000" joinstyle="round"/>
                <v:imagedata o:title=""/>
                <o:lock v:ext="edit" aspectratio="f"/>
              </v:line>
            </w:pict>
          </mc:Fallback>
        </mc:AlternateContent>
      </w:r>
      <w:r>
        <w:rPr>
          <w:sz w:val="21"/>
          <w:szCs w:val="21"/>
        </w:rPr>
        <mc:AlternateContent>
          <mc:Choice Requires="wps">
            <w:drawing>
              <wp:anchor distT="0" distB="0" distL="113030" distR="113030" simplePos="0" relativeHeight="251737088" behindDoc="0" locked="0" layoutInCell="1" allowOverlap="1">
                <wp:simplePos x="0" y="0"/>
                <wp:positionH relativeFrom="margin">
                  <wp:posOffset>4011930</wp:posOffset>
                </wp:positionH>
                <wp:positionV relativeFrom="paragraph">
                  <wp:posOffset>114935</wp:posOffset>
                </wp:positionV>
                <wp:extent cx="0" cy="278765"/>
                <wp:effectExtent l="0" t="0" r="19050" b="26035"/>
                <wp:wrapNone/>
                <wp:docPr id="35" name="Line 957"/>
                <wp:cNvGraphicFramePr/>
                <a:graphic xmlns:a="http://schemas.openxmlformats.org/drawingml/2006/main">
                  <a:graphicData uri="http://schemas.microsoft.com/office/word/2010/wordprocessingShape">
                    <wps:wsp>
                      <wps:cNvCnPr>
                        <a:cxnSpLocks noChangeShapeType="1"/>
                      </wps:cNvCnPr>
                      <wps:spPr bwMode="auto">
                        <a:xfrm>
                          <a:off x="0" y="0"/>
                          <a:ext cx="0" cy="278765"/>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315.9pt;margin-top:9.05pt;height:21.95pt;width:0pt;mso-position-horizontal-relative:margin;z-index:251737088;mso-width-relative:page;mso-height-relative:page;" filled="f" stroked="t" coordsize="21600,21600" o:gfxdata="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MF2RY1QAAAAkBAAAPAAAAAAAAAAEAIAAAACIAAABkcnMvZG93&#10;bnJldi54bWxQSwECFAAUAAAACACHTuJA62toosoBAAChAwAADgAAAAAAAAABACAAAAAkAQAAZHJz&#10;L2Uyb0RvYy54bWxQSwUGAAAAAAYABgBZAQAAYAUAAAAA&#10;">
                <v:fill on="f" focussize="0,0"/>
                <v:stroke color="#000000" joinstyle="round"/>
                <v:imagedata o:title=""/>
                <o:lock v:ext="edit" aspectratio="f"/>
              </v:line>
            </w:pict>
          </mc:Fallback>
        </mc:AlternateContent>
      </w:r>
      <w:r>
        <w:rPr>
          <w:sz w:val="21"/>
          <w:szCs w:val="21"/>
        </w:rPr>
        <mc:AlternateContent>
          <mc:Choice Requires="wps">
            <w:drawing>
              <wp:anchor distT="0" distB="0" distL="113030" distR="113030" simplePos="0" relativeHeight="251672576" behindDoc="0" locked="0" layoutInCell="1" allowOverlap="1">
                <wp:simplePos x="0" y="0"/>
                <wp:positionH relativeFrom="column">
                  <wp:posOffset>3263900</wp:posOffset>
                </wp:positionH>
                <wp:positionV relativeFrom="paragraph">
                  <wp:posOffset>123190</wp:posOffset>
                </wp:positionV>
                <wp:extent cx="0" cy="278765"/>
                <wp:effectExtent l="0" t="0" r="19050" b="26035"/>
                <wp:wrapNone/>
                <wp:docPr id="254" name="Line 957"/>
                <wp:cNvGraphicFramePr/>
                <a:graphic xmlns:a="http://schemas.openxmlformats.org/drawingml/2006/main">
                  <a:graphicData uri="http://schemas.microsoft.com/office/word/2010/wordprocessingShape">
                    <wps:wsp>
                      <wps:cNvCnPr>
                        <a:cxnSpLocks noChangeShapeType="1"/>
                      </wps:cNvCnPr>
                      <wps:spPr bwMode="auto">
                        <a:xfrm>
                          <a:off x="0" y="0"/>
                          <a:ext cx="0" cy="278765"/>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257pt;margin-top:9.7pt;height:21.95pt;width:0pt;z-index:251672576;mso-width-relative:page;mso-height-relative:page;" filled="f" stroked="t" coordsize="21600,21600" o:gfxdata="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GoVvnrWAAAACQEAAA8AAAAAAAAAAQAgAAAAIgAAAGRycy9k&#10;b3ducmV2LnhtbFBLAQIUABQAAAAIAIdO4kD8Vi32ywEAAKIDAAAOAAAAAAAAAAEAIAAAACUBAABk&#10;cnMvZTJvRG9jLnhtbFBLBQYAAAAABgAGAFkBAABiBQAAAAA=&#10;">
                <v:fill on="f" focussize="0,0"/>
                <v:stroke color="#000000" joinstyle="round"/>
                <v:imagedata o:title=""/>
                <o:lock v:ext="edit" aspectratio="f"/>
              </v:line>
            </w:pict>
          </mc:Fallback>
        </mc:AlternateContent>
      </w:r>
      <w:r>
        <w:rPr>
          <w:sz w:val="21"/>
          <w:szCs w:val="21"/>
        </w:rPr>
        <mc:AlternateContent>
          <mc:Choice Requires="wps">
            <w:drawing>
              <wp:anchor distT="0" distB="0" distL="113030" distR="113030" simplePos="0" relativeHeight="251735040" behindDoc="0" locked="0" layoutInCell="1" allowOverlap="1">
                <wp:simplePos x="0" y="0"/>
                <wp:positionH relativeFrom="column">
                  <wp:posOffset>2898140</wp:posOffset>
                </wp:positionH>
                <wp:positionV relativeFrom="paragraph">
                  <wp:posOffset>119380</wp:posOffset>
                </wp:positionV>
                <wp:extent cx="0" cy="278765"/>
                <wp:effectExtent l="0" t="0" r="19050" b="26035"/>
                <wp:wrapNone/>
                <wp:docPr id="63" name="Line 957"/>
                <wp:cNvGraphicFramePr/>
                <a:graphic xmlns:a="http://schemas.openxmlformats.org/drawingml/2006/main">
                  <a:graphicData uri="http://schemas.microsoft.com/office/word/2010/wordprocessingShape">
                    <wps:wsp>
                      <wps:cNvCnPr>
                        <a:cxnSpLocks noChangeShapeType="1"/>
                      </wps:cNvCnPr>
                      <wps:spPr bwMode="auto">
                        <a:xfrm>
                          <a:off x="0" y="0"/>
                          <a:ext cx="0" cy="278765"/>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228.2pt;margin-top:9.4pt;height:21.95pt;width:0pt;z-index:251735040;mso-width-relative:page;mso-height-relative:page;" filled="f" stroked="t" coordsize="21600,21600" o:gfxdata="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9xlGTtYAAAAJAQAADwAAAAAAAAABACAAAAAiAAAAZHJzL2Rv&#10;d25yZXYueG1sUEsBAhQAFAAAAAgAh07iQNfF3MzKAQAAoQMAAA4AAAAAAAAAAQAgAAAAJQEAAGRy&#10;cy9lMm9Eb2MueG1sUEsFBgAAAAAGAAYAWQEAAGEFAAAAAA==&#10;">
                <v:fill on="f" focussize="0,0"/>
                <v:stroke color="#000000" joinstyle="round"/>
                <v:imagedata o:title=""/>
                <o:lock v:ext="edit" aspectratio="f"/>
              </v:line>
            </w:pict>
          </mc:Fallback>
        </mc:AlternateContent>
      </w:r>
      <w:r>
        <w:rPr>
          <w:sz w:val="21"/>
          <w:szCs w:val="21"/>
        </w:rPr>
        <mc:AlternateContent>
          <mc:Choice Requires="wps">
            <w:drawing>
              <wp:anchor distT="0" distB="0" distL="114300" distR="114300" simplePos="0" relativeHeight="251722752" behindDoc="0" locked="0" layoutInCell="1" allowOverlap="1">
                <wp:simplePos x="0" y="0"/>
                <wp:positionH relativeFrom="column">
                  <wp:posOffset>6301105</wp:posOffset>
                </wp:positionH>
                <wp:positionV relativeFrom="paragraph">
                  <wp:posOffset>103505</wp:posOffset>
                </wp:positionV>
                <wp:extent cx="635" cy="102235"/>
                <wp:effectExtent l="0" t="0" r="37465" b="12065"/>
                <wp:wrapNone/>
                <wp:docPr id="246" name="Line 291"/>
                <wp:cNvGraphicFramePr/>
                <a:graphic xmlns:a="http://schemas.openxmlformats.org/drawingml/2006/main">
                  <a:graphicData uri="http://schemas.microsoft.com/office/word/2010/wordprocessingShape">
                    <wps:wsp>
                      <wps:cNvCnPr>
                        <a:cxnSpLocks noChangeShapeType="1"/>
                      </wps:cNvCnPr>
                      <wps:spPr bwMode="auto">
                        <a:xfrm flipH="1" flipV="1">
                          <a:off x="0" y="0"/>
                          <a:ext cx="635" cy="102235"/>
                        </a:xfrm>
                        <a:prstGeom prst="line">
                          <a:avLst/>
                        </a:prstGeom>
                        <a:noFill/>
                        <a:ln w="6350">
                          <a:solidFill>
                            <a:schemeClr val="tx1"/>
                          </a:solidFill>
                          <a:miter lim="800000"/>
                        </a:ln>
                      </wps:spPr>
                      <wps:bodyPr/>
                    </wps:wsp>
                  </a:graphicData>
                </a:graphic>
              </wp:anchor>
            </w:drawing>
          </mc:Choice>
          <mc:Fallback>
            <w:pict>
              <v:line id="Line 291" o:spid="_x0000_s1026" o:spt="20" style="position:absolute;left:0pt;flip:x y;margin-left:496.15pt;margin-top:8.15pt;height:8.05pt;width:0.05pt;z-index:251722752;mso-width-relative:page;mso-height-relative:page;" filled="f" stroked="t" coordsize="21600,21600" o:gfxdata="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GJUa7XAAAACQEAAA8AAAAA&#10;AAAAAQAgAAAAIgAAAGRycy9kb3ducmV2LnhtbFBLAQIUABQAAAAIAIdO4kAQumjc3AEAAMUDAAAO&#10;AAAAAAAAAAEAIAAAACYBAABkcnMvZTJvRG9jLnhtbFBLBQYAAAAABgAGAFkBAAB0BQAAAAA=&#10;">
                <v:fill on="f" focussize="0,0"/>
                <v:stroke weight="0.5pt" color="#000000 [3213]" miterlimit="8" joinstyle="miter"/>
                <v:imagedata o:title=""/>
                <o:lock v:ext="edit" aspectratio="f"/>
              </v:line>
            </w:pict>
          </mc:Fallback>
        </mc:AlternateContent>
      </w:r>
    </w:p>
    <w:p w14:paraId="70691322">
      <w:pPr>
        <w:rPr>
          <w:rFonts w:hint="eastAsia"/>
          <w:sz w:val="21"/>
          <w:szCs w:val="21"/>
        </w:rPr>
      </w:pPr>
      <w:r>
        <w:rPr>
          <w:sz w:val="21"/>
          <w:szCs w:val="21"/>
        </w:rPr>
        <mc:AlternateContent>
          <mc:Choice Requires="wps">
            <w:drawing>
              <wp:anchor distT="0" distB="0" distL="114300" distR="114300" simplePos="0" relativeHeight="251692032" behindDoc="0" locked="0" layoutInCell="1" allowOverlap="1">
                <wp:simplePos x="0" y="0"/>
                <wp:positionH relativeFrom="column">
                  <wp:posOffset>4973955</wp:posOffset>
                </wp:positionH>
                <wp:positionV relativeFrom="paragraph">
                  <wp:posOffset>163195</wp:posOffset>
                </wp:positionV>
                <wp:extent cx="659130" cy="213360"/>
                <wp:effectExtent l="0" t="0" r="26670" b="15240"/>
                <wp:wrapNone/>
                <wp:docPr id="228" name="AutoShape 974"/>
                <wp:cNvGraphicFramePr/>
                <a:graphic xmlns:a="http://schemas.openxmlformats.org/drawingml/2006/main">
                  <a:graphicData uri="http://schemas.microsoft.com/office/word/2010/wordprocessingShape">
                    <wps:wsp>
                      <wps:cNvSpPr>
                        <a:spLocks noChangeArrowheads="1"/>
                      </wps:cNvSpPr>
                      <wps:spPr bwMode="auto">
                        <a:xfrm>
                          <a:off x="0" y="0"/>
                          <a:ext cx="659130" cy="213360"/>
                        </a:xfrm>
                        <a:prstGeom prst="flowChartProcess">
                          <a:avLst/>
                        </a:prstGeom>
                        <a:solidFill>
                          <a:srgbClr val="FFFFFF"/>
                        </a:solidFill>
                        <a:ln w="9525">
                          <a:solidFill>
                            <a:srgbClr val="000000"/>
                          </a:solidFill>
                          <a:miter lim="800000"/>
                        </a:ln>
                      </wps:spPr>
                      <wps:txbx>
                        <w:txbxContent>
                          <w:p w14:paraId="2455D76A">
                            <w:pPr>
                              <w:spacing w:line="240" w:lineRule="auto"/>
                              <w:jc w:val="distribute"/>
                              <w:rPr>
                                <w:rFonts w:hint="eastAsia"/>
                                <w:snapToGrid w:val="0"/>
                                <w:kern w:val="0"/>
                                <w:sz w:val="21"/>
                                <w:szCs w:val="21"/>
                              </w:rPr>
                            </w:pPr>
                            <w:r>
                              <w:rPr>
                                <w:rFonts w:hint="eastAsia"/>
                                <w:snapToGrid w:val="0"/>
                                <w:kern w:val="0"/>
                                <w:sz w:val="21"/>
                                <w:szCs w:val="21"/>
                              </w:rPr>
                              <w:t>专用项</w:t>
                            </w:r>
                          </w:p>
                        </w:txbxContent>
                      </wps:txbx>
                      <wps:bodyPr rot="0" vert="horz" wrap="square" lIns="91440" tIns="0" rIns="91440" bIns="0" anchor="ctr" anchorCtr="0" upright="1">
                        <a:noAutofit/>
                      </wps:bodyPr>
                    </wps:wsp>
                  </a:graphicData>
                </a:graphic>
              </wp:anchor>
            </w:drawing>
          </mc:Choice>
          <mc:Fallback>
            <w:pict>
              <v:shape id="AutoShape 974" o:spid="_x0000_s1026" o:spt="109" type="#_x0000_t109" style="position:absolute;left:0pt;margin-left:391.65pt;margin-top:12.85pt;height:16.8pt;width:51.9pt;z-index:251692032;v-text-anchor:middle;mso-width-relative:page;mso-height-relative:page;" fillcolor="#FFFFFF" filled="t" stroked="t" coordsize="21600,21600" o:gfxdata="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nauEDcAAAACQEAAA8AAAAAAAAAAQAgAAAAIgAAAGRycy9kb3du&#10;cmV2LnhtbFBLAQIUABQAAAAIAIdO4kAeR58pNAIAAIYEAAAOAAAAAAAAAAEAIAAAACsBAABkcnMv&#10;ZTJvRG9jLnhtbFBLBQYAAAAABgAGAFkBAADRBQAAAAA=&#10;">
                <v:fill on="t" focussize="0,0"/>
                <v:stroke color="#000000" miterlimit="8" joinstyle="miter"/>
                <v:imagedata o:title=""/>
                <o:lock v:ext="edit" aspectratio="f"/>
                <v:textbox inset="2.54mm,0mm,2.54mm,0mm">
                  <w:txbxContent>
                    <w:p w14:paraId="2455D76A">
                      <w:pPr>
                        <w:spacing w:line="240" w:lineRule="auto"/>
                        <w:jc w:val="distribute"/>
                        <w:rPr>
                          <w:rFonts w:hint="eastAsia"/>
                          <w:snapToGrid w:val="0"/>
                          <w:kern w:val="0"/>
                          <w:sz w:val="21"/>
                          <w:szCs w:val="21"/>
                        </w:rPr>
                      </w:pPr>
                      <w:r>
                        <w:rPr>
                          <w:rFonts w:hint="eastAsia"/>
                          <w:snapToGrid w:val="0"/>
                          <w:kern w:val="0"/>
                          <w:sz w:val="21"/>
                          <w:szCs w:val="21"/>
                        </w:rPr>
                        <w:t>专用项</w:t>
                      </w:r>
                    </w:p>
                  </w:txbxContent>
                </v:textbox>
              </v:shape>
            </w:pict>
          </mc:Fallback>
        </mc:AlternateContent>
      </w:r>
      <w:r>
        <w:rPr>
          <w:sz w:val="21"/>
          <w:szCs w:val="21"/>
        </w:rPr>
        <mc:AlternateContent>
          <mc:Choice Requires="wps">
            <w:drawing>
              <wp:anchor distT="0" distB="0" distL="113030" distR="113030" simplePos="0" relativeHeight="251674624" behindDoc="0" locked="0" layoutInCell="1" allowOverlap="1">
                <wp:simplePos x="0" y="0"/>
                <wp:positionH relativeFrom="margin">
                  <wp:posOffset>2894965</wp:posOffset>
                </wp:positionH>
                <wp:positionV relativeFrom="paragraph">
                  <wp:posOffset>134620</wp:posOffset>
                </wp:positionV>
                <wp:extent cx="0" cy="648335"/>
                <wp:effectExtent l="0" t="0" r="19050" b="37465"/>
                <wp:wrapNone/>
                <wp:docPr id="241" name="Line 957"/>
                <wp:cNvGraphicFramePr/>
                <a:graphic xmlns:a="http://schemas.openxmlformats.org/drawingml/2006/main">
                  <a:graphicData uri="http://schemas.microsoft.com/office/word/2010/wordprocessingShape">
                    <wps:wsp>
                      <wps:cNvCnPr>
                        <a:cxnSpLocks noChangeShapeType="1"/>
                      </wps:cNvCnPr>
                      <wps:spPr bwMode="auto">
                        <a:xfrm>
                          <a:off x="0" y="0"/>
                          <a:ext cx="0" cy="648586"/>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227.95pt;margin-top:10.6pt;height:51.05pt;width:0pt;mso-position-horizontal-relative:margin;z-index:251674624;mso-width-relative:page;mso-height-relative:page;" filled="f" stroked="t" coordsize="21600,21600" o:gfxdata="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rqyy/WAAAACgEAAA8AAAAAAAAAAQAgAAAAIgAAAGRycy9k&#10;b3ducmV2LnhtbFBLAQIUABQAAAAIAIdO4kBS6O8CywEAAKIDAAAOAAAAAAAAAAEAIAAAACUBAABk&#10;cnMvZTJvRG9jLnhtbFBLBQYAAAAABgAGAFkBAABiBQAAAAA=&#10;">
                <v:fill on="f" focussize="0,0"/>
                <v:stroke color="#000000" joinstyle="round"/>
                <v:imagedata o:title=""/>
                <o:lock v:ext="edit" aspectratio="f"/>
              </v:line>
            </w:pict>
          </mc:Fallback>
        </mc:AlternateContent>
      </w:r>
      <w:r>
        <w:rPr>
          <w:sz w:val="21"/>
          <w:szCs w:val="21"/>
        </w:rPr>
        <mc:AlternateContent>
          <mc:Choice Requires="wps">
            <w:drawing>
              <wp:anchor distT="0" distB="0" distL="114300" distR="114300" simplePos="0" relativeHeight="251691008" behindDoc="0" locked="0" layoutInCell="1" allowOverlap="1">
                <wp:simplePos x="0" y="0"/>
                <wp:positionH relativeFrom="column">
                  <wp:posOffset>4282440</wp:posOffset>
                </wp:positionH>
                <wp:positionV relativeFrom="paragraph">
                  <wp:posOffset>163195</wp:posOffset>
                </wp:positionV>
                <wp:extent cx="662940" cy="215900"/>
                <wp:effectExtent l="0" t="0" r="22860" b="12700"/>
                <wp:wrapNone/>
                <wp:docPr id="229" name="AutoShape 974"/>
                <wp:cNvGraphicFramePr/>
                <a:graphic xmlns:a="http://schemas.openxmlformats.org/drawingml/2006/main">
                  <a:graphicData uri="http://schemas.microsoft.com/office/word/2010/wordprocessingShape">
                    <wps:wsp>
                      <wps:cNvSpPr>
                        <a:spLocks noChangeArrowheads="1"/>
                      </wps:cNvSpPr>
                      <wps:spPr bwMode="auto">
                        <a:xfrm>
                          <a:off x="0" y="0"/>
                          <a:ext cx="662940" cy="215900"/>
                        </a:xfrm>
                        <a:prstGeom prst="flowChartProcess">
                          <a:avLst/>
                        </a:prstGeom>
                        <a:solidFill>
                          <a:srgbClr val="FFFFFF"/>
                        </a:solidFill>
                        <a:ln w="9525">
                          <a:solidFill>
                            <a:srgbClr val="000000"/>
                          </a:solidFill>
                          <a:miter lim="800000"/>
                        </a:ln>
                      </wps:spPr>
                      <wps:txbx>
                        <w:txbxContent>
                          <w:p w14:paraId="06431DA6">
                            <w:pPr>
                              <w:spacing w:line="240" w:lineRule="auto"/>
                              <w:jc w:val="distribute"/>
                              <w:rPr>
                                <w:rFonts w:hint="eastAsia"/>
                                <w:snapToGrid w:val="0"/>
                                <w:kern w:val="0"/>
                                <w:sz w:val="21"/>
                                <w:szCs w:val="21"/>
                              </w:rPr>
                            </w:pPr>
                            <w:r>
                              <w:rPr>
                                <w:rFonts w:hint="eastAsia"/>
                                <w:snapToGrid w:val="0"/>
                                <w:kern w:val="0"/>
                                <w:sz w:val="21"/>
                                <w:szCs w:val="21"/>
                              </w:rPr>
                              <w:t>通用项</w:t>
                            </w:r>
                          </w:p>
                        </w:txbxContent>
                      </wps:txbx>
                      <wps:bodyPr rot="0" vert="horz" wrap="square" lIns="91440" tIns="0" rIns="91440" bIns="0" anchor="ctr" anchorCtr="0" upright="1">
                        <a:noAutofit/>
                      </wps:bodyPr>
                    </wps:wsp>
                  </a:graphicData>
                </a:graphic>
              </wp:anchor>
            </w:drawing>
          </mc:Choice>
          <mc:Fallback>
            <w:pict>
              <v:shape id="AutoShape 974" o:spid="_x0000_s1026" o:spt="109" type="#_x0000_t109" style="position:absolute;left:0pt;margin-left:337.2pt;margin-top:12.85pt;height:17pt;width:52.2pt;z-index:251691008;v-text-anchor:middle;mso-width-relative:page;mso-height-relative:page;" fillcolor="#FFFFFF" filled="t" stroked="t" coordsize="21600,21600" o:gfxdata="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GZRS2wAAAAkBAAAPAAAAAAAAAAEAIAAAACIAAABkcnMvZG93bnJl&#10;di54bWxQSwECFAAUAAAACACHTuJA0qSG2jMCAACGBAAADgAAAAAAAAABACAAAAAqAQAAZHJzL2Uy&#10;b0RvYy54bWxQSwUGAAAAAAYABgBZAQAAzwUAAAAA&#10;">
                <v:fill on="t" focussize="0,0"/>
                <v:stroke color="#000000" miterlimit="8" joinstyle="miter"/>
                <v:imagedata o:title=""/>
                <o:lock v:ext="edit" aspectratio="f"/>
                <v:textbox inset="2.54mm,0mm,2.54mm,0mm">
                  <w:txbxContent>
                    <w:p w14:paraId="06431DA6">
                      <w:pPr>
                        <w:spacing w:line="240" w:lineRule="auto"/>
                        <w:jc w:val="distribute"/>
                        <w:rPr>
                          <w:rFonts w:hint="eastAsia"/>
                          <w:snapToGrid w:val="0"/>
                          <w:kern w:val="0"/>
                          <w:sz w:val="21"/>
                          <w:szCs w:val="21"/>
                        </w:rPr>
                      </w:pPr>
                      <w:r>
                        <w:rPr>
                          <w:rFonts w:hint="eastAsia"/>
                          <w:snapToGrid w:val="0"/>
                          <w:kern w:val="0"/>
                          <w:sz w:val="21"/>
                          <w:szCs w:val="21"/>
                        </w:rPr>
                        <w:t>通用项</w:t>
                      </w:r>
                    </w:p>
                  </w:txbxContent>
                </v:textbox>
              </v:shape>
            </w:pict>
          </mc:Fallback>
        </mc:AlternateContent>
      </w:r>
      <w:r>
        <w:rPr>
          <w:sz w:val="21"/>
          <w:szCs w:val="21"/>
        </w:rPr>
        <mc:AlternateContent>
          <mc:Choice Requires="wps">
            <w:drawing>
              <wp:anchor distT="0" distB="0" distL="113665" distR="113665" simplePos="0" relativeHeight="251754496" behindDoc="0" locked="0" layoutInCell="1" allowOverlap="1">
                <wp:simplePos x="0" y="0"/>
                <wp:positionH relativeFrom="column">
                  <wp:posOffset>5295900</wp:posOffset>
                </wp:positionH>
                <wp:positionV relativeFrom="paragraph">
                  <wp:posOffset>64135</wp:posOffset>
                </wp:positionV>
                <wp:extent cx="0" cy="99060"/>
                <wp:effectExtent l="0" t="0" r="19050" b="34290"/>
                <wp:wrapNone/>
                <wp:docPr id="4" name="直接连接符 249"/>
                <wp:cNvGraphicFramePr/>
                <a:graphic xmlns:a="http://schemas.openxmlformats.org/drawingml/2006/main">
                  <a:graphicData uri="http://schemas.microsoft.com/office/word/2010/wordprocessingShape">
                    <wps:wsp>
                      <wps:cNvCnPr/>
                      <wps:spPr>
                        <a:xfrm>
                          <a:off x="0" y="0"/>
                          <a:ext cx="0" cy="990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49" o:spid="_x0000_s1026" o:spt="20" style="position:absolute;left:0pt;margin-left:417pt;margin-top:5.05pt;height:7.8pt;width:0pt;z-index:251754496;mso-width-relative:page;mso-height-relative:page;" filled="f" stroked="t" coordsize="21600,21600" o:gfxdata="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1JtQbWAAAACQEA&#10;AA8AAAAAAAAAAQAgAAAAIgAAAGRycy9kb3ducmV2LnhtbFBLAQIUABQAAAAIAIdO4kANnDdD4wEA&#10;ALEDAAAOAAAAAAAAAAEAIAAAACUBAABkcnMvZTJvRG9jLnhtbFBLBQYAAAAABgAGAFkBAAB6BQAA&#10;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4300" distR="114300" simplePos="0" relativeHeight="251718656" behindDoc="0" locked="0" layoutInCell="1" allowOverlap="1">
                <wp:simplePos x="0" y="0"/>
                <wp:positionH relativeFrom="column">
                  <wp:posOffset>5059680</wp:posOffset>
                </wp:positionH>
                <wp:positionV relativeFrom="paragraph">
                  <wp:posOffset>64135</wp:posOffset>
                </wp:positionV>
                <wp:extent cx="434340" cy="0"/>
                <wp:effectExtent l="0" t="0" r="22860" b="19050"/>
                <wp:wrapNone/>
                <wp:docPr id="248" name="直接连接符 248"/>
                <wp:cNvGraphicFramePr/>
                <a:graphic xmlns:a="http://schemas.openxmlformats.org/drawingml/2006/main">
                  <a:graphicData uri="http://schemas.microsoft.com/office/word/2010/wordprocessingShape">
                    <wps:wsp>
                      <wps:cNvCnPr/>
                      <wps:spPr>
                        <a:xfrm>
                          <a:off x="0" y="0"/>
                          <a:ext cx="4343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98.4pt;margin-top:5.05pt;height:0pt;width:34.2pt;z-index:251718656;mso-width-relative:page;mso-height-relative:page;" filled="f" stroked="t" coordsize="21600,21600" o:gfxdata="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PHVdutUAAAAJAQAA&#10;DwAAAAAAAAABACAAAAAiAAAAZHJzL2Rvd25yZXYueG1sUEsBAhQAFAAAAAgAh07iQDj+sZ7jAQAA&#10;tAMAAA4AAAAAAAAAAQAgAAAAJAEAAGRycy9lMm9Eb2MueG1sUEsFBgAAAAAGAAYAWQEAAHkFAAAA&#10;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4300" distR="114300" simplePos="0" relativeHeight="251753472" behindDoc="0" locked="0" layoutInCell="1" allowOverlap="1">
                <wp:simplePos x="0" y="0"/>
                <wp:positionH relativeFrom="column">
                  <wp:posOffset>1901190</wp:posOffset>
                </wp:positionH>
                <wp:positionV relativeFrom="paragraph">
                  <wp:posOffset>136525</wp:posOffset>
                </wp:positionV>
                <wp:extent cx="2107565" cy="0"/>
                <wp:effectExtent l="0" t="0" r="26035" b="19050"/>
                <wp:wrapNone/>
                <wp:docPr id="156" name="直接连接符 28"/>
                <wp:cNvGraphicFramePr/>
                <a:graphic xmlns:a="http://schemas.openxmlformats.org/drawingml/2006/main">
                  <a:graphicData uri="http://schemas.microsoft.com/office/word/2010/wordprocessingShape">
                    <wps:wsp>
                      <wps:cNvCnPr/>
                      <wps:spPr>
                        <a:xfrm>
                          <a:off x="0" y="0"/>
                          <a:ext cx="210756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8" o:spid="_x0000_s1026" o:spt="20" style="position:absolute;left:0pt;margin-left:149.7pt;margin-top:10.75pt;height:0pt;width:165.95pt;z-index:251753472;mso-width-relative:page;mso-height-relative:page;" filled="f" stroked="t" coordsize="21600,21600" o:gfxdata="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NDpig1wAA&#10;AAkBAAAPAAAAAAAAAAEAIAAAACIAAABkcnMvZG93bnJldi54bWxQSwECFAAUAAAACACHTuJA7NU6&#10;huYBAAC0AwAADgAAAAAAAAABACAAAAAmAQAAZHJzL2Uyb0RvYy54bWxQSwUGAAAAAAYABgBZAQAA&#10;fgUAAAAA&#10;">
                <v:fill on="f" focussize="0,0"/>
                <v:stroke weight="0.5pt" color="#000000 [3213]" miterlimit="8" joinstyle="miter"/>
                <v:imagedata o:title=""/>
                <o:lock v:ext="edit" aspectratio="f"/>
              </v:line>
            </w:pict>
          </mc:Fallback>
        </mc:AlternateContent>
      </w:r>
    </w:p>
    <w:p w14:paraId="0A100421">
      <w:pPr>
        <w:tabs>
          <w:tab w:val="left" w:pos="980"/>
          <w:tab w:val="center" w:pos="5814"/>
        </w:tabs>
        <w:rPr>
          <w:rFonts w:hint="eastAsia"/>
          <w:sz w:val="21"/>
          <w:szCs w:val="21"/>
        </w:rPr>
      </w:pPr>
      <w:r>
        <w:rPr>
          <w:sz w:val="21"/>
          <w:szCs w:val="21"/>
        </w:rPr>
        <mc:AlternateContent>
          <mc:Choice Requires="wps">
            <w:drawing>
              <wp:anchor distT="0" distB="0" distL="113665" distR="113665" simplePos="0" relativeHeight="251747328" behindDoc="0" locked="0" layoutInCell="1" allowOverlap="1">
                <wp:simplePos x="0" y="0"/>
                <wp:positionH relativeFrom="column">
                  <wp:posOffset>5309870</wp:posOffset>
                </wp:positionH>
                <wp:positionV relativeFrom="paragraph">
                  <wp:posOffset>124460</wp:posOffset>
                </wp:positionV>
                <wp:extent cx="0" cy="408940"/>
                <wp:effectExtent l="0" t="0" r="19050" b="29210"/>
                <wp:wrapNone/>
                <wp:docPr id="31" name="直接连接符 31"/>
                <wp:cNvGraphicFramePr/>
                <a:graphic xmlns:a="http://schemas.openxmlformats.org/drawingml/2006/main">
                  <a:graphicData uri="http://schemas.microsoft.com/office/word/2010/wordprocessingShape">
                    <wps:wsp>
                      <wps:cNvCnPr/>
                      <wps:spPr>
                        <a:xfrm>
                          <a:off x="0" y="0"/>
                          <a:ext cx="0" cy="4089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18.1pt;margin-top:9.8pt;height:32.2pt;width:0pt;z-index:251747328;mso-width-relative:page;mso-height-relative:page;" filled="f" stroked="t" coordsize="21600,21600" o:gfxdata="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doJC/tUAAAAJAQAA&#10;DwAAAAAAAAABACAAAAAiAAAAZHJzL2Rvd25yZXYueG1sUEsBAhQAFAAAAAgAh07iQM9R6xvjAQAA&#10;sgMAAA4AAAAAAAAAAQAgAAAAJAEAAGRycy9lMm9Eb2MueG1sUEsFBgAAAAAGAAYAWQEAAHkFAAAA&#10;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030" distR="113030" simplePos="0" relativeHeight="251673600" behindDoc="0" locked="0" layoutInCell="1" allowOverlap="1">
                <wp:simplePos x="0" y="0"/>
                <wp:positionH relativeFrom="column">
                  <wp:posOffset>2001520</wp:posOffset>
                </wp:positionH>
                <wp:positionV relativeFrom="paragraph">
                  <wp:posOffset>203200</wp:posOffset>
                </wp:positionV>
                <wp:extent cx="0" cy="329565"/>
                <wp:effectExtent l="0" t="0" r="19050" b="32385"/>
                <wp:wrapNone/>
                <wp:docPr id="34" name="Line 957"/>
                <wp:cNvGraphicFramePr/>
                <a:graphic xmlns:a="http://schemas.openxmlformats.org/drawingml/2006/main">
                  <a:graphicData uri="http://schemas.microsoft.com/office/word/2010/wordprocessingShape">
                    <wps:wsp>
                      <wps:cNvCnPr>
                        <a:cxnSpLocks noChangeShapeType="1"/>
                      </wps:cNvCnPr>
                      <wps:spPr bwMode="auto">
                        <a:xfrm>
                          <a:off x="0" y="0"/>
                          <a:ext cx="0" cy="329565"/>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157.6pt;margin-top:16pt;height:25.95pt;width:0pt;z-index:251673600;mso-width-relative:page;mso-height-relative:page;" filled="f" stroked="t" coordsize="21600,21600" o:gfxdata="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JrR3aTWAAAACQEAAA8AAAAAAAAAAQAgAAAAIgAAAGRycy9k&#10;b3ducmV2LnhtbFBLAQIUABQAAAAIAIdO4kDP8AdRywEAAKEDAAAOAAAAAAAAAAEAIAAAACUBAABk&#10;cnMvZTJvRG9jLnhtbFBLBQYAAAAABgAGAFkBAABiBQAAAAA=&#10;">
                <v:fill on="f" focussize="0,0"/>
                <v:stroke color="#000000" joinstyle="round"/>
                <v:imagedata o:title=""/>
                <o:lock v:ext="edit" aspectratio="f"/>
              </v:line>
            </w:pict>
          </mc:Fallback>
        </mc:AlternateContent>
      </w:r>
      <w:r>
        <w:rPr>
          <w:sz w:val="21"/>
          <w:szCs w:val="21"/>
        </w:rPr>
        <mc:AlternateContent>
          <mc:Choice Requires="wps">
            <w:drawing>
              <wp:anchor distT="0" distB="0" distL="113030" distR="113030" simplePos="0" relativeHeight="251756544" behindDoc="0" locked="0" layoutInCell="1" allowOverlap="1">
                <wp:simplePos x="0" y="0"/>
                <wp:positionH relativeFrom="column">
                  <wp:posOffset>3362325</wp:posOffset>
                </wp:positionH>
                <wp:positionV relativeFrom="paragraph">
                  <wp:posOffset>203835</wp:posOffset>
                </wp:positionV>
                <wp:extent cx="0" cy="329565"/>
                <wp:effectExtent l="0" t="0" r="19050" b="32385"/>
                <wp:wrapNone/>
                <wp:docPr id="15" name="Line 957"/>
                <wp:cNvGraphicFramePr/>
                <a:graphic xmlns:a="http://schemas.openxmlformats.org/drawingml/2006/main">
                  <a:graphicData uri="http://schemas.microsoft.com/office/word/2010/wordprocessingShape">
                    <wps:wsp>
                      <wps:cNvCnPr>
                        <a:cxnSpLocks noChangeShapeType="1"/>
                      </wps:cNvCnPr>
                      <wps:spPr bwMode="auto">
                        <a:xfrm>
                          <a:off x="0" y="0"/>
                          <a:ext cx="0" cy="329565"/>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264.75pt;margin-top:16.05pt;height:25.95pt;width:0pt;z-index:251756544;mso-width-relative:page;mso-height-relative:page;" filled="f" stroked="t" coordsize="21600,21600" o:gfxdata="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14eF/tYAAAAJAQAADwAAAAAAAAABACAAAAAiAAAAZHJzL2Rv&#10;d25yZXYueG1sUEsBAhQAFAAAAAgAh07iQCufZ63KAQAAoQMAAA4AAAAAAAAAAQAgAAAAJQEAAGRy&#10;cy9lMm9Eb2MueG1sUEsFBgAAAAAGAAYAWQEAAGEFAAAAAA==&#10;">
                <v:fill on="f" focussize="0,0"/>
                <v:stroke color="#000000" joinstyle="round"/>
                <v:imagedata o:title=""/>
                <o:lock v:ext="edit" aspectratio="f"/>
              </v:line>
            </w:pict>
          </mc:Fallback>
        </mc:AlternateContent>
      </w:r>
      <w:r>
        <w:rPr>
          <w:sz w:val="21"/>
          <w:szCs w:val="21"/>
        </w:rPr>
        <mc:AlternateContent>
          <mc:Choice Requires="wps">
            <w:drawing>
              <wp:anchor distT="0" distB="0" distL="113030" distR="113030" simplePos="0" relativeHeight="251757568" behindDoc="0" locked="0" layoutInCell="1" allowOverlap="1">
                <wp:simplePos x="0" y="0"/>
                <wp:positionH relativeFrom="column">
                  <wp:posOffset>3809365</wp:posOffset>
                </wp:positionH>
                <wp:positionV relativeFrom="paragraph">
                  <wp:posOffset>203835</wp:posOffset>
                </wp:positionV>
                <wp:extent cx="0" cy="329565"/>
                <wp:effectExtent l="0" t="0" r="19050" b="32385"/>
                <wp:wrapNone/>
                <wp:docPr id="16" name="Line 957"/>
                <wp:cNvGraphicFramePr/>
                <a:graphic xmlns:a="http://schemas.openxmlformats.org/drawingml/2006/main">
                  <a:graphicData uri="http://schemas.microsoft.com/office/word/2010/wordprocessingShape">
                    <wps:wsp>
                      <wps:cNvCnPr>
                        <a:cxnSpLocks noChangeShapeType="1"/>
                      </wps:cNvCnPr>
                      <wps:spPr bwMode="auto">
                        <a:xfrm>
                          <a:off x="0" y="0"/>
                          <a:ext cx="0" cy="329610"/>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299.95pt;margin-top:16.05pt;height:25.95pt;width:0pt;z-index:251757568;mso-width-relative:page;mso-height-relative:page;" filled="f" stroked="t" coordsize="21600,21600" o:gfxdata="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KDM9rzWAAAACQEAAA8AAAAAAAAAAQAgAAAAIgAAAGRycy9k&#10;b3ducmV2LnhtbFBLAQIUABQAAAAIAIdO4kDpZejdywEAAKEDAAAOAAAAAAAAAAEAIAAAACUBAABk&#10;cnMvZTJvRG9jLnhtbFBLBQYAAAAABgAGAFkBAABiBQAAAAA=&#10;">
                <v:fill on="f" focussize="0,0"/>
                <v:stroke color="#000000" joinstyle="round"/>
                <v:imagedata o:title=""/>
                <o:lock v:ext="edit" aspectratio="f"/>
              </v:line>
            </w:pict>
          </mc:Fallback>
        </mc:AlternateContent>
      </w:r>
      <w:r>
        <w:rPr>
          <w:sz w:val="21"/>
          <w:szCs w:val="21"/>
        </w:rPr>
        <mc:AlternateContent>
          <mc:Choice Requires="wps">
            <w:drawing>
              <wp:anchor distT="0" distB="0" distL="113030" distR="113030" simplePos="0" relativeHeight="251755520" behindDoc="0" locked="0" layoutInCell="1" allowOverlap="1">
                <wp:simplePos x="0" y="0"/>
                <wp:positionH relativeFrom="column">
                  <wp:posOffset>2460625</wp:posOffset>
                </wp:positionH>
                <wp:positionV relativeFrom="paragraph">
                  <wp:posOffset>203835</wp:posOffset>
                </wp:positionV>
                <wp:extent cx="0" cy="329565"/>
                <wp:effectExtent l="0" t="0" r="19050" b="32385"/>
                <wp:wrapNone/>
                <wp:docPr id="7" name="Line 957"/>
                <wp:cNvGraphicFramePr/>
                <a:graphic xmlns:a="http://schemas.openxmlformats.org/drawingml/2006/main">
                  <a:graphicData uri="http://schemas.microsoft.com/office/word/2010/wordprocessingShape">
                    <wps:wsp>
                      <wps:cNvCnPr>
                        <a:cxnSpLocks noChangeShapeType="1"/>
                      </wps:cNvCnPr>
                      <wps:spPr bwMode="auto">
                        <a:xfrm>
                          <a:off x="0" y="0"/>
                          <a:ext cx="0" cy="329610"/>
                        </a:xfrm>
                        <a:prstGeom prst="line">
                          <a:avLst/>
                        </a:prstGeom>
                        <a:noFill/>
                        <a:ln w="9525">
                          <a:solidFill>
                            <a:srgbClr val="000000"/>
                          </a:solidFill>
                          <a:round/>
                        </a:ln>
                      </wps:spPr>
                      <wps:bodyPr/>
                    </wps:wsp>
                  </a:graphicData>
                </a:graphic>
              </wp:anchor>
            </w:drawing>
          </mc:Choice>
          <mc:Fallback>
            <w:pict>
              <v:line id="Line 957" o:spid="_x0000_s1026" o:spt="20" style="position:absolute;left:0pt;margin-left:193.75pt;margin-top:16.05pt;height:25.95pt;width:0pt;z-index:251755520;mso-width-relative:page;mso-height-relative:page;" filled="f" stroked="t" coordsize="21600,21600" o:gfxdata="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AUqLW/WAAAACQEAAA8AAAAAAAAAAQAgAAAAIgAAAGRycy9k&#10;b3ducmV2LnhtbFBLAQIUABQAAAAIAIdO4kAV2wAuywEAAKADAAAOAAAAAAAAAAEAIAAAACUBAABk&#10;cnMvZTJvRG9jLnhtbFBLBQYAAAAABgAGAFkBAABiBQAAAAA=&#10;">
                <v:fill on="f" focussize="0,0"/>
                <v:stroke color="#000000" joinstyle="round"/>
                <v:imagedata o:title=""/>
                <o:lock v:ext="edit" aspectratio="f"/>
              </v:line>
            </w:pict>
          </mc:Fallback>
        </mc:AlternateContent>
      </w:r>
      <w:r>
        <w:rPr>
          <w:sz w:val="21"/>
          <w:szCs w:val="21"/>
        </w:rPr>
        <mc:AlternateContent>
          <mc:Choice Requires="wps">
            <w:drawing>
              <wp:anchor distT="0" distB="0" distL="114300" distR="114300" simplePos="0" relativeHeight="251752448" behindDoc="0" locked="0" layoutInCell="1" allowOverlap="1">
                <wp:simplePos x="0" y="0"/>
                <wp:positionH relativeFrom="column">
                  <wp:posOffset>2005330</wp:posOffset>
                </wp:positionH>
                <wp:positionV relativeFrom="paragraph">
                  <wp:posOffset>205105</wp:posOffset>
                </wp:positionV>
                <wp:extent cx="1813560" cy="0"/>
                <wp:effectExtent l="0" t="0" r="34290" b="19050"/>
                <wp:wrapNone/>
                <wp:docPr id="155" name="直接连接符 28"/>
                <wp:cNvGraphicFramePr/>
                <a:graphic xmlns:a="http://schemas.openxmlformats.org/drawingml/2006/main">
                  <a:graphicData uri="http://schemas.microsoft.com/office/word/2010/wordprocessingShape">
                    <wps:wsp>
                      <wps:cNvCnPr/>
                      <wps:spPr>
                        <a:xfrm>
                          <a:off x="0" y="0"/>
                          <a:ext cx="18135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8" o:spid="_x0000_s1026" o:spt="20" style="position:absolute;left:0pt;margin-left:157.9pt;margin-top:16.15pt;height:0pt;width:142.8pt;z-index:251752448;mso-width-relative:page;mso-height-relative:page;" filled="f" stroked="t" coordsize="21600,21600" o:gfxdata="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s1qmY1gAAAAkB&#10;AAAPAAAAAAAAAAEAIAAAACIAAABkcnMvZG93bnJldi54bWxQSwECFAAUAAAACACHTuJAmtNGseQB&#10;AAC0AwAADgAAAAAAAAABACAAAAAlAQAAZHJzL2Uyb0RvYy54bWxQSwUGAAAAAAYABgBZAQAAewUA&#10;AAAA&#10;">
                <v:fill on="f" focussize="0,0"/>
                <v:stroke weight="0.5pt" color="#000000 [3213]" miterlimit="8" joinstyle="miter"/>
                <v:imagedata o:title=""/>
                <o:lock v:ext="edit" aspectratio="f"/>
              </v:line>
            </w:pict>
          </mc:Fallback>
        </mc:AlternateContent>
      </w:r>
      <w:r>
        <w:rPr>
          <w:sz w:val="21"/>
          <w:szCs w:val="21"/>
        </w:rPr>
        <w:tab/>
      </w:r>
      <w:r>
        <w:rPr>
          <w:sz w:val="21"/>
          <w:szCs w:val="21"/>
        </w:rPr>
        <w:tab/>
      </w:r>
    </w:p>
    <w:p w14:paraId="237B145F">
      <w:pPr>
        <w:rPr>
          <w:rFonts w:hint="eastAsia"/>
          <w:sz w:val="21"/>
          <w:szCs w:val="21"/>
        </w:rPr>
      </w:pPr>
      <w:r>
        <w:rPr>
          <w:sz w:val="21"/>
          <w:szCs w:val="21"/>
        </w:rPr>
        <mc:AlternateContent>
          <mc:Choice Requires="wps">
            <w:drawing>
              <wp:anchor distT="0" distB="0" distL="114300" distR="114300" simplePos="0" relativeHeight="251744256" behindDoc="0" locked="0" layoutInCell="1" allowOverlap="1">
                <wp:simplePos x="0" y="0"/>
                <wp:positionH relativeFrom="column">
                  <wp:posOffset>4339590</wp:posOffset>
                </wp:positionH>
                <wp:positionV relativeFrom="paragraph">
                  <wp:posOffset>69215</wp:posOffset>
                </wp:positionV>
                <wp:extent cx="2094865" cy="0"/>
                <wp:effectExtent l="0" t="0" r="19685" b="19050"/>
                <wp:wrapNone/>
                <wp:docPr id="12" name="直接连接符 28"/>
                <wp:cNvGraphicFramePr/>
                <a:graphic xmlns:a="http://schemas.openxmlformats.org/drawingml/2006/main">
                  <a:graphicData uri="http://schemas.microsoft.com/office/word/2010/wordprocessingShape">
                    <wps:wsp>
                      <wps:cNvCnPr/>
                      <wps:spPr>
                        <a:xfrm>
                          <a:off x="0" y="0"/>
                          <a:ext cx="209486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8" o:spid="_x0000_s1026" o:spt="20" style="position:absolute;left:0pt;margin-left:341.7pt;margin-top:5.45pt;height:0pt;width:164.95pt;z-index:251744256;mso-width-relative:page;mso-height-relative:page;" filled="f" stroked="t" coordsize="21600,21600" o:gfxdata="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hrxOytYAAAAK&#10;AQAADwAAAAAAAAABACAAAAAiAAAAZHJzL2Rvd25yZXYueG1sUEsBAhQAFAAAAAgAh07iQCdFlo7l&#10;AQAAswMAAA4AAAAAAAAAAQAgAAAAJQEAAGRycy9lMm9Eb2MueG1sUEsFBgAAAAAGAAYAWQEAAHwF&#10;AAA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4300" distR="114300" simplePos="0" relativeHeight="251741184" behindDoc="0" locked="0" layoutInCell="1" allowOverlap="1">
                <wp:simplePos x="0" y="0"/>
                <wp:positionH relativeFrom="column">
                  <wp:posOffset>5899785</wp:posOffset>
                </wp:positionH>
                <wp:positionV relativeFrom="paragraph">
                  <wp:posOffset>271145</wp:posOffset>
                </wp:positionV>
                <wp:extent cx="330835" cy="1197610"/>
                <wp:effectExtent l="0" t="0" r="12065" b="21590"/>
                <wp:wrapNone/>
                <wp:docPr id="10" name="AutoShape 974"/>
                <wp:cNvGraphicFramePr/>
                <a:graphic xmlns:a="http://schemas.openxmlformats.org/drawingml/2006/main">
                  <a:graphicData uri="http://schemas.microsoft.com/office/word/2010/wordprocessingShape">
                    <wps:wsp>
                      <wps:cNvSpPr>
                        <a:spLocks noChangeArrowheads="1"/>
                      </wps:cNvSpPr>
                      <wps:spPr bwMode="auto">
                        <a:xfrm>
                          <a:off x="0" y="0"/>
                          <a:ext cx="330835" cy="1197610"/>
                        </a:xfrm>
                        <a:prstGeom prst="flowChartProcess">
                          <a:avLst/>
                        </a:prstGeom>
                        <a:solidFill>
                          <a:srgbClr val="FFFFFF"/>
                        </a:solidFill>
                        <a:ln w="9525">
                          <a:solidFill>
                            <a:srgbClr val="000000"/>
                          </a:solidFill>
                          <a:miter lim="800000"/>
                        </a:ln>
                      </wps:spPr>
                      <wps:txbx>
                        <w:txbxContent>
                          <w:p w14:paraId="266A6E92">
                            <w:pPr>
                              <w:spacing w:line="240" w:lineRule="auto"/>
                              <w:jc w:val="center"/>
                              <w:rPr>
                                <w:rFonts w:hint="eastAsia"/>
                                <w:sz w:val="21"/>
                                <w:szCs w:val="21"/>
                              </w:rPr>
                            </w:pPr>
                            <w:r>
                              <w:rPr>
                                <w:rFonts w:hint="eastAsia"/>
                                <w:sz w:val="21"/>
                                <w:szCs w:val="21"/>
                              </w:rPr>
                              <w:t>输变电工</w:t>
                            </w:r>
                          </w:p>
                          <w:p w14:paraId="5C209F58">
                            <w:pPr>
                              <w:spacing w:line="240" w:lineRule="auto"/>
                              <w:jc w:val="center"/>
                              <w:rPr>
                                <w:rFonts w:hint="eastAsia"/>
                                <w:sz w:val="21"/>
                                <w:szCs w:val="21"/>
                              </w:rPr>
                            </w:pPr>
                            <w:r>
                              <w:rPr>
                                <w:rFonts w:hint="eastAsia"/>
                                <w:sz w:val="21"/>
                                <w:szCs w:val="21"/>
                              </w:rPr>
                              <w:t>程</w:t>
                            </w:r>
                          </w:p>
                        </w:txbxContent>
                      </wps:txbx>
                      <wps:bodyPr rot="0" vert="horz" wrap="square" lIns="91440" tIns="0" rIns="91440" bIns="0" anchor="ctr" anchorCtr="0" upright="1">
                        <a:noAutofit/>
                      </wps:bodyPr>
                    </wps:wsp>
                  </a:graphicData>
                </a:graphic>
              </wp:anchor>
            </w:drawing>
          </mc:Choice>
          <mc:Fallback>
            <w:pict>
              <v:shape id="AutoShape 974" o:spid="_x0000_s1026" o:spt="109" type="#_x0000_t109" style="position:absolute;left:0pt;margin-left:464.55pt;margin-top:21.35pt;height:94.3pt;width:26.05pt;z-index:251741184;v-text-anchor:middle;mso-width-relative:page;mso-height-relative:page;" fillcolor="#FFFFFF" filled="t" stroked="t" coordsize="21600,21600" o:gfxdata="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2QhS03AAAAAoBAAAPAAAAAAAAAAEAIAAAACIAAABkcnMvZG93bnJl&#10;di54bWxQSwECFAAUAAAACACHTuJADsTmKzICAACGBAAADgAAAAAAAAABACAAAAArAQAAZHJzL2Uy&#10;b0RvYy54bWxQSwUGAAAAAAYABgBZAQAAzwUAAAAA&#10;">
                <v:fill on="t" focussize="0,0"/>
                <v:stroke color="#000000" miterlimit="8" joinstyle="miter"/>
                <v:imagedata o:title=""/>
                <o:lock v:ext="edit" aspectratio="f"/>
                <v:textbox inset="2.54mm,0mm,2.54mm,0mm">
                  <w:txbxContent>
                    <w:p w14:paraId="266A6E92">
                      <w:pPr>
                        <w:spacing w:line="240" w:lineRule="auto"/>
                        <w:jc w:val="center"/>
                        <w:rPr>
                          <w:rFonts w:hint="eastAsia"/>
                          <w:sz w:val="21"/>
                          <w:szCs w:val="21"/>
                        </w:rPr>
                      </w:pPr>
                      <w:r>
                        <w:rPr>
                          <w:rFonts w:hint="eastAsia"/>
                          <w:sz w:val="21"/>
                          <w:szCs w:val="21"/>
                        </w:rPr>
                        <w:t>输变电工</w:t>
                      </w:r>
                    </w:p>
                    <w:p w14:paraId="5C209F58">
                      <w:pPr>
                        <w:spacing w:line="240" w:lineRule="auto"/>
                        <w:jc w:val="center"/>
                        <w:rPr>
                          <w:rFonts w:hint="eastAsia"/>
                          <w:sz w:val="21"/>
                          <w:szCs w:val="21"/>
                        </w:rPr>
                      </w:pPr>
                      <w:r>
                        <w:rPr>
                          <w:rFonts w:hint="eastAsia"/>
                          <w:sz w:val="21"/>
                          <w:szCs w:val="21"/>
                        </w:rPr>
                        <w:t>程</w:t>
                      </w:r>
                    </w:p>
                  </w:txbxContent>
                </v:textbox>
              </v:shape>
            </w:pict>
          </mc:Fallback>
        </mc:AlternateContent>
      </w:r>
      <w:r>
        <w:rPr>
          <w:sz w:val="21"/>
          <w:szCs w:val="21"/>
        </w:rPr>
        <mc:AlternateContent>
          <mc:Choice Requires="wps">
            <w:drawing>
              <wp:anchor distT="0" distB="0" distL="114300" distR="114300" simplePos="0" relativeHeight="251742208" behindDoc="0" locked="0" layoutInCell="1" allowOverlap="1">
                <wp:simplePos x="0" y="0"/>
                <wp:positionH relativeFrom="column">
                  <wp:posOffset>6280785</wp:posOffset>
                </wp:positionH>
                <wp:positionV relativeFrom="paragraph">
                  <wp:posOffset>284480</wp:posOffset>
                </wp:positionV>
                <wp:extent cx="297180" cy="1184910"/>
                <wp:effectExtent l="0" t="0" r="26670" b="15240"/>
                <wp:wrapNone/>
                <wp:docPr id="11" name="AutoShape 974"/>
                <wp:cNvGraphicFramePr/>
                <a:graphic xmlns:a="http://schemas.openxmlformats.org/drawingml/2006/main">
                  <a:graphicData uri="http://schemas.microsoft.com/office/word/2010/wordprocessingShape">
                    <wps:wsp>
                      <wps:cNvSpPr>
                        <a:spLocks noChangeArrowheads="1"/>
                      </wps:cNvSpPr>
                      <wps:spPr bwMode="auto">
                        <a:xfrm>
                          <a:off x="0" y="0"/>
                          <a:ext cx="297180" cy="1184910"/>
                        </a:xfrm>
                        <a:prstGeom prst="flowChartProcess">
                          <a:avLst/>
                        </a:prstGeom>
                        <a:solidFill>
                          <a:srgbClr val="FFFFFF"/>
                        </a:solidFill>
                        <a:ln w="9525">
                          <a:solidFill>
                            <a:srgbClr val="000000"/>
                          </a:solidFill>
                          <a:miter lim="800000"/>
                        </a:ln>
                      </wps:spPr>
                      <wps:txbx>
                        <w:txbxContent>
                          <w:p w14:paraId="5E97C01E">
                            <w:pPr>
                              <w:spacing w:line="240" w:lineRule="auto"/>
                              <w:jc w:val="center"/>
                              <w:rPr>
                                <w:rFonts w:hint="eastAsia"/>
                                <w:sz w:val="21"/>
                                <w:szCs w:val="21"/>
                              </w:rPr>
                            </w:pPr>
                            <w:r>
                              <w:rPr>
                                <w:rFonts w:hint="eastAsia"/>
                                <w:sz w:val="21"/>
                                <w:szCs w:val="21"/>
                              </w:rPr>
                              <w:t>电力储能工程</w:t>
                            </w:r>
                          </w:p>
                        </w:txbxContent>
                      </wps:txbx>
                      <wps:bodyPr rot="0" vert="horz" wrap="square" lIns="91440" tIns="0" rIns="91440" bIns="0" anchor="ctr" anchorCtr="0" upright="1">
                        <a:noAutofit/>
                      </wps:bodyPr>
                    </wps:wsp>
                  </a:graphicData>
                </a:graphic>
              </wp:anchor>
            </w:drawing>
          </mc:Choice>
          <mc:Fallback>
            <w:pict>
              <v:shape id="AutoShape 974" o:spid="_x0000_s1026" o:spt="109" type="#_x0000_t109" style="position:absolute;left:0pt;margin-left:494.55pt;margin-top:22.4pt;height:93.3pt;width:23.4pt;z-index:251742208;v-text-anchor:middle;mso-width-relative:page;mso-height-relative:page;" fillcolor="#FFFFFF" filled="t" stroked="t" coordsize="21600,21600" o:gfxdata="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LtcH4NwAAAALAQAADwAAAAAAAAABACAAAAAiAAAAZHJzL2Rvd25y&#10;ZXYueG1sUEsBAhQAFAAAAAgAh07iQCRjLTYzAgAAhgQAAA4AAAAAAAAAAQAgAAAAKwEAAGRycy9l&#10;Mm9Eb2MueG1sUEsFBgAAAAAGAAYAWQEAANAFAAAAAA==&#10;">
                <v:fill on="t" focussize="0,0"/>
                <v:stroke color="#000000" miterlimit="8" joinstyle="miter"/>
                <v:imagedata o:title=""/>
                <o:lock v:ext="edit" aspectratio="f"/>
                <v:textbox inset="2.54mm,0mm,2.54mm,0mm">
                  <w:txbxContent>
                    <w:p w14:paraId="5E97C01E">
                      <w:pPr>
                        <w:spacing w:line="240" w:lineRule="auto"/>
                        <w:jc w:val="center"/>
                        <w:rPr>
                          <w:rFonts w:hint="eastAsia"/>
                          <w:sz w:val="21"/>
                          <w:szCs w:val="21"/>
                        </w:rPr>
                      </w:pPr>
                      <w:r>
                        <w:rPr>
                          <w:rFonts w:hint="eastAsia"/>
                          <w:sz w:val="21"/>
                          <w:szCs w:val="21"/>
                        </w:rPr>
                        <w:t>电力储能工程</w:t>
                      </w:r>
                    </w:p>
                  </w:txbxContent>
                </v:textbox>
              </v:shape>
            </w:pict>
          </mc:Fallback>
        </mc:AlternateContent>
      </w:r>
      <w:r>
        <w:rPr>
          <w:sz w:val="21"/>
          <w:szCs w:val="21"/>
        </w:rPr>
        <mc:AlternateContent>
          <mc:Choice Requires="wps">
            <w:drawing>
              <wp:anchor distT="0" distB="0" distL="114300" distR="114300" simplePos="0" relativeHeight="251739136" behindDoc="0" locked="0" layoutInCell="1" allowOverlap="1">
                <wp:simplePos x="0" y="0"/>
                <wp:positionH relativeFrom="column">
                  <wp:posOffset>5152390</wp:posOffset>
                </wp:positionH>
                <wp:positionV relativeFrom="paragraph">
                  <wp:posOffset>274320</wp:posOffset>
                </wp:positionV>
                <wp:extent cx="320040" cy="1198880"/>
                <wp:effectExtent l="0" t="0" r="22860" b="20320"/>
                <wp:wrapNone/>
                <wp:docPr id="8" name="AutoShape 974"/>
                <wp:cNvGraphicFramePr/>
                <a:graphic xmlns:a="http://schemas.openxmlformats.org/drawingml/2006/main">
                  <a:graphicData uri="http://schemas.microsoft.com/office/word/2010/wordprocessingShape">
                    <wps:wsp>
                      <wps:cNvSpPr>
                        <a:spLocks noChangeArrowheads="1"/>
                      </wps:cNvSpPr>
                      <wps:spPr bwMode="auto">
                        <a:xfrm>
                          <a:off x="0" y="0"/>
                          <a:ext cx="320040" cy="1198880"/>
                        </a:xfrm>
                        <a:prstGeom prst="flowChartProcess">
                          <a:avLst/>
                        </a:prstGeom>
                        <a:solidFill>
                          <a:srgbClr val="FFFFFF"/>
                        </a:solidFill>
                        <a:ln w="9525">
                          <a:solidFill>
                            <a:srgbClr val="000000"/>
                          </a:solidFill>
                          <a:miter lim="800000"/>
                        </a:ln>
                      </wps:spPr>
                      <wps:txbx>
                        <w:txbxContent>
                          <w:p w14:paraId="13CA610C">
                            <w:pPr>
                              <w:spacing w:line="240" w:lineRule="auto"/>
                              <w:jc w:val="center"/>
                              <w:rPr>
                                <w:rFonts w:hint="eastAsia"/>
                                <w:sz w:val="21"/>
                                <w:szCs w:val="21"/>
                              </w:rPr>
                            </w:pPr>
                            <w:r>
                              <w:rPr>
                                <w:rFonts w:hint="eastAsia"/>
                                <w:sz w:val="21"/>
                                <w:szCs w:val="21"/>
                              </w:rPr>
                              <w:t>风</w:t>
                            </w:r>
                            <w:r>
                              <w:rPr>
                                <w:sz w:val="21"/>
                                <w:szCs w:val="21"/>
                              </w:rPr>
                              <w:t>力发</w:t>
                            </w:r>
                            <w:r>
                              <w:rPr>
                                <w:rFonts w:hint="eastAsia"/>
                                <w:sz w:val="21"/>
                                <w:szCs w:val="21"/>
                              </w:rPr>
                              <w:t>电工</w:t>
                            </w:r>
                            <w:r>
                              <w:rPr>
                                <w:sz w:val="21"/>
                                <w:szCs w:val="21"/>
                              </w:rPr>
                              <w:t>程</w:t>
                            </w:r>
                          </w:p>
                          <w:p w14:paraId="55F9C946">
                            <w:pPr>
                              <w:spacing w:line="240" w:lineRule="auto"/>
                              <w:jc w:val="center"/>
                              <w:rPr>
                                <w:rFonts w:hint="eastAsia"/>
                                <w:sz w:val="21"/>
                                <w:szCs w:val="21"/>
                              </w:rPr>
                            </w:pPr>
                            <w:r>
                              <w:rPr>
                                <w:sz w:val="21"/>
                                <w:szCs w:val="21"/>
                              </w:rPr>
                              <w:t>程</w:t>
                            </w:r>
                          </w:p>
                        </w:txbxContent>
                      </wps:txbx>
                      <wps:bodyPr rot="0" vert="horz" wrap="square" lIns="91440" tIns="0" rIns="91440" bIns="0" anchor="ctr" anchorCtr="0" upright="1">
                        <a:noAutofit/>
                      </wps:bodyPr>
                    </wps:wsp>
                  </a:graphicData>
                </a:graphic>
              </wp:anchor>
            </w:drawing>
          </mc:Choice>
          <mc:Fallback>
            <w:pict>
              <v:shape id="AutoShape 974" o:spid="_x0000_s1026" o:spt="109" type="#_x0000_t109" style="position:absolute;left:0pt;margin-left:405.7pt;margin-top:21.6pt;height:94.4pt;width:25.2pt;z-index:251739136;v-text-anchor:middle;mso-width-relative:page;mso-height-relative:page;" fillcolor="#FFFFFF" filled="t" stroked="t" coordsize="21600,21600" o:gfxdata="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czke5NsAAAAKAQAADwAAAAAAAAABACAAAAAiAAAAZHJzL2Rvd25yZXYu&#10;eG1sUEsBAhQAFAAAAAgAh07iQGSkj6QxAgAAhQQAAA4AAAAAAAAAAQAgAAAAKgEAAGRycy9lMm9E&#10;b2MueG1sUEsFBgAAAAAGAAYAWQEAAM0FAAAAAA==&#10;">
                <v:fill on="t" focussize="0,0"/>
                <v:stroke color="#000000" miterlimit="8" joinstyle="miter"/>
                <v:imagedata o:title=""/>
                <o:lock v:ext="edit" aspectratio="f"/>
                <v:textbox inset="2.54mm,0mm,2.54mm,0mm">
                  <w:txbxContent>
                    <w:p w14:paraId="13CA610C">
                      <w:pPr>
                        <w:spacing w:line="240" w:lineRule="auto"/>
                        <w:jc w:val="center"/>
                        <w:rPr>
                          <w:rFonts w:hint="eastAsia"/>
                          <w:sz w:val="21"/>
                          <w:szCs w:val="21"/>
                        </w:rPr>
                      </w:pPr>
                      <w:r>
                        <w:rPr>
                          <w:rFonts w:hint="eastAsia"/>
                          <w:sz w:val="21"/>
                          <w:szCs w:val="21"/>
                        </w:rPr>
                        <w:t>风</w:t>
                      </w:r>
                      <w:r>
                        <w:rPr>
                          <w:sz w:val="21"/>
                          <w:szCs w:val="21"/>
                        </w:rPr>
                        <w:t>力发</w:t>
                      </w:r>
                      <w:r>
                        <w:rPr>
                          <w:rFonts w:hint="eastAsia"/>
                          <w:sz w:val="21"/>
                          <w:szCs w:val="21"/>
                        </w:rPr>
                        <w:t>电工</w:t>
                      </w:r>
                      <w:r>
                        <w:rPr>
                          <w:sz w:val="21"/>
                          <w:szCs w:val="21"/>
                        </w:rPr>
                        <w:t>程</w:t>
                      </w:r>
                    </w:p>
                    <w:p w14:paraId="55F9C946">
                      <w:pPr>
                        <w:spacing w:line="240" w:lineRule="auto"/>
                        <w:jc w:val="center"/>
                        <w:rPr>
                          <w:rFonts w:hint="eastAsia"/>
                          <w:sz w:val="21"/>
                          <w:szCs w:val="21"/>
                        </w:rPr>
                      </w:pPr>
                      <w:r>
                        <w:rPr>
                          <w:sz w:val="21"/>
                          <w:szCs w:val="21"/>
                        </w:rPr>
                        <w:t>程</w:t>
                      </w:r>
                    </w:p>
                  </w:txbxContent>
                </v:textbox>
              </v:shape>
            </w:pict>
          </mc:Fallback>
        </mc:AlternateContent>
      </w:r>
      <w:r>
        <w:rPr>
          <w:sz w:val="21"/>
          <w:szCs w:val="21"/>
        </w:rPr>
        <mc:AlternateContent>
          <mc:Choice Requires="wps">
            <w:drawing>
              <wp:anchor distT="0" distB="0" distL="114300" distR="114300" simplePos="0" relativeHeight="251743232" behindDoc="0" locked="0" layoutInCell="1" allowOverlap="1">
                <wp:simplePos x="0" y="0"/>
                <wp:positionH relativeFrom="column">
                  <wp:posOffset>4102100</wp:posOffset>
                </wp:positionH>
                <wp:positionV relativeFrom="paragraph">
                  <wp:posOffset>274955</wp:posOffset>
                </wp:positionV>
                <wp:extent cx="464185" cy="1198880"/>
                <wp:effectExtent l="0" t="0" r="12065" b="20320"/>
                <wp:wrapNone/>
                <wp:docPr id="23" name="AutoShape 974"/>
                <wp:cNvGraphicFramePr/>
                <a:graphic xmlns:a="http://schemas.openxmlformats.org/drawingml/2006/main">
                  <a:graphicData uri="http://schemas.microsoft.com/office/word/2010/wordprocessingShape">
                    <wps:wsp>
                      <wps:cNvSpPr>
                        <a:spLocks noChangeArrowheads="1"/>
                      </wps:cNvSpPr>
                      <wps:spPr bwMode="auto">
                        <a:xfrm>
                          <a:off x="0" y="0"/>
                          <a:ext cx="464185" cy="1198880"/>
                        </a:xfrm>
                        <a:prstGeom prst="flowChartProcess">
                          <a:avLst/>
                        </a:prstGeom>
                        <a:solidFill>
                          <a:srgbClr val="FFFFFF"/>
                        </a:solidFill>
                        <a:ln w="9525">
                          <a:solidFill>
                            <a:srgbClr val="000000"/>
                          </a:solidFill>
                          <a:miter lim="800000"/>
                        </a:ln>
                      </wps:spPr>
                      <wps:txbx>
                        <w:txbxContent>
                          <w:p w14:paraId="4AA678BF">
                            <w:pPr>
                              <w:spacing w:line="240" w:lineRule="auto"/>
                              <w:jc w:val="center"/>
                              <w:rPr>
                                <w:rFonts w:hint="eastAsia"/>
                                <w:snapToGrid w:val="0"/>
                                <w:kern w:val="0"/>
                              </w:rPr>
                            </w:pPr>
                            <w:r>
                              <w:rPr>
                                <w:rFonts w:hint="eastAsia"/>
                                <w:sz w:val="21"/>
                                <w:szCs w:val="21"/>
                              </w:rPr>
                              <w:t>火</w:t>
                            </w:r>
                            <w:r>
                              <w:rPr>
                                <w:sz w:val="21"/>
                                <w:szCs w:val="21"/>
                              </w:rPr>
                              <w:t>力发电</w:t>
                            </w:r>
                            <w:r>
                              <w:rPr>
                                <w:rFonts w:hint="eastAsia"/>
                                <w:sz w:val="21"/>
                                <w:szCs w:val="21"/>
                              </w:rPr>
                              <w:t>（含核电常规岛）工</w:t>
                            </w:r>
                            <w:r>
                              <w:rPr>
                                <w:sz w:val="21"/>
                                <w:szCs w:val="21"/>
                              </w:rPr>
                              <w:t>程</w:t>
                            </w:r>
                          </w:p>
                        </w:txbxContent>
                      </wps:txbx>
                      <wps:bodyPr rot="0" vert="horz" wrap="square" lIns="91440" tIns="0" rIns="91440" bIns="0" anchor="ctr" anchorCtr="0" upright="1">
                        <a:noAutofit/>
                      </wps:bodyPr>
                    </wps:wsp>
                  </a:graphicData>
                </a:graphic>
              </wp:anchor>
            </w:drawing>
          </mc:Choice>
          <mc:Fallback>
            <w:pict>
              <v:shape id="AutoShape 974" o:spid="_x0000_s1026" o:spt="109" type="#_x0000_t109" style="position:absolute;left:0pt;margin-left:323pt;margin-top:21.65pt;height:94.4pt;width:36.55pt;z-index:251743232;v-text-anchor:middle;mso-width-relative:page;mso-height-relative:page;" fillcolor="#FFFFFF" filled="t" stroked="t" coordsize="21600,21600" o:gfxdata="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ZOEBDcAAAACgEAAA8AAAAAAAAAAQAgAAAAIgAAAGRycy9kb3du&#10;cmV2LnhtbFBLAQIUABQAAAAIAIdO4kBnewq4NAIAAIYEAAAOAAAAAAAAAAEAIAAAACsBAABkcnMv&#10;ZTJvRG9jLnhtbFBLBQYAAAAABgAGAFkBAADRBQAAAAA=&#10;">
                <v:fill on="t" focussize="0,0"/>
                <v:stroke color="#000000" miterlimit="8" joinstyle="miter"/>
                <v:imagedata o:title=""/>
                <o:lock v:ext="edit" aspectratio="f"/>
                <v:textbox inset="2.54mm,0mm,2.54mm,0mm">
                  <w:txbxContent>
                    <w:p w14:paraId="4AA678BF">
                      <w:pPr>
                        <w:spacing w:line="240" w:lineRule="auto"/>
                        <w:jc w:val="center"/>
                        <w:rPr>
                          <w:rFonts w:hint="eastAsia"/>
                          <w:snapToGrid w:val="0"/>
                          <w:kern w:val="0"/>
                        </w:rPr>
                      </w:pPr>
                      <w:r>
                        <w:rPr>
                          <w:rFonts w:hint="eastAsia"/>
                          <w:sz w:val="21"/>
                          <w:szCs w:val="21"/>
                        </w:rPr>
                        <w:t>火</w:t>
                      </w:r>
                      <w:r>
                        <w:rPr>
                          <w:sz w:val="21"/>
                          <w:szCs w:val="21"/>
                        </w:rPr>
                        <w:t>力发电</w:t>
                      </w:r>
                      <w:r>
                        <w:rPr>
                          <w:rFonts w:hint="eastAsia"/>
                          <w:sz w:val="21"/>
                          <w:szCs w:val="21"/>
                        </w:rPr>
                        <w:t>（含核电常规岛）工</w:t>
                      </w:r>
                      <w:r>
                        <w:rPr>
                          <w:sz w:val="21"/>
                          <w:szCs w:val="21"/>
                        </w:rPr>
                        <w:t>程</w:t>
                      </w:r>
                    </w:p>
                  </w:txbxContent>
                </v:textbox>
              </v:shape>
            </w:pict>
          </mc:Fallback>
        </mc:AlternateContent>
      </w:r>
      <w:r>
        <w:rPr>
          <w:sz w:val="21"/>
          <w:szCs w:val="21"/>
        </w:rPr>
        <mc:AlternateContent>
          <mc:Choice Requires="wps">
            <w:drawing>
              <wp:anchor distT="0" distB="0" distL="114300" distR="114300" simplePos="0" relativeHeight="251745280" behindDoc="0" locked="0" layoutInCell="1" allowOverlap="1">
                <wp:simplePos x="0" y="0"/>
                <wp:positionH relativeFrom="column">
                  <wp:posOffset>4341495</wp:posOffset>
                </wp:positionH>
                <wp:positionV relativeFrom="paragraph">
                  <wp:posOffset>71120</wp:posOffset>
                </wp:positionV>
                <wp:extent cx="0" cy="200025"/>
                <wp:effectExtent l="0" t="0" r="19050" b="28575"/>
                <wp:wrapNone/>
                <wp:docPr id="13" name="Line 315"/>
                <wp:cNvGraphicFramePr/>
                <a:graphic xmlns:a="http://schemas.openxmlformats.org/drawingml/2006/main">
                  <a:graphicData uri="http://schemas.microsoft.com/office/word/2010/wordprocessingShape">
                    <wps:wsp>
                      <wps:cNvCnPr>
                        <a:cxnSpLocks noChangeShapeType="1"/>
                      </wps:cNvCnPr>
                      <wps:spPr bwMode="auto">
                        <a:xfrm flipH="1">
                          <a:off x="0" y="0"/>
                          <a:ext cx="0" cy="200025"/>
                        </a:xfrm>
                        <a:prstGeom prst="line">
                          <a:avLst/>
                        </a:prstGeom>
                        <a:noFill/>
                        <a:ln w="6350">
                          <a:solidFill>
                            <a:schemeClr val="tx1"/>
                          </a:solidFill>
                          <a:miter lim="800000"/>
                        </a:ln>
                      </wps:spPr>
                      <wps:bodyPr/>
                    </wps:wsp>
                  </a:graphicData>
                </a:graphic>
              </wp:anchor>
            </w:drawing>
          </mc:Choice>
          <mc:Fallback>
            <w:pict>
              <v:line id="Line 315" o:spid="_x0000_s1026" o:spt="20" style="position:absolute;left:0pt;flip:x;margin-left:341.85pt;margin-top:5.6pt;height:15.75pt;width:0pt;z-index:251745280;mso-width-relative:page;mso-height-relative:page;" filled="f" stroked="t" coordsize="21600,21600" o:gfxdata="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nynq81gAAAAkBAAAPAAAAAAAAAAEAIAAA&#10;ACIAAABkcnMvZG93bnJldi54bWxQSwECFAAUAAAACACHTuJAVZvPH9UBAAC4AwAADgAAAAAAAAAB&#10;ACAAAAAlAQAAZHJzL2Uyb0RvYy54bWxQSwUGAAAAAAYABgBZAQAAbAUAA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665" distR="113665" simplePos="0" relativeHeight="251746304" behindDoc="0" locked="0" layoutInCell="1" allowOverlap="1">
                <wp:simplePos x="0" y="0"/>
                <wp:positionH relativeFrom="column">
                  <wp:posOffset>4860925</wp:posOffset>
                </wp:positionH>
                <wp:positionV relativeFrom="paragraph">
                  <wp:posOffset>71120</wp:posOffset>
                </wp:positionV>
                <wp:extent cx="0" cy="204470"/>
                <wp:effectExtent l="0" t="0" r="19050" b="24130"/>
                <wp:wrapNone/>
                <wp:docPr id="30" name="直接连接符 30"/>
                <wp:cNvGraphicFramePr/>
                <a:graphic xmlns:a="http://schemas.openxmlformats.org/drawingml/2006/main">
                  <a:graphicData uri="http://schemas.microsoft.com/office/word/2010/wordprocessingShape">
                    <wps:wsp>
                      <wps:cNvCnPr/>
                      <wps:spPr>
                        <a:xfrm>
                          <a:off x="0" y="0"/>
                          <a:ext cx="0" cy="2044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82.75pt;margin-top:5.6pt;height:16.1pt;width:0pt;z-index:251746304;mso-width-relative:page;mso-height-relative:page;" filled="f" stroked="t" coordsize="21600,21600" o:gfxdata="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vZHMbWAAAACQEA&#10;AA8AAAAAAAAAAQAgAAAAIgAAAGRycy9kb3ducmV2LnhtbFBLAQIUABQAAAAIAIdO4kC0IEJJ4wEA&#10;ALIDAAAOAAAAAAAAAAEAIAAAACUBAABkcnMvZTJvRG9jLnhtbFBLBQYAAAAABgAGAFkBAAB6BQAA&#10;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665" distR="113665" simplePos="0" relativeHeight="251748352" behindDoc="0" locked="0" layoutInCell="1" allowOverlap="1">
                <wp:simplePos x="0" y="0"/>
                <wp:positionH relativeFrom="column">
                  <wp:posOffset>5685790</wp:posOffset>
                </wp:positionH>
                <wp:positionV relativeFrom="paragraph">
                  <wp:posOffset>71120</wp:posOffset>
                </wp:positionV>
                <wp:extent cx="0" cy="200660"/>
                <wp:effectExtent l="0" t="0" r="19050" b="27940"/>
                <wp:wrapNone/>
                <wp:docPr id="235" name="直接连接符 235"/>
                <wp:cNvGraphicFramePr/>
                <a:graphic xmlns:a="http://schemas.openxmlformats.org/drawingml/2006/main">
                  <a:graphicData uri="http://schemas.microsoft.com/office/word/2010/wordprocessingShape">
                    <wps:wsp>
                      <wps:cNvCnPr/>
                      <wps:spPr>
                        <a:xfrm>
                          <a:off x="0" y="0"/>
                          <a:ext cx="0" cy="2006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47.7pt;margin-top:5.6pt;height:15.8pt;width:0pt;z-index:251748352;mso-width-relative:page;mso-height-relative:page;" filled="f" stroked="t" coordsize="21600,21600" o:gfxdata="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3fbwLWAAAACQEA&#10;AA8AAAAAAAAAAQAgAAAAIgAAAGRycy9kb3ducmV2LnhtbFBLAQIUABQAAAAIAIdO4kC+fnee4wEA&#10;ALQDAAAOAAAAAAAAAAEAIAAAACUBAABkcnMvZTJvRG9jLnhtbFBLBQYAAAAABgAGAFkBAAB6BQAA&#10;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665" distR="113665" simplePos="0" relativeHeight="251749376" behindDoc="0" locked="0" layoutInCell="1" allowOverlap="1">
                <wp:simplePos x="0" y="0"/>
                <wp:positionH relativeFrom="column">
                  <wp:posOffset>6068695</wp:posOffset>
                </wp:positionH>
                <wp:positionV relativeFrom="paragraph">
                  <wp:posOffset>71120</wp:posOffset>
                </wp:positionV>
                <wp:extent cx="0" cy="200660"/>
                <wp:effectExtent l="0" t="0" r="19050" b="27940"/>
                <wp:wrapNone/>
                <wp:docPr id="236" name="直接连接符 236"/>
                <wp:cNvGraphicFramePr/>
                <a:graphic xmlns:a="http://schemas.openxmlformats.org/drawingml/2006/main">
                  <a:graphicData uri="http://schemas.microsoft.com/office/word/2010/wordprocessingShape">
                    <wps:wsp>
                      <wps:cNvCnPr/>
                      <wps:spPr>
                        <a:xfrm>
                          <a:off x="0" y="0"/>
                          <a:ext cx="0" cy="2006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77.85pt;margin-top:5.6pt;height:15.8pt;width:0pt;z-index:251749376;mso-width-relative:page;mso-height-relative:page;" filled="f" stroked="t" coordsize="21600,21600" o:gfxdata="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BTdEP1QAAAAkBAAAP&#10;AAAAAAAAAAEAIAAAACIAAABkcnMvZG93bnJldi54bWxQSwECFAAUAAAACACHTuJAFCwfTuIBAAC0&#10;AwAADgAAAAAAAAABACAAAAAkAQAAZHJzL2Uyb0RvYy54bWxQSwUGAAAAAAYABgBZAQAAeAUAA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3665" distR="113665" simplePos="0" relativeHeight="251750400" behindDoc="0" locked="0" layoutInCell="1" allowOverlap="1">
                <wp:simplePos x="0" y="0"/>
                <wp:positionH relativeFrom="column">
                  <wp:posOffset>6435725</wp:posOffset>
                </wp:positionH>
                <wp:positionV relativeFrom="paragraph">
                  <wp:posOffset>71120</wp:posOffset>
                </wp:positionV>
                <wp:extent cx="0" cy="202565"/>
                <wp:effectExtent l="0" t="0" r="19050" b="26035"/>
                <wp:wrapNone/>
                <wp:docPr id="237" name="直接连接符 237"/>
                <wp:cNvGraphicFramePr/>
                <a:graphic xmlns:a="http://schemas.openxmlformats.org/drawingml/2006/main">
                  <a:graphicData uri="http://schemas.microsoft.com/office/word/2010/wordprocessingShape">
                    <wps:wsp>
                      <wps:cNvCnPr/>
                      <wps:spPr>
                        <a:xfrm>
                          <a:off x="0" y="0"/>
                          <a:ext cx="0" cy="2025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6.75pt;margin-top:5.6pt;height:15.95pt;width:0pt;z-index:251750400;mso-width-relative:page;mso-height-relative:page;" filled="f" stroked="t" coordsize="21600,21600" o:gfxdata="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d06ec1wAAAAsB&#10;AAAPAAAAAAAAAAEAIAAAACIAAABkcnMvZG93bnJldi54bWxQSwECFAAUAAAACACHTuJAX8Fve+MB&#10;AAC0AwAADgAAAAAAAAABACAAAAAmAQAAZHJzL2Uyb0RvYy54bWxQSwUGAAAAAAYABgBZAQAAewUA&#10;AAAA&#10;">
                <v:fill on="f" focussize="0,0"/>
                <v:stroke weight="0.5pt" color="#000000 [3213]" miterlimit="8" joinstyle="miter"/>
                <v:imagedata o:title=""/>
                <o:lock v:ext="edit" aspectratio="f"/>
              </v:line>
            </w:pict>
          </mc:Fallback>
        </mc:AlternateContent>
      </w:r>
      <w:r>
        <w:rPr>
          <w:sz w:val="21"/>
          <w:szCs w:val="21"/>
        </w:rPr>
        <mc:AlternateContent>
          <mc:Choice Requires="wps">
            <w:drawing>
              <wp:anchor distT="0" distB="0" distL="114300" distR="114300" simplePos="0" relativeHeight="251738112" behindDoc="0" locked="0" layoutInCell="1" allowOverlap="1">
                <wp:simplePos x="0" y="0"/>
                <wp:positionH relativeFrom="column">
                  <wp:posOffset>4608830</wp:posOffset>
                </wp:positionH>
                <wp:positionV relativeFrom="paragraph">
                  <wp:posOffset>274320</wp:posOffset>
                </wp:positionV>
                <wp:extent cx="490855" cy="1198245"/>
                <wp:effectExtent l="0" t="0" r="23495" b="20955"/>
                <wp:wrapNone/>
                <wp:docPr id="14" name="AutoShape 974"/>
                <wp:cNvGraphicFramePr/>
                <a:graphic xmlns:a="http://schemas.openxmlformats.org/drawingml/2006/main">
                  <a:graphicData uri="http://schemas.microsoft.com/office/word/2010/wordprocessingShape">
                    <wps:wsp>
                      <wps:cNvSpPr>
                        <a:spLocks noChangeArrowheads="1"/>
                      </wps:cNvSpPr>
                      <wps:spPr bwMode="auto">
                        <a:xfrm>
                          <a:off x="0" y="0"/>
                          <a:ext cx="490855" cy="1198245"/>
                        </a:xfrm>
                        <a:prstGeom prst="flowChartProcess">
                          <a:avLst/>
                        </a:prstGeom>
                        <a:solidFill>
                          <a:srgbClr val="FFFFFF"/>
                        </a:solidFill>
                        <a:ln w="9525">
                          <a:solidFill>
                            <a:srgbClr val="000000"/>
                          </a:solidFill>
                          <a:miter lim="800000"/>
                        </a:ln>
                      </wps:spPr>
                      <wps:txbx>
                        <w:txbxContent>
                          <w:p w14:paraId="2E3D3AAA">
                            <w:pPr>
                              <w:spacing w:line="240" w:lineRule="auto"/>
                              <w:jc w:val="center"/>
                              <w:rPr>
                                <w:rFonts w:hint="eastAsia"/>
                                <w:snapToGrid w:val="0"/>
                                <w:kern w:val="0"/>
                              </w:rPr>
                            </w:pPr>
                            <w:r>
                              <w:rPr>
                                <w:rFonts w:hint="eastAsia"/>
                                <w:sz w:val="21"/>
                                <w:szCs w:val="21"/>
                              </w:rPr>
                              <w:t>水力发</w:t>
                            </w:r>
                            <w:r>
                              <w:rPr>
                                <w:sz w:val="21"/>
                                <w:szCs w:val="21"/>
                              </w:rPr>
                              <w:t>电</w:t>
                            </w:r>
                            <w:r>
                              <w:rPr>
                                <w:rFonts w:hint="eastAsia"/>
                                <w:sz w:val="21"/>
                                <w:szCs w:val="21"/>
                              </w:rPr>
                              <w:t>（含抽水蓄能）工</w:t>
                            </w:r>
                            <w:r>
                              <w:rPr>
                                <w:sz w:val="21"/>
                                <w:szCs w:val="21"/>
                              </w:rPr>
                              <w:t>程</w:t>
                            </w:r>
                          </w:p>
                        </w:txbxContent>
                      </wps:txbx>
                      <wps:bodyPr rot="0" vert="horz" wrap="square" lIns="91440" tIns="0" rIns="91440" bIns="0" anchor="ctr" anchorCtr="0" upright="1">
                        <a:noAutofit/>
                      </wps:bodyPr>
                    </wps:wsp>
                  </a:graphicData>
                </a:graphic>
              </wp:anchor>
            </w:drawing>
          </mc:Choice>
          <mc:Fallback>
            <w:pict>
              <v:shape id="AutoShape 974" o:spid="_x0000_s1026" o:spt="109" type="#_x0000_t109" style="position:absolute;left:0pt;margin-left:362.9pt;margin-top:21.6pt;height:94.35pt;width:38.65pt;z-index:251738112;v-text-anchor:middle;mso-width-relative:page;mso-height-relative:page;" fillcolor="#FFFFFF" filled="t" stroked="t" coordsize="21600,21600" o:gfxdata="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qbbkw3AAAAAoBAAAPAAAAAAAAAAEAIAAAACIAAABkcnMvZG93bnJl&#10;di54bWxQSwECFAAUAAAACACHTuJALZMVnzICAACGBAAADgAAAAAAAAABACAAAAArAQAAZHJzL2Uy&#10;b0RvYy54bWxQSwUGAAAAAAYABgBZAQAAzwUAAAAA&#10;">
                <v:fill on="t" focussize="0,0"/>
                <v:stroke color="#000000" miterlimit="8" joinstyle="miter"/>
                <v:imagedata o:title=""/>
                <o:lock v:ext="edit" aspectratio="f"/>
                <v:textbox inset="2.54mm,0mm,2.54mm,0mm">
                  <w:txbxContent>
                    <w:p w14:paraId="2E3D3AAA">
                      <w:pPr>
                        <w:spacing w:line="240" w:lineRule="auto"/>
                        <w:jc w:val="center"/>
                        <w:rPr>
                          <w:rFonts w:hint="eastAsia"/>
                          <w:snapToGrid w:val="0"/>
                          <w:kern w:val="0"/>
                        </w:rPr>
                      </w:pPr>
                      <w:r>
                        <w:rPr>
                          <w:rFonts w:hint="eastAsia"/>
                          <w:sz w:val="21"/>
                          <w:szCs w:val="21"/>
                        </w:rPr>
                        <w:t>水力发</w:t>
                      </w:r>
                      <w:r>
                        <w:rPr>
                          <w:sz w:val="21"/>
                          <w:szCs w:val="21"/>
                        </w:rPr>
                        <w:t>电</w:t>
                      </w:r>
                      <w:r>
                        <w:rPr>
                          <w:rFonts w:hint="eastAsia"/>
                          <w:sz w:val="21"/>
                          <w:szCs w:val="21"/>
                        </w:rPr>
                        <w:t>（含抽水蓄能）工</w:t>
                      </w:r>
                      <w:r>
                        <w:rPr>
                          <w:sz w:val="21"/>
                          <w:szCs w:val="21"/>
                        </w:rPr>
                        <w:t>程</w:t>
                      </w:r>
                    </w:p>
                  </w:txbxContent>
                </v:textbox>
              </v:shape>
            </w:pict>
          </mc:Fallback>
        </mc:AlternateContent>
      </w:r>
    </w:p>
    <w:p w14:paraId="43C944B2">
      <w:pPr>
        <w:rPr>
          <w:rFonts w:hint="eastAsia"/>
          <w:sz w:val="21"/>
          <w:szCs w:val="21"/>
        </w:rPr>
      </w:pPr>
      <w:r>
        <w:rPr>
          <w:sz w:val="21"/>
          <w:szCs w:val="21"/>
        </w:rPr>
        <mc:AlternateContent>
          <mc:Choice Requires="wps">
            <w:drawing>
              <wp:anchor distT="0" distB="0" distL="114300" distR="114300" simplePos="0" relativeHeight="251740160" behindDoc="0" locked="0" layoutInCell="1" allowOverlap="1">
                <wp:simplePos x="0" y="0"/>
                <wp:positionH relativeFrom="column">
                  <wp:posOffset>5515610</wp:posOffset>
                </wp:positionH>
                <wp:positionV relativeFrom="paragraph">
                  <wp:posOffset>7620</wp:posOffset>
                </wp:positionV>
                <wp:extent cx="332105" cy="1212850"/>
                <wp:effectExtent l="0" t="0" r="10795" b="26035"/>
                <wp:wrapNone/>
                <wp:docPr id="9" name="AutoShape 974"/>
                <wp:cNvGraphicFramePr/>
                <a:graphic xmlns:a="http://schemas.openxmlformats.org/drawingml/2006/main">
                  <a:graphicData uri="http://schemas.microsoft.com/office/word/2010/wordprocessingShape">
                    <wps:wsp>
                      <wps:cNvSpPr>
                        <a:spLocks noChangeArrowheads="1"/>
                      </wps:cNvSpPr>
                      <wps:spPr bwMode="auto">
                        <a:xfrm>
                          <a:off x="0" y="0"/>
                          <a:ext cx="332105" cy="1212652"/>
                        </a:xfrm>
                        <a:prstGeom prst="flowChartProcess">
                          <a:avLst/>
                        </a:prstGeom>
                        <a:solidFill>
                          <a:srgbClr val="FFFFFF"/>
                        </a:solidFill>
                        <a:ln w="9525">
                          <a:solidFill>
                            <a:srgbClr val="000000"/>
                          </a:solidFill>
                          <a:miter lim="800000"/>
                        </a:ln>
                      </wps:spPr>
                      <wps:txbx>
                        <w:txbxContent>
                          <w:p w14:paraId="6D49D2A7">
                            <w:pPr>
                              <w:spacing w:line="240" w:lineRule="auto"/>
                              <w:jc w:val="center"/>
                              <w:rPr>
                                <w:rFonts w:hint="eastAsia"/>
                                <w:sz w:val="21"/>
                                <w:szCs w:val="21"/>
                              </w:rPr>
                            </w:pPr>
                            <w:r>
                              <w:rPr>
                                <w:rFonts w:hint="eastAsia"/>
                                <w:sz w:val="21"/>
                                <w:szCs w:val="21"/>
                              </w:rPr>
                              <w:t>太阳能</w:t>
                            </w:r>
                            <w:r>
                              <w:rPr>
                                <w:sz w:val="21"/>
                                <w:szCs w:val="21"/>
                              </w:rPr>
                              <w:t>发</w:t>
                            </w:r>
                            <w:r>
                              <w:rPr>
                                <w:rFonts w:hint="eastAsia"/>
                                <w:sz w:val="21"/>
                                <w:szCs w:val="21"/>
                              </w:rPr>
                              <w:t>电工</w:t>
                            </w:r>
                            <w:r>
                              <w:rPr>
                                <w:sz w:val="21"/>
                                <w:szCs w:val="21"/>
                              </w:rPr>
                              <w:t>程</w:t>
                            </w:r>
                            <w:r>
                              <w:rPr>
                                <w:rFonts w:hint="eastAsia"/>
                                <w:sz w:val="21"/>
                                <w:szCs w:val="21"/>
                              </w:rPr>
                              <w:t>程</w:t>
                            </w:r>
                          </w:p>
                        </w:txbxContent>
                      </wps:txbx>
                      <wps:bodyPr rot="0" vert="horz" wrap="square" lIns="91440" tIns="0" rIns="91440" bIns="0" anchor="ctr" anchorCtr="0" upright="1">
                        <a:noAutofit/>
                      </wps:bodyPr>
                    </wps:wsp>
                  </a:graphicData>
                </a:graphic>
              </wp:anchor>
            </w:drawing>
          </mc:Choice>
          <mc:Fallback>
            <w:pict>
              <v:shape id="AutoShape 974" o:spid="_x0000_s1026" o:spt="109" type="#_x0000_t109" style="position:absolute;left:0pt;margin-left:434.3pt;margin-top:0.6pt;height:95.5pt;width:26.15pt;z-index:251740160;v-text-anchor:middle;mso-width-relative:page;mso-height-relative:page;" fillcolor="#FFFFFF" filled="t" stroked="t" coordsize="21600,21600" o:gfxdata="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c08WK2QAAAAkBAAAPAAAAAAAAAAEAIAAAACIAAABkcnMvZG93bnJldi54&#10;bWxQSwECFAAUAAAACACHTuJA63wlkDICAACFBAAADgAAAAAAAAABACAAAAAoAQAAZHJzL2Uyb0Rv&#10;Yy54bWxQSwUGAAAAAAYABgBZAQAAzAUAAAAA&#10;">
                <v:fill on="t" focussize="0,0"/>
                <v:stroke color="#000000" miterlimit="8" joinstyle="miter"/>
                <v:imagedata o:title=""/>
                <o:lock v:ext="edit" aspectratio="f"/>
                <v:textbox inset="2.54mm,0mm,2.54mm,0mm">
                  <w:txbxContent>
                    <w:p w14:paraId="6D49D2A7">
                      <w:pPr>
                        <w:spacing w:line="240" w:lineRule="auto"/>
                        <w:jc w:val="center"/>
                        <w:rPr>
                          <w:rFonts w:hint="eastAsia"/>
                          <w:sz w:val="21"/>
                          <w:szCs w:val="21"/>
                        </w:rPr>
                      </w:pPr>
                      <w:r>
                        <w:rPr>
                          <w:rFonts w:hint="eastAsia"/>
                          <w:sz w:val="21"/>
                          <w:szCs w:val="21"/>
                        </w:rPr>
                        <w:t>太阳能</w:t>
                      </w:r>
                      <w:r>
                        <w:rPr>
                          <w:sz w:val="21"/>
                          <w:szCs w:val="21"/>
                        </w:rPr>
                        <w:t>发</w:t>
                      </w:r>
                      <w:r>
                        <w:rPr>
                          <w:rFonts w:hint="eastAsia"/>
                          <w:sz w:val="21"/>
                          <w:szCs w:val="21"/>
                        </w:rPr>
                        <w:t>电工</w:t>
                      </w:r>
                      <w:r>
                        <w:rPr>
                          <w:sz w:val="21"/>
                          <w:szCs w:val="21"/>
                        </w:rPr>
                        <w:t>程</w:t>
                      </w:r>
                      <w:r>
                        <w:rPr>
                          <w:rFonts w:hint="eastAsia"/>
                          <w:sz w:val="21"/>
                          <w:szCs w:val="21"/>
                        </w:rPr>
                        <w:t>程</w:t>
                      </w:r>
                    </w:p>
                  </w:txbxContent>
                </v:textbox>
              </v:shape>
            </w:pict>
          </mc:Fallback>
        </mc:AlternateContent>
      </w:r>
      <w:r>
        <w:rPr>
          <w:sz w:val="21"/>
          <w:szCs w:val="21"/>
        </w:rPr>
        <mc:AlternateContent>
          <mc:Choice Requires="wps">
            <w:drawing>
              <wp:anchor distT="0" distB="0" distL="114300" distR="114300" simplePos="0" relativeHeight="251736064" behindDoc="0" locked="0" layoutInCell="1" allowOverlap="1">
                <wp:simplePos x="0" y="0"/>
                <wp:positionH relativeFrom="column">
                  <wp:posOffset>3656965</wp:posOffset>
                </wp:positionH>
                <wp:positionV relativeFrom="paragraph">
                  <wp:posOffset>15240</wp:posOffset>
                </wp:positionV>
                <wp:extent cx="295275" cy="1199515"/>
                <wp:effectExtent l="0" t="0" r="28575" b="19685"/>
                <wp:wrapNone/>
                <wp:docPr id="234" name="AutoShape 994"/>
                <wp:cNvGraphicFramePr/>
                <a:graphic xmlns:a="http://schemas.openxmlformats.org/drawingml/2006/main">
                  <a:graphicData uri="http://schemas.microsoft.com/office/word/2010/wordprocessingShape">
                    <wps:wsp>
                      <wps:cNvSpPr>
                        <a:spLocks noChangeArrowheads="1"/>
                      </wps:cNvSpPr>
                      <wps:spPr bwMode="auto">
                        <a:xfrm>
                          <a:off x="0" y="0"/>
                          <a:ext cx="295275" cy="1199515"/>
                        </a:xfrm>
                        <a:prstGeom prst="flowChartProcess">
                          <a:avLst/>
                        </a:prstGeom>
                        <a:solidFill>
                          <a:srgbClr val="FFFFFF"/>
                        </a:solidFill>
                        <a:ln w="9525">
                          <a:solidFill>
                            <a:srgbClr val="000000"/>
                          </a:solidFill>
                          <a:miter lim="800000"/>
                        </a:ln>
                      </wps:spPr>
                      <wps:txbx>
                        <w:txbxContent>
                          <w:p w14:paraId="175E69BB">
                            <w:pPr>
                              <w:jc w:val="left"/>
                              <w:rPr>
                                <w:rFonts w:hint="eastAsia"/>
                                <w:snapToGrid w:val="0"/>
                                <w:kern w:val="0"/>
                                <w:sz w:val="15"/>
                                <w:szCs w:val="15"/>
                              </w:rPr>
                            </w:pPr>
                            <w:r>
                              <w:rPr>
                                <w:rFonts w:hint="eastAsia"/>
                                <w:sz w:val="21"/>
                                <w:szCs w:val="21"/>
                              </w:rPr>
                              <w:t>科技创新</w:t>
                            </w:r>
                          </w:p>
                        </w:txbxContent>
                      </wps:txbx>
                      <wps:bodyPr rot="0" vert="horz" wrap="square" lIns="91440" tIns="0" rIns="91440" bIns="0" anchor="ctr" anchorCtr="0" upright="1">
                        <a:noAutofit/>
                      </wps:bodyPr>
                    </wps:wsp>
                  </a:graphicData>
                </a:graphic>
              </wp:anchor>
            </w:drawing>
          </mc:Choice>
          <mc:Fallback>
            <w:pict>
              <v:shape id="AutoShape 994" o:spid="_x0000_s1026" o:spt="109" type="#_x0000_t109" style="position:absolute;left:0pt;margin-left:287.95pt;margin-top:1.2pt;height:94.45pt;width:23.25pt;z-index:251736064;v-text-anchor:middle;mso-width-relative:page;mso-height-relative:page;" fillcolor="#FFFFFF" filled="t" stroked="t" coordsize="21600,21600" o:gfxdata="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DG9sg3aAAAACQEAAA8AAAAAAAAAAQAgAAAAIgAAAGRycy9kb3ducmV2&#10;LnhtbFBLAQIUABQAAAAIAIdO4kCwLCWgMwIAAIcEAAAOAAAAAAAAAAEAIAAAACkBAABkcnMvZTJv&#10;RG9jLnhtbFBLBQYAAAAABgAGAFkBAADOBQAAAAA=&#10;">
                <v:fill on="t" focussize="0,0"/>
                <v:stroke color="#000000" miterlimit="8" joinstyle="miter"/>
                <v:imagedata o:title=""/>
                <o:lock v:ext="edit" aspectratio="f"/>
                <v:textbox inset="2.54mm,0mm,2.54mm,0mm">
                  <w:txbxContent>
                    <w:p w14:paraId="175E69BB">
                      <w:pPr>
                        <w:jc w:val="left"/>
                        <w:rPr>
                          <w:rFonts w:hint="eastAsia"/>
                          <w:snapToGrid w:val="0"/>
                          <w:kern w:val="0"/>
                          <w:sz w:val="15"/>
                          <w:szCs w:val="15"/>
                        </w:rPr>
                      </w:pPr>
                      <w:r>
                        <w:rPr>
                          <w:rFonts w:hint="eastAsia"/>
                          <w:sz w:val="21"/>
                          <w:szCs w:val="21"/>
                        </w:rPr>
                        <w:t>科技创新</w:t>
                      </w:r>
                    </w:p>
                  </w:txbxContent>
                </v:textbox>
              </v:shape>
            </w:pict>
          </mc:Fallback>
        </mc:AlternateContent>
      </w:r>
      <w:r>
        <w:rPr>
          <w:sz w:val="21"/>
          <w:szCs w:val="21"/>
        </w:rPr>
        <mc:AlternateContent>
          <mc:Choice Requires="wps">
            <w:drawing>
              <wp:anchor distT="0" distB="0" distL="114300" distR="114300" simplePos="0" relativeHeight="251666432" behindDoc="0" locked="0" layoutInCell="1" allowOverlap="1">
                <wp:simplePos x="0" y="0"/>
                <wp:positionH relativeFrom="column">
                  <wp:posOffset>3204210</wp:posOffset>
                </wp:positionH>
                <wp:positionV relativeFrom="paragraph">
                  <wp:posOffset>15240</wp:posOffset>
                </wp:positionV>
                <wp:extent cx="295275" cy="1199515"/>
                <wp:effectExtent l="0" t="0" r="28575" b="19685"/>
                <wp:wrapNone/>
                <wp:docPr id="239" name="AutoShape 994"/>
                <wp:cNvGraphicFramePr/>
                <a:graphic xmlns:a="http://schemas.openxmlformats.org/drawingml/2006/main">
                  <a:graphicData uri="http://schemas.microsoft.com/office/word/2010/wordprocessingShape">
                    <wps:wsp>
                      <wps:cNvSpPr>
                        <a:spLocks noChangeArrowheads="1"/>
                      </wps:cNvSpPr>
                      <wps:spPr bwMode="auto">
                        <a:xfrm>
                          <a:off x="0" y="0"/>
                          <a:ext cx="295275" cy="1199515"/>
                        </a:xfrm>
                        <a:prstGeom prst="flowChartProcess">
                          <a:avLst/>
                        </a:prstGeom>
                        <a:solidFill>
                          <a:srgbClr val="FFFFFF"/>
                        </a:solidFill>
                        <a:ln w="9525">
                          <a:solidFill>
                            <a:srgbClr val="000000"/>
                          </a:solidFill>
                          <a:miter lim="800000"/>
                        </a:ln>
                      </wps:spPr>
                      <wps:txbx>
                        <w:txbxContent>
                          <w:p w14:paraId="6959446D">
                            <w:pPr>
                              <w:jc w:val="left"/>
                              <w:rPr>
                                <w:rFonts w:hint="eastAsia"/>
                                <w:snapToGrid w:val="0"/>
                                <w:kern w:val="0"/>
                                <w:sz w:val="15"/>
                                <w:szCs w:val="15"/>
                              </w:rPr>
                            </w:pPr>
                            <w:r>
                              <w:rPr>
                                <w:rFonts w:hint="eastAsia"/>
                                <w:sz w:val="21"/>
                                <w:szCs w:val="21"/>
                              </w:rPr>
                              <w:t>综合效益</w:t>
                            </w:r>
                          </w:p>
                        </w:txbxContent>
                      </wps:txbx>
                      <wps:bodyPr rot="0" vert="horz" wrap="square" lIns="91440" tIns="0" rIns="91440" bIns="0" anchor="ctr" anchorCtr="0" upright="1">
                        <a:noAutofit/>
                      </wps:bodyPr>
                    </wps:wsp>
                  </a:graphicData>
                </a:graphic>
              </wp:anchor>
            </w:drawing>
          </mc:Choice>
          <mc:Fallback>
            <w:pict>
              <v:shape id="AutoShape 994" o:spid="_x0000_s1026" o:spt="109" type="#_x0000_t109" style="position:absolute;left:0pt;margin-left:252.3pt;margin-top:1.2pt;height:94.45pt;width:23.25pt;z-index:251666432;v-text-anchor:middle;mso-width-relative:page;mso-height-relative:page;" fillcolor="#FFFFFF" filled="t" stroked="t" coordsize="21600,21600" o:gfxdata="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PTPoVLaAAAACQEAAA8AAAAAAAAAAQAgAAAAIgAAAGRycy9kb3ducmV2&#10;LnhtbFBLAQIUABQAAAAIAIdO4kBsW/LIMwIAAIcEAAAOAAAAAAAAAAEAIAAAACkBAABkcnMvZTJv&#10;RG9jLnhtbFBLBQYAAAAABgAGAFkBAADOBQAAAAA=&#10;">
                <v:fill on="t" focussize="0,0"/>
                <v:stroke color="#000000" miterlimit="8" joinstyle="miter"/>
                <v:imagedata o:title=""/>
                <o:lock v:ext="edit" aspectratio="f"/>
                <v:textbox inset="2.54mm,0mm,2.54mm,0mm">
                  <w:txbxContent>
                    <w:p w14:paraId="6959446D">
                      <w:pPr>
                        <w:jc w:val="left"/>
                        <w:rPr>
                          <w:rFonts w:hint="eastAsia"/>
                          <w:snapToGrid w:val="0"/>
                          <w:kern w:val="0"/>
                          <w:sz w:val="15"/>
                          <w:szCs w:val="15"/>
                        </w:rPr>
                      </w:pPr>
                      <w:r>
                        <w:rPr>
                          <w:rFonts w:hint="eastAsia"/>
                          <w:sz w:val="21"/>
                          <w:szCs w:val="21"/>
                        </w:rPr>
                        <w:t>综合效益</w:t>
                      </w:r>
                    </w:p>
                  </w:txbxContent>
                </v:textbox>
              </v:shape>
            </w:pict>
          </mc:Fallback>
        </mc:AlternateContent>
      </w:r>
      <w:r>
        <w:rPr>
          <w:sz w:val="21"/>
          <w:szCs w:val="21"/>
        </w:rPr>
        <mc:AlternateContent>
          <mc:Choice Requires="wps">
            <w:drawing>
              <wp:anchor distT="0" distB="0" distL="114300" distR="114300" simplePos="0" relativeHeight="251661312" behindDoc="0" locked="0" layoutInCell="1" allowOverlap="1">
                <wp:simplePos x="0" y="0"/>
                <wp:positionH relativeFrom="column">
                  <wp:posOffset>1856740</wp:posOffset>
                </wp:positionH>
                <wp:positionV relativeFrom="paragraph">
                  <wp:posOffset>10795</wp:posOffset>
                </wp:positionV>
                <wp:extent cx="295275" cy="1203960"/>
                <wp:effectExtent l="0" t="0" r="28575" b="15240"/>
                <wp:wrapNone/>
                <wp:docPr id="134" name="AutoShape 994"/>
                <wp:cNvGraphicFramePr/>
                <a:graphic xmlns:a="http://schemas.openxmlformats.org/drawingml/2006/main">
                  <a:graphicData uri="http://schemas.microsoft.com/office/word/2010/wordprocessingShape">
                    <wps:wsp>
                      <wps:cNvSpPr>
                        <a:spLocks noChangeArrowheads="1"/>
                      </wps:cNvSpPr>
                      <wps:spPr bwMode="auto">
                        <a:xfrm>
                          <a:off x="0" y="0"/>
                          <a:ext cx="295275" cy="1203960"/>
                        </a:xfrm>
                        <a:prstGeom prst="flowChartProcess">
                          <a:avLst/>
                        </a:prstGeom>
                        <a:solidFill>
                          <a:srgbClr val="FFFFFF"/>
                        </a:solidFill>
                        <a:ln w="9525">
                          <a:solidFill>
                            <a:srgbClr val="000000"/>
                          </a:solidFill>
                          <a:miter lim="800000"/>
                        </a:ln>
                      </wps:spPr>
                      <wps:txbx>
                        <w:txbxContent>
                          <w:p w14:paraId="2529E3C8">
                            <w:pPr>
                              <w:jc w:val="left"/>
                              <w:rPr>
                                <w:rFonts w:hint="eastAsia"/>
                                <w:snapToGrid w:val="0"/>
                                <w:kern w:val="0"/>
                                <w:sz w:val="15"/>
                                <w:szCs w:val="15"/>
                              </w:rPr>
                            </w:pPr>
                            <w:r>
                              <w:rPr>
                                <w:rFonts w:hint="eastAsia"/>
                                <w:sz w:val="21"/>
                                <w:szCs w:val="21"/>
                              </w:rPr>
                              <w:t>技术先进</w:t>
                            </w:r>
                          </w:p>
                        </w:txbxContent>
                      </wps:txbx>
                      <wps:bodyPr rot="0" vert="horz" wrap="square" lIns="91440" tIns="0" rIns="91440" bIns="0" anchor="ctr" anchorCtr="0" upright="1">
                        <a:noAutofit/>
                      </wps:bodyPr>
                    </wps:wsp>
                  </a:graphicData>
                </a:graphic>
              </wp:anchor>
            </w:drawing>
          </mc:Choice>
          <mc:Fallback>
            <w:pict>
              <v:shape id="AutoShape 994" o:spid="_x0000_s1026" o:spt="109" type="#_x0000_t109" style="position:absolute;left:0pt;margin-left:146.2pt;margin-top:0.85pt;height:94.8pt;width:23.25pt;z-index:251661312;v-text-anchor:middle;mso-width-relative:page;mso-height-relative:page;" fillcolor="#FFFFFF" filled="t" stroked="t" coordsize="21600,21600" o:gfxdata="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WzPHz2gAAAAkBAAAPAAAAAAAAAAEAIAAAACIAAABkcnMvZG93bnJl&#10;di54bWxQSwECFAAUAAAACACHTuJABStYNjQCAACHBAAADgAAAAAAAAABACAAAAApAQAAZHJzL2Uy&#10;b0RvYy54bWxQSwUGAAAAAAYABgBZAQAAzwUAAAAA&#10;">
                <v:fill on="t" focussize="0,0"/>
                <v:stroke color="#000000" miterlimit="8" joinstyle="miter"/>
                <v:imagedata o:title=""/>
                <o:lock v:ext="edit" aspectratio="f"/>
                <v:textbox inset="2.54mm,0mm,2.54mm,0mm">
                  <w:txbxContent>
                    <w:p w14:paraId="2529E3C8">
                      <w:pPr>
                        <w:jc w:val="left"/>
                        <w:rPr>
                          <w:rFonts w:hint="eastAsia"/>
                          <w:snapToGrid w:val="0"/>
                          <w:kern w:val="0"/>
                          <w:sz w:val="15"/>
                          <w:szCs w:val="15"/>
                        </w:rPr>
                      </w:pPr>
                      <w:r>
                        <w:rPr>
                          <w:rFonts w:hint="eastAsia"/>
                          <w:sz w:val="21"/>
                          <w:szCs w:val="21"/>
                        </w:rPr>
                        <w:t>技术先进</w:t>
                      </w:r>
                    </w:p>
                  </w:txbxContent>
                </v:textbox>
              </v:shape>
            </w:pict>
          </mc:Fallback>
        </mc:AlternateContent>
      </w:r>
      <w:r>
        <w:rPr>
          <w:sz w:val="21"/>
          <w:szCs w:val="21"/>
        </w:rPr>
        <mc:AlternateContent>
          <mc:Choice Requires="wps">
            <w:drawing>
              <wp:anchor distT="0" distB="0" distL="114300" distR="114300" simplePos="0" relativeHeight="251665408" behindDoc="0" locked="0" layoutInCell="1" allowOverlap="1">
                <wp:simplePos x="0" y="0"/>
                <wp:positionH relativeFrom="column">
                  <wp:posOffset>2748280</wp:posOffset>
                </wp:positionH>
                <wp:positionV relativeFrom="paragraph">
                  <wp:posOffset>20955</wp:posOffset>
                </wp:positionV>
                <wp:extent cx="295275" cy="1196340"/>
                <wp:effectExtent l="0" t="0" r="28575" b="22860"/>
                <wp:wrapNone/>
                <wp:docPr id="240" name="AutoShape 994"/>
                <wp:cNvGraphicFramePr/>
                <a:graphic xmlns:a="http://schemas.openxmlformats.org/drawingml/2006/main">
                  <a:graphicData uri="http://schemas.microsoft.com/office/word/2010/wordprocessingShape">
                    <wps:wsp>
                      <wps:cNvSpPr>
                        <a:spLocks noChangeArrowheads="1"/>
                      </wps:cNvSpPr>
                      <wps:spPr bwMode="auto">
                        <a:xfrm>
                          <a:off x="0" y="0"/>
                          <a:ext cx="295275" cy="1196340"/>
                        </a:xfrm>
                        <a:prstGeom prst="flowChartProcess">
                          <a:avLst/>
                        </a:prstGeom>
                        <a:solidFill>
                          <a:srgbClr val="FFFFFF"/>
                        </a:solidFill>
                        <a:ln w="9525">
                          <a:solidFill>
                            <a:srgbClr val="000000"/>
                          </a:solidFill>
                          <a:miter lim="800000"/>
                        </a:ln>
                      </wps:spPr>
                      <wps:txbx>
                        <w:txbxContent>
                          <w:p w14:paraId="4AA81214">
                            <w:pPr>
                              <w:jc w:val="left"/>
                              <w:rPr>
                                <w:rFonts w:hint="eastAsia"/>
                                <w:snapToGrid w:val="0"/>
                                <w:kern w:val="0"/>
                                <w:sz w:val="15"/>
                                <w:szCs w:val="15"/>
                              </w:rPr>
                            </w:pPr>
                            <w:r>
                              <w:rPr>
                                <w:rFonts w:hint="eastAsia"/>
                                <w:sz w:val="21"/>
                                <w:szCs w:val="21"/>
                              </w:rPr>
                              <w:t>生态环保</w:t>
                            </w:r>
                          </w:p>
                        </w:txbxContent>
                      </wps:txbx>
                      <wps:bodyPr rot="0" vert="horz" wrap="square" lIns="91440" tIns="0" rIns="91440" bIns="0" anchor="ctr" anchorCtr="0" upright="1">
                        <a:noAutofit/>
                      </wps:bodyPr>
                    </wps:wsp>
                  </a:graphicData>
                </a:graphic>
              </wp:anchor>
            </w:drawing>
          </mc:Choice>
          <mc:Fallback>
            <w:pict>
              <v:shape id="AutoShape 994" o:spid="_x0000_s1026" o:spt="109" type="#_x0000_t109" style="position:absolute;left:0pt;margin-left:216.4pt;margin-top:1.65pt;height:94.2pt;width:23.25pt;z-index:251665408;v-text-anchor:middle;mso-width-relative:page;mso-height-relative:page;" fillcolor="#FFFFFF" filled="t" stroked="t" coordsize="21600,21600" o:gfxdata="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lUmXOdsAAAAJAQAADwAAAAAAAAABACAAAAAiAAAAZHJzL2Rvd25yZXYu&#10;eG1sUEsBAhQAFAAAAAgAh07iQIwsUloxAgAAhwQAAA4AAAAAAAAAAQAgAAAAKgEAAGRycy9lMm9E&#10;b2MueG1sUEsFBgAAAAAGAAYAWQEAAM0FAAAAAA==&#10;">
                <v:fill on="t" focussize="0,0"/>
                <v:stroke color="#000000" miterlimit="8" joinstyle="miter"/>
                <v:imagedata o:title=""/>
                <o:lock v:ext="edit" aspectratio="f"/>
                <v:textbox inset="2.54mm,0mm,2.54mm,0mm">
                  <w:txbxContent>
                    <w:p w14:paraId="4AA81214">
                      <w:pPr>
                        <w:jc w:val="left"/>
                        <w:rPr>
                          <w:rFonts w:hint="eastAsia"/>
                          <w:snapToGrid w:val="0"/>
                          <w:kern w:val="0"/>
                          <w:sz w:val="15"/>
                          <w:szCs w:val="15"/>
                        </w:rPr>
                      </w:pPr>
                      <w:r>
                        <w:rPr>
                          <w:rFonts w:hint="eastAsia"/>
                          <w:sz w:val="21"/>
                          <w:szCs w:val="21"/>
                        </w:rPr>
                        <w:t>生态环保</w:t>
                      </w:r>
                    </w:p>
                  </w:txbxContent>
                </v:textbox>
              </v:shape>
            </w:pict>
          </mc:Fallback>
        </mc:AlternateContent>
      </w:r>
      <w:r>
        <w:rPr>
          <w:sz w:val="21"/>
          <w:szCs w:val="21"/>
        </w:rPr>
        <mc:AlternateContent>
          <mc:Choice Requires="wps">
            <w:drawing>
              <wp:anchor distT="0" distB="0" distL="114300" distR="114300" simplePos="0" relativeHeight="251664384" behindDoc="0" locked="0" layoutInCell="1" allowOverlap="1">
                <wp:simplePos x="0" y="0"/>
                <wp:positionH relativeFrom="column">
                  <wp:posOffset>2302510</wp:posOffset>
                </wp:positionH>
                <wp:positionV relativeFrom="paragraph">
                  <wp:posOffset>17780</wp:posOffset>
                </wp:positionV>
                <wp:extent cx="295275" cy="1196340"/>
                <wp:effectExtent l="0" t="0" r="28575" b="22860"/>
                <wp:wrapNone/>
                <wp:docPr id="242" name="AutoShape 994"/>
                <wp:cNvGraphicFramePr/>
                <a:graphic xmlns:a="http://schemas.openxmlformats.org/drawingml/2006/main">
                  <a:graphicData uri="http://schemas.microsoft.com/office/word/2010/wordprocessingShape">
                    <wps:wsp>
                      <wps:cNvSpPr>
                        <a:spLocks noChangeArrowheads="1"/>
                      </wps:cNvSpPr>
                      <wps:spPr bwMode="auto">
                        <a:xfrm>
                          <a:off x="0" y="0"/>
                          <a:ext cx="295275" cy="1196340"/>
                        </a:xfrm>
                        <a:prstGeom prst="flowChartProcess">
                          <a:avLst/>
                        </a:prstGeom>
                        <a:solidFill>
                          <a:srgbClr val="FFFFFF"/>
                        </a:solidFill>
                        <a:ln w="9525">
                          <a:solidFill>
                            <a:srgbClr val="000000"/>
                          </a:solidFill>
                          <a:miter lim="800000"/>
                        </a:ln>
                      </wps:spPr>
                      <wps:txbx>
                        <w:txbxContent>
                          <w:p w14:paraId="6B4034DE">
                            <w:pPr>
                              <w:jc w:val="left"/>
                              <w:rPr>
                                <w:rFonts w:hint="eastAsia"/>
                                <w:snapToGrid w:val="0"/>
                                <w:kern w:val="0"/>
                                <w:sz w:val="15"/>
                                <w:szCs w:val="15"/>
                              </w:rPr>
                            </w:pPr>
                            <w:r>
                              <w:rPr>
                                <w:rFonts w:hint="eastAsia"/>
                                <w:sz w:val="21"/>
                                <w:szCs w:val="21"/>
                              </w:rPr>
                              <w:t>资源节约</w:t>
                            </w:r>
                          </w:p>
                        </w:txbxContent>
                      </wps:txbx>
                      <wps:bodyPr rot="0" vert="horz" wrap="square" lIns="91440" tIns="0" rIns="91440" bIns="0" anchor="ctr" anchorCtr="0" upright="1">
                        <a:noAutofit/>
                      </wps:bodyPr>
                    </wps:wsp>
                  </a:graphicData>
                </a:graphic>
              </wp:anchor>
            </w:drawing>
          </mc:Choice>
          <mc:Fallback>
            <w:pict>
              <v:shape id="AutoShape 994" o:spid="_x0000_s1026" o:spt="109" type="#_x0000_t109" style="position:absolute;left:0pt;margin-left:181.3pt;margin-top:1.4pt;height:94.2pt;width:23.25pt;z-index:251664384;v-text-anchor:middle;mso-width-relative:page;mso-height-relative:page;" fillcolor="#FFFFFF" filled="t" stroked="t" coordsize="21600,21600" o:gfxdata="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oaVtS2gAAAAkBAAAPAAAAAAAAAAEAIAAAACIAAABkcnMvZG93bnJl&#10;di54bWxQSwECFAAUAAAACACHTuJAlHdzSjQCAACHBAAADgAAAAAAAAABACAAAAApAQAAZHJzL2Uy&#10;b0RvYy54bWxQSwUGAAAAAAYABgBZAQAAzwUAAAAA&#10;">
                <v:fill on="t" focussize="0,0"/>
                <v:stroke color="#000000" miterlimit="8" joinstyle="miter"/>
                <v:imagedata o:title=""/>
                <o:lock v:ext="edit" aspectratio="f"/>
                <v:textbox inset="2.54mm,0mm,2.54mm,0mm">
                  <w:txbxContent>
                    <w:p w14:paraId="6B4034DE">
                      <w:pPr>
                        <w:jc w:val="left"/>
                        <w:rPr>
                          <w:rFonts w:hint="eastAsia"/>
                          <w:snapToGrid w:val="0"/>
                          <w:kern w:val="0"/>
                          <w:sz w:val="15"/>
                          <w:szCs w:val="15"/>
                        </w:rPr>
                      </w:pPr>
                      <w:r>
                        <w:rPr>
                          <w:rFonts w:hint="eastAsia"/>
                          <w:sz w:val="21"/>
                          <w:szCs w:val="21"/>
                        </w:rPr>
                        <w:t>资源节约</w:t>
                      </w:r>
                    </w:p>
                  </w:txbxContent>
                </v:textbox>
              </v:shape>
            </w:pict>
          </mc:Fallback>
        </mc:AlternateContent>
      </w:r>
    </w:p>
    <w:p w14:paraId="1B5D45BF">
      <w:pPr>
        <w:rPr>
          <w:rFonts w:hint="eastAsia"/>
          <w:sz w:val="21"/>
          <w:szCs w:val="21"/>
        </w:rPr>
      </w:pPr>
    </w:p>
    <w:p w14:paraId="64496522">
      <w:pPr>
        <w:rPr>
          <w:rFonts w:hint="eastAsia"/>
          <w:sz w:val="21"/>
          <w:szCs w:val="21"/>
        </w:rPr>
      </w:pPr>
    </w:p>
    <w:p w14:paraId="6EB9C4C2">
      <w:pPr>
        <w:rPr>
          <w:rFonts w:hint="eastAsia"/>
          <w:sz w:val="21"/>
          <w:szCs w:val="21"/>
        </w:rPr>
      </w:pPr>
    </w:p>
    <w:p w14:paraId="40DD28AB">
      <w:pPr>
        <w:rPr>
          <w:rFonts w:hint="eastAsia"/>
          <w:sz w:val="21"/>
          <w:szCs w:val="21"/>
        </w:rPr>
        <w:sectPr>
          <w:pgSz w:w="14181" w:h="9979" w:orient="landscape"/>
          <w:pgMar w:top="1134" w:right="1134" w:bottom="1418" w:left="1418" w:header="851" w:footer="992" w:gutter="0"/>
          <w:cols w:space="425" w:num="1"/>
          <w:docGrid w:linePitch="326" w:charSpace="0"/>
        </w:sectPr>
      </w:pPr>
      <w:r>
        <w:rPr>
          <w:sz w:val="21"/>
          <w:szCs w:val="21"/>
        </w:rPr>
        <mc:AlternateContent>
          <mc:Choice Requires="wps">
            <w:drawing>
              <wp:anchor distT="0" distB="0" distL="114300" distR="114300" simplePos="0" relativeHeight="251663360" behindDoc="0" locked="0" layoutInCell="1" allowOverlap="1">
                <wp:simplePos x="0" y="0"/>
                <wp:positionH relativeFrom="page">
                  <wp:posOffset>3089910</wp:posOffset>
                </wp:positionH>
                <wp:positionV relativeFrom="paragraph">
                  <wp:posOffset>342265</wp:posOffset>
                </wp:positionV>
                <wp:extent cx="3352800" cy="353060"/>
                <wp:effectExtent l="0" t="0" r="0" b="8890"/>
                <wp:wrapNone/>
                <wp:docPr id="169" name="AutoShape 944"/>
                <wp:cNvGraphicFramePr/>
                <a:graphic xmlns:a="http://schemas.openxmlformats.org/drawingml/2006/main">
                  <a:graphicData uri="http://schemas.microsoft.com/office/word/2010/wordprocessingShape">
                    <wps:wsp>
                      <wps:cNvSpPr>
                        <a:spLocks noChangeArrowheads="1"/>
                      </wps:cNvSpPr>
                      <wps:spPr bwMode="auto">
                        <a:xfrm>
                          <a:off x="0" y="0"/>
                          <a:ext cx="3352800" cy="353060"/>
                        </a:xfrm>
                        <a:prstGeom prst="flowChartProcess">
                          <a:avLst/>
                        </a:prstGeom>
                        <a:noFill/>
                        <a:ln>
                          <a:noFill/>
                        </a:ln>
                      </wps:spPr>
                      <wps:txbx>
                        <w:txbxContent>
                          <w:p w14:paraId="3CEA52AB">
                            <w:pPr>
                              <w:rPr>
                                <w:rFonts w:hint="eastAsia"/>
                                <w:b/>
                                <w:szCs w:val="21"/>
                              </w:rPr>
                            </w:pPr>
                            <w:r>
                              <w:rPr>
                                <w:b/>
                                <w:sz w:val="21"/>
                                <w:szCs w:val="21"/>
                              </w:rPr>
                              <w:t>图</w:t>
                            </w:r>
                            <w:r>
                              <w:rPr>
                                <w:rFonts w:hint="eastAsia"/>
                                <w:b/>
                                <w:sz w:val="21"/>
                                <w:szCs w:val="21"/>
                                <w:lang w:val="en-US" w:eastAsia="zh-CN"/>
                              </w:rPr>
                              <w:t>1</w:t>
                            </w:r>
                            <w:r>
                              <w:rPr>
                                <w:b/>
                                <w:sz w:val="21"/>
                                <w:szCs w:val="21"/>
                              </w:rPr>
                              <w:t xml:space="preserve"> </w:t>
                            </w:r>
                            <w:r>
                              <w:rPr>
                                <w:rFonts w:hint="eastAsia"/>
                                <w:b/>
                                <w:sz w:val="21"/>
                                <w:szCs w:val="21"/>
                              </w:rPr>
                              <w:t>电</w:t>
                            </w:r>
                            <w:r>
                              <w:rPr>
                                <w:b/>
                                <w:sz w:val="21"/>
                                <w:szCs w:val="21"/>
                              </w:rPr>
                              <w:t>力建设</w:t>
                            </w:r>
                            <w:r>
                              <w:rPr>
                                <w:rFonts w:hint="eastAsia"/>
                                <w:b/>
                                <w:sz w:val="21"/>
                                <w:szCs w:val="21"/>
                              </w:rPr>
                              <w:t>工</w:t>
                            </w:r>
                            <w:r>
                              <w:rPr>
                                <w:b/>
                                <w:sz w:val="21"/>
                                <w:szCs w:val="21"/>
                              </w:rPr>
                              <w:t>程绿色建造评价</w:t>
                            </w:r>
                            <w:r>
                              <w:rPr>
                                <w:rFonts w:hint="eastAsia"/>
                                <w:b/>
                                <w:sz w:val="21"/>
                                <w:szCs w:val="21"/>
                              </w:rPr>
                              <w:t>体系图</w:t>
                            </w:r>
                          </w:p>
                        </w:txbxContent>
                      </wps:txbx>
                      <wps:bodyPr rot="0" vert="horz" wrap="square" lIns="91440" tIns="45720" rIns="91440" bIns="45720" anchor="ctr" anchorCtr="0" upright="1">
                        <a:noAutofit/>
                      </wps:bodyPr>
                    </wps:wsp>
                  </a:graphicData>
                </a:graphic>
              </wp:anchor>
            </w:drawing>
          </mc:Choice>
          <mc:Fallback>
            <w:pict>
              <v:shape id="AutoShape 944" o:spid="_x0000_s1026" o:spt="109" type="#_x0000_t109" style="position:absolute;left:0pt;margin-left:243.3pt;margin-top:26.95pt;height:27.8pt;width:264pt;mso-position-horizontal-relative:page;z-index:251663360;v-text-anchor:middle;mso-width-relative:page;mso-height-relative:page;" filled="f" stroked="f" coordsize="21600,21600" o:gfxdata="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VdPvfaAAAACwEAAA8AAAAAAAAAAQAg&#10;AAAAIgAAAGRycy9kb3ducmV2LnhtbFBLAQIUABQAAAAIAIdO4kCaolfMDAIAAB0EAAAOAAAAAAAA&#10;AAEAIAAAACkBAABkcnMvZTJvRG9jLnhtbFBLBQYAAAAABgAGAFkBAACnBQAAAAA=&#10;">
                <v:fill on="f" focussize="0,0"/>
                <v:stroke on="f"/>
                <v:imagedata o:title=""/>
                <o:lock v:ext="edit" aspectratio="f"/>
                <v:textbox>
                  <w:txbxContent>
                    <w:p w14:paraId="3CEA52AB">
                      <w:pPr>
                        <w:rPr>
                          <w:rFonts w:hint="eastAsia"/>
                          <w:b/>
                          <w:szCs w:val="21"/>
                        </w:rPr>
                      </w:pPr>
                      <w:r>
                        <w:rPr>
                          <w:b/>
                          <w:sz w:val="21"/>
                          <w:szCs w:val="21"/>
                        </w:rPr>
                        <w:t>图</w:t>
                      </w:r>
                      <w:r>
                        <w:rPr>
                          <w:rFonts w:hint="eastAsia"/>
                          <w:b/>
                          <w:sz w:val="21"/>
                          <w:szCs w:val="21"/>
                          <w:lang w:val="en-US" w:eastAsia="zh-CN"/>
                        </w:rPr>
                        <w:t>1</w:t>
                      </w:r>
                      <w:r>
                        <w:rPr>
                          <w:b/>
                          <w:sz w:val="21"/>
                          <w:szCs w:val="21"/>
                        </w:rPr>
                        <w:t xml:space="preserve"> </w:t>
                      </w:r>
                      <w:r>
                        <w:rPr>
                          <w:rFonts w:hint="eastAsia"/>
                          <w:b/>
                          <w:sz w:val="21"/>
                          <w:szCs w:val="21"/>
                        </w:rPr>
                        <w:t>电</w:t>
                      </w:r>
                      <w:r>
                        <w:rPr>
                          <w:b/>
                          <w:sz w:val="21"/>
                          <w:szCs w:val="21"/>
                        </w:rPr>
                        <w:t>力建设</w:t>
                      </w:r>
                      <w:r>
                        <w:rPr>
                          <w:rFonts w:hint="eastAsia"/>
                          <w:b/>
                          <w:sz w:val="21"/>
                          <w:szCs w:val="21"/>
                        </w:rPr>
                        <w:t>工</w:t>
                      </w:r>
                      <w:r>
                        <w:rPr>
                          <w:b/>
                          <w:sz w:val="21"/>
                          <w:szCs w:val="21"/>
                        </w:rPr>
                        <w:t>程绿色建造评价</w:t>
                      </w:r>
                      <w:r>
                        <w:rPr>
                          <w:rFonts w:hint="eastAsia"/>
                          <w:b/>
                          <w:sz w:val="21"/>
                          <w:szCs w:val="21"/>
                        </w:rPr>
                        <w:t>体系图</w:t>
                      </w:r>
                    </w:p>
                  </w:txbxContent>
                </v:textbox>
              </v:shape>
            </w:pict>
          </mc:Fallback>
        </mc:AlternateContent>
      </w:r>
    </w:p>
    <w:p w14:paraId="7ACA9B5B">
      <w:pPr>
        <w:outlineLvl w:val="1"/>
        <w:rPr>
          <w:rFonts w:hint="default" w:ascii="黑体" w:hAnsi="黑体" w:eastAsia="黑体" w:cs="黑体"/>
          <w:sz w:val="21"/>
          <w:szCs w:val="21"/>
          <w:lang w:val="en-US" w:eastAsia="zh-CN"/>
        </w:rPr>
      </w:pPr>
      <w:bookmarkStart w:id="46" w:name="_Toc6573"/>
      <w:bookmarkStart w:id="47" w:name="_Toc30344"/>
      <w:r>
        <w:rPr>
          <w:rFonts w:hint="eastAsia" w:ascii="黑体" w:hAnsi="黑体" w:eastAsia="黑体" w:cs="黑体"/>
          <w:sz w:val="21"/>
          <w:szCs w:val="21"/>
          <w:lang w:val="en-US" w:eastAsia="zh-CN"/>
        </w:rPr>
        <w:t>4.2  评价等级划分</w:t>
      </w:r>
      <w:bookmarkEnd w:id="46"/>
      <w:bookmarkEnd w:id="47"/>
    </w:p>
    <w:p w14:paraId="1A40CE24">
      <w:pPr>
        <w:outlineLvl w:val="2"/>
        <w:rPr>
          <w:rFonts w:hint="eastAsia"/>
          <w:sz w:val="21"/>
          <w:szCs w:val="21"/>
        </w:rPr>
      </w:pPr>
      <w:bookmarkStart w:id="48" w:name="_Toc28418"/>
      <w:r>
        <w:rPr>
          <w:rFonts w:hint="eastAsia" w:ascii="黑体" w:hAnsi="黑体" w:eastAsia="黑体" w:cs="黑体"/>
          <w:sz w:val="21"/>
          <w:szCs w:val="21"/>
          <w:lang w:val="en-US" w:eastAsia="zh-CN"/>
        </w:rPr>
        <w:t>4.2.1</w:t>
      </w:r>
      <w:r>
        <w:rPr>
          <w:sz w:val="21"/>
          <w:szCs w:val="21"/>
        </w:rPr>
        <w:t xml:space="preserve">  </w:t>
      </w:r>
      <w:r>
        <w:rPr>
          <w:rFonts w:hint="eastAsia"/>
          <w:sz w:val="21"/>
          <w:szCs w:val="21"/>
        </w:rPr>
        <w:t>绿色建造评价项目及权重分配见表</w:t>
      </w:r>
      <w:r>
        <w:rPr>
          <w:rFonts w:hint="eastAsia"/>
          <w:sz w:val="21"/>
          <w:szCs w:val="21"/>
          <w:lang w:val="en-US" w:eastAsia="zh-CN"/>
        </w:rPr>
        <w:t>1</w:t>
      </w:r>
      <w:r>
        <w:rPr>
          <w:sz w:val="21"/>
          <w:szCs w:val="21"/>
        </w:rPr>
        <w:t>。</w:t>
      </w:r>
      <w:bookmarkEnd w:id="48"/>
    </w:p>
    <w:p w14:paraId="4330F9CB">
      <w:pPr>
        <w:jc w:val="center"/>
        <w:rPr>
          <w:rFonts w:hint="eastAsia"/>
          <w:b/>
          <w:sz w:val="21"/>
          <w:szCs w:val="21"/>
        </w:rPr>
      </w:pPr>
      <w:r>
        <w:rPr>
          <w:rFonts w:hint="eastAsia"/>
          <w:b/>
          <w:sz w:val="21"/>
          <w:szCs w:val="21"/>
        </w:rPr>
        <w:t>表</w:t>
      </w:r>
      <w:r>
        <w:rPr>
          <w:rFonts w:hint="eastAsia"/>
          <w:b/>
          <w:sz w:val="21"/>
          <w:szCs w:val="21"/>
          <w:lang w:val="en-US" w:eastAsia="zh-CN"/>
        </w:rPr>
        <w:t>1</w:t>
      </w:r>
      <w:r>
        <w:rPr>
          <w:b/>
          <w:sz w:val="21"/>
          <w:szCs w:val="21"/>
        </w:rPr>
        <w:t xml:space="preserve"> </w:t>
      </w:r>
      <w:r>
        <w:rPr>
          <w:rFonts w:hint="eastAsia"/>
          <w:b/>
          <w:sz w:val="21"/>
          <w:szCs w:val="21"/>
        </w:rPr>
        <w:t>评价项目及权重分配</w:t>
      </w:r>
      <w:r>
        <w:rPr>
          <w:b/>
          <w:sz w:val="21"/>
          <w:szCs w:val="21"/>
        </w:rPr>
        <w:t>表</w:t>
      </w:r>
    </w:p>
    <w:tbl>
      <w:tblPr>
        <w:tblStyle w:val="35"/>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01"/>
        <w:gridCol w:w="1156"/>
        <w:gridCol w:w="1550"/>
        <w:gridCol w:w="1146"/>
        <w:gridCol w:w="1147"/>
        <w:gridCol w:w="1029"/>
      </w:tblGrid>
      <w:tr w14:paraId="1F484A6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1301" w:type="dxa"/>
            <w:vMerge w:val="restart"/>
            <w:vAlign w:val="center"/>
          </w:tcPr>
          <w:p w14:paraId="48EBBBDC">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评价类别</w:t>
            </w:r>
          </w:p>
        </w:tc>
        <w:tc>
          <w:tcPr>
            <w:tcW w:w="2706" w:type="dxa"/>
            <w:gridSpan w:val="2"/>
            <w:vMerge w:val="restart"/>
            <w:vAlign w:val="center"/>
          </w:tcPr>
          <w:p w14:paraId="1692BBF8">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评</w:t>
            </w:r>
            <w:r>
              <w:rPr>
                <w:rFonts w:ascii="宋体" w:hAnsi="宋体" w:eastAsia="宋体"/>
                <w:kern w:val="0"/>
                <w:sz w:val="21"/>
                <w:szCs w:val="21"/>
              </w:rPr>
              <w:t>价项目</w:t>
            </w:r>
          </w:p>
        </w:tc>
        <w:tc>
          <w:tcPr>
            <w:tcW w:w="2293" w:type="dxa"/>
            <w:gridSpan w:val="2"/>
            <w:vAlign w:val="center"/>
          </w:tcPr>
          <w:p w14:paraId="1641D2CB">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评</w:t>
            </w:r>
            <w:r>
              <w:rPr>
                <w:rFonts w:ascii="宋体" w:hAnsi="宋体" w:eastAsia="宋体"/>
                <w:kern w:val="0"/>
                <w:sz w:val="21"/>
                <w:szCs w:val="21"/>
              </w:rPr>
              <w:t>价指标</w:t>
            </w:r>
            <w:r>
              <w:rPr>
                <w:rFonts w:hint="eastAsia" w:ascii="宋体" w:hAnsi="宋体" w:eastAsia="宋体"/>
                <w:kern w:val="0"/>
                <w:sz w:val="21"/>
                <w:szCs w:val="21"/>
              </w:rPr>
              <w:t>分</w:t>
            </w:r>
            <w:r>
              <w:rPr>
                <w:rFonts w:ascii="宋体" w:hAnsi="宋体" w:eastAsia="宋体"/>
                <w:kern w:val="0"/>
                <w:sz w:val="21"/>
                <w:szCs w:val="21"/>
              </w:rPr>
              <w:t>值</w:t>
            </w:r>
          </w:p>
        </w:tc>
        <w:tc>
          <w:tcPr>
            <w:tcW w:w="1029" w:type="dxa"/>
            <w:vMerge w:val="restart"/>
            <w:vAlign w:val="center"/>
          </w:tcPr>
          <w:p w14:paraId="764063F9">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权重（</w:t>
            </w:r>
            <w:r>
              <w:rPr>
                <w:rFonts w:ascii="宋体" w:hAnsi="宋体" w:eastAsia="宋体"/>
                <w:kern w:val="0"/>
                <w:sz w:val="21"/>
                <w:szCs w:val="21"/>
              </w:rPr>
              <w:t>%）</w:t>
            </w:r>
          </w:p>
        </w:tc>
      </w:tr>
      <w:tr w14:paraId="132E87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1" w:hRule="atLeast"/>
          <w:jc w:val="center"/>
        </w:trPr>
        <w:tc>
          <w:tcPr>
            <w:tcW w:w="1301" w:type="dxa"/>
            <w:vMerge w:val="continue"/>
            <w:vAlign w:val="center"/>
          </w:tcPr>
          <w:p w14:paraId="335C4B48">
            <w:pPr>
              <w:adjustRightInd w:val="0"/>
              <w:snapToGrid w:val="0"/>
              <w:spacing w:before="100" w:beforeAutospacing="1" w:after="100" w:afterAutospacing="1" w:line="240" w:lineRule="auto"/>
              <w:jc w:val="center"/>
              <w:rPr>
                <w:rFonts w:hint="eastAsia" w:ascii="宋体" w:hAnsi="宋体" w:eastAsia="宋体"/>
                <w:kern w:val="0"/>
                <w:sz w:val="21"/>
                <w:szCs w:val="21"/>
              </w:rPr>
            </w:pPr>
          </w:p>
        </w:tc>
        <w:tc>
          <w:tcPr>
            <w:tcW w:w="2706" w:type="dxa"/>
            <w:gridSpan w:val="2"/>
            <w:vMerge w:val="continue"/>
            <w:vAlign w:val="center"/>
          </w:tcPr>
          <w:p w14:paraId="76C0E384">
            <w:pPr>
              <w:adjustRightInd w:val="0"/>
              <w:snapToGrid w:val="0"/>
              <w:spacing w:before="100" w:beforeAutospacing="1" w:after="100" w:afterAutospacing="1" w:line="240" w:lineRule="auto"/>
              <w:jc w:val="center"/>
              <w:rPr>
                <w:rFonts w:hint="eastAsia" w:ascii="宋体" w:hAnsi="宋体" w:eastAsia="宋体"/>
                <w:kern w:val="0"/>
                <w:sz w:val="21"/>
                <w:szCs w:val="21"/>
              </w:rPr>
            </w:pPr>
          </w:p>
        </w:tc>
        <w:tc>
          <w:tcPr>
            <w:tcW w:w="1146" w:type="dxa"/>
            <w:vAlign w:val="center"/>
          </w:tcPr>
          <w:p w14:paraId="60E54167">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通用</w:t>
            </w:r>
            <w:r>
              <w:rPr>
                <w:rFonts w:ascii="宋体" w:hAnsi="宋体" w:eastAsia="宋体"/>
                <w:kern w:val="0"/>
                <w:sz w:val="21"/>
                <w:szCs w:val="21"/>
              </w:rPr>
              <w:t>项</w:t>
            </w:r>
          </w:p>
        </w:tc>
        <w:tc>
          <w:tcPr>
            <w:tcW w:w="1147" w:type="dxa"/>
            <w:vAlign w:val="center"/>
          </w:tcPr>
          <w:p w14:paraId="560AEF66">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专用项</w:t>
            </w:r>
          </w:p>
        </w:tc>
        <w:tc>
          <w:tcPr>
            <w:tcW w:w="1029" w:type="dxa"/>
            <w:vMerge w:val="continue"/>
            <w:vAlign w:val="center"/>
          </w:tcPr>
          <w:p w14:paraId="7C8EF3DE">
            <w:pPr>
              <w:adjustRightInd w:val="0"/>
              <w:snapToGrid w:val="0"/>
              <w:spacing w:before="100" w:beforeAutospacing="1" w:after="100" w:afterAutospacing="1" w:line="240" w:lineRule="auto"/>
              <w:jc w:val="center"/>
              <w:rPr>
                <w:rFonts w:hint="eastAsia" w:ascii="宋体" w:hAnsi="宋体" w:eastAsia="宋体"/>
                <w:kern w:val="0"/>
                <w:sz w:val="21"/>
                <w:szCs w:val="21"/>
              </w:rPr>
            </w:pPr>
          </w:p>
        </w:tc>
      </w:tr>
      <w:tr w14:paraId="3363AA9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3" w:hRule="atLeast"/>
          <w:jc w:val="center"/>
        </w:trPr>
        <w:tc>
          <w:tcPr>
            <w:tcW w:w="1301" w:type="dxa"/>
            <w:vMerge w:val="restart"/>
            <w:vAlign w:val="center"/>
          </w:tcPr>
          <w:p w14:paraId="7B0B83B3">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绿色策划</w:t>
            </w:r>
          </w:p>
        </w:tc>
        <w:tc>
          <w:tcPr>
            <w:tcW w:w="2706" w:type="dxa"/>
            <w:gridSpan w:val="2"/>
            <w:vAlign w:val="center"/>
          </w:tcPr>
          <w:p w14:paraId="03C85B79">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总</w:t>
            </w:r>
            <w:r>
              <w:rPr>
                <w:rFonts w:ascii="宋体" w:hAnsi="宋体" w:eastAsia="宋体"/>
                <w:kern w:val="0"/>
                <w:sz w:val="21"/>
                <w:szCs w:val="21"/>
              </w:rPr>
              <w:t>体</w:t>
            </w:r>
            <w:r>
              <w:rPr>
                <w:rFonts w:hint="eastAsia" w:ascii="宋体" w:hAnsi="宋体" w:eastAsia="宋体"/>
                <w:kern w:val="0"/>
                <w:sz w:val="21"/>
                <w:szCs w:val="21"/>
              </w:rPr>
              <w:t>策划</w:t>
            </w:r>
          </w:p>
        </w:tc>
        <w:tc>
          <w:tcPr>
            <w:tcW w:w="1146" w:type="dxa"/>
            <w:vAlign w:val="center"/>
          </w:tcPr>
          <w:p w14:paraId="3869E4BC">
            <w:pPr>
              <w:adjustRightInd w:val="0"/>
              <w:snapToGrid w:val="0"/>
              <w:spacing w:before="100" w:beforeAutospacing="1" w:after="100" w:afterAutospacing="1" w:line="240" w:lineRule="auto"/>
              <w:jc w:val="center"/>
              <w:rPr>
                <w:rFonts w:hint="eastAsia" w:asciiTheme="minorHAnsi" w:hAnsiTheme="minorHAnsi" w:eastAsiaTheme="minorEastAsia"/>
                <w:kern w:val="0"/>
                <w:sz w:val="21"/>
                <w:szCs w:val="21"/>
              </w:rPr>
            </w:pPr>
            <w:r>
              <w:rPr>
                <w:rFonts w:ascii="宋体" w:hAnsi="宋体" w:eastAsia="宋体"/>
                <w:kern w:val="0"/>
                <w:sz w:val="21"/>
                <w:szCs w:val="21"/>
              </w:rPr>
              <w:t>20</w:t>
            </w:r>
          </w:p>
        </w:tc>
        <w:tc>
          <w:tcPr>
            <w:tcW w:w="1147" w:type="dxa"/>
            <w:vAlign w:val="center"/>
          </w:tcPr>
          <w:p w14:paraId="5178C77A">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w:t>
            </w:r>
          </w:p>
        </w:tc>
        <w:tc>
          <w:tcPr>
            <w:tcW w:w="1029" w:type="dxa"/>
            <w:vMerge w:val="restart"/>
            <w:vAlign w:val="center"/>
          </w:tcPr>
          <w:p w14:paraId="21898297">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ascii="宋体" w:hAnsi="宋体" w:eastAsia="宋体"/>
                <w:kern w:val="0"/>
                <w:sz w:val="21"/>
                <w:szCs w:val="21"/>
              </w:rPr>
              <w:t>20</w:t>
            </w:r>
          </w:p>
        </w:tc>
      </w:tr>
      <w:tr w14:paraId="722F62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5" w:hRule="atLeast"/>
          <w:jc w:val="center"/>
        </w:trPr>
        <w:tc>
          <w:tcPr>
            <w:tcW w:w="1301" w:type="dxa"/>
            <w:vMerge w:val="continue"/>
            <w:vAlign w:val="center"/>
          </w:tcPr>
          <w:p w14:paraId="1193D3CC">
            <w:pPr>
              <w:adjustRightInd w:val="0"/>
              <w:snapToGrid w:val="0"/>
              <w:spacing w:before="100" w:beforeAutospacing="1" w:after="100" w:afterAutospacing="1" w:line="240" w:lineRule="auto"/>
              <w:jc w:val="center"/>
              <w:rPr>
                <w:rFonts w:hint="eastAsia" w:ascii="宋体" w:hAnsi="宋体" w:eastAsia="宋体"/>
                <w:kern w:val="0"/>
                <w:sz w:val="21"/>
                <w:szCs w:val="21"/>
              </w:rPr>
            </w:pPr>
          </w:p>
        </w:tc>
        <w:tc>
          <w:tcPr>
            <w:tcW w:w="2706" w:type="dxa"/>
            <w:gridSpan w:val="2"/>
            <w:vAlign w:val="center"/>
          </w:tcPr>
          <w:p w14:paraId="6F30FF64">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ascii="宋体" w:hAnsi="宋体" w:eastAsia="宋体"/>
                <w:kern w:val="0"/>
                <w:sz w:val="21"/>
                <w:szCs w:val="21"/>
              </w:rPr>
              <w:t>设计</w:t>
            </w:r>
            <w:r>
              <w:rPr>
                <w:rFonts w:hint="eastAsia" w:ascii="宋体" w:hAnsi="宋体" w:eastAsia="宋体"/>
                <w:kern w:val="0"/>
                <w:sz w:val="21"/>
                <w:szCs w:val="21"/>
              </w:rPr>
              <w:t>策划</w:t>
            </w:r>
          </w:p>
        </w:tc>
        <w:tc>
          <w:tcPr>
            <w:tcW w:w="1146" w:type="dxa"/>
            <w:vAlign w:val="center"/>
          </w:tcPr>
          <w:p w14:paraId="45C287B4">
            <w:pPr>
              <w:adjustRightInd w:val="0"/>
              <w:snapToGrid w:val="0"/>
              <w:spacing w:before="100" w:beforeAutospacing="1" w:after="100" w:afterAutospacing="1" w:line="240" w:lineRule="auto"/>
              <w:jc w:val="center"/>
              <w:rPr>
                <w:rFonts w:hint="eastAsia" w:asciiTheme="minorHAnsi" w:hAnsiTheme="minorHAnsi" w:eastAsiaTheme="minorEastAsia"/>
                <w:kern w:val="0"/>
                <w:sz w:val="21"/>
                <w:szCs w:val="21"/>
              </w:rPr>
            </w:pPr>
            <w:r>
              <w:rPr>
                <w:rFonts w:ascii="宋体" w:hAnsi="宋体" w:eastAsia="宋体"/>
                <w:kern w:val="0"/>
                <w:sz w:val="21"/>
                <w:szCs w:val="21"/>
              </w:rPr>
              <w:t>30</w:t>
            </w:r>
          </w:p>
        </w:tc>
        <w:tc>
          <w:tcPr>
            <w:tcW w:w="1147" w:type="dxa"/>
            <w:vAlign w:val="center"/>
          </w:tcPr>
          <w:p w14:paraId="52DCDF47">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w:t>
            </w:r>
          </w:p>
        </w:tc>
        <w:tc>
          <w:tcPr>
            <w:tcW w:w="1029" w:type="dxa"/>
            <w:vMerge w:val="continue"/>
            <w:vAlign w:val="center"/>
          </w:tcPr>
          <w:p w14:paraId="7E6E8D4B">
            <w:pPr>
              <w:adjustRightInd w:val="0"/>
              <w:snapToGrid w:val="0"/>
              <w:spacing w:before="100" w:beforeAutospacing="1" w:after="100" w:afterAutospacing="1" w:line="240" w:lineRule="auto"/>
              <w:jc w:val="center"/>
              <w:rPr>
                <w:rFonts w:hint="eastAsia" w:ascii="宋体" w:hAnsi="宋体" w:eastAsia="宋体"/>
                <w:kern w:val="0"/>
                <w:sz w:val="21"/>
                <w:szCs w:val="21"/>
              </w:rPr>
            </w:pPr>
          </w:p>
        </w:tc>
      </w:tr>
      <w:tr w14:paraId="4E9FCE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5" w:hRule="atLeast"/>
          <w:jc w:val="center"/>
        </w:trPr>
        <w:tc>
          <w:tcPr>
            <w:tcW w:w="1301" w:type="dxa"/>
            <w:vMerge w:val="continue"/>
            <w:vAlign w:val="center"/>
          </w:tcPr>
          <w:p w14:paraId="1EE90DAB">
            <w:pPr>
              <w:adjustRightInd w:val="0"/>
              <w:snapToGrid w:val="0"/>
              <w:spacing w:before="100" w:beforeAutospacing="1" w:after="100" w:afterAutospacing="1" w:line="240" w:lineRule="auto"/>
              <w:jc w:val="center"/>
              <w:rPr>
                <w:rFonts w:hint="eastAsia" w:ascii="宋体" w:hAnsi="宋体" w:eastAsia="宋体"/>
                <w:kern w:val="0"/>
                <w:sz w:val="21"/>
                <w:szCs w:val="21"/>
              </w:rPr>
            </w:pPr>
          </w:p>
        </w:tc>
        <w:tc>
          <w:tcPr>
            <w:tcW w:w="2706" w:type="dxa"/>
            <w:gridSpan w:val="2"/>
            <w:vAlign w:val="center"/>
          </w:tcPr>
          <w:p w14:paraId="6DBE20FA">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施工策划</w:t>
            </w:r>
          </w:p>
        </w:tc>
        <w:tc>
          <w:tcPr>
            <w:tcW w:w="1146" w:type="dxa"/>
            <w:vAlign w:val="center"/>
          </w:tcPr>
          <w:p w14:paraId="3203F814">
            <w:pPr>
              <w:adjustRightInd w:val="0"/>
              <w:snapToGrid w:val="0"/>
              <w:spacing w:before="100" w:beforeAutospacing="1" w:after="100" w:afterAutospacing="1" w:line="240" w:lineRule="auto"/>
              <w:jc w:val="center"/>
              <w:rPr>
                <w:rFonts w:hint="eastAsia" w:asciiTheme="minorHAnsi" w:hAnsiTheme="minorHAnsi" w:eastAsiaTheme="minorEastAsia"/>
                <w:kern w:val="0"/>
                <w:sz w:val="21"/>
                <w:szCs w:val="21"/>
              </w:rPr>
            </w:pPr>
            <w:r>
              <w:rPr>
                <w:rFonts w:ascii="宋体" w:hAnsi="宋体" w:eastAsia="宋体"/>
                <w:kern w:val="0"/>
                <w:sz w:val="21"/>
                <w:szCs w:val="21"/>
              </w:rPr>
              <w:t>40</w:t>
            </w:r>
          </w:p>
        </w:tc>
        <w:tc>
          <w:tcPr>
            <w:tcW w:w="1147" w:type="dxa"/>
            <w:vAlign w:val="center"/>
          </w:tcPr>
          <w:p w14:paraId="5D50E869">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w:t>
            </w:r>
          </w:p>
        </w:tc>
        <w:tc>
          <w:tcPr>
            <w:tcW w:w="1029" w:type="dxa"/>
            <w:vMerge w:val="continue"/>
            <w:vAlign w:val="center"/>
          </w:tcPr>
          <w:p w14:paraId="03F0F97C">
            <w:pPr>
              <w:adjustRightInd w:val="0"/>
              <w:snapToGrid w:val="0"/>
              <w:spacing w:before="100" w:beforeAutospacing="1" w:after="100" w:afterAutospacing="1" w:line="240" w:lineRule="auto"/>
              <w:jc w:val="center"/>
              <w:rPr>
                <w:rFonts w:hint="eastAsia" w:ascii="宋体" w:hAnsi="宋体" w:eastAsia="宋体"/>
                <w:kern w:val="0"/>
                <w:sz w:val="21"/>
                <w:szCs w:val="21"/>
              </w:rPr>
            </w:pPr>
          </w:p>
        </w:tc>
      </w:tr>
      <w:tr w14:paraId="76AC0DD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5" w:hRule="atLeast"/>
          <w:jc w:val="center"/>
        </w:trPr>
        <w:tc>
          <w:tcPr>
            <w:tcW w:w="1301" w:type="dxa"/>
            <w:vMerge w:val="continue"/>
            <w:vAlign w:val="center"/>
          </w:tcPr>
          <w:p w14:paraId="63CBB19B">
            <w:pPr>
              <w:adjustRightInd w:val="0"/>
              <w:snapToGrid w:val="0"/>
              <w:spacing w:before="100" w:beforeAutospacing="1" w:after="100" w:afterAutospacing="1" w:line="240" w:lineRule="auto"/>
              <w:jc w:val="center"/>
              <w:rPr>
                <w:rFonts w:hint="eastAsia" w:ascii="宋体" w:hAnsi="宋体" w:eastAsia="宋体"/>
                <w:kern w:val="0"/>
                <w:sz w:val="21"/>
                <w:szCs w:val="21"/>
              </w:rPr>
            </w:pPr>
          </w:p>
        </w:tc>
        <w:tc>
          <w:tcPr>
            <w:tcW w:w="2706" w:type="dxa"/>
            <w:gridSpan w:val="2"/>
            <w:vAlign w:val="center"/>
          </w:tcPr>
          <w:p w14:paraId="18696BF1">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移交策划</w:t>
            </w:r>
          </w:p>
        </w:tc>
        <w:tc>
          <w:tcPr>
            <w:tcW w:w="1146" w:type="dxa"/>
            <w:vAlign w:val="center"/>
          </w:tcPr>
          <w:p w14:paraId="1F5EADDB">
            <w:pPr>
              <w:adjustRightInd w:val="0"/>
              <w:snapToGrid w:val="0"/>
              <w:spacing w:before="100" w:beforeAutospacing="1" w:after="100" w:afterAutospacing="1" w:line="240" w:lineRule="auto"/>
              <w:jc w:val="center"/>
              <w:rPr>
                <w:rFonts w:hint="eastAsia" w:asciiTheme="minorHAnsi" w:hAnsiTheme="minorHAnsi" w:eastAsiaTheme="minorEastAsia"/>
                <w:kern w:val="0"/>
                <w:sz w:val="21"/>
                <w:szCs w:val="21"/>
              </w:rPr>
            </w:pPr>
            <w:r>
              <w:rPr>
                <w:rFonts w:ascii="宋体" w:hAnsi="宋体" w:eastAsia="宋体"/>
                <w:kern w:val="0"/>
                <w:sz w:val="21"/>
                <w:szCs w:val="21"/>
              </w:rPr>
              <w:t>10</w:t>
            </w:r>
          </w:p>
        </w:tc>
        <w:tc>
          <w:tcPr>
            <w:tcW w:w="1147" w:type="dxa"/>
            <w:vAlign w:val="center"/>
          </w:tcPr>
          <w:p w14:paraId="0E4071F8">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w:t>
            </w:r>
          </w:p>
        </w:tc>
        <w:tc>
          <w:tcPr>
            <w:tcW w:w="1029" w:type="dxa"/>
            <w:vMerge w:val="continue"/>
            <w:vAlign w:val="center"/>
          </w:tcPr>
          <w:p w14:paraId="5960EE8A">
            <w:pPr>
              <w:adjustRightInd w:val="0"/>
              <w:snapToGrid w:val="0"/>
              <w:spacing w:before="100" w:beforeAutospacing="1" w:after="100" w:afterAutospacing="1" w:line="240" w:lineRule="auto"/>
              <w:jc w:val="center"/>
              <w:rPr>
                <w:rFonts w:hint="eastAsia" w:ascii="宋体" w:hAnsi="宋体" w:eastAsia="宋体"/>
                <w:kern w:val="0"/>
                <w:sz w:val="21"/>
                <w:szCs w:val="21"/>
              </w:rPr>
            </w:pPr>
          </w:p>
        </w:tc>
      </w:tr>
      <w:tr w14:paraId="59C6F50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7" w:hRule="atLeast"/>
          <w:jc w:val="center"/>
        </w:trPr>
        <w:tc>
          <w:tcPr>
            <w:tcW w:w="1301" w:type="dxa"/>
            <w:vMerge w:val="restart"/>
            <w:vAlign w:val="center"/>
          </w:tcPr>
          <w:p w14:paraId="419C6FB6">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绿色</w:t>
            </w:r>
            <w:r>
              <w:rPr>
                <w:rFonts w:ascii="宋体" w:hAnsi="宋体" w:eastAsia="宋体"/>
                <w:kern w:val="0"/>
                <w:sz w:val="21"/>
                <w:szCs w:val="21"/>
              </w:rPr>
              <w:t>设计</w:t>
            </w:r>
          </w:p>
        </w:tc>
        <w:tc>
          <w:tcPr>
            <w:tcW w:w="2706" w:type="dxa"/>
            <w:gridSpan w:val="2"/>
            <w:vAlign w:val="center"/>
          </w:tcPr>
          <w:p w14:paraId="29767B5A">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技术先进</w:t>
            </w:r>
          </w:p>
        </w:tc>
        <w:tc>
          <w:tcPr>
            <w:tcW w:w="1146" w:type="dxa"/>
            <w:vAlign w:val="center"/>
          </w:tcPr>
          <w:p w14:paraId="4166E431">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ascii="宋体" w:hAnsi="宋体" w:eastAsia="宋体"/>
                <w:kern w:val="0"/>
                <w:sz w:val="21"/>
                <w:szCs w:val="21"/>
              </w:rPr>
              <w:t>3</w:t>
            </w:r>
            <w:r>
              <w:rPr>
                <w:rFonts w:hint="eastAsia" w:ascii="宋体" w:hAnsi="宋体" w:eastAsia="宋体"/>
                <w:kern w:val="0"/>
                <w:sz w:val="21"/>
                <w:szCs w:val="21"/>
              </w:rPr>
              <w:t>0</w:t>
            </w:r>
          </w:p>
        </w:tc>
        <w:tc>
          <w:tcPr>
            <w:tcW w:w="1147" w:type="dxa"/>
            <w:vAlign w:val="center"/>
          </w:tcPr>
          <w:p w14:paraId="234D03FE">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w:t>
            </w:r>
          </w:p>
        </w:tc>
        <w:tc>
          <w:tcPr>
            <w:tcW w:w="1029" w:type="dxa"/>
            <w:vMerge w:val="restart"/>
            <w:vAlign w:val="center"/>
          </w:tcPr>
          <w:p w14:paraId="5C9EF918">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ascii="宋体" w:hAnsi="宋体" w:eastAsia="宋体"/>
                <w:kern w:val="0"/>
                <w:sz w:val="21"/>
                <w:szCs w:val="21"/>
              </w:rPr>
              <w:t>3</w:t>
            </w:r>
            <w:r>
              <w:rPr>
                <w:rFonts w:hint="eastAsia" w:ascii="宋体" w:hAnsi="宋体" w:eastAsia="宋体"/>
                <w:kern w:val="0"/>
                <w:sz w:val="21"/>
                <w:szCs w:val="21"/>
              </w:rPr>
              <w:t>0</w:t>
            </w:r>
          </w:p>
        </w:tc>
      </w:tr>
      <w:tr w14:paraId="5845F10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5" w:hRule="atLeast"/>
          <w:jc w:val="center"/>
        </w:trPr>
        <w:tc>
          <w:tcPr>
            <w:tcW w:w="1301" w:type="dxa"/>
            <w:vMerge w:val="continue"/>
            <w:vAlign w:val="center"/>
          </w:tcPr>
          <w:p w14:paraId="40B39358">
            <w:pPr>
              <w:adjustRightInd w:val="0"/>
              <w:snapToGrid w:val="0"/>
              <w:spacing w:before="100" w:beforeAutospacing="1" w:after="100" w:afterAutospacing="1" w:line="240" w:lineRule="auto"/>
              <w:jc w:val="center"/>
              <w:rPr>
                <w:rFonts w:hint="eastAsia" w:ascii="宋体" w:hAnsi="宋体" w:eastAsia="宋体"/>
                <w:kern w:val="0"/>
                <w:sz w:val="21"/>
                <w:szCs w:val="21"/>
              </w:rPr>
            </w:pPr>
          </w:p>
        </w:tc>
        <w:tc>
          <w:tcPr>
            <w:tcW w:w="2706" w:type="dxa"/>
            <w:gridSpan w:val="2"/>
            <w:vAlign w:val="center"/>
          </w:tcPr>
          <w:p w14:paraId="44286378">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资源节约</w:t>
            </w:r>
          </w:p>
        </w:tc>
        <w:tc>
          <w:tcPr>
            <w:tcW w:w="1146" w:type="dxa"/>
            <w:vAlign w:val="center"/>
          </w:tcPr>
          <w:p w14:paraId="5C7CDDE4">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20</w:t>
            </w:r>
          </w:p>
        </w:tc>
        <w:tc>
          <w:tcPr>
            <w:tcW w:w="1147" w:type="dxa"/>
            <w:vAlign w:val="center"/>
          </w:tcPr>
          <w:p w14:paraId="3D5951DD">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w:t>
            </w:r>
          </w:p>
        </w:tc>
        <w:tc>
          <w:tcPr>
            <w:tcW w:w="1029" w:type="dxa"/>
            <w:vMerge w:val="continue"/>
            <w:vAlign w:val="center"/>
          </w:tcPr>
          <w:p w14:paraId="26A6638D">
            <w:pPr>
              <w:adjustRightInd w:val="0"/>
              <w:snapToGrid w:val="0"/>
              <w:spacing w:before="100" w:beforeAutospacing="1" w:after="100" w:afterAutospacing="1" w:line="240" w:lineRule="auto"/>
              <w:jc w:val="center"/>
              <w:rPr>
                <w:rFonts w:hint="eastAsia" w:ascii="宋体" w:hAnsi="宋体" w:eastAsia="宋体"/>
                <w:kern w:val="0"/>
                <w:sz w:val="21"/>
                <w:szCs w:val="21"/>
              </w:rPr>
            </w:pPr>
          </w:p>
        </w:tc>
      </w:tr>
      <w:tr w14:paraId="668229A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5" w:hRule="atLeast"/>
          <w:jc w:val="center"/>
        </w:trPr>
        <w:tc>
          <w:tcPr>
            <w:tcW w:w="1301" w:type="dxa"/>
            <w:vMerge w:val="continue"/>
            <w:vAlign w:val="center"/>
          </w:tcPr>
          <w:p w14:paraId="0E3BE34C">
            <w:pPr>
              <w:adjustRightInd w:val="0"/>
              <w:snapToGrid w:val="0"/>
              <w:spacing w:before="100" w:beforeAutospacing="1" w:after="100" w:afterAutospacing="1" w:line="240" w:lineRule="auto"/>
              <w:jc w:val="center"/>
              <w:rPr>
                <w:rFonts w:hint="eastAsia" w:ascii="宋体" w:hAnsi="宋体" w:eastAsia="宋体"/>
                <w:kern w:val="0"/>
                <w:sz w:val="21"/>
                <w:szCs w:val="21"/>
              </w:rPr>
            </w:pPr>
          </w:p>
        </w:tc>
        <w:tc>
          <w:tcPr>
            <w:tcW w:w="2706" w:type="dxa"/>
            <w:gridSpan w:val="2"/>
            <w:vAlign w:val="center"/>
          </w:tcPr>
          <w:p w14:paraId="2A8BA0F8">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生态</w:t>
            </w:r>
            <w:r>
              <w:rPr>
                <w:rFonts w:ascii="宋体" w:hAnsi="宋体" w:eastAsia="宋体"/>
                <w:kern w:val="0"/>
                <w:sz w:val="21"/>
                <w:szCs w:val="21"/>
              </w:rPr>
              <w:t>环保</w:t>
            </w:r>
          </w:p>
        </w:tc>
        <w:tc>
          <w:tcPr>
            <w:tcW w:w="1146" w:type="dxa"/>
            <w:vAlign w:val="center"/>
          </w:tcPr>
          <w:p w14:paraId="49AB1313">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20</w:t>
            </w:r>
          </w:p>
        </w:tc>
        <w:tc>
          <w:tcPr>
            <w:tcW w:w="1147" w:type="dxa"/>
            <w:vAlign w:val="center"/>
          </w:tcPr>
          <w:p w14:paraId="43079698">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w:t>
            </w:r>
          </w:p>
        </w:tc>
        <w:tc>
          <w:tcPr>
            <w:tcW w:w="1029" w:type="dxa"/>
            <w:vMerge w:val="continue"/>
            <w:vAlign w:val="center"/>
          </w:tcPr>
          <w:p w14:paraId="15292521">
            <w:pPr>
              <w:adjustRightInd w:val="0"/>
              <w:snapToGrid w:val="0"/>
              <w:spacing w:before="100" w:beforeAutospacing="1" w:after="100" w:afterAutospacing="1" w:line="240" w:lineRule="auto"/>
              <w:jc w:val="center"/>
              <w:rPr>
                <w:rFonts w:hint="eastAsia" w:ascii="宋体" w:hAnsi="宋体" w:eastAsia="宋体"/>
                <w:kern w:val="0"/>
                <w:sz w:val="21"/>
                <w:szCs w:val="21"/>
              </w:rPr>
            </w:pPr>
          </w:p>
        </w:tc>
      </w:tr>
      <w:tr w14:paraId="755B118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5" w:hRule="atLeast"/>
          <w:jc w:val="center"/>
        </w:trPr>
        <w:tc>
          <w:tcPr>
            <w:tcW w:w="1301" w:type="dxa"/>
            <w:vMerge w:val="continue"/>
            <w:vAlign w:val="center"/>
          </w:tcPr>
          <w:p w14:paraId="2A8483CC">
            <w:pPr>
              <w:adjustRightInd w:val="0"/>
              <w:snapToGrid w:val="0"/>
              <w:spacing w:before="100" w:beforeAutospacing="1" w:after="100" w:afterAutospacing="1" w:line="240" w:lineRule="auto"/>
              <w:jc w:val="center"/>
              <w:rPr>
                <w:rFonts w:hint="eastAsia" w:ascii="宋体" w:hAnsi="宋体" w:eastAsia="宋体"/>
                <w:kern w:val="0"/>
                <w:sz w:val="21"/>
                <w:szCs w:val="21"/>
              </w:rPr>
            </w:pPr>
          </w:p>
        </w:tc>
        <w:tc>
          <w:tcPr>
            <w:tcW w:w="2706" w:type="dxa"/>
            <w:gridSpan w:val="2"/>
            <w:vAlign w:val="center"/>
          </w:tcPr>
          <w:p w14:paraId="38C0EF51">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综合效益</w:t>
            </w:r>
          </w:p>
        </w:tc>
        <w:tc>
          <w:tcPr>
            <w:tcW w:w="1146" w:type="dxa"/>
            <w:vAlign w:val="center"/>
          </w:tcPr>
          <w:p w14:paraId="5CA9D7D5">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ascii="宋体" w:hAnsi="宋体" w:eastAsia="宋体"/>
                <w:kern w:val="0"/>
                <w:sz w:val="21"/>
                <w:szCs w:val="21"/>
              </w:rPr>
              <w:t>15</w:t>
            </w:r>
          </w:p>
        </w:tc>
        <w:tc>
          <w:tcPr>
            <w:tcW w:w="1147" w:type="dxa"/>
            <w:vAlign w:val="center"/>
          </w:tcPr>
          <w:p w14:paraId="7AC9E54F">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w:t>
            </w:r>
          </w:p>
        </w:tc>
        <w:tc>
          <w:tcPr>
            <w:tcW w:w="1029" w:type="dxa"/>
            <w:vMerge w:val="continue"/>
            <w:vAlign w:val="center"/>
          </w:tcPr>
          <w:p w14:paraId="2E6F0D39">
            <w:pPr>
              <w:adjustRightInd w:val="0"/>
              <w:snapToGrid w:val="0"/>
              <w:spacing w:before="100" w:beforeAutospacing="1" w:after="100" w:afterAutospacing="1" w:line="240" w:lineRule="auto"/>
              <w:jc w:val="center"/>
              <w:rPr>
                <w:rFonts w:hint="eastAsia" w:ascii="宋体" w:hAnsi="宋体" w:eastAsia="宋体"/>
                <w:kern w:val="0"/>
                <w:sz w:val="21"/>
                <w:szCs w:val="21"/>
              </w:rPr>
            </w:pPr>
          </w:p>
        </w:tc>
      </w:tr>
      <w:tr w14:paraId="33C040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5" w:hRule="atLeast"/>
          <w:jc w:val="center"/>
        </w:trPr>
        <w:tc>
          <w:tcPr>
            <w:tcW w:w="1301" w:type="dxa"/>
            <w:vMerge w:val="continue"/>
            <w:vAlign w:val="center"/>
          </w:tcPr>
          <w:p w14:paraId="41BD6A39">
            <w:pPr>
              <w:adjustRightInd w:val="0"/>
              <w:snapToGrid w:val="0"/>
              <w:spacing w:before="100" w:beforeAutospacing="1" w:after="100" w:afterAutospacing="1" w:line="240" w:lineRule="auto"/>
              <w:jc w:val="center"/>
              <w:rPr>
                <w:rFonts w:hint="eastAsia" w:ascii="宋体" w:hAnsi="宋体" w:eastAsia="宋体"/>
                <w:kern w:val="0"/>
                <w:sz w:val="21"/>
                <w:szCs w:val="21"/>
              </w:rPr>
            </w:pPr>
          </w:p>
        </w:tc>
        <w:tc>
          <w:tcPr>
            <w:tcW w:w="2706" w:type="dxa"/>
            <w:gridSpan w:val="2"/>
            <w:vAlign w:val="center"/>
          </w:tcPr>
          <w:p w14:paraId="1AA0ED71">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科技</w:t>
            </w:r>
            <w:r>
              <w:rPr>
                <w:rFonts w:ascii="宋体" w:hAnsi="宋体" w:eastAsia="宋体"/>
                <w:kern w:val="0"/>
                <w:sz w:val="21"/>
                <w:szCs w:val="21"/>
              </w:rPr>
              <w:t>创新</w:t>
            </w:r>
          </w:p>
        </w:tc>
        <w:tc>
          <w:tcPr>
            <w:tcW w:w="1146" w:type="dxa"/>
            <w:vAlign w:val="center"/>
          </w:tcPr>
          <w:p w14:paraId="2AC1CEA3">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ascii="宋体" w:hAnsi="宋体" w:eastAsia="宋体"/>
                <w:kern w:val="0"/>
                <w:sz w:val="21"/>
                <w:szCs w:val="21"/>
              </w:rPr>
              <w:t>15</w:t>
            </w:r>
          </w:p>
        </w:tc>
        <w:tc>
          <w:tcPr>
            <w:tcW w:w="1147" w:type="dxa"/>
            <w:vAlign w:val="center"/>
          </w:tcPr>
          <w:p w14:paraId="6820FABC">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w:t>
            </w:r>
          </w:p>
        </w:tc>
        <w:tc>
          <w:tcPr>
            <w:tcW w:w="1029" w:type="dxa"/>
            <w:vMerge w:val="continue"/>
            <w:vAlign w:val="center"/>
          </w:tcPr>
          <w:p w14:paraId="543FEEFD">
            <w:pPr>
              <w:adjustRightInd w:val="0"/>
              <w:snapToGrid w:val="0"/>
              <w:spacing w:before="100" w:beforeAutospacing="1" w:after="100" w:afterAutospacing="1" w:line="240" w:lineRule="auto"/>
              <w:jc w:val="center"/>
              <w:rPr>
                <w:rFonts w:hint="eastAsia" w:ascii="宋体" w:hAnsi="宋体" w:eastAsia="宋体"/>
                <w:kern w:val="0"/>
                <w:sz w:val="21"/>
                <w:szCs w:val="21"/>
              </w:rPr>
            </w:pPr>
          </w:p>
        </w:tc>
      </w:tr>
      <w:tr w14:paraId="14590B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1" w:hRule="atLeast"/>
          <w:jc w:val="center"/>
        </w:trPr>
        <w:tc>
          <w:tcPr>
            <w:tcW w:w="1301" w:type="dxa"/>
            <w:vMerge w:val="restart"/>
            <w:vAlign w:val="center"/>
          </w:tcPr>
          <w:p w14:paraId="71884001">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绿色施工</w:t>
            </w:r>
          </w:p>
        </w:tc>
        <w:tc>
          <w:tcPr>
            <w:tcW w:w="2706" w:type="dxa"/>
            <w:gridSpan w:val="2"/>
            <w:vAlign w:val="center"/>
          </w:tcPr>
          <w:p w14:paraId="130C5A21">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color w:val="000000" w:themeColor="text1"/>
                <w:kern w:val="0"/>
                <w:sz w:val="21"/>
                <w:szCs w:val="21"/>
                <w14:textFill>
                  <w14:solidFill>
                    <w14:schemeClr w14:val="tx1"/>
                  </w14:solidFill>
                </w14:textFill>
              </w:rPr>
              <w:t>管理科学</w:t>
            </w:r>
          </w:p>
        </w:tc>
        <w:tc>
          <w:tcPr>
            <w:tcW w:w="1146" w:type="dxa"/>
            <w:vAlign w:val="center"/>
          </w:tcPr>
          <w:p w14:paraId="5BEA6FE4">
            <w:pPr>
              <w:adjustRightInd w:val="0"/>
              <w:snapToGrid w:val="0"/>
              <w:spacing w:before="100" w:beforeAutospacing="1" w:after="100" w:afterAutospacing="1" w:line="240" w:lineRule="auto"/>
              <w:jc w:val="center"/>
              <w:rPr>
                <w:rFonts w:hint="eastAsia" w:asciiTheme="minorHAnsi" w:hAnsiTheme="minorHAnsi" w:eastAsiaTheme="minorEastAsia"/>
                <w:kern w:val="0"/>
                <w:sz w:val="21"/>
                <w:szCs w:val="21"/>
              </w:rPr>
            </w:pPr>
            <w:r>
              <w:rPr>
                <w:rFonts w:hint="eastAsia" w:ascii="宋体" w:hAnsi="宋体" w:eastAsia="宋体"/>
                <w:kern w:val="0"/>
                <w:sz w:val="21"/>
                <w:szCs w:val="21"/>
              </w:rPr>
              <w:t>10</w:t>
            </w:r>
          </w:p>
        </w:tc>
        <w:tc>
          <w:tcPr>
            <w:tcW w:w="1147" w:type="dxa"/>
            <w:vAlign w:val="center"/>
          </w:tcPr>
          <w:p w14:paraId="4BD357BE">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w:t>
            </w:r>
          </w:p>
        </w:tc>
        <w:tc>
          <w:tcPr>
            <w:tcW w:w="1029" w:type="dxa"/>
            <w:vMerge w:val="restart"/>
            <w:vAlign w:val="center"/>
          </w:tcPr>
          <w:p w14:paraId="05D9ECAB">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ascii="宋体" w:hAnsi="宋体" w:eastAsia="宋体"/>
                <w:kern w:val="0"/>
                <w:sz w:val="21"/>
                <w:szCs w:val="21"/>
              </w:rPr>
              <w:t>40</w:t>
            </w:r>
          </w:p>
        </w:tc>
      </w:tr>
      <w:tr w14:paraId="37BD14C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1" w:hRule="atLeast"/>
          <w:jc w:val="center"/>
        </w:trPr>
        <w:tc>
          <w:tcPr>
            <w:tcW w:w="1301" w:type="dxa"/>
            <w:vMerge w:val="continue"/>
            <w:vAlign w:val="center"/>
          </w:tcPr>
          <w:p w14:paraId="3708DA25">
            <w:pPr>
              <w:adjustRightInd w:val="0"/>
              <w:snapToGrid w:val="0"/>
              <w:spacing w:before="100" w:beforeAutospacing="1" w:after="100" w:afterAutospacing="1" w:line="240" w:lineRule="auto"/>
              <w:jc w:val="center"/>
              <w:rPr>
                <w:rFonts w:hint="eastAsia" w:ascii="宋体" w:hAnsi="宋体" w:eastAsia="宋体"/>
                <w:kern w:val="0"/>
                <w:sz w:val="21"/>
                <w:szCs w:val="21"/>
              </w:rPr>
            </w:pPr>
          </w:p>
        </w:tc>
        <w:tc>
          <w:tcPr>
            <w:tcW w:w="2706" w:type="dxa"/>
            <w:gridSpan w:val="2"/>
            <w:vAlign w:val="center"/>
          </w:tcPr>
          <w:p w14:paraId="69A585AC">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ascii="宋体" w:hAnsi="宋体" w:eastAsia="宋体"/>
                <w:color w:val="000000" w:themeColor="text1"/>
                <w:kern w:val="0"/>
                <w:sz w:val="21"/>
                <w:szCs w:val="21"/>
                <w14:textFill>
                  <w14:solidFill>
                    <w14:schemeClr w14:val="tx1"/>
                  </w14:solidFill>
                </w14:textFill>
              </w:rPr>
              <w:t>安全</w:t>
            </w:r>
            <w:r>
              <w:rPr>
                <w:rFonts w:hint="eastAsia" w:ascii="宋体" w:hAnsi="宋体" w:eastAsia="宋体"/>
                <w:color w:val="000000" w:themeColor="text1"/>
                <w:kern w:val="0"/>
                <w:sz w:val="21"/>
                <w:szCs w:val="21"/>
                <w14:textFill>
                  <w14:solidFill>
                    <w14:schemeClr w14:val="tx1"/>
                  </w14:solidFill>
                </w14:textFill>
              </w:rPr>
              <w:t>环保</w:t>
            </w:r>
          </w:p>
        </w:tc>
        <w:tc>
          <w:tcPr>
            <w:tcW w:w="1146" w:type="dxa"/>
            <w:vAlign w:val="center"/>
          </w:tcPr>
          <w:p w14:paraId="0E05F539">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ascii="宋体" w:hAnsi="宋体" w:eastAsia="宋体" w:cs="Times New Roman"/>
                <w:kern w:val="0"/>
                <w:sz w:val="21"/>
                <w:szCs w:val="21"/>
              </w:rPr>
              <w:t>25</w:t>
            </w:r>
          </w:p>
        </w:tc>
        <w:tc>
          <w:tcPr>
            <w:tcW w:w="1147" w:type="dxa"/>
            <w:vAlign w:val="center"/>
          </w:tcPr>
          <w:p w14:paraId="159D481A">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ascii="宋体" w:hAnsi="宋体" w:eastAsia="宋体" w:cs="Times New Roman"/>
                <w:kern w:val="0"/>
                <w:sz w:val="21"/>
                <w:szCs w:val="21"/>
              </w:rPr>
              <w:t>5</w:t>
            </w:r>
          </w:p>
        </w:tc>
        <w:tc>
          <w:tcPr>
            <w:tcW w:w="1029" w:type="dxa"/>
            <w:vMerge w:val="continue"/>
            <w:vAlign w:val="center"/>
          </w:tcPr>
          <w:p w14:paraId="4DE3D05B">
            <w:pPr>
              <w:adjustRightInd w:val="0"/>
              <w:snapToGrid w:val="0"/>
              <w:spacing w:before="100" w:beforeAutospacing="1" w:after="100" w:afterAutospacing="1" w:line="240" w:lineRule="auto"/>
              <w:jc w:val="center"/>
              <w:rPr>
                <w:rFonts w:hint="eastAsia" w:ascii="宋体" w:hAnsi="宋体" w:eastAsia="宋体"/>
                <w:kern w:val="0"/>
                <w:sz w:val="21"/>
                <w:szCs w:val="21"/>
              </w:rPr>
            </w:pPr>
          </w:p>
        </w:tc>
      </w:tr>
      <w:tr w14:paraId="631CD1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 w:hRule="atLeast"/>
          <w:jc w:val="center"/>
        </w:trPr>
        <w:tc>
          <w:tcPr>
            <w:tcW w:w="1301" w:type="dxa"/>
            <w:vMerge w:val="continue"/>
            <w:vAlign w:val="center"/>
          </w:tcPr>
          <w:p w14:paraId="6BD277A5">
            <w:pPr>
              <w:adjustRightInd w:val="0"/>
              <w:snapToGrid w:val="0"/>
              <w:spacing w:before="100" w:beforeAutospacing="1" w:after="100" w:afterAutospacing="1" w:line="240" w:lineRule="auto"/>
              <w:jc w:val="center"/>
              <w:rPr>
                <w:rFonts w:hint="eastAsia" w:ascii="宋体" w:hAnsi="宋体" w:eastAsia="宋体"/>
                <w:kern w:val="0"/>
                <w:sz w:val="21"/>
                <w:szCs w:val="21"/>
              </w:rPr>
            </w:pPr>
          </w:p>
        </w:tc>
        <w:tc>
          <w:tcPr>
            <w:tcW w:w="1156" w:type="dxa"/>
            <w:vMerge w:val="restart"/>
            <w:vAlign w:val="center"/>
          </w:tcPr>
          <w:p w14:paraId="0444E9FC">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color w:val="000000" w:themeColor="text1"/>
                <w:kern w:val="0"/>
                <w:sz w:val="21"/>
                <w:szCs w:val="21"/>
                <w14:textFill>
                  <w14:solidFill>
                    <w14:schemeClr w14:val="tx1"/>
                  </w14:solidFill>
                </w14:textFill>
              </w:rPr>
              <w:t>资源</w:t>
            </w:r>
            <w:r>
              <w:rPr>
                <w:rFonts w:ascii="宋体" w:hAnsi="宋体" w:eastAsia="宋体"/>
                <w:color w:val="000000" w:themeColor="text1"/>
                <w:kern w:val="0"/>
                <w:sz w:val="21"/>
                <w:szCs w:val="21"/>
                <w14:textFill>
                  <w14:solidFill>
                    <w14:schemeClr w14:val="tx1"/>
                  </w14:solidFill>
                </w14:textFill>
              </w:rPr>
              <w:t>节约</w:t>
            </w:r>
          </w:p>
        </w:tc>
        <w:tc>
          <w:tcPr>
            <w:tcW w:w="1550" w:type="dxa"/>
            <w:vAlign w:val="center"/>
          </w:tcPr>
          <w:p w14:paraId="62D11188">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cs="Times New Roman"/>
                <w:color w:val="000000" w:themeColor="text1"/>
                <w:kern w:val="0"/>
                <w:sz w:val="21"/>
                <w:szCs w:val="21"/>
                <w14:textFill>
                  <w14:solidFill>
                    <w14:schemeClr w14:val="tx1"/>
                  </w14:solidFill>
                </w14:textFill>
              </w:rPr>
              <w:t>材料节约与循环利用</w:t>
            </w:r>
          </w:p>
        </w:tc>
        <w:tc>
          <w:tcPr>
            <w:tcW w:w="1146" w:type="dxa"/>
            <w:vAlign w:val="center"/>
          </w:tcPr>
          <w:p w14:paraId="099A75F6">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cs="Times New Roman"/>
                <w:kern w:val="0"/>
                <w:sz w:val="21"/>
                <w:szCs w:val="21"/>
              </w:rPr>
              <w:t>8</w:t>
            </w:r>
          </w:p>
        </w:tc>
        <w:tc>
          <w:tcPr>
            <w:tcW w:w="1147" w:type="dxa"/>
            <w:vAlign w:val="center"/>
          </w:tcPr>
          <w:p w14:paraId="05AC12E5">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cs="Times New Roman"/>
                <w:kern w:val="0"/>
                <w:sz w:val="21"/>
                <w:szCs w:val="21"/>
              </w:rPr>
              <w:t>2</w:t>
            </w:r>
          </w:p>
        </w:tc>
        <w:tc>
          <w:tcPr>
            <w:tcW w:w="1029" w:type="dxa"/>
            <w:vMerge w:val="continue"/>
            <w:vAlign w:val="center"/>
          </w:tcPr>
          <w:p w14:paraId="355D9B55">
            <w:pPr>
              <w:adjustRightInd w:val="0"/>
              <w:snapToGrid w:val="0"/>
              <w:spacing w:before="100" w:beforeAutospacing="1" w:after="100" w:afterAutospacing="1" w:line="240" w:lineRule="auto"/>
              <w:jc w:val="center"/>
              <w:rPr>
                <w:rFonts w:hint="eastAsia" w:ascii="宋体" w:hAnsi="宋体" w:eastAsia="宋体"/>
                <w:kern w:val="0"/>
                <w:sz w:val="21"/>
                <w:szCs w:val="21"/>
              </w:rPr>
            </w:pPr>
          </w:p>
        </w:tc>
      </w:tr>
      <w:tr w14:paraId="520879C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 w:hRule="atLeast"/>
          <w:jc w:val="center"/>
        </w:trPr>
        <w:tc>
          <w:tcPr>
            <w:tcW w:w="1301" w:type="dxa"/>
            <w:vMerge w:val="continue"/>
            <w:vAlign w:val="center"/>
          </w:tcPr>
          <w:p w14:paraId="63AEB7A8">
            <w:pPr>
              <w:adjustRightInd w:val="0"/>
              <w:snapToGrid w:val="0"/>
              <w:spacing w:before="100" w:beforeAutospacing="1" w:after="100" w:afterAutospacing="1" w:line="240" w:lineRule="auto"/>
              <w:jc w:val="center"/>
              <w:rPr>
                <w:rFonts w:hint="eastAsia" w:ascii="宋体" w:hAnsi="宋体" w:eastAsia="宋体"/>
                <w:kern w:val="0"/>
                <w:sz w:val="21"/>
                <w:szCs w:val="21"/>
              </w:rPr>
            </w:pPr>
          </w:p>
        </w:tc>
        <w:tc>
          <w:tcPr>
            <w:tcW w:w="1156" w:type="dxa"/>
            <w:vMerge w:val="continue"/>
            <w:vAlign w:val="center"/>
          </w:tcPr>
          <w:p w14:paraId="40C88F35">
            <w:pPr>
              <w:adjustRightInd w:val="0"/>
              <w:snapToGrid w:val="0"/>
              <w:spacing w:before="100" w:beforeAutospacing="1" w:after="100" w:afterAutospacing="1" w:line="240" w:lineRule="auto"/>
              <w:jc w:val="center"/>
              <w:rPr>
                <w:rFonts w:hint="eastAsia" w:ascii="宋体" w:hAnsi="宋体" w:eastAsia="宋体"/>
                <w:color w:val="000000" w:themeColor="text1"/>
                <w:kern w:val="0"/>
                <w:sz w:val="21"/>
                <w:szCs w:val="21"/>
                <w14:textFill>
                  <w14:solidFill>
                    <w14:schemeClr w14:val="tx1"/>
                  </w14:solidFill>
                </w14:textFill>
              </w:rPr>
            </w:pPr>
          </w:p>
        </w:tc>
        <w:tc>
          <w:tcPr>
            <w:tcW w:w="1550" w:type="dxa"/>
            <w:vAlign w:val="center"/>
          </w:tcPr>
          <w:p w14:paraId="692AC2A9">
            <w:pPr>
              <w:adjustRightInd w:val="0"/>
              <w:snapToGrid w:val="0"/>
              <w:spacing w:before="100" w:beforeAutospacing="1" w:after="100" w:afterAutospacing="1" w:line="240" w:lineRule="auto"/>
              <w:jc w:val="center"/>
              <w:rPr>
                <w:rFonts w:hint="eastAsia" w:ascii="宋体" w:hAnsi="宋体" w:eastAsia="宋体"/>
                <w:color w:val="000000" w:themeColor="text1"/>
                <w:kern w:val="0"/>
                <w:sz w:val="21"/>
                <w:szCs w:val="21"/>
                <w14:textFill>
                  <w14:solidFill>
                    <w14:schemeClr w14:val="tx1"/>
                  </w14:solidFill>
                </w14:textFill>
              </w:rPr>
            </w:pPr>
            <w:r>
              <w:rPr>
                <w:rFonts w:hint="eastAsia" w:ascii="宋体" w:hAnsi="宋体" w:eastAsia="宋体" w:cs="Times New Roman"/>
                <w:color w:val="000000" w:themeColor="text1"/>
                <w:kern w:val="0"/>
                <w:sz w:val="21"/>
                <w:szCs w:val="21"/>
                <w14:textFill>
                  <w14:solidFill>
                    <w14:schemeClr w14:val="tx1"/>
                  </w14:solidFill>
                </w14:textFill>
              </w:rPr>
              <w:t>建筑垃圾控制与循环利用</w:t>
            </w:r>
          </w:p>
        </w:tc>
        <w:tc>
          <w:tcPr>
            <w:tcW w:w="1146" w:type="dxa"/>
            <w:vAlign w:val="center"/>
          </w:tcPr>
          <w:p w14:paraId="287AC881">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ascii="宋体" w:hAnsi="宋体" w:eastAsia="宋体" w:cs="Times New Roman"/>
                <w:kern w:val="0"/>
                <w:sz w:val="21"/>
                <w:szCs w:val="21"/>
              </w:rPr>
              <w:t>8</w:t>
            </w:r>
          </w:p>
        </w:tc>
        <w:tc>
          <w:tcPr>
            <w:tcW w:w="1147" w:type="dxa"/>
            <w:vAlign w:val="center"/>
          </w:tcPr>
          <w:p w14:paraId="096AC10D">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ascii="宋体" w:hAnsi="宋体" w:eastAsia="宋体" w:cs="Times New Roman"/>
                <w:kern w:val="0"/>
                <w:sz w:val="21"/>
                <w:szCs w:val="21"/>
              </w:rPr>
              <w:t>2</w:t>
            </w:r>
          </w:p>
        </w:tc>
        <w:tc>
          <w:tcPr>
            <w:tcW w:w="1029" w:type="dxa"/>
            <w:vMerge w:val="continue"/>
            <w:vAlign w:val="center"/>
          </w:tcPr>
          <w:p w14:paraId="5F7CCE70">
            <w:pPr>
              <w:adjustRightInd w:val="0"/>
              <w:snapToGrid w:val="0"/>
              <w:spacing w:before="100" w:beforeAutospacing="1" w:after="100" w:afterAutospacing="1" w:line="240" w:lineRule="auto"/>
              <w:jc w:val="center"/>
              <w:rPr>
                <w:rFonts w:hint="eastAsia" w:ascii="宋体" w:hAnsi="宋体" w:eastAsia="宋体"/>
                <w:color w:val="000000" w:themeColor="text1"/>
                <w:kern w:val="0"/>
                <w:sz w:val="21"/>
                <w:szCs w:val="21"/>
                <w14:textFill>
                  <w14:solidFill>
                    <w14:schemeClr w14:val="tx1"/>
                  </w14:solidFill>
                </w14:textFill>
              </w:rPr>
            </w:pPr>
          </w:p>
        </w:tc>
      </w:tr>
      <w:tr w14:paraId="106115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 w:hRule="atLeast"/>
          <w:jc w:val="center"/>
        </w:trPr>
        <w:tc>
          <w:tcPr>
            <w:tcW w:w="1301" w:type="dxa"/>
            <w:vMerge w:val="continue"/>
            <w:vAlign w:val="center"/>
          </w:tcPr>
          <w:p w14:paraId="2A358285">
            <w:pPr>
              <w:adjustRightInd w:val="0"/>
              <w:snapToGrid w:val="0"/>
              <w:spacing w:before="100" w:beforeAutospacing="1" w:after="100" w:afterAutospacing="1" w:line="240" w:lineRule="auto"/>
              <w:jc w:val="center"/>
              <w:rPr>
                <w:rFonts w:hint="eastAsia" w:ascii="宋体" w:hAnsi="宋体" w:eastAsia="宋体"/>
                <w:kern w:val="0"/>
                <w:sz w:val="21"/>
                <w:szCs w:val="21"/>
              </w:rPr>
            </w:pPr>
          </w:p>
        </w:tc>
        <w:tc>
          <w:tcPr>
            <w:tcW w:w="1156" w:type="dxa"/>
            <w:vMerge w:val="continue"/>
            <w:vAlign w:val="center"/>
          </w:tcPr>
          <w:p w14:paraId="61DCE202">
            <w:pPr>
              <w:adjustRightInd w:val="0"/>
              <w:snapToGrid w:val="0"/>
              <w:spacing w:before="100" w:beforeAutospacing="1" w:after="100" w:afterAutospacing="1" w:line="240" w:lineRule="auto"/>
              <w:jc w:val="center"/>
              <w:rPr>
                <w:rFonts w:hint="eastAsia" w:ascii="宋体" w:hAnsi="宋体" w:eastAsia="宋体"/>
                <w:color w:val="000000" w:themeColor="text1"/>
                <w:kern w:val="0"/>
                <w:sz w:val="21"/>
                <w:szCs w:val="21"/>
                <w14:textFill>
                  <w14:solidFill>
                    <w14:schemeClr w14:val="tx1"/>
                  </w14:solidFill>
                </w14:textFill>
              </w:rPr>
            </w:pPr>
          </w:p>
        </w:tc>
        <w:tc>
          <w:tcPr>
            <w:tcW w:w="1550" w:type="dxa"/>
            <w:vAlign w:val="center"/>
          </w:tcPr>
          <w:p w14:paraId="71D761AE">
            <w:pPr>
              <w:adjustRightInd w:val="0"/>
              <w:snapToGrid w:val="0"/>
              <w:spacing w:before="100" w:beforeAutospacing="1" w:after="100" w:afterAutospacing="1" w:line="240" w:lineRule="auto"/>
              <w:jc w:val="center"/>
              <w:rPr>
                <w:rFonts w:hint="eastAsia" w:ascii="宋体" w:hAnsi="宋体" w:eastAsia="宋体"/>
                <w:color w:val="000000" w:themeColor="text1"/>
                <w:kern w:val="0"/>
                <w:sz w:val="21"/>
                <w:szCs w:val="21"/>
                <w14:textFill>
                  <w14:solidFill>
                    <w14:schemeClr w14:val="tx1"/>
                  </w14:solidFill>
                </w14:textFill>
              </w:rPr>
            </w:pPr>
            <w:r>
              <w:rPr>
                <w:rFonts w:hint="eastAsia" w:ascii="宋体" w:hAnsi="宋体" w:eastAsia="宋体" w:cs="Times New Roman"/>
                <w:color w:val="000000" w:themeColor="text1"/>
                <w:kern w:val="0"/>
                <w:sz w:val="21"/>
                <w:szCs w:val="21"/>
                <w14:textFill>
                  <w14:solidFill>
                    <w14:schemeClr w14:val="tx1"/>
                  </w14:solidFill>
                </w14:textFill>
              </w:rPr>
              <w:t>水资源节约与循环利用</w:t>
            </w:r>
          </w:p>
        </w:tc>
        <w:tc>
          <w:tcPr>
            <w:tcW w:w="1146" w:type="dxa"/>
            <w:vAlign w:val="center"/>
          </w:tcPr>
          <w:p w14:paraId="6ECB532F">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ascii="宋体" w:hAnsi="宋体" w:eastAsia="宋体" w:cs="Times New Roman"/>
                <w:kern w:val="0"/>
                <w:sz w:val="21"/>
                <w:szCs w:val="21"/>
              </w:rPr>
              <w:t>5</w:t>
            </w:r>
          </w:p>
        </w:tc>
        <w:tc>
          <w:tcPr>
            <w:tcW w:w="1147" w:type="dxa"/>
            <w:vAlign w:val="center"/>
          </w:tcPr>
          <w:p w14:paraId="09431F66">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cs="Times New Roman"/>
                <w:kern w:val="0"/>
                <w:sz w:val="21"/>
                <w:szCs w:val="21"/>
              </w:rPr>
              <w:t>2</w:t>
            </w:r>
          </w:p>
        </w:tc>
        <w:tc>
          <w:tcPr>
            <w:tcW w:w="1029" w:type="dxa"/>
            <w:vMerge w:val="continue"/>
            <w:vAlign w:val="center"/>
          </w:tcPr>
          <w:p w14:paraId="6F184021">
            <w:pPr>
              <w:adjustRightInd w:val="0"/>
              <w:snapToGrid w:val="0"/>
              <w:spacing w:before="100" w:beforeAutospacing="1" w:after="100" w:afterAutospacing="1" w:line="240" w:lineRule="auto"/>
              <w:jc w:val="center"/>
              <w:rPr>
                <w:rFonts w:hint="eastAsia" w:ascii="宋体" w:hAnsi="宋体" w:eastAsia="宋体"/>
                <w:color w:val="000000" w:themeColor="text1"/>
                <w:kern w:val="0"/>
                <w:sz w:val="21"/>
                <w:szCs w:val="21"/>
                <w14:textFill>
                  <w14:solidFill>
                    <w14:schemeClr w14:val="tx1"/>
                  </w14:solidFill>
                </w14:textFill>
              </w:rPr>
            </w:pPr>
          </w:p>
        </w:tc>
      </w:tr>
      <w:tr w14:paraId="167FD6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 w:hRule="atLeast"/>
          <w:jc w:val="center"/>
        </w:trPr>
        <w:tc>
          <w:tcPr>
            <w:tcW w:w="1301" w:type="dxa"/>
            <w:vMerge w:val="continue"/>
            <w:vAlign w:val="center"/>
          </w:tcPr>
          <w:p w14:paraId="777125ED">
            <w:pPr>
              <w:adjustRightInd w:val="0"/>
              <w:snapToGrid w:val="0"/>
              <w:spacing w:before="100" w:beforeAutospacing="1" w:after="100" w:afterAutospacing="1" w:line="240" w:lineRule="auto"/>
              <w:jc w:val="center"/>
              <w:rPr>
                <w:rFonts w:hint="eastAsia" w:ascii="宋体" w:hAnsi="宋体" w:eastAsia="宋体"/>
                <w:kern w:val="0"/>
                <w:sz w:val="21"/>
                <w:szCs w:val="21"/>
              </w:rPr>
            </w:pPr>
          </w:p>
        </w:tc>
        <w:tc>
          <w:tcPr>
            <w:tcW w:w="1156" w:type="dxa"/>
            <w:vMerge w:val="continue"/>
            <w:vAlign w:val="center"/>
          </w:tcPr>
          <w:p w14:paraId="4AC8FA9F">
            <w:pPr>
              <w:adjustRightInd w:val="0"/>
              <w:snapToGrid w:val="0"/>
              <w:spacing w:before="100" w:beforeAutospacing="1" w:after="100" w:afterAutospacing="1" w:line="240" w:lineRule="auto"/>
              <w:jc w:val="center"/>
              <w:rPr>
                <w:rFonts w:hint="eastAsia" w:ascii="宋体" w:hAnsi="宋体" w:eastAsia="宋体"/>
                <w:color w:val="000000" w:themeColor="text1"/>
                <w:kern w:val="0"/>
                <w:sz w:val="21"/>
                <w:szCs w:val="21"/>
                <w14:textFill>
                  <w14:solidFill>
                    <w14:schemeClr w14:val="tx1"/>
                  </w14:solidFill>
                </w14:textFill>
              </w:rPr>
            </w:pPr>
          </w:p>
        </w:tc>
        <w:tc>
          <w:tcPr>
            <w:tcW w:w="1550" w:type="dxa"/>
            <w:vAlign w:val="center"/>
          </w:tcPr>
          <w:p w14:paraId="1B43739D">
            <w:pPr>
              <w:adjustRightInd w:val="0"/>
              <w:snapToGrid w:val="0"/>
              <w:spacing w:before="100" w:beforeAutospacing="1" w:after="100" w:afterAutospacing="1" w:line="240" w:lineRule="auto"/>
              <w:jc w:val="center"/>
              <w:rPr>
                <w:rFonts w:hint="eastAsia" w:ascii="宋体" w:hAnsi="宋体" w:eastAsia="宋体"/>
                <w:color w:val="000000" w:themeColor="text1"/>
                <w:kern w:val="0"/>
                <w:sz w:val="21"/>
                <w:szCs w:val="21"/>
                <w14:textFill>
                  <w14:solidFill>
                    <w14:schemeClr w14:val="tx1"/>
                  </w14:solidFill>
                </w14:textFill>
              </w:rPr>
            </w:pPr>
            <w:r>
              <w:rPr>
                <w:rFonts w:hint="eastAsia" w:ascii="宋体" w:hAnsi="宋体" w:eastAsia="宋体" w:cs="Times New Roman"/>
                <w:color w:val="000000" w:themeColor="text1"/>
                <w:kern w:val="0"/>
                <w:sz w:val="21"/>
                <w:szCs w:val="21"/>
                <w14:textFill>
                  <w14:solidFill>
                    <w14:schemeClr w14:val="tx1"/>
                  </w14:solidFill>
                </w14:textFill>
              </w:rPr>
              <w:t>能源节约与高效利用</w:t>
            </w:r>
          </w:p>
        </w:tc>
        <w:tc>
          <w:tcPr>
            <w:tcW w:w="1146" w:type="dxa"/>
            <w:vAlign w:val="center"/>
          </w:tcPr>
          <w:p w14:paraId="05B71D50">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ascii="宋体" w:hAnsi="宋体" w:eastAsia="宋体" w:cs="Times New Roman"/>
                <w:kern w:val="0"/>
                <w:sz w:val="21"/>
                <w:szCs w:val="21"/>
              </w:rPr>
              <w:t>5</w:t>
            </w:r>
          </w:p>
        </w:tc>
        <w:tc>
          <w:tcPr>
            <w:tcW w:w="1147" w:type="dxa"/>
            <w:vAlign w:val="center"/>
          </w:tcPr>
          <w:p w14:paraId="5CEC4048">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cs="Times New Roman"/>
                <w:kern w:val="0"/>
                <w:sz w:val="21"/>
                <w:szCs w:val="21"/>
              </w:rPr>
              <w:t>2</w:t>
            </w:r>
          </w:p>
        </w:tc>
        <w:tc>
          <w:tcPr>
            <w:tcW w:w="1029" w:type="dxa"/>
            <w:vMerge w:val="continue"/>
            <w:vAlign w:val="center"/>
          </w:tcPr>
          <w:p w14:paraId="6E6AE92A">
            <w:pPr>
              <w:adjustRightInd w:val="0"/>
              <w:snapToGrid w:val="0"/>
              <w:spacing w:before="100" w:beforeAutospacing="1" w:after="100" w:afterAutospacing="1" w:line="240" w:lineRule="auto"/>
              <w:jc w:val="center"/>
              <w:rPr>
                <w:rFonts w:hint="eastAsia" w:ascii="宋体" w:hAnsi="宋体" w:eastAsia="宋体"/>
                <w:color w:val="000000" w:themeColor="text1"/>
                <w:kern w:val="0"/>
                <w:sz w:val="21"/>
                <w:szCs w:val="21"/>
                <w14:textFill>
                  <w14:solidFill>
                    <w14:schemeClr w14:val="tx1"/>
                  </w14:solidFill>
                </w14:textFill>
              </w:rPr>
            </w:pPr>
          </w:p>
        </w:tc>
      </w:tr>
      <w:tr w14:paraId="4069000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 w:hRule="atLeast"/>
          <w:jc w:val="center"/>
        </w:trPr>
        <w:tc>
          <w:tcPr>
            <w:tcW w:w="1301" w:type="dxa"/>
            <w:vMerge w:val="continue"/>
            <w:vAlign w:val="center"/>
          </w:tcPr>
          <w:p w14:paraId="41505D9F">
            <w:pPr>
              <w:adjustRightInd w:val="0"/>
              <w:snapToGrid w:val="0"/>
              <w:spacing w:before="100" w:beforeAutospacing="1" w:after="100" w:afterAutospacing="1" w:line="240" w:lineRule="auto"/>
              <w:jc w:val="center"/>
              <w:rPr>
                <w:rFonts w:hint="eastAsia" w:ascii="宋体" w:hAnsi="宋体" w:eastAsia="宋体"/>
                <w:kern w:val="0"/>
                <w:sz w:val="21"/>
                <w:szCs w:val="21"/>
              </w:rPr>
            </w:pPr>
          </w:p>
        </w:tc>
        <w:tc>
          <w:tcPr>
            <w:tcW w:w="1156" w:type="dxa"/>
            <w:vMerge w:val="continue"/>
            <w:vAlign w:val="center"/>
          </w:tcPr>
          <w:p w14:paraId="43246571">
            <w:pPr>
              <w:adjustRightInd w:val="0"/>
              <w:snapToGrid w:val="0"/>
              <w:spacing w:before="100" w:beforeAutospacing="1" w:after="100" w:afterAutospacing="1" w:line="240" w:lineRule="auto"/>
              <w:jc w:val="center"/>
              <w:rPr>
                <w:rFonts w:hint="eastAsia" w:ascii="宋体" w:hAnsi="宋体" w:eastAsia="宋体"/>
                <w:color w:val="000000" w:themeColor="text1"/>
                <w:kern w:val="0"/>
                <w:sz w:val="21"/>
                <w:szCs w:val="21"/>
                <w14:textFill>
                  <w14:solidFill>
                    <w14:schemeClr w14:val="tx1"/>
                  </w14:solidFill>
                </w14:textFill>
              </w:rPr>
            </w:pPr>
          </w:p>
        </w:tc>
        <w:tc>
          <w:tcPr>
            <w:tcW w:w="1550" w:type="dxa"/>
            <w:vAlign w:val="center"/>
          </w:tcPr>
          <w:p w14:paraId="6654813B">
            <w:pPr>
              <w:adjustRightInd w:val="0"/>
              <w:snapToGrid w:val="0"/>
              <w:spacing w:before="100" w:beforeAutospacing="1" w:after="100" w:afterAutospacing="1" w:line="240" w:lineRule="auto"/>
              <w:jc w:val="center"/>
              <w:rPr>
                <w:rFonts w:hint="eastAsia" w:ascii="宋体" w:hAnsi="宋体" w:eastAsia="宋体" w:cs="Times New Roman"/>
                <w:color w:val="000000" w:themeColor="text1"/>
                <w:kern w:val="0"/>
                <w:sz w:val="21"/>
                <w:szCs w:val="21"/>
                <w14:textFill>
                  <w14:solidFill>
                    <w14:schemeClr w14:val="tx1"/>
                  </w14:solidFill>
                </w14:textFill>
              </w:rPr>
            </w:pPr>
            <w:r>
              <w:rPr>
                <w:rFonts w:hint="eastAsia" w:ascii="宋体" w:hAnsi="宋体" w:eastAsia="宋体" w:cs="Times New Roman"/>
                <w:color w:val="000000" w:themeColor="text1"/>
                <w:kern w:val="0"/>
                <w:sz w:val="21"/>
                <w:szCs w:val="21"/>
                <w14:textFill>
                  <w14:solidFill>
                    <w14:schemeClr w14:val="tx1"/>
                  </w14:solidFill>
                </w14:textFill>
              </w:rPr>
              <w:t>节约用地</w:t>
            </w:r>
          </w:p>
        </w:tc>
        <w:tc>
          <w:tcPr>
            <w:tcW w:w="1146" w:type="dxa"/>
            <w:vAlign w:val="center"/>
          </w:tcPr>
          <w:p w14:paraId="52EEA4D3">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ascii="宋体" w:hAnsi="宋体" w:eastAsia="宋体" w:cs="Times New Roman"/>
                <w:kern w:val="0"/>
                <w:sz w:val="21"/>
                <w:szCs w:val="21"/>
              </w:rPr>
              <w:t>4</w:t>
            </w:r>
          </w:p>
        </w:tc>
        <w:tc>
          <w:tcPr>
            <w:tcW w:w="1147" w:type="dxa"/>
            <w:vAlign w:val="center"/>
          </w:tcPr>
          <w:p w14:paraId="28361E2D">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ascii="宋体" w:hAnsi="宋体" w:eastAsia="宋体" w:cs="Times New Roman"/>
                <w:kern w:val="0"/>
                <w:sz w:val="21"/>
                <w:szCs w:val="21"/>
              </w:rPr>
              <w:t>2</w:t>
            </w:r>
          </w:p>
        </w:tc>
        <w:tc>
          <w:tcPr>
            <w:tcW w:w="1029" w:type="dxa"/>
            <w:vMerge w:val="continue"/>
            <w:vAlign w:val="center"/>
          </w:tcPr>
          <w:p w14:paraId="3F3070ED">
            <w:pPr>
              <w:adjustRightInd w:val="0"/>
              <w:snapToGrid w:val="0"/>
              <w:spacing w:before="100" w:beforeAutospacing="1" w:after="100" w:afterAutospacing="1" w:line="240" w:lineRule="auto"/>
              <w:jc w:val="center"/>
              <w:rPr>
                <w:rFonts w:hint="eastAsia" w:ascii="宋体" w:hAnsi="宋体" w:eastAsia="宋体"/>
                <w:color w:val="000000" w:themeColor="text1"/>
                <w:kern w:val="0"/>
                <w:sz w:val="21"/>
                <w:szCs w:val="21"/>
                <w14:textFill>
                  <w14:solidFill>
                    <w14:schemeClr w14:val="tx1"/>
                  </w14:solidFill>
                </w14:textFill>
              </w:rPr>
            </w:pPr>
          </w:p>
        </w:tc>
      </w:tr>
      <w:tr w14:paraId="3E91B2B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1" w:hRule="atLeast"/>
          <w:jc w:val="center"/>
        </w:trPr>
        <w:tc>
          <w:tcPr>
            <w:tcW w:w="1301" w:type="dxa"/>
            <w:vMerge w:val="continue"/>
            <w:vAlign w:val="center"/>
          </w:tcPr>
          <w:p w14:paraId="1731D9EB">
            <w:pPr>
              <w:adjustRightInd w:val="0"/>
              <w:snapToGrid w:val="0"/>
              <w:spacing w:before="100" w:beforeAutospacing="1" w:after="100" w:afterAutospacing="1" w:line="240" w:lineRule="auto"/>
              <w:jc w:val="center"/>
              <w:rPr>
                <w:rFonts w:hint="eastAsia" w:ascii="宋体" w:hAnsi="宋体" w:eastAsia="宋体"/>
                <w:kern w:val="0"/>
                <w:sz w:val="21"/>
                <w:szCs w:val="21"/>
              </w:rPr>
            </w:pPr>
          </w:p>
        </w:tc>
        <w:tc>
          <w:tcPr>
            <w:tcW w:w="2706" w:type="dxa"/>
            <w:gridSpan w:val="2"/>
            <w:vAlign w:val="center"/>
          </w:tcPr>
          <w:p w14:paraId="6E81BEA5">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ascii="宋体" w:hAnsi="宋体" w:eastAsia="宋体"/>
                <w:color w:val="000000" w:themeColor="text1"/>
                <w:kern w:val="0"/>
                <w:sz w:val="21"/>
                <w:szCs w:val="21"/>
                <w14:textFill>
                  <w14:solidFill>
                    <w14:schemeClr w14:val="tx1"/>
                  </w14:solidFill>
                </w14:textFill>
              </w:rPr>
              <w:t>技</w:t>
            </w:r>
            <w:r>
              <w:rPr>
                <w:rFonts w:hint="eastAsia" w:ascii="宋体" w:hAnsi="宋体" w:eastAsia="宋体"/>
                <w:color w:val="000000" w:themeColor="text1"/>
                <w:kern w:val="0"/>
                <w:sz w:val="21"/>
                <w:szCs w:val="21"/>
                <w14:textFill>
                  <w14:solidFill>
                    <w14:schemeClr w14:val="tx1"/>
                  </w14:solidFill>
                </w14:textFill>
              </w:rPr>
              <w:t>术</w:t>
            </w:r>
            <w:r>
              <w:rPr>
                <w:rFonts w:ascii="宋体" w:hAnsi="宋体" w:eastAsia="宋体"/>
                <w:color w:val="000000" w:themeColor="text1"/>
                <w:kern w:val="0"/>
                <w:sz w:val="21"/>
                <w:szCs w:val="21"/>
                <w14:textFill>
                  <w14:solidFill>
                    <w14:schemeClr w14:val="tx1"/>
                  </w14:solidFill>
                </w14:textFill>
              </w:rPr>
              <w:t>创新</w:t>
            </w:r>
          </w:p>
        </w:tc>
        <w:tc>
          <w:tcPr>
            <w:tcW w:w="1146" w:type="dxa"/>
            <w:vAlign w:val="center"/>
          </w:tcPr>
          <w:p w14:paraId="027BBB94">
            <w:pPr>
              <w:adjustRightInd w:val="0"/>
              <w:snapToGrid w:val="0"/>
              <w:spacing w:before="100" w:beforeAutospacing="1" w:after="100" w:afterAutospacing="1" w:line="240" w:lineRule="auto"/>
              <w:jc w:val="center"/>
              <w:rPr>
                <w:rFonts w:hint="eastAsia" w:asciiTheme="minorHAnsi" w:hAnsiTheme="minorHAnsi" w:eastAsiaTheme="minorEastAsia"/>
                <w:kern w:val="0"/>
                <w:sz w:val="21"/>
                <w:szCs w:val="21"/>
              </w:rPr>
            </w:pPr>
            <w:r>
              <w:rPr>
                <w:rFonts w:hint="eastAsia" w:ascii="宋体" w:hAnsi="宋体" w:eastAsia="宋体" w:cs="Times New Roman"/>
                <w:color w:val="000000" w:themeColor="text1"/>
                <w:kern w:val="0"/>
                <w:sz w:val="21"/>
                <w:szCs w:val="21"/>
                <w14:textFill>
                  <w14:solidFill>
                    <w14:schemeClr w14:val="tx1"/>
                  </w14:solidFill>
                </w14:textFill>
              </w:rPr>
              <w:t>1</w:t>
            </w:r>
            <w:r>
              <w:rPr>
                <w:rFonts w:ascii="宋体" w:hAnsi="宋体" w:eastAsia="宋体" w:cs="Times New Roman"/>
                <w:color w:val="000000" w:themeColor="text1"/>
                <w:kern w:val="0"/>
                <w:sz w:val="21"/>
                <w:szCs w:val="21"/>
                <w14:textFill>
                  <w14:solidFill>
                    <w14:schemeClr w14:val="tx1"/>
                  </w14:solidFill>
                </w14:textFill>
              </w:rPr>
              <w:t>0</w:t>
            </w:r>
          </w:p>
        </w:tc>
        <w:tc>
          <w:tcPr>
            <w:tcW w:w="1147" w:type="dxa"/>
            <w:vAlign w:val="center"/>
          </w:tcPr>
          <w:p w14:paraId="5FD7C526">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w:t>
            </w:r>
          </w:p>
        </w:tc>
        <w:tc>
          <w:tcPr>
            <w:tcW w:w="1029" w:type="dxa"/>
            <w:vMerge w:val="continue"/>
            <w:vAlign w:val="center"/>
          </w:tcPr>
          <w:p w14:paraId="73B33F56">
            <w:pPr>
              <w:adjustRightInd w:val="0"/>
              <w:snapToGrid w:val="0"/>
              <w:spacing w:before="100" w:beforeAutospacing="1" w:after="100" w:afterAutospacing="1" w:line="240" w:lineRule="auto"/>
              <w:jc w:val="center"/>
              <w:rPr>
                <w:rFonts w:hint="eastAsia" w:ascii="宋体" w:hAnsi="宋体" w:eastAsia="宋体"/>
                <w:kern w:val="0"/>
                <w:sz w:val="21"/>
                <w:szCs w:val="21"/>
              </w:rPr>
            </w:pPr>
          </w:p>
        </w:tc>
      </w:tr>
      <w:tr w14:paraId="3ED300E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1" w:hRule="atLeast"/>
          <w:jc w:val="center"/>
        </w:trPr>
        <w:tc>
          <w:tcPr>
            <w:tcW w:w="1301" w:type="dxa"/>
            <w:vMerge w:val="continue"/>
            <w:vAlign w:val="center"/>
          </w:tcPr>
          <w:p w14:paraId="7682D718">
            <w:pPr>
              <w:adjustRightInd w:val="0"/>
              <w:snapToGrid w:val="0"/>
              <w:spacing w:before="100" w:beforeAutospacing="1" w:after="100" w:afterAutospacing="1" w:line="240" w:lineRule="auto"/>
              <w:jc w:val="center"/>
              <w:rPr>
                <w:rFonts w:hint="eastAsia" w:ascii="宋体" w:hAnsi="宋体" w:eastAsia="宋体"/>
                <w:kern w:val="0"/>
                <w:sz w:val="21"/>
                <w:szCs w:val="21"/>
              </w:rPr>
            </w:pPr>
          </w:p>
        </w:tc>
        <w:tc>
          <w:tcPr>
            <w:tcW w:w="2706" w:type="dxa"/>
            <w:gridSpan w:val="2"/>
            <w:vAlign w:val="center"/>
          </w:tcPr>
          <w:p w14:paraId="1482BD24">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color w:val="000000" w:themeColor="text1"/>
                <w:kern w:val="0"/>
                <w:sz w:val="21"/>
                <w:szCs w:val="21"/>
                <w14:textFill>
                  <w14:solidFill>
                    <w14:schemeClr w14:val="tx1"/>
                  </w14:solidFill>
                </w14:textFill>
              </w:rPr>
              <w:t>综合效益</w:t>
            </w:r>
          </w:p>
        </w:tc>
        <w:tc>
          <w:tcPr>
            <w:tcW w:w="1146" w:type="dxa"/>
            <w:vAlign w:val="center"/>
          </w:tcPr>
          <w:p w14:paraId="769EC6A5">
            <w:pPr>
              <w:adjustRightInd w:val="0"/>
              <w:snapToGrid w:val="0"/>
              <w:spacing w:before="100" w:beforeAutospacing="1" w:after="100" w:afterAutospacing="1" w:line="240" w:lineRule="auto"/>
              <w:jc w:val="center"/>
              <w:rPr>
                <w:rFonts w:hint="eastAsia" w:asciiTheme="minorHAnsi" w:hAnsiTheme="minorHAnsi" w:eastAsiaTheme="minorEastAsia"/>
                <w:kern w:val="0"/>
                <w:sz w:val="21"/>
                <w:szCs w:val="21"/>
              </w:rPr>
            </w:pPr>
            <w:r>
              <w:rPr>
                <w:rFonts w:hint="eastAsia" w:ascii="宋体" w:hAnsi="宋体" w:eastAsia="宋体"/>
                <w:kern w:val="0"/>
                <w:sz w:val="21"/>
                <w:szCs w:val="21"/>
              </w:rPr>
              <w:t>10</w:t>
            </w:r>
          </w:p>
        </w:tc>
        <w:tc>
          <w:tcPr>
            <w:tcW w:w="1147" w:type="dxa"/>
            <w:vAlign w:val="center"/>
          </w:tcPr>
          <w:p w14:paraId="4437AD77">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w:t>
            </w:r>
          </w:p>
        </w:tc>
        <w:tc>
          <w:tcPr>
            <w:tcW w:w="1029" w:type="dxa"/>
            <w:vMerge w:val="continue"/>
            <w:vAlign w:val="center"/>
          </w:tcPr>
          <w:p w14:paraId="27067C15">
            <w:pPr>
              <w:adjustRightInd w:val="0"/>
              <w:snapToGrid w:val="0"/>
              <w:spacing w:before="100" w:beforeAutospacing="1" w:after="100" w:afterAutospacing="1" w:line="240" w:lineRule="auto"/>
              <w:jc w:val="center"/>
              <w:rPr>
                <w:rFonts w:hint="eastAsia" w:ascii="宋体" w:hAnsi="宋体" w:eastAsia="宋体"/>
                <w:kern w:val="0"/>
                <w:sz w:val="21"/>
                <w:szCs w:val="21"/>
              </w:rPr>
            </w:pPr>
          </w:p>
        </w:tc>
      </w:tr>
      <w:tr w14:paraId="12AAD13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jc w:val="center"/>
        </w:trPr>
        <w:tc>
          <w:tcPr>
            <w:tcW w:w="1301" w:type="dxa"/>
            <w:vMerge w:val="restart"/>
            <w:vAlign w:val="center"/>
          </w:tcPr>
          <w:p w14:paraId="3FD67E80">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绿色移交</w:t>
            </w:r>
          </w:p>
        </w:tc>
        <w:tc>
          <w:tcPr>
            <w:tcW w:w="2706" w:type="dxa"/>
            <w:gridSpan w:val="2"/>
            <w:vAlign w:val="center"/>
          </w:tcPr>
          <w:p w14:paraId="22BFD383">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综合</w:t>
            </w:r>
            <w:r>
              <w:rPr>
                <w:rFonts w:ascii="宋体" w:hAnsi="宋体" w:eastAsia="宋体"/>
                <w:kern w:val="0"/>
                <w:sz w:val="21"/>
                <w:szCs w:val="21"/>
              </w:rPr>
              <w:t>效能</w:t>
            </w:r>
          </w:p>
        </w:tc>
        <w:tc>
          <w:tcPr>
            <w:tcW w:w="1146" w:type="dxa"/>
            <w:vAlign w:val="center"/>
          </w:tcPr>
          <w:p w14:paraId="3422085B">
            <w:pPr>
              <w:adjustRightInd w:val="0"/>
              <w:snapToGrid w:val="0"/>
              <w:spacing w:before="100" w:beforeAutospacing="1" w:after="100" w:afterAutospacing="1" w:line="240" w:lineRule="auto"/>
              <w:jc w:val="center"/>
              <w:rPr>
                <w:rFonts w:hint="eastAsia" w:asciiTheme="minorHAnsi" w:hAnsiTheme="minorHAnsi" w:eastAsiaTheme="minorEastAsia"/>
                <w:kern w:val="0"/>
                <w:sz w:val="21"/>
                <w:szCs w:val="21"/>
              </w:rPr>
            </w:pPr>
            <w:r>
              <w:rPr>
                <w:rFonts w:ascii="宋体" w:hAnsi="宋体" w:eastAsia="宋体"/>
                <w:kern w:val="0"/>
                <w:sz w:val="21"/>
                <w:szCs w:val="21"/>
              </w:rPr>
              <w:t>30</w:t>
            </w:r>
          </w:p>
        </w:tc>
        <w:tc>
          <w:tcPr>
            <w:tcW w:w="1147" w:type="dxa"/>
            <w:vAlign w:val="center"/>
          </w:tcPr>
          <w:p w14:paraId="18A754A4">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w:t>
            </w:r>
          </w:p>
        </w:tc>
        <w:tc>
          <w:tcPr>
            <w:tcW w:w="1029" w:type="dxa"/>
            <w:vMerge w:val="restart"/>
            <w:vAlign w:val="center"/>
          </w:tcPr>
          <w:p w14:paraId="6666D94A">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ascii="宋体" w:hAnsi="宋体" w:eastAsia="宋体"/>
                <w:kern w:val="0"/>
                <w:sz w:val="21"/>
                <w:szCs w:val="21"/>
              </w:rPr>
              <w:t>10</w:t>
            </w:r>
          </w:p>
        </w:tc>
      </w:tr>
      <w:tr w14:paraId="73AA7F0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jc w:val="center"/>
        </w:trPr>
        <w:tc>
          <w:tcPr>
            <w:tcW w:w="1301" w:type="dxa"/>
            <w:vMerge w:val="continue"/>
            <w:vAlign w:val="center"/>
          </w:tcPr>
          <w:p w14:paraId="3E27E818">
            <w:pPr>
              <w:adjustRightInd w:val="0"/>
              <w:snapToGrid w:val="0"/>
              <w:spacing w:before="100" w:beforeAutospacing="1" w:after="100" w:afterAutospacing="1" w:line="240" w:lineRule="auto"/>
              <w:jc w:val="center"/>
              <w:rPr>
                <w:rFonts w:hint="eastAsia" w:ascii="宋体" w:hAnsi="宋体" w:eastAsia="宋体"/>
                <w:kern w:val="0"/>
                <w:sz w:val="21"/>
                <w:szCs w:val="21"/>
              </w:rPr>
            </w:pPr>
          </w:p>
        </w:tc>
        <w:tc>
          <w:tcPr>
            <w:tcW w:w="2706" w:type="dxa"/>
            <w:gridSpan w:val="2"/>
            <w:vAlign w:val="center"/>
          </w:tcPr>
          <w:p w14:paraId="1BFFA967">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数字</w:t>
            </w:r>
            <w:r>
              <w:rPr>
                <w:rFonts w:ascii="宋体" w:hAnsi="宋体" w:eastAsia="宋体"/>
                <w:kern w:val="0"/>
                <w:sz w:val="21"/>
                <w:szCs w:val="21"/>
              </w:rPr>
              <w:t>化</w:t>
            </w:r>
            <w:r>
              <w:rPr>
                <w:rFonts w:hint="eastAsia" w:ascii="宋体" w:hAnsi="宋体" w:eastAsia="宋体"/>
                <w:kern w:val="0"/>
                <w:sz w:val="21"/>
                <w:szCs w:val="21"/>
              </w:rPr>
              <w:t>交付</w:t>
            </w:r>
          </w:p>
        </w:tc>
        <w:tc>
          <w:tcPr>
            <w:tcW w:w="1146" w:type="dxa"/>
            <w:vAlign w:val="center"/>
          </w:tcPr>
          <w:p w14:paraId="3A128F3D">
            <w:pPr>
              <w:adjustRightInd w:val="0"/>
              <w:snapToGrid w:val="0"/>
              <w:spacing w:before="100" w:beforeAutospacing="1" w:after="100" w:afterAutospacing="1" w:line="240" w:lineRule="auto"/>
              <w:jc w:val="center"/>
              <w:rPr>
                <w:rFonts w:hint="eastAsia" w:asciiTheme="minorHAnsi" w:hAnsiTheme="minorHAnsi" w:eastAsiaTheme="minorEastAsia"/>
                <w:kern w:val="0"/>
                <w:sz w:val="21"/>
                <w:szCs w:val="21"/>
              </w:rPr>
            </w:pPr>
            <w:r>
              <w:rPr>
                <w:rFonts w:ascii="宋体" w:hAnsi="宋体" w:eastAsia="宋体"/>
                <w:kern w:val="0"/>
                <w:sz w:val="21"/>
                <w:szCs w:val="21"/>
              </w:rPr>
              <w:t>30</w:t>
            </w:r>
          </w:p>
        </w:tc>
        <w:tc>
          <w:tcPr>
            <w:tcW w:w="1147" w:type="dxa"/>
            <w:vAlign w:val="center"/>
          </w:tcPr>
          <w:p w14:paraId="750DE130">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w:t>
            </w:r>
          </w:p>
        </w:tc>
        <w:tc>
          <w:tcPr>
            <w:tcW w:w="1029" w:type="dxa"/>
            <w:vMerge w:val="continue"/>
            <w:vAlign w:val="center"/>
          </w:tcPr>
          <w:p w14:paraId="3084D9F6">
            <w:pPr>
              <w:adjustRightInd w:val="0"/>
              <w:snapToGrid w:val="0"/>
              <w:spacing w:before="100" w:beforeAutospacing="1" w:after="100" w:afterAutospacing="1" w:line="240" w:lineRule="auto"/>
              <w:jc w:val="center"/>
              <w:rPr>
                <w:rFonts w:hint="eastAsia" w:ascii="宋体" w:hAnsi="宋体" w:eastAsia="宋体"/>
                <w:kern w:val="0"/>
                <w:sz w:val="21"/>
                <w:szCs w:val="21"/>
              </w:rPr>
            </w:pPr>
          </w:p>
        </w:tc>
      </w:tr>
      <w:tr w14:paraId="0F38AD2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jc w:val="center"/>
        </w:trPr>
        <w:tc>
          <w:tcPr>
            <w:tcW w:w="1301" w:type="dxa"/>
            <w:vMerge w:val="continue"/>
            <w:vAlign w:val="center"/>
          </w:tcPr>
          <w:p w14:paraId="6ED7B5AF">
            <w:pPr>
              <w:adjustRightInd w:val="0"/>
              <w:snapToGrid w:val="0"/>
              <w:spacing w:before="100" w:beforeAutospacing="1" w:after="100" w:afterAutospacing="1" w:line="240" w:lineRule="auto"/>
              <w:jc w:val="center"/>
              <w:rPr>
                <w:rFonts w:hint="eastAsia" w:ascii="宋体" w:hAnsi="宋体" w:eastAsia="宋体"/>
                <w:kern w:val="0"/>
                <w:sz w:val="21"/>
                <w:szCs w:val="21"/>
              </w:rPr>
            </w:pPr>
          </w:p>
        </w:tc>
        <w:tc>
          <w:tcPr>
            <w:tcW w:w="2706" w:type="dxa"/>
            <w:gridSpan w:val="2"/>
            <w:vAlign w:val="center"/>
          </w:tcPr>
          <w:p w14:paraId="6461F6E1">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效果</w:t>
            </w:r>
            <w:r>
              <w:rPr>
                <w:rFonts w:ascii="宋体" w:hAnsi="宋体" w:eastAsia="宋体"/>
                <w:kern w:val="0"/>
                <w:sz w:val="21"/>
                <w:szCs w:val="21"/>
              </w:rPr>
              <w:t>评估</w:t>
            </w:r>
          </w:p>
        </w:tc>
        <w:tc>
          <w:tcPr>
            <w:tcW w:w="1146" w:type="dxa"/>
            <w:vAlign w:val="center"/>
          </w:tcPr>
          <w:p w14:paraId="1D48FCC4">
            <w:pPr>
              <w:adjustRightInd w:val="0"/>
              <w:snapToGrid w:val="0"/>
              <w:spacing w:before="100" w:beforeAutospacing="1" w:after="100" w:afterAutospacing="1" w:line="240" w:lineRule="auto"/>
              <w:jc w:val="center"/>
              <w:rPr>
                <w:rFonts w:hint="eastAsia" w:asciiTheme="minorHAnsi" w:hAnsiTheme="minorHAnsi" w:eastAsiaTheme="minorEastAsia"/>
                <w:kern w:val="0"/>
                <w:sz w:val="21"/>
                <w:szCs w:val="21"/>
              </w:rPr>
            </w:pPr>
            <w:r>
              <w:rPr>
                <w:rFonts w:ascii="宋体" w:hAnsi="宋体" w:eastAsia="宋体"/>
                <w:kern w:val="0"/>
                <w:sz w:val="21"/>
                <w:szCs w:val="21"/>
              </w:rPr>
              <w:t>40</w:t>
            </w:r>
          </w:p>
        </w:tc>
        <w:tc>
          <w:tcPr>
            <w:tcW w:w="1147" w:type="dxa"/>
            <w:vAlign w:val="center"/>
          </w:tcPr>
          <w:p w14:paraId="1415BBAE">
            <w:pPr>
              <w:adjustRightInd w:val="0"/>
              <w:snapToGrid w:val="0"/>
              <w:spacing w:before="100" w:beforeAutospacing="1" w:after="100" w:afterAutospacing="1" w:line="240" w:lineRule="auto"/>
              <w:jc w:val="center"/>
              <w:rPr>
                <w:rFonts w:hint="eastAsia" w:ascii="宋体" w:hAnsi="宋体" w:eastAsia="宋体"/>
                <w:kern w:val="0"/>
                <w:sz w:val="21"/>
                <w:szCs w:val="21"/>
              </w:rPr>
            </w:pPr>
            <w:r>
              <w:rPr>
                <w:rFonts w:hint="eastAsia" w:ascii="宋体" w:hAnsi="宋体" w:eastAsia="宋体"/>
                <w:kern w:val="0"/>
                <w:sz w:val="21"/>
                <w:szCs w:val="21"/>
              </w:rPr>
              <w:t>-</w:t>
            </w:r>
          </w:p>
        </w:tc>
        <w:tc>
          <w:tcPr>
            <w:tcW w:w="1029" w:type="dxa"/>
            <w:vMerge w:val="continue"/>
            <w:vAlign w:val="center"/>
          </w:tcPr>
          <w:p w14:paraId="20CDB8D6">
            <w:pPr>
              <w:adjustRightInd w:val="0"/>
              <w:snapToGrid w:val="0"/>
              <w:spacing w:before="100" w:beforeAutospacing="1" w:after="100" w:afterAutospacing="1" w:line="240" w:lineRule="auto"/>
              <w:jc w:val="center"/>
              <w:rPr>
                <w:rFonts w:hint="eastAsia" w:ascii="宋体" w:hAnsi="宋体" w:eastAsia="宋体"/>
                <w:kern w:val="0"/>
                <w:sz w:val="21"/>
                <w:szCs w:val="21"/>
              </w:rPr>
            </w:pPr>
          </w:p>
        </w:tc>
      </w:tr>
    </w:tbl>
    <w:p w14:paraId="0C588379">
      <w:pPr>
        <w:spacing w:before="120" w:beforeLines="50"/>
        <w:rPr>
          <w:rFonts w:hint="eastAsia"/>
          <w:sz w:val="21"/>
          <w:szCs w:val="21"/>
        </w:rPr>
      </w:pPr>
      <w:r>
        <w:rPr>
          <w:rFonts w:hint="eastAsia" w:ascii="黑体" w:hAnsi="黑体" w:eastAsia="黑体" w:cs="黑体"/>
          <w:sz w:val="21"/>
          <w:szCs w:val="21"/>
          <w:lang w:val="en-US" w:eastAsia="zh-CN"/>
        </w:rPr>
        <w:t xml:space="preserve">4.2.2 </w:t>
      </w:r>
      <w:r>
        <w:rPr>
          <w:sz w:val="21"/>
          <w:szCs w:val="21"/>
        </w:rPr>
        <w:t xml:space="preserve"> </w:t>
      </w:r>
      <w:r>
        <w:rPr>
          <w:rFonts w:hint="eastAsia"/>
          <w:sz w:val="21"/>
          <w:szCs w:val="21"/>
        </w:rPr>
        <w:t>绿色</w:t>
      </w:r>
      <w:r>
        <w:rPr>
          <w:sz w:val="21"/>
          <w:szCs w:val="21"/>
        </w:rPr>
        <w:t>建造评价</w:t>
      </w:r>
      <w:r>
        <w:rPr>
          <w:rFonts w:hint="eastAsia"/>
          <w:sz w:val="21"/>
          <w:szCs w:val="21"/>
        </w:rPr>
        <w:t>总得</w:t>
      </w:r>
      <w:r>
        <w:rPr>
          <w:sz w:val="21"/>
          <w:szCs w:val="21"/>
        </w:rPr>
        <w:t>分</w:t>
      </w:r>
      <w:r>
        <w:rPr>
          <w:color w:val="auto"/>
          <w:sz w:val="21"/>
          <w:szCs w:val="21"/>
        </w:rPr>
        <w:t>为</w:t>
      </w:r>
      <w:r>
        <w:rPr>
          <w:rFonts w:hint="eastAsia"/>
          <w:color w:val="auto"/>
          <w:sz w:val="21"/>
          <w:szCs w:val="21"/>
        </w:rPr>
        <w:t>各</w:t>
      </w:r>
      <w:r>
        <w:rPr>
          <w:color w:val="auto"/>
          <w:sz w:val="21"/>
          <w:szCs w:val="21"/>
        </w:rPr>
        <w:t>分项</w:t>
      </w:r>
      <w:r>
        <w:rPr>
          <w:rFonts w:hint="eastAsia"/>
          <w:color w:val="auto"/>
          <w:sz w:val="21"/>
          <w:szCs w:val="21"/>
        </w:rPr>
        <w:t>评</w:t>
      </w:r>
      <w:r>
        <w:rPr>
          <w:color w:val="auto"/>
          <w:sz w:val="21"/>
          <w:szCs w:val="21"/>
        </w:rPr>
        <w:t>价得分与</w:t>
      </w:r>
      <w:r>
        <w:rPr>
          <w:rFonts w:hint="eastAsia"/>
          <w:sz w:val="21"/>
          <w:szCs w:val="21"/>
        </w:rPr>
        <w:t>权</w:t>
      </w:r>
      <w:r>
        <w:rPr>
          <w:sz w:val="21"/>
          <w:szCs w:val="21"/>
        </w:rPr>
        <w:t>重乘</w:t>
      </w:r>
      <w:r>
        <w:rPr>
          <w:rFonts w:hint="eastAsia"/>
          <w:sz w:val="21"/>
          <w:szCs w:val="21"/>
        </w:rPr>
        <w:t>积之</w:t>
      </w:r>
      <w:r>
        <w:rPr>
          <w:sz w:val="21"/>
          <w:szCs w:val="21"/>
        </w:rPr>
        <w:t>和</w:t>
      </w:r>
      <w:r>
        <w:rPr>
          <w:rFonts w:hint="eastAsia"/>
          <w:sz w:val="21"/>
          <w:szCs w:val="21"/>
        </w:rPr>
        <w:t>。</w:t>
      </w:r>
    </w:p>
    <w:p w14:paraId="00269731">
      <w:pPr>
        <w:spacing w:before="120" w:beforeLines="50"/>
        <w:rPr>
          <w:rFonts w:hint="eastAsia" w:ascii="黑体" w:hAnsi="黑体" w:eastAsia="黑体" w:cs="黑体"/>
          <w:sz w:val="21"/>
          <w:szCs w:val="21"/>
          <w:lang w:val="en-US" w:eastAsia="zh-CN"/>
        </w:rPr>
      </w:pPr>
      <w:bookmarkStart w:id="49" w:name="_Toc174141233"/>
    </w:p>
    <w:p w14:paraId="3AB8708E">
      <w:pPr>
        <w:spacing w:before="120" w:beforeLines="50"/>
        <w:outlineLvl w:val="1"/>
        <w:rPr>
          <w:rFonts w:hint="eastAsia" w:ascii="黑体" w:hAnsi="黑体" w:eastAsia="黑体" w:cs="黑体"/>
          <w:sz w:val="21"/>
          <w:szCs w:val="21"/>
          <w:lang w:val="en-US" w:eastAsia="zh-CN"/>
        </w:rPr>
      </w:pPr>
      <w:bookmarkStart w:id="50" w:name="_Toc29802"/>
      <w:bookmarkStart w:id="51" w:name="_Toc26286"/>
      <w:r>
        <w:rPr>
          <w:rFonts w:hint="eastAsia" w:ascii="黑体" w:hAnsi="黑体" w:eastAsia="黑体" w:cs="黑体"/>
          <w:sz w:val="21"/>
          <w:szCs w:val="21"/>
          <w:lang w:val="en-US" w:eastAsia="zh-CN"/>
        </w:rPr>
        <w:t>4.3  一般规定</w:t>
      </w:r>
      <w:bookmarkEnd w:id="49"/>
      <w:bookmarkEnd w:id="50"/>
      <w:bookmarkEnd w:id="51"/>
    </w:p>
    <w:p w14:paraId="04A35C00">
      <w:pPr>
        <w:spacing w:before="120" w:beforeLines="50"/>
        <w:rPr>
          <w:rFonts w:hint="eastAsia" w:ascii="黑体" w:hAnsi="黑体" w:eastAsia="黑体" w:cs="黑体"/>
          <w:sz w:val="21"/>
          <w:szCs w:val="21"/>
          <w:lang w:val="en-US" w:eastAsia="zh-CN"/>
        </w:rPr>
      </w:pPr>
    </w:p>
    <w:p w14:paraId="50C2C8E2">
      <w:pPr>
        <w:outlineLvl w:val="2"/>
        <w:rPr>
          <w:rFonts w:hint="eastAsia"/>
          <w:sz w:val="21"/>
          <w:szCs w:val="21"/>
        </w:rPr>
      </w:pPr>
      <w:bookmarkStart w:id="52" w:name="_Toc25646"/>
      <w:r>
        <w:rPr>
          <w:rFonts w:hint="eastAsia" w:ascii="黑体" w:hAnsi="黑体" w:eastAsia="黑体" w:cs="黑体"/>
          <w:sz w:val="21"/>
          <w:szCs w:val="21"/>
          <w:lang w:val="en-US" w:eastAsia="zh-CN"/>
        </w:rPr>
        <w:t>4.3.1</w:t>
      </w:r>
      <w:r>
        <w:rPr>
          <w:sz w:val="21"/>
          <w:szCs w:val="21"/>
        </w:rPr>
        <w:t xml:space="preserve">  </w:t>
      </w:r>
      <w:r>
        <w:rPr>
          <w:rFonts w:hint="eastAsia"/>
          <w:sz w:val="21"/>
          <w:szCs w:val="21"/>
        </w:rPr>
        <w:t>绿色策划</w:t>
      </w:r>
      <w:r>
        <w:rPr>
          <w:sz w:val="21"/>
          <w:szCs w:val="21"/>
        </w:rPr>
        <w:t>评价应</w:t>
      </w:r>
      <w:r>
        <w:rPr>
          <w:rFonts w:hint="eastAsia"/>
          <w:sz w:val="21"/>
          <w:szCs w:val="21"/>
        </w:rPr>
        <w:t>符合</w:t>
      </w:r>
      <w:r>
        <w:rPr>
          <w:sz w:val="21"/>
          <w:szCs w:val="21"/>
        </w:rPr>
        <w:t>下列规定：</w:t>
      </w:r>
      <w:bookmarkEnd w:id="52"/>
    </w:p>
    <w:p w14:paraId="5BA16303">
      <w:pPr>
        <w:ind w:firstLine="420" w:firstLineChars="200"/>
        <w:rPr>
          <w:rFonts w:hint="eastAsia" w:cs="Times New Roman"/>
          <w:color w:val="FF0000"/>
          <w:sz w:val="21"/>
          <w:szCs w:val="21"/>
        </w:rPr>
      </w:pPr>
      <w:r>
        <w:rPr>
          <w:rFonts w:hint="eastAsia" w:cs="Times New Roman"/>
          <w:sz w:val="21"/>
          <w:szCs w:val="21"/>
          <w:lang w:val="en-US" w:eastAsia="zh-CN"/>
        </w:rPr>
        <w:t xml:space="preserve">a） </w:t>
      </w:r>
      <w:r>
        <w:rPr>
          <w:rFonts w:hint="eastAsia" w:cs="Times New Roman"/>
          <w:sz w:val="21"/>
          <w:szCs w:val="21"/>
        </w:rPr>
        <w:t>绿色策划应因地制宜对工程全过程、全要素进行统筹，明确绿色建造实施路径，体现绿色化、工业化、信息化、集约化和产业化特征，综合考虑技术水平、成本投入与效益产出等因素，实现全生命周期成本最优。</w:t>
      </w:r>
    </w:p>
    <w:p w14:paraId="59604CEB">
      <w:pPr>
        <w:ind w:firstLine="420" w:firstLineChars="200"/>
        <w:rPr>
          <w:rFonts w:hint="eastAsia" w:cs="Times New Roman"/>
          <w:color w:val="FF0000"/>
          <w:sz w:val="21"/>
          <w:szCs w:val="21"/>
        </w:rPr>
      </w:pPr>
      <w:r>
        <w:rPr>
          <w:rFonts w:hint="eastAsia"/>
          <w:sz w:val="21"/>
          <w:szCs w:val="21"/>
          <w:lang w:val="en-US" w:eastAsia="zh-CN"/>
        </w:rPr>
        <w:t>b）</w:t>
      </w:r>
      <w:r>
        <w:rPr>
          <w:sz w:val="21"/>
          <w:szCs w:val="21"/>
        </w:rPr>
        <w:t xml:space="preserve"> </w:t>
      </w:r>
      <w:r>
        <w:rPr>
          <w:rFonts w:hint="eastAsia" w:cs="Times New Roman"/>
          <w:sz w:val="21"/>
          <w:szCs w:val="21"/>
        </w:rPr>
        <w:t>绿色策划文件应结合工程实际，全面统筹绿色方案，以全生命周期保障性能综合最优、运行维护便捷、环境扰动最小为目标。</w:t>
      </w:r>
    </w:p>
    <w:p w14:paraId="5E73C39D">
      <w:pPr>
        <w:outlineLvl w:val="2"/>
        <w:rPr>
          <w:rFonts w:hint="eastAsia"/>
          <w:sz w:val="21"/>
          <w:szCs w:val="21"/>
        </w:rPr>
      </w:pPr>
      <w:bookmarkStart w:id="53" w:name="_Toc9306"/>
      <w:r>
        <w:rPr>
          <w:rFonts w:hint="eastAsia" w:ascii="黑体" w:hAnsi="黑体" w:eastAsia="黑体" w:cs="黑体"/>
          <w:sz w:val="21"/>
          <w:szCs w:val="21"/>
          <w:lang w:val="en-US" w:eastAsia="zh-CN"/>
        </w:rPr>
        <w:t xml:space="preserve">4.3.2 </w:t>
      </w:r>
      <w:r>
        <w:rPr>
          <w:sz w:val="21"/>
          <w:szCs w:val="21"/>
        </w:rPr>
        <w:t xml:space="preserve"> </w:t>
      </w:r>
      <w:r>
        <w:rPr>
          <w:rFonts w:hint="eastAsia"/>
          <w:sz w:val="21"/>
          <w:szCs w:val="21"/>
        </w:rPr>
        <w:t>绿色</w:t>
      </w:r>
      <w:r>
        <w:rPr>
          <w:sz w:val="21"/>
          <w:szCs w:val="21"/>
        </w:rPr>
        <w:t>设计评价应</w:t>
      </w:r>
      <w:r>
        <w:rPr>
          <w:rFonts w:hint="eastAsia"/>
          <w:sz w:val="21"/>
          <w:szCs w:val="21"/>
        </w:rPr>
        <w:t>符合</w:t>
      </w:r>
      <w:r>
        <w:rPr>
          <w:sz w:val="21"/>
          <w:szCs w:val="21"/>
        </w:rPr>
        <w:t>下列规定：</w:t>
      </w:r>
      <w:bookmarkEnd w:id="53"/>
    </w:p>
    <w:p w14:paraId="1A243BA0">
      <w:pPr>
        <w:ind w:firstLine="420" w:firstLineChars="200"/>
        <w:rPr>
          <w:rFonts w:hint="eastAsia"/>
          <w:sz w:val="21"/>
          <w:szCs w:val="21"/>
        </w:rPr>
      </w:pPr>
      <w:r>
        <w:rPr>
          <w:rFonts w:hint="eastAsia" w:cs="Times New Roman"/>
          <w:sz w:val="21"/>
          <w:szCs w:val="21"/>
          <w:lang w:val="en-US" w:eastAsia="zh-CN"/>
        </w:rPr>
        <w:t xml:space="preserve">a） </w:t>
      </w:r>
      <w:r>
        <w:rPr>
          <w:sz w:val="21"/>
          <w:szCs w:val="21"/>
        </w:rPr>
        <w:t>统筹建筑、结构、</w:t>
      </w:r>
      <w:r>
        <w:rPr>
          <w:rFonts w:hint="eastAsia"/>
          <w:sz w:val="21"/>
          <w:szCs w:val="21"/>
        </w:rPr>
        <w:t>工艺、电控</w:t>
      </w:r>
      <w:r>
        <w:rPr>
          <w:sz w:val="21"/>
          <w:szCs w:val="21"/>
        </w:rPr>
        <w:t>等各专业设计，统筹设计、施工、</w:t>
      </w:r>
      <w:r>
        <w:rPr>
          <w:rFonts w:hint="eastAsia"/>
          <w:sz w:val="21"/>
          <w:szCs w:val="21"/>
        </w:rPr>
        <w:t>调试</w:t>
      </w:r>
      <w:r>
        <w:rPr>
          <w:sz w:val="21"/>
          <w:szCs w:val="21"/>
        </w:rPr>
        <w:t>等建造过程，实现</w:t>
      </w:r>
      <w:r>
        <w:rPr>
          <w:rFonts w:hint="eastAsia"/>
          <w:sz w:val="21"/>
          <w:szCs w:val="21"/>
        </w:rPr>
        <w:t>电力建设</w:t>
      </w:r>
      <w:r>
        <w:rPr>
          <w:sz w:val="21"/>
          <w:szCs w:val="21"/>
        </w:rPr>
        <w:t>工程全寿命期系统化集成设计。</w:t>
      </w:r>
    </w:p>
    <w:p w14:paraId="7B101794">
      <w:pPr>
        <w:ind w:firstLine="420" w:firstLineChars="200"/>
        <w:rPr>
          <w:rFonts w:hint="eastAsia"/>
          <w:sz w:val="21"/>
          <w:szCs w:val="21"/>
        </w:rPr>
      </w:pPr>
      <w:r>
        <w:rPr>
          <w:rFonts w:hint="eastAsia"/>
          <w:sz w:val="21"/>
          <w:szCs w:val="21"/>
          <w:lang w:val="en-US" w:eastAsia="zh-CN"/>
        </w:rPr>
        <w:t>b）</w:t>
      </w:r>
      <w:r>
        <w:rPr>
          <w:sz w:val="21"/>
          <w:szCs w:val="21"/>
        </w:rPr>
        <w:t xml:space="preserve"> 强化设计方案技术论证，严格控制设计变更。设计变更不应降低工程绿色性能，重大变更应组织专家对其是否影响工程绿色性能进行论证。</w:t>
      </w:r>
    </w:p>
    <w:p w14:paraId="33657A48">
      <w:pPr>
        <w:ind w:firstLine="420" w:firstLineChars="200"/>
        <w:rPr>
          <w:rFonts w:hint="eastAsia"/>
          <w:sz w:val="21"/>
          <w:szCs w:val="21"/>
        </w:rPr>
      </w:pPr>
      <w:r>
        <w:rPr>
          <w:rFonts w:hint="eastAsia"/>
          <w:sz w:val="21"/>
          <w:szCs w:val="21"/>
          <w:lang w:val="en-US" w:eastAsia="zh-CN"/>
        </w:rPr>
        <w:t>c）</w:t>
      </w:r>
      <w:r>
        <w:rPr>
          <w:sz w:val="21"/>
          <w:szCs w:val="21"/>
        </w:rPr>
        <w:t xml:space="preserve"> 优先就地取材，并统筹确定各类</w:t>
      </w:r>
      <w:r>
        <w:rPr>
          <w:rFonts w:hint="eastAsia"/>
          <w:sz w:val="21"/>
          <w:szCs w:val="21"/>
        </w:rPr>
        <w:t>材料</w:t>
      </w:r>
      <w:r>
        <w:rPr>
          <w:sz w:val="21"/>
          <w:szCs w:val="21"/>
        </w:rPr>
        <w:t>及设备的设计使用年限。</w:t>
      </w:r>
    </w:p>
    <w:p w14:paraId="5710FD30">
      <w:pPr>
        <w:ind w:firstLine="420" w:firstLineChars="200"/>
        <w:rPr>
          <w:rFonts w:hint="eastAsia"/>
          <w:sz w:val="21"/>
          <w:szCs w:val="21"/>
        </w:rPr>
      </w:pPr>
      <w:r>
        <w:rPr>
          <w:rFonts w:hint="eastAsia"/>
          <w:sz w:val="21"/>
          <w:szCs w:val="21"/>
          <w:lang w:val="en-US" w:eastAsia="zh-CN"/>
        </w:rPr>
        <w:t>d</w:t>
      </w:r>
      <w:r>
        <w:rPr>
          <w:rFonts w:hint="eastAsia"/>
          <w:sz w:val="21"/>
          <w:szCs w:val="21"/>
          <w:lang w:eastAsia="zh-CN"/>
        </w:rPr>
        <w:t>）</w:t>
      </w:r>
      <w:r>
        <w:rPr>
          <w:rFonts w:hint="eastAsia"/>
          <w:sz w:val="21"/>
          <w:szCs w:val="21"/>
          <w:lang w:val="en-US" w:eastAsia="zh-CN"/>
        </w:rPr>
        <w:t xml:space="preserve"> </w:t>
      </w:r>
      <w:r>
        <w:rPr>
          <w:sz w:val="21"/>
          <w:szCs w:val="21"/>
        </w:rPr>
        <w:t>在设计阶段加强建筑垃圾源头管控，按照《住房和城乡建设部关于推进建筑垃圾减量化的指导意见》（建质〔2020〕46 号）的有关规定进行设计。</w:t>
      </w:r>
    </w:p>
    <w:p w14:paraId="41CDFCE5">
      <w:pPr>
        <w:outlineLvl w:val="2"/>
        <w:rPr>
          <w:rFonts w:hint="eastAsia"/>
          <w:sz w:val="21"/>
          <w:szCs w:val="21"/>
        </w:rPr>
      </w:pPr>
      <w:bookmarkStart w:id="54" w:name="_Toc18205"/>
      <w:r>
        <w:rPr>
          <w:rFonts w:hint="eastAsia" w:ascii="黑体" w:hAnsi="黑体" w:eastAsia="黑体" w:cs="黑体"/>
          <w:sz w:val="21"/>
          <w:szCs w:val="21"/>
          <w:lang w:val="en-US" w:eastAsia="zh-CN"/>
        </w:rPr>
        <w:t xml:space="preserve">4.3.3 </w:t>
      </w:r>
      <w:r>
        <w:rPr>
          <w:sz w:val="21"/>
          <w:szCs w:val="21"/>
        </w:rPr>
        <w:t xml:space="preserve"> </w:t>
      </w:r>
      <w:r>
        <w:rPr>
          <w:rFonts w:hint="eastAsia"/>
          <w:sz w:val="21"/>
          <w:szCs w:val="21"/>
        </w:rPr>
        <w:t>绿色施工</w:t>
      </w:r>
      <w:r>
        <w:rPr>
          <w:sz w:val="21"/>
          <w:szCs w:val="21"/>
        </w:rPr>
        <w:t>评价应</w:t>
      </w:r>
      <w:r>
        <w:rPr>
          <w:rFonts w:hint="eastAsia"/>
          <w:sz w:val="21"/>
          <w:szCs w:val="21"/>
        </w:rPr>
        <w:t>符合</w:t>
      </w:r>
      <w:r>
        <w:rPr>
          <w:sz w:val="21"/>
          <w:szCs w:val="21"/>
        </w:rPr>
        <w:t>下列规定：</w:t>
      </w:r>
      <w:bookmarkEnd w:id="54"/>
    </w:p>
    <w:p w14:paraId="166BAA98">
      <w:pPr>
        <w:ind w:firstLine="420" w:firstLineChars="200"/>
        <w:rPr>
          <w:rFonts w:hint="eastAsia"/>
          <w:sz w:val="21"/>
          <w:szCs w:val="21"/>
        </w:rPr>
      </w:pPr>
      <w:r>
        <w:rPr>
          <w:rFonts w:hint="eastAsia" w:cs="Times New Roman"/>
          <w:sz w:val="21"/>
          <w:szCs w:val="21"/>
          <w:lang w:val="en-US" w:eastAsia="zh-CN"/>
        </w:rPr>
        <w:t xml:space="preserve">a） </w:t>
      </w:r>
      <w:r>
        <w:rPr>
          <w:sz w:val="21"/>
          <w:szCs w:val="21"/>
        </w:rPr>
        <w:t>施工单位应根据设计文件、场地条件、周边环境和绿色建造总体要求，明确绿色建造的目标、材料、方法和实施内容，并在</w:t>
      </w:r>
      <w:r>
        <w:rPr>
          <w:rFonts w:hint="eastAsia"/>
          <w:sz w:val="21"/>
          <w:szCs w:val="21"/>
        </w:rPr>
        <w:t>图纸</w:t>
      </w:r>
      <w:r>
        <w:rPr>
          <w:sz w:val="21"/>
          <w:szCs w:val="21"/>
        </w:rPr>
        <w:t>会审时提出需设计单位配合的建议和</w:t>
      </w:r>
      <w:r>
        <w:rPr>
          <w:rFonts w:hint="eastAsia"/>
          <w:sz w:val="21"/>
          <w:szCs w:val="21"/>
        </w:rPr>
        <w:t>意见。</w:t>
      </w:r>
    </w:p>
    <w:p w14:paraId="3B7C550C">
      <w:pPr>
        <w:ind w:firstLine="420" w:firstLineChars="200"/>
        <w:rPr>
          <w:rFonts w:hint="eastAsia"/>
          <w:sz w:val="21"/>
          <w:szCs w:val="21"/>
        </w:rPr>
      </w:pPr>
      <w:r>
        <w:rPr>
          <w:rFonts w:hint="eastAsia"/>
          <w:sz w:val="21"/>
          <w:szCs w:val="21"/>
          <w:lang w:val="en-US" w:eastAsia="zh-CN"/>
        </w:rPr>
        <w:t>b）</w:t>
      </w:r>
      <w:r>
        <w:rPr>
          <w:sz w:val="21"/>
          <w:szCs w:val="21"/>
        </w:rPr>
        <w:t xml:space="preserve"> 施工总平面应针对施工场地、环境和条件进行分析，制定具体实施方案。</w:t>
      </w:r>
    </w:p>
    <w:p w14:paraId="2BD7804E">
      <w:pPr>
        <w:ind w:firstLine="420" w:firstLineChars="200"/>
        <w:rPr>
          <w:rFonts w:hint="eastAsia"/>
          <w:sz w:val="21"/>
          <w:szCs w:val="21"/>
        </w:rPr>
      </w:pPr>
      <w:r>
        <w:rPr>
          <w:rFonts w:hint="eastAsia"/>
          <w:sz w:val="21"/>
          <w:szCs w:val="21"/>
          <w:lang w:val="en-US" w:eastAsia="zh-CN"/>
        </w:rPr>
        <w:t>c）</w:t>
      </w:r>
      <w:r>
        <w:rPr>
          <w:sz w:val="21"/>
          <w:szCs w:val="21"/>
        </w:rPr>
        <w:t xml:space="preserve"> </w:t>
      </w:r>
      <w:r>
        <w:rPr>
          <w:rFonts w:hint="eastAsia"/>
          <w:sz w:val="21"/>
          <w:szCs w:val="21"/>
        </w:rPr>
        <w:t>应结合工程加工、运输、安装方案和施工工艺要求，细化节点构造和具体做法。</w:t>
      </w:r>
    </w:p>
    <w:p w14:paraId="05620D1A">
      <w:pPr>
        <w:ind w:firstLine="420" w:firstLineChars="200"/>
        <w:rPr>
          <w:rFonts w:hint="eastAsia"/>
          <w:sz w:val="21"/>
          <w:szCs w:val="21"/>
        </w:rPr>
      </w:pPr>
      <w:r>
        <w:rPr>
          <w:rFonts w:hint="eastAsia"/>
          <w:sz w:val="21"/>
          <w:szCs w:val="21"/>
          <w:lang w:val="en-US" w:eastAsia="zh-CN"/>
        </w:rPr>
        <w:t>d</w:t>
      </w:r>
      <w:r>
        <w:rPr>
          <w:rFonts w:hint="eastAsia"/>
          <w:sz w:val="21"/>
          <w:szCs w:val="21"/>
          <w:lang w:eastAsia="zh-CN"/>
        </w:rPr>
        <w:t>）</w:t>
      </w:r>
      <w:r>
        <w:rPr>
          <w:rFonts w:hint="eastAsia"/>
          <w:sz w:val="21"/>
          <w:szCs w:val="21"/>
          <w:lang w:val="en-US" w:eastAsia="zh-CN"/>
        </w:rPr>
        <w:t xml:space="preserve"> </w:t>
      </w:r>
      <w:r>
        <w:rPr>
          <w:rFonts w:hint="eastAsia"/>
          <w:sz w:val="21"/>
          <w:szCs w:val="21"/>
        </w:rPr>
        <w:t>优化施工组织设计，推行临时设施和永久性设施的结合利用，合理确定施工工序，推行数字化加工和信息化管理。</w:t>
      </w:r>
    </w:p>
    <w:p w14:paraId="1D9D4CFA">
      <w:pPr>
        <w:ind w:firstLine="420" w:firstLineChars="200"/>
        <w:rPr>
          <w:rFonts w:hint="eastAsia"/>
          <w:sz w:val="21"/>
          <w:szCs w:val="21"/>
        </w:rPr>
      </w:pPr>
      <w:r>
        <w:rPr>
          <w:rFonts w:hint="eastAsia"/>
          <w:sz w:val="21"/>
          <w:szCs w:val="21"/>
          <w:lang w:val="en-US" w:eastAsia="zh-CN"/>
        </w:rPr>
        <w:t>e</w:t>
      </w:r>
      <w:r>
        <w:rPr>
          <w:rFonts w:hint="eastAsia"/>
          <w:sz w:val="21"/>
          <w:szCs w:val="21"/>
          <w:lang w:eastAsia="zh-CN"/>
        </w:rPr>
        <w:t>）</w:t>
      </w:r>
      <w:r>
        <w:rPr>
          <w:rFonts w:hint="eastAsia"/>
          <w:sz w:val="21"/>
          <w:szCs w:val="21"/>
          <w:lang w:val="en-US" w:eastAsia="zh-CN"/>
        </w:rPr>
        <w:t xml:space="preserve"> </w:t>
      </w:r>
      <w:r>
        <w:rPr>
          <w:sz w:val="21"/>
          <w:szCs w:val="21"/>
        </w:rPr>
        <w:t>临时设施的占地面积</w:t>
      </w:r>
      <w:r>
        <w:rPr>
          <w:rFonts w:hint="eastAsia"/>
          <w:sz w:val="21"/>
          <w:szCs w:val="21"/>
        </w:rPr>
        <w:t>可</w:t>
      </w:r>
      <w:r>
        <w:rPr>
          <w:sz w:val="21"/>
          <w:szCs w:val="21"/>
        </w:rPr>
        <w:t>按最低面积指标设计，有效使用临时设施用地。</w:t>
      </w:r>
    </w:p>
    <w:p w14:paraId="369EE4F1">
      <w:pPr>
        <w:ind w:firstLine="420" w:firstLineChars="200"/>
        <w:rPr>
          <w:rFonts w:hint="eastAsia"/>
          <w:sz w:val="21"/>
          <w:szCs w:val="21"/>
        </w:rPr>
      </w:pPr>
      <w:r>
        <w:rPr>
          <w:rFonts w:hint="eastAsia"/>
          <w:sz w:val="21"/>
          <w:szCs w:val="21"/>
          <w:lang w:val="en-US" w:eastAsia="zh-CN"/>
        </w:rPr>
        <w:t>f</w:t>
      </w:r>
      <w:r>
        <w:rPr>
          <w:rFonts w:hint="eastAsia"/>
          <w:sz w:val="21"/>
          <w:szCs w:val="21"/>
          <w:lang w:eastAsia="zh-CN"/>
        </w:rPr>
        <w:t>）</w:t>
      </w:r>
      <w:r>
        <w:rPr>
          <w:rFonts w:hint="eastAsia"/>
          <w:sz w:val="21"/>
          <w:szCs w:val="21"/>
          <w:lang w:val="en-US" w:eastAsia="zh-CN"/>
        </w:rPr>
        <w:t xml:space="preserve"> </w:t>
      </w:r>
      <w:r>
        <w:rPr>
          <w:sz w:val="21"/>
          <w:szCs w:val="21"/>
        </w:rPr>
        <w:t>施工单位</w:t>
      </w:r>
      <w:r>
        <w:rPr>
          <w:rFonts w:hint="eastAsia"/>
          <w:sz w:val="21"/>
          <w:szCs w:val="21"/>
        </w:rPr>
        <w:t>应</w:t>
      </w:r>
      <w:r>
        <w:rPr>
          <w:sz w:val="21"/>
          <w:szCs w:val="21"/>
        </w:rPr>
        <w:t>建立建筑材料数据库，采用绿色性能相对优良的建筑材料。</w:t>
      </w:r>
    </w:p>
    <w:p w14:paraId="08C1CE64">
      <w:pPr>
        <w:ind w:firstLine="420" w:firstLineChars="200"/>
        <w:rPr>
          <w:rFonts w:hint="eastAsia"/>
          <w:sz w:val="21"/>
          <w:szCs w:val="21"/>
        </w:rPr>
      </w:pPr>
      <w:r>
        <w:rPr>
          <w:rFonts w:hint="eastAsia"/>
          <w:sz w:val="21"/>
          <w:szCs w:val="21"/>
          <w:lang w:val="en-US" w:eastAsia="zh-CN"/>
        </w:rPr>
        <w:t>g</w:t>
      </w:r>
      <w:r>
        <w:rPr>
          <w:rFonts w:hint="eastAsia"/>
          <w:sz w:val="21"/>
          <w:szCs w:val="21"/>
          <w:lang w:eastAsia="zh-CN"/>
        </w:rPr>
        <w:t>）</w:t>
      </w:r>
      <w:r>
        <w:rPr>
          <w:rFonts w:hint="eastAsia"/>
          <w:sz w:val="21"/>
          <w:szCs w:val="21"/>
          <w:lang w:val="en-US" w:eastAsia="zh-CN"/>
        </w:rPr>
        <w:t xml:space="preserve"> </w:t>
      </w:r>
      <w:r>
        <w:rPr>
          <w:rFonts w:hint="eastAsia"/>
          <w:sz w:val="21"/>
          <w:szCs w:val="21"/>
        </w:rPr>
        <w:t>应</w:t>
      </w:r>
      <w:r>
        <w:rPr>
          <w:sz w:val="21"/>
          <w:szCs w:val="21"/>
        </w:rPr>
        <w:t>建立施工机械设备数据库。</w:t>
      </w:r>
    </w:p>
    <w:p w14:paraId="0E1787D5">
      <w:pPr>
        <w:outlineLvl w:val="2"/>
        <w:rPr>
          <w:rFonts w:hint="eastAsia"/>
          <w:sz w:val="21"/>
          <w:szCs w:val="21"/>
        </w:rPr>
      </w:pPr>
      <w:bookmarkStart w:id="55" w:name="_Toc16371"/>
      <w:r>
        <w:rPr>
          <w:rFonts w:hint="eastAsia" w:ascii="黑体" w:hAnsi="黑体" w:eastAsia="黑体" w:cs="黑体"/>
          <w:sz w:val="21"/>
          <w:szCs w:val="21"/>
          <w:lang w:val="en-US" w:eastAsia="zh-CN"/>
        </w:rPr>
        <w:t>4.3.4</w:t>
      </w:r>
      <w:r>
        <w:rPr>
          <w:sz w:val="21"/>
          <w:szCs w:val="21"/>
        </w:rPr>
        <w:t xml:space="preserve">  </w:t>
      </w:r>
      <w:r>
        <w:rPr>
          <w:rFonts w:hint="eastAsia"/>
          <w:sz w:val="21"/>
          <w:szCs w:val="21"/>
        </w:rPr>
        <w:t>绿色移交</w:t>
      </w:r>
      <w:r>
        <w:rPr>
          <w:sz w:val="21"/>
          <w:szCs w:val="21"/>
        </w:rPr>
        <w:t>评价应</w:t>
      </w:r>
      <w:r>
        <w:rPr>
          <w:rFonts w:hint="eastAsia"/>
          <w:sz w:val="21"/>
          <w:szCs w:val="21"/>
        </w:rPr>
        <w:t>符合</w:t>
      </w:r>
      <w:r>
        <w:rPr>
          <w:sz w:val="21"/>
          <w:szCs w:val="21"/>
        </w:rPr>
        <w:t>下列规定：</w:t>
      </w:r>
      <w:bookmarkEnd w:id="55"/>
    </w:p>
    <w:p w14:paraId="37C29E04">
      <w:pPr>
        <w:ind w:firstLine="420" w:firstLineChars="200"/>
        <w:jc w:val="left"/>
        <w:rPr>
          <w:rFonts w:hint="eastAsia"/>
          <w:sz w:val="21"/>
          <w:szCs w:val="21"/>
        </w:rPr>
      </w:pPr>
      <w:r>
        <w:rPr>
          <w:rFonts w:hint="eastAsia"/>
          <w:sz w:val="21"/>
          <w:szCs w:val="21"/>
          <w:lang w:val="en-US" w:eastAsia="zh-CN"/>
        </w:rPr>
        <w:t xml:space="preserve">a） </w:t>
      </w:r>
      <w:r>
        <w:rPr>
          <w:rFonts w:hint="eastAsia"/>
          <w:sz w:val="21"/>
          <w:szCs w:val="21"/>
        </w:rPr>
        <w:t>按合</w:t>
      </w:r>
      <w:r>
        <w:rPr>
          <w:sz w:val="21"/>
          <w:szCs w:val="21"/>
        </w:rPr>
        <w:t>同约定</w:t>
      </w:r>
      <w:r>
        <w:rPr>
          <w:rFonts w:hint="eastAsia"/>
          <w:sz w:val="21"/>
          <w:szCs w:val="21"/>
        </w:rPr>
        <w:t>应在规定时间内完成临时用地的复垦和植被恢复，如属地政府另有要求，从其要求。</w:t>
      </w:r>
    </w:p>
    <w:p w14:paraId="4034DCAA">
      <w:pPr>
        <w:ind w:firstLine="420" w:firstLineChars="200"/>
        <w:jc w:val="left"/>
        <w:rPr>
          <w:rFonts w:hint="eastAsia"/>
          <w:sz w:val="21"/>
          <w:szCs w:val="21"/>
        </w:rPr>
      </w:pPr>
      <w:r>
        <w:rPr>
          <w:rFonts w:hint="eastAsia"/>
          <w:sz w:val="21"/>
          <w:szCs w:val="21"/>
          <w:lang w:val="en-US" w:eastAsia="zh-CN"/>
        </w:rPr>
        <w:t xml:space="preserve">b） </w:t>
      </w:r>
      <w:r>
        <w:rPr>
          <w:rFonts w:hint="eastAsia"/>
          <w:sz w:val="21"/>
          <w:szCs w:val="21"/>
        </w:rPr>
        <w:t>完成电力建设项目生产及其配套、辅助系统相关检测和监测，提交各设备、运行系统使用说明书、操作规程、系统图等。</w:t>
      </w:r>
    </w:p>
    <w:p w14:paraId="47023E19">
      <w:pPr>
        <w:ind w:firstLine="420" w:firstLineChars="200"/>
        <w:jc w:val="left"/>
        <w:rPr>
          <w:rFonts w:hint="eastAsia"/>
          <w:sz w:val="21"/>
          <w:szCs w:val="21"/>
        </w:rPr>
      </w:pPr>
      <w:r>
        <w:rPr>
          <w:rFonts w:hint="eastAsia"/>
          <w:sz w:val="21"/>
          <w:szCs w:val="21"/>
          <w:lang w:val="en-US" w:eastAsia="zh-CN"/>
        </w:rPr>
        <w:t>c）</w:t>
      </w:r>
      <w:r>
        <w:rPr>
          <w:sz w:val="21"/>
          <w:szCs w:val="21"/>
        </w:rPr>
        <w:t xml:space="preserve"> 结合</w:t>
      </w:r>
      <w:r>
        <w:rPr>
          <w:rFonts w:hint="eastAsia"/>
          <w:sz w:val="21"/>
          <w:szCs w:val="21"/>
        </w:rPr>
        <w:t>电力建设项目</w:t>
      </w:r>
      <w:r>
        <w:rPr>
          <w:sz w:val="21"/>
          <w:szCs w:val="21"/>
        </w:rPr>
        <w:t>单体设备用能、系统经济性指标、整体生产运行情况进行综合评价</w:t>
      </w:r>
      <w:r>
        <w:rPr>
          <w:rFonts w:hint="eastAsia"/>
          <w:sz w:val="21"/>
          <w:szCs w:val="21"/>
        </w:rPr>
        <w:t>。</w:t>
      </w:r>
    </w:p>
    <w:p w14:paraId="3C1524D7">
      <w:pPr>
        <w:ind w:firstLine="420" w:firstLineChars="200"/>
        <w:jc w:val="left"/>
        <w:rPr>
          <w:rFonts w:hint="eastAsia"/>
          <w:sz w:val="21"/>
          <w:szCs w:val="21"/>
        </w:rPr>
      </w:pPr>
      <w:r>
        <w:rPr>
          <w:rFonts w:hint="eastAsia"/>
          <w:sz w:val="21"/>
          <w:szCs w:val="21"/>
          <w:lang w:val="en-US" w:eastAsia="zh-CN"/>
        </w:rPr>
        <w:t>d）</w:t>
      </w:r>
      <w:r>
        <w:rPr>
          <w:sz w:val="21"/>
          <w:szCs w:val="21"/>
        </w:rPr>
        <w:t xml:space="preserve"> </w:t>
      </w:r>
      <w:r>
        <w:rPr>
          <w:rFonts w:hint="eastAsia"/>
          <w:sz w:val="21"/>
          <w:szCs w:val="21"/>
        </w:rPr>
        <w:t>建设项目竣工后</w:t>
      </w:r>
      <w:r>
        <w:rPr>
          <w:sz w:val="21"/>
          <w:szCs w:val="21"/>
        </w:rPr>
        <w:t>1</w:t>
      </w:r>
      <w:r>
        <w:rPr>
          <w:rFonts w:hint="eastAsia"/>
          <w:sz w:val="21"/>
          <w:szCs w:val="21"/>
        </w:rPr>
        <w:t>个月内，应完成绿色建造自评价工作，提供自评价报告及相关支撑性材料。</w:t>
      </w:r>
    </w:p>
    <w:p w14:paraId="4E96A669">
      <w:pPr>
        <w:ind w:firstLine="420" w:firstLineChars="200"/>
        <w:rPr>
          <w:rFonts w:hint="eastAsia"/>
          <w:sz w:val="21"/>
          <w:szCs w:val="21"/>
        </w:rPr>
      </w:pPr>
      <w:r>
        <w:rPr>
          <w:rFonts w:hint="eastAsia"/>
          <w:sz w:val="21"/>
          <w:szCs w:val="21"/>
          <w:lang w:val="en-US" w:eastAsia="zh-CN"/>
        </w:rPr>
        <w:t>e）</w:t>
      </w:r>
      <w:r>
        <w:rPr>
          <w:sz w:val="21"/>
          <w:szCs w:val="21"/>
        </w:rPr>
        <w:t xml:space="preserve"> </w:t>
      </w:r>
      <w:r>
        <w:rPr>
          <w:rFonts w:hint="eastAsia"/>
          <w:sz w:val="21"/>
          <w:szCs w:val="21"/>
        </w:rPr>
        <w:t>根据绿色建造项目的实体交付、数字交付范围、内容及交付标准。绿色移交内容应于主体档案资料一并移交。</w:t>
      </w:r>
    </w:p>
    <w:p w14:paraId="047ADAD9">
      <w:pPr>
        <w:spacing w:before="120" w:beforeLines="50" w:after="240" w:afterLines="100"/>
        <w:jc w:val="left"/>
        <w:outlineLvl w:val="0"/>
        <w:rPr>
          <w:rFonts w:hint="eastAsia" w:ascii="黑体" w:hAnsi="黑体" w:eastAsia="黑体" w:cs="黑体"/>
          <w:sz w:val="21"/>
          <w:szCs w:val="21"/>
        </w:rPr>
      </w:pPr>
      <w:bookmarkStart w:id="56" w:name="_Toc174141234"/>
      <w:bookmarkStart w:id="57" w:name="_Toc20807"/>
      <w:bookmarkStart w:id="58" w:name="_Toc3805"/>
      <w:r>
        <w:rPr>
          <w:rFonts w:hint="eastAsia" w:ascii="黑体" w:hAnsi="黑体" w:eastAsia="黑体" w:cs="黑体"/>
          <w:sz w:val="21"/>
          <w:szCs w:val="21"/>
          <w:lang w:val="en-US" w:eastAsia="zh-CN"/>
        </w:rPr>
        <w:t>5</w:t>
      </w:r>
      <w:r>
        <w:rPr>
          <w:rFonts w:hint="eastAsia" w:ascii="黑体" w:hAnsi="黑体" w:eastAsia="黑体" w:cs="黑体"/>
          <w:sz w:val="21"/>
          <w:szCs w:val="21"/>
        </w:rPr>
        <w:t xml:space="preserve">  绿色策划</w:t>
      </w:r>
      <w:bookmarkEnd w:id="56"/>
      <w:bookmarkEnd w:id="57"/>
      <w:bookmarkEnd w:id="58"/>
    </w:p>
    <w:p w14:paraId="782A5BFE">
      <w:pPr>
        <w:spacing w:before="120" w:beforeLines="50" w:after="240" w:afterLines="100"/>
        <w:jc w:val="left"/>
        <w:outlineLvl w:val="1"/>
        <w:rPr>
          <w:rFonts w:hint="eastAsia" w:ascii="黑体" w:hAnsi="黑体" w:eastAsia="黑体" w:cs="黑体"/>
          <w:sz w:val="21"/>
          <w:szCs w:val="21"/>
        </w:rPr>
      </w:pPr>
      <w:bookmarkStart w:id="59" w:name="_Toc174141235"/>
      <w:bookmarkStart w:id="60" w:name="_Toc3129"/>
      <w:bookmarkStart w:id="61" w:name="_Toc21990"/>
      <w:r>
        <w:rPr>
          <w:rFonts w:hint="eastAsia" w:ascii="黑体" w:hAnsi="黑体" w:eastAsia="黑体" w:cs="黑体"/>
          <w:sz w:val="21"/>
          <w:szCs w:val="21"/>
          <w:lang w:val="en-US" w:eastAsia="zh-CN"/>
        </w:rPr>
        <w:t>5.1</w:t>
      </w:r>
      <w:r>
        <w:rPr>
          <w:rFonts w:hint="eastAsia" w:ascii="黑体" w:hAnsi="黑体" w:eastAsia="黑体" w:cs="黑体"/>
          <w:sz w:val="21"/>
          <w:szCs w:val="21"/>
        </w:rPr>
        <w:t xml:space="preserve">  总体策划</w:t>
      </w:r>
      <w:bookmarkEnd w:id="59"/>
      <w:bookmarkEnd w:id="60"/>
      <w:bookmarkEnd w:id="61"/>
    </w:p>
    <w:p w14:paraId="0C182313">
      <w:pPr>
        <w:jc w:val="left"/>
        <w:rPr>
          <w:rFonts w:hint="eastAsia" w:cs="Times New Roman"/>
          <w:sz w:val="21"/>
          <w:szCs w:val="21"/>
        </w:rPr>
      </w:pPr>
      <w:r>
        <w:rPr>
          <w:rFonts w:hint="eastAsia" w:ascii="黑体" w:hAnsi="黑体" w:eastAsia="黑体" w:cs="黑体"/>
          <w:sz w:val="21"/>
          <w:szCs w:val="21"/>
          <w:lang w:eastAsia="zh-CN"/>
        </w:rPr>
        <w:t>5.1.</w:t>
      </w:r>
      <w:r>
        <w:rPr>
          <w:rFonts w:hint="eastAsia" w:ascii="黑体" w:hAnsi="黑体" w:eastAsia="黑体" w:cs="黑体"/>
          <w:sz w:val="21"/>
          <w:szCs w:val="21"/>
        </w:rPr>
        <w:t xml:space="preserve">1 </w:t>
      </w:r>
      <w:r>
        <w:rPr>
          <w:rFonts w:cs="Times New Roman"/>
          <w:sz w:val="21"/>
          <w:szCs w:val="21"/>
        </w:rPr>
        <w:t xml:space="preserve"> </w:t>
      </w:r>
      <w:r>
        <w:rPr>
          <w:rFonts w:hint="eastAsia" w:cs="Times New Roman"/>
          <w:sz w:val="21"/>
          <w:szCs w:val="21"/>
        </w:rPr>
        <w:t>绿色总体</w:t>
      </w:r>
      <w:r>
        <w:rPr>
          <w:rFonts w:cs="Times New Roman"/>
          <w:sz w:val="21"/>
          <w:szCs w:val="21"/>
        </w:rPr>
        <w:t>策划</w:t>
      </w:r>
      <w:r>
        <w:rPr>
          <w:rFonts w:hint="eastAsia" w:cs="Times New Roman"/>
          <w:sz w:val="21"/>
          <w:szCs w:val="21"/>
        </w:rPr>
        <w:t>评价应检查建设单位编制的绿色总体策划文件，</w:t>
      </w:r>
      <w:r>
        <w:rPr>
          <w:rFonts w:cs="Times New Roman"/>
          <w:sz w:val="21"/>
          <w:szCs w:val="21"/>
        </w:rPr>
        <w:t>应在可研批复后完成编制</w:t>
      </w:r>
      <w:r>
        <w:rPr>
          <w:rFonts w:hint="eastAsia" w:cs="Times New Roman"/>
          <w:sz w:val="21"/>
          <w:szCs w:val="21"/>
        </w:rPr>
        <w:t>。总</w:t>
      </w:r>
      <w:r>
        <w:rPr>
          <w:rFonts w:cs="Times New Roman"/>
          <w:sz w:val="21"/>
          <w:szCs w:val="21"/>
        </w:rPr>
        <w:t>体</w:t>
      </w:r>
      <w:r>
        <w:rPr>
          <w:rFonts w:hint="eastAsia" w:cs="Times New Roman"/>
          <w:sz w:val="21"/>
          <w:szCs w:val="21"/>
        </w:rPr>
        <w:t>策划文件应包括总体目标、分项目标、组织架构及职责分工、新技术应用及技术创新、主要控制指标、主要工作计划、实施和评价管理。</w:t>
      </w:r>
    </w:p>
    <w:p w14:paraId="150656DD">
      <w:pPr>
        <w:jc w:val="left"/>
        <w:rPr>
          <w:rFonts w:hint="eastAsia" w:cs="Times New Roman"/>
          <w:sz w:val="21"/>
          <w:szCs w:val="21"/>
        </w:rPr>
      </w:pPr>
      <w:r>
        <w:rPr>
          <w:rFonts w:hint="eastAsia" w:ascii="黑体" w:hAnsi="黑体" w:eastAsia="黑体" w:cs="黑体"/>
          <w:sz w:val="21"/>
          <w:szCs w:val="21"/>
          <w:lang w:eastAsia="zh-CN"/>
        </w:rPr>
        <w:t xml:space="preserve">5.1.2 </w:t>
      </w:r>
      <w:r>
        <w:rPr>
          <w:rFonts w:cs="Times New Roman"/>
          <w:sz w:val="21"/>
          <w:szCs w:val="21"/>
        </w:rPr>
        <w:t xml:space="preserve"> </w:t>
      </w:r>
      <w:r>
        <w:rPr>
          <w:rFonts w:hint="eastAsia" w:cs="Times New Roman"/>
          <w:sz w:val="21"/>
          <w:szCs w:val="21"/>
        </w:rPr>
        <w:t>制定</w:t>
      </w:r>
      <w:r>
        <w:rPr>
          <w:rFonts w:cs="Times New Roman"/>
          <w:sz w:val="21"/>
          <w:szCs w:val="21"/>
        </w:rPr>
        <w:t>的</w:t>
      </w:r>
      <w:r>
        <w:rPr>
          <w:rFonts w:hint="eastAsia" w:cs="Times New Roman"/>
          <w:sz w:val="21"/>
          <w:szCs w:val="21"/>
        </w:rPr>
        <w:t>总体目标应符合国家、行业政策导向，结合各专业领域的具体特点和管理要求，明确电力行业绿色建造示范工程创建等目标。</w:t>
      </w:r>
    </w:p>
    <w:p w14:paraId="2F3F1049">
      <w:pPr>
        <w:jc w:val="left"/>
        <w:rPr>
          <w:rFonts w:hint="eastAsia" w:cs="Times New Roman"/>
          <w:sz w:val="21"/>
          <w:szCs w:val="21"/>
        </w:rPr>
      </w:pPr>
      <w:r>
        <w:rPr>
          <w:rFonts w:hint="eastAsia" w:ascii="黑体" w:hAnsi="黑体" w:eastAsia="黑体" w:cs="黑体"/>
          <w:sz w:val="21"/>
          <w:szCs w:val="21"/>
          <w:lang w:eastAsia="zh-CN"/>
        </w:rPr>
        <w:t xml:space="preserve">5.1.3  </w:t>
      </w:r>
      <w:r>
        <w:rPr>
          <w:rFonts w:hint="eastAsia" w:cs="Times New Roman"/>
          <w:sz w:val="21"/>
          <w:szCs w:val="21"/>
        </w:rPr>
        <w:t>分项目标应明确建筑垃圾减量化、绿色材料应用、“四节一环保”、水土保持与水土流失防控等目标。分项目标应可量化、可操作。</w:t>
      </w:r>
    </w:p>
    <w:p w14:paraId="6D6BE74C">
      <w:pPr>
        <w:jc w:val="left"/>
        <w:rPr>
          <w:rFonts w:hint="eastAsia" w:cs="Times New Roman"/>
          <w:sz w:val="21"/>
          <w:szCs w:val="21"/>
        </w:rPr>
      </w:pPr>
    </w:p>
    <w:p w14:paraId="21609C9C">
      <w:pPr>
        <w:jc w:val="left"/>
        <w:outlineLvl w:val="1"/>
        <w:rPr>
          <w:rFonts w:hint="eastAsia" w:ascii="黑体" w:hAnsi="黑体" w:eastAsia="黑体" w:cs="黑体"/>
          <w:sz w:val="21"/>
          <w:szCs w:val="21"/>
          <w:lang w:eastAsia="zh-CN"/>
        </w:rPr>
      </w:pPr>
      <w:bookmarkStart w:id="62" w:name="_Toc174141236"/>
      <w:bookmarkStart w:id="63" w:name="_Toc10056"/>
      <w:bookmarkStart w:id="64" w:name="_Toc3998"/>
      <w:r>
        <w:rPr>
          <w:rFonts w:hint="eastAsia" w:ascii="黑体" w:hAnsi="黑体" w:eastAsia="黑体" w:cs="黑体"/>
          <w:sz w:val="21"/>
          <w:szCs w:val="21"/>
          <w:lang w:val="en-US" w:eastAsia="zh-CN"/>
        </w:rPr>
        <w:t>5</w:t>
      </w:r>
      <w:r>
        <w:rPr>
          <w:rFonts w:hint="eastAsia" w:ascii="黑体" w:hAnsi="黑体" w:eastAsia="黑体" w:cs="黑体"/>
          <w:sz w:val="21"/>
          <w:szCs w:val="21"/>
          <w:lang w:eastAsia="zh-CN"/>
        </w:rPr>
        <w:t>.2  设计策划</w:t>
      </w:r>
      <w:bookmarkEnd w:id="62"/>
      <w:bookmarkEnd w:id="63"/>
      <w:bookmarkEnd w:id="64"/>
    </w:p>
    <w:p w14:paraId="20BFEB1E">
      <w:pPr>
        <w:jc w:val="left"/>
        <w:rPr>
          <w:rFonts w:hint="eastAsia" w:ascii="黑体" w:hAnsi="黑体" w:eastAsia="黑体" w:cs="黑体"/>
          <w:sz w:val="21"/>
          <w:szCs w:val="21"/>
          <w:lang w:eastAsia="zh-CN"/>
        </w:rPr>
      </w:pPr>
    </w:p>
    <w:p w14:paraId="1264C938">
      <w:pPr>
        <w:jc w:val="left"/>
        <w:rPr>
          <w:rFonts w:hint="eastAsia" w:cs="Times New Roman"/>
          <w:sz w:val="21"/>
          <w:szCs w:val="21"/>
        </w:rPr>
      </w:pPr>
      <w:r>
        <w:rPr>
          <w:rFonts w:hint="eastAsia" w:ascii="黑体" w:hAnsi="黑体" w:eastAsia="黑体" w:cs="黑体"/>
          <w:sz w:val="21"/>
          <w:szCs w:val="21"/>
          <w:lang w:eastAsia="zh-CN"/>
        </w:rPr>
        <w:t xml:space="preserve">5.2.1  </w:t>
      </w:r>
      <w:r>
        <w:rPr>
          <w:rFonts w:hint="eastAsia" w:cs="Times New Roman"/>
          <w:sz w:val="21"/>
          <w:szCs w:val="21"/>
        </w:rPr>
        <w:t>设计</w:t>
      </w:r>
      <w:r>
        <w:rPr>
          <w:rFonts w:cs="Times New Roman"/>
          <w:sz w:val="21"/>
          <w:szCs w:val="21"/>
        </w:rPr>
        <w:t>策划</w:t>
      </w:r>
      <w:r>
        <w:rPr>
          <w:rFonts w:hint="eastAsia" w:cs="Times New Roman"/>
          <w:sz w:val="21"/>
          <w:szCs w:val="21"/>
        </w:rPr>
        <w:t>评</w:t>
      </w:r>
      <w:r>
        <w:rPr>
          <w:rFonts w:cs="Times New Roman"/>
          <w:sz w:val="21"/>
          <w:szCs w:val="21"/>
        </w:rPr>
        <w:t>价</w:t>
      </w:r>
      <w:r>
        <w:rPr>
          <w:rFonts w:hint="eastAsia" w:cs="Times New Roman"/>
          <w:sz w:val="21"/>
          <w:szCs w:val="21"/>
        </w:rPr>
        <w:t>应审查</w:t>
      </w:r>
      <w:r>
        <w:rPr>
          <w:rFonts w:cs="Times New Roman"/>
          <w:sz w:val="21"/>
          <w:szCs w:val="21"/>
        </w:rPr>
        <w:t>设计单位编制的</w:t>
      </w:r>
      <w:r>
        <w:rPr>
          <w:rFonts w:hint="eastAsia" w:cs="Times New Roman"/>
          <w:sz w:val="21"/>
          <w:szCs w:val="21"/>
        </w:rPr>
        <w:t>绿色</w:t>
      </w:r>
      <w:r>
        <w:rPr>
          <w:rFonts w:cs="Times New Roman"/>
          <w:sz w:val="21"/>
          <w:szCs w:val="21"/>
        </w:rPr>
        <w:t>设计策划文件</w:t>
      </w:r>
      <w:r>
        <w:rPr>
          <w:rFonts w:hint="eastAsia" w:cs="Times New Roman"/>
          <w:sz w:val="21"/>
          <w:szCs w:val="21"/>
        </w:rPr>
        <w:t>。应依据绿色总体策划文件，在初步设计阶段编制绿色设计策划文件，应包括前期调研、目标分析、技术经济可行性分析等内容。</w:t>
      </w:r>
    </w:p>
    <w:p w14:paraId="3F8813D4">
      <w:pPr>
        <w:jc w:val="left"/>
        <w:rPr>
          <w:rFonts w:hint="eastAsia" w:cs="Times New Roman"/>
          <w:sz w:val="21"/>
          <w:szCs w:val="21"/>
        </w:rPr>
      </w:pPr>
      <w:r>
        <w:rPr>
          <w:rFonts w:hint="eastAsia" w:ascii="黑体" w:hAnsi="黑体" w:eastAsia="黑体" w:cs="黑体"/>
          <w:sz w:val="21"/>
          <w:szCs w:val="21"/>
          <w:lang w:eastAsia="zh-CN"/>
        </w:rPr>
        <w:t xml:space="preserve">5.2.2  </w:t>
      </w:r>
      <w:r>
        <w:rPr>
          <w:rFonts w:hint="eastAsia" w:cs="Times New Roman"/>
          <w:sz w:val="21"/>
          <w:szCs w:val="21"/>
        </w:rPr>
        <w:t xml:space="preserve">前期调研应包括地理位置、生态环境、水土保持要求、气候环境、周边环境、地形地貌、道路交通、规划条件和地方性材料等，通过调研确定设计方案。 </w:t>
      </w:r>
    </w:p>
    <w:p w14:paraId="626D857A">
      <w:pPr>
        <w:jc w:val="left"/>
        <w:rPr>
          <w:rFonts w:hint="eastAsia" w:cs="Times New Roman"/>
          <w:sz w:val="21"/>
          <w:szCs w:val="21"/>
        </w:rPr>
      </w:pPr>
      <w:r>
        <w:rPr>
          <w:rFonts w:hint="eastAsia" w:ascii="黑体" w:hAnsi="黑体" w:eastAsia="黑体" w:cs="黑体"/>
          <w:sz w:val="21"/>
          <w:szCs w:val="21"/>
          <w:lang w:eastAsia="zh-CN"/>
        </w:rPr>
        <w:t>5.2.3  目</w:t>
      </w:r>
      <w:r>
        <w:rPr>
          <w:rFonts w:hint="eastAsia" w:cs="Times New Roman"/>
          <w:sz w:val="21"/>
          <w:szCs w:val="21"/>
        </w:rPr>
        <w:t>标分析应包括工程自身特点和要求，需要达到现行国家评价标准和企业绿色建造指标评价的相应等级或得分，“四节一环保”目标、室内环境质量目标、水土保持目标、运行管理目标等。</w:t>
      </w:r>
    </w:p>
    <w:p w14:paraId="1EA694E1">
      <w:pPr>
        <w:jc w:val="left"/>
        <w:rPr>
          <w:rFonts w:hint="eastAsia" w:cs="Times New Roman"/>
          <w:sz w:val="21"/>
          <w:szCs w:val="21"/>
        </w:rPr>
      </w:pPr>
      <w:r>
        <w:rPr>
          <w:rFonts w:hint="eastAsia" w:ascii="黑体" w:hAnsi="黑体" w:eastAsia="黑体" w:cs="黑体"/>
          <w:sz w:val="21"/>
          <w:szCs w:val="21"/>
          <w:lang w:eastAsia="zh-CN"/>
        </w:rPr>
        <w:t xml:space="preserve">5.2.4  </w:t>
      </w:r>
      <w:r>
        <w:rPr>
          <w:rFonts w:hint="eastAsia" w:cs="Times New Roman"/>
          <w:sz w:val="21"/>
          <w:szCs w:val="21"/>
        </w:rPr>
        <w:t>技术经济可行性分析应包括技术可行性分析、环境效益分析、风险评估、经济效益评估。</w:t>
      </w:r>
    </w:p>
    <w:p w14:paraId="540D7DE2">
      <w:pPr>
        <w:jc w:val="left"/>
        <w:rPr>
          <w:rFonts w:hint="eastAsia" w:cs="Times New Roman"/>
          <w:sz w:val="21"/>
          <w:szCs w:val="21"/>
        </w:rPr>
      </w:pPr>
    </w:p>
    <w:p w14:paraId="77AA435E">
      <w:pPr>
        <w:jc w:val="left"/>
        <w:outlineLvl w:val="1"/>
        <w:rPr>
          <w:rFonts w:hint="eastAsia" w:ascii="黑体" w:hAnsi="黑体" w:eastAsia="黑体" w:cs="黑体"/>
          <w:sz w:val="21"/>
          <w:szCs w:val="21"/>
          <w:lang w:eastAsia="zh-CN"/>
        </w:rPr>
      </w:pPr>
      <w:bookmarkStart w:id="65" w:name="_Toc174141237"/>
      <w:bookmarkStart w:id="66" w:name="_Toc26716"/>
      <w:bookmarkStart w:id="67" w:name="_Toc18993"/>
      <w:r>
        <w:rPr>
          <w:rFonts w:hint="eastAsia" w:ascii="黑体" w:hAnsi="黑体" w:eastAsia="黑体" w:cs="黑体"/>
          <w:sz w:val="21"/>
          <w:szCs w:val="21"/>
          <w:lang w:val="en-US" w:eastAsia="zh-CN"/>
        </w:rPr>
        <w:t>5</w:t>
      </w:r>
      <w:r>
        <w:rPr>
          <w:rFonts w:hint="eastAsia" w:ascii="黑体" w:hAnsi="黑体" w:eastAsia="黑体" w:cs="黑体"/>
          <w:sz w:val="21"/>
          <w:szCs w:val="21"/>
          <w:lang w:eastAsia="zh-CN"/>
        </w:rPr>
        <w:t>.3  施工策划</w:t>
      </w:r>
      <w:bookmarkEnd w:id="65"/>
      <w:bookmarkEnd w:id="66"/>
      <w:bookmarkEnd w:id="67"/>
    </w:p>
    <w:p w14:paraId="36071B0E">
      <w:pPr>
        <w:jc w:val="left"/>
        <w:rPr>
          <w:rFonts w:hint="eastAsia" w:ascii="黑体" w:hAnsi="黑体" w:eastAsia="黑体" w:cs="黑体"/>
          <w:sz w:val="21"/>
          <w:szCs w:val="21"/>
          <w:lang w:eastAsia="zh-CN"/>
        </w:rPr>
      </w:pPr>
    </w:p>
    <w:p w14:paraId="59E75FDD">
      <w:pPr>
        <w:jc w:val="left"/>
        <w:rPr>
          <w:rFonts w:hint="eastAsia"/>
          <w:sz w:val="21"/>
          <w:szCs w:val="21"/>
        </w:rPr>
      </w:pPr>
      <w:r>
        <w:rPr>
          <w:rFonts w:hint="eastAsia" w:ascii="黑体" w:hAnsi="黑体" w:eastAsia="黑体" w:cs="黑体"/>
          <w:sz w:val="21"/>
          <w:szCs w:val="21"/>
          <w:lang w:eastAsia="zh-CN"/>
        </w:rPr>
        <w:t xml:space="preserve">5.3.1  </w:t>
      </w:r>
      <w:r>
        <w:rPr>
          <w:rFonts w:hint="eastAsia"/>
          <w:sz w:val="21"/>
          <w:szCs w:val="21"/>
        </w:rPr>
        <w:t>绿色施工策划应检查施工单位编制绿色施工策划文件，应依据</w:t>
      </w:r>
      <w:r>
        <w:rPr>
          <w:sz w:val="21"/>
          <w:szCs w:val="21"/>
        </w:rPr>
        <w:t>绿色总体策划文件</w:t>
      </w:r>
      <w:r>
        <w:rPr>
          <w:rFonts w:hint="eastAsia"/>
          <w:sz w:val="21"/>
          <w:szCs w:val="21"/>
        </w:rPr>
        <w:t>、绿色设计策划在开工前完成，应包括绿色施工目标、影响因素分析和环境风险评估、组织架构及职责分工、相关管理制度及技术标准、“四节一环保”措施、水土保持与水土流失防控、新技术应用及施工技术创新等内容。</w:t>
      </w:r>
    </w:p>
    <w:p w14:paraId="1C557EB9">
      <w:pPr>
        <w:jc w:val="left"/>
        <w:rPr>
          <w:rFonts w:hint="eastAsia"/>
          <w:sz w:val="21"/>
          <w:szCs w:val="21"/>
        </w:rPr>
      </w:pPr>
      <w:r>
        <w:rPr>
          <w:rFonts w:hint="eastAsia" w:ascii="黑体" w:hAnsi="黑体" w:eastAsia="黑体" w:cs="黑体"/>
          <w:sz w:val="21"/>
          <w:szCs w:val="21"/>
          <w:lang w:eastAsia="zh-CN"/>
        </w:rPr>
        <w:t xml:space="preserve">5.3.2 </w:t>
      </w:r>
      <w:r>
        <w:rPr>
          <w:sz w:val="21"/>
          <w:szCs w:val="21"/>
        </w:rPr>
        <w:t xml:space="preserve"> </w:t>
      </w:r>
      <w:r>
        <w:rPr>
          <w:rFonts w:hint="eastAsia"/>
          <w:sz w:val="21"/>
          <w:szCs w:val="21"/>
        </w:rPr>
        <w:t>绿色施工目标应包括节材与材料资源利用、建筑</w:t>
      </w:r>
      <w:r>
        <w:rPr>
          <w:sz w:val="21"/>
          <w:szCs w:val="21"/>
        </w:rPr>
        <w:t>垃圾控制与循环利用、</w:t>
      </w:r>
      <w:r>
        <w:rPr>
          <w:rFonts w:hint="eastAsia"/>
          <w:sz w:val="21"/>
          <w:szCs w:val="21"/>
        </w:rPr>
        <w:t>节水与水资源利用、节能与能源利用、节地与施工用地保护、环境保护与水土保持、经济效益与社会效益等方面目标。</w:t>
      </w:r>
    </w:p>
    <w:p w14:paraId="16EB4618">
      <w:pPr>
        <w:jc w:val="left"/>
        <w:rPr>
          <w:rFonts w:hint="eastAsia"/>
          <w:sz w:val="21"/>
          <w:szCs w:val="21"/>
        </w:rPr>
      </w:pPr>
      <w:r>
        <w:rPr>
          <w:rFonts w:hint="eastAsia" w:ascii="黑体" w:hAnsi="黑体" w:eastAsia="黑体" w:cs="黑体"/>
          <w:sz w:val="21"/>
          <w:szCs w:val="21"/>
          <w:lang w:eastAsia="zh-CN"/>
        </w:rPr>
        <w:t xml:space="preserve">5.3.3  </w:t>
      </w:r>
      <w:r>
        <w:rPr>
          <w:rFonts w:hint="eastAsia"/>
          <w:sz w:val="21"/>
          <w:szCs w:val="21"/>
        </w:rPr>
        <w:t>影响因素分析和环境风险评估应依据工程施工现场及周边环境、工程实际情况等影响因素分析和环境风险评估结果开展。对生态环境保护、资源节约与循环利用、碳排放降低、人力资源节约及职业健康安全等进行总体分析。</w:t>
      </w:r>
    </w:p>
    <w:p w14:paraId="5AECB3C0">
      <w:pPr>
        <w:jc w:val="left"/>
        <w:rPr>
          <w:rFonts w:hint="eastAsia"/>
          <w:sz w:val="21"/>
          <w:szCs w:val="21"/>
        </w:rPr>
      </w:pPr>
      <w:r>
        <w:rPr>
          <w:rFonts w:hint="eastAsia" w:ascii="黑体" w:hAnsi="黑体" w:eastAsia="黑体" w:cs="黑体"/>
          <w:sz w:val="21"/>
          <w:szCs w:val="21"/>
          <w:lang w:eastAsia="zh-CN"/>
        </w:rPr>
        <w:t xml:space="preserve">5.3.4  </w:t>
      </w:r>
      <w:r>
        <w:rPr>
          <w:rFonts w:hint="eastAsia"/>
          <w:sz w:val="21"/>
          <w:szCs w:val="21"/>
        </w:rPr>
        <w:t>水土保持与水土流失防控应明确水土流失防治责任范围。</w:t>
      </w:r>
    </w:p>
    <w:p w14:paraId="45B8ACF5">
      <w:pPr>
        <w:jc w:val="left"/>
        <w:rPr>
          <w:rFonts w:hint="eastAsia"/>
          <w:sz w:val="21"/>
          <w:szCs w:val="21"/>
        </w:rPr>
      </w:pPr>
      <w:r>
        <w:rPr>
          <w:rFonts w:hint="eastAsia" w:ascii="黑体" w:hAnsi="黑体" w:eastAsia="黑体" w:cs="黑体"/>
          <w:sz w:val="21"/>
          <w:szCs w:val="21"/>
          <w:lang w:eastAsia="zh-CN"/>
        </w:rPr>
        <w:t xml:space="preserve">5.3.5  </w:t>
      </w:r>
      <w:r>
        <w:rPr>
          <w:rFonts w:hint="eastAsia"/>
          <w:sz w:val="21"/>
          <w:szCs w:val="21"/>
        </w:rPr>
        <w:t>新技术应用及施工技术创新应包括国家重点节能低碳节能技术应用、电力行业“五新”技术及电力建设低碳技术应用、建筑业</w:t>
      </w:r>
      <w:r>
        <w:rPr>
          <w:sz w:val="21"/>
          <w:szCs w:val="21"/>
        </w:rPr>
        <w:t>10</w:t>
      </w:r>
      <w:r>
        <w:rPr>
          <w:rFonts w:hint="eastAsia"/>
          <w:sz w:val="21"/>
          <w:szCs w:val="21"/>
        </w:rPr>
        <w:t>项新技术应用、绿色建造相关的科技进步、专利、</w:t>
      </w:r>
      <w:r>
        <w:rPr>
          <w:sz w:val="21"/>
          <w:szCs w:val="21"/>
        </w:rPr>
        <w:t>QC</w:t>
      </w:r>
      <w:r>
        <w:rPr>
          <w:rFonts w:hint="eastAsia"/>
          <w:sz w:val="21"/>
          <w:szCs w:val="21"/>
        </w:rPr>
        <w:t>成果、工法、标准编制、五小发明等创新成果计划等方面。</w:t>
      </w:r>
    </w:p>
    <w:p w14:paraId="3B5376EA">
      <w:pPr>
        <w:jc w:val="left"/>
        <w:rPr>
          <w:rFonts w:hint="eastAsia"/>
          <w:sz w:val="21"/>
          <w:szCs w:val="21"/>
        </w:rPr>
      </w:pPr>
    </w:p>
    <w:p w14:paraId="29AC8506">
      <w:pPr>
        <w:jc w:val="left"/>
        <w:rPr>
          <w:rFonts w:hint="eastAsia"/>
          <w:sz w:val="21"/>
          <w:szCs w:val="21"/>
        </w:rPr>
      </w:pPr>
    </w:p>
    <w:p w14:paraId="4D2DA46A">
      <w:pPr>
        <w:jc w:val="left"/>
        <w:rPr>
          <w:rFonts w:hint="eastAsia"/>
          <w:sz w:val="21"/>
          <w:szCs w:val="21"/>
        </w:rPr>
      </w:pPr>
    </w:p>
    <w:p w14:paraId="7B2E7A7F">
      <w:pPr>
        <w:jc w:val="left"/>
        <w:rPr>
          <w:rFonts w:hint="eastAsia"/>
          <w:sz w:val="21"/>
          <w:szCs w:val="21"/>
        </w:rPr>
      </w:pPr>
    </w:p>
    <w:p w14:paraId="29CF9563">
      <w:pPr>
        <w:jc w:val="left"/>
        <w:rPr>
          <w:rFonts w:hint="eastAsia"/>
          <w:sz w:val="21"/>
          <w:szCs w:val="21"/>
        </w:rPr>
      </w:pPr>
    </w:p>
    <w:p w14:paraId="58D01589">
      <w:pPr>
        <w:jc w:val="left"/>
        <w:outlineLvl w:val="1"/>
        <w:rPr>
          <w:rFonts w:hint="eastAsia" w:ascii="黑体" w:hAnsi="黑体" w:eastAsia="黑体" w:cs="黑体"/>
          <w:sz w:val="21"/>
          <w:szCs w:val="21"/>
          <w:lang w:eastAsia="zh-CN"/>
        </w:rPr>
      </w:pPr>
      <w:bookmarkStart w:id="68" w:name="_Toc174141238"/>
      <w:bookmarkStart w:id="69" w:name="_Toc19594"/>
      <w:bookmarkStart w:id="70" w:name="_Toc21946"/>
      <w:r>
        <w:rPr>
          <w:rFonts w:hint="eastAsia" w:ascii="黑体" w:hAnsi="黑体" w:eastAsia="黑体" w:cs="黑体"/>
          <w:sz w:val="21"/>
          <w:szCs w:val="21"/>
          <w:lang w:val="en-US" w:eastAsia="zh-CN"/>
        </w:rPr>
        <w:t>5</w:t>
      </w:r>
      <w:r>
        <w:rPr>
          <w:rFonts w:hint="eastAsia" w:ascii="黑体" w:hAnsi="黑体" w:eastAsia="黑体" w:cs="黑体"/>
          <w:sz w:val="21"/>
          <w:szCs w:val="21"/>
          <w:lang w:eastAsia="zh-CN"/>
        </w:rPr>
        <w:t>.4  移交策划</w:t>
      </w:r>
      <w:bookmarkEnd w:id="68"/>
      <w:bookmarkEnd w:id="69"/>
      <w:bookmarkEnd w:id="70"/>
    </w:p>
    <w:p w14:paraId="243FD15E">
      <w:pPr>
        <w:jc w:val="left"/>
        <w:rPr>
          <w:rFonts w:hint="eastAsia" w:ascii="黑体" w:hAnsi="黑体" w:eastAsia="黑体" w:cs="黑体"/>
          <w:sz w:val="21"/>
          <w:szCs w:val="21"/>
          <w:lang w:eastAsia="zh-CN"/>
        </w:rPr>
      </w:pPr>
    </w:p>
    <w:p w14:paraId="41D6FD24">
      <w:pPr>
        <w:jc w:val="left"/>
        <w:rPr>
          <w:rFonts w:hint="eastAsia"/>
          <w:sz w:val="21"/>
          <w:szCs w:val="21"/>
        </w:rPr>
      </w:pPr>
      <w:r>
        <w:rPr>
          <w:rFonts w:hint="eastAsia" w:ascii="黑体" w:hAnsi="黑体" w:eastAsia="黑体" w:cs="黑体"/>
          <w:sz w:val="21"/>
          <w:szCs w:val="21"/>
          <w:lang w:eastAsia="zh-CN"/>
        </w:rPr>
        <w:t xml:space="preserve">5.4.1 </w:t>
      </w:r>
      <w:r>
        <w:rPr>
          <w:sz w:val="21"/>
          <w:szCs w:val="21"/>
        </w:rPr>
        <w:t xml:space="preserve"> </w:t>
      </w:r>
      <w:r>
        <w:rPr>
          <w:rFonts w:hint="eastAsia"/>
          <w:sz w:val="21"/>
          <w:szCs w:val="21"/>
        </w:rPr>
        <w:t>绿色移交策划应检查建设单位编制的绿色移交策划文件，绿色移交策划应依据绿色总体策划、绿色设计策划、绿色施工策划在竣工前完成，应包括绿色专项验收成果、数字化移交清单、移交标准要求、移交责任主体、移交期限。</w:t>
      </w:r>
    </w:p>
    <w:p w14:paraId="6FBA15C8">
      <w:pPr>
        <w:jc w:val="left"/>
        <w:rPr>
          <w:rFonts w:hint="eastAsia"/>
          <w:sz w:val="21"/>
          <w:szCs w:val="21"/>
        </w:rPr>
      </w:pPr>
      <w:r>
        <w:rPr>
          <w:rFonts w:hint="eastAsia" w:ascii="黑体" w:hAnsi="黑体" w:eastAsia="黑体" w:cs="黑体"/>
          <w:sz w:val="21"/>
          <w:szCs w:val="21"/>
          <w:lang w:eastAsia="zh-CN"/>
        </w:rPr>
        <w:t xml:space="preserve">5.4.2  </w:t>
      </w:r>
      <w:r>
        <w:rPr>
          <w:rFonts w:hint="eastAsia"/>
          <w:sz w:val="21"/>
          <w:szCs w:val="21"/>
        </w:rPr>
        <w:t>绿色专项验收成果应包括绿色建筑实体、绿色建筑档案、设备设施资料、工程专项验收、绿色建造评估五个方面。</w:t>
      </w:r>
    </w:p>
    <w:p w14:paraId="50E29357">
      <w:pPr>
        <w:jc w:val="left"/>
        <w:rPr>
          <w:rFonts w:hint="eastAsia"/>
          <w:sz w:val="21"/>
          <w:szCs w:val="21"/>
        </w:rPr>
      </w:pPr>
      <w:r>
        <w:rPr>
          <w:rFonts w:hint="eastAsia" w:ascii="黑体" w:hAnsi="黑体" w:eastAsia="黑体" w:cs="黑体"/>
          <w:sz w:val="21"/>
          <w:szCs w:val="21"/>
          <w:lang w:eastAsia="zh-CN"/>
        </w:rPr>
        <w:t xml:space="preserve">5.4.3  </w:t>
      </w:r>
      <w:r>
        <w:rPr>
          <w:rFonts w:hint="eastAsia"/>
          <w:sz w:val="21"/>
          <w:szCs w:val="21"/>
        </w:rPr>
        <w:t>数字化移交成果清单应包括工程档案（包括竣工图纸）数字化电子文件。</w:t>
      </w:r>
    </w:p>
    <w:p w14:paraId="4F505787">
      <w:pPr>
        <w:jc w:val="left"/>
        <w:rPr>
          <w:rFonts w:hint="eastAsia" w:ascii="黑体" w:hAnsi="黑体" w:eastAsia="黑体" w:cs="黑体"/>
          <w:sz w:val="21"/>
          <w:szCs w:val="21"/>
          <w:lang w:eastAsia="zh-CN"/>
        </w:rPr>
      </w:pPr>
      <w:bookmarkStart w:id="71" w:name="_Toc174141239"/>
      <w:bookmarkStart w:id="72" w:name="_Toc169276076"/>
    </w:p>
    <w:p w14:paraId="11ADEC4C">
      <w:pPr>
        <w:jc w:val="left"/>
        <w:outlineLvl w:val="0"/>
        <w:rPr>
          <w:rFonts w:hint="eastAsia" w:ascii="黑体" w:hAnsi="黑体" w:eastAsia="黑体" w:cs="黑体"/>
          <w:sz w:val="21"/>
          <w:szCs w:val="21"/>
          <w:lang w:eastAsia="zh-CN"/>
        </w:rPr>
      </w:pPr>
      <w:bookmarkStart w:id="73" w:name="_Toc20272"/>
      <w:bookmarkStart w:id="74" w:name="_Toc27144"/>
      <w:r>
        <w:rPr>
          <w:rFonts w:hint="eastAsia" w:ascii="黑体" w:hAnsi="黑体" w:eastAsia="黑体" w:cs="黑体"/>
          <w:sz w:val="21"/>
          <w:szCs w:val="21"/>
          <w:lang w:val="en-US" w:eastAsia="zh-CN"/>
        </w:rPr>
        <w:t>6</w:t>
      </w:r>
      <w:r>
        <w:rPr>
          <w:rFonts w:hint="eastAsia" w:ascii="黑体" w:hAnsi="黑体" w:eastAsia="黑体" w:cs="黑体"/>
          <w:sz w:val="21"/>
          <w:szCs w:val="21"/>
          <w:lang w:eastAsia="zh-CN"/>
        </w:rPr>
        <w:t xml:space="preserve">  绿色设计</w:t>
      </w:r>
      <w:bookmarkEnd w:id="71"/>
      <w:bookmarkEnd w:id="72"/>
      <w:bookmarkEnd w:id="73"/>
      <w:bookmarkEnd w:id="74"/>
    </w:p>
    <w:p w14:paraId="584ECF1D">
      <w:pPr>
        <w:jc w:val="left"/>
        <w:outlineLvl w:val="1"/>
        <w:rPr>
          <w:rFonts w:hint="eastAsia" w:ascii="黑体" w:hAnsi="黑体" w:eastAsia="黑体" w:cs="黑体"/>
          <w:sz w:val="21"/>
          <w:szCs w:val="21"/>
          <w:lang w:eastAsia="zh-CN"/>
        </w:rPr>
      </w:pPr>
      <w:bookmarkStart w:id="75" w:name="_Toc2396"/>
      <w:bookmarkStart w:id="76" w:name="_Toc3667"/>
      <w:r>
        <w:rPr>
          <w:rFonts w:hint="eastAsia" w:ascii="黑体" w:hAnsi="黑体" w:eastAsia="黑体" w:cs="黑体"/>
          <w:sz w:val="21"/>
          <w:szCs w:val="21"/>
          <w:lang w:eastAsia="zh-CN"/>
        </w:rPr>
        <w:fldChar w:fldCharType="begin"/>
      </w:r>
      <w:r>
        <w:rPr>
          <w:rFonts w:hint="eastAsia" w:ascii="黑体" w:hAnsi="黑体" w:eastAsia="黑体" w:cs="黑体"/>
          <w:sz w:val="21"/>
          <w:szCs w:val="21"/>
          <w:lang w:eastAsia="zh-CN"/>
        </w:rPr>
        <w:instrText xml:space="preserve"> HYPERLINK \l "_Toc162470870" </w:instrText>
      </w:r>
      <w:r>
        <w:rPr>
          <w:rFonts w:hint="eastAsia" w:ascii="黑体" w:hAnsi="黑体" w:eastAsia="黑体" w:cs="黑体"/>
          <w:sz w:val="21"/>
          <w:szCs w:val="21"/>
          <w:lang w:eastAsia="zh-CN"/>
        </w:rPr>
        <w:fldChar w:fldCharType="separate"/>
      </w:r>
      <w:bookmarkStart w:id="77" w:name="_Toc174141240"/>
      <w:bookmarkStart w:id="78" w:name="_Toc169276077"/>
      <w:r>
        <w:rPr>
          <w:rFonts w:hint="eastAsia" w:ascii="黑体" w:hAnsi="黑体" w:eastAsia="黑体" w:cs="黑体"/>
          <w:sz w:val="21"/>
          <w:szCs w:val="21"/>
          <w:lang w:val="en-US" w:eastAsia="zh-CN"/>
        </w:rPr>
        <w:t>6</w:t>
      </w:r>
      <w:r>
        <w:rPr>
          <w:rFonts w:hint="eastAsia" w:ascii="黑体" w:hAnsi="黑体" w:eastAsia="黑体" w:cs="黑体"/>
          <w:sz w:val="21"/>
          <w:szCs w:val="21"/>
          <w:lang w:eastAsia="zh-CN"/>
        </w:rPr>
        <w:t>.1  火力发电（含核电常规岛）工程</w:t>
      </w:r>
      <w:bookmarkEnd w:id="77"/>
      <w:r>
        <w:rPr>
          <w:rFonts w:hint="eastAsia" w:ascii="黑体" w:hAnsi="黑体" w:eastAsia="黑体" w:cs="黑体"/>
          <w:sz w:val="21"/>
          <w:szCs w:val="21"/>
          <w:lang w:eastAsia="zh-CN"/>
        </w:rPr>
        <w:fldChar w:fldCharType="end"/>
      </w:r>
      <w:bookmarkEnd w:id="75"/>
      <w:bookmarkEnd w:id="76"/>
      <w:bookmarkEnd w:id="78"/>
    </w:p>
    <w:p w14:paraId="74659AF0">
      <w:pPr>
        <w:jc w:val="left"/>
        <w:outlineLvl w:val="2"/>
        <w:rPr>
          <w:rFonts w:hint="eastAsia"/>
          <w:sz w:val="21"/>
          <w:szCs w:val="21"/>
        </w:rPr>
      </w:pPr>
      <w:bookmarkStart w:id="79" w:name="_Toc169276078"/>
      <w:bookmarkStart w:id="80" w:name="_Toc25963"/>
      <w:r>
        <w:rPr>
          <w:rFonts w:hint="eastAsia" w:ascii="黑体" w:hAnsi="黑体" w:eastAsia="黑体" w:cs="黑体"/>
          <w:sz w:val="21"/>
          <w:szCs w:val="21"/>
          <w:lang w:val="en-US" w:eastAsia="zh-CN"/>
        </w:rPr>
        <w:t>6</w:t>
      </w:r>
      <w:r>
        <w:rPr>
          <w:rFonts w:hint="eastAsia" w:ascii="黑体" w:hAnsi="黑体" w:eastAsia="黑体" w:cs="黑体"/>
          <w:sz w:val="21"/>
          <w:szCs w:val="21"/>
        </w:rPr>
        <w:t>.1.1</w:t>
      </w:r>
      <w:r>
        <w:rPr>
          <w:sz w:val="21"/>
          <w:szCs w:val="21"/>
        </w:rPr>
        <w:t xml:space="preserve">  </w:t>
      </w:r>
      <w:r>
        <w:rPr>
          <w:rFonts w:hint="eastAsia"/>
          <w:sz w:val="21"/>
          <w:szCs w:val="21"/>
        </w:rPr>
        <w:t>技术</w:t>
      </w:r>
      <w:r>
        <w:rPr>
          <w:sz w:val="21"/>
          <w:szCs w:val="21"/>
        </w:rPr>
        <w:t>先进</w:t>
      </w:r>
      <w:bookmarkEnd w:id="79"/>
      <w:r>
        <w:rPr>
          <w:rFonts w:hint="eastAsia"/>
          <w:sz w:val="21"/>
          <w:szCs w:val="21"/>
        </w:rPr>
        <w:t>评</w:t>
      </w:r>
      <w:r>
        <w:rPr>
          <w:sz w:val="21"/>
          <w:szCs w:val="21"/>
        </w:rPr>
        <w:t>价应包括以下内容：</w:t>
      </w:r>
      <w:bookmarkEnd w:id="80"/>
    </w:p>
    <w:p w14:paraId="78F5F048">
      <w:pPr>
        <w:ind w:firstLine="420" w:firstLineChars="200"/>
        <w:jc w:val="left"/>
        <w:rPr>
          <w:rFonts w:hint="eastAsia"/>
          <w:sz w:val="21"/>
          <w:szCs w:val="21"/>
        </w:rPr>
      </w:pPr>
      <w:r>
        <w:rPr>
          <w:sz w:val="21"/>
          <w:szCs w:val="21"/>
        </w:rPr>
        <w:t xml:space="preserve">1  </w:t>
      </w:r>
      <w:r>
        <w:rPr>
          <w:rFonts w:hint="eastAsia"/>
          <w:sz w:val="21"/>
          <w:szCs w:val="21"/>
        </w:rPr>
        <w:t>电厂总体设计科学合理，积极采用新技术、新工艺，电厂全寿命周期的技术经济性好。</w:t>
      </w:r>
    </w:p>
    <w:p w14:paraId="0E0FE72E">
      <w:pPr>
        <w:ind w:firstLine="420" w:firstLineChars="200"/>
        <w:jc w:val="left"/>
        <w:rPr>
          <w:rFonts w:hint="eastAsia"/>
          <w:sz w:val="21"/>
          <w:szCs w:val="21"/>
        </w:rPr>
      </w:pPr>
      <w:r>
        <w:rPr>
          <w:sz w:val="21"/>
          <w:szCs w:val="21"/>
        </w:rPr>
        <w:t xml:space="preserve">2  </w:t>
      </w:r>
      <w:r>
        <w:rPr>
          <w:rFonts w:hint="eastAsia"/>
          <w:sz w:val="21"/>
          <w:szCs w:val="21"/>
        </w:rPr>
        <w:t>工艺系统及主要设备选型、关键参数、控制逻辑等拟定科学、先进</w:t>
      </w:r>
      <w:r>
        <w:rPr>
          <w:sz w:val="21"/>
          <w:szCs w:val="21"/>
        </w:rPr>
        <w:t>,节能高效。</w:t>
      </w:r>
    </w:p>
    <w:p w14:paraId="13248E47">
      <w:pPr>
        <w:ind w:firstLine="420" w:firstLineChars="200"/>
        <w:jc w:val="left"/>
        <w:rPr>
          <w:rFonts w:hint="eastAsia"/>
          <w:sz w:val="21"/>
          <w:szCs w:val="21"/>
        </w:rPr>
      </w:pPr>
      <w:r>
        <w:rPr>
          <w:sz w:val="21"/>
          <w:szCs w:val="21"/>
        </w:rPr>
        <w:t xml:space="preserve">3  </w:t>
      </w:r>
      <w:r>
        <w:rPr>
          <w:rFonts w:hint="eastAsia"/>
          <w:sz w:val="21"/>
          <w:szCs w:val="21"/>
        </w:rPr>
        <w:t>各工艺系统设备与管线布置合理，工艺流程顺畅，检修维护空间适度。</w:t>
      </w:r>
    </w:p>
    <w:p w14:paraId="7C7306F7">
      <w:pPr>
        <w:ind w:firstLine="420" w:firstLineChars="200"/>
        <w:jc w:val="left"/>
        <w:rPr>
          <w:rFonts w:hint="eastAsia"/>
          <w:sz w:val="21"/>
          <w:szCs w:val="21"/>
        </w:rPr>
      </w:pPr>
      <w:r>
        <w:rPr>
          <w:sz w:val="21"/>
          <w:szCs w:val="21"/>
        </w:rPr>
        <w:t>4  辅机</w:t>
      </w:r>
      <w:r>
        <w:rPr>
          <w:rFonts w:hint="eastAsia"/>
          <w:sz w:val="21"/>
          <w:szCs w:val="21"/>
        </w:rPr>
        <w:t>设备备用、裕量选取合理，保证高效运行。</w:t>
      </w:r>
    </w:p>
    <w:p w14:paraId="63DF3561">
      <w:pPr>
        <w:ind w:firstLine="420" w:firstLineChars="200"/>
        <w:jc w:val="left"/>
        <w:rPr>
          <w:rFonts w:hint="eastAsia"/>
          <w:sz w:val="21"/>
          <w:szCs w:val="21"/>
        </w:rPr>
      </w:pPr>
      <w:r>
        <w:rPr>
          <w:sz w:val="21"/>
          <w:szCs w:val="21"/>
        </w:rPr>
        <w:t xml:space="preserve">5  </w:t>
      </w:r>
      <w:r>
        <w:rPr>
          <w:rFonts w:hint="eastAsia"/>
          <w:sz w:val="21"/>
          <w:szCs w:val="21"/>
        </w:rPr>
        <w:t>电厂乏汽、烟气余热回收利用技术路线先进，高效节能减碳。</w:t>
      </w:r>
    </w:p>
    <w:p w14:paraId="050FA9A0">
      <w:pPr>
        <w:ind w:firstLine="420" w:firstLineChars="200"/>
        <w:jc w:val="left"/>
        <w:rPr>
          <w:rFonts w:hint="eastAsia"/>
          <w:sz w:val="21"/>
          <w:szCs w:val="21"/>
        </w:rPr>
      </w:pPr>
      <w:r>
        <w:rPr>
          <w:sz w:val="21"/>
          <w:szCs w:val="21"/>
        </w:rPr>
        <w:t xml:space="preserve">6  电厂主接线方案安全可靠、技术先进。高压厂用电系统配置合理，依托三维设计进行电缆敷设、桥架布置，节省工程量；采用智慧照明系统。 </w:t>
      </w:r>
    </w:p>
    <w:p w14:paraId="44EB1B5E">
      <w:pPr>
        <w:ind w:firstLine="420" w:firstLineChars="200"/>
        <w:jc w:val="left"/>
        <w:rPr>
          <w:rFonts w:hint="eastAsia"/>
          <w:sz w:val="21"/>
          <w:szCs w:val="21"/>
        </w:rPr>
      </w:pPr>
      <w:r>
        <w:rPr>
          <w:sz w:val="21"/>
          <w:szCs w:val="21"/>
        </w:rPr>
        <w:t xml:space="preserve">7  </w:t>
      </w:r>
      <w:r>
        <w:rPr>
          <w:rFonts w:hint="eastAsia"/>
          <w:sz w:val="21"/>
          <w:szCs w:val="21"/>
        </w:rPr>
        <w:t>热工自动化控制水平、控制方式、软硬件设计水平先进，技术领先。</w:t>
      </w:r>
      <w:r>
        <w:rPr>
          <w:sz w:val="21"/>
          <w:szCs w:val="21"/>
        </w:rPr>
        <w:t xml:space="preserve"> </w:t>
      </w:r>
    </w:p>
    <w:p w14:paraId="0A85C07D">
      <w:pPr>
        <w:ind w:firstLine="420" w:firstLineChars="200"/>
        <w:jc w:val="left"/>
        <w:rPr>
          <w:rFonts w:hint="eastAsia"/>
          <w:sz w:val="21"/>
          <w:szCs w:val="21"/>
        </w:rPr>
      </w:pPr>
      <w:r>
        <w:rPr>
          <w:sz w:val="21"/>
          <w:szCs w:val="21"/>
        </w:rPr>
        <w:t xml:space="preserve">8  </w:t>
      </w:r>
      <w:r>
        <w:rPr>
          <w:rFonts w:hint="eastAsia"/>
          <w:sz w:val="21"/>
          <w:szCs w:val="21"/>
        </w:rPr>
        <w:t>采用先进通信与信息技术、计算机网络技术和智能控制技术等量化融合技术，具有较高的智能化水平。</w:t>
      </w:r>
      <w:r>
        <w:rPr>
          <w:sz w:val="21"/>
          <w:szCs w:val="21"/>
        </w:rPr>
        <w:t xml:space="preserve"> </w:t>
      </w:r>
    </w:p>
    <w:p w14:paraId="48363EFF">
      <w:pPr>
        <w:ind w:firstLine="420" w:firstLineChars="200"/>
        <w:jc w:val="left"/>
        <w:rPr>
          <w:rFonts w:hint="eastAsia"/>
          <w:sz w:val="21"/>
          <w:szCs w:val="21"/>
        </w:rPr>
      </w:pPr>
      <w:r>
        <w:rPr>
          <w:sz w:val="21"/>
          <w:szCs w:val="21"/>
        </w:rPr>
        <w:t xml:space="preserve">9  重要主辅机设备、关键材料、热工自动化控制系统国产化率高。 </w:t>
      </w:r>
    </w:p>
    <w:p w14:paraId="641B9054">
      <w:pPr>
        <w:ind w:firstLine="420" w:firstLineChars="200"/>
        <w:jc w:val="left"/>
        <w:rPr>
          <w:rFonts w:hint="eastAsia"/>
          <w:sz w:val="21"/>
          <w:szCs w:val="21"/>
        </w:rPr>
      </w:pPr>
      <w:r>
        <w:rPr>
          <w:sz w:val="21"/>
          <w:szCs w:val="21"/>
        </w:rPr>
        <w:t xml:space="preserve">10  </w:t>
      </w:r>
      <w:r>
        <w:rPr>
          <w:rFonts w:hint="eastAsia"/>
          <w:sz w:val="21"/>
          <w:szCs w:val="21"/>
        </w:rPr>
        <w:t>环保技术路线、工艺系统先进合理，工程投运后取得良好效果。</w:t>
      </w:r>
    </w:p>
    <w:p w14:paraId="107CE29A">
      <w:pPr>
        <w:ind w:firstLine="420" w:firstLineChars="200"/>
        <w:jc w:val="left"/>
        <w:outlineLvl w:val="0"/>
        <w:rPr>
          <w:rFonts w:hint="eastAsia"/>
          <w:sz w:val="21"/>
          <w:szCs w:val="21"/>
        </w:rPr>
      </w:pPr>
      <w:bookmarkStart w:id="81" w:name="_Toc32441"/>
      <w:bookmarkStart w:id="82" w:name="_Toc11265"/>
      <w:r>
        <w:rPr>
          <w:sz w:val="21"/>
          <w:szCs w:val="21"/>
        </w:rPr>
        <w:t xml:space="preserve">11  </w:t>
      </w:r>
      <w:r>
        <w:rPr>
          <w:rFonts w:hint="eastAsia"/>
          <w:sz w:val="21"/>
          <w:szCs w:val="21"/>
        </w:rPr>
        <w:t>各项技术性能指标先进，国内同类机组领先水平。</w:t>
      </w:r>
      <w:bookmarkEnd w:id="81"/>
      <w:bookmarkEnd w:id="82"/>
    </w:p>
    <w:p w14:paraId="220DD9A1">
      <w:pPr>
        <w:ind w:firstLine="420" w:firstLineChars="200"/>
        <w:jc w:val="left"/>
        <w:rPr>
          <w:rFonts w:hint="eastAsia"/>
          <w:sz w:val="21"/>
          <w:szCs w:val="21"/>
        </w:rPr>
      </w:pPr>
      <w:r>
        <w:rPr>
          <w:sz w:val="21"/>
          <w:szCs w:val="21"/>
        </w:rPr>
        <w:t>12  推行标准化、工业化智能建造，达到或优于国家、地方行业部门要求。</w:t>
      </w:r>
    </w:p>
    <w:p w14:paraId="0862CB5C">
      <w:pPr>
        <w:ind w:firstLine="420" w:firstLineChars="200"/>
        <w:jc w:val="left"/>
        <w:rPr>
          <w:rFonts w:hint="eastAsia"/>
          <w:sz w:val="21"/>
          <w:szCs w:val="21"/>
        </w:rPr>
      </w:pPr>
      <w:r>
        <w:rPr>
          <w:sz w:val="21"/>
          <w:szCs w:val="21"/>
        </w:rPr>
        <w:t>13  设计</w:t>
      </w:r>
      <w:r>
        <w:rPr>
          <w:rFonts w:hint="eastAsia"/>
          <w:sz w:val="21"/>
          <w:szCs w:val="21"/>
        </w:rPr>
        <w:t>手段</w:t>
      </w:r>
      <w:r>
        <w:rPr>
          <w:sz w:val="21"/>
          <w:szCs w:val="21"/>
        </w:rPr>
        <w:t>先进，创新设计流程，为绿色施工创造条件，并取得良好效果。</w:t>
      </w:r>
    </w:p>
    <w:p w14:paraId="5120420A">
      <w:pPr>
        <w:ind w:firstLine="420" w:firstLineChars="200"/>
        <w:jc w:val="left"/>
        <w:rPr>
          <w:rFonts w:hint="eastAsia"/>
          <w:sz w:val="21"/>
          <w:szCs w:val="21"/>
        </w:rPr>
      </w:pPr>
      <w:r>
        <w:rPr>
          <w:sz w:val="21"/>
          <w:szCs w:val="21"/>
        </w:rPr>
        <w:t>1</w:t>
      </w:r>
      <w:r>
        <w:rPr>
          <w:rFonts w:hint="eastAsia"/>
          <w:sz w:val="21"/>
          <w:szCs w:val="21"/>
        </w:rPr>
        <w:t>4</w:t>
      </w:r>
      <w:r>
        <w:rPr>
          <w:sz w:val="21"/>
          <w:szCs w:val="21"/>
        </w:rPr>
        <w:t xml:space="preserve">  </w:t>
      </w:r>
      <w:r>
        <w:rPr>
          <w:rFonts w:hint="eastAsia"/>
          <w:sz w:val="21"/>
          <w:szCs w:val="21"/>
        </w:rPr>
        <w:t>建筑物</w:t>
      </w:r>
      <w:r>
        <w:rPr>
          <w:sz w:val="21"/>
          <w:szCs w:val="21"/>
        </w:rPr>
        <w:t>地基处理</w:t>
      </w:r>
      <w:r>
        <w:rPr>
          <w:rFonts w:hint="eastAsia"/>
          <w:sz w:val="21"/>
          <w:szCs w:val="21"/>
        </w:rPr>
        <w:t>方案合理经济</w:t>
      </w:r>
      <w:r>
        <w:rPr>
          <w:sz w:val="21"/>
          <w:szCs w:val="21"/>
        </w:rPr>
        <w:t>、建筑结构体系科学，具有先进性、前瞻性，引领行业先进水平。</w:t>
      </w:r>
    </w:p>
    <w:p w14:paraId="5D926D9F">
      <w:pPr>
        <w:ind w:firstLine="420" w:firstLineChars="200"/>
        <w:jc w:val="left"/>
        <w:rPr>
          <w:rFonts w:hint="eastAsia"/>
          <w:sz w:val="21"/>
          <w:szCs w:val="21"/>
        </w:rPr>
      </w:pPr>
      <w:r>
        <w:rPr>
          <w:sz w:val="21"/>
          <w:szCs w:val="21"/>
        </w:rPr>
        <w:t>1</w:t>
      </w:r>
      <w:r>
        <w:rPr>
          <w:rFonts w:hint="eastAsia"/>
          <w:sz w:val="21"/>
          <w:szCs w:val="21"/>
        </w:rPr>
        <w:t>5</w:t>
      </w:r>
      <w:r>
        <w:rPr>
          <w:sz w:val="21"/>
          <w:szCs w:val="21"/>
        </w:rPr>
        <w:t xml:space="preserve">  </w:t>
      </w:r>
      <w:r>
        <w:rPr>
          <w:rFonts w:hint="eastAsia"/>
          <w:sz w:val="21"/>
          <w:szCs w:val="21"/>
        </w:rPr>
        <w:t>燃煤发电厂适应新型电力系统对火力发电机组可靠性、灵活性要求，工艺系统先进，设备配置水平高，技术出力调节能力满足</w:t>
      </w:r>
      <w:r>
        <w:rPr>
          <w:sz w:val="21"/>
          <w:szCs w:val="21"/>
        </w:rPr>
        <w:t>20%-100%额定出力</w:t>
      </w:r>
      <w:r>
        <w:rPr>
          <w:rFonts w:hint="eastAsia"/>
          <w:sz w:val="21"/>
          <w:szCs w:val="21"/>
        </w:rPr>
        <w:t>；热电联产机组实现热电解耦，</w:t>
      </w:r>
      <w:bookmarkStart w:id="83" w:name="_Hlk163050701"/>
      <w:r>
        <w:rPr>
          <w:rFonts w:hint="eastAsia"/>
          <w:sz w:val="21"/>
          <w:szCs w:val="21"/>
        </w:rPr>
        <w:t>技术出力调节能力满足</w:t>
      </w:r>
      <w:r>
        <w:rPr>
          <w:sz w:val="21"/>
          <w:szCs w:val="21"/>
        </w:rPr>
        <w:t>30%-100%额定出力。</w:t>
      </w:r>
    </w:p>
    <w:bookmarkEnd w:id="83"/>
    <w:p w14:paraId="55844D7E">
      <w:pPr>
        <w:ind w:firstLine="420" w:firstLineChars="200"/>
        <w:jc w:val="left"/>
        <w:outlineLvl w:val="0"/>
        <w:rPr>
          <w:rFonts w:hint="eastAsia"/>
          <w:sz w:val="21"/>
          <w:szCs w:val="21"/>
        </w:rPr>
      </w:pPr>
      <w:bookmarkStart w:id="84" w:name="_Toc717"/>
      <w:bookmarkStart w:id="85" w:name="_Toc26810"/>
      <w:bookmarkStart w:id="86" w:name="_Toc169276079"/>
      <w:r>
        <w:rPr>
          <w:rFonts w:hint="eastAsia"/>
          <w:sz w:val="21"/>
          <w:szCs w:val="21"/>
        </w:rPr>
        <w:t>16</w:t>
      </w:r>
      <w:r>
        <w:rPr>
          <w:sz w:val="21"/>
          <w:szCs w:val="21"/>
        </w:rPr>
        <w:t xml:space="preserve">  </w:t>
      </w:r>
      <w:r>
        <w:rPr>
          <w:rFonts w:hint="eastAsia"/>
          <w:sz w:val="21"/>
          <w:szCs w:val="21"/>
        </w:rPr>
        <w:t>核电常规岛废水进行脱氮处理，满足生态环保要求排放。</w:t>
      </w:r>
      <w:bookmarkEnd w:id="84"/>
      <w:bookmarkEnd w:id="85"/>
    </w:p>
    <w:p w14:paraId="4F9DC7B8">
      <w:pPr>
        <w:ind w:firstLine="420" w:firstLineChars="200"/>
        <w:jc w:val="left"/>
        <w:rPr>
          <w:rFonts w:hint="eastAsia"/>
          <w:sz w:val="21"/>
          <w:szCs w:val="21"/>
        </w:rPr>
      </w:pPr>
      <w:r>
        <w:rPr>
          <w:sz w:val="21"/>
          <w:szCs w:val="21"/>
        </w:rPr>
        <w:t>1</w:t>
      </w:r>
      <w:r>
        <w:rPr>
          <w:rFonts w:hint="eastAsia"/>
          <w:sz w:val="21"/>
          <w:szCs w:val="21"/>
        </w:rPr>
        <w:t>7</w:t>
      </w:r>
      <w:r>
        <w:rPr>
          <w:sz w:val="21"/>
          <w:szCs w:val="21"/>
        </w:rPr>
        <w:t xml:space="preserve">  </w:t>
      </w:r>
      <w:r>
        <w:rPr>
          <w:rFonts w:hint="eastAsia"/>
          <w:sz w:val="21"/>
          <w:szCs w:val="21"/>
        </w:rPr>
        <w:t>燃气蒸汽联合循环电厂科学划分爆炸危险区域，合理采取相应措施，确保防爆安全；合理按级选用防爆电气设备，保证安全运行。</w:t>
      </w:r>
    </w:p>
    <w:p w14:paraId="7303BBBA">
      <w:pPr>
        <w:ind w:firstLine="420" w:firstLineChars="200"/>
        <w:jc w:val="left"/>
        <w:rPr>
          <w:rFonts w:hint="eastAsia"/>
          <w:sz w:val="21"/>
          <w:szCs w:val="21"/>
        </w:rPr>
      </w:pPr>
      <w:r>
        <w:rPr>
          <w:rFonts w:hint="eastAsia"/>
          <w:sz w:val="21"/>
          <w:szCs w:val="21"/>
        </w:rPr>
        <w:t>18</w:t>
      </w:r>
      <w:r>
        <w:rPr>
          <w:sz w:val="21"/>
          <w:szCs w:val="21"/>
        </w:rPr>
        <w:t xml:space="preserve">  </w:t>
      </w:r>
      <w:r>
        <w:rPr>
          <w:rFonts w:hint="eastAsia"/>
          <w:sz w:val="21"/>
          <w:szCs w:val="21"/>
        </w:rPr>
        <w:t>垃圾发电厂环保工艺系统科学先进、成熟可靠，有效控制二噁英等有害气体对环境影响。</w:t>
      </w:r>
    </w:p>
    <w:p w14:paraId="7145BF43">
      <w:pPr>
        <w:ind w:firstLine="420" w:firstLineChars="200"/>
        <w:jc w:val="left"/>
        <w:rPr>
          <w:rFonts w:hint="eastAsia"/>
          <w:sz w:val="21"/>
          <w:szCs w:val="21"/>
        </w:rPr>
      </w:pPr>
      <w:r>
        <w:rPr>
          <w:rFonts w:hint="eastAsia"/>
          <w:sz w:val="21"/>
          <w:szCs w:val="21"/>
        </w:rPr>
        <w:t>19</w:t>
      </w:r>
      <w:r>
        <w:rPr>
          <w:sz w:val="21"/>
          <w:szCs w:val="21"/>
        </w:rPr>
        <w:t xml:space="preserve">  生物质电厂物料输送系统技术先进，满足</w:t>
      </w:r>
      <w:r>
        <w:rPr>
          <w:rFonts w:hint="eastAsia"/>
          <w:sz w:val="21"/>
          <w:szCs w:val="21"/>
        </w:rPr>
        <w:t>电厂安全、稳定运行</w:t>
      </w:r>
      <w:r>
        <w:rPr>
          <w:sz w:val="21"/>
          <w:szCs w:val="21"/>
        </w:rPr>
        <w:t>。</w:t>
      </w:r>
    </w:p>
    <w:p w14:paraId="10538E37">
      <w:pPr>
        <w:jc w:val="left"/>
        <w:rPr>
          <w:rFonts w:hint="eastAsia" w:ascii="黑体" w:hAnsi="黑体" w:eastAsia="黑体" w:cs="黑体"/>
          <w:sz w:val="21"/>
          <w:szCs w:val="21"/>
          <w:lang w:val="en-US" w:eastAsia="zh-CN"/>
        </w:rPr>
      </w:pPr>
    </w:p>
    <w:p w14:paraId="4816750B">
      <w:pPr>
        <w:jc w:val="left"/>
        <w:outlineLvl w:val="1"/>
        <w:rPr>
          <w:sz w:val="21"/>
          <w:szCs w:val="21"/>
        </w:rPr>
      </w:pPr>
      <w:bookmarkStart w:id="87" w:name="_Toc15689"/>
      <w:bookmarkStart w:id="88" w:name="_Toc4339"/>
      <w:r>
        <w:rPr>
          <w:rFonts w:hint="eastAsia" w:ascii="黑体" w:hAnsi="黑体" w:eastAsia="黑体" w:cs="黑体"/>
          <w:sz w:val="21"/>
          <w:szCs w:val="21"/>
          <w:lang w:val="en-US" w:eastAsia="zh-CN"/>
        </w:rPr>
        <w:t xml:space="preserve">6.1.2 </w:t>
      </w:r>
      <w:r>
        <w:rPr>
          <w:sz w:val="21"/>
          <w:szCs w:val="21"/>
        </w:rPr>
        <w:t xml:space="preserve"> </w:t>
      </w:r>
      <w:r>
        <w:rPr>
          <w:rFonts w:hint="eastAsia"/>
          <w:sz w:val="21"/>
          <w:szCs w:val="21"/>
        </w:rPr>
        <w:t>资源节约</w:t>
      </w:r>
      <w:bookmarkEnd w:id="86"/>
      <w:r>
        <w:rPr>
          <w:rFonts w:hint="eastAsia"/>
          <w:sz w:val="21"/>
          <w:szCs w:val="21"/>
        </w:rPr>
        <w:t>评</w:t>
      </w:r>
      <w:r>
        <w:rPr>
          <w:sz w:val="21"/>
          <w:szCs w:val="21"/>
        </w:rPr>
        <w:t>价应包括以下内容：</w:t>
      </w:r>
      <w:bookmarkEnd w:id="87"/>
      <w:bookmarkEnd w:id="88"/>
    </w:p>
    <w:p w14:paraId="2094FB5E">
      <w:pPr>
        <w:ind w:firstLine="420" w:firstLineChars="200"/>
        <w:jc w:val="left"/>
        <w:rPr>
          <w:rFonts w:hint="eastAsia"/>
          <w:sz w:val="21"/>
          <w:szCs w:val="21"/>
        </w:rPr>
      </w:pPr>
      <w:r>
        <w:rPr>
          <w:sz w:val="21"/>
          <w:szCs w:val="21"/>
        </w:rPr>
        <w:t xml:space="preserve">1  </w:t>
      </w:r>
      <w:r>
        <w:rPr>
          <w:rFonts w:hint="eastAsia"/>
          <w:sz w:val="21"/>
          <w:szCs w:val="21"/>
        </w:rPr>
        <w:t>厂址选择符合国土空间规划，全厂总体规划布局合理，不占用基本农田，利用未利用土地和建设用地。</w:t>
      </w:r>
    </w:p>
    <w:p w14:paraId="0E7C0CDC">
      <w:pPr>
        <w:ind w:firstLine="420" w:firstLineChars="200"/>
        <w:jc w:val="left"/>
        <w:rPr>
          <w:rFonts w:hint="eastAsia"/>
          <w:sz w:val="21"/>
          <w:szCs w:val="21"/>
        </w:rPr>
      </w:pPr>
      <w:r>
        <w:rPr>
          <w:sz w:val="21"/>
          <w:szCs w:val="21"/>
        </w:rPr>
        <w:t xml:space="preserve">2  </w:t>
      </w:r>
      <w:r>
        <w:rPr>
          <w:rFonts w:hint="eastAsia"/>
          <w:sz w:val="21"/>
          <w:szCs w:val="21"/>
        </w:rPr>
        <w:t>厂区总平面布置紧凑，功能分区科学，用地指标先进，土地利用率高。</w:t>
      </w:r>
    </w:p>
    <w:p w14:paraId="480600E1">
      <w:pPr>
        <w:ind w:firstLine="420" w:firstLineChars="200"/>
        <w:jc w:val="left"/>
        <w:rPr>
          <w:rFonts w:hint="eastAsia"/>
          <w:sz w:val="21"/>
          <w:szCs w:val="21"/>
        </w:rPr>
      </w:pPr>
      <w:r>
        <w:rPr>
          <w:sz w:val="21"/>
          <w:szCs w:val="21"/>
        </w:rPr>
        <w:t>3  采用节约</w:t>
      </w:r>
      <w:r>
        <w:rPr>
          <w:rFonts w:hint="eastAsia"/>
          <w:sz w:val="21"/>
          <w:szCs w:val="21"/>
        </w:rPr>
        <w:t>用</w:t>
      </w:r>
      <w:r>
        <w:rPr>
          <w:sz w:val="21"/>
          <w:szCs w:val="21"/>
        </w:rPr>
        <w:t>地的新</w:t>
      </w:r>
      <w:r>
        <w:rPr>
          <w:rFonts w:hint="eastAsia"/>
          <w:sz w:val="21"/>
          <w:szCs w:val="21"/>
        </w:rPr>
        <w:t>技术、新</w:t>
      </w:r>
      <w:r>
        <w:rPr>
          <w:sz w:val="21"/>
          <w:szCs w:val="21"/>
        </w:rPr>
        <w:t>工艺，优化工艺系统，合理压缩各车间用地面积。</w:t>
      </w:r>
    </w:p>
    <w:p w14:paraId="295C90FB">
      <w:pPr>
        <w:ind w:firstLine="420" w:firstLineChars="200"/>
        <w:jc w:val="left"/>
        <w:rPr>
          <w:rFonts w:hint="eastAsia"/>
          <w:sz w:val="21"/>
          <w:szCs w:val="21"/>
        </w:rPr>
      </w:pPr>
      <w:r>
        <w:rPr>
          <w:sz w:val="21"/>
          <w:szCs w:val="21"/>
        </w:rPr>
        <w:t>4  建筑物布置简约、集约，扩大联合。性质和功能相同或相近的建（构）筑物采用联合建筑，永久建筑和临时建筑结合，节约用地。</w:t>
      </w:r>
    </w:p>
    <w:p w14:paraId="5F32AD78">
      <w:pPr>
        <w:ind w:firstLine="420" w:firstLineChars="200"/>
        <w:jc w:val="left"/>
        <w:outlineLvl w:val="0"/>
        <w:rPr>
          <w:rFonts w:hint="eastAsia"/>
          <w:sz w:val="21"/>
          <w:szCs w:val="21"/>
        </w:rPr>
      </w:pPr>
      <w:bookmarkStart w:id="89" w:name="_Toc21922"/>
      <w:bookmarkStart w:id="90" w:name="_Toc24078"/>
      <w:r>
        <w:rPr>
          <w:sz w:val="21"/>
          <w:szCs w:val="21"/>
        </w:rPr>
        <w:t>5  合理控制道路、广场及管线用地。</w:t>
      </w:r>
      <w:bookmarkEnd w:id="89"/>
      <w:bookmarkEnd w:id="90"/>
    </w:p>
    <w:p w14:paraId="3635CEF4">
      <w:pPr>
        <w:ind w:firstLine="420" w:firstLineChars="200"/>
        <w:jc w:val="left"/>
        <w:rPr>
          <w:rFonts w:hint="eastAsia"/>
          <w:sz w:val="21"/>
          <w:szCs w:val="21"/>
        </w:rPr>
      </w:pPr>
      <w:r>
        <w:rPr>
          <w:sz w:val="21"/>
          <w:szCs w:val="21"/>
        </w:rPr>
        <w:t xml:space="preserve">6  </w:t>
      </w:r>
      <w:r>
        <w:rPr>
          <w:rFonts w:hint="eastAsia"/>
          <w:sz w:val="21"/>
          <w:szCs w:val="21"/>
        </w:rPr>
        <w:t>改扩建项目充分利用和改造既有设施和建筑，充分利用厂区内空地，减少新增用地。</w:t>
      </w:r>
    </w:p>
    <w:p w14:paraId="495131DE">
      <w:pPr>
        <w:ind w:firstLine="420" w:firstLineChars="200"/>
        <w:jc w:val="left"/>
        <w:outlineLvl w:val="0"/>
        <w:rPr>
          <w:rFonts w:hint="eastAsia"/>
          <w:sz w:val="21"/>
          <w:szCs w:val="21"/>
        </w:rPr>
      </w:pPr>
      <w:bookmarkStart w:id="91" w:name="_Toc8543"/>
      <w:bookmarkStart w:id="92" w:name="_Toc17051"/>
      <w:bookmarkStart w:id="93" w:name="_Hlk168563366"/>
      <w:r>
        <w:rPr>
          <w:rFonts w:hint="eastAsia"/>
          <w:sz w:val="21"/>
          <w:szCs w:val="21"/>
        </w:rPr>
        <w:t>7</w:t>
      </w:r>
      <w:r>
        <w:rPr>
          <w:sz w:val="21"/>
          <w:szCs w:val="21"/>
        </w:rPr>
        <w:t xml:space="preserve">  </w:t>
      </w:r>
      <w:r>
        <w:rPr>
          <w:rFonts w:hint="eastAsia"/>
          <w:sz w:val="21"/>
          <w:szCs w:val="21"/>
        </w:rPr>
        <w:t>厂区用地指标优于国家、行业、地方规定的项目用地指标值。</w:t>
      </w:r>
      <w:bookmarkEnd w:id="91"/>
      <w:bookmarkEnd w:id="92"/>
    </w:p>
    <w:bookmarkEnd w:id="93"/>
    <w:p w14:paraId="4AF2F993">
      <w:pPr>
        <w:ind w:firstLine="420" w:firstLineChars="200"/>
        <w:jc w:val="left"/>
        <w:rPr>
          <w:rFonts w:hint="eastAsia"/>
          <w:sz w:val="21"/>
          <w:szCs w:val="21"/>
        </w:rPr>
      </w:pPr>
      <w:r>
        <w:rPr>
          <w:rFonts w:hint="eastAsia"/>
          <w:sz w:val="21"/>
          <w:szCs w:val="21"/>
        </w:rPr>
        <w:t>8</w:t>
      </w:r>
      <w:r>
        <w:rPr>
          <w:sz w:val="21"/>
          <w:szCs w:val="21"/>
        </w:rPr>
        <w:t xml:space="preserve">  </w:t>
      </w:r>
      <w:r>
        <w:rPr>
          <w:rFonts w:hint="eastAsia"/>
          <w:sz w:val="21"/>
          <w:szCs w:val="21"/>
        </w:rPr>
        <w:t>选用高效节能设备，先进的用能工艺，减少能源在输送、分配及生产工序等环节产生过程消耗，提高能源利用效率。</w:t>
      </w:r>
    </w:p>
    <w:p w14:paraId="665D53C4">
      <w:pPr>
        <w:ind w:firstLine="420" w:firstLineChars="200"/>
        <w:jc w:val="left"/>
        <w:rPr>
          <w:rFonts w:hint="eastAsia"/>
          <w:sz w:val="21"/>
          <w:szCs w:val="21"/>
        </w:rPr>
      </w:pPr>
      <w:r>
        <w:rPr>
          <w:rFonts w:hint="eastAsia"/>
          <w:sz w:val="21"/>
          <w:szCs w:val="21"/>
        </w:rPr>
        <w:t>9</w:t>
      </w:r>
      <w:r>
        <w:rPr>
          <w:sz w:val="21"/>
          <w:szCs w:val="21"/>
        </w:rPr>
        <w:t xml:space="preserve">  设备、</w:t>
      </w:r>
      <w:r>
        <w:rPr>
          <w:rFonts w:hint="eastAsia"/>
          <w:sz w:val="21"/>
          <w:szCs w:val="21"/>
        </w:rPr>
        <w:t>管道</w:t>
      </w:r>
      <w:r>
        <w:rPr>
          <w:sz w:val="21"/>
          <w:szCs w:val="21"/>
        </w:rPr>
        <w:t xml:space="preserve">布置合理、紧凑，减少各种介质的能量损失。 </w:t>
      </w:r>
    </w:p>
    <w:p w14:paraId="25637E77">
      <w:pPr>
        <w:ind w:firstLine="420" w:firstLineChars="200"/>
        <w:jc w:val="left"/>
        <w:rPr>
          <w:rFonts w:hint="eastAsia"/>
          <w:sz w:val="21"/>
          <w:szCs w:val="21"/>
        </w:rPr>
      </w:pPr>
      <w:r>
        <w:rPr>
          <w:sz w:val="21"/>
          <w:szCs w:val="21"/>
        </w:rPr>
        <w:t>1</w:t>
      </w:r>
      <w:r>
        <w:rPr>
          <w:rFonts w:hint="eastAsia"/>
          <w:sz w:val="21"/>
          <w:szCs w:val="21"/>
        </w:rPr>
        <w:t>0</w:t>
      </w:r>
      <w:r>
        <w:rPr>
          <w:sz w:val="21"/>
          <w:szCs w:val="21"/>
        </w:rPr>
        <w:t xml:space="preserve">  节能管理措施到位，配备完善的能源计量仪表。</w:t>
      </w:r>
    </w:p>
    <w:p w14:paraId="74F76329">
      <w:pPr>
        <w:ind w:firstLine="420" w:firstLineChars="200"/>
        <w:jc w:val="left"/>
        <w:rPr>
          <w:rFonts w:hint="eastAsia"/>
          <w:sz w:val="21"/>
          <w:szCs w:val="21"/>
        </w:rPr>
      </w:pPr>
      <w:r>
        <w:rPr>
          <w:sz w:val="21"/>
          <w:szCs w:val="21"/>
        </w:rPr>
        <w:t>1</w:t>
      </w:r>
      <w:r>
        <w:rPr>
          <w:rFonts w:hint="eastAsia"/>
          <w:sz w:val="21"/>
          <w:szCs w:val="21"/>
        </w:rPr>
        <w:t>1</w:t>
      </w:r>
      <w:r>
        <w:rPr>
          <w:sz w:val="21"/>
          <w:szCs w:val="21"/>
        </w:rPr>
        <w:t xml:space="preserve">  选用节能建筑材料，统筹考虑工程耐久性</w:t>
      </w:r>
      <w:r>
        <w:rPr>
          <w:rFonts w:hint="eastAsia"/>
          <w:sz w:val="21"/>
          <w:szCs w:val="21"/>
        </w:rPr>
        <w:t>和</w:t>
      </w:r>
      <w:r>
        <w:rPr>
          <w:sz w:val="21"/>
          <w:szCs w:val="21"/>
        </w:rPr>
        <w:t>可持续性，采用高强度、高性能、高耐久性和</w:t>
      </w:r>
      <w:r>
        <w:rPr>
          <w:rFonts w:hint="eastAsia"/>
          <w:sz w:val="21"/>
          <w:szCs w:val="21"/>
        </w:rPr>
        <w:t>可循环材料以及先进适用技术体系。</w:t>
      </w:r>
    </w:p>
    <w:p w14:paraId="51A4041E">
      <w:pPr>
        <w:ind w:firstLine="420" w:firstLineChars="200"/>
        <w:jc w:val="left"/>
        <w:rPr>
          <w:rFonts w:hint="eastAsia"/>
          <w:sz w:val="21"/>
          <w:szCs w:val="21"/>
        </w:rPr>
      </w:pPr>
      <w:r>
        <w:rPr>
          <w:sz w:val="21"/>
          <w:szCs w:val="21"/>
        </w:rPr>
        <w:t>1</w:t>
      </w:r>
      <w:r>
        <w:rPr>
          <w:rFonts w:hint="eastAsia"/>
          <w:sz w:val="21"/>
          <w:szCs w:val="21"/>
        </w:rPr>
        <w:t>2</w:t>
      </w:r>
      <w:r>
        <w:rPr>
          <w:sz w:val="21"/>
          <w:szCs w:val="21"/>
        </w:rPr>
        <w:t xml:space="preserve">  </w:t>
      </w:r>
      <w:r>
        <w:rPr>
          <w:rFonts w:hint="eastAsia"/>
          <w:sz w:val="21"/>
          <w:szCs w:val="21"/>
        </w:rPr>
        <w:t>建筑热工（屋面、楼面、围护结构）、建筑采光及通风设计合理，建筑节能降耗措施先进。</w:t>
      </w:r>
      <w:r>
        <w:rPr>
          <w:sz w:val="21"/>
          <w:szCs w:val="21"/>
        </w:rPr>
        <w:t xml:space="preserve"> </w:t>
      </w:r>
    </w:p>
    <w:p w14:paraId="1C3EE637">
      <w:pPr>
        <w:ind w:firstLine="420" w:firstLineChars="200"/>
        <w:jc w:val="left"/>
        <w:rPr>
          <w:rFonts w:hint="eastAsia"/>
          <w:sz w:val="21"/>
          <w:szCs w:val="21"/>
        </w:rPr>
      </w:pPr>
      <w:r>
        <w:rPr>
          <w:sz w:val="21"/>
          <w:szCs w:val="21"/>
        </w:rPr>
        <w:t>1</w:t>
      </w:r>
      <w:r>
        <w:rPr>
          <w:rFonts w:hint="eastAsia"/>
          <w:sz w:val="21"/>
          <w:szCs w:val="21"/>
        </w:rPr>
        <w:t>3</w:t>
      </w:r>
      <w:r>
        <w:rPr>
          <w:sz w:val="21"/>
          <w:szCs w:val="21"/>
        </w:rPr>
        <w:t xml:space="preserve">  </w:t>
      </w:r>
      <w:r>
        <w:rPr>
          <w:rFonts w:hint="eastAsia"/>
          <w:sz w:val="21"/>
          <w:szCs w:val="21"/>
        </w:rPr>
        <w:t>电厂公共建筑采用装配式技术，生产建筑积极采用工厂化预制构件。</w:t>
      </w:r>
    </w:p>
    <w:p w14:paraId="3412945D">
      <w:pPr>
        <w:ind w:firstLine="420" w:firstLineChars="200"/>
        <w:jc w:val="left"/>
        <w:rPr>
          <w:rFonts w:hint="eastAsia"/>
          <w:sz w:val="21"/>
          <w:szCs w:val="21"/>
        </w:rPr>
      </w:pPr>
      <w:r>
        <w:rPr>
          <w:sz w:val="21"/>
          <w:szCs w:val="21"/>
        </w:rPr>
        <w:t>1</w:t>
      </w:r>
      <w:r>
        <w:rPr>
          <w:rFonts w:hint="eastAsia"/>
          <w:sz w:val="21"/>
          <w:szCs w:val="21"/>
        </w:rPr>
        <w:t>4</w:t>
      </w:r>
      <w:r>
        <w:rPr>
          <w:sz w:val="21"/>
          <w:szCs w:val="21"/>
        </w:rPr>
        <w:t xml:space="preserve">  </w:t>
      </w:r>
      <w:r>
        <w:rPr>
          <w:rFonts w:hint="eastAsia"/>
          <w:sz w:val="21"/>
          <w:szCs w:val="21"/>
        </w:rPr>
        <w:t>清洁能源积极嵌入建筑技术应用。</w:t>
      </w:r>
    </w:p>
    <w:p w14:paraId="47D27918">
      <w:pPr>
        <w:ind w:firstLine="420" w:firstLineChars="200"/>
        <w:jc w:val="left"/>
        <w:rPr>
          <w:rFonts w:hint="eastAsia"/>
          <w:sz w:val="21"/>
          <w:szCs w:val="21"/>
        </w:rPr>
      </w:pPr>
      <w:r>
        <w:rPr>
          <w:sz w:val="21"/>
          <w:szCs w:val="21"/>
        </w:rPr>
        <w:t>1</w:t>
      </w:r>
      <w:r>
        <w:rPr>
          <w:rFonts w:hint="eastAsia"/>
          <w:sz w:val="21"/>
          <w:szCs w:val="21"/>
        </w:rPr>
        <w:t>5</w:t>
      </w:r>
      <w:r>
        <w:rPr>
          <w:sz w:val="21"/>
          <w:szCs w:val="21"/>
        </w:rPr>
        <w:t xml:space="preserve">  </w:t>
      </w:r>
      <w:r>
        <w:rPr>
          <w:rFonts w:hint="eastAsia"/>
          <w:sz w:val="21"/>
          <w:szCs w:val="21"/>
        </w:rPr>
        <w:t>全厂采用新型节能照明系统，智能控制。</w:t>
      </w:r>
    </w:p>
    <w:p w14:paraId="707C683B">
      <w:pPr>
        <w:ind w:firstLine="420" w:firstLineChars="200"/>
        <w:jc w:val="left"/>
        <w:rPr>
          <w:rFonts w:hint="eastAsia"/>
          <w:sz w:val="21"/>
          <w:szCs w:val="21"/>
        </w:rPr>
      </w:pPr>
      <w:r>
        <w:rPr>
          <w:sz w:val="21"/>
          <w:szCs w:val="21"/>
        </w:rPr>
        <w:t>1</w:t>
      </w:r>
      <w:r>
        <w:rPr>
          <w:rFonts w:hint="eastAsia"/>
          <w:sz w:val="21"/>
          <w:szCs w:val="21"/>
        </w:rPr>
        <w:t>6</w:t>
      </w:r>
      <w:r>
        <w:rPr>
          <w:sz w:val="21"/>
          <w:szCs w:val="21"/>
        </w:rPr>
        <w:t xml:space="preserve">  电厂发电热效率（TMCR</w:t>
      </w:r>
      <w:r>
        <w:rPr>
          <w:rFonts w:hint="eastAsia"/>
          <w:sz w:val="21"/>
          <w:szCs w:val="21"/>
        </w:rPr>
        <w:t>工况）、发电标准煤耗（</w:t>
      </w:r>
      <w:r>
        <w:rPr>
          <w:sz w:val="21"/>
          <w:szCs w:val="21"/>
        </w:rPr>
        <w:t xml:space="preserve">TMCR </w:t>
      </w:r>
      <w:r>
        <w:rPr>
          <w:rFonts w:hint="eastAsia"/>
          <w:sz w:val="21"/>
          <w:szCs w:val="21"/>
        </w:rPr>
        <w:t>工况）、厂用电率（含脱硫脱硝）等能耗指标达到国内同类机组先进水平。</w:t>
      </w:r>
      <w:r>
        <w:rPr>
          <w:sz w:val="21"/>
          <w:szCs w:val="21"/>
        </w:rPr>
        <w:t xml:space="preserve"> </w:t>
      </w:r>
    </w:p>
    <w:p w14:paraId="6FB78974">
      <w:pPr>
        <w:ind w:firstLine="420" w:firstLineChars="200"/>
        <w:jc w:val="left"/>
        <w:rPr>
          <w:rFonts w:hint="eastAsia"/>
          <w:sz w:val="21"/>
          <w:szCs w:val="21"/>
        </w:rPr>
      </w:pPr>
      <w:r>
        <w:rPr>
          <w:rFonts w:hint="eastAsia"/>
          <w:sz w:val="21"/>
          <w:szCs w:val="21"/>
        </w:rPr>
        <w:t>17</w:t>
      </w:r>
      <w:r>
        <w:rPr>
          <w:sz w:val="21"/>
          <w:szCs w:val="21"/>
        </w:rPr>
        <w:t xml:space="preserve">  优先采用城市污水处理厂中水、矿井疏干水、海水水源，减少地表水用量。 </w:t>
      </w:r>
    </w:p>
    <w:p w14:paraId="6F21283D">
      <w:pPr>
        <w:ind w:firstLine="420" w:firstLineChars="200"/>
        <w:jc w:val="left"/>
        <w:rPr>
          <w:rFonts w:hint="eastAsia"/>
          <w:sz w:val="21"/>
          <w:szCs w:val="21"/>
        </w:rPr>
      </w:pPr>
      <w:r>
        <w:rPr>
          <w:rFonts w:hint="eastAsia"/>
          <w:sz w:val="21"/>
          <w:szCs w:val="21"/>
        </w:rPr>
        <w:t>18</w:t>
      </w:r>
      <w:r>
        <w:rPr>
          <w:sz w:val="21"/>
          <w:szCs w:val="21"/>
        </w:rPr>
        <w:t xml:space="preserve">  </w:t>
      </w:r>
      <w:r>
        <w:rPr>
          <w:rFonts w:hint="eastAsia"/>
          <w:sz w:val="21"/>
          <w:szCs w:val="21"/>
        </w:rPr>
        <w:t>水务管理智能化，工艺技术路线先进，提高水的重复利用率，节约用水。</w:t>
      </w:r>
      <w:r>
        <w:rPr>
          <w:sz w:val="21"/>
          <w:szCs w:val="21"/>
        </w:rPr>
        <w:t xml:space="preserve"> </w:t>
      </w:r>
    </w:p>
    <w:p w14:paraId="6611AB29">
      <w:pPr>
        <w:ind w:firstLine="420" w:firstLineChars="200"/>
        <w:jc w:val="left"/>
        <w:rPr>
          <w:rFonts w:hint="eastAsia"/>
          <w:sz w:val="21"/>
          <w:szCs w:val="21"/>
        </w:rPr>
      </w:pPr>
      <w:r>
        <w:rPr>
          <w:rFonts w:hint="eastAsia"/>
          <w:sz w:val="21"/>
          <w:szCs w:val="21"/>
        </w:rPr>
        <w:t>19</w:t>
      </w:r>
      <w:r>
        <w:rPr>
          <w:sz w:val="21"/>
          <w:szCs w:val="21"/>
        </w:rPr>
        <w:t xml:space="preserve">  </w:t>
      </w:r>
      <w:r>
        <w:rPr>
          <w:rFonts w:hint="eastAsia"/>
          <w:sz w:val="21"/>
          <w:szCs w:val="21"/>
        </w:rPr>
        <w:t>污水、废水排放处理方案环保先进，所有污水、废水全部回用，实现全厂废水零排放。</w:t>
      </w:r>
    </w:p>
    <w:p w14:paraId="4EE03F9A">
      <w:pPr>
        <w:ind w:firstLine="420" w:firstLineChars="200"/>
        <w:jc w:val="left"/>
        <w:rPr>
          <w:rFonts w:hint="eastAsia"/>
          <w:sz w:val="21"/>
          <w:szCs w:val="21"/>
        </w:rPr>
      </w:pPr>
      <w:r>
        <w:rPr>
          <w:sz w:val="21"/>
          <w:szCs w:val="21"/>
        </w:rPr>
        <w:t>2</w:t>
      </w:r>
      <w:r>
        <w:rPr>
          <w:rFonts w:hint="eastAsia"/>
          <w:sz w:val="21"/>
          <w:szCs w:val="21"/>
        </w:rPr>
        <w:t>0</w:t>
      </w:r>
      <w:r>
        <w:rPr>
          <w:sz w:val="21"/>
          <w:szCs w:val="21"/>
        </w:rPr>
        <w:t xml:space="preserve">  选用节水管材、器具、设备，配置水量计量、监测装置。</w:t>
      </w:r>
    </w:p>
    <w:p w14:paraId="0BF4CC84">
      <w:pPr>
        <w:ind w:firstLine="420" w:firstLineChars="200"/>
        <w:jc w:val="left"/>
        <w:rPr>
          <w:rFonts w:hint="eastAsia"/>
          <w:sz w:val="21"/>
          <w:szCs w:val="21"/>
        </w:rPr>
      </w:pPr>
      <w:r>
        <w:rPr>
          <w:sz w:val="21"/>
          <w:szCs w:val="21"/>
        </w:rPr>
        <w:t>2</w:t>
      </w:r>
      <w:r>
        <w:rPr>
          <w:rFonts w:hint="eastAsia"/>
          <w:sz w:val="21"/>
          <w:szCs w:val="21"/>
        </w:rPr>
        <w:t>1</w:t>
      </w:r>
      <w:r>
        <w:rPr>
          <w:sz w:val="21"/>
          <w:szCs w:val="21"/>
        </w:rPr>
        <w:t xml:space="preserve">  全厂设计</w:t>
      </w:r>
      <w:bookmarkStart w:id="94" w:name="_Hlk168584637"/>
      <w:r>
        <w:rPr>
          <w:rFonts w:hint="eastAsia"/>
          <w:sz w:val="21"/>
          <w:szCs w:val="21"/>
        </w:rPr>
        <w:t>耗水指标</w:t>
      </w:r>
      <w:bookmarkEnd w:id="94"/>
      <w:r>
        <w:rPr>
          <w:rFonts w:hint="eastAsia"/>
          <w:sz w:val="21"/>
          <w:szCs w:val="21"/>
        </w:rPr>
        <w:t>先进，达到国内先进水平。</w:t>
      </w:r>
      <w:r>
        <w:rPr>
          <w:sz w:val="21"/>
          <w:szCs w:val="21"/>
        </w:rPr>
        <w:t xml:space="preserve"> </w:t>
      </w:r>
    </w:p>
    <w:p w14:paraId="4956A810">
      <w:pPr>
        <w:ind w:firstLine="420" w:firstLineChars="200"/>
        <w:jc w:val="left"/>
        <w:rPr>
          <w:rFonts w:hint="eastAsia"/>
          <w:sz w:val="21"/>
          <w:szCs w:val="21"/>
        </w:rPr>
      </w:pPr>
      <w:r>
        <w:rPr>
          <w:rFonts w:hint="eastAsia"/>
          <w:sz w:val="21"/>
          <w:szCs w:val="21"/>
        </w:rPr>
        <w:t>22</w:t>
      </w:r>
      <w:r>
        <w:rPr>
          <w:sz w:val="21"/>
          <w:szCs w:val="21"/>
        </w:rPr>
        <w:t xml:space="preserve">  </w:t>
      </w:r>
      <w:r>
        <w:rPr>
          <w:rFonts w:hint="eastAsia"/>
          <w:sz w:val="21"/>
          <w:szCs w:val="21"/>
        </w:rPr>
        <w:t>电厂雨水控制及利用（收集回用、土壤入渗、调蓄排放）专项设计，效果显著。</w:t>
      </w:r>
    </w:p>
    <w:p w14:paraId="1C7A4BED">
      <w:pPr>
        <w:ind w:firstLine="420" w:firstLineChars="200"/>
        <w:jc w:val="left"/>
        <w:outlineLvl w:val="0"/>
        <w:rPr>
          <w:rFonts w:hint="eastAsia"/>
          <w:sz w:val="21"/>
          <w:szCs w:val="21"/>
        </w:rPr>
      </w:pPr>
      <w:bookmarkStart w:id="95" w:name="_Toc31551"/>
      <w:bookmarkStart w:id="96" w:name="_Toc6597"/>
      <w:r>
        <w:rPr>
          <w:sz w:val="21"/>
          <w:szCs w:val="21"/>
        </w:rPr>
        <w:t>2</w:t>
      </w:r>
      <w:r>
        <w:rPr>
          <w:rFonts w:hint="eastAsia"/>
          <w:sz w:val="21"/>
          <w:szCs w:val="21"/>
        </w:rPr>
        <w:t>3</w:t>
      </w:r>
      <w:r>
        <w:rPr>
          <w:sz w:val="21"/>
          <w:szCs w:val="21"/>
        </w:rPr>
        <w:t xml:space="preserve">  </w:t>
      </w:r>
      <w:r>
        <w:rPr>
          <w:rFonts w:hint="eastAsia"/>
          <w:sz w:val="21"/>
          <w:szCs w:val="21"/>
        </w:rPr>
        <w:t>燃煤电厂褐煤提水方案先进，作为生产水源。</w:t>
      </w:r>
      <w:bookmarkEnd w:id="95"/>
      <w:bookmarkEnd w:id="96"/>
    </w:p>
    <w:p w14:paraId="1ABF7BF9">
      <w:pPr>
        <w:ind w:firstLine="420" w:firstLineChars="200"/>
        <w:jc w:val="left"/>
        <w:rPr>
          <w:rFonts w:hint="eastAsia"/>
          <w:sz w:val="21"/>
          <w:szCs w:val="21"/>
        </w:rPr>
      </w:pPr>
      <w:r>
        <w:rPr>
          <w:rFonts w:hint="eastAsia"/>
          <w:sz w:val="21"/>
          <w:szCs w:val="21"/>
        </w:rPr>
        <w:t>24</w:t>
      </w:r>
      <w:r>
        <w:rPr>
          <w:sz w:val="21"/>
          <w:szCs w:val="21"/>
        </w:rPr>
        <w:t xml:space="preserve">  </w:t>
      </w:r>
      <w:r>
        <w:rPr>
          <w:rFonts w:hint="eastAsia"/>
          <w:sz w:val="21"/>
          <w:szCs w:val="21"/>
        </w:rPr>
        <w:t>建筑物布置方案紧凑，采用合理的结构形式和材料，节省钢材、水泥等原材料。</w:t>
      </w:r>
    </w:p>
    <w:p w14:paraId="3F03ADC3">
      <w:pPr>
        <w:ind w:firstLine="420" w:firstLineChars="200"/>
        <w:jc w:val="left"/>
        <w:outlineLvl w:val="0"/>
        <w:rPr>
          <w:rFonts w:hint="eastAsia"/>
          <w:sz w:val="21"/>
          <w:szCs w:val="21"/>
        </w:rPr>
      </w:pPr>
      <w:bookmarkStart w:id="97" w:name="_Toc1031"/>
      <w:bookmarkStart w:id="98" w:name="_Toc3202"/>
      <w:r>
        <w:rPr>
          <w:rFonts w:hint="eastAsia"/>
          <w:sz w:val="21"/>
          <w:szCs w:val="21"/>
        </w:rPr>
        <w:t>25</w:t>
      </w:r>
      <w:r>
        <w:rPr>
          <w:sz w:val="21"/>
          <w:szCs w:val="21"/>
        </w:rPr>
        <w:t xml:space="preserve">  </w:t>
      </w:r>
      <w:r>
        <w:rPr>
          <w:rFonts w:hint="eastAsia"/>
          <w:sz w:val="21"/>
          <w:szCs w:val="21"/>
        </w:rPr>
        <w:t>钢材、水泥和电缆等消耗量省，同比达到国内先进水平。</w:t>
      </w:r>
      <w:bookmarkEnd w:id="97"/>
      <w:bookmarkEnd w:id="98"/>
      <w:r>
        <w:rPr>
          <w:sz w:val="21"/>
          <w:szCs w:val="21"/>
        </w:rPr>
        <w:t xml:space="preserve"> </w:t>
      </w:r>
    </w:p>
    <w:p w14:paraId="0B2DF56C">
      <w:pPr>
        <w:spacing w:before="120" w:beforeLines="50" w:after="240" w:afterLines="100"/>
        <w:jc w:val="center"/>
        <w:rPr>
          <w:rFonts w:hint="eastAsia"/>
          <w:sz w:val="21"/>
          <w:szCs w:val="21"/>
        </w:rPr>
      </w:pPr>
      <w:bookmarkStart w:id="99" w:name="_Toc169276080"/>
      <w:r>
        <w:rPr>
          <w:rFonts w:hint="eastAsia"/>
          <w:sz w:val="21"/>
          <w:szCs w:val="21"/>
        </w:rPr>
        <w:t xml:space="preserve">Ⅲ </w:t>
      </w:r>
      <w:r>
        <w:rPr>
          <w:sz w:val="21"/>
          <w:szCs w:val="21"/>
        </w:rPr>
        <w:t xml:space="preserve"> </w:t>
      </w:r>
      <w:r>
        <w:rPr>
          <w:rFonts w:hint="eastAsia"/>
          <w:sz w:val="21"/>
          <w:szCs w:val="21"/>
        </w:rPr>
        <w:t>生态环保</w:t>
      </w:r>
    </w:p>
    <w:p w14:paraId="7D2CF311">
      <w:pPr>
        <w:jc w:val="left"/>
        <w:outlineLvl w:val="1"/>
        <w:rPr>
          <w:rFonts w:hint="eastAsia"/>
          <w:sz w:val="21"/>
          <w:szCs w:val="21"/>
        </w:rPr>
      </w:pPr>
      <w:bookmarkStart w:id="100" w:name="_Toc32099"/>
      <w:bookmarkStart w:id="101" w:name="_Toc30606"/>
      <w:r>
        <w:rPr>
          <w:rFonts w:hint="eastAsia" w:ascii="黑体" w:hAnsi="黑体" w:eastAsia="黑体" w:cs="黑体"/>
          <w:sz w:val="21"/>
          <w:szCs w:val="21"/>
          <w:lang w:val="en-US" w:eastAsia="zh-CN"/>
        </w:rPr>
        <w:t xml:space="preserve">6.1.3 </w:t>
      </w:r>
      <w:r>
        <w:rPr>
          <w:sz w:val="21"/>
          <w:szCs w:val="21"/>
        </w:rPr>
        <w:t xml:space="preserve"> </w:t>
      </w:r>
      <w:r>
        <w:rPr>
          <w:rFonts w:hint="eastAsia"/>
          <w:sz w:val="21"/>
          <w:szCs w:val="21"/>
        </w:rPr>
        <w:t>生态环保</w:t>
      </w:r>
      <w:bookmarkEnd w:id="99"/>
      <w:r>
        <w:rPr>
          <w:rFonts w:hint="eastAsia"/>
          <w:sz w:val="21"/>
          <w:szCs w:val="21"/>
        </w:rPr>
        <w:t>评</w:t>
      </w:r>
      <w:r>
        <w:rPr>
          <w:sz w:val="21"/>
          <w:szCs w:val="21"/>
        </w:rPr>
        <w:t>价应包括以下内容：</w:t>
      </w:r>
      <w:bookmarkEnd w:id="100"/>
      <w:bookmarkEnd w:id="101"/>
    </w:p>
    <w:p w14:paraId="4075D447">
      <w:pPr>
        <w:ind w:firstLine="420" w:firstLineChars="200"/>
        <w:jc w:val="left"/>
        <w:rPr>
          <w:rFonts w:hint="eastAsia"/>
          <w:sz w:val="21"/>
          <w:szCs w:val="21"/>
        </w:rPr>
      </w:pPr>
      <w:r>
        <w:rPr>
          <w:sz w:val="21"/>
          <w:szCs w:val="21"/>
        </w:rPr>
        <w:t xml:space="preserve">1  </w:t>
      </w:r>
      <w:r>
        <w:rPr>
          <w:rFonts w:hint="eastAsia"/>
          <w:sz w:val="21"/>
          <w:szCs w:val="21"/>
        </w:rPr>
        <w:t>践行“两山”理论，体现人与自然和谐共生的可持续发展理念。</w:t>
      </w:r>
    </w:p>
    <w:p w14:paraId="035D8070">
      <w:pPr>
        <w:ind w:firstLine="420" w:firstLineChars="200"/>
        <w:jc w:val="left"/>
        <w:outlineLvl w:val="0"/>
        <w:rPr>
          <w:rFonts w:hint="eastAsia"/>
          <w:sz w:val="21"/>
          <w:szCs w:val="21"/>
        </w:rPr>
      </w:pPr>
      <w:bookmarkStart w:id="102" w:name="_Toc4449"/>
      <w:bookmarkStart w:id="103" w:name="_Toc10454"/>
      <w:r>
        <w:rPr>
          <w:sz w:val="21"/>
          <w:szCs w:val="21"/>
        </w:rPr>
        <w:t xml:space="preserve">2  </w:t>
      </w:r>
      <w:r>
        <w:rPr>
          <w:rFonts w:hint="eastAsia"/>
          <w:sz w:val="21"/>
          <w:szCs w:val="21"/>
        </w:rPr>
        <w:t>电厂总体布置因地制宜，与生态环境、周边环境和谐统一。</w:t>
      </w:r>
      <w:bookmarkEnd w:id="102"/>
      <w:bookmarkEnd w:id="103"/>
    </w:p>
    <w:p w14:paraId="3514F798">
      <w:pPr>
        <w:ind w:firstLine="420" w:firstLineChars="200"/>
        <w:jc w:val="left"/>
        <w:rPr>
          <w:rFonts w:hint="eastAsia"/>
          <w:sz w:val="21"/>
          <w:szCs w:val="21"/>
        </w:rPr>
      </w:pPr>
      <w:r>
        <w:rPr>
          <w:sz w:val="21"/>
          <w:szCs w:val="21"/>
        </w:rPr>
        <w:t xml:space="preserve">3  </w:t>
      </w:r>
      <w:r>
        <w:rPr>
          <w:rFonts w:hint="eastAsia"/>
          <w:sz w:val="21"/>
          <w:szCs w:val="21"/>
        </w:rPr>
        <w:t>全厂</w:t>
      </w:r>
      <w:r>
        <w:rPr>
          <w:sz w:val="21"/>
          <w:szCs w:val="21"/>
        </w:rPr>
        <w:t>建筑</w:t>
      </w:r>
      <w:r>
        <w:rPr>
          <w:rFonts w:hint="eastAsia"/>
          <w:sz w:val="21"/>
          <w:szCs w:val="21"/>
        </w:rPr>
        <w:t>、色彩及景观一体化</w:t>
      </w:r>
      <w:r>
        <w:rPr>
          <w:sz w:val="21"/>
          <w:szCs w:val="21"/>
        </w:rPr>
        <w:t>设计，与</w:t>
      </w:r>
      <w:r>
        <w:rPr>
          <w:rFonts w:hint="eastAsia"/>
          <w:sz w:val="21"/>
          <w:szCs w:val="21"/>
        </w:rPr>
        <w:t>周边环境及国土空间规划</w:t>
      </w:r>
      <w:r>
        <w:rPr>
          <w:sz w:val="21"/>
          <w:szCs w:val="21"/>
        </w:rPr>
        <w:t>的协调性</w:t>
      </w:r>
      <w:r>
        <w:rPr>
          <w:rFonts w:hint="eastAsia"/>
          <w:sz w:val="21"/>
          <w:szCs w:val="21"/>
        </w:rPr>
        <w:t>好</w:t>
      </w:r>
      <w:r>
        <w:rPr>
          <w:sz w:val="21"/>
          <w:szCs w:val="21"/>
        </w:rPr>
        <w:t>，全厂</w:t>
      </w:r>
      <w:r>
        <w:rPr>
          <w:rFonts w:hint="eastAsia"/>
          <w:sz w:val="21"/>
          <w:szCs w:val="21"/>
        </w:rPr>
        <w:t>绿地</w:t>
      </w:r>
      <w:r>
        <w:rPr>
          <w:sz w:val="21"/>
          <w:szCs w:val="21"/>
        </w:rPr>
        <w:t>率</w:t>
      </w:r>
      <w:r>
        <w:rPr>
          <w:rFonts w:hint="eastAsia"/>
          <w:sz w:val="21"/>
          <w:szCs w:val="21"/>
        </w:rPr>
        <w:t>指标先进。</w:t>
      </w:r>
    </w:p>
    <w:p w14:paraId="006B50D3">
      <w:pPr>
        <w:ind w:firstLine="420" w:firstLineChars="200"/>
        <w:jc w:val="left"/>
        <w:rPr>
          <w:rFonts w:hint="eastAsia"/>
          <w:sz w:val="21"/>
          <w:szCs w:val="21"/>
        </w:rPr>
      </w:pPr>
      <w:bookmarkStart w:id="104" w:name="_Hlk168659802"/>
      <w:r>
        <w:rPr>
          <w:sz w:val="21"/>
          <w:szCs w:val="21"/>
        </w:rPr>
        <w:t xml:space="preserve">4  </w:t>
      </w:r>
      <w:r>
        <w:rPr>
          <w:rFonts w:hint="eastAsia"/>
          <w:sz w:val="21"/>
          <w:szCs w:val="21"/>
        </w:rPr>
        <w:t>厂区竖向布置方案合理，挖、填土石方量省，实现土石方量自身平衡，减少对水土保持、生态环境的影响。</w:t>
      </w:r>
    </w:p>
    <w:bookmarkEnd w:id="104"/>
    <w:p w14:paraId="30085085">
      <w:pPr>
        <w:ind w:firstLine="420" w:firstLineChars="200"/>
        <w:jc w:val="left"/>
        <w:rPr>
          <w:rFonts w:hint="eastAsia"/>
          <w:sz w:val="21"/>
          <w:szCs w:val="21"/>
        </w:rPr>
      </w:pPr>
      <w:r>
        <w:rPr>
          <w:sz w:val="21"/>
          <w:szCs w:val="21"/>
        </w:rPr>
        <w:t xml:space="preserve">5  </w:t>
      </w:r>
      <w:r>
        <w:rPr>
          <w:rFonts w:hint="eastAsia"/>
          <w:sz w:val="21"/>
          <w:szCs w:val="21"/>
        </w:rPr>
        <w:t>环境保护各项技术路线先进。烟尘处理方案、脱硫处理方案、脱硝处理方案、废水处理方案、灰渣处置及综合利用、噪声防护措施等科学合理，</w:t>
      </w:r>
      <w:r>
        <w:rPr>
          <w:sz w:val="21"/>
          <w:szCs w:val="21"/>
        </w:rPr>
        <w:t xml:space="preserve"> </w:t>
      </w:r>
      <w:r>
        <w:rPr>
          <w:rFonts w:hint="eastAsia"/>
          <w:sz w:val="21"/>
          <w:szCs w:val="21"/>
        </w:rPr>
        <w:t>技术成熟，运行效果好。</w:t>
      </w:r>
    </w:p>
    <w:p w14:paraId="4A05DC0D">
      <w:pPr>
        <w:ind w:firstLine="420" w:firstLineChars="200"/>
        <w:jc w:val="left"/>
        <w:rPr>
          <w:rFonts w:hint="eastAsia"/>
          <w:sz w:val="21"/>
          <w:szCs w:val="21"/>
        </w:rPr>
      </w:pPr>
      <w:r>
        <w:rPr>
          <w:sz w:val="21"/>
          <w:szCs w:val="21"/>
        </w:rPr>
        <w:t xml:space="preserve">6  工程尘、硫、氮、水、气、声、渣、灰全过程、全要素、全链条全面环保达标，排放标准满足国家及当地超低排放要求。 </w:t>
      </w:r>
    </w:p>
    <w:p w14:paraId="5DD7CCFA">
      <w:pPr>
        <w:spacing w:before="120" w:beforeLines="50" w:after="240" w:afterLines="100"/>
        <w:jc w:val="center"/>
        <w:rPr>
          <w:rFonts w:hint="eastAsia"/>
          <w:sz w:val="21"/>
          <w:szCs w:val="21"/>
        </w:rPr>
      </w:pPr>
      <w:bookmarkStart w:id="105" w:name="_Toc169276081"/>
      <w:r>
        <w:rPr>
          <w:rFonts w:hint="eastAsia"/>
          <w:sz w:val="21"/>
          <w:szCs w:val="21"/>
        </w:rPr>
        <w:t>Ⅳ  综合效益</w:t>
      </w:r>
    </w:p>
    <w:p w14:paraId="3ADF8AB5">
      <w:pPr>
        <w:jc w:val="left"/>
        <w:outlineLvl w:val="1"/>
        <w:rPr>
          <w:rFonts w:hint="eastAsia"/>
          <w:sz w:val="21"/>
          <w:szCs w:val="21"/>
        </w:rPr>
      </w:pPr>
      <w:bookmarkStart w:id="106" w:name="_Toc25509"/>
      <w:bookmarkStart w:id="107" w:name="_Toc18730"/>
      <w:r>
        <w:rPr>
          <w:rFonts w:hint="eastAsia" w:ascii="黑体" w:hAnsi="黑体" w:eastAsia="黑体" w:cs="黑体"/>
          <w:sz w:val="21"/>
          <w:szCs w:val="21"/>
          <w:lang w:val="en-US" w:eastAsia="zh-CN"/>
        </w:rPr>
        <w:t xml:space="preserve">6.1.4 </w:t>
      </w:r>
      <w:r>
        <w:rPr>
          <w:sz w:val="21"/>
          <w:szCs w:val="21"/>
        </w:rPr>
        <w:t xml:space="preserve">   </w:t>
      </w:r>
      <w:r>
        <w:rPr>
          <w:rFonts w:hint="eastAsia"/>
          <w:sz w:val="21"/>
          <w:szCs w:val="21"/>
        </w:rPr>
        <w:t>综合效益</w:t>
      </w:r>
      <w:bookmarkEnd w:id="105"/>
      <w:r>
        <w:rPr>
          <w:rFonts w:hint="eastAsia"/>
          <w:sz w:val="21"/>
          <w:szCs w:val="21"/>
        </w:rPr>
        <w:t>评</w:t>
      </w:r>
      <w:r>
        <w:rPr>
          <w:sz w:val="21"/>
          <w:szCs w:val="21"/>
        </w:rPr>
        <w:t>价应包括以下内容：</w:t>
      </w:r>
      <w:bookmarkEnd w:id="106"/>
      <w:bookmarkEnd w:id="107"/>
    </w:p>
    <w:p w14:paraId="2CD90D35">
      <w:pPr>
        <w:ind w:firstLine="420" w:firstLineChars="200"/>
        <w:jc w:val="left"/>
        <w:rPr>
          <w:rFonts w:hint="eastAsia"/>
          <w:sz w:val="21"/>
          <w:szCs w:val="21"/>
        </w:rPr>
      </w:pPr>
      <w:r>
        <w:rPr>
          <w:sz w:val="21"/>
          <w:szCs w:val="21"/>
        </w:rPr>
        <w:t xml:space="preserve">1  </w:t>
      </w:r>
      <w:r>
        <w:rPr>
          <w:rFonts w:hint="eastAsia"/>
          <w:sz w:val="21"/>
          <w:szCs w:val="21"/>
        </w:rPr>
        <w:t>经济效益好，</w:t>
      </w:r>
      <w:r>
        <w:rPr>
          <w:sz w:val="21"/>
          <w:szCs w:val="21"/>
        </w:rPr>
        <w:t>投资回报率高。与同类同期工程相比较，综合投资省，重要经济技术指标处于领先水平。</w:t>
      </w:r>
    </w:p>
    <w:p w14:paraId="1DDC80B9">
      <w:pPr>
        <w:ind w:firstLine="420" w:firstLineChars="200"/>
        <w:jc w:val="left"/>
        <w:outlineLvl w:val="0"/>
        <w:rPr>
          <w:rFonts w:hint="eastAsia"/>
          <w:sz w:val="21"/>
          <w:szCs w:val="21"/>
        </w:rPr>
      </w:pPr>
      <w:bookmarkStart w:id="108" w:name="_Toc22224"/>
      <w:bookmarkStart w:id="109" w:name="_Toc26970"/>
      <w:r>
        <w:rPr>
          <w:rFonts w:hint="eastAsia"/>
          <w:sz w:val="21"/>
          <w:szCs w:val="21"/>
        </w:rPr>
        <w:t xml:space="preserve">2 </w:t>
      </w:r>
      <w:r>
        <w:rPr>
          <w:sz w:val="21"/>
          <w:szCs w:val="21"/>
        </w:rPr>
        <w:t xml:space="preserve"> 对当地财政税收贡献大，助力地方经济，实现可持续发展。</w:t>
      </w:r>
      <w:bookmarkEnd w:id="108"/>
      <w:bookmarkEnd w:id="109"/>
    </w:p>
    <w:p w14:paraId="2F430436">
      <w:pPr>
        <w:ind w:firstLine="420" w:firstLineChars="200"/>
        <w:jc w:val="left"/>
        <w:rPr>
          <w:rFonts w:hint="eastAsia"/>
          <w:sz w:val="21"/>
          <w:szCs w:val="21"/>
        </w:rPr>
      </w:pPr>
      <w:r>
        <w:rPr>
          <w:rFonts w:hint="eastAsia"/>
          <w:sz w:val="21"/>
          <w:szCs w:val="21"/>
        </w:rPr>
        <w:t>3</w:t>
      </w:r>
      <w:bookmarkStart w:id="110" w:name="_Hlk162968550"/>
      <w:r>
        <w:rPr>
          <w:sz w:val="21"/>
          <w:szCs w:val="21"/>
        </w:rPr>
        <w:t xml:space="preserve">  项目</w:t>
      </w:r>
      <w:bookmarkEnd w:id="110"/>
      <w:r>
        <w:rPr>
          <w:rFonts w:hint="eastAsia"/>
          <w:sz w:val="21"/>
          <w:szCs w:val="21"/>
        </w:rPr>
        <w:t>在资源节约、生态环保等方面亮点突出，</w:t>
      </w:r>
      <w:r>
        <w:rPr>
          <w:sz w:val="21"/>
          <w:szCs w:val="21"/>
        </w:rPr>
        <w:t>推动生态治理与战略性转型产业深度融合</w:t>
      </w:r>
      <w:r>
        <w:rPr>
          <w:rFonts w:hint="eastAsia"/>
          <w:sz w:val="21"/>
          <w:szCs w:val="21"/>
        </w:rPr>
        <w:t>，社会满意度较高。</w:t>
      </w:r>
    </w:p>
    <w:p w14:paraId="39055EA3">
      <w:pPr>
        <w:spacing w:before="120" w:beforeLines="50" w:after="240" w:afterLines="100"/>
        <w:jc w:val="center"/>
        <w:rPr>
          <w:rFonts w:hint="eastAsia"/>
          <w:sz w:val="21"/>
          <w:szCs w:val="21"/>
        </w:rPr>
      </w:pPr>
      <w:bookmarkStart w:id="111" w:name="_Toc169276082"/>
      <w:r>
        <w:rPr>
          <w:rFonts w:hint="eastAsia"/>
          <w:sz w:val="21"/>
          <w:szCs w:val="21"/>
        </w:rPr>
        <w:t>Ⅴ</w:t>
      </w:r>
      <w:r>
        <w:rPr>
          <w:sz w:val="21"/>
          <w:szCs w:val="21"/>
        </w:rPr>
        <w:t xml:space="preserve">  </w:t>
      </w:r>
      <w:r>
        <w:rPr>
          <w:rFonts w:hint="eastAsia"/>
          <w:sz w:val="21"/>
          <w:szCs w:val="21"/>
        </w:rPr>
        <w:t>科技创新</w:t>
      </w:r>
    </w:p>
    <w:p w14:paraId="1E0C76F2">
      <w:pPr>
        <w:jc w:val="left"/>
        <w:outlineLvl w:val="1"/>
        <w:rPr>
          <w:rFonts w:hint="eastAsia"/>
          <w:sz w:val="21"/>
          <w:szCs w:val="21"/>
        </w:rPr>
      </w:pPr>
      <w:bookmarkStart w:id="112" w:name="_Toc16728"/>
      <w:bookmarkStart w:id="113" w:name="_Toc27697"/>
      <w:r>
        <w:rPr>
          <w:rFonts w:hint="eastAsia" w:ascii="黑体" w:hAnsi="黑体" w:eastAsia="黑体" w:cs="黑体"/>
          <w:sz w:val="21"/>
          <w:szCs w:val="21"/>
          <w:lang w:val="en-US" w:eastAsia="zh-CN"/>
        </w:rPr>
        <w:t xml:space="preserve">6.1.5 </w:t>
      </w:r>
      <w:r>
        <w:rPr>
          <w:sz w:val="21"/>
          <w:szCs w:val="21"/>
        </w:rPr>
        <w:t xml:space="preserve">   </w:t>
      </w:r>
      <w:r>
        <w:rPr>
          <w:rFonts w:hint="eastAsia"/>
          <w:sz w:val="21"/>
          <w:szCs w:val="21"/>
        </w:rPr>
        <w:t>科技创新</w:t>
      </w:r>
      <w:bookmarkEnd w:id="111"/>
      <w:r>
        <w:rPr>
          <w:rFonts w:hint="eastAsia"/>
          <w:sz w:val="21"/>
          <w:szCs w:val="21"/>
        </w:rPr>
        <w:t>评</w:t>
      </w:r>
      <w:r>
        <w:rPr>
          <w:sz w:val="21"/>
          <w:szCs w:val="21"/>
        </w:rPr>
        <w:t>价应包括以下内容：</w:t>
      </w:r>
      <w:bookmarkEnd w:id="112"/>
      <w:bookmarkEnd w:id="113"/>
    </w:p>
    <w:p w14:paraId="5F3BF2AF">
      <w:pPr>
        <w:ind w:firstLine="420" w:firstLineChars="200"/>
        <w:jc w:val="left"/>
        <w:rPr>
          <w:rFonts w:hint="eastAsia"/>
          <w:sz w:val="21"/>
          <w:szCs w:val="21"/>
        </w:rPr>
      </w:pPr>
      <w:r>
        <w:rPr>
          <w:sz w:val="21"/>
          <w:szCs w:val="21"/>
        </w:rPr>
        <w:t xml:space="preserve">1  </w:t>
      </w:r>
      <w:r>
        <w:rPr>
          <w:rFonts w:hint="eastAsia"/>
          <w:sz w:val="21"/>
          <w:szCs w:val="21"/>
        </w:rPr>
        <w:t>积极采用新技术、新工艺、新流程、新材料、新装备、新产品等技术创新成果，供电标煤耗和厂用电率等指标先进，领先国内同类型机组。</w:t>
      </w:r>
    </w:p>
    <w:p w14:paraId="19DA1C70">
      <w:pPr>
        <w:ind w:firstLine="420" w:firstLineChars="200"/>
        <w:jc w:val="left"/>
        <w:rPr>
          <w:rFonts w:hint="eastAsia"/>
          <w:sz w:val="21"/>
          <w:szCs w:val="21"/>
        </w:rPr>
      </w:pPr>
      <w:r>
        <w:rPr>
          <w:sz w:val="21"/>
          <w:szCs w:val="21"/>
        </w:rPr>
        <w:t xml:space="preserve">2  依托本工程取得的创新成果（课题、专利、专有技术、奖项、竞赛活动成果、国家示范试点、参编标准、期刊论文等），填补国内空白或处于国内领先水平。 </w:t>
      </w:r>
    </w:p>
    <w:p w14:paraId="5F81A7A3">
      <w:pPr>
        <w:ind w:firstLine="420" w:firstLineChars="200"/>
        <w:jc w:val="left"/>
        <w:rPr>
          <w:rFonts w:hint="eastAsia"/>
          <w:sz w:val="21"/>
          <w:szCs w:val="21"/>
        </w:rPr>
      </w:pPr>
      <w:r>
        <w:rPr>
          <w:sz w:val="21"/>
          <w:szCs w:val="21"/>
        </w:rPr>
        <w:t>3  先进的降碳、生态固碳措施</w:t>
      </w:r>
      <w:r>
        <w:rPr>
          <w:rFonts w:hint="eastAsia"/>
          <w:sz w:val="21"/>
          <w:szCs w:val="21"/>
        </w:rPr>
        <w:t>，对工程</w:t>
      </w:r>
      <w:r>
        <w:rPr>
          <w:sz w:val="21"/>
          <w:szCs w:val="21"/>
        </w:rPr>
        <w:t>碳排放量进行定量</w:t>
      </w:r>
      <w:r>
        <w:rPr>
          <w:rFonts w:hint="eastAsia"/>
          <w:sz w:val="21"/>
          <w:szCs w:val="21"/>
        </w:rPr>
        <w:t>计算</w:t>
      </w:r>
      <w:r>
        <w:rPr>
          <w:sz w:val="21"/>
          <w:szCs w:val="21"/>
        </w:rPr>
        <w:t>分析</w:t>
      </w:r>
      <w:r>
        <w:rPr>
          <w:rFonts w:hint="eastAsia"/>
          <w:sz w:val="21"/>
          <w:szCs w:val="21"/>
        </w:rPr>
        <w:t>，有效减少对生态环境的影响。</w:t>
      </w:r>
    </w:p>
    <w:p w14:paraId="0C0905D7">
      <w:pPr>
        <w:ind w:firstLine="420" w:firstLineChars="200"/>
        <w:jc w:val="left"/>
        <w:rPr>
          <w:rFonts w:hint="eastAsia"/>
          <w:sz w:val="21"/>
          <w:szCs w:val="21"/>
        </w:rPr>
      </w:pPr>
      <w:r>
        <w:rPr>
          <w:rFonts w:hint="eastAsia"/>
          <w:sz w:val="21"/>
          <w:szCs w:val="21"/>
        </w:rPr>
        <w:t>4</w:t>
      </w:r>
      <w:r>
        <w:rPr>
          <w:sz w:val="21"/>
          <w:szCs w:val="21"/>
        </w:rPr>
        <w:t xml:space="preserve">  </w:t>
      </w:r>
      <w:r>
        <w:rPr>
          <w:rFonts w:hint="eastAsia"/>
          <w:sz w:val="21"/>
          <w:szCs w:val="21"/>
        </w:rPr>
        <w:t>适应新型电力系统要求的先进技术，如宽负荷调峰能力、减碳排放技术、热电解耦技术、储能技术等。</w:t>
      </w:r>
    </w:p>
    <w:p w14:paraId="5131B29D">
      <w:pPr>
        <w:spacing w:before="120" w:beforeLines="50" w:after="240" w:afterLines="100"/>
        <w:jc w:val="left"/>
        <w:outlineLvl w:val="2"/>
        <w:rPr>
          <w:rFonts w:hint="eastAsia"/>
          <w:sz w:val="21"/>
          <w:szCs w:val="21"/>
        </w:rPr>
      </w:pPr>
      <w:bookmarkStart w:id="114" w:name="_Toc174141241"/>
      <w:bookmarkStart w:id="115" w:name="_Toc28630"/>
      <w:r>
        <w:rPr>
          <w:rFonts w:hint="eastAsia" w:ascii="黑体" w:hAnsi="黑体" w:eastAsia="黑体" w:cs="黑体"/>
          <w:sz w:val="21"/>
          <w:szCs w:val="21"/>
          <w:lang w:val="en-US" w:eastAsia="zh-CN"/>
        </w:rPr>
        <w:t xml:space="preserve">6.2 </w:t>
      </w:r>
      <w:r>
        <w:rPr>
          <w:sz w:val="21"/>
          <w:szCs w:val="21"/>
        </w:rPr>
        <w:t xml:space="preserve">   </w:t>
      </w:r>
      <w:r>
        <w:rPr>
          <w:rFonts w:hint="eastAsia"/>
          <w:sz w:val="21"/>
          <w:szCs w:val="21"/>
        </w:rPr>
        <w:t>水力发电（含抽水蓄能</w:t>
      </w:r>
      <w:r>
        <w:rPr>
          <w:sz w:val="21"/>
          <w:szCs w:val="21"/>
        </w:rPr>
        <w:t>）</w:t>
      </w:r>
      <w:r>
        <w:rPr>
          <w:rFonts w:hint="eastAsia"/>
          <w:sz w:val="21"/>
          <w:szCs w:val="21"/>
        </w:rPr>
        <w:t>工程</w:t>
      </w:r>
      <w:bookmarkEnd w:id="114"/>
      <w:bookmarkEnd w:id="115"/>
    </w:p>
    <w:p w14:paraId="7A9E22FF">
      <w:pPr>
        <w:spacing w:before="120" w:beforeLines="50" w:after="240" w:afterLines="100"/>
        <w:jc w:val="center"/>
        <w:rPr>
          <w:rFonts w:hint="eastAsia"/>
          <w:sz w:val="21"/>
          <w:szCs w:val="21"/>
        </w:rPr>
      </w:pPr>
      <w:r>
        <w:rPr>
          <w:rFonts w:hint="eastAsia"/>
          <w:sz w:val="21"/>
          <w:szCs w:val="21"/>
        </w:rPr>
        <w:t xml:space="preserve">Ⅰ </w:t>
      </w:r>
      <w:r>
        <w:rPr>
          <w:sz w:val="21"/>
          <w:szCs w:val="21"/>
        </w:rPr>
        <w:t xml:space="preserve"> </w:t>
      </w:r>
      <w:r>
        <w:rPr>
          <w:rFonts w:hint="eastAsia"/>
          <w:sz w:val="21"/>
          <w:szCs w:val="21"/>
        </w:rPr>
        <w:t>技术</w:t>
      </w:r>
      <w:r>
        <w:rPr>
          <w:sz w:val="21"/>
          <w:szCs w:val="21"/>
        </w:rPr>
        <w:t>先进</w:t>
      </w:r>
    </w:p>
    <w:p w14:paraId="1FB19B68">
      <w:pPr>
        <w:outlineLvl w:val="1"/>
        <w:rPr>
          <w:rFonts w:hint="eastAsia"/>
          <w:sz w:val="21"/>
          <w:szCs w:val="21"/>
        </w:rPr>
      </w:pPr>
      <w:bookmarkStart w:id="116" w:name="_Toc11148"/>
      <w:bookmarkStart w:id="117" w:name="_Toc17570"/>
      <w:r>
        <w:rPr>
          <w:rFonts w:hint="eastAsia" w:ascii="黑体" w:hAnsi="黑体" w:eastAsia="黑体" w:cs="黑体"/>
          <w:sz w:val="21"/>
          <w:szCs w:val="21"/>
          <w:lang w:val="en-US" w:eastAsia="zh-CN"/>
        </w:rPr>
        <w:t xml:space="preserve">6.2.1 </w:t>
      </w:r>
      <w:r>
        <w:rPr>
          <w:sz w:val="21"/>
          <w:szCs w:val="21"/>
        </w:rPr>
        <w:t xml:space="preserve">   </w:t>
      </w:r>
      <w:r>
        <w:rPr>
          <w:rFonts w:hint="eastAsia"/>
          <w:sz w:val="21"/>
          <w:szCs w:val="21"/>
        </w:rPr>
        <w:t>技术先进评价应包括以下内容：</w:t>
      </w:r>
      <w:bookmarkEnd w:id="116"/>
      <w:bookmarkEnd w:id="117"/>
    </w:p>
    <w:p w14:paraId="7BA3A78A">
      <w:pPr>
        <w:ind w:firstLine="420" w:firstLineChars="200"/>
        <w:jc w:val="left"/>
        <w:rPr>
          <w:rFonts w:hint="eastAsia"/>
          <w:sz w:val="21"/>
          <w:szCs w:val="21"/>
        </w:rPr>
      </w:pPr>
      <w:r>
        <w:rPr>
          <w:sz w:val="21"/>
          <w:szCs w:val="21"/>
        </w:rPr>
        <w:t xml:space="preserve">1  </w:t>
      </w:r>
      <w:r>
        <w:rPr>
          <w:rFonts w:hint="eastAsia"/>
          <w:sz w:val="21"/>
          <w:szCs w:val="21"/>
        </w:rPr>
        <w:t>水电站总体设计科学合理，积极采用新技术，电站全寿命周期的技术经济性最佳。</w:t>
      </w:r>
    </w:p>
    <w:p w14:paraId="505F5344">
      <w:pPr>
        <w:ind w:firstLine="420" w:firstLineChars="200"/>
        <w:jc w:val="left"/>
        <w:rPr>
          <w:rFonts w:hint="eastAsia"/>
          <w:sz w:val="21"/>
          <w:szCs w:val="21"/>
        </w:rPr>
      </w:pPr>
      <w:r>
        <w:rPr>
          <w:sz w:val="21"/>
          <w:szCs w:val="21"/>
        </w:rPr>
        <w:t xml:space="preserve">2  </w:t>
      </w:r>
      <w:r>
        <w:rPr>
          <w:rFonts w:hint="eastAsia"/>
          <w:sz w:val="21"/>
          <w:szCs w:val="21"/>
        </w:rPr>
        <w:t>建筑物勘察方法合理，对水库区及各建筑物区地质条件评价清楚，分析全面。</w:t>
      </w:r>
    </w:p>
    <w:p w14:paraId="740A3489">
      <w:pPr>
        <w:ind w:firstLine="420" w:firstLineChars="200"/>
        <w:outlineLvl w:val="0"/>
        <w:rPr>
          <w:rFonts w:hint="eastAsia"/>
          <w:sz w:val="21"/>
          <w:szCs w:val="21"/>
        </w:rPr>
      </w:pPr>
      <w:bookmarkStart w:id="118" w:name="_Toc11917"/>
      <w:bookmarkStart w:id="119" w:name="_Toc14049"/>
      <w:r>
        <w:rPr>
          <w:sz w:val="21"/>
          <w:szCs w:val="21"/>
        </w:rPr>
        <w:t xml:space="preserve">3  </w:t>
      </w:r>
      <w:r>
        <w:rPr>
          <w:rFonts w:hint="eastAsia"/>
          <w:sz w:val="21"/>
          <w:szCs w:val="21"/>
        </w:rPr>
        <w:t>岩土物理力学参数合理，确定依据可靠。</w:t>
      </w:r>
      <w:bookmarkEnd w:id="118"/>
      <w:bookmarkEnd w:id="119"/>
    </w:p>
    <w:p w14:paraId="468E6DFF">
      <w:pPr>
        <w:ind w:firstLine="420" w:firstLineChars="200"/>
        <w:rPr>
          <w:rFonts w:hint="eastAsia"/>
          <w:sz w:val="21"/>
          <w:szCs w:val="21"/>
        </w:rPr>
      </w:pPr>
      <w:r>
        <w:rPr>
          <w:sz w:val="21"/>
          <w:szCs w:val="21"/>
        </w:rPr>
        <w:t xml:space="preserve">4  </w:t>
      </w:r>
      <w:r>
        <w:rPr>
          <w:rFonts w:hint="eastAsia"/>
          <w:sz w:val="21"/>
          <w:szCs w:val="21"/>
        </w:rPr>
        <w:t>枢纽总布置方案先进，主要建筑物集中集约，为绿色建造创造条件。</w:t>
      </w:r>
    </w:p>
    <w:p w14:paraId="611E9DC9">
      <w:pPr>
        <w:ind w:firstLine="420" w:firstLineChars="200"/>
        <w:rPr>
          <w:rFonts w:hint="eastAsia"/>
          <w:sz w:val="21"/>
          <w:szCs w:val="21"/>
        </w:rPr>
      </w:pPr>
      <w:r>
        <w:rPr>
          <w:sz w:val="21"/>
          <w:szCs w:val="21"/>
        </w:rPr>
        <w:t xml:space="preserve">5  </w:t>
      </w:r>
      <w:r>
        <w:rPr>
          <w:rFonts w:hint="eastAsia"/>
          <w:sz w:val="21"/>
          <w:szCs w:val="21"/>
        </w:rPr>
        <w:t>施工总布置方案设计先进，临时建筑物布置紧凑，施工道路设置合理，施工用地重复使用率高。</w:t>
      </w:r>
    </w:p>
    <w:p w14:paraId="6E98132A">
      <w:pPr>
        <w:ind w:firstLine="420" w:firstLineChars="200"/>
        <w:outlineLvl w:val="0"/>
        <w:rPr>
          <w:rFonts w:hint="eastAsia"/>
          <w:sz w:val="21"/>
          <w:szCs w:val="21"/>
        </w:rPr>
      </w:pPr>
      <w:bookmarkStart w:id="120" w:name="_Toc8210"/>
      <w:bookmarkStart w:id="121" w:name="_Toc21025"/>
      <w:r>
        <w:rPr>
          <w:sz w:val="21"/>
          <w:szCs w:val="21"/>
        </w:rPr>
        <w:t xml:space="preserve">6  </w:t>
      </w:r>
      <w:r>
        <w:rPr>
          <w:rFonts w:hint="eastAsia"/>
          <w:sz w:val="21"/>
          <w:szCs w:val="21"/>
        </w:rPr>
        <w:t>各建筑物的选址、线路、轴线和型式经多方案综合比较确定。</w:t>
      </w:r>
      <w:bookmarkEnd w:id="120"/>
      <w:bookmarkEnd w:id="121"/>
    </w:p>
    <w:p w14:paraId="5B2428B8">
      <w:pPr>
        <w:ind w:firstLine="420" w:firstLineChars="200"/>
        <w:rPr>
          <w:rFonts w:hint="eastAsia"/>
          <w:sz w:val="21"/>
          <w:szCs w:val="21"/>
        </w:rPr>
      </w:pPr>
      <w:r>
        <w:rPr>
          <w:sz w:val="21"/>
          <w:szCs w:val="21"/>
        </w:rPr>
        <w:t xml:space="preserve">7  </w:t>
      </w:r>
      <w:r>
        <w:rPr>
          <w:rFonts w:hint="eastAsia"/>
          <w:sz w:val="21"/>
          <w:szCs w:val="21"/>
        </w:rPr>
        <w:t>边坡和地下洞室开挖支护参数合理，安全稳定，土石方平衡良好。</w:t>
      </w:r>
    </w:p>
    <w:p w14:paraId="153AFB6E">
      <w:pPr>
        <w:ind w:firstLine="420" w:firstLineChars="200"/>
        <w:outlineLvl w:val="0"/>
        <w:rPr>
          <w:rFonts w:hint="eastAsia"/>
          <w:sz w:val="21"/>
          <w:szCs w:val="21"/>
        </w:rPr>
      </w:pPr>
      <w:bookmarkStart w:id="122" w:name="_Toc17688"/>
      <w:bookmarkStart w:id="123" w:name="_Toc15453"/>
      <w:r>
        <w:rPr>
          <w:sz w:val="21"/>
          <w:szCs w:val="21"/>
        </w:rPr>
        <w:t xml:space="preserve">8  </w:t>
      </w:r>
      <w:r>
        <w:rPr>
          <w:rFonts w:hint="eastAsia"/>
          <w:sz w:val="21"/>
          <w:szCs w:val="21"/>
        </w:rPr>
        <w:t>坝基、厂房等主要建筑物基础处理方案合适，处理效果良好。</w:t>
      </w:r>
      <w:bookmarkEnd w:id="122"/>
      <w:bookmarkEnd w:id="123"/>
    </w:p>
    <w:p w14:paraId="12CC639C">
      <w:pPr>
        <w:ind w:firstLine="420" w:firstLineChars="200"/>
        <w:rPr>
          <w:rFonts w:hint="eastAsia"/>
          <w:sz w:val="21"/>
          <w:szCs w:val="21"/>
        </w:rPr>
      </w:pPr>
      <w:r>
        <w:rPr>
          <w:sz w:val="21"/>
          <w:szCs w:val="21"/>
        </w:rPr>
        <w:t xml:space="preserve">9  </w:t>
      </w:r>
      <w:r>
        <w:rPr>
          <w:rFonts w:hint="eastAsia"/>
          <w:sz w:val="21"/>
          <w:szCs w:val="21"/>
        </w:rPr>
        <w:t>大坝及泄洪消能建筑物设计先进，安全系数合理，泄流能力满足要求，消能效果好、雾化轻。</w:t>
      </w:r>
    </w:p>
    <w:p w14:paraId="46161770">
      <w:pPr>
        <w:ind w:firstLine="420" w:firstLineChars="200"/>
        <w:rPr>
          <w:rFonts w:hint="eastAsia"/>
          <w:sz w:val="21"/>
          <w:szCs w:val="21"/>
        </w:rPr>
      </w:pPr>
      <w:r>
        <w:rPr>
          <w:sz w:val="21"/>
          <w:szCs w:val="21"/>
        </w:rPr>
        <w:t xml:space="preserve">10  </w:t>
      </w:r>
      <w:r>
        <w:rPr>
          <w:rFonts w:hint="eastAsia"/>
          <w:sz w:val="21"/>
          <w:szCs w:val="21"/>
        </w:rPr>
        <w:t>主厂房、副厂房、主变室等建筑面积合理，输水系统建筑物设计指标先进，水力过渡过程各项指标满足调节保证要求。</w:t>
      </w:r>
    </w:p>
    <w:p w14:paraId="588DED44">
      <w:pPr>
        <w:ind w:firstLine="420" w:firstLineChars="200"/>
        <w:outlineLvl w:val="0"/>
        <w:rPr>
          <w:rFonts w:hint="eastAsia"/>
          <w:sz w:val="21"/>
          <w:szCs w:val="21"/>
        </w:rPr>
      </w:pPr>
      <w:bookmarkStart w:id="124" w:name="_Toc28082"/>
      <w:bookmarkStart w:id="125" w:name="_Toc21475"/>
      <w:r>
        <w:rPr>
          <w:sz w:val="21"/>
          <w:szCs w:val="21"/>
        </w:rPr>
        <w:t>11  渗控设计方案先进，渗控效果良好。</w:t>
      </w:r>
      <w:bookmarkEnd w:id="124"/>
      <w:bookmarkEnd w:id="125"/>
    </w:p>
    <w:p w14:paraId="57D431C7">
      <w:pPr>
        <w:ind w:firstLine="420" w:firstLineChars="200"/>
        <w:rPr>
          <w:rFonts w:hint="eastAsia"/>
          <w:sz w:val="21"/>
          <w:szCs w:val="21"/>
        </w:rPr>
      </w:pPr>
      <w:r>
        <w:rPr>
          <w:sz w:val="21"/>
          <w:szCs w:val="21"/>
        </w:rPr>
        <w:t>12  闸门形式选择合适，安全系数合理</w:t>
      </w:r>
      <w:r>
        <w:rPr>
          <w:rFonts w:hint="eastAsia"/>
          <w:sz w:val="21"/>
          <w:szCs w:val="21"/>
        </w:rPr>
        <w:t>，用钢量指标先进；</w:t>
      </w:r>
      <w:r>
        <w:rPr>
          <w:sz w:val="21"/>
          <w:szCs w:val="21"/>
        </w:rPr>
        <w:t>启闭机设计方案合理，功率选择合适。</w:t>
      </w:r>
    </w:p>
    <w:p w14:paraId="0286849A">
      <w:pPr>
        <w:ind w:firstLine="420" w:firstLineChars="200"/>
        <w:rPr>
          <w:rFonts w:hint="eastAsia"/>
          <w:sz w:val="21"/>
          <w:szCs w:val="21"/>
        </w:rPr>
      </w:pPr>
      <w:r>
        <w:rPr>
          <w:sz w:val="21"/>
          <w:szCs w:val="21"/>
        </w:rPr>
        <w:t xml:space="preserve">13  </w:t>
      </w:r>
      <w:r>
        <w:rPr>
          <w:rFonts w:hint="eastAsia"/>
          <w:sz w:val="21"/>
          <w:szCs w:val="21"/>
        </w:rPr>
        <w:t>压力钢管设计先进，钢管线路选择应综合考虑地形地质，优选高强度等级钢材。</w:t>
      </w:r>
    </w:p>
    <w:p w14:paraId="7D99AB3C">
      <w:pPr>
        <w:ind w:firstLine="420" w:firstLineChars="200"/>
        <w:rPr>
          <w:rFonts w:hint="eastAsia"/>
          <w:sz w:val="21"/>
          <w:szCs w:val="21"/>
        </w:rPr>
      </w:pPr>
      <w:r>
        <w:rPr>
          <w:sz w:val="21"/>
          <w:szCs w:val="21"/>
        </w:rPr>
        <w:t xml:space="preserve">14  电厂主接线、运行方式设计安全可靠、技术先进。 </w:t>
      </w:r>
    </w:p>
    <w:p w14:paraId="0B4B0BD9">
      <w:pPr>
        <w:ind w:firstLine="420" w:firstLineChars="200"/>
        <w:rPr>
          <w:rFonts w:hint="eastAsia"/>
          <w:sz w:val="21"/>
          <w:szCs w:val="21"/>
        </w:rPr>
      </w:pPr>
      <w:r>
        <w:rPr>
          <w:sz w:val="21"/>
          <w:szCs w:val="21"/>
        </w:rPr>
        <w:t>15  主要</w:t>
      </w:r>
      <w:r>
        <w:rPr>
          <w:rFonts w:hint="eastAsia"/>
          <w:sz w:val="21"/>
          <w:szCs w:val="21"/>
        </w:rPr>
        <w:t>电气设备选型合理先进，运行可靠，便于施工和维修。</w:t>
      </w:r>
    </w:p>
    <w:p w14:paraId="59122F5D">
      <w:pPr>
        <w:ind w:firstLine="420" w:firstLineChars="200"/>
        <w:rPr>
          <w:rFonts w:hint="eastAsia"/>
          <w:sz w:val="21"/>
          <w:szCs w:val="21"/>
        </w:rPr>
      </w:pPr>
      <w:r>
        <w:rPr>
          <w:sz w:val="21"/>
          <w:szCs w:val="21"/>
        </w:rPr>
        <w:t xml:space="preserve">16  自动化控制水平和软硬件设计水平先进，技术领先，获得良好效果。 </w:t>
      </w:r>
    </w:p>
    <w:p w14:paraId="29AFF115">
      <w:pPr>
        <w:ind w:firstLine="420" w:firstLineChars="200"/>
        <w:rPr>
          <w:rFonts w:hint="eastAsia"/>
          <w:sz w:val="21"/>
          <w:szCs w:val="21"/>
        </w:rPr>
      </w:pPr>
      <w:r>
        <w:rPr>
          <w:sz w:val="21"/>
          <w:szCs w:val="21"/>
        </w:rPr>
        <w:t xml:space="preserve">17  </w:t>
      </w:r>
      <w:r>
        <w:rPr>
          <w:rFonts w:hint="eastAsia"/>
          <w:sz w:val="21"/>
          <w:szCs w:val="21"/>
        </w:rPr>
        <w:t>重要工艺系统设备与管线布置合理，工艺流程顺畅，检修维护空间适度。</w:t>
      </w:r>
    </w:p>
    <w:p w14:paraId="5DC0747D">
      <w:pPr>
        <w:ind w:firstLine="420" w:firstLineChars="200"/>
        <w:rPr>
          <w:rFonts w:hint="eastAsia"/>
          <w:sz w:val="21"/>
          <w:szCs w:val="21"/>
        </w:rPr>
      </w:pPr>
      <w:r>
        <w:rPr>
          <w:sz w:val="21"/>
          <w:szCs w:val="21"/>
        </w:rPr>
        <w:t xml:space="preserve">18  </w:t>
      </w:r>
      <w:r>
        <w:rPr>
          <w:rFonts w:hint="eastAsia"/>
          <w:sz w:val="21"/>
          <w:szCs w:val="21"/>
        </w:rPr>
        <w:t>采用三维数字化正向设计方法，多专业协同设计，提高设计精细化水平</w:t>
      </w:r>
      <w:r>
        <w:rPr>
          <w:sz w:val="21"/>
          <w:szCs w:val="21"/>
        </w:rPr>
        <w:t>。</w:t>
      </w:r>
    </w:p>
    <w:p w14:paraId="3B41D2A7">
      <w:pPr>
        <w:ind w:firstLine="420" w:firstLineChars="200"/>
        <w:rPr>
          <w:rFonts w:hint="eastAsia"/>
          <w:sz w:val="21"/>
          <w:szCs w:val="21"/>
        </w:rPr>
      </w:pPr>
      <w:r>
        <w:rPr>
          <w:sz w:val="21"/>
          <w:szCs w:val="21"/>
        </w:rPr>
        <w:t xml:space="preserve">19  </w:t>
      </w:r>
      <w:r>
        <w:rPr>
          <w:rFonts w:hint="eastAsia"/>
          <w:sz w:val="21"/>
          <w:szCs w:val="21"/>
        </w:rPr>
        <w:t>采用智能仿真、智能温控、智能灌浆、智能振捣、智能碾压等先进技术，提高工程智能化建设水平。</w:t>
      </w:r>
    </w:p>
    <w:p w14:paraId="673B1214">
      <w:pPr>
        <w:ind w:firstLine="420" w:firstLineChars="200"/>
        <w:outlineLvl w:val="0"/>
        <w:rPr>
          <w:rFonts w:hint="eastAsia"/>
          <w:sz w:val="21"/>
          <w:szCs w:val="21"/>
        </w:rPr>
      </w:pPr>
      <w:bookmarkStart w:id="126" w:name="_Toc24462"/>
      <w:bookmarkStart w:id="127" w:name="_Toc11283"/>
      <w:r>
        <w:rPr>
          <w:sz w:val="21"/>
          <w:szCs w:val="21"/>
        </w:rPr>
        <w:t xml:space="preserve">20  </w:t>
      </w:r>
      <w:r>
        <w:rPr>
          <w:rFonts w:hint="eastAsia"/>
          <w:sz w:val="21"/>
          <w:szCs w:val="21"/>
        </w:rPr>
        <w:t>各项技术性能指标先进，国内同类工程领先水平。</w:t>
      </w:r>
      <w:bookmarkEnd w:id="126"/>
      <w:bookmarkEnd w:id="127"/>
    </w:p>
    <w:p w14:paraId="6031790F">
      <w:pPr>
        <w:spacing w:before="120" w:beforeLines="50" w:after="240" w:afterLines="100"/>
        <w:jc w:val="center"/>
        <w:rPr>
          <w:rFonts w:hint="eastAsia"/>
          <w:sz w:val="21"/>
          <w:szCs w:val="21"/>
        </w:rPr>
      </w:pPr>
      <w:r>
        <w:rPr>
          <w:rFonts w:hint="eastAsia"/>
          <w:sz w:val="21"/>
          <w:szCs w:val="21"/>
        </w:rPr>
        <w:t>Ⅱ</w:t>
      </w:r>
      <w:r>
        <w:rPr>
          <w:sz w:val="21"/>
          <w:szCs w:val="21"/>
        </w:rPr>
        <w:t xml:space="preserve">  </w:t>
      </w:r>
      <w:r>
        <w:rPr>
          <w:rFonts w:hint="eastAsia"/>
          <w:sz w:val="21"/>
          <w:szCs w:val="21"/>
        </w:rPr>
        <w:t>资源节约</w:t>
      </w:r>
    </w:p>
    <w:p w14:paraId="64FE0E96">
      <w:pPr>
        <w:outlineLvl w:val="1"/>
        <w:rPr>
          <w:rFonts w:hint="eastAsia"/>
          <w:sz w:val="21"/>
          <w:szCs w:val="21"/>
        </w:rPr>
      </w:pPr>
      <w:bookmarkStart w:id="128" w:name="_Toc28400"/>
      <w:bookmarkStart w:id="129" w:name="_Toc8939"/>
      <w:r>
        <w:rPr>
          <w:rFonts w:hint="eastAsia" w:ascii="黑体" w:hAnsi="黑体" w:eastAsia="黑体" w:cs="黑体"/>
          <w:sz w:val="21"/>
          <w:szCs w:val="21"/>
          <w:lang w:val="en-US" w:eastAsia="zh-CN"/>
        </w:rPr>
        <w:t>6.2.2</w:t>
      </w:r>
      <w:r>
        <w:rPr>
          <w:sz w:val="21"/>
          <w:szCs w:val="21"/>
        </w:rPr>
        <w:t xml:space="preserve">  </w:t>
      </w:r>
      <w:r>
        <w:rPr>
          <w:rFonts w:hint="eastAsia"/>
          <w:sz w:val="21"/>
          <w:szCs w:val="21"/>
        </w:rPr>
        <w:t>资源节约评</w:t>
      </w:r>
      <w:r>
        <w:rPr>
          <w:sz w:val="21"/>
          <w:szCs w:val="21"/>
        </w:rPr>
        <w:t>价应包括以下内容：</w:t>
      </w:r>
      <w:bookmarkEnd w:id="128"/>
      <w:bookmarkEnd w:id="129"/>
    </w:p>
    <w:p w14:paraId="01827E0B">
      <w:pPr>
        <w:ind w:firstLine="420" w:firstLineChars="200"/>
        <w:rPr>
          <w:rFonts w:hint="eastAsia"/>
          <w:sz w:val="21"/>
          <w:szCs w:val="21"/>
        </w:rPr>
      </w:pPr>
      <w:r>
        <w:rPr>
          <w:sz w:val="21"/>
          <w:szCs w:val="21"/>
        </w:rPr>
        <w:t xml:space="preserve">1  </w:t>
      </w:r>
      <w:r>
        <w:rPr>
          <w:rFonts w:hint="eastAsia"/>
          <w:sz w:val="21"/>
          <w:szCs w:val="21"/>
        </w:rPr>
        <w:t>建筑物选址遵循合理利用土地，切实保护耕地、林地和自然保护区的原则，避免大量征地拆迁，减少永久建筑物占地面积。</w:t>
      </w:r>
    </w:p>
    <w:p w14:paraId="062A0E8B">
      <w:pPr>
        <w:ind w:firstLine="420" w:firstLineChars="200"/>
        <w:rPr>
          <w:rFonts w:hint="eastAsia"/>
          <w:sz w:val="21"/>
          <w:szCs w:val="21"/>
        </w:rPr>
      </w:pPr>
      <w:r>
        <w:rPr>
          <w:sz w:val="21"/>
          <w:szCs w:val="21"/>
        </w:rPr>
        <w:t xml:space="preserve">2  </w:t>
      </w:r>
      <w:r>
        <w:rPr>
          <w:rFonts w:hint="eastAsia"/>
          <w:sz w:val="21"/>
          <w:szCs w:val="21"/>
        </w:rPr>
        <w:t>建筑物集中布置，施工总布置紧凑，永久建筑和临时建筑紧密结合，道路设置合理，节约用地，提高土地利用率。</w:t>
      </w:r>
    </w:p>
    <w:p w14:paraId="167C93DC">
      <w:pPr>
        <w:ind w:firstLine="420" w:firstLineChars="200"/>
        <w:rPr>
          <w:rFonts w:hint="eastAsia"/>
          <w:sz w:val="21"/>
          <w:szCs w:val="21"/>
        </w:rPr>
      </w:pPr>
      <w:r>
        <w:rPr>
          <w:sz w:val="21"/>
          <w:szCs w:val="21"/>
        </w:rPr>
        <w:t xml:space="preserve">3  </w:t>
      </w:r>
      <w:r>
        <w:rPr>
          <w:rFonts w:hint="eastAsia"/>
          <w:sz w:val="21"/>
          <w:szCs w:val="21"/>
        </w:rPr>
        <w:t>采用合理的水土保持方案，加强土地资源保护，减少水土流失。</w:t>
      </w:r>
      <w:r>
        <w:rPr>
          <w:sz w:val="21"/>
          <w:szCs w:val="21"/>
        </w:rPr>
        <w:t xml:space="preserve"> </w:t>
      </w:r>
    </w:p>
    <w:p w14:paraId="44412816">
      <w:pPr>
        <w:ind w:firstLine="420" w:firstLineChars="200"/>
        <w:rPr>
          <w:rFonts w:hint="eastAsia"/>
          <w:sz w:val="21"/>
          <w:szCs w:val="21"/>
        </w:rPr>
      </w:pPr>
      <w:r>
        <w:rPr>
          <w:sz w:val="21"/>
          <w:szCs w:val="21"/>
        </w:rPr>
        <w:t xml:space="preserve">4  </w:t>
      </w:r>
      <w:r>
        <w:rPr>
          <w:rFonts w:hint="eastAsia"/>
          <w:sz w:val="21"/>
          <w:szCs w:val="21"/>
        </w:rPr>
        <w:t>采用先进的水轮发电机组，发电效率达到国内同类机组先进水平。</w:t>
      </w:r>
    </w:p>
    <w:p w14:paraId="12ABA14D">
      <w:pPr>
        <w:ind w:firstLine="420" w:firstLineChars="200"/>
        <w:rPr>
          <w:rFonts w:hint="eastAsia"/>
          <w:sz w:val="21"/>
          <w:szCs w:val="21"/>
        </w:rPr>
      </w:pPr>
      <w:r>
        <w:rPr>
          <w:sz w:val="21"/>
          <w:szCs w:val="21"/>
        </w:rPr>
        <w:t xml:space="preserve">5  </w:t>
      </w:r>
      <w:r>
        <w:rPr>
          <w:rFonts w:hint="eastAsia"/>
          <w:sz w:val="21"/>
          <w:szCs w:val="21"/>
        </w:rPr>
        <w:t>选用功耗低、能耗小、效率高的机电设备。</w:t>
      </w:r>
    </w:p>
    <w:p w14:paraId="5D57D3B3">
      <w:pPr>
        <w:ind w:firstLine="420" w:firstLineChars="200"/>
        <w:rPr>
          <w:rFonts w:hint="eastAsia"/>
          <w:sz w:val="21"/>
          <w:szCs w:val="21"/>
        </w:rPr>
      </w:pPr>
      <w:r>
        <w:rPr>
          <w:sz w:val="21"/>
          <w:szCs w:val="21"/>
        </w:rPr>
        <w:t xml:space="preserve">6  </w:t>
      </w:r>
      <w:r>
        <w:rPr>
          <w:rFonts w:hint="eastAsia"/>
          <w:sz w:val="21"/>
          <w:szCs w:val="21"/>
        </w:rPr>
        <w:t>采用能耗低、效率高的施工设备，精细化施工。</w:t>
      </w:r>
    </w:p>
    <w:p w14:paraId="0D6153DF">
      <w:pPr>
        <w:ind w:firstLine="420" w:firstLineChars="200"/>
        <w:rPr>
          <w:rFonts w:hint="eastAsia"/>
          <w:sz w:val="21"/>
          <w:szCs w:val="21"/>
        </w:rPr>
      </w:pPr>
      <w:r>
        <w:rPr>
          <w:sz w:val="21"/>
          <w:szCs w:val="21"/>
        </w:rPr>
        <w:t xml:space="preserve">7  </w:t>
      </w:r>
      <w:r>
        <w:rPr>
          <w:rFonts w:hint="eastAsia"/>
          <w:sz w:val="21"/>
          <w:szCs w:val="21"/>
        </w:rPr>
        <w:t>合理利用高处水源，优先采用自然通风和天然采光。</w:t>
      </w:r>
    </w:p>
    <w:p w14:paraId="69DB3D51">
      <w:pPr>
        <w:ind w:firstLine="420" w:firstLineChars="200"/>
        <w:rPr>
          <w:rFonts w:hint="eastAsia"/>
          <w:sz w:val="21"/>
          <w:szCs w:val="21"/>
        </w:rPr>
      </w:pPr>
      <w:r>
        <w:rPr>
          <w:sz w:val="21"/>
          <w:szCs w:val="21"/>
        </w:rPr>
        <w:t xml:space="preserve">8  </w:t>
      </w:r>
      <w:r>
        <w:rPr>
          <w:rFonts w:hint="eastAsia"/>
          <w:sz w:val="21"/>
          <w:szCs w:val="21"/>
        </w:rPr>
        <w:t>厂区和道路照明、营地生活用水加热等合理利用太阳能资源。</w:t>
      </w:r>
    </w:p>
    <w:p w14:paraId="1ACC4C2E">
      <w:pPr>
        <w:ind w:firstLine="420" w:firstLineChars="200"/>
        <w:rPr>
          <w:rFonts w:hint="eastAsia"/>
          <w:sz w:val="21"/>
          <w:szCs w:val="21"/>
        </w:rPr>
      </w:pPr>
      <w:r>
        <w:rPr>
          <w:sz w:val="21"/>
          <w:szCs w:val="21"/>
        </w:rPr>
        <w:t xml:space="preserve">9  </w:t>
      </w:r>
      <w:r>
        <w:rPr>
          <w:rFonts w:hint="eastAsia"/>
          <w:sz w:val="21"/>
          <w:szCs w:val="21"/>
        </w:rPr>
        <w:t>选用节能建材，提高建筑物围护结构的保温隔热性能，采用由高效保温材料制成的复合墙体和屋面及密封保温隔热性能好的门窗。</w:t>
      </w:r>
      <w:r>
        <w:rPr>
          <w:sz w:val="21"/>
          <w:szCs w:val="21"/>
        </w:rPr>
        <w:t xml:space="preserve"> </w:t>
      </w:r>
    </w:p>
    <w:p w14:paraId="2A934EF0">
      <w:pPr>
        <w:ind w:firstLine="420" w:firstLineChars="200"/>
        <w:rPr>
          <w:rFonts w:hint="eastAsia"/>
          <w:sz w:val="21"/>
          <w:szCs w:val="21"/>
        </w:rPr>
      </w:pPr>
      <w:r>
        <w:rPr>
          <w:sz w:val="21"/>
          <w:szCs w:val="21"/>
        </w:rPr>
        <w:t>10  提高水资源的重复利用率，做到一水多用</w:t>
      </w:r>
      <w:r>
        <w:rPr>
          <w:rFonts w:hint="eastAsia"/>
          <w:sz w:val="21"/>
          <w:szCs w:val="21"/>
        </w:rPr>
        <w:t>、</w:t>
      </w:r>
      <w:r>
        <w:rPr>
          <w:sz w:val="21"/>
          <w:szCs w:val="21"/>
        </w:rPr>
        <w:t>中水及雨水回用。</w:t>
      </w:r>
    </w:p>
    <w:p w14:paraId="704818F0">
      <w:pPr>
        <w:ind w:firstLine="420" w:firstLineChars="200"/>
        <w:rPr>
          <w:rFonts w:hint="eastAsia"/>
          <w:sz w:val="21"/>
          <w:szCs w:val="21"/>
        </w:rPr>
      </w:pPr>
      <w:r>
        <w:rPr>
          <w:sz w:val="21"/>
          <w:szCs w:val="21"/>
        </w:rPr>
        <w:t>11  污废水</w:t>
      </w:r>
      <w:r>
        <w:rPr>
          <w:rFonts w:hint="eastAsia"/>
          <w:sz w:val="21"/>
          <w:szCs w:val="21"/>
        </w:rPr>
        <w:t>（油）</w:t>
      </w:r>
      <w:r>
        <w:rPr>
          <w:sz w:val="21"/>
          <w:szCs w:val="21"/>
        </w:rPr>
        <w:t>处理环保先进</w:t>
      </w:r>
      <w:r>
        <w:rPr>
          <w:rFonts w:hint="eastAsia"/>
          <w:sz w:val="21"/>
          <w:szCs w:val="21"/>
        </w:rPr>
        <w:t>，</w:t>
      </w:r>
      <w:r>
        <w:rPr>
          <w:sz w:val="21"/>
          <w:szCs w:val="21"/>
        </w:rPr>
        <w:t>所有污废水全部回用。</w:t>
      </w:r>
    </w:p>
    <w:p w14:paraId="18F1A188">
      <w:pPr>
        <w:ind w:firstLine="420" w:firstLineChars="200"/>
        <w:rPr>
          <w:rFonts w:hint="eastAsia"/>
          <w:sz w:val="21"/>
          <w:szCs w:val="21"/>
        </w:rPr>
      </w:pPr>
      <w:r>
        <w:rPr>
          <w:sz w:val="21"/>
          <w:szCs w:val="21"/>
        </w:rPr>
        <w:t xml:space="preserve">12  </w:t>
      </w:r>
      <w:r>
        <w:rPr>
          <w:rFonts w:hint="eastAsia"/>
          <w:sz w:val="21"/>
          <w:szCs w:val="21"/>
        </w:rPr>
        <w:t>采用节水系统、节水器具和设备，提高用水效率</w:t>
      </w:r>
      <w:r>
        <w:rPr>
          <w:sz w:val="21"/>
          <w:szCs w:val="21"/>
        </w:rPr>
        <w:t>。</w:t>
      </w:r>
    </w:p>
    <w:p w14:paraId="08CE9914">
      <w:pPr>
        <w:ind w:firstLine="420" w:firstLineChars="200"/>
        <w:rPr>
          <w:rFonts w:hint="eastAsia"/>
          <w:sz w:val="21"/>
          <w:szCs w:val="21"/>
        </w:rPr>
      </w:pPr>
      <w:r>
        <w:rPr>
          <w:sz w:val="21"/>
          <w:szCs w:val="21"/>
        </w:rPr>
        <w:t xml:space="preserve">13  </w:t>
      </w:r>
      <w:r>
        <w:rPr>
          <w:rFonts w:hint="eastAsia"/>
          <w:sz w:val="21"/>
          <w:szCs w:val="21"/>
        </w:rPr>
        <w:t>对主要建筑物设计方案进行优化比选，减少建筑物荷重，节省水泥、钢材、砂石等原材料用量。</w:t>
      </w:r>
    </w:p>
    <w:p w14:paraId="78D3505B">
      <w:pPr>
        <w:ind w:firstLine="420" w:firstLineChars="200"/>
        <w:rPr>
          <w:rFonts w:hint="eastAsia"/>
          <w:sz w:val="21"/>
          <w:szCs w:val="21"/>
        </w:rPr>
      </w:pPr>
      <w:r>
        <w:rPr>
          <w:sz w:val="21"/>
          <w:szCs w:val="21"/>
        </w:rPr>
        <w:t xml:space="preserve">14  </w:t>
      </w:r>
      <w:r>
        <w:rPr>
          <w:rFonts w:hint="eastAsia"/>
          <w:sz w:val="21"/>
          <w:szCs w:val="21"/>
        </w:rPr>
        <w:t>采用高性能混凝土、高强度钢材、高性能建筑制品或新技术材料。</w:t>
      </w:r>
    </w:p>
    <w:p w14:paraId="5DBEA6D2">
      <w:pPr>
        <w:ind w:firstLine="420" w:firstLineChars="200"/>
        <w:rPr>
          <w:rFonts w:hint="eastAsia"/>
          <w:sz w:val="21"/>
          <w:szCs w:val="21"/>
        </w:rPr>
      </w:pPr>
      <w:r>
        <w:rPr>
          <w:sz w:val="21"/>
          <w:szCs w:val="21"/>
        </w:rPr>
        <w:t>15  围堰</w:t>
      </w:r>
      <w:r>
        <w:rPr>
          <w:rFonts w:hint="eastAsia"/>
          <w:sz w:val="21"/>
          <w:szCs w:val="21"/>
        </w:rPr>
        <w:t>、土石坝、混凝土骨料等充分使用开挖渣料。</w:t>
      </w:r>
    </w:p>
    <w:p w14:paraId="7612B88D">
      <w:pPr>
        <w:ind w:firstLine="420" w:firstLineChars="200"/>
        <w:rPr>
          <w:rFonts w:hint="eastAsia"/>
          <w:sz w:val="21"/>
          <w:szCs w:val="21"/>
        </w:rPr>
      </w:pPr>
      <w:r>
        <w:rPr>
          <w:sz w:val="21"/>
          <w:szCs w:val="21"/>
        </w:rPr>
        <w:t xml:space="preserve">16  </w:t>
      </w:r>
      <w:r>
        <w:rPr>
          <w:rFonts w:hint="eastAsia"/>
          <w:sz w:val="21"/>
          <w:szCs w:val="21"/>
        </w:rPr>
        <w:t>采用精细化设计技术，合理布置管线与电缆，节约用量。</w:t>
      </w:r>
    </w:p>
    <w:p w14:paraId="473EF980">
      <w:pPr>
        <w:spacing w:before="120" w:beforeLines="50" w:after="240" w:afterLines="100"/>
        <w:jc w:val="center"/>
        <w:rPr>
          <w:rFonts w:hint="eastAsia"/>
          <w:sz w:val="21"/>
          <w:szCs w:val="21"/>
        </w:rPr>
      </w:pPr>
      <w:r>
        <w:rPr>
          <w:rFonts w:hint="eastAsia"/>
          <w:sz w:val="21"/>
          <w:szCs w:val="21"/>
        </w:rPr>
        <w:t>Ⅲ</w:t>
      </w:r>
      <w:r>
        <w:rPr>
          <w:sz w:val="21"/>
          <w:szCs w:val="21"/>
        </w:rPr>
        <w:t xml:space="preserve">  </w:t>
      </w:r>
      <w:r>
        <w:rPr>
          <w:rFonts w:hint="eastAsia"/>
          <w:sz w:val="21"/>
          <w:szCs w:val="21"/>
        </w:rPr>
        <w:t>生态环保</w:t>
      </w:r>
    </w:p>
    <w:p w14:paraId="55F67C24">
      <w:pPr>
        <w:outlineLvl w:val="1"/>
        <w:rPr>
          <w:rFonts w:hint="eastAsia"/>
          <w:sz w:val="21"/>
          <w:szCs w:val="21"/>
        </w:rPr>
      </w:pPr>
      <w:bookmarkStart w:id="130" w:name="_Toc23067"/>
      <w:bookmarkStart w:id="131" w:name="_Toc27934"/>
      <w:r>
        <w:rPr>
          <w:rFonts w:hint="eastAsia" w:ascii="黑体" w:hAnsi="黑体" w:eastAsia="黑体" w:cs="黑体"/>
          <w:sz w:val="21"/>
          <w:szCs w:val="21"/>
          <w:lang w:val="en-US" w:eastAsia="zh-CN"/>
        </w:rPr>
        <w:t>6.2.3</w:t>
      </w:r>
      <w:r>
        <w:rPr>
          <w:sz w:val="21"/>
          <w:szCs w:val="21"/>
        </w:rPr>
        <w:t xml:space="preserve">  </w:t>
      </w:r>
      <w:r>
        <w:rPr>
          <w:rFonts w:hint="eastAsia"/>
          <w:sz w:val="21"/>
          <w:szCs w:val="21"/>
        </w:rPr>
        <w:t>生态环保评</w:t>
      </w:r>
      <w:r>
        <w:rPr>
          <w:sz w:val="21"/>
          <w:szCs w:val="21"/>
        </w:rPr>
        <w:t>价应包括以下内容：</w:t>
      </w:r>
      <w:bookmarkEnd w:id="130"/>
      <w:bookmarkEnd w:id="131"/>
    </w:p>
    <w:p w14:paraId="6C054658">
      <w:pPr>
        <w:ind w:firstLine="420" w:firstLineChars="200"/>
        <w:rPr>
          <w:rFonts w:hint="eastAsia"/>
          <w:sz w:val="21"/>
          <w:szCs w:val="21"/>
        </w:rPr>
      </w:pPr>
      <w:r>
        <w:rPr>
          <w:sz w:val="21"/>
          <w:szCs w:val="21"/>
        </w:rPr>
        <w:t xml:space="preserve">1  </w:t>
      </w:r>
      <w:r>
        <w:rPr>
          <w:rFonts w:hint="eastAsia"/>
          <w:sz w:val="21"/>
          <w:szCs w:val="21"/>
        </w:rPr>
        <w:t>践行“两山”理论，体现人与自然和谐共生的可持续发展理念。</w:t>
      </w:r>
    </w:p>
    <w:p w14:paraId="216892EF">
      <w:pPr>
        <w:ind w:firstLine="420" w:firstLineChars="200"/>
        <w:rPr>
          <w:rFonts w:hint="eastAsia"/>
          <w:sz w:val="21"/>
          <w:szCs w:val="21"/>
        </w:rPr>
      </w:pPr>
      <w:r>
        <w:rPr>
          <w:sz w:val="21"/>
          <w:szCs w:val="21"/>
        </w:rPr>
        <w:t xml:space="preserve">2  </w:t>
      </w:r>
      <w:r>
        <w:rPr>
          <w:rFonts w:hint="eastAsia"/>
          <w:sz w:val="21"/>
          <w:szCs w:val="21"/>
        </w:rPr>
        <w:t>电站总体设计科学，因地制宜，与周边生态环境和谐统一。</w:t>
      </w:r>
    </w:p>
    <w:p w14:paraId="43D9A321">
      <w:pPr>
        <w:ind w:firstLine="420" w:firstLineChars="200"/>
        <w:rPr>
          <w:rFonts w:hint="eastAsia"/>
          <w:sz w:val="21"/>
          <w:szCs w:val="21"/>
        </w:rPr>
      </w:pPr>
      <w:r>
        <w:rPr>
          <w:sz w:val="21"/>
          <w:szCs w:val="21"/>
        </w:rPr>
        <w:t xml:space="preserve">3  </w:t>
      </w:r>
      <w:r>
        <w:rPr>
          <w:rFonts w:hint="eastAsia"/>
          <w:sz w:val="21"/>
          <w:szCs w:val="21"/>
        </w:rPr>
        <w:t>扬尘控制方案先进合理，控制效果良好。</w:t>
      </w:r>
    </w:p>
    <w:p w14:paraId="0F540DB2">
      <w:pPr>
        <w:ind w:firstLine="420" w:firstLineChars="200"/>
        <w:rPr>
          <w:rFonts w:hint="eastAsia"/>
          <w:sz w:val="21"/>
          <w:szCs w:val="21"/>
        </w:rPr>
      </w:pPr>
      <w:r>
        <w:rPr>
          <w:sz w:val="21"/>
          <w:szCs w:val="21"/>
        </w:rPr>
        <w:t xml:space="preserve">4  </w:t>
      </w:r>
      <w:r>
        <w:rPr>
          <w:rFonts w:hint="eastAsia"/>
          <w:sz w:val="21"/>
          <w:szCs w:val="21"/>
        </w:rPr>
        <w:t>采用低噪声机械设备，噪声及振动控制方案合理，效果良好。</w:t>
      </w:r>
    </w:p>
    <w:p w14:paraId="269E1DF0">
      <w:pPr>
        <w:ind w:firstLine="420" w:firstLineChars="200"/>
        <w:rPr>
          <w:rFonts w:hint="eastAsia"/>
          <w:sz w:val="21"/>
          <w:szCs w:val="21"/>
        </w:rPr>
      </w:pPr>
      <w:r>
        <w:rPr>
          <w:sz w:val="21"/>
          <w:szCs w:val="21"/>
        </w:rPr>
        <w:t>5  固体废弃物处置措施合理，</w:t>
      </w:r>
      <w:r>
        <w:rPr>
          <w:rFonts w:hint="eastAsia"/>
          <w:sz w:val="21"/>
          <w:szCs w:val="21"/>
        </w:rPr>
        <w:t>生活垃圾处理得当，建筑垃圾回收利用，回收利用率达到</w:t>
      </w:r>
      <w:r>
        <w:rPr>
          <w:sz w:val="21"/>
          <w:szCs w:val="21"/>
        </w:rPr>
        <w:t>国内同类型</w:t>
      </w:r>
      <w:r>
        <w:rPr>
          <w:rFonts w:hint="eastAsia"/>
          <w:sz w:val="21"/>
          <w:szCs w:val="21"/>
        </w:rPr>
        <w:t>工程先进水平。</w:t>
      </w:r>
    </w:p>
    <w:p w14:paraId="1AEF437A">
      <w:pPr>
        <w:ind w:firstLine="420" w:firstLineChars="200"/>
        <w:rPr>
          <w:rFonts w:hint="eastAsia"/>
          <w:sz w:val="21"/>
          <w:szCs w:val="21"/>
        </w:rPr>
      </w:pPr>
      <w:r>
        <w:rPr>
          <w:sz w:val="21"/>
          <w:szCs w:val="21"/>
        </w:rPr>
        <w:t xml:space="preserve">6  </w:t>
      </w:r>
      <w:r>
        <w:rPr>
          <w:rFonts w:hint="eastAsia"/>
          <w:sz w:val="21"/>
          <w:szCs w:val="21"/>
        </w:rPr>
        <w:t>污废水处理方案合理，污废水处理满足环保要求。</w:t>
      </w:r>
    </w:p>
    <w:p w14:paraId="67FC5724">
      <w:pPr>
        <w:ind w:firstLine="420" w:firstLineChars="200"/>
        <w:rPr>
          <w:rFonts w:hint="eastAsia"/>
          <w:sz w:val="21"/>
          <w:szCs w:val="21"/>
        </w:rPr>
      </w:pPr>
      <w:r>
        <w:rPr>
          <w:sz w:val="21"/>
          <w:szCs w:val="21"/>
        </w:rPr>
        <w:t xml:space="preserve">7  </w:t>
      </w:r>
      <w:r>
        <w:rPr>
          <w:rFonts w:hint="eastAsia"/>
          <w:sz w:val="21"/>
          <w:szCs w:val="21"/>
        </w:rPr>
        <w:t>环境监测方案合理，环境监测数据满足环保要求。</w:t>
      </w:r>
    </w:p>
    <w:p w14:paraId="56A7E647">
      <w:pPr>
        <w:ind w:firstLine="420" w:firstLineChars="200"/>
        <w:rPr>
          <w:rFonts w:hint="eastAsia"/>
          <w:sz w:val="21"/>
          <w:szCs w:val="21"/>
        </w:rPr>
      </w:pPr>
      <w:r>
        <w:rPr>
          <w:sz w:val="21"/>
          <w:szCs w:val="21"/>
        </w:rPr>
        <w:t xml:space="preserve">8  </w:t>
      </w:r>
      <w:r>
        <w:rPr>
          <w:rFonts w:hint="eastAsia"/>
          <w:sz w:val="21"/>
          <w:szCs w:val="21"/>
        </w:rPr>
        <w:t>工程选址符合生态保护红线管控要求，避让生态环境敏感区。</w:t>
      </w:r>
    </w:p>
    <w:p w14:paraId="023A28B5">
      <w:pPr>
        <w:ind w:firstLine="420" w:firstLineChars="200"/>
        <w:rPr>
          <w:rFonts w:hint="eastAsia"/>
          <w:sz w:val="21"/>
          <w:szCs w:val="21"/>
        </w:rPr>
      </w:pPr>
      <w:r>
        <w:rPr>
          <w:sz w:val="21"/>
          <w:szCs w:val="21"/>
        </w:rPr>
        <w:t xml:space="preserve">9  </w:t>
      </w:r>
      <w:r>
        <w:rPr>
          <w:rFonts w:hint="eastAsia"/>
          <w:sz w:val="21"/>
          <w:szCs w:val="21"/>
        </w:rPr>
        <w:t>水生生态保护措施先进，鱼类增殖站、过鱼设施设计合理，效果良好。</w:t>
      </w:r>
    </w:p>
    <w:p w14:paraId="0C386559">
      <w:pPr>
        <w:ind w:firstLine="420" w:firstLineChars="200"/>
        <w:outlineLvl w:val="0"/>
        <w:rPr>
          <w:rFonts w:hint="eastAsia"/>
          <w:sz w:val="21"/>
          <w:szCs w:val="21"/>
        </w:rPr>
      </w:pPr>
      <w:bookmarkStart w:id="132" w:name="_Toc13328"/>
      <w:bookmarkStart w:id="133" w:name="_Toc15232"/>
      <w:r>
        <w:rPr>
          <w:sz w:val="21"/>
          <w:szCs w:val="21"/>
        </w:rPr>
        <w:t xml:space="preserve">10  </w:t>
      </w:r>
      <w:r>
        <w:rPr>
          <w:rFonts w:hint="eastAsia"/>
          <w:sz w:val="21"/>
          <w:szCs w:val="21"/>
        </w:rPr>
        <w:t>陆生生物保护措施合理，效果良好。</w:t>
      </w:r>
      <w:bookmarkEnd w:id="132"/>
      <w:bookmarkEnd w:id="133"/>
    </w:p>
    <w:p w14:paraId="6A94C6A6">
      <w:pPr>
        <w:ind w:firstLine="420" w:firstLineChars="200"/>
        <w:rPr>
          <w:rFonts w:hint="eastAsia"/>
          <w:sz w:val="21"/>
          <w:szCs w:val="21"/>
        </w:rPr>
      </w:pPr>
      <w:r>
        <w:rPr>
          <w:sz w:val="21"/>
          <w:szCs w:val="21"/>
        </w:rPr>
        <w:t xml:space="preserve">11  </w:t>
      </w:r>
      <w:r>
        <w:rPr>
          <w:rFonts w:hint="eastAsia"/>
          <w:sz w:val="21"/>
          <w:szCs w:val="21"/>
        </w:rPr>
        <w:t>水土保持措施先进，下泄流量满足生态环保要求，效果良好。</w:t>
      </w:r>
    </w:p>
    <w:p w14:paraId="6895AB6E">
      <w:pPr>
        <w:spacing w:before="120" w:beforeLines="50" w:after="240" w:afterLines="100"/>
        <w:jc w:val="center"/>
        <w:rPr>
          <w:rFonts w:hint="eastAsia"/>
          <w:sz w:val="21"/>
          <w:szCs w:val="21"/>
        </w:rPr>
      </w:pPr>
      <w:r>
        <w:rPr>
          <w:rFonts w:hint="eastAsia"/>
          <w:sz w:val="21"/>
          <w:szCs w:val="21"/>
        </w:rPr>
        <w:t>Ⅳ</w:t>
      </w:r>
      <w:r>
        <w:rPr>
          <w:sz w:val="21"/>
          <w:szCs w:val="21"/>
        </w:rPr>
        <w:t xml:space="preserve">  </w:t>
      </w:r>
      <w:r>
        <w:rPr>
          <w:rFonts w:hint="eastAsia"/>
          <w:sz w:val="21"/>
          <w:szCs w:val="21"/>
        </w:rPr>
        <w:t>综合效益</w:t>
      </w:r>
    </w:p>
    <w:p w14:paraId="50DE8369">
      <w:pPr>
        <w:outlineLvl w:val="1"/>
        <w:rPr>
          <w:rFonts w:hint="eastAsia"/>
          <w:sz w:val="21"/>
          <w:szCs w:val="21"/>
        </w:rPr>
      </w:pPr>
      <w:bookmarkStart w:id="134" w:name="_Toc23933"/>
      <w:bookmarkStart w:id="135" w:name="_Toc24027"/>
      <w:r>
        <w:rPr>
          <w:rFonts w:hint="eastAsia" w:ascii="黑体" w:hAnsi="黑体" w:eastAsia="黑体" w:cs="黑体"/>
          <w:sz w:val="21"/>
          <w:szCs w:val="21"/>
          <w:lang w:val="en-US" w:eastAsia="zh-CN"/>
        </w:rPr>
        <w:t>6.2.4</w:t>
      </w:r>
      <w:r>
        <w:rPr>
          <w:sz w:val="21"/>
          <w:szCs w:val="21"/>
        </w:rPr>
        <w:t xml:space="preserve">  </w:t>
      </w:r>
      <w:r>
        <w:rPr>
          <w:rFonts w:hint="eastAsia"/>
          <w:sz w:val="21"/>
          <w:szCs w:val="21"/>
        </w:rPr>
        <w:t>综合效益评</w:t>
      </w:r>
      <w:r>
        <w:rPr>
          <w:sz w:val="21"/>
          <w:szCs w:val="21"/>
        </w:rPr>
        <w:t>价应包括以下内容：</w:t>
      </w:r>
      <w:bookmarkEnd w:id="134"/>
      <w:bookmarkEnd w:id="135"/>
    </w:p>
    <w:p w14:paraId="036434EE">
      <w:pPr>
        <w:ind w:firstLine="420" w:firstLineChars="200"/>
        <w:rPr>
          <w:rFonts w:hint="eastAsia"/>
          <w:sz w:val="21"/>
          <w:szCs w:val="21"/>
        </w:rPr>
      </w:pPr>
      <w:r>
        <w:rPr>
          <w:sz w:val="21"/>
          <w:szCs w:val="21"/>
        </w:rPr>
        <w:t xml:space="preserve">1  </w:t>
      </w:r>
      <w:r>
        <w:rPr>
          <w:rFonts w:hint="eastAsia"/>
          <w:sz w:val="21"/>
          <w:szCs w:val="21"/>
        </w:rPr>
        <w:t>电站多年平均发电量满足设计要求，工程经济效益良好，主要经济技术指标处于领先水平。</w:t>
      </w:r>
    </w:p>
    <w:p w14:paraId="364F4383">
      <w:pPr>
        <w:ind w:firstLine="420" w:firstLineChars="200"/>
        <w:outlineLvl w:val="0"/>
        <w:rPr>
          <w:rFonts w:hint="eastAsia"/>
          <w:sz w:val="21"/>
          <w:szCs w:val="21"/>
        </w:rPr>
      </w:pPr>
      <w:bookmarkStart w:id="136" w:name="_Toc24131"/>
      <w:bookmarkStart w:id="137" w:name="_Toc20725"/>
      <w:r>
        <w:rPr>
          <w:sz w:val="21"/>
          <w:szCs w:val="21"/>
        </w:rPr>
        <w:t>2  工程</w:t>
      </w:r>
      <w:r>
        <w:rPr>
          <w:rFonts w:hint="eastAsia"/>
          <w:sz w:val="21"/>
          <w:szCs w:val="21"/>
        </w:rPr>
        <w:t>开发任务全部完成，各项效益达到设计预期</w:t>
      </w:r>
      <w:r>
        <w:rPr>
          <w:sz w:val="21"/>
          <w:szCs w:val="21"/>
        </w:rPr>
        <w:t>。</w:t>
      </w:r>
      <w:bookmarkEnd w:id="136"/>
      <w:bookmarkEnd w:id="137"/>
    </w:p>
    <w:p w14:paraId="19DDC325">
      <w:pPr>
        <w:ind w:firstLine="420" w:firstLineChars="200"/>
        <w:rPr>
          <w:rFonts w:hint="eastAsia"/>
          <w:sz w:val="21"/>
          <w:szCs w:val="21"/>
        </w:rPr>
      </w:pPr>
      <w:r>
        <w:rPr>
          <w:sz w:val="21"/>
          <w:szCs w:val="21"/>
        </w:rPr>
        <w:t xml:space="preserve">3  </w:t>
      </w:r>
      <w:r>
        <w:rPr>
          <w:rFonts w:hint="eastAsia"/>
          <w:sz w:val="21"/>
          <w:szCs w:val="21"/>
        </w:rPr>
        <w:t>工程建设对当地相关产业有辐射带动作用，有效促进乡村振兴和社会经济发展。</w:t>
      </w:r>
    </w:p>
    <w:p w14:paraId="6B943203">
      <w:pPr>
        <w:ind w:firstLine="420" w:firstLineChars="200"/>
        <w:outlineLvl w:val="0"/>
        <w:rPr>
          <w:rFonts w:hint="eastAsia"/>
          <w:sz w:val="21"/>
          <w:szCs w:val="21"/>
        </w:rPr>
      </w:pPr>
      <w:bookmarkStart w:id="138" w:name="_Toc15358"/>
      <w:bookmarkStart w:id="139" w:name="_Toc8464"/>
      <w:r>
        <w:rPr>
          <w:sz w:val="21"/>
          <w:szCs w:val="21"/>
        </w:rPr>
        <w:t xml:space="preserve">4  </w:t>
      </w:r>
      <w:r>
        <w:rPr>
          <w:rFonts w:hint="eastAsia"/>
          <w:sz w:val="21"/>
          <w:szCs w:val="21"/>
        </w:rPr>
        <w:t>工程移民安置效果良好，各方满意度高。</w:t>
      </w:r>
      <w:bookmarkEnd w:id="138"/>
      <w:bookmarkEnd w:id="139"/>
    </w:p>
    <w:p w14:paraId="2F4F998C">
      <w:pPr>
        <w:ind w:firstLine="420" w:firstLineChars="200"/>
        <w:rPr>
          <w:rFonts w:hint="eastAsia"/>
          <w:sz w:val="21"/>
          <w:szCs w:val="21"/>
        </w:rPr>
      </w:pPr>
      <w:r>
        <w:rPr>
          <w:sz w:val="21"/>
          <w:szCs w:val="21"/>
        </w:rPr>
        <w:t xml:space="preserve">5  </w:t>
      </w:r>
      <w:r>
        <w:rPr>
          <w:rFonts w:hint="eastAsia"/>
          <w:sz w:val="21"/>
          <w:szCs w:val="21"/>
        </w:rPr>
        <w:t>在资源节约、环境保护、生态融合等方面亮点突出，社会满意度较高。</w:t>
      </w:r>
      <w:r>
        <w:rPr>
          <w:sz w:val="21"/>
          <w:szCs w:val="21"/>
        </w:rPr>
        <w:t xml:space="preserve"> </w:t>
      </w:r>
    </w:p>
    <w:p w14:paraId="1BC25E76">
      <w:pPr>
        <w:ind w:firstLine="420" w:firstLineChars="200"/>
        <w:outlineLvl w:val="0"/>
        <w:rPr>
          <w:rFonts w:hint="eastAsia"/>
          <w:sz w:val="21"/>
          <w:szCs w:val="21"/>
        </w:rPr>
      </w:pPr>
      <w:bookmarkStart w:id="140" w:name="_Toc15640"/>
      <w:bookmarkStart w:id="141" w:name="_Toc19638"/>
      <w:r>
        <w:rPr>
          <w:sz w:val="21"/>
          <w:szCs w:val="21"/>
        </w:rPr>
        <w:t xml:space="preserve">6  </w:t>
      </w:r>
      <w:r>
        <w:rPr>
          <w:rFonts w:hint="eastAsia"/>
          <w:sz w:val="21"/>
          <w:szCs w:val="21"/>
        </w:rPr>
        <w:t>工程建设推动行业管理升级和技术进步。</w:t>
      </w:r>
      <w:bookmarkEnd w:id="140"/>
      <w:bookmarkEnd w:id="141"/>
    </w:p>
    <w:p w14:paraId="0AAE9D1A">
      <w:pPr>
        <w:spacing w:before="120" w:beforeLines="50" w:after="240" w:afterLines="100"/>
        <w:jc w:val="center"/>
        <w:rPr>
          <w:rFonts w:hint="eastAsia"/>
          <w:sz w:val="21"/>
          <w:szCs w:val="21"/>
        </w:rPr>
      </w:pPr>
      <w:r>
        <w:rPr>
          <w:rFonts w:hint="eastAsia"/>
          <w:sz w:val="21"/>
          <w:szCs w:val="21"/>
        </w:rPr>
        <w:t>Ⅴ</w:t>
      </w:r>
      <w:r>
        <w:rPr>
          <w:sz w:val="21"/>
          <w:szCs w:val="21"/>
        </w:rPr>
        <w:t xml:space="preserve">  </w:t>
      </w:r>
      <w:r>
        <w:rPr>
          <w:rFonts w:hint="eastAsia"/>
          <w:sz w:val="21"/>
          <w:szCs w:val="21"/>
        </w:rPr>
        <w:t>科技创新</w:t>
      </w:r>
    </w:p>
    <w:p w14:paraId="67CDA5D1">
      <w:pPr>
        <w:outlineLvl w:val="1"/>
        <w:rPr>
          <w:rFonts w:hint="eastAsia"/>
          <w:sz w:val="21"/>
          <w:szCs w:val="21"/>
        </w:rPr>
      </w:pPr>
      <w:bookmarkStart w:id="142" w:name="_Toc31637"/>
      <w:bookmarkStart w:id="143" w:name="_Toc27983"/>
      <w:r>
        <w:rPr>
          <w:rFonts w:hint="eastAsia" w:ascii="黑体" w:hAnsi="黑体" w:eastAsia="黑体" w:cs="黑体"/>
          <w:sz w:val="21"/>
          <w:szCs w:val="21"/>
          <w:lang w:val="en-US" w:eastAsia="zh-CN"/>
        </w:rPr>
        <w:t>6.2.5</w:t>
      </w:r>
      <w:r>
        <w:rPr>
          <w:sz w:val="21"/>
          <w:szCs w:val="21"/>
        </w:rPr>
        <w:t xml:space="preserve">  </w:t>
      </w:r>
      <w:r>
        <w:rPr>
          <w:rFonts w:hint="eastAsia"/>
          <w:sz w:val="21"/>
          <w:szCs w:val="21"/>
        </w:rPr>
        <w:t>科技创新评</w:t>
      </w:r>
      <w:r>
        <w:rPr>
          <w:sz w:val="21"/>
          <w:szCs w:val="21"/>
        </w:rPr>
        <w:t>价应包括以下内容：</w:t>
      </w:r>
      <w:bookmarkEnd w:id="142"/>
      <w:bookmarkEnd w:id="143"/>
    </w:p>
    <w:p w14:paraId="575F25AE">
      <w:pPr>
        <w:ind w:firstLine="420" w:firstLineChars="200"/>
        <w:outlineLvl w:val="0"/>
        <w:rPr>
          <w:rFonts w:hint="eastAsia"/>
          <w:sz w:val="21"/>
          <w:szCs w:val="21"/>
        </w:rPr>
      </w:pPr>
      <w:bookmarkStart w:id="144" w:name="_Toc2223"/>
      <w:bookmarkStart w:id="145" w:name="_Toc31382"/>
      <w:r>
        <w:rPr>
          <w:sz w:val="21"/>
          <w:szCs w:val="21"/>
        </w:rPr>
        <w:t xml:space="preserve">1  </w:t>
      </w:r>
      <w:r>
        <w:rPr>
          <w:rFonts w:hint="eastAsia"/>
          <w:sz w:val="21"/>
          <w:szCs w:val="21"/>
        </w:rPr>
        <w:t>理念创新、体现人与自然和谐共生的可持续发展理念。</w:t>
      </w:r>
      <w:bookmarkEnd w:id="144"/>
      <w:bookmarkEnd w:id="145"/>
      <w:r>
        <w:rPr>
          <w:sz w:val="21"/>
          <w:szCs w:val="21"/>
        </w:rPr>
        <w:t xml:space="preserve"> </w:t>
      </w:r>
    </w:p>
    <w:p w14:paraId="78356D7B">
      <w:pPr>
        <w:ind w:firstLine="420" w:firstLineChars="200"/>
        <w:rPr>
          <w:rFonts w:hint="eastAsia"/>
          <w:sz w:val="21"/>
          <w:szCs w:val="21"/>
        </w:rPr>
      </w:pPr>
      <w:r>
        <w:rPr>
          <w:sz w:val="21"/>
          <w:szCs w:val="21"/>
        </w:rPr>
        <w:t xml:space="preserve">2  </w:t>
      </w:r>
      <w:r>
        <w:rPr>
          <w:rFonts w:hint="eastAsia"/>
          <w:sz w:val="21"/>
          <w:szCs w:val="21"/>
        </w:rPr>
        <w:t>技术创新，设计过程中自主研发新技术、新工艺、新流程、新材料、新装备、新产品等，有效促进工程绿色建造。</w:t>
      </w:r>
    </w:p>
    <w:p w14:paraId="34B60FC1">
      <w:pPr>
        <w:ind w:firstLine="420" w:firstLineChars="200"/>
        <w:rPr>
          <w:rFonts w:hint="eastAsia"/>
          <w:sz w:val="21"/>
          <w:szCs w:val="21"/>
        </w:rPr>
      </w:pPr>
      <w:r>
        <w:rPr>
          <w:sz w:val="21"/>
          <w:szCs w:val="21"/>
        </w:rPr>
        <w:t xml:space="preserve">3  </w:t>
      </w:r>
      <w:r>
        <w:rPr>
          <w:rFonts w:hint="eastAsia"/>
          <w:sz w:val="21"/>
          <w:szCs w:val="21"/>
        </w:rPr>
        <w:t>依托本工程在绿色设计方面取得的创新成果（课题、专利、专有技术、奖项、竞赛活动成果、国家示范试点、参编标准、期刊论文等），处于国内领先水平。</w:t>
      </w:r>
    </w:p>
    <w:p w14:paraId="4787338F">
      <w:pPr>
        <w:spacing w:before="120" w:beforeLines="50" w:after="240" w:afterLines="100"/>
        <w:jc w:val="center"/>
        <w:outlineLvl w:val="1"/>
        <w:rPr>
          <w:rFonts w:hint="eastAsia"/>
          <w:sz w:val="21"/>
          <w:szCs w:val="21"/>
        </w:rPr>
      </w:pPr>
      <w:bookmarkStart w:id="146" w:name="_Toc174141242"/>
      <w:bookmarkStart w:id="147" w:name="_Toc7648"/>
      <w:bookmarkStart w:id="148" w:name="_Toc14464"/>
      <w:r>
        <w:rPr>
          <w:rFonts w:hint="eastAsia" w:ascii="黑体" w:hAnsi="黑体" w:eastAsia="黑体" w:cs="黑体"/>
          <w:sz w:val="21"/>
          <w:szCs w:val="21"/>
          <w:lang w:val="en-US" w:eastAsia="zh-CN"/>
        </w:rPr>
        <w:t>6.3</w:t>
      </w:r>
      <w:r>
        <w:rPr>
          <w:sz w:val="21"/>
          <w:szCs w:val="21"/>
        </w:rPr>
        <w:t xml:space="preserve"> 风力发电工程</w:t>
      </w:r>
      <w:bookmarkEnd w:id="146"/>
      <w:bookmarkEnd w:id="147"/>
      <w:bookmarkEnd w:id="148"/>
    </w:p>
    <w:p w14:paraId="28D1C3A0">
      <w:pPr>
        <w:spacing w:before="120" w:beforeLines="50" w:after="240" w:afterLines="100"/>
        <w:jc w:val="center"/>
        <w:rPr>
          <w:rFonts w:hint="eastAsia"/>
          <w:sz w:val="21"/>
          <w:szCs w:val="21"/>
        </w:rPr>
      </w:pPr>
      <w:r>
        <w:rPr>
          <w:rFonts w:hint="eastAsia"/>
          <w:sz w:val="21"/>
          <w:szCs w:val="21"/>
        </w:rPr>
        <w:t>Ⅰ</w:t>
      </w:r>
      <w:r>
        <w:rPr>
          <w:sz w:val="21"/>
          <w:szCs w:val="21"/>
        </w:rPr>
        <w:t xml:space="preserve">  </w:t>
      </w:r>
      <w:r>
        <w:rPr>
          <w:rFonts w:hint="eastAsia"/>
          <w:sz w:val="21"/>
          <w:szCs w:val="21"/>
        </w:rPr>
        <w:t>技术</w:t>
      </w:r>
      <w:r>
        <w:rPr>
          <w:sz w:val="21"/>
          <w:szCs w:val="21"/>
        </w:rPr>
        <w:t>先进</w:t>
      </w:r>
    </w:p>
    <w:p w14:paraId="124AA054">
      <w:pPr>
        <w:outlineLvl w:val="2"/>
        <w:rPr>
          <w:rFonts w:hint="eastAsia"/>
          <w:sz w:val="21"/>
          <w:szCs w:val="21"/>
        </w:rPr>
      </w:pPr>
      <w:bookmarkStart w:id="149" w:name="_Toc9788"/>
      <w:r>
        <w:rPr>
          <w:rFonts w:hint="eastAsia" w:ascii="黑体" w:hAnsi="黑体" w:eastAsia="黑体" w:cs="黑体"/>
          <w:sz w:val="21"/>
          <w:szCs w:val="21"/>
          <w:lang w:val="en-US" w:eastAsia="zh-CN"/>
        </w:rPr>
        <w:t>6.3.1</w:t>
      </w:r>
      <w:r>
        <w:rPr>
          <w:sz w:val="21"/>
          <w:szCs w:val="21"/>
        </w:rPr>
        <w:t xml:space="preserve">  </w:t>
      </w:r>
      <w:r>
        <w:rPr>
          <w:rFonts w:hint="eastAsia"/>
          <w:sz w:val="21"/>
          <w:szCs w:val="21"/>
        </w:rPr>
        <w:t>技术先进评价应包括以下内容：</w:t>
      </w:r>
      <w:bookmarkEnd w:id="149"/>
    </w:p>
    <w:p w14:paraId="53F569C4">
      <w:pPr>
        <w:ind w:firstLine="420" w:firstLineChars="200"/>
        <w:rPr>
          <w:rFonts w:hint="eastAsia"/>
          <w:sz w:val="21"/>
          <w:szCs w:val="21"/>
        </w:rPr>
      </w:pPr>
      <w:r>
        <w:rPr>
          <w:sz w:val="21"/>
          <w:szCs w:val="21"/>
        </w:rPr>
        <w:t xml:space="preserve">1  </w:t>
      </w:r>
      <w:r>
        <w:rPr>
          <w:rFonts w:hint="eastAsia"/>
          <w:sz w:val="21"/>
          <w:szCs w:val="21"/>
        </w:rPr>
        <w:t>风力发电机组微观选址合理，无限制性因素，尾流影响小，风能利用率高。</w:t>
      </w:r>
    </w:p>
    <w:p w14:paraId="08E76756">
      <w:pPr>
        <w:ind w:firstLine="420" w:firstLineChars="200"/>
        <w:rPr>
          <w:rFonts w:hint="eastAsia"/>
          <w:sz w:val="21"/>
          <w:szCs w:val="21"/>
        </w:rPr>
      </w:pPr>
      <w:r>
        <w:rPr>
          <w:sz w:val="21"/>
          <w:szCs w:val="21"/>
        </w:rPr>
        <w:t xml:space="preserve">2  </w:t>
      </w:r>
      <w:r>
        <w:rPr>
          <w:rFonts w:hint="eastAsia"/>
          <w:sz w:val="21"/>
          <w:szCs w:val="21"/>
        </w:rPr>
        <w:t>根据风资源条件和设备制造水平，选用先进、高效率的风力发电机组。</w:t>
      </w:r>
    </w:p>
    <w:p w14:paraId="30740DA2">
      <w:pPr>
        <w:ind w:firstLine="420" w:firstLineChars="200"/>
        <w:rPr>
          <w:rFonts w:hint="eastAsia"/>
          <w:sz w:val="21"/>
          <w:szCs w:val="21"/>
        </w:rPr>
      </w:pPr>
      <w:r>
        <w:rPr>
          <w:sz w:val="21"/>
          <w:szCs w:val="21"/>
        </w:rPr>
        <w:t xml:space="preserve">3  </w:t>
      </w:r>
      <w:r>
        <w:rPr>
          <w:rFonts w:hint="eastAsia"/>
          <w:sz w:val="21"/>
          <w:szCs w:val="21"/>
        </w:rPr>
        <w:t>主接线、运行方式设计方案安全可靠、技术先进。</w:t>
      </w:r>
      <w:r>
        <w:rPr>
          <w:sz w:val="21"/>
          <w:szCs w:val="21"/>
        </w:rPr>
        <w:t xml:space="preserve"> </w:t>
      </w:r>
    </w:p>
    <w:p w14:paraId="6F3BCCF3">
      <w:pPr>
        <w:ind w:firstLine="420" w:firstLineChars="200"/>
        <w:rPr>
          <w:rFonts w:hint="eastAsia"/>
          <w:sz w:val="21"/>
          <w:szCs w:val="21"/>
        </w:rPr>
      </w:pPr>
      <w:r>
        <w:rPr>
          <w:sz w:val="21"/>
          <w:szCs w:val="21"/>
        </w:rPr>
        <w:t xml:space="preserve">4  </w:t>
      </w:r>
      <w:r>
        <w:rPr>
          <w:rFonts w:hint="eastAsia"/>
          <w:sz w:val="21"/>
          <w:szCs w:val="21"/>
        </w:rPr>
        <w:t>电气设备选型合理先进，运行可靠，便于施工和维修。</w:t>
      </w:r>
      <w:r>
        <w:rPr>
          <w:sz w:val="21"/>
          <w:szCs w:val="21"/>
        </w:rPr>
        <w:t xml:space="preserve"> </w:t>
      </w:r>
    </w:p>
    <w:p w14:paraId="643282F5">
      <w:pPr>
        <w:ind w:firstLine="420" w:firstLineChars="200"/>
        <w:rPr>
          <w:rFonts w:hint="eastAsia"/>
          <w:sz w:val="21"/>
          <w:szCs w:val="21"/>
        </w:rPr>
      </w:pPr>
      <w:r>
        <w:rPr>
          <w:sz w:val="21"/>
          <w:szCs w:val="21"/>
        </w:rPr>
        <w:t xml:space="preserve">5  </w:t>
      </w:r>
      <w:r>
        <w:rPr>
          <w:rFonts w:hint="eastAsia"/>
          <w:sz w:val="21"/>
          <w:szCs w:val="21"/>
        </w:rPr>
        <w:t>风力发电机组基础形式比选充分，选型合理，风电机组基础设计达到同类工程领先水平。</w:t>
      </w:r>
    </w:p>
    <w:p w14:paraId="00D6D470">
      <w:pPr>
        <w:ind w:firstLine="420" w:firstLineChars="200"/>
        <w:rPr>
          <w:rFonts w:hint="eastAsia"/>
          <w:sz w:val="21"/>
          <w:szCs w:val="21"/>
        </w:rPr>
      </w:pPr>
      <w:r>
        <w:rPr>
          <w:sz w:val="21"/>
          <w:szCs w:val="21"/>
        </w:rPr>
        <w:t xml:space="preserve">6  </w:t>
      </w:r>
      <w:r>
        <w:rPr>
          <w:rFonts w:hint="eastAsia"/>
          <w:sz w:val="21"/>
          <w:szCs w:val="21"/>
        </w:rPr>
        <w:t>采用智能化风电场设计，借助无线通信、北斗等通讯手段，深度结合监测等多元数据，构建智能化监管体系，实现智慧化基建、无人化运检。</w:t>
      </w:r>
    </w:p>
    <w:p w14:paraId="4CA08196">
      <w:pPr>
        <w:ind w:firstLine="420" w:firstLineChars="200"/>
        <w:rPr>
          <w:rFonts w:hint="eastAsia"/>
          <w:sz w:val="21"/>
          <w:szCs w:val="21"/>
        </w:rPr>
      </w:pPr>
      <w:r>
        <w:rPr>
          <w:sz w:val="21"/>
          <w:szCs w:val="21"/>
        </w:rPr>
        <w:t xml:space="preserve">7  </w:t>
      </w:r>
      <w:r>
        <w:rPr>
          <w:rFonts w:hint="eastAsia"/>
          <w:sz w:val="21"/>
          <w:szCs w:val="21"/>
        </w:rPr>
        <w:t>采用数字化三维设计方式，实现设计协同、设计优化。</w:t>
      </w:r>
    </w:p>
    <w:p w14:paraId="44983A79">
      <w:pPr>
        <w:ind w:firstLine="420" w:firstLineChars="200"/>
        <w:rPr>
          <w:rFonts w:hint="eastAsia"/>
          <w:sz w:val="21"/>
          <w:szCs w:val="21"/>
        </w:rPr>
      </w:pPr>
      <w:r>
        <w:rPr>
          <w:sz w:val="21"/>
          <w:szCs w:val="21"/>
        </w:rPr>
        <w:t xml:space="preserve">8  </w:t>
      </w:r>
      <w:r>
        <w:rPr>
          <w:rFonts w:hint="eastAsia"/>
          <w:sz w:val="21"/>
          <w:szCs w:val="21"/>
        </w:rPr>
        <w:t>海上风电采用基础和风电机组一体化设计方法。</w:t>
      </w:r>
    </w:p>
    <w:p w14:paraId="1F08173D">
      <w:pPr>
        <w:ind w:firstLine="420" w:firstLineChars="200"/>
        <w:rPr>
          <w:rFonts w:hint="eastAsia"/>
          <w:sz w:val="21"/>
          <w:szCs w:val="21"/>
        </w:rPr>
      </w:pPr>
      <w:r>
        <w:rPr>
          <w:sz w:val="21"/>
          <w:szCs w:val="21"/>
        </w:rPr>
        <w:t xml:space="preserve">9  </w:t>
      </w:r>
      <w:r>
        <w:rPr>
          <w:rFonts w:hint="eastAsia"/>
          <w:sz w:val="21"/>
          <w:szCs w:val="21"/>
        </w:rPr>
        <w:t>海上变电站（换流站）采用轻量化设计，结构设备布置紧凑，设备集成化程度高。</w:t>
      </w:r>
    </w:p>
    <w:p w14:paraId="14704C7D">
      <w:pPr>
        <w:ind w:firstLine="420" w:firstLineChars="200"/>
        <w:rPr>
          <w:rFonts w:hint="eastAsia"/>
          <w:sz w:val="21"/>
          <w:szCs w:val="21"/>
        </w:rPr>
      </w:pPr>
      <w:r>
        <w:rPr>
          <w:sz w:val="21"/>
          <w:szCs w:val="21"/>
        </w:rPr>
        <w:t xml:space="preserve">10  </w:t>
      </w:r>
      <w:r>
        <w:rPr>
          <w:rFonts w:hint="eastAsia"/>
          <w:sz w:val="21"/>
          <w:szCs w:val="21"/>
        </w:rPr>
        <w:t>海上风电海缆路由优化比选，海缆选型合理先进，技术经济性优。</w:t>
      </w:r>
    </w:p>
    <w:p w14:paraId="33331C45">
      <w:pPr>
        <w:ind w:firstLine="420" w:firstLineChars="200"/>
        <w:outlineLvl w:val="0"/>
        <w:rPr>
          <w:rFonts w:hint="eastAsia"/>
          <w:sz w:val="21"/>
          <w:szCs w:val="21"/>
        </w:rPr>
      </w:pPr>
      <w:bookmarkStart w:id="150" w:name="_Toc32015"/>
      <w:bookmarkStart w:id="151" w:name="_Toc29875"/>
      <w:r>
        <w:rPr>
          <w:sz w:val="21"/>
          <w:szCs w:val="21"/>
        </w:rPr>
        <w:t xml:space="preserve">11  </w:t>
      </w:r>
      <w:r>
        <w:rPr>
          <w:rFonts w:hint="eastAsia"/>
          <w:sz w:val="21"/>
          <w:szCs w:val="21"/>
        </w:rPr>
        <w:t>陆上风电道路和集电线路选线设计合理、经济。</w:t>
      </w:r>
      <w:bookmarkEnd w:id="150"/>
      <w:bookmarkEnd w:id="151"/>
    </w:p>
    <w:p w14:paraId="4AD05A22">
      <w:pPr>
        <w:spacing w:before="120" w:beforeLines="50" w:after="240" w:afterLines="100"/>
        <w:jc w:val="center"/>
        <w:rPr>
          <w:rFonts w:hint="eastAsia"/>
          <w:sz w:val="21"/>
          <w:szCs w:val="21"/>
        </w:rPr>
      </w:pPr>
      <w:r>
        <w:rPr>
          <w:rFonts w:hint="eastAsia"/>
          <w:sz w:val="21"/>
          <w:szCs w:val="21"/>
        </w:rPr>
        <w:t>Ⅱ</w:t>
      </w:r>
      <w:r>
        <w:rPr>
          <w:sz w:val="21"/>
          <w:szCs w:val="21"/>
        </w:rPr>
        <w:t xml:space="preserve">  </w:t>
      </w:r>
      <w:r>
        <w:rPr>
          <w:rFonts w:hint="eastAsia"/>
          <w:sz w:val="21"/>
          <w:szCs w:val="21"/>
        </w:rPr>
        <w:t>资源节约</w:t>
      </w:r>
    </w:p>
    <w:p w14:paraId="361EA6BD">
      <w:pPr>
        <w:outlineLvl w:val="1"/>
        <w:rPr>
          <w:rFonts w:hint="eastAsia"/>
          <w:sz w:val="21"/>
          <w:szCs w:val="21"/>
        </w:rPr>
      </w:pPr>
      <w:bookmarkStart w:id="152" w:name="_Toc4565"/>
      <w:bookmarkStart w:id="153" w:name="_Toc10426"/>
      <w:r>
        <w:rPr>
          <w:rFonts w:hint="eastAsia" w:ascii="黑体" w:hAnsi="黑体" w:eastAsia="黑体" w:cs="黑体"/>
          <w:sz w:val="21"/>
          <w:szCs w:val="21"/>
          <w:lang w:val="en-US" w:eastAsia="zh-CN"/>
        </w:rPr>
        <w:t>6.3.2</w:t>
      </w:r>
      <w:r>
        <w:rPr>
          <w:sz w:val="21"/>
          <w:szCs w:val="21"/>
        </w:rPr>
        <w:t xml:space="preserve">  </w:t>
      </w:r>
      <w:r>
        <w:rPr>
          <w:rFonts w:hint="eastAsia"/>
          <w:sz w:val="21"/>
          <w:szCs w:val="21"/>
        </w:rPr>
        <w:t>资源节约评</w:t>
      </w:r>
      <w:r>
        <w:rPr>
          <w:sz w:val="21"/>
          <w:szCs w:val="21"/>
        </w:rPr>
        <w:t>价应包括以下内容：</w:t>
      </w:r>
      <w:bookmarkEnd w:id="152"/>
      <w:bookmarkEnd w:id="153"/>
    </w:p>
    <w:p w14:paraId="50EF7913">
      <w:pPr>
        <w:ind w:firstLine="420" w:firstLineChars="200"/>
        <w:jc w:val="left"/>
        <w:rPr>
          <w:rFonts w:hint="eastAsia"/>
          <w:sz w:val="21"/>
          <w:szCs w:val="21"/>
        </w:rPr>
      </w:pPr>
      <w:r>
        <w:rPr>
          <w:sz w:val="21"/>
          <w:szCs w:val="21"/>
        </w:rPr>
        <w:t xml:space="preserve">1  </w:t>
      </w:r>
      <w:r>
        <w:rPr>
          <w:rFonts w:hint="eastAsia"/>
          <w:sz w:val="21"/>
          <w:szCs w:val="21"/>
        </w:rPr>
        <w:t>总平面布置方案的选择和优化科学、合理，工艺流程顺畅，功能分区合理。</w:t>
      </w:r>
    </w:p>
    <w:p w14:paraId="0E04B4A2">
      <w:pPr>
        <w:ind w:firstLine="420" w:firstLineChars="200"/>
        <w:jc w:val="left"/>
        <w:outlineLvl w:val="0"/>
        <w:rPr>
          <w:rFonts w:hint="eastAsia"/>
          <w:sz w:val="21"/>
          <w:szCs w:val="21"/>
        </w:rPr>
      </w:pPr>
      <w:bookmarkStart w:id="154" w:name="_Toc3317"/>
      <w:bookmarkStart w:id="155" w:name="_Toc13170"/>
      <w:r>
        <w:rPr>
          <w:sz w:val="21"/>
          <w:szCs w:val="21"/>
        </w:rPr>
        <w:t xml:space="preserve">2  </w:t>
      </w:r>
      <w:r>
        <w:rPr>
          <w:rFonts w:hint="eastAsia"/>
          <w:sz w:val="21"/>
          <w:szCs w:val="21"/>
        </w:rPr>
        <w:t>宜采用大容量风力发电机组，减少风力发电机组数量。</w:t>
      </w:r>
      <w:bookmarkEnd w:id="154"/>
      <w:bookmarkEnd w:id="155"/>
      <w:r>
        <w:rPr>
          <w:sz w:val="21"/>
          <w:szCs w:val="21"/>
        </w:rPr>
        <w:t xml:space="preserve"> </w:t>
      </w:r>
    </w:p>
    <w:p w14:paraId="65925F73">
      <w:pPr>
        <w:ind w:firstLine="420" w:firstLineChars="200"/>
        <w:jc w:val="left"/>
        <w:rPr>
          <w:rFonts w:hint="eastAsia"/>
          <w:sz w:val="21"/>
          <w:szCs w:val="21"/>
        </w:rPr>
      </w:pPr>
      <w:r>
        <w:rPr>
          <w:sz w:val="21"/>
          <w:szCs w:val="21"/>
        </w:rPr>
        <w:t xml:space="preserve">3  </w:t>
      </w:r>
      <w:r>
        <w:rPr>
          <w:rFonts w:hint="eastAsia"/>
          <w:sz w:val="21"/>
          <w:szCs w:val="21"/>
        </w:rPr>
        <w:t>合理规划布置，道路和集电线路路径短，节约占地（海）面积。</w:t>
      </w:r>
      <w:r>
        <w:rPr>
          <w:sz w:val="21"/>
          <w:szCs w:val="21"/>
        </w:rPr>
        <w:t xml:space="preserve"> </w:t>
      </w:r>
    </w:p>
    <w:p w14:paraId="3B64AC40">
      <w:pPr>
        <w:ind w:firstLine="420" w:firstLineChars="200"/>
        <w:jc w:val="left"/>
        <w:rPr>
          <w:rFonts w:hint="eastAsia"/>
          <w:sz w:val="21"/>
          <w:szCs w:val="21"/>
        </w:rPr>
      </w:pPr>
      <w:r>
        <w:rPr>
          <w:sz w:val="21"/>
          <w:szCs w:val="21"/>
        </w:rPr>
        <w:t xml:space="preserve">4  </w:t>
      </w:r>
      <w:r>
        <w:rPr>
          <w:rFonts w:hint="eastAsia"/>
          <w:sz w:val="21"/>
          <w:szCs w:val="21"/>
        </w:rPr>
        <w:t>尽量减少建（构）筑物数量，并将性质和功能相同或相近的建（构）筑物进行联合布置，布置紧凑，以减少变电压站用地。</w:t>
      </w:r>
    </w:p>
    <w:p w14:paraId="2030D530">
      <w:pPr>
        <w:ind w:firstLine="420" w:firstLineChars="200"/>
        <w:jc w:val="left"/>
        <w:rPr>
          <w:rFonts w:hint="eastAsia"/>
          <w:sz w:val="21"/>
          <w:szCs w:val="21"/>
        </w:rPr>
      </w:pPr>
      <w:r>
        <w:rPr>
          <w:sz w:val="21"/>
          <w:szCs w:val="21"/>
        </w:rPr>
        <w:t xml:space="preserve">5  </w:t>
      </w:r>
      <w:r>
        <w:rPr>
          <w:rFonts w:hint="eastAsia"/>
          <w:sz w:val="21"/>
          <w:szCs w:val="21"/>
        </w:rPr>
        <w:t>用地（海）指标先进、合理，占地（海）面积达到国内先进水平。</w:t>
      </w:r>
    </w:p>
    <w:p w14:paraId="0C6F6649">
      <w:pPr>
        <w:ind w:firstLine="420" w:firstLineChars="200"/>
        <w:jc w:val="left"/>
        <w:rPr>
          <w:rFonts w:hint="eastAsia"/>
          <w:sz w:val="21"/>
          <w:szCs w:val="21"/>
        </w:rPr>
      </w:pPr>
      <w:r>
        <w:rPr>
          <w:sz w:val="21"/>
          <w:szCs w:val="21"/>
        </w:rPr>
        <w:t xml:space="preserve">6  </w:t>
      </w:r>
      <w:r>
        <w:rPr>
          <w:rFonts w:hint="eastAsia"/>
          <w:sz w:val="21"/>
          <w:szCs w:val="21"/>
        </w:rPr>
        <w:t>合理进行风机基础的设计和优化，节约风机基础用地（海），节省风机基础材料用量。</w:t>
      </w:r>
      <w:r>
        <w:rPr>
          <w:sz w:val="21"/>
          <w:szCs w:val="21"/>
        </w:rPr>
        <w:t xml:space="preserve"> </w:t>
      </w:r>
    </w:p>
    <w:p w14:paraId="28B3BBD0">
      <w:pPr>
        <w:ind w:firstLine="420" w:firstLineChars="200"/>
        <w:jc w:val="left"/>
        <w:rPr>
          <w:rFonts w:hint="eastAsia"/>
          <w:sz w:val="21"/>
          <w:szCs w:val="21"/>
        </w:rPr>
      </w:pPr>
      <w:r>
        <w:rPr>
          <w:sz w:val="21"/>
          <w:szCs w:val="21"/>
        </w:rPr>
        <w:t xml:space="preserve">7  </w:t>
      </w:r>
      <w:r>
        <w:rPr>
          <w:rFonts w:hint="eastAsia"/>
          <w:sz w:val="21"/>
          <w:szCs w:val="21"/>
        </w:rPr>
        <w:t>陆上设施建筑物布置方案科学合理，结构体系合理，采用高强、可循环建筑材料，节省钢材、水泥等原材料。</w:t>
      </w:r>
    </w:p>
    <w:p w14:paraId="1238E45F">
      <w:pPr>
        <w:ind w:firstLine="420" w:firstLineChars="200"/>
        <w:jc w:val="left"/>
        <w:rPr>
          <w:rFonts w:hint="eastAsia"/>
          <w:sz w:val="21"/>
          <w:szCs w:val="21"/>
        </w:rPr>
      </w:pPr>
      <w:r>
        <w:rPr>
          <w:sz w:val="21"/>
          <w:szCs w:val="21"/>
        </w:rPr>
        <w:t>8  提高水的利用率，搅拌用水、养护用水采取有效的节水措施，采用节水管材和器具。</w:t>
      </w:r>
    </w:p>
    <w:p w14:paraId="2B9DC0C4">
      <w:pPr>
        <w:ind w:firstLine="420" w:firstLineChars="200"/>
        <w:jc w:val="left"/>
        <w:rPr>
          <w:rFonts w:hint="eastAsia"/>
          <w:sz w:val="21"/>
          <w:szCs w:val="21"/>
        </w:rPr>
      </w:pPr>
      <w:r>
        <w:rPr>
          <w:sz w:val="21"/>
          <w:szCs w:val="21"/>
        </w:rPr>
        <w:t>9  合理确定设备的能耗等级、集电线路路径和选型，减少电能损耗。</w:t>
      </w:r>
    </w:p>
    <w:p w14:paraId="5DF8F824">
      <w:pPr>
        <w:ind w:firstLine="420" w:firstLineChars="200"/>
        <w:jc w:val="left"/>
        <w:rPr>
          <w:rFonts w:hint="eastAsia"/>
          <w:sz w:val="21"/>
          <w:szCs w:val="21"/>
        </w:rPr>
      </w:pPr>
      <w:r>
        <w:rPr>
          <w:sz w:val="21"/>
          <w:szCs w:val="21"/>
        </w:rPr>
        <w:t xml:space="preserve">10  </w:t>
      </w:r>
      <w:r>
        <w:rPr>
          <w:rFonts w:hint="eastAsia"/>
          <w:sz w:val="21"/>
          <w:szCs w:val="21"/>
        </w:rPr>
        <w:t>建筑节能降耗措施先进，充分利用自然光和自然通风，建筑采用智能和分区运维。</w:t>
      </w:r>
    </w:p>
    <w:p w14:paraId="33546E39">
      <w:pPr>
        <w:ind w:firstLine="420" w:firstLineChars="200"/>
        <w:jc w:val="left"/>
        <w:rPr>
          <w:rFonts w:hint="eastAsia"/>
          <w:sz w:val="21"/>
          <w:szCs w:val="21"/>
        </w:rPr>
      </w:pPr>
      <w:r>
        <w:rPr>
          <w:sz w:val="21"/>
          <w:szCs w:val="21"/>
        </w:rPr>
        <w:t>11  海上风电采用高性能混凝土、高强度和耐候性钢材应用技术，采用合理的防腐设计，减少钢材用量。</w:t>
      </w:r>
    </w:p>
    <w:p w14:paraId="49153ED3">
      <w:pPr>
        <w:spacing w:before="120" w:beforeLines="50" w:after="240" w:afterLines="100"/>
        <w:jc w:val="center"/>
        <w:rPr>
          <w:rFonts w:hint="eastAsia"/>
          <w:sz w:val="21"/>
          <w:szCs w:val="21"/>
        </w:rPr>
      </w:pPr>
      <w:r>
        <w:rPr>
          <w:rFonts w:hint="eastAsia"/>
          <w:sz w:val="21"/>
          <w:szCs w:val="21"/>
        </w:rPr>
        <w:t>Ⅲ</w:t>
      </w:r>
      <w:r>
        <w:rPr>
          <w:sz w:val="21"/>
          <w:szCs w:val="21"/>
        </w:rPr>
        <w:t xml:space="preserve">  </w:t>
      </w:r>
      <w:r>
        <w:rPr>
          <w:rFonts w:hint="eastAsia"/>
          <w:sz w:val="21"/>
          <w:szCs w:val="21"/>
        </w:rPr>
        <w:t>生态环保</w:t>
      </w:r>
    </w:p>
    <w:p w14:paraId="4F17EE62">
      <w:pPr>
        <w:jc w:val="left"/>
        <w:outlineLvl w:val="1"/>
        <w:rPr>
          <w:rFonts w:hint="eastAsia"/>
          <w:sz w:val="21"/>
          <w:szCs w:val="21"/>
        </w:rPr>
      </w:pPr>
      <w:bookmarkStart w:id="156" w:name="_Toc8111"/>
      <w:bookmarkStart w:id="157" w:name="_Toc15566"/>
      <w:r>
        <w:rPr>
          <w:rFonts w:hint="eastAsia" w:ascii="黑体" w:hAnsi="黑体" w:eastAsia="黑体" w:cs="黑体"/>
          <w:sz w:val="21"/>
          <w:szCs w:val="21"/>
          <w:lang w:val="en-US" w:eastAsia="zh-CN"/>
        </w:rPr>
        <w:t>6.3.3</w:t>
      </w:r>
      <w:r>
        <w:rPr>
          <w:sz w:val="21"/>
          <w:szCs w:val="21"/>
        </w:rPr>
        <w:t xml:space="preserve">  </w:t>
      </w:r>
      <w:r>
        <w:rPr>
          <w:rFonts w:hint="eastAsia"/>
          <w:sz w:val="21"/>
          <w:szCs w:val="21"/>
        </w:rPr>
        <w:t>生态环保评</w:t>
      </w:r>
      <w:r>
        <w:rPr>
          <w:sz w:val="21"/>
          <w:szCs w:val="21"/>
        </w:rPr>
        <w:t>价应包括以下内容：</w:t>
      </w:r>
      <w:bookmarkEnd w:id="156"/>
      <w:bookmarkEnd w:id="157"/>
    </w:p>
    <w:p w14:paraId="6420F540">
      <w:pPr>
        <w:ind w:firstLine="420" w:firstLineChars="200"/>
        <w:jc w:val="left"/>
        <w:outlineLvl w:val="0"/>
        <w:rPr>
          <w:rFonts w:hint="eastAsia"/>
          <w:sz w:val="21"/>
          <w:szCs w:val="21"/>
        </w:rPr>
      </w:pPr>
      <w:bookmarkStart w:id="158" w:name="_Toc2525"/>
      <w:bookmarkStart w:id="159" w:name="_Toc2656"/>
      <w:r>
        <w:rPr>
          <w:sz w:val="21"/>
          <w:szCs w:val="21"/>
        </w:rPr>
        <w:t xml:space="preserve">1  </w:t>
      </w:r>
      <w:r>
        <w:rPr>
          <w:rFonts w:hint="eastAsia"/>
          <w:sz w:val="21"/>
          <w:szCs w:val="21"/>
        </w:rPr>
        <w:t>风电场项目与生态环境、周边环境和谐统一。</w:t>
      </w:r>
      <w:bookmarkEnd w:id="158"/>
      <w:bookmarkEnd w:id="159"/>
    </w:p>
    <w:p w14:paraId="5F6D754F">
      <w:pPr>
        <w:ind w:firstLine="420" w:firstLineChars="200"/>
        <w:jc w:val="left"/>
        <w:rPr>
          <w:rFonts w:hint="eastAsia"/>
          <w:sz w:val="21"/>
          <w:szCs w:val="21"/>
        </w:rPr>
      </w:pPr>
      <w:r>
        <w:rPr>
          <w:sz w:val="21"/>
          <w:szCs w:val="21"/>
        </w:rPr>
        <w:t>2  选用低噪声风电机组</w:t>
      </w:r>
      <w:r>
        <w:rPr>
          <w:rFonts w:hint="eastAsia"/>
          <w:sz w:val="21"/>
          <w:szCs w:val="21"/>
        </w:rPr>
        <w:t>和电气设备，风电机组设置鸟类趋避设施。</w:t>
      </w:r>
    </w:p>
    <w:p w14:paraId="053A4878">
      <w:pPr>
        <w:ind w:firstLine="420" w:firstLineChars="200"/>
        <w:jc w:val="left"/>
        <w:rPr>
          <w:rFonts w:hint="eastAsia"/>
          <w:sz w:val="21"/>
          <w:szCs w:val="21"/>
        </w:rPr>
      </w:pPr>
      <w:r>
        <w:rPr>
          <w:sz w:val="21"/>
          <w:szCs w:val="21"/>
        </w:rPr>
        <w:t xml:space="preserve">3 </w:t>
      </w:r>
      <w:r>
        <w:rPr>
          <w:rFonts w:hint="eastAsia"/>
          <w:sz w:val="21"/>
          <w:szCs w:val="21"/>
        </w:rPr>
        <w:t>风电机组应防止油类的跑、冒、漏、滴，废油应储存在专设的废油箱中，应将废油、含油废物送交有资质单位回收处理。</w:t>
      </w:r>
    </w:p>
    <w:p w14:paraId="27FAE53C">
      <w:pPr>
        <w:ind w:firstLine="420" w:firstLineChars="200"/>
        <w:jc w:val="left"/>
        <w:outlineLvl w:val="0"/>
        <w:rPr>
          <w:rFonts w:hint="eastAsia"/>
          <w:sz w:val="21"/>
          <w:szCs w:val="21"/>
        </w:rPr>
      </w:pPr>
      <w:bookmarkStart w:id="160" w:name="_Toc6190"/>
      <w:bookmarkStart w:id="161" w:name="_Toc29228"/>
      <w:r>
        <w:rPr>
          <w:sz w:val="21"/>
          <w:szCs w:val="21"/>
        </w:rPr>
        <w:t xml:space="preserve">4  </w:t>
      </w:r>
      <w:r>
        <w:rPr>
          <w:rFonts w:hint="eastAsia"/>
          <w:sz w:val="21"/>
          <w:szCs w:val="21"/>
        </w:rPr>
        <w:t>选用低噪声施工设备，减少对于生物的影响。</w:t>
      </w:r>
      <w:bookmarkEnd w:id="160"/>
      <w:bookmarkEnd w:id="161"/>
    </w:p>
    <w:p w14:paraId="5F38E6C4">
      <w:pPr>
        <w:ind w:firstLine="420" w:firstLineChars="200"/>
        <w:jc w:val="left"/>
        <w:rPr>
          <w:rFonts w:hint="eastAsia"/>
          <w:sz w:val="21"/>
          <w:szCs w:val="21"/>
        </w:rPr>
      </w:pPr>
      <w:r>
        <w:rPr>
          <w:sz w:val="21"/>
          <w:szCs w:val="21"/>
        </w:rPr>
        <w:t xml:space="preserve">5  </w:t>
      </w:r>
      <w:r>
        <w:rPr>
          <w:rFonts w:hint="eastAsia"/>
          <w:sz w:val="21"/>
          <w:szCs w:val="21"/>
        </w:rPr>
        <w:t>施工期污废水、固废等收集后统一处理，运行期污废水处理后排放或回用。</w:t>
      </w:r>
    </w:p>
    <w:p w14:paraId="24F9E158">
      <w:pPr>
        <w:ind w:firstLine="420" w:firstLineChars="200"/>
        <w:jc w:val="left"/>
        <w:rPr>
          <w:rFonts w:hint="eastAsia"/>
          <w:sz w:val="21"/>
          <w:szCs w:val="21"/>
        </w:rPr>
      </w:pPr>
      <w:r>
        <w:rPr>
          <w:sz w:val="21"/>
          <w:szCs w:val="21"/>
        </w:rPr>
        <w:t>6  生态补偿方案设计合理，满足生态修复的需求。</w:t>
      </w:r>
    </w:p>
    <w:p w14:paraId="2146B547">
      <w:pPr>
        <w:ind w:firstLine="420" w:firstLineChars="200"/>
        <w:jc w:val="left"/>
        <w:rPr>
          <w:rFonts w:hint="eastAsia"/>
          <w:sz w:val="21"/>
          <w:szCs w:val="21"/>
        </w:rPr>
      </w:pPr>
      <w:r>
        <w:rPr>
          <w:sz w:val="21"/>
          <w:szCs w:val="21"/>
        </w:rPr>
        <w:t xml:space="preserve">7  </w:t>
      </w:r>
      <w:r>
        <w:rPr>
          <w:rFonts w:hint="eastAsia"/>
          <w:sz w:val="21"/>
          <w:szCs w:val="21"/>
        </w:rPr>
        <w:t>环境监测计划完善，环境监测报告齐全。</w:t>
      </w:r>
      <w:r>
        <w:rPr>
          <w:sz w:val="21"/>
          <w:szCs w:val="21"/>
        </w:rPr>
        <w:t xml:space="preserve"> </w:t>
      </w:r>
    </w:p>
    <w:p w14:paraId="30A52322">
      <w:pPr>
        <w:ind w:firstLine="420" w:firstLineChars="200"/>
        <w:jc w:val="left"/>
        <w:rPr>
          <w:rFonts w:hint="eastAsia"/>
          <w:sz w:val="21"/>
          <w:szCs w:val="21"/>
        </w:rPr>
      </w:pPr>
      <w:r>
        <w:rPr>
          <w:sz w:val="21"/>
          <w:szCs w:val="21"/>
        </w:rPr>
        <w:t xml:space="preserve">8  </w:t>
      </w:r>
      <w:r>
        <w:rPr>
          <w:rFonts w:hint="eastAsia"/>
          <w:sz w:val="21"/>
          <w:szCs w:val="21"/>
        </w:rPr>
        <w:t>土石方挖填量少，可实现土石方量自身平衡，减少对水土保持、生态环境的影响。</w:t>
      </w:r>
    </w:p>
    <w:p w14:paraId="4A41ADFC">
      <w:pPr>
        <w:ind w:firstLine="420" w:firstLineChars="200"/>
        <w:jc w:val="left"/>
        <w:outlineLvl w:val="0"/>
        <w:rPr>
          <w:rFonts w:hint="eastAsia"/>
          <w:sz w:val="21"/>
          <w:szCs w:val="21"/>
        </w:rPr>
      </w:pPr>
      <w:bookmarkStart w:id="162" w:name="_Toc10969"/>
      <w:bookmarkStart w:id="163" w:name="_Toc24817"/>
      <w:r>
        <w:rPr>
          <w:sz w:val="21"/>
          <w:szCs w:val="21"/>
        </w:rPr>
        <w:t xml:space="preserve">9  </w:t>
      </w:r>
      <w:r>
        <w:rPr>
          <w:rFonts w:hint="eastAsia"/>
          <w:sz w:val="21"/>
          <w:szCs w:val="21"/>
        </w:rPr>
        <w:t>水土保持设计方案和投资合理。</w:t>
      </w:r>
      <w:bookmarkEnd w:id="162"/>
      <w:bookmarkEnd w:id="163"/>
    </w:p>
    <w:p w14:paraId="54BC8632">
      <w:pPr>
        <w:ind w:firstLine="420" w:firstLineChars="200"/>
        <w:jc w:val="left"/>
        <w:rPr>
          <w:rFonts w:hint="eastAsia"/>
          <w:sz w:val="21"/>
          <w:szCs w:val="21"/>
        </w:rPr>
      </w:pPr>
      <w:r>
        <w:rPr>
          <w:sz w:val="21"/>
          <w:szCs w:val="21"/>
        </w:rPr>
        <w:t xml:space="preserve">10  </w:t>
      </w:r>
      <w:r>
        <w:rPr>
          <w:rFonts w:hint="eastAsia"/>
          <w:sz w:val="21"/>
          <w:szCs w:val="21"/>
        </w:rPr>
        <w:t>海上风电施工组织设计合理，减少水上水下施工作业时间，避免在鱼类产卵和鸟类迁徙高峰期间施工。</w:t>
      </w:r>
    </w:p>
    <w:p w14:paraId="5F750A59">
      <w:pPr>
        <w:spacing w:before="120" w:beforeLines="50" w:after="240" w:afterLines="100"/>
        <w:jc w:val="center"/>
        <w:rPr>
          <w:rFonts w:hint="eastAsia"/>
          <w:sz w:val="21"/>
          <w:szCs w:val="21"/>
        </w:rPr>
      </w:pPr>
      <w:r>
        <w:rPr>
          <w:rFonts w:hint="eastAsia"/>
          <w:sz w:val="21"/>
          <w:szCs w:val="21"/>
        </w:rPr>
        <w:t>Ⅳ</w:t>
      </w:r>
      <w:r>
        <w:rPr>
          <w:sz w:val="21"/>
          <w:szCs w:val="21"/>
        </w:rPr>
        <w:t xml:space="preserve">  </w:t>
      </w:r>
      <w:r>
        <w:rPr>
          <w:rFonts w:hint="eastAsia"/>
          <w:sz w:val="21"/>
          <w:szCs w:val="21"/>
        </w:rPr>
        <w:t>综合效益</w:t>
      </w:r>
    </w:p>
    <w:p w14:paraId="281ADE89">
      <w:pPr>
        <w:jc w:val="left"/>
        <w:outlineLvl w:val="1"/>
        <w:rPr>
          <w:rFonts w:hint="eastAsia"/>
          <w:sz w:val="21"/>
          <w:szCs w:val="21"/>
        </w:rPr>
      </w:pPr>
      <w:bookmarkStart w:id="164" w:name="_Toc3439"/>
      <w:bookmarkStart w:id="165" w:name="_Toc6933"/>
      <w:r>
        <w:rPr>
          <w:rFonts w:hint="eastAsia" w:ascii="黑体" w:hAnsi="黑体" w:eastAsia="黑体" w:cs="黑体"/>
          <w:sz w:val="21"/>
          <w:szCs w:val="21"/>
          <w:lang w:val="en-US" w:eastAsia="zh-CN"/>
        </w:rPr>
        <w:t>6.3.4</w:t>
      </w:r>
      <w:r>
        <w:rPr>
          <w:sz w:val="21"/>
          <w:szCs w:val="21"/>
        </w:rPr>
        <w:t xml:space="preserve">  </w:t>
      </w:r>
      <w:r>
        <w:rPr>
          <w:rFonts w:hint="eastAsia"/>
          <w:sz w:val="21"/>
          <w:szCs w:val="21"/>
        </w:rPr>
        <w:t>综合效益评</w:t>
      </w:r>
      <w:r>
        <w:rPr>
          <w:sz w:val="21"/>
          <w:szCs w:val="21"/>
        </w:rPr>
        <w:t>价应包括以下内容：</w:t>
      </w:r>
      <w:bookmarkEnd w:id="164"/>
      <w:bookmarkEnd w:id="165"/>
    </w:p>
    <w:p w14:paraId="29D7FE52">
      <w:pPr>
        <w:ind w:firstLine="420" w:firstLineChars="200"/>
        <w:jc w:val="left"/>
        <w:rPr>
          <w:rFonts w:hint="eastAsia"/>
          <w:sz w:val="21"/>
          <w:szCs w:val="21"/>
        </w:rPr>
      </w:pPr>
      <w:r>
        <w:rPr>
          <w:sz w:val="21"/>
          <w:szCs w:val="21"/>
        </w:rPr>
        <w:t xml:space="preserve">1  </w:t>
      </w:r>
      <w:r>
        <w:rPr>
          <w:rFonts w:hint="eastAsia"/>
          <w:sz w:val="21"/>
          <w:szCs w:val="21"/>
        </w:rPr>
        <w:t>在综合投资方面有显著改进，并取得显著成效；发电量、收益率等重要经济技术指标处于领先水平。</w:t>
      </w:r>
      <w:r>
        <w:rPr>
          <w:sz w:val="21"/>
          <w:szCs w:val="21"/>
        </w:rPr>
        <w:t xml:space="preserve"> </w:t>
      </w:r>
    </w:p>
    <w:p w14:paraId="5E444D61">
      <w:pPr>
        <w:ind w:firstLine="420" w:firstLineChars="200"/>
        <w:jc w:val="left"/>
        <w:rPr>
          <w:rFonts w:hint="eastAsia"/>
          <w:sz w:val="21"/>
          <w:szCs w:val="21"/>
        </w:rPr>
      </w:pPr>
      <w:r>
        <w:rPr>
          <w:sz w:val="21"/>
          <w:szCs w:val="21"/>
        </w:rPr>
        <w:t xml:space="preserve">2  </w:t>
      </w:r>
      <w:r>
        <w:rPr>
          <w:rFonts w:hint="eastAsia"/>
          <w:sz w:val="21"/>
          <w:szCs w:val="21"/>
        </w:rPr>
        <w:t>工程融合方案具有创新性和示范性，带动新兴技术发展。</w:t>
      </w:r>
    </w:p>
    <w:p w14:paraId="7D5967EA">
      <w:pPr>
        <w:ind w:firstLine="420" w:firstLineChars="200"/>
        <w:jc w:val="left"/>
        <w:rPr>
          <w:rFonts w:hint="eastAsia"/>
          <w:sz w:val="21"/>
          <w:szCs w:val="21"/>
        </w:rPr>
      </w:pPr>
      <w:r>
        <w:rPr>
          <w:sz w:val="21"/>
          <w:szCs w:val="21"/>
        </w:rPr>
        <w:t xml:space="preserve">3  </w:t>
      </w:r>
      <w:r>
        <w:rPr>
          <w:rFonts w:hint="eastAsia"/>
          <w:sz w:val="21"/>
          <w:szCs w:val="21"/>
        </w:rPr>
        <w:t>在资源节约、环境保护等方面亮点突</w:t>
      </w:r>
      <w:r>
        <w:rPr>
          <w:sz w:val="21"/>
          <w:szCs w:val="21"/>
        </w:rPr>
        <w:t xml:space="preserve">出，社会满意度较高。 </w:t>
      </w:r>
    </w:p>
    <w:p w14:paraId="69F46880">
      <w:pPr>
        <w:ind w:firstLine="420" w:firstLineChars="200"/>
        <w:jc w:val="left"/>
        <w:rPr>
          <w:rFonts w:hint="eastAsia"/>
          <w:sz w:val="21"/>
          <w:szCs w:val="21"/>
        </w:rPr>
      </w:pPr>
      <w:r>
        <w:rPr>
          <w:sz w:val="21"/>
          <w:szCs w:val="21"/>
        </w:rPr>
        <w:t xml:space="preserve">4  </w:t>
      </w:r>
      <w:r>
        <w:rPr>
          <w:rFonts w:hint="eastAsia"/>
          <w:sz w:val="21"/>
          <w:szCs w:val="21"/>
        </w:rPr>
        <w:t>对当地相关产业有辐射带动作用，对推动战略性转型产业深度融合贡献巨大。</w:t>
      </w:r>
    </w:p>
    <w:p w14:paraId="6059F74D">
      <w:pPr>
        <w:spacing w:before="120" w:beforeLines="50" w:after="240" w:afterLines="100"/>
        <w:jc w:val="center"/>
        <w:rPr>
          <w:rFonts w:hint="eastAsia"/>
          <w:sz w:val="21"/>
          <w:szCs w:val="21"/>
        </w:rPr>
      </w:pPr>
      <w:r>
        <w:rPr>
          <w:rFonts w:hint="eastAsia"/>
          <w:sz w:val="21"/>
          <w:szCs w:val="21"/>
        </w:rPr>
        <w:t>Ⅴ</w:t>
      </w:r>
      <w:r>
        <w:rPr>
          <w:sz w:val="21"/>
          <w:szCs w:val="21"/>
        </w:rPr>
        <w:t xml:space="preserve">  </w:t>
      </w:r>
      <w:r>
        <w:rPr>
          <w:rFonts w:hint="eastAsia"/>
          <w:sz w:val="21"/>
          <w:szCs w:val="21"/>
        </w:rPr>
        <w:t>科技创新</w:t>
      </w:r>
    </w:p>
    <w:p w14:paraId="76712806">
      <w:pPr>
        <w:jc w:val="left"/>
        <w:outlineLvl w:val="1"/>
        <w:rPr>
          <w:rFonts w:hint="eastAsia"/>
          <w:sz w:val="21"/>
          <w:szCs w:val="21"/>
        </w:rPr>
      </w:pPr>
      <w:bookmarkStart w:id="166" w:name="_Toc23451"/>
      <w:bookmarkStart w:id="167" w:name="_Toc11902"/>
      <w:r>
        <w:rPr>
          <w:rFonts w:hint="eastAsia" w:ascii="黑体" w:hAnsi="黑体" w:eastAsia="黑体" w:cs="黑体"/>
          <w:sz w:val="21"/>
          <w:szCs w:val="21"/>
          <w:lang w:val="en-US" w:eastAsia="zh-CN"/>
        </w:rPr>
        <w:t>6.3.5</w:t>
      </w:r>
      <w:r>
        <w:rPr>
          <w:sz w:val="21"/>
          <w:szCs w:val="21"/>
        </w:rPr>
        <w:t xml:space="preserve">  </w:t>
      </w:r>
      <w:r>
        <w:rPr>
          <w:rFonts w:hint="eastAsia"/>
          <w:sz w:val="21"/>
          <w:szCs w:val="21"/>
        </w:rPr>
        <w:t>科技创新评</w:t>
      </w:r>
      <w:r>
        <w:rPr>
          <w:sz w:val="21"/>
          <w:szCs w:val="21"/>
        </w:rPr>
        <w:t>价应包括以下内容：</w:t>
      </w:r>
      <w:bookmarkEnd w:id="166"/>
      <w:bookmarkEnd w:id="167"/>
    </w:p>
    <w:p w14:paraId="6E197353">
      <w:pPr>
        <w:ind w:firstLine="420" w:firstLineChars="200"/>
        <w:jc w:val="left"/>
        <w:outlineLvl w:val="0"/>
        <w:rPr>
          <w:rFonts w:hint="eastAsia"/>
          <w:sz w:val="21"/>
          <w:szCs w:val="21"/>
        </w:rPr>
      </w:pPr>
      <w:bookmarkStart w:id="168" w:name="_Toc32314"/>
      <w:bookmarkStart w:id="169" w:name="_Toc28469"/>
      <w:r>
        <w:rPr>
          <w:sz w:val="21"/>
          <w:szCs w:val="21"/>
        </w:rPr>
        <w:t xml:space="preserve">1  </w:t>
      </w:r>
      <w:r>
        <w:rPr>
          <w:rFonts w:hint="eastAsia"/>
          <w:sz w:val="21"/>
          <w:szCs w:val="21"/>
        </w:rPr>
        <w:t>理念创新、体现人与自然和谐共生的可持续发展理念。</w:t>
      </w:r>
      <w:bookmarkEnd w:id="168"/>
      <w:bookmarkEnd w:id="169"/>
      <w:r>
        <w:rPr>
          <w:sz w:val="21"/>
          <w:szCs w:val="21"/>
        </w:rPr>
        <w:t xml:space="preserve"> </w:t>
      </w:r>
    </w:p>
    <w:p w14:paraId="616A2ED0">
      <w:pPr>
        <w:ind w:firstLine="420" w:firstLineChars="200"/>
        <w:jc w:val="left"/>
        <w:rPr>
          <w:rFonts w:hint="eastAsia"/>
          <w:sz w:val="21"/>
          <w:szCs w:val="21"/>
        </w:rPr>
      </w:pPr>
      <w:r>
        <w:rPr>
          <w:sz w:val="21"/>
          <w:szCs w:val="21"/>
        </w:rPr>
        <w:t xml:space="preserve">2  </w:t>
      </w:r>
      <w:r>
        <w:rPr>
          <w:rFonts w:hint="eastAsia"/>
          <w:sz w:val="21"/>
          <w:szCs w:val="21"/>
        </w:rPr>
        <w:t>设计过程中采取自主研发的新技术、新工艺、新流程、新材料、新装备、新产品等。</w:t>
      </w:r>
      <w:r>
        <w:rPr>
          <w:sz w:val="21"/>
          <w:szCs w:val="21"/>
        </w:rPr>
        <w:t xml:space="preserve"> </w:t>
      </w:r>
    </w:p>
    <w:p w14:paraId="4192BE8C">
      <w:pPr>
        <w:ind w:firstLine="420" w:firstLineChars="200"/>
        <w:jc w:val="left"/>
        <w:rPr>
          <w:rFonts w:hint="eastAsia"/>
          <w:sz w:val="21"/>
          <w:szCs w:val="21"/>
        </w:rPr>
      </w:pPr>
      <w:r>
        <w:rPr>
          <w:sz w:val="21"/>
          <w:szCs w:val="21"/>
        </w:rPr>
        <w:t xml:space="preserve">3  </w:t>
      </w:r>
      <w:r>
        <w:rPr>
          <w:rFonts w:hint="eastAsia"/>
          <w:sz w:val="21"/>
          <w:szCs w:val="21"/>
        </w:rPr>
        <w:t>依托本工程取得的创新成果（课题、专利、专有技术、奖项、竞赛活动成果、国家示范试点、参编标准、期刊论文等），填补国内空白或达到国内领先水平。</w:t>
      </w:r>
    </w:p>
    <w:p w14:paraId="35A4EAA9">
      <w:pPr>
        <w:spacing w:before="120" w:beforeLines="50" w:after="240" w:afterLines="100"/>
        <w:jc w:val="center"/>
        <w:outlineLvl w:val="1"/>
        <w:rPr>
          <w:rFonts w:hint="eastAsia"/>
          <w:sz w:val="21"/>
          <w:szCs w:val="21"/>
        </w:rPr>
      </w:pPr>
      <w:bookmarkStart w:id="170" w:name="_Toc174141243"/>
      <w:bookmarkStart w:id="171" w:name="_Toc25124"/>
      <w:bookmarkStart w:id="172" w:name="_Toc15088"/>
      <w:r>
        <w:rPr>
          <w:rFonts w:hint="eastAsia" w:ascii="黑体" w:hAnsi="黑体" w:eastAsia="黑体" w:cs="黑体"/>
          <w:sz w:val="21"/>
          <w:szCs w:val="21"/>
          <w:lang w:val="en-US" w:eastAsia="zh-CN"/>
        </w:rPr>
        <w:t>6.4</w:t>
      </w:r>
      <w:r>
        <w:rPr>
          <w:sz w:val="21"/>
          <w:szCs w:val="21"/>
        </w:rPr>
        <w:t xml:space="preserve">  </w:t>
      </w:r>
      <w:r>
        <w:rPr>
          <w:rFonts w:hint="eastAsia"/>
          <w:sz w:val="21"/>
          <w:szCs w:val="21"/>
        </w:rPr>
        <w:t>太阳能发电工程</w:t>
      </w:r>
      <w:bookmarkEnd w:id="170"/>
      <w:bookmarkEnd w:id="171"/>
      <w:bookmarkEnd w:id="172"/>
    </w:p>
    <w:p w14:paraId="12CB1B28">
      <w:pPr>
        <w:spacing w:before="120" w:beforeLines="50" w:after="240" w:afterLines="100"/>
        <w:jc w:val="center"/>
        <w:rPr>
          <w:rFonts w:hint="eastAsia"/>
          <w:sz w:val="21"/>
          <w:szCs w:val="21"/>
        </w:rPr>
      </w:pPr>
      <w:r>
        <w:rPr>
          <w:rFonts w:hint="eastAsia"/>
          <w:sz w:val="21"/>
          <w:szCs w:val="21"/>
        </w:rPr>
        <w:t xml:space="preserve">Ⅰ </w:t>
      </w:r>
      <w:r>
        <w:rPr>
          <w:sz w:val="21"/>
          <w:szCs w:val="21"/>
        </w:rPr>
        <w:t xml:space="preserve"> </w:t>
      </w:r>
      <w:r>
        <w:rPr>
          <w:rFonts w:hint="eastAsia"/>
          <w:sz w:val="21"/>
          <w:szCs w:val="21"/>
        </w:rPr>
        <w:t>技术</w:t>
      </w:r>
      <w:r>
        <w:rPr>
          <w:sz w:val="21"/>
          <w:szCs w:val="21"/>
        </w:rPr>
        <w:t>先进</w:t>
      </w:r>
    </w:p>
    <w:p w14:paraId="14DD8522">
      <w:pPr>
        <w:spacing w:before="120" w:beforeLines="50" w:after="120" w:afterLines="50"/>
        <w:jc w:val="left"/>
        <w:outlineLvl w:val="2"/>
        <w:rPr>
          <w:rFonts w:hint="eastAsia"/>
          <w:sz w:val="21"/>
          <w:szCs w:val="21"/>
        </w:rPr>
      </w:pPr>
      <w:bookmarkStart w:id="173" w:name="_Toc14723"/>
      <w:r>
        <w:rPr>
          <w:rFonts w:hint="eastAsia" w:ascii="黑体" w:hAnsi="黑体" w:eastAsia="黑体" w:cs="黑体"/>
          <w:sz w:val="21"/>
          <w:szCs w:val="21"/>
          <w:lang w:val="en-US" w:eastAsia="zh-CN"/>
        </w:rPr>
        <w:t>6.4.1</w:t>
      </w:r>
      <w:r>
        <w:rPr>
          <w:sz w:val="21"/>
          <w:szCs w:val="21"/>
        </w:rPr>
        <w:t xml:space="preserve">  </w:t>
      </w:r>
      <w:r>
        <w:rPr>
          <w:rFonts w:hint="eastAsia"/>
          <w:sz w:val="21"/>
          <w:szCs w:val="21"/>
        </w:rPr>
        <w:t>技术先进评价应包括以下内容：</w:t>
      </w:r>
      <w:bookmarkEnd w:id="173"/>
    </w:p>
    <w:p w14:paraId="1149144A">
      <w:pPr>
        <w:ind w:firstLine="420" w:firstLineChars="200"/>
        <w:rPr>
          <w:rFonts w:hint="eastAsia"/>
          <w:sz w:val="21"/>
          <w:szCs w:val="21"/>
        </w:rPr>
      </w:pPr>
      <w:r>
        <w:rPr>
          <w:sz w:val="21"/>
          <w:szCs w:val="21"/>
        </w:rPr>
        <w:t xml:space="preserve">1  </w:t>
      </w:r>
      <w:r>
        <w:rPr>
          <w:rFonts w:hint="eastAsia"/>
          <w:sz w:val="21"/>
          <w:szCs w:val="21"/>
        </w:rPr>
        <w:t>电站选址合理，交通便利，送出条件优越，与当地规划协调统一。</w:t>
      </w:r>
    </w:p>
    <w:p w14:paraId="3B9C116E">
      <w:pPr>
        <w:ind w:firstLine="420" w:firstLineChars="200"/>
        <w:rPr>
          <w:rFonts w:hint="eastAsia"/>
          <w:sz w:val="21"/>
          <w:szCs w:val="21"/>
        </w:rPr>
      </w:pPr>
      <w:r>
        <w:rPr>
          <w:sz w:val="21"/>
          <w:szCs w:val="21"/>
        </w:rPr>
        <w:t xml:space="preserve">2  </w:t>
      </w:r>
      <w:r>
        <w:rPr>
          <w:rFonts w:hint="eastAsia"/>
          <w:sz w:val="21"/>
          <w:szCs w:val="21"/>
        </w:rPr>
        <w:t>电站总平面布置科学、合理；场内输电线路路径合理，应合理避让建（构）筑物，安全距离应符合规范。</w:t>
      </w:r>
    </w:p>
    <w:p w14:paraId="6D558BCA">
      <w:pPr>
        <w:ind w:firstLine="420" w:firstLineChars="200"/>
        <w:rPr>
          <w:rFonts w:hint="eastAsia"/>
          <w:sz w:val="21"/>
          <w:szCs w:val="21"/>
        </w:rPr>
      </w:pPr>
      <w:r>
        <w:rPr>
          <w:sz w:val="21"/>
          <w:szCs w:val="21"/>
        </w:rPr>
        <w:t xml:space="preserve">3  </w:t>
      </w:r>
      <w:r>
        <w:rPr>
          <w:rFonts w:hint="eastAsia"/>
          <w:sz w:val="21"/>
          <w:szCs w:val="21"/>
        </w:rPr>
        <w:t>建（构）筑物布局合理，建筑功能分区明确，可利用率高，采光良好。</w:t>
      </w:r>
    </w:p>
    <w:p w14:paraId="05E0B4A1">
      <w:pPr>
        <w:ind w:firstLine="420" w:firstLineChars="200"/>
        <w:rPr>
          <w:rFonts w:hint="eastAsia"/>
          <w:sz w:val="21"/>
          <w:szCs w:val="21"/>
        </w:rPr>
      </w:pPr>
      <w:r>
        <w:rPr>
          <w:sz w:val="21"/>
          <w:szCs w:val="21"/>
        </w:rPr>
        <w:t xml:space="preserve">4  建（构）筑物空间布置紧凑可行，屋面、围护结构、装饰装修、绿化、照明等布置合理。 </w:t>
      </w:r>
    </w:p>
    <w:p w14:paraId="187E3BDD">
      <w:pPr>
        <w:ind w:firstLine="420" w:firstLineChars="200"/>
        <w:rPr>
          <w:rFonts w:hint="eastAsia"/>
          <w:sz w:val="21"/>
          <w:szCs w:val="21"/>
        </w:rPr>
      </w:pPr>
      <w:r>
        <w:rPr>
          <w:sz w:val="21"/>
          <w:szCs w:val="21"/>
        </w:rPr>
        <w:t xml:space="preserve">5  </w:t>
      </w:r>
      <w:r>
        <w:rPr>
          <w:rFonts w:hint="eastAsia"/>
          <w:sz w:val="21"/>
          <w:szCs w:val="21"/>
        </w:rPr>
        <w:t>采用先进适用技术或重大技术措施，与同类型工程相比发电效率有明显提升。</w:t>
      </w:r>
    </w:p>
    <w:p w14:paraId="3DCB49AE">
      <w:pPr>
        <w:ind w:firstLine="420" w:firstLineChars="200"/>
        <w:outlineLvl w:val="0"/>
        <w:rPr>
          <w:rFonts w:hint="eastAsia"/>
          <w:sz w:val="21"/>
          <w:szCs w:val="21"/>
        </w:rPr>
      </w:pPr>
      <w:bookmarkStart w:id="174" w:name="_Toc14019"/>
      <w:bookmarkStart w:id="175" w:name="_Toc29198"/>
      <w:r>
        <w:rPr>
          <w:sz w:val="21"/>
          <w:szCs w:val="21"/>
        </w:rPr>
        <w:t>6  电站采用太阳能自供电、自供热技术提供能源。</w:t>
      </w:r>
      <w:bookmarkEnd w:id="174"/>
      <w:bookmarkEnd w:id="175"/>
    </w:p>
    <w:p w14:paraId="3AD65B1F">
      <w:pPr>
        <w:ind w:firstLine="420" w:firstLineChars="200"/>
        <w:rPr>
          <w:rFonts w:hint="eastAsia"/>
          <w:sz w:val="21"/>
          <w:szCs w:val="21"/>
        </w:rPr>
      </w:pPr>
      <w:r>
        <w:rPr>
          <w:sz w:val="21"/>
          <w:szCs w:val="21"/>
        </w:rPr>
        <w:t xml:space="preserve">7  </w:t>
      </w:r>
      <w:r>
        <w:rPr>
          <w:rFonts w:hint="eastAsia"/>
          <w:sz w:val="21"/>
          <w:szCs w:val="21"/>
        </w:rPr>
        <w:t>电气系统具有灵活性、可扩性、实用性和安全性，选用节能型电气设备和产品，能有效降低电量损耗。</w:t>
      </w:r>
    </w:p>
    <w:p w14:paraId="4C7295F8">
      <w:pPr>
        <w:ind w:firstLine="420" w:firstLineChars="200"/>
        <w:rPr>
          <w:rFonts w:hint="eastAsia"/>
          <w:sz w:val="21"/>
          <w:szCs w:val="21"/>
        </w:rPr>
      </w:pPr>
      <w:r>
        <w:rPr>
          <w:sz w:val="21"/>
          <w:szCs w:val="21"/>
        </w:rPr>
        <w:t xml:space="preserve">8  </w:t>
      </w:r>
      <w:r>
        <w:rPr>
          <w:rFonts w:hint="eastAsia"/>
          <w:sz w:val="21"/>
          <w:szCs w:val="21"/>
        </w:rPr>
        <w:t>二次系统智能化程度高，二次设备动作率、准确率达到</w:t>
      </w:r>
      <w:r>
        <w:rPr>
          <w:sz w:val="21"/>
          <w:szCs w:val="21"/>
        </w:rPr>
        <w:t>100%，电能质量满足并网运行要求。</w:t>
      </w:r>
    </w:p>
    <w:p w14:paraId="62F01F89">
      <w:pPr>
        <w:ind w:firstLine="420" w:firstLineChars="200"/>
        <w:rPr>
          <w:rFonts w:hint="eastAsia"/>
          <w:sz w:val="21"/>
          <w:szCs w:val="21"/>
        </w:rPr>
      </w:pPr>
      <w:r>
        <w:rPr>
          <w:sz w:val="21"/>
          <w:szCs w:val="21"/>
        </w:rPr>
        <w:t xml:space="preserve">9  </w:t>
      </w:r>
      <w:r>
        <w:rPr>
          <w:rFonts w:hint="eastAsia"/>
          <w:sz w:val="21"/>
          <w:szCs w:val="21"/>
        </w:rPr>
        <w:t>电站效率、年利用小时数、年均发电量、厂用电率等技术指标在国内同期同类项目中处于先进水平。</w:t>
      </w:r>
      <w:r>
        <w:rPr>
          <w:sz w:val="21"/>
          <w:szCs w:val="21"/>
        </w:rPr>
        <w:t xml:space="preserve"> </w:t>
      </w:r>
    </w:p>
    <w:p w14:paraId="30F6BFCF">
      <w:pPr>
        <w:ind w:firstLine="420" w:firstLineChars="200"/>
        <w:rPr>
          <w:rFonts w:hint="eastAsia"/>
          <w:sz w:val="21"/>
          <w:szCs w:val="21"/>
        </w:rPr>
      </w:pPr>
      <w:r>
        <w:rPr>
          <w:sz w:val="21"/>
          <w:szCs w:val="21"/>
        </w:rPr>
        <w:t>10  采用先进的设计思路和方法，为绿色施工创造便利条件，取得良好效果。</w:t>
      </w:r>
    </w:p>
    <w:p w14:paraId="05293767">
      <w:pPr>
        <w:ind w:firstLine="420" w:firstLineChars="200"/>
        <w:rPr>
          <w:rFonts w:hint="eastAsia"/>
          <w:sz w:val="21"/>
          <w:szCs w:val="21"/>
        </w:rPr>
      </w:pPr>
      <w:r>
        <w:rPr>
          <w:sz w:val="21"/>
          <w:szCs w:val="21"/>
        </w:rPr>
        <w:t xml:space="preserve">11  </w:t>
      </w:r>
      <w:r>
        <w:rPr>
          <w:rFonts w:hint="eastAsia"/>
          <w:sz w:val="21"/>
          <w:szCs w:val="21"/>
        </w:rPr>
        <w:t>水上光伏发电项目浮体材料稳定性和耐久性良好；光伏组件效率、逆变器转化效率及年衰减率指标领先；采用的自动跟踪系统跟踪精度不大于</w:t>
      </w:r>
      <w:r>
        <w:rPr>
          <w:sz w:val="21"/>
          <w:szCs w:val="21"/>
        </w:rPr>
        <w:t>1°。</w:t>
      </w:r>
    </w:p>
    <w:p w14:paraId="193F1DAC">
      <w:pPr>
        <w:ind w:firstLine="420" w:firstLineChars="200"/>
        <w:rPr>
          <w:rFonts w:hint="eastAsia"/>
          <w:sz w:val="21"/>
          <w:szCs w:val="21"/>
        </w:rPr>
      </w:pPr>
      <w:r>
        <w:rPr>
          <w:sz w:val="21"/>
          <w:szCs w:val="21"/>
        </w:rPr>
        <w:t xml:space="preserve">12  </w:t>
      </w:r>
      <w:r>
        <w:rPr>
          <w:rFonts w:hint="eastAsia"/>
          <w:sz w:val="21"/>
          <w:szCs w:val="21"/>
        </w:rPr>
        <w:t>陆上光伏发电项目光伏组件、逆变器、汇流箱、箱变等设备布置科学。光伏组件效率、逆变器转化效率及年衰减率指标领先；采用的自动跟踪系统跟踪精度不大于</w:t>
      </w:r>
      <w:r>
        <w:rPr>
          <w:sz w:val="21"/>
          <w:szCs w:val="21"/>
        </w:rPr>
        <w:t>1°。</w:t>
      </w:r>
    </w:p>
    <w:p w14:paraId="25620C41">
      <w:pPr>
        <w:ind w:firstLine="420" w:firstLineChars="200"/>
        <w:rPr>
          <w:rFonts w:hint="eastAsia"/>
          <w:sz w:val="21"/>
          <w:szCs w:val="21"/>
        </w:rPr>
      </w:pPr>
      <w:r>
        <w:rPr>
          <w:sz w:val="21"/>
          <w:szCs w:val="21"/>
        </w:rPr>
        <w:t>13  光热发电站集热场布置紧凑，定日镜、吸热器等设备布置科学；集热场聚光、集热器等设备效率高；采用高功率跟踪精度不大于1°的定日镜，集热器及储能系统效率符合要求。</w:t>
      </w:r>
    </w:p>
    <w:p w14:paraId="3D7CD901">
      <w:pPr>
        <w:spacing w:before="120" w:beforeLines="50" w:after="240" w:afterLines="100"/>
        <w:jc w:val="center"/>
        <w:rPr>
          <w:rFonts w:hint="eastAsia"/>
          <w:sz w:val="21"/>
          <w:szCs w:val="21"/>
        </w:rPr>
      </w:pPr>
      <w:r>
        <w:rPr>
          <w:rFonts w:hint="eastAsia"/>
          <w:sz w:val="21"/>
          <w:szCs w:val="21"/>
        </w:rPr>
        <w:t>Ⅱ</w:t>
      </w:r>
      <w:r>
        <w:rPr>
          <w:sz w:val="21"/>
          <w:szCs w:val="21"/>
        </w:rPr>
        <w:t xml:space="preserve">  </w:t>
      </w:r>
      <w:r>
        <w:rPr>
          <w:rFonts w:hint="eastAsia"/>
          <w:sz w:val="21"/>
          <w:szCs w:val="21"/>
        </w:rPr>
        <w:t>资源节约</w:t>
      </w:r>
    </w:p>
    <w:p w14:paraId="799DC876">
      <w:pPr>
        <w:outlineLvl w:val="1"/>
        <w:rPr>
          <w:rFonts w:hint="eastAsia"/>
          <w:sz w:val="21"/>
          <w:szCs w:val="21"/>
        </w:rPr>
      </w:pPr>
      <w:bookmarkStart w:id="176" w:name="_Toc20187"/>
      <w:bookmarkStart w:id="177" w:name="_Toc29172"/>
      <w:r>
        <w:rPr>
          <w:rFonts w:hint="eastAsia" w:ascii="黑体" w:hAnsi="黑体" w:eastAsia="黑体" w:cs="黑体"/>
          <w:sz w:val="21"/>
          <w:szCs w:val="21"/>
          <w:lang w:val="en-US" w:eastAsia="zh-CN"/>
        </w:rPr>
        <w:t>6.4.2</w:t>
      </w:r>
      <w:r>
        <w:rPr>
          <w:sz w:val="21"/>
          <w:szCs w:val="21"/>
        </w:rPr>
        <w:t xml:space="preserve">  </w:t>
      </w:r>
      <w:r>
        <w:rPr>
          <w:rFonts w:hint="eastAsia"/>
          <w:sz w:val="21"/>
          <w:szCs w:val="21"/>
        </w:rPr>
        <w:t>资源节约评</w:t>
      </w:r>
      <w:r>
        <w:rPr>
          <w:sz w:val="21"/>
          <w:szCs w:val="21"/>
        </w:rPr>
        <w:t>价应包括以下内容：</w:t>
      </w:r>
      <w:bookmarkEnd w:id="176"/>
      <w:bookmarkEnd w:id="177"/>
    </w:p>
    <w:p w14:paraId="3520538D">
      <w:pPr>
        <w:ind w:firstLine="420" w:firstLineChars="200"/>
        <w:outlineLvl w:val="0"/>
        <w:rPr>
          <w:rFonts w:hint="eastAsia"/>
          <w:sz w:val="21"/>
          <w:szCs w:val="21"/>
        </w:rPr>
      </w:pPr>
      <w:bookmarkStart w:id="178" w:name="_Toc18750"/>
      <w:bookmarkStart w:id="179" w:name="_Toc17590"/>
      <w:r>
        <w:rPr>
          <w:sz w:val="21"/>
          <w:szCs w:val="21"/>
        </w:rPr>
        <w:t xml:space="preserve">1  </w:t>
      </w:r>
      <w:r>
        <w:rPr>
          <w:rFonts w:hint="eastAsia"/>
          <w:sz w:val="21"/>
          <w:szCs w:val="21"/>
        </w:rPr>
        <w:t>电站总平面布置科学，优化布局，用地面积指标先进。</w:t>
      </w:r>
      <w:bookmarkEnd w:id="178"/>
      <w:bookmarkEnd w:id="179"/>
    </w:p>
    <w:p w14:paraId="3432054A">
      <w:pPr>
        <w:ind w:firstLine="420" w:firstLineChars="200"/>
        <w:rPr>
          <w:rFonts w:hint="eastAsia"/>
          <w:sz w:val="21"/>
          <w:szCs w:val="21"/>
        </w:rPr>
      </w:pPr>
      <w:r>
        <w:rPr>
          <w:sz w:val="21"/>
          <w:szCs w:val="21"/>
        </w:rPr>
        <w:t xml:space="preserve">2  </w:t>
      </w:r>
      <w:r>
        <w:rPr>
          <w:rFonts w:hint="eastAsia"/>
          <w:sz w:val="21"/>
          <w:szCs w:val="21"/>
        </w:rPr>
        <w:t>电站设备布置紧凑，电缆走向、路径合理；场内集电线路路径短捷顺畅。</w:t>
      </w:r>
    </w:p>
    <w:p w14:paraId="7E01C324">
      <w:pPr>
        <w:ind w:firstLine="420" w:firstLineChars="200"/>
        <w:outlineLvl w:val="0"/>
        <w:rPr>
          <w:rFonts w:hint="eastAsia"/>
          <w:sz w:val="21"/>
          <w:szCs w:val="21"/>
        </w:rPr>
      </w:pPr>
      <w:bookmarkStart w:id="180" w:name="_Toc31617"/>
      <w:bookmarkStart w:id="181" w:name="_Toc30514"/>
      <w:r>
        <w:rPr>
          <w:sz w:val="21"/>
          <w:szCs w:val="21"/>
        </w:rPr>
        <w:t xml:space="preserve">3  </w:t>
      </w:r>
      <w:r>
        <w:rPr>
          <w:rFonts w:hint="eastAsia"/>
          <w:sz w:val="21"/>
          <w:szCs w:val="21"/>
        </w:rPr>
        <w:t>变电站布置紧凑合理，占地面积、容积率指标先进。</w:t>
      </w:r>
      <w:bookmarkEnd w:id="180"/>
      <w:bookmarkEnd w:id="181"/>
    </w:p>
    <w:p w14:paraId="24A8456C">
      <w:pPr>
        <w:ind w:firstLine="420" w:firstLineChars="200"/>
        <w:rPr>
          <w:rFonts w:hint="eastAsia"/>
          <w:sz w:val="21"/>
          <w:szCs w:val="21"/>
        </w:rPr>
      </w:pPr>
      <w:r>
        <w:rPr>
          <w:sz w:val="21"/>
          <w:szCs w:val="21"/>
        </w:rPr>
        <w:t xml:space="preserve">4  </w:t>
      </w:r>
      <w:r>
        <w:rPr>
          <w:rFonts w:hint="eastAsia"/>
          <w:sz w:val="21"/>
          <w:szCs w:val="21"/>
        </w:rPr>
        <w:t>建筑物布置简约、集约，扩大联合。性质和功能相同或相近的建（构）筑物采用联合建筑，永久建筑和临时建筑结合，节约用地。</w:t>
      </w:r>
    </w:p>
    <w:p w14:paraId="667C1820">
      <w:pPr>
        <w:ind w:firstLine="420" w:firstLineChars="200"/>
        <w:rPr>
          <w:rFonts w:hint="eastAsia"/>
          <w:sz w:val="21"/>
          <w:szCs w:val="21"/>
        </w:rPr>
      </w:pPr>
      <w:r>
        <w:rPr>
          <w:sz w:val="21"/>
          <w:szCs w:val="21"/>
        </w:rPr>
        <w:t xml:space="preserve">5  </w:t>
      </w:r>
      <w:r>
        <w:rPr>
          <w:rFonts w:hint="eastAsia"/>
          <w:sz w:val="21"/>
          <w:szCs w:val="21"/>
        </w:rPr>
        <w:t>采用节能、变频、高效率设备，降低损耗、提高效率</w:t>
      </w:r>
      <w:r>
        <w:rPr>
          <w:sz w:val="21"/>
          <w:szCs w:val="21"/>
        </w:rPr>
        <w:t>.</w:t>
      </w:r>
    </w:p>
    <w:p w14:paraId="41B65FF0">
      <w:pPr>
        <w:ind w:firstLine="420" w:firstLineChars="200"/>
        <w:rPr>
          <w:rFonts w:hint="eastAsia"/>
          <w:sz w:val="21"/>
          <w:szCs w:val="21"/>
        </w:rPr>
      </w:pPr>
      <w:r>
        <w:rPr>
          <w:sz w:val="21"/>
          <w:szCs w:val="21"/>
        </w:rPr>
        <w:t xml:space="preserve">6  </w:t>
      </w:r>
      <w:r>
        <w:rPr>
          <w:rFonts w:hint="eastAsia"/>
          <w:sz w:val="21"/>
          <w:szCs w:val="21"/>
        </w:rPr>
        <w:t>节能管理措施到位，配备完善的能源计量仪表。</w:t>
      </w:r>
    </w:p>
    <w:p w14:paraId="0C8B4BA3">
      <w:pPr>
        <w:ind w:firstLine="420" w:firstLineChars="200"/>
        <w:rPr>
          <w:rFonts w:hint="eastAsia"/>
          <w:sz w:val="21"/>
          <w:szCs w:val="21"/>
        </w:rPr>
      </w:pPr>
      <w:r>
        <w:rPr>
          <w:sz w:val="21"/>
          <w:szCs w:val="21"/>
        </w:rPr>
        <w:t xml:space="preserve">7  </w:t>
      </w:r>
      <w:r>
        <w:rPr>
          <w:rFonts w:hint="eastAsia"/>
          <w:sz w:val="21"/>
          <w:szCs w:val="21"/>
        </w:rPr>
        <w:t>电站给排水系统、污水处理系统和雨水收集等设计科学合理，管线、阀门、表计等布置合理。</w:t>
      </w:r>
    </w:p>
    <w:p w14:paraId="56E170B3">
      <w:pPr>
        <w:ind w:firstLine="420" w:firstLineChars="200"/>
        <w:rPr>
          <w:rFonts w:hint="eastAsia"/>
          <w:sz w:val="21"/>
          <w:szCs w:val="21"/>
        </w:rPr>
      </w:pPr>
      <w:r>
        <w:rPr>
          <w:sz w:val="21"/>
          <w:szCs w:val="21"/>
        </w:rPr>
        <w:t xml:space="preserve">8  </w:t>
      </w:r>
      <w:r>
        <w:rPr>
          <w:rFonts w:hint="eastAsia"/>
          <w:sz w:val="21"/>
          <w:szCs w:val="21"/>
        </w:rPr>
        <w:t>电厂雨水控制及利用（收集回用、土壤入渗、调蓄排放）专项设计，效果显著。</w:t>
      </w:r>
    </w:p>
    <w:p w14:paraId="21AD5D9E">
      <w:pPr>
        <w:ind w:firstLine="420" w:firstLineChars="200"/>
        <w:rPr>
          <w:rFonts w:hint="eastAsia"/>
          <w:sz w:val="21"/>
          <w:szCs w:val="21"/>
        </w:rPr>
      </w:pPr>
      <w:r>
        <w:rPr>
          <w:sz w:val="21"/>
          <w:szCs w:val="21"/>
        </w:rPr>
        <w:t xml:space="preserve">9  </w:t>
      </w:r>
      <w:r>
        <w:rPr>
          <w:rFonts w:hint="eastAsia"/>
          <w:sz w:val="21"/>
          <w:szCs w:val="21"/>
        </w:rPr>
        <w:t>选用节能建筑材料，统筹考虑工程耐久性和</w:t>
      </w:r>
      <w:r>
        <w:rPr>
          <w:sz w:val="21"/>
          <w:szCs w:val="21"/>
        </w:rPr>
        <w:t>可持续性，采用高强度、高性能、高耐久性和</w:t>
      </w:r>
      <w:r>
        <w:rPr>
          <w:rFonts w:hint="eastAsia"/>
          <w:sz w:val="21"/>
          <w:szCs w:val="21"/>
        </w:rPr>
        <w:t>可循环材料以及先进适用技术体系。</w:t>
      </w:r>
    </w:p>
    <w:p w14:paraId="12ED4108">
      <w:pPr>
        <w:ind w:firstLine="420" w:firstLineChars="200"/>
        <w:rPr>
          <w:rFonts w:hint="eastAsia"/>
          <w:sz w:val="21"/>
          <w:szCs w:val="21"/>
        </w:rPr>
      </w:pPr>
      <w:r>
        <w:rPr>
          <w:sz w:val="21"/>
          <w:szCs w:val="21"/>
        </w:rPr>
        <w:t xml:space="preserve">10  </w:t>
      </w:r>
      <w:r>
        <w:rPr>
          <w:rFonts w:hint="eastAsia"/>
          <w:sz w:val="21"/>
          <w:szCs w:val="21"/>
        </w:rPr>
        <w:t>建筑热工（屋面、楼面、围护结构）、建筑采光及通风设计合理，建筑节能降耗措施先进。</w:t>
      </w:r>
      <w:r>
        <w:rPr>
          <w:sz w:val="21"/>
          <w:szCs w:val="21"/>
        </w:rPr>
        <w:t xml:space="preserve"> </w:t>
      </w:r>
    </w:p>
    <w:p w14:paraId="32E48016">
      <w:pPr>
        <w:ind w:firstLine="420" w:firstLineChars="200"/>
        <w:rPr>
          <w:rFonts w:hint="eastAsia"/>
          <w:sz w:val="21"/>
          <w:szCs w:val="21"/>
        </w:rPr>
      </w:pPr>
      <w:r>
        <w:rPr>
          <w:sz w:val="21"/>
          <w:szCs w:val="21"/>
        </w:rPr>
        <w:t xml:space="preserve">11  </w:t>
      </w:r>
      <w:r>
        <w:rPr>
          <w:rFonts w:hint="eastAsia"/>
          <w:sz w:val="21"/>
          <w:szCs w:val="21"/>
        </w:rPr>
        <w:t>生产办公楼采用装配式技术，生产建筑积极采用工厂化预制构件。</w:t>
      </w:r>
    </w:p>
    <w:p w14:paraId="03129DF8">
      <w:pPr>
        <w:spacing w:before="120" w:beforeLines="50" w:after="240" w:afterLines="100"/>
        <w:jc w:val="center"/>
        <w:rPr>
          <w:rFonts w:hint="eastAsia"/>
          <w:sz w:val="21"/>
          <w:szCs w:val="21"/>
        </w:rPr>
      </w:pPr>
      <w:r>
        <w:rPr>
          <w:rFonts w:hint="eastAsia"/>
          <w:sz w:val="21"/>
          <w:szCs w:val="21"/>
        </w:rPr>
        <w:t>Ⅲ</w:t>
      </w:r>
      <w:r>
        <w:rPr>
          <w:sz w:val="21"/>
          <w:szCs w:val="21"/>
        </w:rPr>
        <w:t xml:space="preserve">  </w:t>
      </w:r>
      <w:r>
        <w:rPr>
          <w:rFonts w:hint="eastAsia"/>
          <w:sz w:val="21"/>
          <w:szCs w:val="21"/>
        </w:rPr>
        <w:t>生态环保</w:t>
      </w:r>
    </w:p>
    <w:p w14:paraId="7C42DBA0">
      <w:pPr>
        <w:outlineLvl w:val="1"/>
        <w:rPr>
          <w:rFonts w:hint="eastAsia"/>
          <w:sz w:val="21"/>
          <w:szCs w:val="21"/>
        </w:rPr>
      </w:pPr>
      <w:bookmarkStart w:id="182" w:name="_Toc1056"/>
      <w:bookmarkStart w:id="183" w:name="_Toc13927"/>
      <w:r>
        <w:rPr>
          <w:rFonts w:hint="eastAsia" w:ascii="黑体" w:hAnsi="黑体" w:eastAsia="黑体" w:cs="黑体"/>
          <w:sz w:val="21"/>
          <w:szCs w:val="21"/>
          <w:lang w:val="en-US" w:eastAsia="zh-CN"/>
        </w:rPr>
        <w:t>6.4.1</w:t>
      </w:r>
      <w:r>
        <w:rPr>
          <w:sz w:val="21"/>
          <w:szCs w:val="21"/>
        </w:rPr>
        <w:t xml:space="preserve">  </w:t>
      </w:r>
      <w:r>
        <w:rPr>
          <w:rFonts w:hint="eastAsia"/>
          <w:sz w:val="21"/>
          <w:szCs w:val="21"/>
        </w:rPr>
        <w:t>生态环保评</w:t>
      </w:r>
      <w:r>
        <w:rPr>
          <w:sz w:val="21"/>
          <w:szCs w:val="21"/>
        </w:rPr>
        <w:t>价应包括以下内容：</w:t>
      </w:r>
      <w:bookmarkEnd w:id="182"/>
      <w:bookmarkEnd w:id="183"/>
    </w:p>
    <w:p w14:paraId="2BF09399">
      <w:pPr>
        <w:ind w:firstLine="420" w:firstLineChars="200"/>
        <w:rPr>
          <w:rFonts w:hint="eastAsia"/>
          <w:sz w:val="21"/>
          <w:szCs w:val="21"/>
        </w:rPr>
      </w:pPr>
      <w:r>
        <w:rPr>
          <w:sz w:val="21"/>
          <w:szCs w:val="21"/>
        </w:rPr>
        <w:t xml:space="preserve">1  </w:t>
      </w:r>
      <w:r>
        <w:rPr>
          <w:rFonts w:hint="eastAsia"/>
          <w:sz w:val="21"/>
          <w:szCs w:val="21"/>
        </w:rPr>
        <w:t>电站选址等应控制和减少生态、电磁、噪声等环境影响，减少对原地貌、地表植被、水系的扰动。</w:t>
      </w:r>
    </w:p>
    <w:p w14:paraId="475B128C">
      <w:pPr>
        <w:ind w:firstLine="420" w:firstLineChars="200"/>
        <w:rPr>
          <w:rFonts w:hint="eastAsia"/>
          <w:sz w:val="21"/>
          <w:szCs w:val="21"/>
        </w:rPr>
      </w:pPr>
      <w:r>
        <w:rPr>
          <w:sz w:val="21"/>
          <w:szCs w:val="21"/>
        </w:rPr>
        <w:t xml:space="preserve">2  </w:t>
      </w:r>
      <w:r>
        <w:rPr>
          <w:rFonts w:hint="eastAsia"/>
          <w:sz w:val="21"/>
          <w:szCs w:val="21"/>
        </w:rPr>
        <w:t>宜与当地的自然景观与周边环境相协调，避让自然保护地、世界自然遗产、生态保护红线等生态敏感区。</w:t>
      </w:r>
    </w:p>
    <w:p w14:paraId="0BE36705">
      <w:pPr>
        <w:ind w:firstLine="420" w:firstLineChars="200"/>
        <w:rPr>
          <w:rFonts w:hint="eastAsia"/>
          <w:sz w:val="21"/>
          <w:szCs w:val="21"/>
        </w:rPr>
      </w:pPr>
      <w:r>
        <w:rPr>
          <w:sz w:val="21"/>
          <w:szCs w:val="21"/>
        </w:rPr>
        <w:t xml:space="preserve">3  </w:t>
      </w:r>
      <w:r>
        <w:rPr>
          <w:rFonts w:hint="eastAsia"/>
          <w:sz w:val="21"/>
          <w:szCs w:val="21"/>
        </w:rPr>
        <w:t>在土质疏松的边坡、沙丘等区域应采取合理的水土保持和生态保护措施。</w:t>
      </w:r>
    </w:p>
    <w:p w14:paraId="2DF3DC58">
      <w:pPr>
        <w:ind w:firstLine="420" w:firstLineChars="200"/>
        <w:rPr>
          <w:rFonts w:hint="eastAsia"/>
          <w:sz w:val="21"/>
          <w:szCs w:val="21"/>
        </w:rPr>
      </w:pPr>
      <w:r>
        <w:rPr>
          <w:sz w:val="21"/>
          <w:szCs w:val="21"/>
        </w:rPr>
        <w:t xml:space="preserve">4  </w:t>
      </w:r>
      <w:r>
        <w:rPr>
          <w:rFonts w:hint="eastAsia"/>
          <w:sz w:val="21"/>
          <w:szCs w:val="21"/>
        </w:rPr>
        <w:t>太阳能发电站设置可靠的降噪措施，厂界噪音满足环保相关要求。</w:t>
      </w:r>
    </w:p>
    <w:p w14:paraId="7F58F847">
      <w:pPr>
        <w:ind w:firstLine="420" w:firstLineChars="200"/>
        <w:rPr>
          <w:rFonts w:hint="eastAsia"/>
          <w:sz w:val="21"/>
          <w:szCs w:val="21"/>
        </w:rPr>
      </w:pPr>
      <w:r>
        <w:rPr>
          <w:sz w:val="21"/>
          <w:szCs w:val="21"/>
        </w:rPr>
        <w:t xml:space="preserve">5  </w:t>
      </w:r>
      <w:r>
        <w:rPr>
          <w:rFonts w:hint="eastAsia"/>
          <w:sz w:val="21"/>
          <w:szCs w:val="21"/>
        </w:rPr>
        <w:t>采取防止地下水污染的技术措施，存放易造成地下水污染的区域进行防渗处理</w:t>
      </w:r>
    </w:p>
    <w:p w14:paraId="1339B39B">
      <w:pPr>
        <w:ind w:firstLine="420" w:firstLineChars="200"/>
        <w:rPr>
          <w:rFonts w:hint="eastAsia"/>
          <w:sz w:val="21"/>
          <w:szCs w:val="21"/>
        </w:rPr>
      </w:pPr>
      <w:r>
        <w:rPr>
          <w:sz w:val="21"/>
          <w:szCs w:val="21"/>
        </w:rPr>
        <w:t xml:space="preserve">6  </w:t>
      </w:r>
      <w:r>
        <w:rPr>
          <w:rFonts w:hint="eastAsia"/>
          <w:sz w:val="21"/>
          <w:szCs w:val="21"/>
        </w:rPr>
        <w:t>水上光伏发电项目采用的浮体材料应符合环保要求，严禁对水体造成污染。</w:t>
      </w:r>
    </w:p>
    <w:p w14:paraId="27AC05DF">
      <w:pPr>
        <w:ind w:firstLine="420" w:firstLineChars="200"/>
        <w:rPr>
          <w:rFonts w:hint="eastAsia"/>
          <w:sz w:val="21"/>
          <w:szCs w:val="21"/>
        </w:rPr>
      </w:pPr>
      <w:r>
        <w:rPr>
          <w:sz w:val="21"/>
          <w:szCs w:val="21"/>
        </w:rPr>
        <w:t xml:space="preserve">7  </w:t>
      </w:r>
      <w:r>
        <w:rPr>
          <w:rFonts w:hint="eastAsia"/>
          <w:sz w:val="21"/>
          <w:szCs w:val="21"/>
        </w:rPr>
        <w:t>陆上牧光互补型光伏发电项目组件下边缘距地面高度不应小于1.2m。</w:t>
      </w:r>
    </w:p>
    <w:p w14:paraId="0D69F735">
      <w:pPr>
        <w:ind w:firstLine="420" w:firstLineChars="200"/>
        <w:outlineLvl w:val="0"/>
        <w:rPr>
          <w:rFonts w:hint="eastAsia"/>
          <w:sz w:val="21"/>
          <w:szCs w:val="21"/>
        </w:rPr>
      </w:pPr>
      <w:bookmarkStart w:id="184" w:name="_Toc16635"/>
      <w:bookmarkStart w:id="185" w:name="_Toc27447"/>
      <w:r>
        <w:rPr>
          <w:sz w:val="21"/>
          <w:szCs w:val="21"/>
        </w:rPr>
        <w:t xml:space="preserve">8  </w:t>
      </w:r>
      <w:r>
        <w:rPr>
          <w:rFonts w:hint="eastAsia"/>
          <w:sz w:val="21"/>
          <w:szCs w:val="21"/>
        </w:rPr>
        <w:t>光热发电项目集热区设置驱鸟装置，保护动物生态环境。</w:t>
      </w:r>
      <w:bookmarkEnd w:id="184"/>
      <w:bookmarkEnd w:id="185"/>
    </w:p>
    <w:p w14:paraId="353D72C3">
      <w:pPr>
        <w:spacing w:before="120" w:beforeLines="50" w:after="240" w:afterLines="100"/>
        <w:jc w:val="center"/>
        <w:rPr>
          <w:rFonts w:hint="eastAsia"/>
          <w:sz w:val="21"/>
          <w:szCs w:val="21"/>
        </w:rPr>
      </w:pPr>
      <w:r>
        <w:rPr>
          <w:rFonts w:hint="eastAsia"/>
          <w:sz w:val="21"/>
          <w:szCs w:val="21"/>
        </w:rPr>
        <w:t xml:space="preserve">Ⅳ </w:t>
      </w:r>
      <w:r>
        <w:rPr>
          <w:sz w:val="21"/>
          <w:szCs w:val="21"/>
        </w:rPr>
        <w:t xml:space="preserve"> </w:t>
      </w:r>
      <w:r>
        <w:rPr>
          <w:rFonts w:hint="eastAsia"/>
          <w:sz w:val="21"/>
          <w:szCs w:val="21"/>
        </w:rPr>
        <w:t>综合效益</w:t>
      </w:r>
    </w:p>
    <w:p w14:paraId="116879C3">
      <w:pPr>
        <w:outlineLvl w:val="1"/>
        <w:rPr>
          <w:rFonts w:hint="eastAsia"/>
          <w:sz w:val="21"/>
          <w:szCs w:val="21"/>
        </w:rPr>
      </w:pPr>
      <w:bookmarkStart w:id="186" w:name="_Toc10101"/>
      <w:bookmarkStart w:id="187" w:name="_Toc21033"/>
      <w:r>
        <w:rPr>
          <w:sz w:val="21"/>
          <w:szCs w:val="21"/>
        </w:rPr>
        <w:t xml:space="preserve">5.4.4  </w:t>
      </w:r>
      <w:r>
        <w:rPr>
          <w:rFonts w:hint="eastAsia"/>
          <w:sz w:val="21"/>
          <w:szCs w:val="21"/>
        </w:rPr>
        <w:t>综合效益评</w:t>
      </w:r>
      <w:r>
        <w:rPr>
          <w:sz w:val="21"/>
          <w:szCs w:val="21"/>
        </w:rPr>
        <w:t>价应包括以下内容：</w:t>
      </w:r>
      <w:bookmarkEnd w:id="186"/>
      <w:bookmarkEnd w:id="187"/>
    </w:p>
    <w:p w14:paraId="7013D5ED">
      <w:pPr>
        <w:ind w:firstLine="420" w:firstLineChars="200"/>
        <w:rPr>
          <w:rFonts w:hint="eastAsia"/>
          <w:sz w:val="21"/>
          <w:szCs w:val="21"/>
        </w:rPr>
      </w:pPr>
      <w:r>
        <w:rPr>
          <w:sz w:val="21"/>
          <w:szCs w:val="21"/>
        </w:rPr>
        <w:t xml:space="preserve">1  </w:t>
      </w:r>
      <w:r>
        <w:rPr>
          <w:rFonts w:hint="eastAsia"/>
          <w:sz w:val="21"/>
          <w:szCs w:val="21"/>
        </w:rPr>
        <w:t>电站设计年发电量、电站总投资、资本金内部收益率等经济指标先进。</w:t>
      </w:r>
    </w:p>
    <w:p w14:paraId="4402C5C1">
      <w:pPr>
        <w:ind w:firstLine="420" w:firstLineChars="200"/>
        <w:rPr>
          <w:rFonts w:hint="eastAsia"/>
          <w:sz w:val="21"/>
          <w:szCs w:val="21"/>
        </w:rPr>
      </w:pPr>
      <w:r>
        <w:rPr>
          <w:sz w:val="21"/>
          <w:szCs w:val="21"/>
        </w:rPr>
        <w:t xml:space="preserve">2  </w:t>
      </w:r>
      <w:r>
        <w:rPr>
          <w:rFonts w:hint="eastAsia"/>
          <w:sz w:val="21"/>
          <w:szCs w:val="21"/>
        </w:rPr>
        <w:t>太阳能发电工程按牧光互补、渔光互补、农光互补、林光互补等进行综合考虑，取得社会经济效益，对乡村振兴、精准扶贫具有推动作用，社会满意度较高。</w:t>
      </w:r>
    </w:p>
    <w:p w14:paraId="3969633E">
      <w:pPr>
        <w:spacing w:before="120" w:beforeLines="50" w:after="240" w:afterLines="100"/>
        <w:jc w:val="center"/>
        <w:rPr>
          <w:rFonts w:hint="eastAsia"/>
          <w:sz w:val="21"/>
          <w:szCs w:val="21"/>
        </w:rPr>
      </w:pPr>
      <w:r>
        <w:rPr>
          <w:rFonts w:hint="eastAsia"/>
          <w:sz w:val="21"/>
          <w:szCs w:val="21"/>
        </w:rPr>
        <w:t xml:space="preserve">Ⅴ </w:t>
      </w:r>
      <w:r>
        <w:rPr>
          <w:sz w:val="21"/>
          <w:szCs w:val="21"/>
        </w:rPr>
        <w:t xml:space="preserve"> </w:t>
      </w:r>
      <w:r>
        <w:rPr>
          <w:rFonts w:hint="eastAsia"/>
          <w:sz w:val="21"/>
          <w:szCs w:val="21"/>
        </w:rPr>
        <w:t>科技创新</w:t>
      </w:r>
    </w:p>
    <w:p w14:paraId="1B110B1B">
      <w:pPr>
        <w:outlineLvl w:val="1"/>
        <w:rPr>
          <w:rFonts w:hint="eastAsia"/>
          <w:sz w:val="21"/>
          <w:szCs w:val="21"/>
        </w:rPr>
      </w:pPr>
      <w:bookmarkStart w:id="188" w:name="_Toc31060"/>
      <w:bookmarkStart w:id="189" w:name="_Toc14111"/>
      <w:r>
        <w:rPr>
          <w:sz w:val="21"/>
          <w:szCs w:val="21"/>
        </w:rPr>
        <w:t xml:space="preserve">5.4.5  </w:t>
      </w:r>
      <w:r>
        <w:rPr>
          <w:rFonts w:hint="eastAsia"/>
          <w:sz w:val="21"/>
          <w:szCs w:val="21"/>
        </w:rPr>
        <w:t>科技创新评</w:t>
      </w:r>
      <w:r>
        <w:rPr>
          <w:sz w:val="21"/>
          <w:szCs w:val="21"/>
        </w:rPr>
        <w:t>价应包括以下内容：</w:t>
      </w:r>
      <w:bookmarkEnd w:id="188"/>
      <w:bookmarkEnd w:id="189"/>
    </w:p>
    <w:p w14:paraId="77E3CC85">
      <w:pPr>
        <w:ind w:firstLine="420" w:firstLineChars="200"/>
        <w:rPr>
          <w:rFonts w:hint="eastAsia"/>
          <w:sz w:val="21"/>
          <w:szCs w:val="21"/>
        </w:rPr>
      </w:pPr>
      <w:r>
        <w:rPr>
          <w:sz w:val="21"/>
          <w:szCs w:val="21"/>
        </w:rPr>
        <w:t xml:space="preserve">1  设计过程中采取新技术、新工艺、新流程、新材料、新装备、新产品等，在节能环保方面取得显著成效； </w:t>
      </w:r>
    </w:p>
    <w:p w14:paraId="7929EF9E">
      <w:pPr>
        <w:ind w:firstLine="420" w:firstLineChars="200"/>
        <w:rPr>
          <w:rFonts w:hint="eastAsia"/>
          <w:sz w:val="21"/>
          <w:szCs w:val="21"/>
        </w:rPr>
      </w:pPr>
      <w:r>
        <w:rPr>
          <w:sz w:val="21"/>
          <w:szCs w:val="21"/>
        </w:rPr>
        <w:t xml:space="preserve">2  </w:t>
      </w:r>
      <w:r>
        <w:rPr>
          <w:rFonts w:hint="eastAsia"/>
          <w:sz w:val="21"/>
          <w:szCs w:val="21"/>
        </w:rPr>
        <w:t>依托本工程在绿色设计方面取得的创新成果（课题、专利、专有技术、奖项、竞赛活动成果、国家示范试点、参编标准、期刊论文等），在国内处于领先水平。</w:t>
      </w:r>
    </w:p>
    <w:p w14:paraId="58DA706A">
      <w:pPr>
        <w:spacing w:before="120" w:beforeLines="50" w:after="240" w:afterLines="100"/>
        <w:jc w:val="center"/>
        <w:outlineLvl w:val="2"/>
        <w:rPr>
          <w:rFonts w:hint="eastAsia"/>
          <w:sz w:val="21"/>
          <w:szCs w:val="21"/>
        </w:rPr>
      </w:pPr>
      <w:bookmarkStart w:id="190" w:name="_Toc174141244"/>
      <w:bookmarkStart w:id="191" w:name="_Toc7813"/>
      <w:r>
        <w:rPr>
          <w:sz w:val="21"/>
          <w:szCs w:val="21"/>
        </w:rPr>
        <w:t>5.5  输变电工程</w:t>
      </w:r>
      <w:bookmarkEnd w:id="190"/>
      <w:bookmarkEnd w:id="191"/>
    </w:p>
    <w:p w14:paraId="4F1781A0">
      <w:pPr>
        <w:spacing w:before="120" w:beforeLines="50" w:after="240" w:afterLines="100"/>
        <w:jc w:val="center"/>
        <w:rPr>
          <w:rFonts w:hint="eastAsia"/>
          <w:sz w:val="21"/>
          <w:szCs w:val="21"/>
        </w:rPr>
      </w:pPr>
      <w:r>
        <w:rPr>
          <w:rFonts w:hint="eastAsia"/>
          <w:sz w:val="21"/>
          <w:szCs w:val="21"/>
        </w:rPr>
        <w:t>Ⅰ</w:t>
      </w:r>
      <w:r>
        <w:rPr>
          <w:sz w:val="21"/>
          <w:szCs w:val="21"/>
        </w:rPr>
        <w:t xml:space="preserve">  </w:t>
      </w:r>
      <w:r>
        <w:rPr>
          <w:rFonts w:hint="eastAsia"/>
          <w:sz w:val="21"/>
          <w:szCs w:val="21"/>
        </w:rPr>
        <w:t>技术</w:t>
      </w:r>
      <w:r>
        <w:rPr>
          <w:sz w:val="21"/>
          <w:szCs w:val="21"/>
        </w:rPr>
        <w:t>先进</w:t>
      </w:r>
    </w:p>
    <w:p w14:paraId="53D4BF46">
      <w:pPr>
        <w:outlineLvl w:val="1"/>
        <w:rPr>
          <w:rFonts w:hint="eastAsia"/>
          <w:sz w:val="21"/>
          <w:szCs w:val="21"/>
        </w:rPr>
      </w:pPr>
      <w:bookmarkStart w:id="192" w:name="_Toc7797"/>
      <w:bookmarkStart w:id="193" w:name="_Toc32012"/>
      <w:r>
        <w:fldChar w:fldCharType="begin"/>
      </w:r>
      <w:r>
        <w:instrText xml:space="preserve"> HYPERLINK \l "_Toc162470871" </w:instrText>
      </w:r>
      <w:r>
        <w:fldChar w:fldCharType="separate"/>
      </w:r>
      <w:bookmarkStart w:id="194" w:name="_Toc169276097"/>
      <w:r>
        <w:rPr>
          <w:rFonts w:hint="eastAsia"/>
          <w:sz w:val="21"/>
          <w:szCs w:val="21"/>
        </w:rPr>
        <w:t>5.</w:t>
      </w:r>
      <w:r>
        <w:rPr>
          <w:sz w:val="21"/>
          <w:szCs w:val="21"/>
        </w:rPr>
        <w:t>5</w:t>
      </w:r>
      <w:r>
        <w:rPr>
          <w:rFonts w:hint="eastAsia"/>
          <w:sz w:val="21"/>
          <w:szCs w:val="21"/>
        </w:rPr>
        <w:t>.1</w:t>
      </w:r>
      <w:r>
        <w:rPr>
          <w:sz w:val="21"/>
          <w:szCs w:val="21"/>
        </w:rPr>
        <w:t xml:space="preserve"> </w:t>
      </w:r>
      <w:r>
        <w:rPr>
          <w:rFonts w:hint="eastAsia"/>
          <w:sz w:val="21"/>
          <w:szCs w:val="21"/>
        </w:rPr>
        <w:t xml:space="preserve"> 技术先进</w:t>
      </w:r>
      <w:bookmarkEnd w:id="194"/>
      <w:r>
        <w:rPr>
          <w:rFonts w:hint="eastAsia"/>
          <w:sz w:val="21"/>
          <w:szCs w:val="21"/>
        </w:rPr>
        <w:fldChar w:fldCharType="end"/>
      </w:r>
      <w:r>
        <w:rPr>
          <w:rFonts w:hint="eastAsia"/>
          <w:sz w:val="21"/>
          <w:szCs w:val="21"/>
        </w:rPr>
        <w:t>评价包括以下内容</w:t>
      </w:r>
      <w:bookmarkEnd w:id="192"/>
      <w:bookmarkEnd w:id="193"/>
    </w:p>
    <w:p w14:paraId="23BACCB4">
      <w:pPr>
        <w:ind w:firstLine="420"/>
        <w:outlineLvl w:val="0"/>
        <w:rPr>
          <w:rFonts w:hint="eastAsia"/>
          <w:sz w:val="21"/>
          <w:szCs w:val="21"/>
        </w:rPr>
      </w:pPr>
      <w:bookmarkStart w:id="195" w:name="_Toc20556"/>
      <w:bookmarkStart w:id="196" w:name="_Toc17991"/>
      <w:r>
        <w:rPr>
          <w:rFonts w:hint="eastAsia" w:ascii="黑体" w:hAnsi="黑体" w:eastAsia="黑体"/>
          <w:sz w:val="21"/>
          <w:szCs w:val="21"/>
        </w:rPr>
        <w:t>1</w:t>
      </w:r>
      <w:bookmarkStart w:id="197" w:name="_Toc169276098"/>
      <w:r>
        <w:rPr>
          <w:rFonts w:hint="eastAsia" w:ascii="黑体" w:hAnsi="黑体" w:eastAsia="黑体"/>
          <w:sz w:val="21"/>
          <w:szCs w:val="21"/>
        </w:rPr>
        <w:t xml:space="preserve"> </w:t>
      </w:r>
      <w:r>
        <w:rPr>
          <w:rFonts w:ascii="黑体" w:hAnsi="黑体" w:eastAsia="黑体"/>
          <w:sz w:val="21"/>
          <w:szCs w:val="21"/>
        </w:rPr>
        <w:t xml:space="preserve"> </w:t>
      </w:r>
      <w:r>
        <w:rPr>
          <w:rFonts w:hint="eastAsia"/>
          <w:sz w:val="21"/>
          <w:szCs w:val="21"/>
        </w:rPr>
        <w:t>项目总体设计科学合理，积极采用新技术、新工艺、新材料。</w:t>
      </w:r>
      <w:bookmarkEnd w:id="195"/>
      <w:bookmarkEnd w:id="196"/>
    </w:p>
    <w:p w14:paraId="504BDAEC">
      <w:pPr>
        <w:widowControl w:val="0"/>
        <w:ind w:firstLine="420" w:firstLineChars="200"/>
        <w:rPr>
          <w:rFonts w:hint="eastAsia"/>
          <w:sz w:val="21"/>
          <w:szCs w:val="21"/>
        </w:rPr>
      </w:pPr>
      <w:r>
        <w:rPr>
          <w:rFonts w:hint="eastAsia"/>
          <w:sz w:val="21"/>
          <w:szCs w:val="21"/>
        </w:rPr>
        <w:t xml:space="preserve">2 </w:t>
      </w:r>
      <w:r>
        <w:rPr>
          <w:sz w:val="21"/>
          <w:szCs w:val="21"/>
        </w:rPr>
        <w:t xml:space="preserve"> </w:t>
      </w:r>
      <w:r>
        <w:rPr>
          <w:rFonts w:hint="eastAsia"/>
          <w:sz w:val="21"/>
          <w:szCs w:val="21"/>
        </w:rPr>
        <w:t>电气</w:t>
      </w:r>
      <w:r>
        <w:rPr>
          <w:sz w:val="21"/>
          <w:szCs w:val="21"/>
        </w:rPr>
        <w:t>设备选用可靠性高、维护量小、节能、环保、经济的设备。</w:t>
      </w:r>
    </w:p>
    <w:p w14:paraId="091A7F28">
      <w:pPr>
        <w:widowControl w:val="0"/>
        <w:ind w:firstLine="420" w:firstLineChars="200"/>
        <w:outlineLvl w:val="0"/>
        <w:rPr>
          <w:rFonts w:hint="eastAsia"/>
          <w:sz w:val="21"/>
          <w:szCs w:val="21"/>
        </w:rPr>
      </w:pPr>
      <w:bookmarkStart w:id="198" w:name="_Toc25916"/>
      <w:bookmarkStart w:id="199" w:name="_Toc27969"/>
      <w:r>
        <w:rPr>
          <w:rFonts w:hint="eastAsia"/>
          <w:sz w:val="21"/>
          <w:szCs w:val="21"/>
        </w:rPr>
        <w:t>3</w:t>
      </w:r>
      <w:r>
        <w:rPr>
          <w:sz w:val="21"/>
          <w:szCs w:val="21"/>
        </w:rPr>
        <w:t xml:space="preserve">  </w:t>
      </w:r>
      <w:r>
        <w:rPr>
          <w:rFonts w:hint="eastAsia"/>
          <w:sz w:val="21"/>
          <w:szCs w:val="21"/>
        </w:rPr>
        <w:t>采用先进智能检测与控制技术，具有较高的智能化水平。</w:t>
      </w:r>
      <w:bookmarkEnd w:id="198"/>
      <w:bookmarkEnd w:id="199"/>
    </w:p>
    <w:p w14:paraId="588CD8D4">
      <w:pPr>
        <w:ind w:firstLine="420"/>
        <w:rPr>
          <w:rFonts w:hint="eastAsia"/>
          <w:sz w:val="21"/>
          <w:szCs w:val="21"/>
        </w:rPr>
      </w:pPr>
      <w:r>
        <w:rPr>
          <w:rFonts w:hint="eastAsia"/>
          <w:sz w:val="21"/>
          <w:szCs w:val="21"/>
        </w:rPr>
        <w:t>4</w:t>
      </w:r>
      <w:r>
        <w:rPr>
          <w:sz w:val="21"/>
          <w:szCs w:val="21"/>
        </w:rPr>
        <w:t xml:space="preserve">  推行标准化、工业化智能建造，优于或达到国家、地方行业部门要求。</w:t>
      </w:r>
    </w:p>
    <w:p w14:paraId="2E6718CE">
      <w:pPr>
        <w:ind w:firstLine="420"/>
        <w:rPr>
          <w:rFonts w:hint="eastAsia"/>
          <w:sz w:val="21"/>
          <w:szCs w:val="21"/>
        </w:rPr>
      </w:pPr>
      <w:r>
        <w:rPr>
          <w:rFonts w:hint="eastAsia"/>
          <w:sz w:val="21"/>
          <w:szCs w:val="21"/>
        </w:rPr>
        <w:t>5</w:t>
      </w:r>
      <w:r>
        <w:rPr>
          <w:sz w:val="21"/>
          <w:szCs w:val="21"/>
        </w:rPr>
        <w:t xml:space="preserve">  采用</w:t>
      </w:r>
      <w:r>
        <w:rPr>
          <w:rFonts w:hint="eastAsia"/>
          <w:sz w:val="21"/>
          <w:szCs w:val="21"/>
        </w:rPr>
        <w:t>BIM技术、卫片选线等先进</w:t>
      </w:r>
      <w:r>
        <w:rPr>
          <w:sz w:val="21"/>
          <w:szCs w:val="21"/>
        </w:rPr>
        <w:t>设计</w:t>
      </w:r>
      <w:r>
        <w:rPr>
          <w:rFonts w:hint="eastAsia"/>
          <w:sz w:val="21"/>
          <w:szCs w:val="21"/>
        </w:rPr>
        <w:t>手段</w:t>
      </w:r>
      <w:r>
        <w:rPr>
          <w:sz w:val="21"/>
          <w:szCs w:val="21"/>
        </w:rPr>
        <w:t>，</w:t>
      </w:r>
      <w:r>
        <w:rPr>
          <w:rFonts w:hint="eastAsia"/>
          <w:sz w:val="21"/>
          <w:szCs w:val="21"/>
        </w:rPr>
        <w:t>多专业协同设计</w:t>
      </w:r>
      <w:r>
        <w:rPr>
          <w:sz w:val="21"/>
          <w:szCs w:val="21"/>
        </w:rPr>
        <w:t>，为绿色施工创造条件，并取得良好效果。</w:t>
      </w:r>
    </w:p>
    <w:p w14:paraId="442F5DDE">
      <w:pPr>
        <w:numPr>
          <w:ilvl w:val="255"/>
          <w:numId w:val="0"/>
        </w:numPr>
        <w:ind w:firstLine="420" w:firstLineChars="200"/>
        <w:rPr>
          <w:rFonts w:hint="eastAsia"/>
          <w:sz w:val="21"/>
          <w:szCs w:val="21"/>
        </w:rPr>
      </w:pPr>
      <w:r>
        <w:rPr>
          <w:rFonts w:hint="eastAsia"/>
          <w:sz w:val="21"/>
          <w:szCs w:val="21"/>
        </w:rPr>
        <w:t>6</w:t>
      </w:r>
      <w:r>
        <w:rPr>
          <w:sz w:val="21"/>
          <w:szCs w:val="21"/>
        </w:rPr>
        <w:t xml:space="preserve">  </w:t>
      </w:r>
      <w:r>
        <w:rPr>
          <w:rFonts w:hint="eastAsia"/>
          <w:sz w:val="21"/>
          <w:szCs w:val="21"/>
        </w:rPr>
        <w:t>变电站（换流站）总平面布置方案的选择和优化科学、合理，工艺流程顺畅，功能分区合理。</w:t>
      </w:r>
    </w:p>
    <w:p w14:paraId="6830EEFA">
      <w:pPr>
        <w:widowControl w:val="0"/>
        <w:ind w:firstLine="420" w:firstLineChars="200"/>
        <w:rPr>
          <w:rFonts w:hint="eastAsia"/>
          <w:sz w:val="21"/>
          <w:szCs w:val="21"/>
        </w:rPr>
      </w:pPr>
      <w:r>
        <w:rPr>
          <w:rFonts w:hint="eastAsia"/>
          <w:sz w:val="21"/>
          <w:szCs w:val="21"/>
        </w:rPr>
        <w:t>7</w:t>
      </w:r>
      <w:r>
        <w:rPr>
          <w:sz w:val="21"/>
          <w:szCs w:val="21"/>
        </w:rPr>
        <w:t xml:space="preserve">  </w:t>
      </w:r>
      <w:r>
        <w:rPr>
          <w:rFonts w:hint="eastAsia"/>
          <w:sz w:val="21"/>
          <w:szCs w:val="21"/>
        </w:rPr>
        <w:t>变电站（换流站）</w:t>
      </w:r>
      <w:r>
        <w:rPr>
          <w:sz w:val="21"/>
          <w:szCs w:val="21"/>
        </w:rPr>
        <w:t>建筑根据实际情况，优化功能空间布局及设备布置，充分挖掘建筑本体与设备在节约资源方面的潜力。</w:t>
      </w:r>
    </w:p>
    <w:p w14:paraId="384CEB26">
      <w:pPr>
        <w:widowControl w:val="0"/>
        <w:ind w:firstLine="420" w:firstLineChars="200"/>
        <w:rPr>
          <w:rFonts w:hint="eastAsia"/>
          <w:sz w:val="21"/>
          <w:szCs w:val="21"/>
        </w:rPr>
      </w:pPr>
      <w:r>
        <w:rPr>
          <w:rFonts w:hint="eastAsia"/>
          <w:sz w:val="21"/>
          <w:szCs w:val="21"/>
        </w:rPr>
        <w:t>8</w:t>
      </w:r>
      <w:r>
        <w:rPr>
          <w:sz w:val="21"/>
          <w:szCs w:val="21"/>
        </w:rPr>
        <w:t xml:space="preserve">  </w:t>
      </w:r>
      <w:r>
        <w:rPr>
          <w:rFonts w:hint="eastAsia"/>
          <w:sz w:val="21"/>
          <w:szCs w:val="21"/>
        </w:rPr>
        <w:t>变电站（换流站）</w:t>
      </w:r>
      <w:r>
        <w:rPr>
          <w:sz w:val="21"/>
          <w:szCs w:val="21"/>
        </w:rPr>
        <w:t>电气主接线满足供电可靠、运行灵活、操作检修方便、节约投资和便于扩建等要求</w:t>
      </w:r>
      <w:r>
        <w:rPr>
          <w:rFonts w:hint="eastAsia"/>
          <w:sz w:val="21"/>
          <w:szCs w:val="21"/>
        </w:rPr>
        <w:t>。</w:t>
      </w:r>
    </w:p>
    <w:p w14:paraId="79E5F415">
      <w:pPr>
        <w:ind w:firstLine="420"/>
        <w:rPr>
          <w:rFonts w:hint="eastAsia"/>
          <w:sz w:val="21"/>
          <w:szCs w:val="21"/>
        </w:rPr>
      </w:pPr>
      <w:r>
        <w:rPr>
          <w:rFonts w:hint="eastAsia"/>
          <w:sz w:val="21"/>
          <w:szCs w:val="21"/>
        </w:rPr>
        <w:t>9</w:t>
      </w:r>
      <w:r>
        <w:rPr>
          <w:sz w:val="21"/>
          <w:szCs w:val="21"/>
        </w:rPr>
        <w:t xml:space="preserve">  </w:t>
      </w:r>
      <w:r>
        <w:rPr>
          <w:rFonts w:hint="eastAsia"/>
          <w:sz w:val="21"/>
          <w:szCs w:val="21"/>
        </w:rPr>
        <w:t>变电站（换流站）建筑</w:t>
      </w:r>
      <w:r>
        <w:rPr>
          <w:sz w:val="21"/>
          <w:szCs w:val="21"/>
        </w:rPr>
        <w:t>地基处理、建筑结构体系科学，具有先进性、前瞻性，引领行业先进水平。</w:t>
      </w:r>
    </w:p>
    <w:p w14:paraId="05D1BD52">
      <w:pPr>
        <w:ind w:firstLine="420"/>
        <w:rPr>
          <w:rFonts w:hint="eastAsia"/>
        </w:rPr>
      </w:pPr>
      <w:r>
        <w:rPr>
          <w:rFonts w:hint="eastAsia"/>
          <w:sz w:val="21"/>
          <w:szCs w:val="21"/>
        </w:rPr>
        <w:t>10</w:t>
      </w:r>
      <w:r>
        <w:rPr>
          <w:sz w:val="21"/>
          <w:szCs w:val="21"/>
        </w:rPr>
        <w:t xml:space="preserve"> </w:t>
      </w:r>
      <w:r>
        <w:rPr>
          <w:rFonts w:hint="eastAsia"/>
          <w:sz w:val="21"/>
          <w:szCs w:val="21"/>
        </w:rPr>
        <w:t xml:space="preserve"> 架空线路工程</w:t>
      </w:r>
      <w:r>
        <w:rPr>
          <w:sz w:val="21"/>
          <w:szCs w:val="21"/>
        </w:rPr>
        <w:t>在满足可靠性要求的前提下，结合线路走廊规划情况，宜合理采用同塔多回技术,提升廊道利用率。</w:t>
      </w:r>
    </w:p>
    <w:p w14:paraId="5A58B7A6">
      <w:pPr>
        <w:ind w:firstLine="420" w:firstLineChars="200"/>
        <w:outlineLvl w:val="0"/>
        <w:rPr>
          <w:rFonts w:hint="eastAsia"/>
          <w:sz w:val="21"/>
          <w:szCs w:val="21"/>
        </w:rPr>
      </w:pPr>
      <w:bookmarkStart w:id="200" w:name="_Toc10430"/>
      <w:bookmarkStart w:id="201" w:name="_Toc13629"/>
      <w:r>
        <w:rPr>
          <w:rFonts w:hint="eastAsia"/>
          <w:sz w:val="21"/>
          <w:szCs w:val="21"/>
        </w:rPr>
        <w:t>11</w:t>
      </w:r>
      <w:r>
        <w:rPr>
          <w:sz w:val="21"/>
          <w:szCs w:val="21"/>
        </w:rPr>
        <w:t xml:space="preserve"> </w:t>
      </w:r>
      <w:r>
        <w:rPr>
          <w:rFonts w:hint="eastAsia"/>
          <w:sz w:val="21"/>
          <w:szCs w:val="21"/>
        </w:rPr>
        <w:t xml:space="preserve"> 架空线路工程应结合实际情况，进行防覆冰与防雷设计。</w:t>
      </w:r>
      <w:bookmarkEnd w:id="200"/>
      <w:bookmarkEnd w:id="201"/>
    </w:p>
    <w:p w14:paraId="188A3260">
      <w:pPr>
        <w:ind w:firstLine="420" w:firstLineChars="200"/>
        <w:rPr>
          <w:rFonts w:hint="eastAsia"/>
          <w:sz w:val="21"/>
          <w:szCs w:val="21"/>
        </w:rPr>
      </w:pPr>
      <w:r>
        <w:rPr>
          <w:rFonts w:hint="eastAsia"/>
          <w:sz w:val="21"/>
          <w:szCs w:val="21"/>
        </w:rPr>
        <w:t xml:space="preserve">12 </w:t>
      </w:r>
      <w:r>
        <w:rPr>
          <w:sz w:val="21"/>
          <w:szCs w:val="21"/>
        </w:rPr>
        <w:t xml:space="preserve"> 应科学、合理的选择电缆</w:t>
      </w:r>
      <w:r>
        <w:rPr>
          <w:rFonts w:hint="eastAsia"/>
          <w:sz w:val="21"/>
          <w:szCs w:val="21"/>
        </w:rPr>
        <w:t>工程</w:t>
      </w:r>
      <w:r>
        <w:rPr>
          <w:sz w:val="21"/>
          <w:szCs w:val="21"/>
        </w:rPr>
        <w:t>通道路径，使其与城市总体规划相协调。</w:t>
      </w:r>
    </w:p>
    <w:p w14:paraId="08BB42E7">
      <w:pPr>
        <w:ind w:firstLine="420" w:firstLineChars="200"/>
        <w:outlineLvl w:val="0"/>
        <w:rPr>
          <w:rFonts w:hint="eastAsia"/>
          <w:sz w:val="21"/>
          <w:szCs w:val="21"/>
        </w:rPr>
      </w:pPr>
      <w:bookmarkStart w:id="202" w:name="_Toc4659"/>
      <w:bookmarkStart w:id="203" w:name="_Toc6074"/>
      <w:r>
        <w:rPr>
          <w:rFonts w:hint="eastAsia"/>
          <w:sz w:val="21"/>
          <w:szCs w:val="21"/>
        </w:rPr>
        <w:t>13</w:t>
      </w:r>
      <w:r>
        <w:rPr>
          <w:sz w:val="21"/>
          <w:szCs w:val="21"/>
        </w:rPr>
        <w:t xml:space="preserve">  </w:t>
      </w:r>
      <w:r>
        <w:rPr>
          <w:rFonts w:hint="eastAsia"/>
          <w:sz w:val="21"/>
          <w:szCs w:val="21"/>
        </w:rPr>
        <w:t>电缆工程应采取成熟可靠、便于维护的消防与接地措施。</w:t>
      </w:r>
      <w:bookmarkEnd w:id="202"/>
      <w:bookmarkEnd w:id="203"/>
    </w:p>
    <w:p w14:paraId="130249F9">
      <w:pPr>
        <w:ind w:firstLine="420" w:firstLineChars="200"/>
        <w:rPr>
          <w:rFonts w:hint="eastAsia"/>
          <w:sz w:val="21"/>
          <w:szCs w:val="21"/>
        </w:rPr>
      </w:pPr>
      <w:r>
        <w:rPr>
          <w:rFonts w:hint="eastAsia"/>
          <w:sz w:val="21"/>
          <w:szCs w:val="21"/>
        </w:rPr>
        <w:t>14</w:t>
      </w:r>
      <w:r>
        <w:rPr>
          <w:sz w:val="21"/>
          <w:szCs w:val="21"/>
        </w:rPr>
        <w:t xml:space="preserve">  海底电缆应根据海底地质和海洋环境明确敷设方式及对应敷设区域。</w:t>
      </w:r>
    </w:p>
    <w:p w14:paraId="59DC95D2">
      <w:pPr>
        <w:ind w:firstLine="420" w:firstLineChars="200"/>
        <w:rPr>
          <w:rFonts w:hint="eastAsia"/>
          <w:sz w:val="21"/>
          <w:szCs w:val="21"/>
        </w:rPr>
      </w:pPr>
      <w:r>
        <w:rPr>
          <w:rFonts w:hint="eastAsia"/>
          <w:sz w:val="21"/>
          <w:szCs w:val="21"/>
        </w:rPr>
        <w:t>15</w:t>
      </w:r>
      <w:r>
        <w:rPr>
          <w:sz w:val="21"/>
          <w:szCs w:val="21"/>
        </w:rPr>
        <w:t xml:space="preserve">  海底电缆应具有径向阻水与纵向阻水的结构或措施。并应具有满足使用条件的铠装结构。</w:t>
      </w:r>
    </w:p>
    <w:p w14:paraId="7E6C7440">
      <w:pPr>
        <w:ind w:firstLine="420" w:firstLineChars="200"/>
        <w:rPr>
          <w:rFonts w:hint="eastAsia"/>
          <w:sz w:val="21"/>
          <w:szCs w:val="21"/>
        </w:rPr>
      </w:pPr>
      <w:r>
        <w:rPr>
          <w:rFonts w:hint="eastAsia"/>
          <w:sz w:val="21"/>
          <w:szCs w:val="21"/>
        </w:rPr>
        <w:t xml:space="preserve">16 </w:t>
      </w:r>
      <w:r>
        <w:rPr>
          <w:sz w:val="21"/>
          <w:szCs w:val="21"/>
        </w:rPr>
        <w:t xml:space="preserve"> 锚固装置应能有效固定海底电缆，并应具有较强的抵御风浪冲击的能力和较好的耐海水腐蚀性能，安装与维护方便、功能可靠。</w:t>
      </w:r>
      <w:bookmarkEnd w:id="197"/>
    </w:p>
    <w:p w14:paraId="21B4A8B9">
      <w:pPr>
        <w:spacing w:before="120" w:beforeLines="50" w:after="240" w:afterLines="100"/>
        <w:jc w:val="center"/>
        <w:rPr>
          <w:rFonts w:hint="eastAsia"/>
          <w:sz w:val="21"/>
          <w:szCs w:val="21"/>
        </w:rPr>
      </w:pPr>
      <w:r>
        <w:rPr>
          <w:rFonts w:hint="eastAsia"/>
          <w:sz w:val="21"/>
          <w:szCs w:val="21"/>
        </w:rPr>
        <w:t xml:space="preserve">Ⅱ </w:t>
      </w:r>
      <w:r>
        <w:rPr>
          <w:sz w:val="21"/>
          <w:szCs w:val="21"/>
        </w:rPr>
        <w:t xml:space="preserve"> </w:t>
      </w:r>
      <w:r>
        <w:rPr>
          <w:rFonts w:hint="eastAsia"/>
          <w:sz w:val="21"/>
          <w:szCs w:val="21"/>
        </w:rPr>
        <w:t>资源节约</w:t>
      </w:r>
    </w:p>
    <w:p w14:paraId="2AB98338">
      <w:pPr>
        <w:outlineLvl w:val="1"/>
        <w:rPr>
          <w:rFonts w:hint="eastAsia"/>
          <w:sz w:val="21"/>
          <w:szCs w:val="21"/>
        </w:rPr>
      </w:pPr>
      <w:bookmarkStart w:id="204" w:name="_Toc18710"/>
      <w:bookmarkStart w:id="205" w:name="_Toc11618"/>
      <w:r>
        <w:rPr>
          <w:sz w:val="21"/>
          <w:szCs w:val="21"/>
        </w:rPr>
        <w:t xml:space="preserve">5.5.2  </w:t>
      </w:r>
      <w:r>
        <w:rPr>
          <w:rFonts w:hint="eastAsia"/>
          <w:sz w:val="21"/>
          <w:szCs w:val="21"/>
        </w:rPr>
        <w:t>资源节约评</w:t>
      </w:r>
      <w:r>
        <w:rPr>
          <w:sz w:val="21"/>
          <w:szCs w:val="21"/>
        </w:rPr>
        <w:t>价应包括以下内容：</w:t>
      </w:r>
      <w:bookmarkEnd w:id="204"/>
      <w:bookmarkEnd w:id="205"/>
    </w:p>
    <w:p w14:paraId="29EBD629">
      <w:pPr>
        <w:ind w:firstLine="420"/>
        <w:outlineLvl w:val="0"/>
        <w:rPr>
          <w:rFonts w:hint="eastAsia"/>
          <w:sz w:val="21"/>
          <w:szCs w:val="21"/>
        </w:rPr>
      </w:pPr>
      <w:bookmarkStart w:id="206" w:name="_Toc23830"/>
      <w:bookmarkStart w:id="207" w:name="_Toc12222"/>
      <w:r>
        <w:rPr>
          <w:rFonts w:hint="eastAsia"/>
          <w:sz w:val="21"/>
          <w:szCs w:val="21"/>
        </w:rPr>
        <w:t>1</w:t>
      </w:r>
      <w:r>
        <w:rPr>
          <w:sz w:val="21"/>
          <w:szCs w:val="21"/>
        </w:rPr>
        <w:t xml:space="preserve">  </w:t>
      </w:r>
      <w:r>
        <w:rPr>
          <w:rFonts w:hint="eastAsia"/>
          <w:sz w:val="21"/>
          <w:szCs w:val="21"/>
        </w:rPr>
        <w:t>项目用地指标优于国家、行业、地方规定的项目用地指标值。</w:t>
      </w:r>
      <w:bookmarkEnd w:id="206"/>
      <w:bookmarkEnd w:id="207"/>
    </w:p>
    <w:p w14:paraId="57839C10">
      <w:pPr>
        <w:ind w:firstLine="420"/>
        <w:rPr>
          <w:rFonts w:hint="eastAsia"/>
          <w:sz w:val="21"/>
          <w:szCs w:val="21"/>
        </w:rPr>
      </w:pPr>
      <w:r>
        <w:rPr>
          <w:rFonts w:hint="eastAsia"/>
          <w:sz w:val="21"/>
          <w:szCs w:val="21"/>
        </w:rPr>
        <w:t>2</w:t>
      </w:r>
      <w:r>
        <w:rPr>
          <w:sz w:val="21"/>
          <w:szCs w:val="21"/>
        </w:rPr>
        <w:t xml:space="preserve">  </w:t>
      </w:r>
      <w:r>
        <w:rPr>
          <w:rFonts w:hint="eastAsia"/>
          <w:sz w:val="21"/>
          <w:szCs w:val="21"/>
        </w:rPr>
        <w:t>项目选用高效节能设备，先进的用能工艺，减少输变电过程中消耗，提高能源利用效率。</w:t>
      </w:r>
    </w:p>
    <w:p w14:paraId="6F07025A">
      <w:pPr>
        <w:ind w:firstLine="420"/>
        <w:rPr>
          <w:rFonts w:hint="eastAsia"/>
          <w:sz w:val="21"/>
          <w:szCs w:val="21"/>
        </w:rPr>
      </w:pPr>
      <w:r>
        <w:rPr>
          <w:rFonts w:hint="eastAsia"/>
          <w:sz w:val="21"/>
          <w:szCs w:val="21"/>
        </w:rPr>
        <w:t>3</w:t>
      </w:r>
      <w:r>
        <w:rPr>
          <w:sz w:val="21"/>
          <w:szCs w:val="21"/>
        </w:rPr>
        <w:t xml:space="preserve">  </w:t>
      </w:r>
      <w:r>
        <w:rPr>
          <w:rFonts w:hint="eastAsia"/>
          <w:sz w:val="21"/>
          <w:szCs w:val="21"/>
        </w:rPr>
        <w:t>项目</w:t>
      </w:r>
      <w:r>
        <w:rPr>
          <w:sz w:val="21"/>
          <w:szCs w:val="21"/>
        </w:rPr>
        <w:t>选用</w:t>
      </w:r>
      <w:r>
        <w:rPr>
          <w:rFonts w:hint="eastAsia"/>
          <w:sz w:val="21"/>
          <w:szCs w:val="21"/>
        </w:rPr>
        <w:t>绿色</w:t>
      </w:r>
      <w:r>
        <w:rPr>
          <w:sz w:val="21"/>
          <w:szCs w:val="21"/>
        </w:rPr>
        <w:t>建材，采用高强度、高性能、高耐久性和</w:t>
      </w:r>
      <w:r>
        <w:rPr>
          <w:rFonts w:hint="eastAsia"/>
          <w:sz w:val="21"/>
          <w:szCs w:val="21"/>
        </w:rPr>
        <w:t>可循环材料以及先进适用技术体系。</w:t>
      </w:r>
    </w:p>
    <w:p w14:paraId="7AF23027">
      <w:pPr>
        <w:ind w:firstLine="420"/>
        <w:outlineLvl w:val="0"/>
        <w:rPr>
          <w:rFonts w:hint="eastAsia"/>
          <w:sz w:val="21"/>
          <w:szCs w:val="21"/>
        </w:rPr>
      </w:pPr>
      <w:bookmarkStart w:id="208" w:name="_Toc32711"/>
      <w:bookmarkStart w:id="209" w:name="_Toc11937"/>
      <w:r>
        <w:rPr>
          <w:rFonts w:hint="eastAsia"/>
          <w:sz w:val="21"/>
          <w:szCs w:val="21"/>
        </w:rPr>
        <w:t>4</w:t>
      </w:r>
      <w:r>
        <w:rPr>
          <w:sz w:val="21"/>
          <w:szCs w:val="21"/>
        </w:rPr>
        <w:t xml:space="preserve">  </w:t>
      </w:r>
      <w:r>
        <w:rPr>
          <w:rFonts w:hint="eastAsia"/>
          <w:sz w:val="21"/>
          <w:szCs w:val="21"/>
        </w:rPr>
        <w:t>钢材、水泥和电缆等消耗量省，同比达到国内先进水平。</w:t>
      </w:r>
      <w:bookmarkEnd w:id="208"/>
      <w:bookmarkEnd w:id="209"/>
      <w:r>
        <w:rPr>
          <w:sz w:val="21"/>
          <w:szCs w:val="21"/>
        </w:rPr>
        <w:t xml:space="preserve"> </w:t>
      </w:r>
    </w:p>
    <w:p w14:paraId="382E32F1">
      <w:pPr>
        <w:ind w:firstLine="420"/>
        <w:rPr>
          <w:rFonts w:hint="eastAsia"/>
          <w:sz w:val="21"/>
          <w:szCs w:val="21"/>
        </w:rPr>
      </w:pPr>
      <w:r>
        <w:rPr>
          <w:rFonts w:hint="eastAsia"/>
          <w:sz w:val="21"/>
          <w:szCs w:val="21"/>
        </w:rPr>
        <w:t xml:space="preserve">5 </w:t>
      </w:r>
      <w:r>
        <w:rPr>
          <w:sz w:val="21"/>
          <w:szCs w:val="21"/>
        </w:rPr>
        <w:t xml:space="preserve"> </w:t>
      </w:r>
      <w:r>
        <w:rPr>
          <w:rFonts w:hint="eastAsia"/>
          <w:sz w:val="21"/>
          <w:szCs w:val="21"/>
        </w:rPr>
        <w:t>变电站（换流站）建筑内变压器能效不低于国家现行相关能效标准的2级值。</w:t>
      </w:r>
    </w:p>
    <w:p w14:paraId="5F651B3E">
      <w:pPr>
        <w:ind w:firstLine="420"/>
        <w:rPr>
          <w:rFonts w:hint="eastAsia"/>
          <w:sz w:val="21"/>
          <w:szCs w:val="21"/>
        </w:rPr>
      </w:pPr>
      <w:r>
        <w:rPr>
          <w:rFonts w:hint="eastAsia"/>
          <w:sz w:val="21"/>
          <w:szCs w:val="21"/>
        </w:rPr>
        <w:t xml:space="preserve">6 </w:t>
      </w:r>
      <w:r>
        <w:rPr>
          <w:sz w:val="21"/>
          <w:szCs w:val="21"/>
        </w:rPr>
        <w:t xml:space="preserve"> </w:t>
      </w:r>
      <w:r>
        <w:rPr>
          <w:rFonts w:hint="eastAsia"/>
          <w:sz w:val="21"/>
          <w:szCs w:val="21"/>
        </w:rPr>
        <w:t>变电站（换流站）建筑内</w:t>
      </w:r>
      <w:r>
        <w:rPr>
          <w:sz w:val="21"/>
          <w:szCs w:val="21"/>
        </w:rPr>
        <w:t>照明光源、灯具的能效不低于国家现行相关能效标准的节能评价值或2级值</w:t>
      </w:r>
      <w:r>
        <w:rPr>
          <w:rFonts w:hint="eastAsia"/>
          <w:sz w:val="21"/>
          <w:szCs w:val="21"/>
        </w:rPr>
        <w:t>，并</w:t>
      </w:r>
      <w:r>
        <w:rPr>
          <w:sz w:val="21"/>
          <w:szCs w:val="21"/>
        </w:rPr>
        <w:t>采用适宜的智能照明控制系统。</w:t>
      </w:r>
    </w:p>
    <w:p w14:paraId="44D3159B">
      <w:pPr>
        <w:ind w:firstLine="420"/>
        <w:outlineLvl w:val="0"/>
        <w:rPr>
          <w:rFonts w:hint="eastAsia"/>
          <w:sz w:val="21"/>
          <w:szCs w:val="21"/>
        </w:rPr>
      </w:pPr>
      <w:bookmarkStart w:id="210" w:name="_Toc8596"/>
      <w:bookmarkStart w:id="211" w:name="_Toc28740"/>
      <w:r>
        <w:rPr>
          <w:rFonts w:hint="eastAsia"/>
          <w:sz w:val="21"/>
          <w:szCs w:val="21"/>
        </w:rPr>
        <w:t>7</w:t>
      </w:r>
      <w:r>
        <w:rPr>
          <w:sz w:val="21"/>
          <w:szCs w:val="21"/>
        </w:rPr>
        <w:t xml:space="preserve"> </w:t>
      </w:r>
      <w:r>
        <w:rPr>
          <w:rFonts w:hint="eastAsia"/>
          <w:sz w:val="21"/>
          <w:szCs w:val="21"/>
        </w:rPr>
        <w:t xml:space="preserve"> 变电站（换流站）建筑围护结构热工设计先进合理。</w:t>
      </w:r>
      <w:bookmarkEnd w:id="210"/>
      <w:bookmarkEnd w:id="211"/>
      <w:r>
        <w:rPr>
          <w:sz w:val="21"/>
          <w:szCs w:val="21"/>
        </w:rPr>
        <w:t xml:space="preserve"> </w:t>
      </w:r>
    </w:p>
    <w:p w14:paraId="70F0AD5A">
      <w:pPr>
        <w:ind w:firstLine="420"/>
        <w:rPr>
          <w:rFonts w:hint="eastAsia"/>
          <w:sz w:val="21"/>
          <w:szCs w:val="21"/>
        </w:rPr>
      </w:pPr>
      <w:r>
        <w:rPr>
          <w:rFonts w:hint="eastAsia"/>
          <w:sz w:val="21"/>
          <w:szCs w:val="21"/>
        </w:rPr>
        <w:t xml:space="preserve">8 </w:t>
      </w:r>
      <w:r>
        <w:rPr>
          <w:sz w:val="21"/>
          <w:szCs w:val="21"/>
        </w:rPr>
        <w:t xml:space="preserve"> </w:t>
      </w:r>
      <w:r>
        <w:rPr>
          <w:rFonts w:hint="eastAsia"/>
          <w:sz w:val="21"/>
          <w:szCs w:val="21"/>
        </w:rPr>
        <w:t>变电站（换流站）建筑采用装配式技术，生产建筑积极采用工厂化预制构件。</w:t>
      </w:r>
    </w:p>
    <w:p w14:paraId="5C3751ED">
      <w:pPr>
        <w:ind w:firstLine="420"/>
        <w:rPr>
          <w:rFonts w:hint="eastAsia"/>
          <w:sz w:val="21"/>
          <w:szCs w:val="21"/>
        </w:rPr>
      </w:pPr>
      <w:r>
        <w:rPr>
          <w:rFonts w:hint="eastAsia"/>
          <w:sz w:val="21"/>
          <w:szCs w:val="21"/>
        </w:rPr>
        <w:t xml:space="preserve">9 </w:t>
      </w:r>
      <w:r>
        <w:rPr>
          <w:sz w:val="21"/>
          <w:szCs w:val="21"/>
        </w:rPr>
        <w:t xml:space="preserve"> </w:t>
      </w:r>
      <w:r>
        <w:rPr>
          <w:rFonts w:hint="eastAsia"/>
          <w:sz w:val="21"/>
          <w:szCs w:val="21"/>
        </w:rPr>
        <w:t>变电站（换流站）</w:t>
      </w:r>
      <w:r>
        <w:rPr>
          <w:sz w:val="21"/>
          <w:szCs w:val="21"/>
        </w:rPr>
        <w:t>进行海绵城市或雨水综合利用专项设计，优化污水处理和雨水回收利用</w:t>
      </w:r>
      <w:r>
        <w:rPr>
          <w:rFonts w:hint="eastAsia"/>
          <w:sz w:val="21"/>
          <w:szCs w:val="21"/>
        </w:rPr>
        <w:t>。建筑内应使用较高用水效率等级的卫生器具，节水效率等级达到现行国家标准规定的2级能效标准</w:t>
      </w:r>
      <w:r>
        <w:rPr>
          <w:sz w:val="21"/>
          <w:szCs w:val="21"/>
        </w:rPr>
        <w:t>。</w:t>
      </w:r>
    </w:p>
    <w:p w14:paraId="514ED13B">
      <w:pPr>
        <w:ind w:firstLine="420"/>
        <w:rPr>
          <w:rFonts w:hint="eastAsia"/>
          <w:sz w:val="21"/>
          <w:szCs w:val="21"/>
        </w:rPr>
      </w:pPr>
      <w:r>
        <w:rPr>
          <w:rFonts w:hint="eastAsia"/>
          <w:sz w:val="21"/>
          <w:szCs w:val="21"/>
        </w:rPr>
        <w:t xml:space="preserve">10 </w:t>
      </w:r>
      <w:r>
        <w:rPr>
          <w:sz w:val="21"/>
          <w:szCs w:val="21"/>
        </w:rPr>
        <w:t xml:space="preserve"> </w:t>
      </w:r>
      <w:r>
        <w:rPr>
          <w:rFonts w:hint="eastAsia"/>
          <w:sz w:val="21"/>
          <w:szCs w:val="21"/>
        </w:rPr>
        <w:t>变电站（换流站）建筑充分利用自然光和自然通风。</w:t>
      </w:r>
    </w:p>
    <w:p w14:paraId="57BD9FFF">
      <w:pPr>
        <w:ind w:firstLine="420"/>
        <w:rPr>
          <w:rFonts w:hint="eastAsia"/>
          <w:sz w:val="21"/>
          <w:szCs w:val="21"/>
        </w:rPr>
      </w:pPr>
      <w:r>
        <w:rPr>
          <w:rFonts w:hint="eastAsia"/>
          <w:sz w:val="21"/>
          <w:szCs w:val="21"/>
        </w:rPr>
        <w:t xml:space="preserve">11 </w:t>
      </w:r>
      <w:r>
        <w:rPr>
          <w:sz w:val="21"/>
          <w:szCs w:val="21"/>
        </w:rPr>
        <w:t xml:space="preserve"> </w:t>
      </w:r>
      <w:r>
        <w:rPr>
          <w:rFonts w:hint="eastAsia"/>
          <w:sz w:val="21"/>
          <w:szCs w:val="21"/>
        </w:rPr>
        <w:t>架空线路工程塔型与基础选型合理，</w:t>
      </w:r>
      <w:r>
        <w:rPr>
          <w:sz w:val="21"/>
          <w:szCs w:val="21"/>
        </w:rPr>
        <w:t>减小根开及占地面积。</w:t>
      </w:r>
    </w:p>
    <w:p w14:paraId="20AFD221">
      <w:pPr>
        <w:ind w:firstLine="420"/>
        <w:rPr>
          <w:rFonts w:hint="eastAsia"/>
          <w:sz w:val="21"/>
          <w:szCs w:val="21"/>
        </w:rPr>
      </w:pPr>
      <w:r>
        <w:rPr>
          <w:rFonts w:hint="eastAsia"/>
          <w:sz w:val="21"/>
          <w:szCs w:val="21"/>
        </w:rPr>
        <w:t>12</w:t>
      </w:r>
      <w:r>
        <w:rPr>
          <w:sz w:val="21"/>
          <w:szCs w:val="21"/>
        </w:rPr>
        <w:t xml:space="preserve">  </w:t>
      </w:r>
      <w:r>
        <w:rPr>
          <w:rFonts w:hint="eastAsia"/>
          <w:sz w:val="21"/>
          <w:szCs w:val="21"/>
        </w:rPr>
        <w:t>电缆工程</w:t>
      </w:r>
      <w:r>
        <w:rPr>
          <w:sz w:val="21"/>
          <w:szCs w:val="21"/>
        </w:rPr>
        <w:t>在满足生产、运输、施工及感应电压要求的前提下，尽量增大电缆段长，减少接头数量。</w:t>
      </w:r>
    </w:p>
    <w:p w14:paraId="141D0353">
      <w:pPr>
        <w:spacing w:before="120" w:beforeLines="50" w:after="240" w:afterLines="100"/>
        <w:jc w:val="center"/>
        <w:rPr>
          <w:rFonts w:hint="eastAsia"/>
          <w:sz w:val="21"/>
          <w:szCs w:val="21"/>
        </w:rPr>
      </w:pPr>
      <w:r>
        <w:rPr>
          <w:rFonts w:hint="eastAsia"/>
          <w:sz w:val="21"/>
          <w:szCs w:val="21"/>
        </w:rPr>
        <w:t xml:space="preserve">Ⅲ </w:t>
      </w:r>
      <w:r>
        <w:rPr>
          <w:sz w:val="21"/>
          <w:szCs w:val="21"/>
        </w:rPr>
        <w:t xml:space="preserve"> </w:t>
      </w:r>
      <w:r>
        <w:rPr>
          <w:rFonts w:hint="eastAsia"/>
          <w:sz w:val="21"/>
          <w:szCs w:val="21"/>
        </w:rPr>
        <w:t>生态环保</w:t>
      </w:r>
    </w:p>
    <w:p w14:paraId="381537A2">
      <w:pPr>
        <w:outlineLvl w:val="1"/>
        <w:rPr>
          <w:rFonts w:hint="eastAsia"/>
          <w:sz w:val="21"/>
          <w:szCs w:val="21"/>
        </w:rPr>
      </w:pPr>
      <w:bookmarkStart w:id="212" w:name="_Toc27844"/>
      <w:bookmarkStart w:id="213" w:name="_Toc16357"/>
      <w:r>
        <w:rPr>
          <w:sz w:val="21"/>
          <w:szCs w:val="21"/>
        </w:rPr>
        <w:t xml:space="preserve">5.5.3  </w:t>
      </w:r>
      <w:r>
        <w:rPr>
          <w:rFonts w:hint="eastAsia"/>
          <w:sz w:val="21"/>
          <w:szCs w:val="21"/>
        </w:rPr>
        <w:t>生态环保评</w:t>
      </w:r>
      <w:r>
        <w:rPr>
          <w:sz w:val="21"/>
          <w:szCs w:val="21"/>
        </w:rPr>
        <w:t>价应包括以下内容：</w:t>
      </w:r>
      <w:bookmarkEnd w:id="212"/>
      <w:bookmarkEnd w:id="213"/>
    </w:p>
    <w:p w14:paraId="21040956">
      <w:pPr>
        <w:ind w:firstLine="420"/>
        <w:outlineLvl w:val="0"/>
        <w:rPr>
          <w:rFonts w:hint="eastAsia"/>
          <w:sz w:val="21"/>
          <w:szCs w:val="21"/>
        </w:rPr>
      </w:pPr>
      <w:bookmarkStart w:id="214" w:name="_Toc20190"/>
      <w:bookmarkStart w:id="215" w:name="_Toc1074"/>
      <w:r>
        <w:rPr>
          <w:rFonts w:hint="eastAsia"/>
          <w:sz w:val="21"/>
          <w:szCs w:val="21"/>
        </w:rPr>
        <w:t>1</w:t>
      </w:r>
      <w:r>
        <w:rPr>
          <w:sz w:val="21"/>
          <w:szCs w:val="21"/>
        </w:rPr>
        <w:t xml:space="preserve">  </w:t>
      </w:r>
      <w:r>
        <w:rPr>
          <w:rFonts w:hint="eastAsia"/>
          <w:sz w:val="21"/>
          <w:szCs w:val="21"/>
        </w:rPr>
        <w:t>项目布置因地制宜，与生态环境、周边环境和谐统一。</w:t>
      </w:r>
      <w:bookmarkEnd w:id="214"/>
      <w:bookmarkEnd w:id="215"/>
    </w:p>
    <w:p w14:paraId="32E6E6A9">
      <w:pPr>
        <w:ind w:firstLine="420"/>
        <w:rPr>
          <w:rFonts w:hint="eastAsia"/>
          <w:sz w:val="21"/>
          <w:szCs w:val="21"/>
        </w:rPr>
      </w:pPr>
      <w:r>
        <w:rPr>
          <w:rFonts w:hint="eastAsia"/>
          <w:sz w:val="21"/>
          <w:szCs w:val="21"/>
        </w:rPr>
        <w:t>2</w:t>
      </w:r>
      <w:r>
        <w:rPr>
          <w:sz w:val="21"/>
          <w:szCs w:val="21"/>
        </w:rPr>
        <w:t xml:space="preserve">  </w:t>
      </w:r>
      <w:r>
        <w:rPr>
          <w:rFonts w:hint="eastAsia"/>
          <w:sz w:val="21"/>
          <w:szCs w:val="21"/>
        </w:rPr>
        <w:t>挖、填土石方量少，实现土石方量自身平衡，减少对水土保持、生态环境的影响。</w:t>
      </w:r>
    </w:p>
    <w:p w14:paraId="5F2BA0A2">
      <w:pPr>
        <w:ind w:firstLine="420"/>
        <w:outlineLvl w:val="0"/>
        <w:rPr>
          <w:rFonts w:hint="eastAsia"/>
          <w:sz w:val="21"/>
          <w:szCs w:val="21"/>
        </w:rPr>
      </w:pPr>
      <w:bookmarkStart w:id="216" w:name="_Toc7484"/>
      <w:bookmarkStart w:id="217" w:name="_Toc23045"/>
      <w:r>
        <w:rPr>
          <w:rFonts w:hint="eastAsia"/>
          <w:sz w:val="21"/>
          <w:szCs w:val="21"/>
        </w:rPr>
        <w:t>3</w:t>
      </w:r>
      <w:r>
        <w:rPr>
          <w:sz w:val="21"/>
          <w:szCs w:val="21"/>
        </w:rPr>
        <w:t xml:space="preserve">  </w:t>
      </w:r>
      <w:r>
        <w:rPr>
          <w:rFonts w:hint="eastAsia"/>
          <w:sz w:val="21"/>
          <w:szCs w:val="21"/>
        </w:rPr>
        <w:t>污废水（油）处理方案合理，满足环评批复要求。</w:t>
      </w:r>
      <w:bookmarkEnd w:id="216"/>
      <w:bookmarkEnd w:id="217"/>
    </w:p>
    <w:p w14:paraId="27BE4C62">
      <w:pPr>
        <w:ind w:firstLine="420"/>
        <w:rPr>
          <w:rFonts w:hint="eastAsia"/>
          <w:sz w:val="21"/>
          <w:szCs w:val="21"/>
        </w:rPr>
      </w:pPr>
      <w:r>
        <w:rPr>
          <w:rFonts w:hint="eastAsia"/>
          <w:sz w:val="21"/>
          <w:szCs w:val="21"/>
        </w:rPr>
        <w:t>4</w:t>
      </w:r>
      <w:r>
        <w:rPr>
          <w:sz w:val="21"/>
          <w:szCs w:val="21"/>
        </w:rPr>
        <w:t xml:space="preserve">  利用和保护场地现有自然资源和既有设施，减少对环境的影响和破坏。涉及高原植被、草原、林区、冻土等特殊地区的工程，应强化水土保持和生态修复措施。</w:t>
      </w:r>
    </w:p>
    <w:p w14:paraId="4A8503CC">
      <w:pPr>
        <w:ind w:firstLine="420"/>
        <w:outlineLvl w:val="0"/>
        <w:rPr>
          <w:rFonts w:hint="eastAsia"/>
          <w:sz w:val="21"/>
          <w:szCs w:val="21"/>
        </w:rPr>
      </w:pPr>
      <w:bookmarkStart w:id="218" w:name="_Toc21776"/>
      <w:bookmarkStart w:id="219" w:name="_Toc24969"/>
      <w:r>
        <w:rPr>
          <w:rFonts w:hint="eastAsia"/>
          <w:sz w:val="21"/>
          <w:szCs w:val="21"/>
        </w:rPr>
        <w:t xml:space="preserve">5 </w:t>
      </w:r>
      <w:r>
        <w:rPr>
          <w:sz w:val="21"/>
          <w:szCs w:val="21"/>
        </w:rPr>
        <w:t xml:space="preserve"> 选用电磁辐射水平低、</w:t>
      </w:r>
      <w:r>
        <w:rPr>
          <w:rFonts w:hint="eastAsia"/>
          <w:sz w:val="21"/>
          <w:szCs w:val="21"/>
        </w:rPr>
        <w:t>无毒</w:t>
      </w:r>
      <w:r>
        <w:rPr>
          <w:sz w:val="21"/>
          <w:szCs w:val="21"/>
        </w:rPr>
        <w:t>的设备、材料。</w:t>
      </w:r>
      <w:bookmarkEnd w:id="218"/>
      <w:bookmarkEnd w:id="219"/>
    </w:p>
    <w:p w14:paraId="6BEF8BCA">
      <w:pPr>
        <w:ind w:firstLine="420"/>
        <w:rPr>
          <w:rFonts w:hint="eastAsia"/>
          <w:sz w:val="21"/>
          <w:szCs w:val="21"/>
        </w:rPr>
      </w:pPr>
      <w:r>
        <w:rPr>
          <w:rFonts w:hint="eastAsia"/>
          <w:sz w:val="21"/>
          <w:szCs w:val="21"/>
        </w:rPr>
        <w:t xml:space="preserve">6 </w:t>
      </w:r>
      <w:r>
        <w:rPr>
          <w:sz w:val="21"/>
          <w:szCs w:val="21"/>
        </w:rPr>
        <w:t xml:space="preserve"> </w:t>
      </w:r>
      <w:r>
        <w:rPr>
          <w:rFonts w:hint="eastAsia"/>
          <w:sz w:val="21"/>
          <w:szCs w:val="21"/>
        </w:rPr>
        <w:t>变电站（换流站）项目采用低噪声设备，并采取</w:t>
      </w:r>
      <w:r>
        <w:rPr>
          <w:sz w:val="21"/>
          <w:szCs w:val="21"/>
        </w:rPr>
        <w:t>隔声、消声、吸声等</w:t>
      </w:r>
      <w:r>
        <w:rPr>
          <w:rFonts w:hint="eastAsia"/>
          <w:sz w:val="21"/>
          <w:szCs w:val="21"/>
        </w:rPr>
        <w:t>措施</w:t>
      </w:r>
      <w:r>
        <w:rPr>
          <w:sz w:val="21"/>
          <w:szCs w:val="21"/>
        </w:rPr>
        <w:t>，以降低变电站噪声对环境的影响。</w:t>
      </w:r>
    </w:p>
    <w:p w14:paraId="5FD2A6B0">
      <w:pPr>
        <w:spacing w:before="120" w:beforeLines="50" w:after="240" w:afterLines="100"/>
        <w:jc w:val="center"/>
        <w:rPr>
          <w:rFonts w:hint="eastAsia"/>
          <w:sz w:val="21"/>
          <w:szCs w:val="21"/>
        </w:rPr>
      </w:pPr>
      <w:r>
        <w:rPr>
          <w:rFonts w:hint="eastAsia"/>
          <w:sz w:val="21"/>
          <w:szCs w:val="21"/>
        </w:rPr>
        <w:t xml:space="preserve">Ⅳ </w:t>
      </w:r>
      <w:r>
        <w:rPr>
          <w:sz w:val="21"/>
          <w:szCs w:val="21"/>
        </w:rPr>
        <w:t xml:space="preserve"> </w:t>
      </w:r>
      <w:r>
        <w:rPr>
          <w:rFonts w:hint="eastAsia"/>
          <w:sz w:val="21"/>
          <w:szCs w:val="21"/>
        </w:rPr>
        <w:t>综合效益</w:t>
      </w:r>
    </w:p>
    <w:p w14:paraId="2F5193C4">
      <w:pPr>
        <w:outlineLvl w:val="1"/>
        <w:rPr>
          <w:rFonts w:hint="eastAsia"/>
          <w:sz w:val="21"/>
          <w:szCs w:val="21"/>
        </w:rPr>
      </w:pPr>
      <w:bookmarkStart w:id="220" w:name="_Toc508"/>
      <w:bookmarkStart w:id="221" w:name="_Toc2226"/>
      <w:r>
        <w:rPr>
          <w:sz w:val="21"/>
          <w:szCs w:val="21"/>
        </w:rPr>
        <w:t xml:space="preserve">5.5.4  </w:t>
      </w:r>
      <w:r>
        <w:rPr>
          <w:rFonts w:hint="eastAsia"/>
          <w:sz w:val="21"/>
          <w:szCs w:val="21"/>
        </w:rPr>
        <w:t>综合效益评</w:t>
      </w:r>
      <w:r>
        <w:rPr>
          <w:sz w:val="21"/>
          <w:szCs w:val="21"/>
        </w:rPr>
        <w:t>价应包括以下内容：</w:t>
      </w:r>
      <w:bookmarkEnd w:id="220"/>
      <w:bookmarkEnd w:id="221"/>
    </w:p>
    <w:p w14:paraId="679E9A45">
      <w:pPr>
        <w:ind w:firstLine="420" w:firstLineChars="200"/>
        <w:rPr>
          <w:rFonts w:hint="eastAsia"/>
          <w:sz w:val="21"/>
          <w:szCs w:val="21"/>
        </w:rPr>
      </w:pPr>
      <w:r>
        <w:rPr>
          <w:rFonts w:hint="eastAsia"/>
          <w:sz w:val="21"/>
          <w:szCs w:val="21"/>
        </w:rPr>
        <w:t>1</w:t>
      </w:r>
      <w:r>
        <w:rPr>
          <w:sz w:val="21"/>
          <w:szCs w:val="21"/>
        </w:rPr>
        <w:t xml:space="preserve">  </w:t>
      </w:r>
      <w:r>
        <w:rPr>
          <w:rFonts w:hint="eastAsia"/>
          <w:sz w:val="21"/>
          <w:szCs w:val="21"/>
        </w:rPr>
        <w:t>与同类同期工程相比较，在综合投资方面有显著改进，并取得显著成效；重要经济技术指标处于领先水平。</w:t>
      </w:r>
    </w:p>
    <w:p w14:paraId="4A9141A0">
      <w:pPr>
        <w:ind w:firstLine="420" w:firstLineChars="200"/>
        <w:rPr>
          <w:rFonts w:hint="eastAsia"/>
          <w:sz w:val="21"/>
          <w:szCs w:val="21"/>
        </w:rPr>
      </w:pPr>
      <w:r>
        <w:rPr>
          <w:rFonts w:hint="eastAsia"/>
          <w:sz w:val="21"/>
          <w:szCs w:val="21"/>
        </w:rPr>
        <w:t>2</w:t>
      </w:r>
      <w:r>
        <w:rPr>
          <w:sz w:val="21"/>
          <w:szCs w:val="21"/>
        </w:rPr>
        <w:t xml:space="preserve">  </w:t>
      </w:r>
      <w:r>
        <w:rPr>
          <w:rFonts w:hint="eastAsia"/>
          <w:sz w:val="21"/>
          <w:szCs w:val="21"/>
        </w:rPr>
        <w:t>与同类同期工程相比较，在资源节约、环境保护、生态融合等方面亮点突出，社会满意度较高。</w:t>
      </w:r>
    </w:p>
    <w:p w14:paraId="418F7AEE">
      <w:pPr>
        <w:spacing w:before="120" w:beforeLines="50" w:after="240" w:afterLines="100"/>
        <w:jc w:val="center"/>
        <w:rPr>
          <w:rFonts w:hint="eastAsia"/>
          <w:sz w:val="21"/>
          <w:szCs w:val="21"/>
        </w:rPr>
      </w:pPr>
      <w:r>
        <w:rPr>
          <w:rFonts w:hint="eastAsia"/>
          <w:sz w:val="21"/>
          <w:szCs w:val="21"/>
        </w:rPr>
        <w:t>Ⅴ</w:t>
      </w:r>
      <w:r>
        <w:rPr>
          <w:sz w:val="21"/>
          <w:szCs w:val="21"/>
        </w:rPr>
        <w:t xml:space="preserve">  </w:t>
      </w:r>
      <w:r>
        <w:rPr>
          <w:rFonts w:hint="eastAsia"/>
          <w:sz w:val="21"/>
          <w:szCs w:val="21"/>
        </w:rPr>
        <w:t>科技创新</w:t>
      </w:r>
    </w:p>
    <w:p w14:paraId="386BD434">
      <w:pPr>
        <w:outlineLvl w:val="1"/>
        <w:rPr>
          <w:rFonts w:hint="eastAsia"/>
          <w:sz w:val="21"/>
          <w:szCs w:val="21"/>
        </w:rPr>
      </w:pPr>
      <w:bookmarkStart w:id="222" w:name="_Toc1650"/>
      <w:bookmarkStart w:id="223" w:name="_Toc4106"/>
      <w:r>
        <w:rPr>
          <w:sz w:val="21"/>
          <w:szCs w:val="21"/>
        </w:rPr>
        <w:t xml:space="preserve">5.5.5  </w:t>
      </w:r>
      <w:r>
        <w:rPr>
          <w:rFonts w:hint="eastAsia"/>
          <w:sz w:val="21"/>
          <w:szCs w:val="21"/>
        </w:rPr>
        <w:t>科技创新评</w:t>
      </w:r>
      <w:r>
        <w:rPr>
          <w:sz w:val="21"/>
          <w:szCs w:val="21"/>
        </w:rPr>
        <w:t>价应包括以下内容：</w:t>
      </w:r>
      <w:bookmarkEnd w:id="222"/>
      <w:bookmarkEnd w:id="223"/>
    </w:p>
    <w:p w14:paraId="1BB89D45">
      <w:pPr>
        <w:ind w:firstLine="420"/>
        <w:rPr>
          <w:rFonts w:hint="eastAsia"/>
          <w:sz w:val="21"/>
          <w:szCs w:val="21"/>
        </w:rPr>
      </w:pPr>
      <w:r>
        <w:rPr>
          <w:sz w:val="21"/>
          <w:szCs w:val="21"/>
        </w:rPr>
        <w:t xml:space="preserve">1  </w:t>
      </w:r>
      <w:r>
        <w:rPr>
          <w:rFonts w:hint="eastAsia"/>
          <w:sz w:val="21"/>
          <w:szCs w:val="21"/>
        </w:rPr>
        <w:t>积极采用新技术、新工艺、新流程、新材料、新装备、新产品等技术创新成果，项目节材、节材、环保等指标先进，领先国内同类型工程。</w:t>
      </w:r>
    </w:p>
    <w:p w14:paraId="14761365">
      <w:pPr>
        <w:ind w:firstLine="420"/>
        <w:rPr>
          <w:rFonts w:hint="eastAsia"/>
          <w:sz w:val="21"/>
          <w:szCs w:val="21"/>
        </w:rPr>
      </w:pPr>
      <w:r>
        <w:rPr>
          <w:rFonts w:hint="eastAsia"/>
          <w:sz w:val="21"/>
          <w:szCs w:val="21"/>
        </w:rPr>
        <w:t>2</w:t>
      </w:r>
      <w:r>
        <w:rPr>
          <w:sz w:val="21"/>
          <w:szCs w:val="21"/>
        </w:rPr>
        <w:t xml:space="preserve">  </w:t>
      </w:r>
      <w:r>
        <w:rPr>
          <w:rFonts w:hint="eastAsia"/>
          <w:sz w:val="21"/>
          <w:szCs w:val="21"/>
        </w:rPr>
        <w:t>依托本工程取得的创新成果（课题、专利、专有技术、奖项、竞赛活动成果、国家示范试点、参编标准、期刊论文等）填补国内空白或接近国际水平。</w:t>
      </w:r>
    </w:p>
    <w:p w14:paraId="10D2CD6E">
      <w:pPr>
        <w:spacing w:before="120" w:beforeLines="50" w:after="240" w:afterLines="100"/>
        <w:jc w:val="center"/>
        <w:outlineLvl w:val="2"/>
        <w:rPr>
          <w:rFonts w:hint="eastAsia"/>
          <w:sz w:val="21"/>
          <w:szCs w:val="21"/>
        </w:rPr>
      </w:pPr>
      <w:bookmarkStart w:id="224" w:name="_Toc32273"/>
      <w:r>
        <w:fldChar w:fldCharType="begin"/>
      </w:r>
      <w:r>
        <w:instrText xml:space="preserve"> HYPERLINK \l "_Toc162470870" </w:instrText>
      </w:r>
      <w:r>
        <w:fldChar w:fldCharType="separate"/>
      </w:r>
      <w:bookmarkStart w:id="225" w:name="_Toc174141245"/>
      <w:r>
        <w:rPr>
          <w:sz w:val="21"/>
          <w:szCs w:val="21"/>
        </w:rPr>
        <w:t>5.6  电力储能工程</w:t>
      </w:r>
      <w:bookmarkEnd w:id="225"/>
      <w:r>
        <w:rPr>
          <w:sz w:val="21"/>
          <w:szCs w:val="21"/>
        </w:rPr>
        <w:fldChar w:fldCharType="end"/>
      </w:r>
      <w:bookmarkEnd w:id="224"/>
    </w:p>
    <w:p w14:paraId="021FB03C">
      <w:pPr>
        <w:spacing w:before="120" w:beforeLines="50" w:after="240" w:afterLines="100"/>
        <w:jc w:val="center"/>
        <w:rPr>
          <w:rFonts w:hint="eastAsia"/>
          <w:sz w:val="21"/>
          <w:szCs w:val="21"/>
        </w:rPr>
      </w:pPr>
      <w:r>
        <w:rPr>
          <w:rFonts w:hint="eastAsia"/>
          <w:sz w:val="21"/>
          <w:szCs w:val="21"/>
        </w:rPr>
        <w:t>Ⅰ</w:t>
      </w:r>
      <w:r>
        <w:rPr>
          <w:sz w:val="21"/>
          <w:szCs w:val="21"/>
        </w:rPr>
        <w:t xml:space="preserve">  </w:t>
      </w:r>
      <w:r>
        <w:rPr>
          <w:rFonts w:hint="eastAsia"/>
          <w:sz w:val="21"/>
          <w:szCs w:val="21"/>
        </w:rPr>
        <w:t>技术</w:t>
      </w:r>
      <w:r>
        <w:rPr>
          <w:sz w:val="21"/>
          <w:szCs w:val="21"/>
        </w:rPr>
        <w:t>先进</w:t>
      </w:r>
    </w:p>
    <w:p w14:paraId="14B894EA">
      <w:pPr>
        <w:widowControl w:val="0"/>
        <w:adjustRightInd w:val="0"/>
        <w:snapToGrid w:val="0"/>
        <w:outlineLvl w:val="1"/>
        <w:rPr>
          <w:rFonts w:hint="eastAsia"/>
          <w:sz w:val="21"/>
          <w:szCs w:val="21"/>
        </w:rPr>
      </w:pPr>
      <w:bookmarkStart w:id="226" w:name="_Toc21534"/>
      <w:bookmarkStart w:id="227" w:name="_Toc8636"/>
      <w:r>
        <w:rPr>
          <w:sz w:val="21"/>
          <w:szCs w:val="21"/>
        </w:rPr>
        <w:t xml:space="preserve">5.6.1  </w:t>
      </w:r>
      <w:r>
        <w:rPr>
          <w:rFonts w:hint="eastAsia"/>
          <w:sz w:val="21"/>
          <w:szCs w:val="21"/>
        </w:rPr>
        <w:t>技术</w:t>
      </w:r>
      <w:r>
        <w:rPr>
          <w:sz w:val="21"/>
          <w:szCs w:val="21"/>
        </w:rPr>
        <w:t>先进</w:t>
      </w:r>
      <w:r>
        <w:rPr>
          <w:rFonts w:hint="eastAsia"/>
          <w:sz w:val="21"/>
          <w:szCs w:val="21"/>
        </w:rPr>
        <w:t>评</w:t>
      </w:r>
      <w:r>
        <w:rPr>
          <w:sz w:val="21"/>
          <w:szCs w:val="21"/>
        </w:rPr>
        <w:t>价应包括以下内容：</w:t>
      </w:r>
      <w:bookmarkEnd w:id="226"/>
      <w:bookmarkEnd w:id="227"/>
    </w:p>
    <w:p w14:paraId="08358172">
      <w:pPr>
        <w:widowControl w:val="0"/>
        <w:adjustRightInd w:val="0"/>
        <w:snapToGrid w:val="0"/>
        <w:ind w:firstLine="420" w:firstLineChars="200"/>
        <w:outlineLvl w:val="0"/>
        <w:rPr>
          <w:rFonts w:hint="eastAsia"/>
          <w:sz w:val="21"/>
          <w:szCs w:val="21"/>
        </w:rPr>
      </w:pPr>
      <w:bookmarkStart w:id="228" w:name="_Toc30571"/>
      <w:bookmarkStart w:id="229" w:name="_Toc23269"/>
      <w:r>
        <w:rPr>
          <w:sz w:val="21"/>
          <w:szCs w:val="21"/>
        </w:rPr>
        <w:t xml:space="preserve">1  </w:t>
      </w:r>
      <w:r>
        <w:rPr>
          <w:rFonts w:hint="eastAsia"/>
          <w:sz w:val="21"/>
          <w:szCs w:val="21"/>
        </w:rPr>
        <w:t>储能电站总体设计科学合理，有良好的绿色建造观感。</w:t>
      </w:r>
      <w:bookmarkEnd w:id="228"/>
      <w:bookmarkEnd w:id="229"/>
    </w:p>
    <w:p w14:paraId="07B3B1E2">
      <w:pPr>
        <w:widowControl w:val="0"/>
        <w:adjustRightInd w:val="0"/>
        <w:snapToGrid w:val="0"/>
        <w:ind w:firstLine="420" w:firstLineChars="200"/>
        <w:rPr>
          <w:rFonts w:hint="eastAsia"/>
          <w:sz w:val="21"/>
          <w:szCs w:val="21"/>
        </w:rPr>
      </w:pPr>
      <w:r>
        <w:rPr>
          <w:sz w:val="21"/>
          <w:szCs w:val="21"/>
        </w:rPr>
        <w:t>2  储能主系统技术路线先进</w:t>
      </w:r>
      <w:r>
        <w:rPr>
          <w:rFonts w:hint="eastAsia"/>
          <w:sz w:val="21"/>
          <w:szCs w:val="21"/>
        </w:rPr>
        <w:t>，电站全寿期内的技术经济性优，</w:t>
      </w:r>
      <w:r>
        <w:rPr>
          <w:sz w:val="21"/>
          <w:szCs w:val="21"/>
        </w:rPr>
        <w:t>性能指标同类储能系统领先</w:t>
      </w:r>
      <w:r>
        <w:rPr>
          <w:rFonts w:hint="eastAsia"/>
          <w:sz w:val="21"/>
          <w:szCs w:val="21"/>
        </w:rPr>
        <w:t>。</w:t>
      </w:r>
    </w:p>
    <w:p w14:paraId="13BBD8D0">
      <w:pPr>
        <w:widowControl w:val="0"/>
        <w:adjustRightInd w:val="0"/>
        <w:snapToGrid w:val="0"/>
        <w:ind w:firstLine="420" w:firstLineChars="200"/>
        <w:rPr>
          <w:rFonts w:hint="eastAsia"/>
          <w:sz w:val="21"/>
          <w:szCs w:val="21"/>
        </w:rPr>
      </w:pPr>
      <w:r>
        <w:rPr>
          <w:sz w:val="21"/>
          <w:szCs w:val="21"/>
        </w:rPr>
        <w:t xml:space="preserve">3  </w:t>
      </w:r>
      <w:r>
        <w:rPr>
          <w:rFonts w:hint="eastAsia"/>
          <w:sz w:val="21"/>
          <w:szCs w:val="21"/>
        </w:rPr>
        <w:t>积极采用新技术、新工艺，采用新型设备，使储能电站具备更多功能，有利于新型电力系统构建</w:t>
      </w:r>
      <w:r>
        <w:rPr>
          <w:sz w:val="21"/>
          <w:szCs w:val="21"/>
        </w:rPr>
        <w:t>。</w:t>
      </w:r>
    </w:p>
    <w:p w14:paraId="28794F66">
      <w:pPr>
        <w:widowControl w:val="0"/>
        <w:adjustRightInd w:val="0"/>
        <w:snapToGrid w:val="0"/>
        <w:ind w:firstLine="420" w:firstLineChars="200"/>
        <w:outlineLvl w:val="0"/>
        <w:rPr>
          <w:rFonts w:hint="eastAsia"/>
          <w:sz w:val="21"/>
          <w:szCs w:val="21"/>
        </w:rPr>
      </w:pPr>
      <w:bookmarkStart w:id="230" w:name="_Toc18585"/>
      <w:bookmarkStart w:id="231" w:name="_Toc29785"/>
      <w:r>
        <w:rPr>
          <w:sz w:val="21"/>
          <w:szCs w:val="21"/>
        </w:rPr>
        <w:t xml:space="preserve">4  </w:t>
      </w:r>
      <w:r>
        <w:rPr>
          <w:rFonts w:hint="eastAsia"/>
          <w:sz w:val="21"/>
          <w:szCs w:val="21"/>
        </w:rPr>
        <w:t>电气主接线、运行方式设计安全可靠、技术先进。</w:t>
      </w:r>
      <w:bookmarkEnd w:id="230"/>
      <w:bookmarkEnd w:id="231"/>
      <w:r>
        <w:rPr>
          <w:sz w:val="21"/>
          <w:szCs w:val="21"/>
        </w:rPr>
        <w:t xml:space="preserve"> </w:t>
      </w:r>
    </w:p>
    <w:p w14:paraId="50E7B97F">
      <w:pPr>
        <w:widowControl w:val="0"/>
        <w:adjustRightInd w:val="0"/>
        <w:snapToGrid w:val="0"/>
        <w:ind w:firstLine="420" w:firstLineChars="200"/>
        <w:rPr>
          <w:rFonts w:hint="eastAsia"/>
          <w:sz w:val="21"/>
          <w:szCs w:val="21"/>
        </w:rPr>
      </w:pPr>
      <w:r>
        <w:rPr>
          <w:sz w:val="21"/>
          <w:szCs w:val="21"/>
        </w:rPr>
        <w:t xml:space="preserve">5  </w:t>
      </w:r>
      <w:r>
        <w:rPr>
          <w:rFonts w:hint="eastAsia"/>
          <w:sz w:val="21"/>
          <w:szCs w:val="21"/>
        </w:rPr>
        <w:t>采用先进通信与信息技术、计算机网络技术和智能控制技术等量化融合技术，具有较高的智能自动化水平。</w:t>
      </w:r>
      <w:r>
        <w:rPr>
          <w:sz w:val="21"/>
          <w:szCs w:val="21"/>
        </w:rPr>
        <w:t xml:space="preserve"> </w:t>
      </w:r>
    </w:p>
    <w:p w14:paraId="64C414E0">
      <w:pPr>
        <w:widowControl w:val="0"/>
        <w:adjustRightInd w:val="0"/>
        <w:snapToGrid w:val="0"/>
        <w:ind w:firstLine="420" w:firstLineChars="200"/>
        <w:rPr>
          <w:rFonts w:hint="eastAsia"/>
          <w:sz w:val="21"/>
          <w:szCs w:val="21"/>
        </w:rPr>
      </w:pPr>
      <w:r>
        <w:rPr>
          <w:sz w:val="21"/>
          <w:szCs w:val="21"/>
        </w:rPr>
        <w:t xml:space="preserve">6  设备、材料、控制系统国产化率高。 </w:t>
      </w:r>
    </w:p>
    <w:p w14:paraId="5161CA1D">
      <w:pPr>
        <w:widowControl w:val="0"/>
        <w:adjustRightInd w:val="0"/>
        <w:snapToGrid w:val="0"/>
        <w:ind w:firstLine="420" w:firstLineChars="200"/>
        <w:rPr>
          <w:rFonts w:hint="eastAsia"/>
          <w:sz w:val="21"/>
          <w:szCs w:val="21"/>
        </w:rPr>
      </w:pPr>
      <w:r>
        <w:rPr>
          <w:sz w:val="21"/>
          <w:szCs w:val="21"/>
        </w:rPr>
        <w:t xml:space="preserve">7  </w:t>
      </w:r>
      <w:r>
        <w:rPr>
          <w:rFonts w:hint="eastAsia"/>
          <w:sz w:val="21"/>
          <w:szCs w:val="21"/>
        </w:rPr>
        <w:t>环保工艺技术路线先进合理，工程投运后取得良好效果。</w:t>
      </w:r>
    </w:p>
    <w:p w14:paraId="2F93943A">
      <w:pPr>
        <w:widowControl w:val="0"/>
        <w:adjustRightInd w:val="0"/>
        <w:snapToGrid w:val="0"/>
        <w:ind w:firstLine="420" w:firstLineChars="200"/>
        <w:rPr>
          <w:rFonts w:hint="eastAsia"/>
          <w:sz w:val="21"/>
          <w:szCs w:val="21"/>
        </w:rPr>
      </w:pPr>
      <w:r>
        <w:rPr>
          <w:sz w:val="21"/>
          <w:szCs w:val="21"/>
        </w:rPr>
        <w:t>8  推行标准化、工业化智能建造。</w:t>
      </w:r>
    </w:p>
    <w:p w14:paraId="4BAA38CE">
      <w:pPr>
        <w:widowControl w:val="0"/>
        <w:adjustRightInd w:val="0"/>
        <w:snapToGrid w:val="0"/>
        <w:ind w:firstLine="420" w:firstLineChars="200"/>
        <w:rPr>
          <w:rFonts w:hint="eastAsia"/>
          <w:sz w:val="21"/>
          <w:szCs w:val="21"/>
        </w:rPr>
      </w:pPr>
      <w:r>
        <w:rPr>
          <w:sz w:val="21"/>
          <w:szCs w:val="21"/>
        </w:rPr>
        <w:t>9  采用先进的设计</w:t>
      </w:r>
      <w:r>
        <w:rPr>
          <w:rFonts w:hint="eastAsia"/>
          <w:sz w:val="21"/>
          <w:szCs w:val="21"/>
        </w:rPr>
        <w:t>手段</w:t>
      </w:r>
      <w:r>
        <w:rPr>
          <w:sz w:val="21"/>
          <w:szCs w:val="21"/>
        </w:rPr>
        <w:t>和</w:t>
      </w:r>
      <w:r>
        <w:rPr>
          <w:rFonts w:hint="eastAsia"/>
          <w:sz w:val="21"/>
          <w:szCs w:val="21"/>
        </w:rPr>
        <w:t>多专业协同设计</w:t>
      </w:r>
      <w:r>
        <w:rPr>
          <w:sz w:val="21"/>
          <w:szCs w:val="21"/>
        </w:rPr>
        <w:t>，为绿色施工创造有力条件，取得良好效果。</w:t>
      </w:r>
    </w:p>
    <w:p w14:paraId="5C521877">
      <w:pPr>
        <w:widowControl w:val="0"/>
        <w:adjustRightInd w:val="0"/>
        <w:snapToGrid w:val="0"/>
        <w:ind w:firstLine="420" w:firstLineChars="200"/>
        <w:outlineLvl w:val="0"/>
        <w:rPr>
          <w:rFonts w:hint="eastAsia"/>
          <w:sz w:val="21"/>
          <w:szCs w:val="21"/>
        </w:rPr>
      </w:pPr>
      <w:bookmarkStart w:id="232" w:name="_Toc24963"/>
      <w:bookmarkStart w:id="233" w:name="_Toc27167"/>
      <w:r>
        <w:rPr>
          <w:sz w:val="21"/>
          <w:szCs w:val="21"/>
        </w:rPr>
        <w:t>10  建筑</w:t>
      </w:r>
      <w:r>
        <w:rPr>
          <w:rFonts w:hint="eastAsia"/>
          <w:sz w:val="21"/>
          <w:szCs w:val="21"/>
        </w:rPr>
        <w:t>、土建</w:t>
      </w:r>
      <w:r>
        <w:rPr>
          <w:sz w:val="21"/>
          <w:szCs w:val="21"/>
        </w:rPr>
        <w:t>结构</w:t>
      </w:r>
      <w:r>
        <w:rPr>
          <w:rFonts w:hint="eastAsia"/>
          <w:sz w:val="21"/>
          <w:szCs w:val="21"/>
        </w:rPr>
        <w:t>设计</w:t>
      </w:r>
      <w:r>
        <w:rPr>
          <w:sz w:val="21"/>
          <w:szCs w:val="21"/>
        </w:rPr>
        <w:t>科学，具有先进性、前瞻性。</w:t>
      </w:r>
      <w:bookmarkEnd w:id="232"/>
      <w:bookmarkEnd w:id="233"/>
    </w:p>
    <w:p w14:paraId="54818112">
      <w:pPr>
        <w:spacing w:before="120" w:beforeLines="50" w:after="240" w:afterLines="100"/>
        <w:jc w:val="center"/>
        <w:rPr>
          <w:rFonts w:hint="eastAsia"/>
          <w:sz w:val="21"/>
          <w:szCs w:val="21"/>
        </w:rPr>
      </w:pPr>
      <w:r>
        <w:rPr>
          <w:rFonts w:hint="eastAsia"/>
          <w:sz w:val="21"/>
          <w:szCs w:val="21"/>
        </w:rPr>
        <w:t>Ⅱ</w:t>
      </w:r>
      <w:r>
        <w:rPr>
          <w:sz w:val="21"/>
          <w:szCs w:val="21"/>
        </w:rPr>
        <w:t xml:space="preserve">  </w:t>
      </w:r>
      <w:r>
        <w:rPr>
          <w:rFonts w:hint="eastAsia"/>
          <w:sz w:val="21"/>
          <w:szCs w:val="21"/>
        </w:rPr>
        <w:t>资源节约</w:t>
      </w:r>
    </w:p>
    <w:p w14:paraId="07416257">
      <w:pPr>
        <w:widowControl w:val="0"/>
        <w:adjustRightInd w:val="0"/>
        <w:snapToGrid w:val="0"/>
        <w:outlineLvl w:val="1"/>
        <w:rPr>
          <w:rFonts w:hint="eastAsia"/>
          <w:sz w:val="21"/>
          <w:szCs w:val="21"/>
        </w:rPr>
      </w:pPr>
      <w:bookmarkStart w:id="234" w:name="_Toc30805"/>
      <w:bookmarkStart w:id="235" w:name="_Toc20379"/>
      <w:r>
        <w:rPr>
          <w:sz w:val="21"/>
          <w:szCs w:val="21"/>
        </w:rPr>
        <w:t xml:space="preserve">5.6.2  </w:t>
      </w:r>
      <w:r>
        <w:rPr>
          <w:rFonts w:hint="eastAsia"/>
          <w:sz w:val="21"/>
          <w:szCs w:val="21"/>
        </w:rPr>
        <w:t>资源节约评</w:t>
      </w:r>
      <w:r>
        <w:rPr>
          <w:sz w:val="21"/>
          <w:szCs w:val="21"/>
        </w:rPr>
        <w:t>价应包括以下内容：</w:t>
      </w:r>
      <w:bookmarkEnd w:id="234"/>
      <w:bookmarkEnd w:id="235"/>
    </w:p>
    <w:p w14:paraId="72664C10">
      <w:pPr>
        <w:widowControl w:val="0"/>
        <w:adjustRightInd w:val="0"/>
        <w:snapToGrid w:val="0"/>
        <w:ind w:firstLine="420" w:firstLineChars="200"/>
        <w:rPr>
          <w:rFonts w:hint="eastAsia"/>
          <w:sz w:val="21"/>
          <w:szCs w:val="21"/>
        </w:rPr>
      </w:pPr>
      <w:r>
        <w:rPr>
          <w:sz w:val="21"/>
          <w:szCs w:val="21"/>
        </w:rPr>
        <w:t xml:space="preserve">1  </w:t>
      </w:r>
      <w:r>
        <w:rPr>
          <w:rFonts w:hint="eastAsia"/>
          <w:sz w:val="21"/>
          <w:szCs w:val="21"/>
        </w:rPr>
        <w:t>厂址选择符合国土空间规划，总体规划布局合理减少土地占用，利用荒漠化、盐碱化土地等常规条件下难以利用的土地。</w:t>
      </w:r>
    </w:p>
    <w:p w14:paraId="5981054F">
      <w:pPr>
        <w:widowControl w:val="0"/>
        <w:adjustRightInd w:val="0"/>
        <w:snapToGrid w:val="0"/>
        <w:ind w:firstLine="420" w:firstLineChars="200"/>
        <w:rPr>
          <w:rFonts w:hint="eastAsia"/>
          <w:sz w:val="21"/>
          <w:szCs w:val="21"/>
        </w:rPr>
      </w:pPr>
      <w:r>
        <w:rPr>
          <w:sz w:val="21"/>
          <w:szCs w:val="21"/>
        </w:rPr>
        <w:t xml:space="preserve">2  </w:t>
      </w:r>
      <w:r>
        <w:rPr>
          <w:rFonts w:hint="eastAsia"/>
          <w:sz w:val="21"/>
          <w:szCs w:val="21"/>
        </w:rPr>
        <w:t>厂区总平面布置紧凑，功能分区科学，土地利用率高，</w:t>
      </w:r>
      <w:r>
        <w:rPr>
          <w:sz w:val="21"/>
          <w:szCs w:val="21"/>
        </w:rPr>
        <w:t>采用节约占地的新工艺</w:t>
      </w:r>
      <w:r>
        <w:rPr>
          <w:rFonts w:hint="eastAsia"/>
          <w:sz w:val="21"/>
          <w:szCs w:val="21"/>
        </w:rPr>
        <w:t>，</w:t>
      </w:r>
      <w:r>
        <w:rPr>
          <w:sz w:val="21"/>
          <w:szCs w:val="21"/>
        </w:rPr>
        <w:t>优化工艺系统</w:t>
      </w:r>
      <w:r>
        <w:rPr>
          <w:rFonts w:hint="eastAsia"/>
          <w:sz w:val="21"/>
          <w:szCs w:val="21"/>
        </w:rPr>
        <w:t>和建筑物占地面积，</w:t>
      </w:r>
      <w:r>
        <w:rPr>
          <w:sz w:val="21"/>
          <w:szCs w:val="21"/>
        </w:rPr>
        <w:t>控制道路、广场及管线用地</w:t>
      </w:r>
      <w:r>
        <w:rPr>
          <w:rFonts w:hint="eastAsia"/>
          <w:sz w:val="21"/>
          <w:szCs w:val="21"/>
        </w:rPr>
        <w:t>，用地指标先进，优于国家、行业、地方规定的项目用地指标值。</w:t>
      </w:r>
    </w:p>
    <w:p w14:paraId="45B59F82">
      <w:pPr>
        <w:widowControl w:val="0"/>
        <w:adjustRightInd w:val="0"/>
        <w:snapToGrid w:val="0"/>
        <w:ind w:firstLine="420" w:firstLineChars="200"/>
        <w:rPr>
          <w:rFonts w:hint="eastAsia"/>
          <w:sz w:val="21"/>
          <w:szCs w:val="21"/>
        </w:rPr>
      </w:pPr>
      <w:r>
        <w:rPr>
          <w:sz w:val="21"/>
          <w:szCs w:val="21"/>
        </w:rPr>
        <w:t xml:space="preserve">3  </w:t>
      </w:r>
      <w:r>
        <w:rPr>
          <w:rFonts w:hint="eastAsia"/>
          <w:sz w:val="21"/>
          <w:szCs w:val="21"/>
        </w:rPr>
        <w:t>改扩建项目充分利用和改造既有设施和建筑，并减少新增用地。</w:t>
      </w:r>
    </w:p>
    <w:p w14:paraId="63B52913">
      <w:pPr>
        <w:widowControl w:val="0"/>
        <w:adjustRightInd w:val="0"/>
        <w:snapToGrid w:val="0"/>
        <w:ind w:firstLine="420" w:firstLineChars="200"/>
        <w:rPr>
          <w:rFonts w:hint="eastAsia"/>
          <w:sz w:val="21"/>
          <w:szCs w:val="21"/>
        </w:rPr>
      </w:pPr>
      <w:r>
        <w:rPr>
          <w:sz w:val="21"/>
          <w:szCs w:val="21"/>
        </w:rPr>
        <w:t xml:space="preserve">4  </w:t>
      </w:r>
      <w:r>
        <w:rPr>
          <w:rFonts w:hint="eastAsia"/>
          <w:sz w:val="21"/>
          <w:szCs w:val="21"/>
        </w:rPr>
        <w:t>选用新型工艺设备，采用先进工艺流程、材料及布置，减少能源在输送、分配及生产工序等环节产生过程消耗，提高能源利用效率；采用新技术措施，降低储能电站厂用电。</w:t>
      </w:r>
    </w:p>
    <w:p w14:paraId="37F5987E">
      <w:pPr>
        <w:widowControl w:val="0"/>
        <w:adjustRightInd w:val="0"/>
        <w:snapToGrid w:val="0"/>
        <w:ind w:firstLine="420" w:firstLineChars="200"/>
        <w:rPr>
          <w:rFonts w:hint="eastAsia"/>
          <w:sz w:val="21"/>
          <w:szCs w:val="21"/>
        </w:rPr>
      </w:pPr>
      <w:r>
        <w:rPr>
          <w:sz w:val="21"/>
          <w:szCs w:val="21"/>
        </w:rPr>
        <w:t>5  采用高能效等级设备。</w:t>
      </w:r>
    </w:p>
    <w:p w14:paraId="63E7E466">
      <w:pPr>
        <w:widowControl w:val="0"/>
        <w:adjustRightInd w:val="0"/>
        <w:snapToGrid w:val="0"/>
        <w:ind w:firstLine="420" w:firstLineChars="200"/>
        <w:rPr>
          <w:rFonts w:hint="eastAsia"/>
          <w:sz w:val="21"/>
          <w:szCs w:val="21"/>
        </w:rPr>
      </w:pPr>
      <w:r>
        <w:rPr>
          <w:sz w:val="21"/>
          <w:szCs w:val="21"/>
        </w:rPr>
        <w:t>6  节能管理措施到位，配备完善的能源计量仪表。</w:t>
      </w:r>
    </w:p>
    <w:p w14:paraId="523219F6">
      <w:pPr>
        <w:widowControl w:val="0"/>
        <w:adjustRightInd w:val="0"/>
        <w:snapToGrid w:val="0"/>
        <w:ind w:firstLine="420" w:firstLineChars="200"/>
        <w:rPr>
          <w:rFonts w:hint="eastAsia"/>
          <w:sz w:val="21"/>
          <w:szCs w:val="21"/>
        </w:rPr>
      </w:pPr>
      <w:r>
        <w:rPr>
          <w:sz w:val="21"/>
          <w:szCs w:val="21"/>
        </w:rPr>
        <w:t>7  选用节能建筑材料</w:t>
      </w:r>
      <w:r>
        <w:rPr>
          <w:rFonts w:hint="eastAsia"/>
          <w:sz w:val="21"/>
          <w:szCs w:val="21"/>
        </w:rPr>
        <w:t>。</w:t>
      </w:r>
    </w:p>
    <w:p w14:paraId="671AC456">
      <w:pPr>
        <w:widowControl w:val="0"/>
        <w:adjustRightInd w:val="0"/>
        <w:snapToGrid w:val="0"/>
        <w:ind w:firstLine="420" w:firstLineChars="200"/>
        <w:rPr>
          <w:rFonts w:hint="eastAsia"/>
          <w:sz w:val="21"/>
          <w:szCs w:val="21"/>
        </w:rPr>
      </w:pPr>
      <w:r>
        <w:rPr>
          <w:sz w:val="21"/>
          <w:szCs w:val="21"/>
        </w:rPr>
        <w:t>8  建筑热工（屋面、楼面、围护结构）节能降耗措施先进</w:t>
      </w:r>
      <w:r>
        <w:rPr>
          <w:rFonts w:hint="eastAsia"/>
          <w:sz w:val="21"/>
          <w:szCs w:val="21"/>
        </w:rPr>
        <w:t>。</w:t>
      </w:r>
      <w:r>
        <w:rPr>
          <w:sz w:val="21"/>
          <w:szCs w:val="21"/>
        </w:rPr>
        <w:t>积极采用自然采光</w:t>
      </w:r>
      <w:r>
        <w:rPr>
          <w:rFonts w:hint="eastAsia"/>
          <w:sz w:val="21"/>
          <w:szCs w:val="21"/>
        </w:rPr>
        <w:t>、</w:t>
      </w:r>
      <w:r>
        <w:rPr>
          <w:sz w:val="21"/>
          <w:szCs w:val="21"/>
        </w:rPr>
        <w:t>自然通风设计</w:t>
      </w:r>
      <w:r>
        <w:rPr>
          <w:rFonts w:hint="eastAsia"/>
          <w:sz w:val="21"/>
          <w:szCs w:val="21"/>
        </w:rPr>
        <w:t>。</w:t>
      </w:r>
    </w:p>
    <w:p w14:paraId="08EB0C82">
      <w:pPr>
        <w:widowControl w:val="0"/>
        <w:adjustRightInd w:val="0"/>
        <w:snapToGrid w:val="0"/>
        <w:ind w:firstLine="420" w:firstLineChars="200"/>
        <w:rPr>
          <w:rFonts w:hint="eastAsia"/>
          <w:sz w:val="21"/>
          <w:szCs w:val="21"/>
        </w:rPr>
      </w:pPr>
      <w:r>
        <w:rPr>
          <w:sz w:val="21"/>
          <w:szCs w:val="21"/>
        </w:rPr>
        <w:t>9  清洁能源积极嵌入建筑技术应用，积极采用新能源设备。</w:t>
      </w:r>
    </w:p>
    <w:p w14:paraId="3C4B94F8">
      <w:pPr>
        <w:widowControl w:val="0"/>
        <w:adjustRightInd w:val="0"/>
        <w:snapToGrid w:val="0"/>
        <w:ind w:firstLine="420" w:firstLineChars="200"/>
        <w:rPr>
          <w:rFonts w:hint="eastAsia"/>
          <w:sz w:val="21"/>
          <w:szCs w:val="21"/>
        </w:rPr>
      </w:pPr>
      <w:r>
        <w:rPr>
          <w:sz w:val="21"/>
          <w:szCs w:val="21"/>
        </w:rPr>
        <w:t xml:space="preserve">10  </w:t>
      </w:r>
      <w:r>
        <w:rPr>
          <w:rFonts w:hint="eastAsia"/>
          <w:sz w:val="21"/>
          <w:szCs w:val="21"/>
        </w:rPr>
        <w:t>全站采用新型节能照明系统，智能控制。</w:t>
      </w:r>
    </w:p>
    <w:p w14:paraId="3A9EBB58">
      <w:pPr>
        <w:widowControl w:val="0"/>
        <w:adjustRightInd w:val="0"/>
        <w:snapToGrid w:val="0"/>
        <w:ind w:firstLine="420" w:firstLineChars="200"/>
        <w:rPr>
          <w:rFonts w:hint="eastAsia"/>
          <w:sz w:val="21"/>
          <w:szCs w:val="21"/>
        </w:rPr>
      </w:pPr>
      <w:r>
        <w:rPr>
          <w:sz w:val="21"/>
          <w:szCs w:val="21"/>
        </w:rPr>
        <w:t>11 提高水的重复利用率，节约用水。</w:t>
      </w:r>
      <w:r>
        <w:rPr>
          <w:rFonts w:hint="eastAsia"/>
          <w:sz w:val="21"/>
          <w:szCs w:val="21"/>
        </w:rPr>
        <w:t>储能电站生活废水排放处理方案环保先进，所有生活废水全部回用，实现全站废水零排放。</w:t>
      </w:r>
      <w:r>
        <w:rPr>
          <w:sz w:val="21"/>
          <w:szCs w:val="21"/>
        </w:rPr>
        <w:t xml:space="preserve"> </w:t>
      </w:r>
    </w:p>
    <w:p w14:paraId="76860338">
      <w:pPr>
        <w:widowControl w:val="0"/>
        <w:adjustRightInd w:val="0"/>
        <w:snapToGrid w:val="0"/>
        <w:ind w:firstLine="420" w:firstLineChars="200"/>
        <w:outlineLvl w:val="0"/>
        <w:rPr>
          <w:rFonts w:hint="eastAsia"/>
          <w:sz w:val="21"/>
          <w:szCs w:val="21"/>
        </w:rPr>
      </w:pPr>
      <w:bookmarkStart w:id="236" w:name="_Toc14939"/>
      <w:bookmarkStart w:id="237" w:name="_Toc25397"/>
      <w:r>
        <w:rPr>
          <w:sz w:val="21"/>
          <w:szCs w:val="21"/>
        </w:rPr>
        <w:t>12  选用节水管材、器具、设备，配置水量计量、监测装置。</w:t>
      </w:r>
      <w:bookmarkEnd w:id="236"/>
      <w:bookmarkEnd w:id="237"/>
    </w:p>
    <w:p w14:paraId="0E367CE6">
      <w:pPr>
        <w:widowControl w:val="0"/>
        <w:adjustRightInd w:val="0"/>
        <w:snapToGrid w:val="0"/>
        <w:ind w:firstLine="420" w:firstLineChars="200"/>
        <w:rPr>
          <w:rFonts w:hint="eastAsia"/>
          <w:sz w:val="21"/>
          <w:szCs w:val="21"/>
        </w:rPr>
      </w:pPr>
      <w:r>
        <w:rPr>
          <w:sz w:val="21"/>
          <w:szCs w:val="21"/>
        </w:rPr>
        <w:t>13  采用海绵城市节水措施，储能电站雨水控制及利用（收集回用、土壤入渗、调蓄排放）措施先进，效果显著。</w:t>
      </w:r>
    </w:p>
    <w:p w14:paraId="5B623947">
      <w:pPr>
        <w:widowControl w:val="0"/>
        <w:adjustRightInd w:val="0"/>
        <w:snapToGrid w:val="0"/>
        <w:ind w:firstLine="420" w:firstLineChars="200"/>
        <w:rPr>
          <w:rFonts w:hint="eastAsia"/>
          <w:sz w:val="21"/>
          <w:szCs w:val="21"/>
        </w:rPr>
      </w:pPr>
      <w:r>
        <w:rPr>
          <w:sz w:val="21"/>
          <w:szCs w:val="21"/>
        </w:rPr>
        <w:t xml:space="preserve">14  建筑物布置方案科学合理，采用合理的结构形式和材料，减少建筑物的荷重，节约钢材、水泥用量，达到国内先进水平。 </w:t>
      </w:r>
    </w:p>
    <w:p w14:paraId="623C3BB2">
      <w:pPr>
        <w:widowControl w:val="0"/>
        <w:adjustRightInd w:val="0"/>
        <w:snapToGrid w:val="0"/>
        <w:ind w:firstLine="420" w:firstLineChars="200"/>
        <w:rPr>
          <w:rFonts w:hint="eastAsia"/>
          <w:sz w:val="21"/>
          <w:szCs w:val="21"/>
        </w:rPr>
      </w:pPr>
      <w:r>
        <w:rPr>
          <w:sz w:val="21"/>
          <w:szCs w:val="21"/>
        </w:rPr>
        <w:t>15  优化工艺系统、电控系统设计，节省项目建设期间钢材、水泥、电缆用量，减少运维期间设备材料用量，达到国内先进水平。</w:t>
      </w:r>
    </w:p>
    <w:p w14:paraId="3BCB12E0">
      <w:pPr>
        <w:widowControl w:val="0"/>
        <w:adjustRightInd w:val="0"/>
        <w:snapToGrid w:val="0"/>
        <w:ind w:firstLine="420" w:firstLineChars="200"/>
        <w:rPr>
          <w:rFonts w:hint="eastAsia"/>
          <w:sz w:val="21"/>
          <w:szCs w:val="21"/>
        </w:rPr>
      </w:pPr>
      <w:r>
        <w:rPr>
          <w:sz w:val="21"/>
          <w:szCs w:val="21"/>
        </w:rPr>
        <w:t>16  采用</w:t>
      </w:r>
      <w:r>
        <w:rPr>
          <w:rFonts w:hint="eastAsia"/>
          <w:sz w:val="21"/>
          <w:szCs w:val="21"/>
        </w:rPr>
        <w:t>轻型建筑材料、预制构件、预制舱式结构等材料构件，统筹考虑材料的</w:t>
      </w:r>
      <w:r>
        <w:rPr>
          <w:sz w:val="21"/>
          <w:szCs w:val="21"/>
        </w:rPr>
        <w:t>高强度、高性能、高耐久性和</w:t>
      </w:r>
      <w:r>
        <w:rPr>
          <w:rFonts w:hint="eastAsia"/>
          <w:sz w:val="21"/>
          <w:szCs w:val="21"/>
        </w:rPr>
        <w:t>可循环性。</w:t>
      </w:r>
    </w:p>
    <w:p w14:paraId="789FF4D6">
      <w:pPr>
        <w:spacing w:before="120" w:beforeLines="50" w:after="240" w:afterLines="100"/>
        <w:jc w:val="center"/>
        <w:rPr>
          <w:rFonts w:hint="eastAsia"/>
          <w:sz w:val="21"/>
          <w:szCs w:val="21"/>
        </w:rPr>
      </w:pPr>
      <w:r>
        <w:rPr>
          <w:rFonts w:hint="eastAsia"/>
          <w:sz w:val="21"/>
          <w:szCs w:val="21"/>
        </w:rPr>
        <w:t xml:space="preserve">Ⅲ </w:t>
      </w:r>
      <w:r>
        <w:rPr>
          <w:sz w:val="21"/>
          <w:szCs w:val="21"/>
        </w:rPr>
        <w:t xml:space="preserve"> </w:t>
      </w:r>
      <w:r>
        <w:rPr>
          <w:rFonts w:hint="eastAsia"/>
          <w:sz w:val="21"/>
          <w:szCs w:val="21"/>
        </w:rPr>
        <w:t>生态环保</w:t>
      </w:r>
    </w:p>
    <w:p w14:paraId="2B80B14D">
      <w:pPr>
        <w:widowControl w:val="0"/>
        <w:adjustRightInd w:val="0"/>
        <w:snapToGrid w:val="0"/>
        <w:outlineLvl w:val="1"/>
        <w:rPr>
          <w:rFonts w:hint="eastAsia"/>
          <w:sz w:val="21"/>
          <w:szCs w:val="21"/>
        </w:rPr>
      </w:pPr>
      <w:bookmarkStart w:id="238" w:name="_Toc8003"/>
      <w:bookmarkStart w:id="239" w:name="_Toc21229"/>
      <w:r>
        <w:rPr>
          <w:sz w:val="21"/>
          <w:szCs w:val="21"/>
        </w:rPr>
        <w:t xml:space="preserve">5.6.3  </w:t>
      </w:r>
      <w:r>
        <w:rPr>
          <w:rFonts w:hint="eastAsia"/>
          <w:sz w:val="21"/>
          <w:szCs w:val="21"/>
        </w:rPr>
        <w:t>生态环保评</w:t>
      </w:r>
      <w:r>
        <w:rPr>
          <w:sz w:val="21"/>
          <w:szCs w:val="21"/>
        </w:rPr>
        <w:t>价应包括以下内容：</w:t>
      </w:r>
      <w:bookmarkEnd w:id="238"/>
      <w:bookmarkEnd w:id="239"/>
    </w:p>
    <w:p w14:paraId="031E9EAF">
      <w:pPr>
        <w:widowControl w:val="0"/>
        <w:adjustRightInd w:val="0"/>
        <w:snapToGrid w:val="0"/>
        <w:ind w:firstLine="420" w:firstLineChars="200"/>
        <w:rPr>
          <w:rFonts w:hint="eastAsia"/>
          <w:sz w:val="21"/>
          <w:szCs w:val="21"/>
        </w:rPr>
      </w:pPr>
      <w:r>
        <w:rPr>
          <w:sz w:val="21"/>
          <w:szCs w:val="21"/>
        </w:rPr>
        <w:t xml:space="preserve">1  </w:t>
      </w:r>
      <w:r>
        <w:rPr>
          <w:rFonts w:hint="eastAsia"/>
          <w:sz w:val="21"/>
          <w:szCs w:val="21"/>
        </w:rPr>
        <w:t>储能电站总体设计因地制宜，与生态环境及国土空间规划</w:t>
      </w:r>
      <w:r>
        <w:rPr>
          <w:sz w:val="21"/>
          <w:szCs w:val="21"/>
        </w:rPr>
        <w:t>的协调性</w:t>
      </w:r>
      <w:r>
        <w:rPr>
          <w:rFonts w:hint="eastAsia"/>
          <w:sz w:val="21"/>
          <w:szCs w:val="21"/>
        </w:rPr>
        <w:t>好，站址选择控制和减少生态、电磁、噪声等环境影响，减少对原地貌、地表植被、水系的扰动，与当地的自然景观与周边环境相协调，避让自然保护地、世界自然遗产、生态保护红线等生态敏感区。</w:t>
      </w:r>
    </w:p>
    <w:p w14:paraId="48BA4C88">
      <w:pPr>
        <w:widowControl w:val="0"/>
        <w:adjustRightInd w:val="0"/>
        <w:snapToGrid w:val="0"/>
        <w:ind w:firstLine="420" w:firstLineChars="200"/>
        <w:rPr>
          <w:rFonts w:hint="eastAsia"/>
          <w:sz w:val="21"/>
          <w:szCs w:val="21"/>
        </w:rPr>
      </w:pPr>
      <w:r>
        <w:rPr>
          <w:sz w:val="21"/>
          <w:szCs w:val="21"/>
        </w:rPr>
        <w:t xml:space="preserve">2  </w:t>
      </w:r>
      <w:r>
        <w:rPr>
          <w:rFonts w:hint="eastAsia"/>
          <w:sz w:val="21"/>
          <w:szCs w:val="21"/>
        </w:rPr>
        <w:t>全站</w:t>
      </w:r>
      <w:r>
        <w:rPr>
          <w:sz w:val="21"/>
          <w:szCs w:val="21"/>
        </w:rPr>
        <w:t>建筑</w:t>
      </w:r>
      <w:r>
        <w:rPr>
          <w:rFonts w:hint="eastAsia"/>
          <w:sz w:val="21"/>
          <w:szCs w:val="21"/>
        </w:rPr>
        <w:t>、色彩及景观一体化</w:t>
      </w:r>
      <w:r>
        <w:rPr>
          <w:sz w:val="21"/>
          <w:szCs w:val="21"/>
        </w:rPr>
        <w:t>设计，</w:t>
      </w:r>
      <w:r>
        <w:rPr>
          <w:rFonts w:hint="eastAsia"/>
          <w:sz w:val="21"/>
          <w:szCs w:val="21"/>
        </w:rPr>
        <w:t>周边环境和谐统一</w:t>
      </w:r>
      <w:r>
        <w:rPr>
          <w:sz w:val="21"/>
          <w:szCs w:val="21"/>
        </w:rPr>
        <w:t>，全站</w:t>
      </w:r>
      <w:r>
        <w:rPr>
          <w:rFonts w:hint="eastAsia"/>
          <w:sz w:val="21"/>
          <w:szCs w:val="21"/>
        </w:rPr>
        <w:t>绿地</w:t>
      </w:r>
      <w:r>
        <w:rPr>
          <w:sz w:val="21"/>
          <w:szCs w:val="21"/>
        </w:rPr>
        <w:t>率</w:t>
      </w:r>
      <w:r>
        <w:rPr>
          <w:rFonts w:hint="eastAsia"/>
          <w:sz w:val="21"/>
          <w:szCs w:val="21"/>
        </w:rPr>
        <w:t>指标先进。</w:t>
      </w:r>
    </w:p>
    <w:p w14:paraId="2E16D6A6">
      <w:pPr>
        <w:widowControl w:val="0"/>
        <w:adjustRightInd w:val="0"/>
        <w:snapToGrid w:val="0"/>
        <w:ind w:firstLine="420" w:firstLineChars="200"/>
        <w:rPr>
          <w:rFonts w:hint="eastAsia"/>
          <w:sz w:val="21"/>
          <w:szCs w:val="21"/>
        </w:rPr>
      </w:pPr>
      <w:r>
        <w:rPr>
          <w:sz w:val="21"/>
          <w:szCs w:val="21"/>
        </w:rPr>
        <w:t xml:space="preserve">3  </w:t>
      </w:r>
      <w:r>
        <w:rPr>
          <w:rFonts w:hint="eastAsia"/>
          <w:sz w:val="21"/>
          <w:szCs w:val="21"/>
        </w:rPr>
        <w:t>厂区竖向布置方案合理，实现土石方量自身平衡，减少对生态环境的影响。</w:t>
      </w:r>
    </w:p>
    <w:p w14:paraId="3D357599">
      <w:pPr>
        <w:widowControl w:val="0"/>
        <w:adjustRightInd w:val="0"/>
        <w:snapToGrid w:val="0"/>
        <w:ind w:firstLine="420" w:firstLineChars="200"/>
        <w:rPr>
          <w:rFonts w:hint="eastAsia"/>
          <w:sz w:val="21"/>
          <w:szCs w:val="21"/>
        </w:rPr>
      </w:pPr>
      <w:r>
        <w:rPr>
          <w:sz w:val="21"/>
          <w:szCs w:val="21"/>
        </w:rPr>
        <w:t xml:space="preserve">4  </w:t>
      </w:r>
      <w:r>
        <w:rPr>
          <w:rFonts w:hint="eastAsia"/>
          <w:sz w:val="21"/>
          <w:szCs w:val="21"/>
        </w:rPr>
        <w:t>环境保护各项技术路线科学。液流电池做好防漏液收集措施，锂电池等做好电池着火后液体收集处理措施。噪声防护措施等科学合理，</w:t>
      </w:r>
      <w:r>
        <w:rPr>
          <w:sz w:val="21"/>
          <w:szCs w:val="21"/>
        </w:rPr>
        <w:t xml:space="preserve"> </w:t>
      </w:r>
      <w:r>
        <w:rPr>
          <w:rFonts w:hint="eastAsia"/>
          <w:sz w:val="21"/>
          <w:szCs w:val="21"/>
        </w:rPr>
        <w:t>技术成熟，运行效果好。</w:t>
      </w:r>
    </w:p>
    <w:p w14:paraId="46ED3983">
      <w:pPr>
        <w:spacing w:before="120" w:beforeLines="50" w:after="240" w:afterLines="100"/>
        <w:jc w:val="center"/>
        <w:rPr>
          <w:rFonts w:hint="eastAsia"/>
          <w:sz w:val="21"/>
          <w:szCs w:val="21"/>
        </w:rPr>
      </w:pPr>
      <w:r>
        <w:rPr>
          <w:rFonts w:hint="eastAsia"/>
          <w:sz w:val="21"/>
          <w:szCs w:val="21"/>
        </w:rPr>
        <w:t>Ⅳ</w:t>
      </w:r>
      <w:r>
        <w:rPr>
          <w:sz w:val="21"/>
          <w:szCs w:val="21"/>
        </w:rPr>
        <w:t xml:space="preserve">  </w:t>
      </w:r>
      <w:r>
        <w:rPr>
          <w:rFonts w:hint="eastAsia"/>
          <w:sz w:val="21"/>
          <w:szCs w:val="21"/>
        </w:rPr>
        <w:t>综合效益</w:t>
      </w:r>
    </w:p>
    <w:p w14:paraId="15C422A5">
      <w:pPr>
        <w:widowControl w:val="0"/>
        <w:adjustRightInd w:val="0"/>
        <w:snapToGrid w:val="0"/>
        <w:outlineLvl w:val="1"/>
        <w:rPr>
          <w:rFonts w:hint="eastAsia"/>
          <w:sz w:val="21"/>
          <w:szCs w:val="21"/>
        </w:rPr>
      </w:pPr>
      <w:bookmarkStart w:id="240" w:name="_Toc29774"/>
      <w:bookmarkStart w:id="241" w:name="_Toc24610"/>
      <w:r>
        <w:rPr>
          <w:sz w:val="21"/>
          <w:szCs w:val="21"/>
        </w:rPr>
        <w:t xml:space="preserve">5.6.4  </w:t>
      </w:r>
      <w:r>
        <w:rPr>
          <w:rFonts w:hint="eastAsia"/>
          <w:sz w:val="21"/>
          <w:szCs w:val="21"/>
        </w:rPr>
        <w:t>综合效益评</w:t>
      </w:r>
      <w:r>
        <w:rPr>
          <w:sz w:val="21"/>
          <w:szCs w:val="21"/>
        </w:rPr>
        <w:t>价应包括以下内容：</w:t>
      </w:r>
      <w:bookmarkEnd w:id="240"/>
      <w:bookmarkEnd w:id="241"/>
    </w:p>
    <w:p w14:paraId="2071D56E">
      <w:pPr>
        <w:widowControl w:val="0"/>
        <w:adjustRightInd w:val="0"/>
        <w:snapToGrid w:val="0"/>
        <w:ind w:firstLine="420" w:firstLineChars="200"/>
        <w:rPr>
          <w:rFonts w:hint="eastAsia"/>
          <w:sz w:val="21"/>
          <w:szCs w:val="21"/>
        </w:rPr>
      </w:pPr>
      <w:r>
        <w:rPr>
          <w:sz w:val="21"/>
          <w:szCs w:val="21"/>
        </w:rPr>
        <w:t xml:space="preserve">1  </w:t>
      </w:r>
      <w:r>
        <w:rPr>
          <w:rFonts w:hint="eastAsia"/>
          <w:sz w:val="21"/>
          <w:szCs w:val="21"/>
        </w:rPr>
        <w:t>投资回报高。与同类同期工程相比较，综合投资省，重要经济技术指标处于领先水平。</w:t>
      </w:r>
      <w:r>
        <w:rPr>
          <w:sz w:val="21"/>
          <w:szCs w:val="21"/>
        </w:rPr>
        <w:t xml:space="preserve"> </w:t>
      </w:r>
    </w:p>
    <w:p w14:paraId="4A15AD5C">
      <w:pPr>
        <w:widowControl w:val="0"/>
        <w:adjustRightInd w:val="0"/>
        <w:snapToGrid w:val="0"/>
        <w:ind w:firstLine="420" w:firstLineChars="200"/>
        <w:outlineLvl w:val="0"/>
        <w:rPr>
          <w:rFonts w:hint="eastAsia"/>
          <w:sz w:val="21"/>
          <w:szCs w:val="21"/>
        </w:rPr>
      </w:pPr>
      <w:bookmarkStart w:id="242" w:name="_Toc7122"/>
      <w:bookmarkStart w:id="243" w:name="_Toc20378"/>
      <w:r>
        <w:rPr>
          <w:sz w:val="21"/>
          <w:szCs w:val="21"/>
        </w:rPr>
        <w:t xml:space="preserve">2  </w:t>
      </w:r>
      <w:r>
        <w:rPr>
          <w:rFonts w:hint="eastAsia"/>
          <w:sz w:val="21"/>
          <w:szCs w:val="21"/>
        </w:rPr>
        <w:t>推动区域地方经济可持续发展。</w:t>
      </w:r>
      <w:bookmarkEnd w:id="242"/>
      <w:bookmarkEnd w:id="243"/>
      <w:r>
        <w:rPr>
          <w:sz w:val="21"/>
          <w:szCs w:val="21"/>
        </w:rPr>
        <w:t xml:space="preserve"> </w:t>
      </w:r>
    </w:p>
    <w:p w14:paraId="3CA87871">
      <w:pPr>
        <w:widowControl w:val="0"/>
        <w:adjustRightInd w:val="0"/>
        <w:snapToGrid w:val="0"/>
        <w:ind w:firstLine="420" w:firstLineChars="200"/>
        <w:rPr>
          <w:rFonts w:hint="eastAsia"/>
          <w:sz w:val="21"/>
          <w:szCs w:val="21"/>
        </w:rPr>
      </w:pPr>
      <w:r>
        <w:rPr>
          <w:sz w:val="21"/>
          <w:szCs w:val="21"/>
        </w:rPr>
        <w:t xml:space="preserve">3  </w:t>
      </w:r>
      <w:r>
        <w:rPr>
          <w:rFonts w:hint="eastAsia"/>
          <w:sz w:val="21"/>
          <w:szCs w:val="21"/>
        </w:rPr>
        <w:t>项目建设在技术方案、资源节约、环境保护、生态融合等方面亮点突出，社会满意度较高。</w:t>
      </w:r>
      <w:r>
        <w:rPr>
          <w:sz w:val="21"/>
          <w:szCs w:val="21"/>
        </w:rPr>
        <w:t xml:space="preserve"> </w:t>
      </w:r>
    </w:p>
    <w:p w14:paraId="26214E9C">
      <w:pPr>
        <w:spacing w:before="120" w:beforeLines="50" w:after="240" w:afterLines="100"/>
        <w:jc w:val="center"/>
        <w:rPr>
          <w:rFonts w:hint="eastAsia"/>
          <w:sz w:val="21"/>
          <w:szCs w:val="21"/>
        </w:rPr>
      </w:pPr>
      <w:r>
        <w:rPr>
          <w:rFonts w:hint="eastAsia"/>
          <w:sz w:val="21"/>
          <w:szCs w:val="21"/>
        </w:rPr>
        <w:t xml:space="preserve">Ⅴ </w:t>
      </w:r>
      <w:r>
        <w:rPr>
          <w:sz w:val="21"/>
          <w:szCs w:val="21"/>
        </w:rPr>
        <w:t xml:space="preserve"> </w:t>
      </w:r>
      <w:r>
        <w:rPr>
          <w:rFonts w:hint="eastAsia"/>
          <w:sz w:val="21"/>
          <w:szCs w:val="21"/>
        </w:rPr>
        <w:t>科技创新</w:t>
      </w:r>
    </w:p>
    <w:p w14:paraId="66D17C0E">
      <w:pPr>
        <w:widowControl w:val="0"/>
        <w:adjustRightInd w:val="0"/>
        <w:snapToGrid w:val="0"/>
        <w:outlineLvl w:val="1"/>
        <w:rPr>
          <w:rFonts w:hint="eastAsia"/>
          <w:sz w:val="21"/>
          <w:szCs w:val="21"/>
        </w:rPr>
      </w:pPr>
      <w:bookmarkStart w:id="244" w:name="_Toc23432"/>
      <w:bookmarkStart w:id="245" w:name="_Toc30553"/>
      <w:r>
        <w:rPr>
          <w:sz w:val="21"/>
          <w:szCs w:val="21"/>
        </w:rPr>
        <w:t xml:space="preserve">5.6.5  </w:t>
      </w:r>
      <w:r>
        <w:rPr>
          <w:rFonts w:hint="eastAsia"/>
          <w:sz w:val="21"/>
          <w:szCs w:val="21"/>
        </w:rPr>
        <w:t>科技创新评</w:t>
      </w:r>
      <w:r>
        <w:rPr>
          <w:sz w:val="21"/>
          <w:szCs w:val="21"/>
        </w:rPr>
        <w:t>价应包括以下内容：</w:t>
      </w:r>
      <w:bookmarkEnd w:id="244"/>
      <w:bookmarkEnd w:id="245"/>
    </w:p>
    <w:p w14:paraId="0D910692">
      <w:pPr>
        <w:widowControl w:val="0"/>
        <w:adjustRightInd w:val="0"/>
        <w:snapToGrid w:val="0"/>
        <w:ind w:firstLine="420" w:firstLineChars="200"/>
        <w:outlineLvl w:val="0"/>
        <w:rPr>
          <w:rFonts w:hint="eastAsia"/>
          <w:sz w:val="21"/>
          <w:szCs w:val="21"/>
        </w:rPr>
      </w:pPr>
      <w:bookmarkStart w:id="246" w:name="_Toc15123"/>
      <w:bookmarkStart w:id="247" w:name="_Toc11093"/>
      <w:r>
        <w:rPr>
          <w:sz w:val="21"/>
          <w:szCs w:val="21"/>
        </w:rPr>
        <w:t xml:space="preserve">1  </w:t>
      </w:r>
      <w:r>
        <w:rPr>
          <w:rFonts w:hint="eastAsia"/>
          <w:sz w:val="21"/>
          <w:szCs w:val="21"/>
        </w:rPr>
        <w:t>电力工程项目因本身功能定位及独特的技术路线具有创新性。</w:t>
      </w:r>
      <w:bookmarkEnd w:id="246"/>
      <w:bookmarkEnd w:id="247"/>
    </w:p>
    <w:p w14:paraId="0FB5CE95">
      <w:pPr>
        <w:widowControl w:val="0"/>
        <w:adjustRightInd w:val="0"/>
        <w:snapToGrid w:val="0"/>
        <w:ind w:firstLine="420" w:firstLineChars="200"/>
        <w:rPr>
          <w:rFonts w:hint="eastAsia"/>
          <w:sz w:val="21"/>
          <w:szCs w:val="21"/>
        </w:rPr>
      </w:pPr>
      <w:r>
        <w:rPr>
          <w:sz w:val="21"/>
          <w:szCs w:val="21"/>
        </w:rPr>
        <w:t xml:space="preserve">2  </w:t>
      </w:r>
      <w:r>
        <w:rPr>
          <w:rFonts w:hint="eastAsia"/>
          <w:sz w:val="21"/>
          <w:szCs w:val="21"/>
        </w:rPr>
        <w:t>积极采用新技术、新工艺、新流程、新材料、新装备、新产品等技术创新成果。</w:t>
      </w:r>
    </w:p>
    <w:p w14:paraId="4CC2DECE">
      <w:pPr>
        <w:widowControl w:val="0"/>
        <w:adjustRightInd w:val="0"/>
        <w:snapToGrid w:val="0"/>
        <w:ind w:firstLine="420" w:firstLineChars="200"/>
        <w:rPr>
          <w:rFonts w:hint="eastAsia"/>
          <w:sz w:val="21"/>
          <w:szCs w:val="21"/>
        </w:rPr>
      </w:pPr>
      <w:r>
        <w:rPr>
          <w:sz w:val="21"/>
          <w:szCs w:val="21"/>
        </w:rPr>
        <w:t>3  依托本工程取得的创新成果（课题、专利、专有技术、奖项、竞赛活动成果、国家示范试点、参编标准、期刊论文等），填补国内空白或处于国内领先水平。</w:t>
      </w:r>
    </w:p>
    <w:p w14:paraId="6AEA52E9">
      <w:pPr>
        <w:rPr>
          <w:rFonts w:hint="eastAsia"/>
        </w:rPr>
      </w:pPr>
      <w:bookmarkStart w:id="248" w:name="_Toc174141246"/>
    </w:p>
    <w:p w14:paraId="3A7B98D3">
      <w:pPr>
        <w:rPr>
          <w:rFonts w:hint="eastAsia"/>
        </w:rPr>
      </w:pPr>
    </w:p>
    <w:p w14:paraId="32A2AAF3">
      <w:pPr>
        <w:rPr>
          <w:rFonts w:hint="eastAsia"/>
        </w:rPr>
      </w:pPr>
    </w:p>
    <w:p w14:paraId="2584ED04">
      <w:pPr>
        <w:rPr>
          <w:rFonts w:hint="eastAsia"/>
        </w:rPr>
      </w:pPr>
    </w:p>
    <w:p w14:paraId="778589E4">
      <w:pPr>
        <w:rPr>
          <w:rFonts w:hint="eastAsia"/>
        </w:rPr>
      </w:pPr>
    </w:p>
    <w:p w14:paraId="5907EF0E">
      <w:pPr>
        <w:rPr>
          <w:rFonts w:hint="eastAsia"/>
        </w:rPr>
      </w:pPr>
    </w:p>
    <w:p w14:paraId="206AD669">
      <w:pPr>
        <w:rPr>
          <w:rFonts w:hint="eastAsia"/>
        </w:rPr>
      </w:pPr>
    </w:p>
    <w:p w14:paraId="3DB04A51">
      <w:pPr>
        <w:rPr>
          <w:rFonts w:hint="eastAsia"/>
        </w:rPr>
      </w:pPr>
    </w:p>
    <w:p w14:paraId="2F1FECE7">
      <w:pPr>
        <w:rPr>
          <w:rFonts w:hint="eastAsia"/>
        </w:rPr>
      </w:pPr>
    </w:p>
    <w:p w14:paraId="76D02DD6">
      <w:pPr>
        <w:rPr>
          <w:rFonts w:hint="eastAsia"/>
        </w:rPr>
      </w:pPr>
    </w:p>
    <w:p w14:paraId="2B7B555E">
      <w:pPr>
        <w:rPr>
          <w:rFonts w:hint="eastAsia"/>
        </w:rPr>
      </w:pPr>
    </w:p>
    <w:p w14:paraId="3586BCE8">
      <w:pPr>
        <w:rPr>
          <w:rFonts w:hint="eastAsia"/>
        </w:rPr>
      </w:pPr>
    </w:p>
    <w:p w14:paraId="0D09EE3F">
      <w:pPr>
        <w:rPr>
          <w:rFonts w:hint="eastAsia"/>
        </w:rPr>
      </w:pPr>
    </w:p>
    <w:p w14:paraId="510591D2">
      <w:pPr>
        <w:rPr>
          <w:rFonts w:hint="eastAsia"/>
        </w:rPr>
      </w:pPr>
    </w:p>
    <w:p w14:paraId="5DB80233">
      <w:pPr>
        <w:rPr>
          <w:rFonts w:hint="eastAsia"/>
        </w:rPr>
      </w:pPr>
    </w:p>
    <w:p w14:paraId="7739415B">
      <w:pPr>
        <w:rPr>
          <w:rFonts w:hint="eastAsia"/>
        </w:rPr>
      </w:pPr>
    </w:p>
    <w:p w14:paraId="6A8D304D">
      <w:pPr>
        <w:rPr>
          <w:rFonts w:hint="eastAsia"/>
        </w:rPr>
      </w:pPr>
    </w:p>
    <w:p w14:paraId="4582D7B5">
      <w:pPr>
        <w:rPr>
          <w:rFonts w:hint="eastAsia"/>
        </w:rPr>
      </w:pPr>
    </w:p>
    <w:p w14:paraId="479A1D82">
      <w:pPr>
        <w:rPr>
          <w:rFonts w:hint="eastAsia"/>
        </w:rPr>
      </w:pPr>
    </w:p>
    <w:p w14:paraId="7E6AED7F">
      <w:pPr>
        <w:rPr>
          <w:rFonts w:hint="eastAsia"/>
        </w:rPr>
      </w:pPr>
    </w:p>
    <w:p w14:paraId="67262934">
      <w:pPr>
        <w:rPr>
          <w:rFonts w:hint="eastAsia"/>
        </w:rPr>
      </w:pPr>
    </w:p>
    <w:p w14:paraId="3E07AAB3">
      <w:pPr>
        <w:spacing w:before="120" w:beforeLines="50" w:after="240" w:afterLines="100"/>
        <w:jc w:val="center"/>
        <w:outlineLvl w:val="0"/>
        <w:rPr>
          <w:rFonts w:hint="eastAsia"/>
          <w:sz w:val="21"/>
          <w:szCs w:val="21"/>
        </w:rPr>
      </w:pPr>
      <w:bookmarkStart w:id="249" w:name="_Toc15393"/>
      <w:bookmarkStart w:id="250" w:name="_Toc9383"/>
      <w:r>
        <w:rPr>
          <w:sz w:val="21"/>
          <w:szCs w:val="21"/>
        </w:rPr>
        <w:t xml:space="preserve">6  </w:t>
      </w:r>
      <w:r>
        <w:rPr>
          <w:rFonts w:hint="eastAsia"/>
          <w:sz w:val="21"/>
          <w:szCs w:val="21"/>
        </w:rPr>
        <w:t>绿色</w:t>
      </w:r>
      <w:r>
        <w:rPr>
          <w:sz w:val="21"/>
          <w:szCs w:val="21"/>
        </w:rPr>
        <w:t>施工</w:t>
      </w:r>
      <w:bookmarkEnd w:id="248"/>
      <w:bookmarkEnd w:id="249"/>
      <w:bookmarkEnd w:id="250"/>
    </w:p>
    <w:p w14:paraId="472C63B4">
      <w:pPr>
        <w:spacing w:before="120" w:beforeLines="50" w:after="240" w:afterLines="100"/>
        <w:jc w:val="center"/>
        <w:outlineLvl w:val="1"/>
        <w:rPr>
          <w:rFonts w:hint="eastAsia"/>
          <w:sz w:val="21"/>
          <w:szCs w:val="21"/>
        </w:rPr>
      </w:pPr>
      <w:bookmarkStart w:id="251" w:name="_Toc174141247"/>
      <w:bookmarkStart w:id="252" w:name="_Toc9947"/>
      <w:bookmarkStart w:id="253" w:name="_Toc29713"/>
      <w:r>
        <w:rPr>
          <w:sz w:val="21"/>
          <w:szCs w:val="21"/>
        </w:rPr>
        <w:t>6.1  管理</w:t>
      </w:r>
      <w:r>
        <w:rPr>
          <w:rFonts w:hint="eastAsia"/>
          <w:sz w:val="21"/>
          <w:szCs w:val="21"/>
        </w:rPr>
        <w:t>科学</w:t>
      </w:r>
      <w:bookmarkEnd w:id="251"/>
      <w:bookmarkEnd w:id="252"/>
      <w:bookmarkEnd w:id="253"/>
    </w:p>
    <w:p w14:paraId="0CF9BF98">
      <w:pPr>
        <w:widowControl w:val="0"/>
        <w:adjustRightInd w:val="0"/>
        <w:snapToGrid w:val="0"/>
        <w:rPr>
          <w:rFonts w:hint="eastAsia"/>
          <w:sz w:val="21"/>
          <w:szCs w:val="21"/>
        </w:rPr>
      </w:pPr>
      <w:r>
        <w:rPr>
          <w:sz w:val="21"/>
          <w:szCs w:val="21"/>
        </w:rPr>
        <w:t>6.1.1  管理科学评价的内容包括组织管理、目标管理、实施管理</w:t>
      </w:r>
      <w:r>
        <w:rPr>
          <w:rFonts w:hint="eastAsia"/>
          <w:sz w:val="21"/>
          <w:szCs w:val="21"/>
        </w:rPr>
        <w:t>。</w:t>
      </w:r>
    </w:p>
    <w:p w14:paraId="6437DD78">
      <w:pPr>
        <w:widowControl w:val="0"/>
        <w:adjustRightInd w:val="0"/>
        <w:snapToGrid w:val="0"/>
        <w:outlineLvl w:val="2"/>
        <w:rPr>
          <w:rFonts w:hint="eastAsia"/>
          <w:sz w:val="21"/>
          <w:szCs w:val="21"/>
        </w:rPr>
      </w:pPr>
      <w:bookmarkStart w:id="254" w:name="_Toc30255"/>
      <w:r>
        <w:rPr>
          <w:rFonts w:hint="eastAsia"/>
          <w:sz w:val="21"/>
          <w:szCs w:val="21"/>
        </w:rPr>
        <w:t>6.1.2</w:t>
      </w:r>
      <w:r>
        <w:rPr>
          <w:sz w:val="21"/>
          <w:szCs w:val="21"/>
        </w:rPr>
        <w:t xml:space="preserve">  </w:t>
      </w:r>
      <w:r>
        <w:rPr>
          <w:rFonts w:hint="eastAsia"/>
          <w:sz w:val="21"/>
          <w:szCs w:val="21"/>
        </w:rPr>
        <w:t>组织管理评价包括以下内容：</w:t>
      </w:r>
      <w:bookmarkEnd w:id="254"/>
    </w:p>
    <w:p w14:paraId="4E3827B9">
      <w:pPr>
        <w:widowControl w:val="0"/>
        <w:adjustRightInd w:val="0"/>
        <w:snapToGrid w:val="0"/>
        <w:ind w:firstLine="420" w:firstLineChars="200"/>
        <w:rPr>
          <w:rFonts w:hint="eastAsia"/>
          <w:sz w:val="21"/>
          <w:szCs w:val="21"/>
        </w:rPr>
      </w:pPr>
      <w:r>
        <w:rPr>
          <w:sz w:val="21"/>
          <w:szCs w:val="21"/>
        </w:rPr>
        <w:t xml:space="preserve">1  </w:t>
      </w:r>
      <w:r>
        <w:rPr>
          <w:rFonts w:hint="eastAsia"/>
          <w:sz w:val="21"/>
          <w:szCs w:val="21"/>
        </w:rPr>
        <w:t>建立绿色施工管理组织机构，明确工程参建各方绿色施工管理职责，施工单位明确绿色施工岗位职责。</w:t>
      </w:r>
    </w:p>
    <w:p w14:paraId="5B58C9F5">
      <w:pPr>
        <w:widowControl w:val="0"/>
        <w:adjustRightInd w:val="0"/>
        <w:snapToGrid w:val="0"/>
        <w:ind w:firstLine="420" w:firstLineChars="200"/>
        <w:outlineLvl w:val="0"/>
        <w:rPr>
          <w:rFonts w:hint="eastAsia"/>
          <w:sz w:val="21"/>
          <w:szCs w:val="21"/>
        </w:rPr>
      </w:pPr>
      <w:bookmarkStart w:id="255" w:name="_Toc3610"/>
      <w:bookmarkStart w:id="256" w:name="_Toc8737"/>
      <w:r>
        <w:rPr>
          <w:sz w:val="21"/>
          <w:szCs w:val="21"/>
        </w:rPr>
        <w:t xml:space="preserve">2  </w:t>
      </w:r>
      <w:r>
        <w:rPr>
          <w:rFonts w:hint="eastAsia"/>
          <w:sz w:val="21"/>
          <w:szCs w:val="21"/>
        </w:rPr>
        <w:t>工程参建各方项目管理制度应涵盖绿色施工的相关要求</w:t>
      </w:r>
      <w:r>
        <w:rPr>
          <w:sz w:val="21"/>
          <w:szCs w:val="21"/>
        </w:rPr>
        <w:t>。</w:t>
      </w:r>
      <w:bookmarkEnd w:id="255"/>
      <w:bookmarkEnd w:id="256"/>
    </w:p>
    <w:p w14:paraId="7848AF77">
      <w:pPr>
        <w:widowControl w:val="0"/>
        <w:adjustRightInd w:val="0"/>
        <w:snapToGrid w:val="0"/>
        <w:outlineLvl w:val="1"/>
        <w:rPr>
          <w:rFonts w:hint="eastAsia"/>
          <w:sz w:val="21"/>
          <w:szCs w:val="21"/>
        </w:rPr>
      </w:pPr>
      <w:bookmarkStart w:id="257" w:name="_Toc22351"/>
      <w:bookmarkStart w:id="258" w:name="_Toc31111"/>
      <w:r>
        <w:rPr>
          <w:sz w:val="21"/>
          <w:szCs w:val="21"/>
        </w:rPr>
        <w:t>6.1.</w:t>
      </w:r>
      <w:r>
        <w:rPr>
          <w:rFonts w:hint="eastAsia"/>
          <w:sz w:val="21"/>
          <w:szCs w:val="21"/>
        </w:rPr>
        <w:t>3</w:t>
      </w:r>
      <w:r>
        <w:rPr>
          <w:sz w:val="21"/>
          <w:szCs w:val="21"/>
        </w:rPr>
        <w:t xml:space="preserve">  </w:t>
      </w:r>
      <w:r>
        <w:rPr>
          <w:rFonts w:hint="eastAsia"/>
          <w:sz w:val="21"/>
          <w:szCs w:val="21"/>
        </w:rPr>
        <w:t>目标管理评价包括以下内容：</w:t>
      </w:r>
      <w:bookmarkEnd w:id="257"/>
      <w:bookmarkEnd w:id="258"/>
    </w:p>
    <w:p w14:paraId="178064EA">
      <w:pPr>
        <w:widowControl w:val="0"/>
        <w:adjustRightInd w:val="0"/>
        <w:snapToGrid w:val="0"/>
        <w:ind w:firstLine="420" w:firstLineChars="200"/>
        <w:rPr>
          <w:rFonts w:hint="eastAsia"/>
          <w:sz w:val="21"/>
          <w:szCs w:val="21"/>
        </w:rPr>
      </w:pPr>
      <w:r>
        <w:rPr>
          <w:rFonts w:hint="eastAsia"/>
          <w:sz w:val="21"/>
          <w:szCs w:val="21"/>
        </w:rPr>
        <w:t>1</w:t>
      </w:r>
      <w:r>
        <w:rPr>
          <w:sz w:val="21"/>
          <w:szCs w:val="21"/>
        </w:rPr>
        <w:t xml:space="preserve">  </w:t>
      </w:r>
      <w:r>
        <w:rPr>
          <w:rFonts w:hint="eastAsia"/>
          <w:sz w:val="21"/>
          <w:szCs w:val="21"/>
        </w:rPr>
        <w:t>工程开工前，应在绿色施工影响因素分析的基础上制定绿色施工目标。</w:t>
      </w:r>
    </w:p>
    <w:p w14:paraId="33AC2213">
      <w:pPr>
        <w:widowControl w:val="0"/>
        <w:adjustRightInd w:val="0"/>
        <w:snapToGrid w:val="0"/>
        <w:ind w:firstLine="420" w:firstLineChars="200"/>
        <w:rPr>
          <w:rFonts w:hint="eastAsia"/>
          <w:sz w:val="21"/>
          <w:szCs w:val="21"/>
        </w:rPr>
      </w:pPr>
      <w:r>
        <w:rPr>
          <w:rFonts w:hint="eastAsia"/>
          <w:sz w:val="21"/>
          <w:szCs w:val="21"/>
        </w:rPr>
        <w:t>2</w:t>
      </w:r>
      <w:r>
        <w:rPr>
          <w:sz w:val="21"/>
          <w:szCs w:val="21"/>
        </w:rPr>
        <w:t xml:space="preserve">  </w:t>
      </w:r>
      <w:r>
        <w:rPr>
          <w:rFonts w:hint="eastAsia"/>
          <w:sz w:val="21"/>
          <w:szCs w:val="21"/>
        </w:rPr>
        <w:t>绿色施工目标应分解为可量化的指标，并在专业分包合同中明确。</w:t>
      </w:r>
    </w:p>
    <w:p w14:paraId="6DA40E2A">
      <w:pPr>
        <w:widowControl w:val="0"/>
        <w:adjustRightInd w:val="0"/>
        <w:snapToGrid w:val="0"/>
        <w:outlineLvl w:val="1"/>
        <w:rPr>
          <w:rFonts w:hint="eastAsia"/>
          <w:sz w:val="21"/>
          <w:szCs w:val="21"/>
        </w:rPr>
      </w:pPr>
      <w:bookmarkStart w:id="259" w:name="_Toc8385"/>
      <w:bookmarkStart w:id="260" w:name="_Toc1670"/>
      <w:r>
        <w:rPr>
          <w:rFonts w:hint="eastAsia"/>
          <w:sz w:val="21"/>
          <w:szCs w:val="21"/>
        </w:rPr>
        <w:t>6.1.4</w:t>
      </w:r>
      <w:r>
        <w:rPr>
          <w:sz w:val="21"/>
          <w:szCs w:val="21"/>
        </w:rPr>
        <w:t xml:space="preserve">  </w:t>
      </w:r>
      <w:r>
        <w:rPr>
          <w:rFonts w:hint="eastAsia"/>
          <w:sz w:val="21"/>
          <w:szCs w:val="21"/>
        </w:rPr>
        <w:t>实施管理评价包括以下内容：</w:t>
      </w:r>
      <w:bookmarkEnd w:id="259"/>
      <w:bookmarkEnd w:id="260"/>
    </w:p>
    <w:p w14:paraId="49C0443D">
      <w:pPr>
        <w:widowControl w:val="0"/>
        <w:adjustRightInd w:val="0"/>
        <w:snapToGrid w:val="0"/>
        <w:ind w:firstLine="420" w:firstLineChars="200"/>
        <w:rPr>
          <w:rFonts w:hint="eastAsia"/>
          <w:sz w:val="21"/>
          <w:szCs w:val="21"/>
        </w:rPr>
      </w:pPr>
      <w:r>
        <w:rPr>
          <w:rFonts w:hint="eastAsia"/>
          <w:sz w:val="21"/>
          <w:szCs w:val="21"/>
        </w:rPr>
        <w:t>1</w:t>
      </w:r>
      <w:r>
        <w:rPr>
          <w:sz w:val="21"/>
          <w:szCs w:val="21"/>
        </w:rPr>
        <w:t xml:space="preserve">  </w:t>
      </w:r>
      <w:r>
        <w:rPr>
          <w:rFonts w:hint="eastAsia"/>
          <w:sz w:val="21"/>
          <w:szCs w:val="21"/>
        </w:rPr>
        <w:t>应组织绿色施工相关规范、管理制度、绿色策划等文件的培训和交底。</w:t>
      </w:r>
    </w:p>
    <w:p w14:paraId="7006B00C">
      <w:pPr>
        <w:widowControl w:val="0"/>
        <w:adjustRightInd w:val="0"/>
        <w:snapToGrid w:val="0"/>
        <w:ind w:firstLine="420" w:firstLineChars="200"/>
        <w:rPr>
          <w:rFonts w:hint="eastAsia"/>
          <w:sz w:val="21"/>
          <w:szCs w:val="21"/>
        </w:rPr>
      </w:pPr>
      <w:r>
        <w:rPr>
          <w:rFonts w:hint="eastAsia"/>
          <w:sz w:val="21"/>
          <w:szCs w:val="21"/>
        </w:rPr>
        <w:t>2</w:t>
      </w:r>
      <w:r>
        <w:rPr>
          <w:sz w:val="21"/>
          <w:szCs w:val="21"/>
        </w:rPr>
        <w:t xml:space="preserve">  </w:t>
      </w:r>
      <w:r>
        <w:rPr>
          <w:rFonts w:hint="eastAsia"/>
          <w:sz w:val="21"/>
          <w:szCs w:val="21"/>
        </w:rPr>
        <w:t>绿色施工相关过程资料和实施记录等应进行规范管理。</w:t>
      </w:r>
    </w:p>
    <w:p w14:paraId="4B9CBF09">
      <w:pPr>
        <w:widowControl w:val="0"/>
        <w:adjustRightInd w:val="0"/>
        <w:snapToGrid w:val="0"/>
        <w:ind w:firstLine="420" w:firstLineChars="200"/>
        <w:rPr>
          <w:rFonts w:hint="eastAsia"/>
          <w:sz w:val="21"/>
          <w:szCs w:val="21"/>
        </w:rPr>
      </w:pPr>
      <w:r>
        <w:rPr>
          <w:rFonts w:hint="eastAsia"/>
          <w:sz w:val="21"/>
          <w:szCs w:val="21"/>
        </w:rPr>
        <w:t>3</w:t>
      </w:r>
      <w:r>
        <w:rPr>
          <w:sz w:val="21"/>
          <w:szCs w:val="21"/>
        </w:rPr>
        <w:t xml:space="preserve">  </w:t>
      </w:r>
      <w:r>
        <w:rPr>
          <w:rFonts w:hint="eastAsia"/>
          <w:sz w:val="21"/>
          <w:szCs w:val="21"/>
        </w:rPr>
        <w:t>实施阶段应对碳排放相关数据进行统计计算。</w:t>
      </w:r>
    </w:p>
    <w:p w14:paraId="57598DB7">
      <w:pPr>
        <w:widowControl w:val="0"/>
        <w:adjustRightInd w:val="0"/>
        <w:snapToGrid w:val="0"/>
        <w:ind w:firstLine="420" w:firstLineChars="200"/>
        <w:rPr>
          <w:rFonts w:hint="eastAsia"/>
          <w:sz w:val="21"/>
          <w:szCs w:val="21"/>
        </w:rPr>
      </w:pPr>
      <w:r>
        <w:rPr>
          <w:rFonts w:hint="eastAsia"/>
          <w:sz w:val="21"/>
          <w:szCs w:val="21"/>
        </w:rPr>
        <w:t>4</w:t>
      </w:r>
      <w:r>
        <w:rPr>
          <w:sz w:val="21"/>
          <w:szCs w:val="21"/>
        </w:rPr>
        <w:t xml:space="preserve">  </w:t>
      </w:r>
      <w:r>
        <w:rPr>
          <w:rFonts w:hint="eastAsia"/>
          <w:sz w:val="21"/>
          <w:szCs w:val="21"/>
        </w:rPr>
        <w:t>应分阶段组织开展绿色施工自评价，进行量化指标的对比分析，制定措施，持续改进。</w:t>
      </w:r>
    </w:p>
    <w:p w14:paraId="219E9055">
      <w:pPr>
        <w:spacing w:before="120" w:beforeLines="50" w:after="240" w:afterLines="100"/>
        <w:jc w:val="center"/>
        <w:outlineLvl w:val="2"/>
        <w:rPr>
          <w:rFonts w:hint="eastAsia"/>
          <w:sz w:val="21"/>
          <w:szCs w:val="21"/>
        </w:rPr>
      </w:pPr>
      <w:bookmarkStart w:id="261" w:name="_Toc174141248"/>
      <w:bookmarkStart w:id="262" w:name="_Toc3433"/>
      <w:r>
        <w:rPr>
          <w:sz w:val="21"/>
          <w:szCs w:val="21"/>
        </w:rPr>
        <w:t>6.2  安全环保</w:t>
      </w:r>
      <w:bookmarkEnd w:id="261"/>
      <w:bookmarkEnd w:id="262"/>
    </w:p>
    <w:p w14:paraId="5B13C11A">
      <w:pPr>
        <w:spacing w:before="120" w:beforeLines="50" w:after="240" w:afterLines="100"/>
        <w:jc w:val="center"/>
        <w:rPr>
          <w:rFonts w:hint="eastAsia"/>
          <w:sz w:val="21"/>
          <w:szCs w:val="21"/>
        </w:rPr>
      </w:pPr>
      <w:r>
        <w:rPr>
          <w:rFonts w:hint="eastAsia"/>
          <w:sz w:val="21"/>
          <w:szCs w:val="21"/>
        </w:rPr>
        <w:t xml:space="preserve">Ⅰ </w:t>
      </w:r>
      <w:r>
        <w:rPr>
          <w:sz w:val="21"/>
          <w:szCs w:val="21"/>
        </w:rPr>
        <w:t xml:space="preserve"> 通用项</w:t>
      </w:r>
    </w:p>
    <w:p w14:paraId="1FE3F371">
      <w:pPr>
        <w:widowControl w:val="0"/>
        <w:adjustRightInd w:val="0"/>
        <w:snapToGrid w:val="0"/>
        <w:rPr>
          <w:rFonts w:hint="eastAsia"/>
          <w:sz w:val="21"/>
          <w:szCs w:val="21"/>
        </w:rPr>
      </w:pPr>
      <w:r>
        <w:rPr>
          <w:rFonts w:hint="eastAsia"/>
          <w:sz w:val="21"/>
          <w:szCs w:val="21"/>
        </w:rPr>
        <w:t>6.2.1</w:t>
      </w:r>
      <w:r>
        <w:rPr>
          <w:sz w:val="21"/>
          <w:szCs w:val="21"/>
        </w:rPr>
        <w:t xml:space="preserve">  </w:t>
      </w:r>
      <w:r>
        <w:rPr>
          <w:rFonts w:hint="eastAsia"/>
          <w:sz w:val="21"/>
          <w:szCs w:val="21"/>
        </w:rPr>
        <w:t>安全环保评价的内容包括：</w:t>
      </w:r>
      <w:r>
        <w:rPr>
          <w:sz w:val="21"/>
          <w:szCs w:val="21"/>
        </w:rPr>
        <w:t>生态环境</w:t>
      </w:r>
      <w:r>
        <w:rPr>
          <w:rFonts w:hint="eastAsia"/>
          <w:sz w:val="21"/>
          <w:szCs w:val="21"/>
        </w:rPr>
        <w:t>保护</w:t>
      </w:r>
      <w:r>
        <w:rPr>
          <w:sz w:val="21"/>
          <w:szCs w:val="21"/>
        </w:rPr>
        <w:t>与施工现场安全</w:t>
      </w:r>
      <w:r>
        <w:rPr>
          <w:rFonts w:hint="eastAsia"/>
          <w:sz w:val="21"/>
          <w:szCs w:val="21"/>
        </w:rPr>
        <w:t>、</w:t>
      </w:r>
      <w:r>
        <w:rPr>
          <w:sz w:val="21"/>
          <w:szCs w:val="21"/>
        </w:rPr>
        <w:t>扬尘控制</w:t>
      </w:r>
      <w:r>
        <w:rPr>
          <w:rFonts w:hint="eastAsia"/>
          <w:sz w:val="21"/>
          <w:szCs w:val="21"/>
        </w:rPr>
        <w:t>、</w:t>
      </w:r>
      <w:r>
        <w:rPr>
          <w:sz w:val="21"/>
          <w:szCs w:val="21"/>
        </w:rPr>
        <w:t>水土污染控制</w:t>
      </w:r>
      <w:r>
        <w:rPr>
          <w:rFonts w:hint="eastAsia"/>
          <w:sz w:val="21"/>
          <w:szCs w:val="21"/>
        </w:rPr>
        <w:t>、废气及有害气体排放控制、光污染控制、</w:t>
      </w:r>
      <w:r>
        <w:rPr>
          <w:sz w:val="21"/>
          <w:szCs w:val="21"/>
        </w:rPr>
        <w:t>噪声与振动控制</w:t>
      </w:r>
      <w:r>
        <w:rPr>
          <w:rFonts w:hint="eastAsia"/>
          <w:sz w:val="21"/>
          <w:szCs w:val="21"/>
        </w:rPr>
        <w:t>、</w:t>
      </w:r>
      <w:r>
        <w:rPr>
          <w:sz w:val="21"/>
          <w:szCs w:val="21"/>
        </w:rPr>
        <w:t>施工用地及设施保护</w:t>
      </w:r>
      <w:r>
        <w:rPr>
          <w:rFonts w:hint="eastAsia"/>
          <w:sz w:val="21"/>
          <w:szCs w:val="21"/>
        </w:rPr>
        <w:t>、</w:t>
      </w:r>
      <w:r>
        <w:rPr>
          <w:sz w:val="21"/>
          <w:szCs w:val="21"/>
        </w:rPr>
        <w:t>职业健康管理</w:t>
      </w:r>
      <w:r>
        <w:rPr>
          <w:rFonts w:hint="eastAsia"/>
          <w:sz w:val="21"/>
          <w:szCs w:val="21"/>
        </w:rPr>
        <w:t>等的评价。</w:t>
      </w:r>
    </w:p>
    <w:p w14:paraId="06FEE63C">
      <w:pPr>
        <w:widowControl w:val="0"/>
        <w:adjustRightInd w:val="0"/>
        <w:snapToGrid w:val="0"/>
        <w:outlineLvl w:val="1"/>
        <w:rPr>
          <w:rFonts w:hint="eastAsia"/>
          <w:sz w:val="21"/>
          <w:szCs w:val="21"/>
        </w:rPr>
      </w:pPr>
      <w:bookmarkStart w:id="263" w:name="_Toc998"/>
      <w:bookmarkStart w:id="264" w:name="_Toc6599"/>
      <w:r>
        <w:rPr>
          <w:sz w:val="21"/>
          <w:szCs w:val="21"/>
        </w:rPr>
        <w:t>6.2.</w:t>
      </w:r>
      <w:r>
        <w:rPr>
          <w:rFonts w:hint="eastAsia"/>
          <w:sz w:val="21"/>
          <w:szCs w:val="21"/>
        </w:rPr>
        <w:t>2</w:t>
      </w:r>
      <w:r>
        <w:rPr>
          <w:sz w:val="21"/>
          <w:szCs w:val="21"/>
        </w:rPr>
        <w:t xml:space="preserve">  生态环境</w:t>
      </w:r>
      <w:r>
        <w:rPr>
          <w:rFonts w:hint="eastAsia"/>
          <w:sz w:val="21"/>
          <w:szCs w:val="21"/>
        </w:rPr>
        <w:t>保护</w:t>
      </w:r>
      <w:r>
        <w:rPr>
          <w:sz w:val="21"/>
          <w:szCs w:val="21"/>
        </w:rPr>
        <w:t>与施工现场安全</w:t>
      </w:r>
      <w:r>
        <w:rPr>
          <w:rFonts w:hint="eastAsia"/>
          <w:sz w:val="21"/>
          <w:szCs w:val="21"/>
        </w:rPr>
        <w:t>的评价应包括</w:t>
      </w:r>
      <w:r>
        <w:rPr>
          <w:sz w:val="21"/>
          <w:szCs w:val="21"/>
        </w:rPr>
        <w:t>：</w:t>
      </w:r>
      <w:bookmarkEnd w:id="263"/>
      <w:bookmarkEnd w:id="264"/>
    </w:p>
    <w:p w14:paraId="7BD33767">
      <w:pPr>
        <w:widowControl w:val="0"/>
        <w:adjustRightInd w:val="0"/>
        <w:snapToGrid w:val="0"/>
        <w:ind w:firstLine="420" w:firstLineChars="200"/>
        <w:rPr>
          <w:rFonts w:hint="eastAsia"/>
          <w:sz w:val="21"/>
          <w:szCs w:val="21"/>
        </w:rPr>
      </w:pPr>
      <w:r>
        <w:rPr>
          <w:sz w:val="21"/>
          <w:szCs w:val="21"/>
        </w:rPr>
        <w:t xml:space="preserve">1  </w:t>
      </w:r>
      <w:r>
        <w:rPr>
          <w:rFonts w:hint="eastAsia"/>
          <w:sz w:val="21"/>
          <w:szCs w:val="21"/>
        </w:rPr>
        <w:t>对</w:t>
      </w:r>
      <w:r>
        <w:rPr>
          <w:sz w:val="21"/>
          <w:szCs w:val="21"/>
        </w:rPr>
        <w:t>环境</w:t>
      </w:r>
      <w:r>
        <w:rPr>
          <w:rFonts w:hint="eastAsia"/>
          <w:sz w:val="21"/>
          <w:szCs w:val="21"/>
        </w:rPr>
        <w:t>因素和危险源进行识别与评价，制定针对性的应急预案、管理方案、管理措施。</w:t>
      </w:r>
    </w:p>
    <w:p w14:paraId="71015FAE">
      <w:pPr>
        <w:widowControl w:val="0"/>
        <w:adjustRightInd w:val="0"/>
        <w:snapToGrid w:val="0"/>
        <w:ind w:firstLine="420" w:firstLineChars="200"/>
        <w:rPr>
          <w:rFonts w:hint="eastAsia"/>
          <w:sz w:val="21"/>
          <w:szCs w:val="21"/>
        </w:rPr>
      </w:pPr>
      <w:r>
        <w:rPr>
          <w:rFonts w:hint="eastAsia"/>
          <w:sz w:val="21"/>
          <w:szCs w:val="21"/>
        </w:rPr>
        <w:t xml:space="preserve">2 </w:t>
      </w:r>
      <w:r>
        <w:rPr>
          <w:sz w:val="21"/>
          <w:szCs w:val="21"/>
        </w:rPr>
        <w:t xml:space="preserve"> </w:t>
      </w:r>
      <w:r>
        <w:rPr>
          <w:rFonts w:hint="eastAsia"/>
          <w:sz w:val="21"/>
          <w:szCs w:val="21"/>
        </w:rPr>
        <w:t>安全生产标准化建设应满足《企业安全生产标准化基本规范》</w:t>
      </w:r>
      <w:r>
        <w:rPr>
          <w:sz w:val="21"/>
          <w:szCs w:val="21"/>
        </w:rPr>
        <w:t>GB</w:t>
      </w:r>
      <w:r>
        <w:rPr>
          <w:rFonts w:hint="eastAsia"/>
          <w:sz w:val="21"/>
          <w:szCs w:val="21"/>
        </w:rPr>
        <w:t>/</w:t>
      </w:r>
      <w:r>
        <w:rPr>
          <w:sz w:val="21"/>
          <w:szCs w:val="21"/>
        </w:rPr>
        <w:t>T</w:t>
      </w:r>
      <w:r>
        <w:rPr>
          <w:rFonts w:hint="eastAsia"/>
          <w:sz w:val="21"/>
          <w:szCs w:val="21"/>
        </w:rPr>
        <w:t xml:space="preserve"> </w:t>
      </w:r>
      <w:r>
        <w:rPr>
          <w:sz w:val="21"/>
          <w:szCs w:val="21"/>
        </w:rPr>
        <w:t>33000</w:t>
      </w:r>
      <w:r>
        <w:rPr>
          <w:rFonts w:hint="eastAsia"/>
          <w:sz w:val="21"/>
          <w:szCs w:val="21"/>
        </w:rPr>
        <w:t>的要求，实现安全健康管理系统化、岗位操作行为规范化、设备设施本质安全化、作业环境器具定置化，并持续改进。</w:t>
      </w:r>
    </w:p>
    <w:p w14:paraId="5CC07A63">
      <w:pPr>
        <w:widowControl w:val="0"/>
        <w:adjustRightInd w:val="0"/>
        <w:snapToGrid w:val="0"/>
        <w:ind w:firstLine="420" w:firstLineChars="200"/>
        <w:rPr>
          <w:rFonts w:hint="eastAsia"/>
          <w:sz w:val="21"/>
          <w:szCs w:val="21"/>
        </w:rPr>
      </w:pPr>
      <w:r>
        <w:rPr>
          <w:rFonts w:hint="eastAsia"/>
          <w:sz w:val="21"/>
          <w:szCs w:val="21"/>
        </w:rPr>
        <w:t>3</w:t>
      </w:r>
      <w:r>
        <w:rPr>
          <w:sz w:val="21"/>
          <w:szCs w:val="21"/>
        </w:rPr>
        <w:t xml:space="preserve">  </w:t>
      </w:r>
      <w:r>
        <w:rPr>
          <w:rFonts w:hint="eastAsia"/>
          <w:sz w:val="21"/>
          <w:szCs w:val="21"/>
        </w:rPr>
        <w:t>施工现场安全文明责任区应划分明确、职责清晰，施工现场整洁有序。</w:t>
      </w:r>
    </w:p>
    <w:p w14:paraId="5F24229F">
      <w:pPr>
        <w:widowControl w:val="0"/>
        <w:adjustRightInd w:val="0"/>
        <w:snapToGrid w:val="0"/>
        <w:ind w:firstLine="420" w:firstLineChars="200"/>
        <w:outlineLvl w:val="0"/>
        <w:rPr>
          <w:rFonts w:hint="eastAsia"/>
          <w:sz w:val="21"/>
          <w:szCs w:val="21"/>
        </w:rPr>
      </w:pPr>
      <w:bookmarkStart w:id="265" w:name="_Toc25799"/>
      <w:bookmarkStart w:id="266" w:name="_Toc31990"/>
      <w:r>
        <w:rPr>
          <w:rFonts w:hint="eastAsia"/>
          <w:sz w:val="21"/>
          <w:szCs w:val="21"/>
        </w:rPr>
        <w:t>4</w:t>
      </w:r>
      <w:r>
        <w:rPr>
          <w:sz w:val="21"/>
          <w:szCs w:val="21"/>
        </w:rPr>
        <w:t xml:space="preserve">  </w:t>
      </w:r>
      <w:r>
        <w:rPr>
          <w:rFonts w:hint="eastAsia"/>
          <w:sz w:val="21"/>
          <w:szCs w:val="21"/>
        </w:rPr>
        <w:t>施工现场应设置齐全、醒目的安全及环境保护的标识标志。</w:t>
      </w:r>
      <w:bookmarkEnd w:id="265"/>
      <w:bookmarkEnd w:id="266"/>
    </w:p>
    <w:p w14:paraId="085114DE">
      <w:pPr>
        <w:widowControl w:val="0"/>
        <w:adjustRightInd w:val="0"/>
        <w:snapToGrid w:val="0"/>
        <w:ind w:firstLine="420" w:firstLineChars="200"/>
        <w:rPr>
          <w:rFonts w:hint="eastAsia"/>
          <w:sz w:val="21"/>
          <w:szCs w:val="21"/>
        </w:rPr>
      </w:pPr>
      <w:r>
        <w:rPr>
          <w:rFonts w:hint="eastAsia"/>
          <w:sz w:val="21"/>
          <w:szCs w:val="21"/>
        </w:rPr>
        <w:t>5</w:t>
      </w:r>
      <w:r>
        <w:rPr>
          <w:sz w:val="21"/>
          <w:szCs w:val="21"/>
        </w:rPr>
        <w:t xml:space="preserve">  </w:t>
      </w:r>
      <w:r>
        <w:rPr>
          <w:rFonts w:hint="eastAsia"/>
          <w:sz w:val="21"/>
          <w:szCs w:val="21"/>
        </w:rPr>
        <w:t>危险品、废品及化学品管理应符合《危险化学品安全管理条例》国务院第</w:t>
      </w:r>
      <w:r>
        <w:rPr>
          <w:sz w:val="21"/>
          <w:szCs w:val="21"/>
        </w:rPr>
        <w:t>591号</w:t>
      </w:r>
      <w:r>
        <w:rPr>
          <w:rFonts w:hint="eastAsia"/>
          <w:sz w:val="21"/>
          <w:szCs w:val="21"/>
        </w:rPr>
        <w:t>令的要求。</w:t>
      </w:r>
    </w:p>
    <w:p w14:paraId="299A39BA">
      <w:pPr>
        <w:widowControl w:val="0"/>
        <w:adjustRightInd w:val="0"/>
        <w:snapToGrid w:val="0"/>
        <w:outlineLvl w:val="1"/>
        <w:rPr>
          <w:rFonts w:hint="eastAsia"/>
          <w:sz w:val="21"/>
          <w:szCs w:val="21"/>
        </w:rPr>
      </w:pPr>
      <w:bookmarkStart w:id="267" w:name="_Toc18443"/>
      <w:bookmarkStart w:id="268" w:name="_Toc22914"/>
      <w:r>
        <w:rPr>
          <w:sz w:val="21"/>
          <w:szCs w:val="21"/>
        </w:rPr>
        <w:t>6.2.</w:t>
      </w:r>
      <w:r>
        <w:rPr>
          <w:rFonts w:hint="eastAsia"/>
          <w:sz w:val="21"/>
          <w:szCs w:val="21"/>
        </w:rPr>
        <w:t>3</w:t>
      </w:r>
      <w:r>
        <w:rPr>
          <w:sz w:val="21"/>
          <w:szCs w:val="21"/>
        </w:rPr>
        <w:t xml:space="preserve">  扬尘控制</w:t>
      </w:r>
      <w:r>
        <w:rPr>
          <w:rFonts w:hint="eastAsia"/>
          <w:sz w:val="21"/>
          <w:szCs w:val="21"/>
        </w:rPr>
        <w:t>评价的内容应包括</w:t>
      </w:r>
      <w:r>
        <w:rPr>
          <w:sz w:val="21"/>
          <w:szCs w:val="21"/>
        </w:rPr>
        <w:t>：</w:t>
      </w:r>
      <w:bookmarkEnd w:id="267"/>
      <w:bookmarkEnd w:id="268"/>
    </w:p>
    <w:p w14:paraId="1CA56D70">
      <w:pPr>
        <w:widowControl w:val="0"/>
        <w:adjustRightInd w:val="0"/>
        <w:snapToGrid w:val="0"/>
        <w:ind w:firstLine="420" w:firstLineChars="200"/>
        <w:rPr>
          <w:rFonts w:hint="eastAsia"/>
          <w:sz w:val="21"/>
          <w:szCs w:val="21"/>
        </w:rPr>
      </w:pPr>
      <w:r>
        <w:rPr>
          <w:sz w:val="21"/>
          <w:szCs w:val="21"/>
        </w:rPr>
        <w:t xml:space="preserve">1  </w:t>
      </w:r>
      <w:r>
        <w:rPr>
          <w:rFonts w:hint="eastAsia"/>
          <w:sz w:val="21"/>
          <w:szCs w:val="21"/>
        </w:rPr>
        <w:t>施工现场应安装空气质量监测设备，施工期间连续监测扬尘数值，采取有效抑尘措施，PM2.5、PM10监测值不超过当地生态环境部门公布值。</w:t>
      </w:r>
    </w:p>
    <w:p w14:paraId="11642580">
      <w:pPr>
        <w:widowControl w:val="0"/>
        <w:adjustRightInd w:val="0"/>
        <w:snapToGrid w:val="0"/>
        <w:ind w:firstLine="420" w:firstLineChars="200"/>
        <w:rPr>
          <w:rFonts w:hint="eastAsia"/>
          <w:sz w:val="21"/>
          <w:szCs w:val="21"/>
        </w:rPr>
      </w:pPr>
      <w:r>
        <w:rPr>
          <w:rFonts w:hint="eastAsia"/>
          <w:sz w:val="21"/>
          <w:szCs w:val="21"/>
        </w:rPr>
        <w:t>2</w:t>
      </w:r>
      <w:r>
        <w:rPr>
          <w:sz w:val="21"/>
          <w:szCs w:val="21"/>
        </w:rPr>
        <w:t xml:space="preserve">  </w:t>
      </w:r>
      <w:r>
        <w:rPr>
          <w:rFonts w:hint="eastAsia"/>
          <w:sz w:val="21"/>
          <w:szCs w:val="21"/>
        </w:rPr>
        <w:t>施工现场的道路和材料加工区采取</w:t>
      </w:r>
      <w:r>
        <w:rPr>
          <w:sz w:val="21"/>
          <w:szCs w:val="21"/>
        </w:rPr>
        <w:t>混凝土硬化、铺砖</w:t>
      </w:r>
      <w:r>
        <w:rPr>
          <w:rFonts w:hint="eastAsia"/>
          <w:sz w:val="21"/>
          <w:szCs w:val="21"/>
        </w:rPr>
        <w:t>、</w:t>
      </w:r>
      <w:r>
        <w:rPr>
          <w:sz w:val="21"/>
          <w:szCs w:val="21"/>
        </w:rPr>
        <w:t>铺设碎石或炉渣垫层</w:t>
      </w:r>
      <w:r>
        <w:rPr>
          <w:rFonts w:hint="eastAsia"/>
          <w:sz w:val="21"/>
          <w:szCs w:val="21"/>
        </w:rPr>
        <w:t>等措施</w:t>
      </w:r>
      <w:r>
        <w:rPr>
          <w:sz w:val="21"/>
          <w:szCs w:val="21"/>
        </w:rPr>
        <w:t>，保证现场地面平整</w:t>
      </w:r>
      <w:r>
        <w:rPr>
          <w:rFonts w:hint="eastAsia"/>
          <w:sz w:val="21"/>
          <w:szCs w:val="21"/>
        </w:rPr>
        <w:t>、</w:t>
      </w:r>
      <w:r>
        <w:rPr>
          <w:sz w:val="21"/>
          <w:szCs w:val="21"/>
        </w:rPr>
        <w:t>坚实</w:t>
      </w:r>
      <w:r>
        <w:rPr>
          <w:rFonts w:hint="eastAsia"/>
          <w:sz w:val="21"/>
          <w:szCs w:val="21"/>
        </w:rPr>
        <w:t>，减少</w:t>
      </w:r>
      <w:r>
        <w:rPr>
          <w:sz w:val="21"/>
          <w:szCs w:val="21"/>
        </w:rPr>
        <w:t>浮土</w:t>
      </w:r>
      <w:r>
        <w:rPr>
          <w:rFonts w:hint="eastAsia"/>
          <w:sz w:val="21"/>
          <w:szCs w:val="21"/>
        </w:rPr>
        <w:t>扬尘</w:t>
      </w:r>
      <w:r>
        <w:rPr>
          <w:sz w:val="21"/>
          <w:szCs w:val="21"/>
        </w:rPr>
        <w:t>。</w:t>
      </w:r>
    </w:p>
    <w:p w14:paraId="49FF61BD">
      <w:pPr>
        <w:widowControl w:val="0"/>
        <w:adjustRightInd w:val="0"/>
        <w:snapToGrid w:val="0"/>
        <w:ind w:firstLine="420" w:firstLineChars="200"/>
        <w:outlineLvl w:val="0"/>
        <w:rPr>
          <w:rFonts w:hint="eastAsia"/>
          <w:sz w:val="21"/>
          <w:szCs w:val="21"/>
        </w:rPr>
      </w:pPr>
      <w:bookmarkStart w:id="269" w:name="_Toc21431"/>
      <w:bookmarkStart w:id="270" w:name="_Toc23235"/>
      <w:r>
        <w:rPr>
          <w:rFonts w:hint="eastAsia"/>
          <w:sz w:val="21"/>
          <w:szCs w:val="21"/>
        </w:rPr>
        <w:t>3</w:t>
      </w:r>
      <w:r>
        <w:rPr>
          <w:sz w:val="21"/>
          <w:szCs w:val="21"/>
        </w:rPr>
        <w:t xml:space="preserve">  </w:t>
      </w:r>
      <w:r>
        <w:rPr>
          <w:rFonts w:hint="eastAsia"/>
          <w:sz w:val="21"/>
          <w:szCs w:val="21"/>
        </w:rPr>
        <w:t>易产生扬尘的作业应采取防尘、抑尘及降尘措施。</w:t>
      </w:r>
      <w:bookmarkEnd w:id="269"/>
      <w:bookmarkEnd w:id="270"/>
    </w:p>
    <w:p w14:paraId="65555903">
      <w:pPr>
        <w:widowControl w:val="0"/>
        <w:adjustRightInd w:val="0"/>
        <w:snapToGrid w:val="0"/>
        <w:ind w:firstLine="420" w:firstLineChars="200"/>
        <w:rPr>
          <w:rFonts w:hint="eastAsia"/>
          <w:sz w:val="21"/>
          <w:szCs w:val="21"/>
        </w:rPr>
      </w:pPr>
      <w:r>
        <w:rPr>
          <w:rFonts w:hint="eastAsia"/>
          <w:sz w:val="21"/>
          <w:szCs w:val="21"/>
        </w:rPr>
        <w:t>4</w:t>
      </w:r>
      <w:r>
        <w:rPr>
          <w:sz w:val="21"/>
          <w:szCs w:val="21"/>
        </w:rPr>
        <w:t xml:space="preserve">  </w:t>
      </w:r>
      <w:r>
        <w:rPr>
          <w:rFonts w:hint="eastAsia"/>
          <w:sz w:val="21"/>
          <w:szCs w:val="21"/>
        </w:rPr>
        <w:t>施工现场</w:t>
      </w:r>
      <w:r>
        <w:rPr>
          <w:sz w:val="21"/>
          <w:szCs w:val="21"/>
        </w:rPr>
        <w:t>长时间闲置的裸露</w:t>
      </w:r>
      <w:r>
        <w:rPr>
          <w:rFonts w:hint="eastAsia"/>
          <w:sz w:val="21"/>
          <w:szCs w:val="21"/>
        </w:rPr>
        <w:t>区域</w:t>
      </w:r>
      <w:r>
        <w:rPr>
          <w:sz w:val="21"/>
          <w:szCs w:val="21"/>
        </w:rPr>
        <w:t>，</w:t>
      </w:r>
      <w:r>
        <w:rPr>
          <w:rFonts w:hint="eastAsia"/>
          <w:sz w:val="21"/>
          <w:szCs w:val="21"/>
        </w:rPr>
        <w:t>采取</w:t>
      </w:r>
      <w:r>
        <w:rPr>
          <w:sz w:val="21"/>
          <w:szCs w:val="21"/>
        </w:rPr>
        <w:t>覆盖密目网或临时绿化</w:t>
      </w:r>
      <w:r>
        <w:rPr>
          <w:rFonts w:hint="eastAsia"/>
          <w:sz w:val="21"/>
          <w:szCs w:val="21"/>
        </w:rPr>
        <w:t>、</w:t>
      </w:r>
      <w:r>
        <w:rPr>
          <w:sz w:val="21"/>
          <w:szCs w:val="21"/>
        </w:rPr>
        <w:t>铺贴透水植草砖</w:t>
      </w:r>
      <w:r>
        <w:rPr>
          <w:rFonts w:hint="eastAsia"/>
          <w:sz w:val="21"/>
          <w:szCs w:val="21"/>
        </w:rPr>
        <w:t>等措施。</w:t>
      </w:r>
    </w:p>
    <w:p w14:paraId="1644C1A0">
      <w:pPr>
        <w:widowControl w:val="0"/>
        <w:adjustRightInd w:val="0"/>
        <w:snapToGrid w:val="0"/>
        <w:ind w:firstLine="420" w:firstLineChars="200"/>
        <w:rPr>
          <w:rFonts w:hint="eastAsia"/>
          <w:sz w:val="21"/>
          <w:szCs w:val="21"/>
        </w:rPr>
      </w:pPr>
      <w:r>
        <w:rPr>
          <w:rFonts w:hint="eastAsia"/>
          <w:sz w:val="21"/>
          <w:szCs w:val="21"/>
        </w:rPr>
        <w:t>5</w:t>
      </w:r>
      <w:r>
        <w:rPr>
          <w:sz w:val="21"/>
          <w:szCs w:val="21"/>
        </w:rPr>
        <w:t xml:space="preserve"> </w:t>
      </w:r>
      <w:r>
        <w:rPr>
          <w:rFonts w:hint="eastAsia"/>
          <w:sz w:val="21"/>
          <w:szCs w:val="21"/>
        </w:rPr>
        <w:t>施工现场使用散装水泥、干混砂浆等易飞扬和细颗粒材料应有密闭防尘措施，余料定期回收。</w:t>
      </w:r>
    </w:p>
    <w:p w14:paraId="66C4E26D">
      <w:pPr>
        <w:widowControl w:val="0"/>
        <w:adjustRightInd w:val="0"/>
        <w:snapToGrid w:val="0"/>
        <w:ind w:firstLine="420" w:firstLineChars="200"/>
        <w:outlineLvl w:val="0"/>
        <w:rPr>
          <w:rFonts w:hint="eastAsia"/>
          <w:sz w:val="21"/>
          <w:szCs w:val="21"/>
        </w:rPr>
      </w:pPr>
      <w:bookmarkStart w:id="271" w:name="_Toc31419"/>
      <w:bookmarkStart w:id="272" w:name="_Toc22205"/>
      <w:r>
        <w:rPr>
          <w:rFonts w:hint="eastAsia"/>
          <w:sz w:val="21"/>
          <w:szCs w:val="21"/>
        </w:rPr>
        <w:t>6</w:t>
      </w:r>
      <w:r>
        <w:rPr>
          <w:sz w:val="21"/>
          <w:szCs w:val="21"/>
        </w:rPr>
        <w:t xml:space="preserve">  </w:t>
      </w:r>
      <w:r>
        <w:rPr>
          <w:rFonts w:hint="eastAsia"/>
          <w:sz w:val="21"/>
          <w:szCs w:val="21"/>
        </w:rPr>
        <w:t>现场车辆运输采取封闭及防污措施。</w:t>
      </w:r>
      <w:bookmarkEnd w:id="271"/>
      <w:bookmarkEnd w:id="272"/>
    </w:p>
    <w:p w14:paraId="2A2F5E7E">
      <w:pPr>
        <w:widowControl w:val="0"/>
        <w:adjustRightInd w:val="0"/>
        <w:snapToGrid w:val="0"/>
        <w:ind w:firstLine="420" w:firstLineChars="200"/>
        <w:rPr>
          <w:rFonts w:hint="eastAsia"/>
          <w:sz w:val="21"/>
          <w:szCs w:val="21"/>
        </w:rPr>
      </w:pPr>
      <w:r>
        <w:rPr>
          <w:rFonts w:hint="eastAsia"/>
          <w:sz w:val="21"/>
          <w:szCs w:val="21"/>
        </w:rPr>
        <w:t>7</w:t>
      </w:r>
      <w:r>
        <w:rPr>
          <w:sz w:val="21"/>
          <w:szCs w:val="21"/>
        </w:rPr>
        <w:t xml:space="preserve">  </w:t>
      </w:r>
      <w:r>
        <w:rPr>
          <w:rFonts w:hint="eastAsia"/>
          <w:sz w:val="21"/>
          <w:szCs w:val="21"/>
        </w:rPr>
        <w:t>现场易产生扬尘的建筑垃圾在存放、搬运过程中应有降尘措施。</w:t>
      </w:r>
    </w:p>
    <w:p w14:paraId="7648DB04">
      <w:pPr>
        <w:widowControl w:val="0"/>
        <w:adjustRightInd w:val="0"/>
        <w:snapToGrid w:val="0"/>
        <w:outlineLvl w:val="1"/>
        <w:rPr>
          <w:rFonts w:hint="eastAsia"/>
          <w:sz w:val="21"/>
          <w:szCs w:val="21"/>
        </w:rPr>
      </w:pPr>
      <w:bookmarkStart w:id="273" w:name="_Toc10310"/>
      <w:bookmarkStart w:id="274" w:name="_Toc22089"/>
      <w:r>
        <w:rPr>
          <w:sz w:val="21"/>
          <w:szCs w:val="21"/>
        </w:rPr>
        <w:t>6.2.</w:t>
      </w:r>
      <w:r>
        <w:rPr>
          <w:rFonts w:hint="eastAsia"/>
          <w:sz w:val="21"/>
          <w:szCs w:val="21"/>
        </w:rPr>
        <w:t>4</w:t>
      </w:r>
      <w:r>
        <w:rPr>
          <w:sz w:val="21"/>
          <w:szCs w:val="21"/>
        </w:rPr>
        <w:t xml:space="preserve">  水土污染控制</w:t>
      </w:r>
      <w:r>
        <w:rPr>
          <w:rFonts w:hint="eastAsia"/>
          <w:sz w:val="21"/>
          <w:szCs w:val="21"/>
        </w:rPr>
        <w:t>评价的内容应包括</w:t>
      </w:r>
      <w:r>
        <w:rPr>
          <w:sz w:val="21"/>
          <w:szCs w:val="21"/>
        </w:rPr>
        <w:t>：</w:t>
      </w:r>
      <w:bookmarkEnd w:id="273"/>
      <w:bookmarkEnd w:id="274"/>
    </w:p>
    <w:p w14:paraId="64072116">
      <w:pPr>
        <w:widowControl w:val="0"/>
        <w:adjustRightInd w:val="0"/>
        <w:snapToGrid w:val="0"/>
        <w:ind w:firstLine="420" w:firstLineChars="200"/>
        <w:rPr>
          <w:rFonts w:hint="eastAsia"/>
          <w:sz w:val="21"/>
          <w:szCs w:val="21"/>
        </w:rPr>
      </w:pPr>
      <w:r>
        <w:rPr>
          <w:sz w:val="21"/>
          <w:szCs w:val="21"/>
        </w:rPr>
        <w:t xml:space="preserve">1  </w:t>
      </w:r>
      <w:r>
        <w:rPr>
          <w:rFonts w:hint="eastAsia"/>
          <w:sz w:val="21"/>
          <w:szCs w:val="21"/>
        </w:rPr>
        <w:t>施工现场污水排放应符合现行国家标准《污水综合排放标准》</w:t>
      </w:r>
      <w:r>
        <w:rPr>
          <w:sz w:val="21"/>
          <w:szCs w:val="21"/>
        </w:rPr>
        <w:t>GB</w:t>
      </w:r>
      <w:r>
        <w:rPr>
          <w:rFonts w:hint="eastAsia"/>
          <w:sz w:val="21"/>
          <w:szCs w:val="21"/>
        </w:rPr>
        <w:t xml:space="preserve"> </w:t>
      </w:r>
      <w:r>
        <w:rPr>
          <w:sz w:val="21"/>
          <w:szCs w:val="21"/>
        </w:rPr>
        <w:t>8978的要求。</w:t>
      </w:r>
    </w:p>
    <w:p w14:paraId="008D33EB">
      <w:pPr>
        <w:widowControl w:val="0"/>
        <w:adjustRightInd w:val="0"/>
        <w:snapToGrid w:val="0"/>
        <w:ind w:firstLine="420" w:firstLineChars="200"/>
        <w:rPr>
          <w:rFonts w:hint="eastAsia"/>
          <w:sz w:val="21"/>
          <w:szCs w:val="21"/>
        </w:rPr>
      </w:pPr>
      <w:r>
        <w:rPr>
          <w:sz w:val="21"/>
          <w:szCs w:val="21"/>
        </w:rPr>
        <w:t xml:space="preserve">2  </w:t>
      </w:r>
      <w:r>
        <w:rPr>
          <w:rFonts w:hint="eastAsia"/>
          <w:sz w:val="21"/>
          <w:szCs w:val="21"/>
        </w:rPr>
        <w:t>施工现场分区域设置污水控制设施：现场道路和材料堆放场周边设排水沟并保持畅通；搅拌站区域设置沉淀池；食堂设置沉淀池、隔油池；办公、生活区设置自动冲洗厕所，现场厕所设置化粪池，化粪池定期清理；</w:t>
      </w:r>
      <w:r>
        <w:rPr>
          <w:sz w:val="21"/>
          <w:szCs w:val="21"/>
        </w:rPr>
        <w:t>隔油池和化粪池做防渗处理，施工现场采用移动式厕所，定期清理。</w:t>
      </w:r>
    </w:p>
    <w:p w14:paraId="440D7991">
      <w:pPr>
        <w:widowControl w:val="0"/>
        <w:adjustRightInd w:val="0"/>
        <w:snapToGrid w:val="0"/>
        <w:ind w:firstLine="420" w:firstLineChars="200"/>
        <w:rPr>
          <w:rFonts w:hint="eastAsia"/>
          <w:sz w:val="21"/>
          <w:szCs w:val="21"/>
        </w:rPr>
      </w:pPr>
      <w:r>
        <w:rPr>
          <w:rFonts w:hint="eastAsia"/>
          <w:sz w:val="21"/>
          <w:szCs w:val="21"/>
        </w:rPr>
        <w:t>3</w:t>
      </w:r>
      <w:r>
        <w:rPr>
          <w:sz w:val="21"/>
          <w:szCs w:val="21"/>
        </w:rPr>
        <w:t xml:space="preserve">  </w:t>
      </w:r>
      <w:r>
        <w:rPr>
          <w:rFonts w:hint="eastAsia"/>
          <w:sz w:val="21"/>
          <w:szCs w:val="21"/>
        </w:rPr>
        <w:t>基坑降排水应采用动态管理措施，实时监测周边环境和地下水位，按需降水，需进行回灌施工时，对灌水进行处理，符合回灌要求的理化指标，减少对周边环境的影响。</w:t>
      </w:r>
    </w:p>
    <w:p w14:paraId="53FD762F">
      <w:pPr>
        <w:widowControl w:val="0"/>
        <w:adjustRightInd w:val="0"/>
        <w:snapToGrid w:val="0"/>
        <w:outlineLvl w:val="1"/>
        <w:rPr>
          <w:rFonts w:hint="eastAsia"/>
          <w:sz w:val="21"/>
          <w:szCs w:val="21"/>
        </w:rPr>
      </w:pPr>
      <w:bookmarkStart w:id="275" w:name="_Toc30160"/>
      <w:bookmarkStart w:id="276" w:name="_Toc25897"/>
      <w:r>
        <w:rPr>
          <w:sz w:val="21"/>
          <w:szCs w:val="21"/>
        </w:rPr>
        <w:t>6.2.</w:t>
      </w:r>
      <w:r>
        <w:rPr>
          <w:rFonts w:hint="eastAsia"/>
          <w:sz w:val="21"/>
          <w:szCs w:val="21"/>
        </w:rPr>
        <w:t>5</w:t>
      </w:r>
      <w:r>
        <w:rPr>
          <w:sz w:val="21"/>
          <w:szCs w:val="21"/>
        </w:rPr>
        <w:t xml:space="preserve">  </w:t>
      </w:r>
      <w:r>
        <w:rPr>
          <w:rFonts w:hint="eastAsia"/>
          <w:sz w:val="21"/>
          <w:szCs w:val="21"/>
        </w:rPr>
        <w:t>废气及有害气体排放控制评价的内容应包括</w:t>
      </w:r>
      <w:r>
        <w:rPr>
          <w:sz w:val="21"/>
          <w:szCs w:val="21"/>
        </w:rPr>
        <w:t>：</w:t>
      </w:r>
      <w:bookmarkEnd w:id="275"/>
      <w:bookmarkEnd w:id="276"/>
    </w:p>
    <w:p w14:paraId="3DABCB75">
      <w:pPr>
        <w:widowControl w:val="0"/>
        <w:adjustRightInd w:val="0"/>
        <w:snapToGrid w:val="0"/>
        <w:ind w:firstLine="420" w:firstLineChars="200"/>
        <w:rPr>
          <w:rFonts w:hint="eastAsia"/>
          <w:sz w:val="21"/>
          <w:szCs w:val="21"/>
        </w:rPr>
      </w:pPr>
      <w:r>
        <w:rPr>
          <w:sz w:val="21"/>
          <w:szCs w:val="21"/>
        </w:rPr>
        <w:t xml:space="preserve">1 </w:t>
      </w:r>
      <w:r>
        <w:rPr>
          <w:rFonts w:hint="eastAsia"/>
          <w:sz w:val="21"/>
          <w:szCs w:val="21"/>
        </w:rPr>
        <w:t>施工现场有害气体排放符合现行国家标准《大气污染物综合排放标准》</w:t>
      </w:r>
      <w:r>
        <w:rPr>
          <w:sz w:val="21"/>
          <w:szCs w:val="21"/>
        </w:rPr>
        <w:t xml:space="preserve">GB 16297 </w:t>
      </w:r>
      <w:r>
        <w:rPr>
          <w:rFonts w:hint="eastAsia"/>
          <w:sz w:val="21"/>
          <w:szCs w:val="21"/>
        </w:rPr>
        <w:t>的规定。</w:t>
      </w:r>
    </w:p>
    <w:p w14:paraId="02A90DF1">
      <w:pPr>
        <w:widowControl w:val="0"/>
        <w:adjustRightInd w:val="0"/>
        <w:snapToGrid w:val="0"/>
        <w:ind w:firstLine="420" w:firstLineChars="200"/>
        <w:rPr>
          <w:rFonts w:hint="eastAsia"/>
          <w:sz w:val="21"/>
          <w:szCs w:val="21"/>
        </w:rPr>
      </w:pPr>
      <w:r>
        <w:rPr>
          <w:sz w:val="21"/>
          <w:szCs w:val="21"/>
        </w:rPr>
        <w:t xml:space="preserve">2  </w:t>
      </w:r>
      <w:r>
        <w:rPr>
          <w:rFonts w:hint="eastAsia"/>
          <w:sz w:val="21"/>
          <w:szCs w:val="21"/>
        </w:rPr>
        <w:t>入场车辆尾气排放符合国家年检要求；施工机械设备尾气排放符合当地政府要求。</w:t>
      </w:r>
    </w:p>
    <w:p w14:paraId="2A888023">
      <w:pPr>
        <w:widowControl w:val="0"/>
        <w:adjustRightInd w:val="0"/>
        <w:snapToGrid w:val="0"/>
        <w:ind w:firstLine="420" w:firstLineChars="200"/>
        <w:outlineLvl w:val="0"/>
        <w:rPr>
          <w:rFonts w:hint="eastAsia"/>
          <w:sz w:val="21"/>
          <w:szCs w:val="21"/>
        </w:rPr>
      </w:pPr>
      <w:bookmarkStart w:id="277" w:name="_Toc4318"/>
      <w:bookmarkStart w:id="278" w:name="_Toc6188"/>
      <w:r>
        <w:rPr>
          <w:sz w:val="21"/>
          <w:szCs w:val="21"/>
        </w:rPr>
        <w:t xml:space="preserve">3  </w:t>
      </w:r>
      <w:r>
        <w:rPr>
          <w:rFonts w:hint="eastAsia"/>
          <w:sz w:val="21"/>
          <w:szCs w:val="21"/>
        </w:rPr>
        <w:t>项目部生活区厨房烟气排放采取净化措施。</w:t>
      </w:r>
      <w:bookmarkEnd w:id="277"/>
      <w:bookmarkEnd w:id="278"/>
    </w:p>
    <w:p w14:paraId="51A8914A">
      <w:pPr>
        <w:widowControl w:val="0"/>
        <w:adjustRightInd w:val="0"/>
        <w:snapToGrid w:val="0"/>
        <w:ind w:firstLine="420" w:firstLineChars="200"/>
        <w:rPr>
          <w:rFonts w:hint="eastAsia"/>
          <w:sz w:val="21"/>
          <w:szCs w:val="21"/>
        </w:rPr>
      </w:pPr>
      <w:r>
        <w:rPr>
          <w:sz w:val="21"/>
          <w:szCs w:val="21"/>
        </w:rPr>
        <w:t xml:space="preserve">4  </w:t>
      </w:r>
      <w:r>
        <w:rPr>
          <w:rFonts w:hint="eastAsia"/>
          <w:sz w:val="21"/>
          <w:szCs w:val="21"/>
        </w:rPr>
        <w:t>施工现场进行喷漆、喷砂、除锈作业，应按照当地政府要求，采取有效措施。</w:t>
      </w:r>
    </w:p>
    <w:p w14:paraId="4ADA94CE">
      <w:pPr>
        <w:widowControl w:val="0"/>
        <w:adjustRightInd w:val="0"/>
        <w:snapToGrid w:val="0"/>
        <w:ind w:firstLine="420" w:firstLineChars="200"/>
        <w:outlineLvl w:val="0"/>
        <w:rPr>
          <w:rFonts w:hint="eastAsia"/>
          <w:sz w:val="21"/>
          <w:szCs w:val="21"/>
        </w:rPr>
      </w:pPr>
      <w:bookmarkStart w:id="279" w:name="_Toc25120"/>
      <w:bookmarkStart w:id="280" w:name="_Toc1961"/>
      <w:r>
        <w:rPr>
          <w:sz w:val="21"/>
          <w:szCs w:val="21"/>
        </w:rPr>
        <w:t xml:space="preserve">5  </w:t>
      </w:r>
      <w:r>
        <w:rPr>
          <w:rFonts w:hint="eastAsia"/>
          <w:sz w:val="21"/>
          <w:szCs w:val="21"/>
        </w:rPr>
        <w:t>现场焊接烟尘应采取烟气收集净化措施。</w:t>
      </w:r>
      <w:bookmarkEnd w:id="279"/>
      <w:bookmarkEnd w:id="280"/>
    </w:p>
    <w:p w14:paraId="3E8B8345">
      <w:pPr>
        <w:widowControl w:val="0"/>
        <w:adjustRightInd w:val="0"/>
        <w:snapToGrid w:val="0"/>
        <w:ind w:firstLine="420" w:firstLineChars="200"/>
        <w:rPr>
          <w:rFonts w:hint="eastAsia"/>
          <w:sz w:val="21"/>
          <w:szCs w:val="21"/>
        </w:rPr>
      </w:pPr>
      <w:r>
        <w:rPr>
          <w:rFonts w:hint="eastAsia"/>
          <w:sz w:val="21"/>
          <w:szCs w:val="21"/>
        </w:rPr>
        <w:t>6</w:t>
      </w:r>
      <w:r>
        <w:rPr>
          <w:sz w:val="21"/>
          <w:szCs w:val="21"/>
        </w:rPr>
        <w:t xml:space="preserve">  施工现场应设乙炔、氧气、油漆等危化品专用存放仓库或实施有效隔离，地面应做防渗处理，并与施工作业区、生产加工区、办公区、生活区、临时休息棚、值班棚保持安全距离，危险品存放处应设置明显的安全警示标志。</w:t>
      </w:r>
    </w:p>
    <w:p w14:paraId="0937BF24">
      <w:pPr>
        <w:widowControl w:val="0"/>
        <w:adjustRightInd w:val="0"/>
        <w:snapToGrid w:val="0"/>
        <w:ind w:firstLine="420" w:firstLineChars="200"/>
        <w:rPr>
          <w:rFonts w:hint="eastAsia"/>
          <w:sz w:val="21"/>
          <w:szCs w:val="21"/>
        </w:rPr>
      </w:pPr>
      <w:r>
        <w:rPr>
          <w:rFonts w:hint="eastAsia"/>
          <w:sz w:val="21"/>
          <w:szCs w:val="21"/>
        </w:rPr>
        <w:t>7</w:t>
      </w:r>
      <w:r>
        <w:rPr>
          <w:sz w:val="21"/>
          <w:szCs w:val="21"/>
        </w:rPr>
        <w:t xml:space="preserve">  </w:t>
      </w:r>
      <w:r>
        <w:rPr>
          <w:rFonts w:hint="eastAsia"/>
          <w:sz w:val="21"/>
          <w:szCs w:val="21"/>
        </w:rPr>
        <w:t>对于化学品等有毒材料、油料的储存地，应有严格的隔水层设计，做好防渗漏及收集和处理工作。</w:t>
      </w:r>
    </w:p>
    <w:p w14:paraId="3AAC9016">
      <w:pPr>
        <w:widowControl w:val="0"/>
        <w:adjustRightInd w:val="0"/>
        <w:snapToGrid w:val="0"/>
        <w:ind w:firstLine="420" w:firstLineChars="200"/>
        <w:rPr>
          <w:rFonts w:hint="eastAsia"/>
          <w:sz w:val="21"/>
          <w:szCs w:val="21"/>
        </w:rPr>
      </w:pPr>
      <w:r>
        <w:rPr>
          <w:rFonts w:hint="eastAsia"/>
          <w:sz w:val="21"/>
          <w:szCs w:val="21"/>
        </w:rPr>
        <w:t>8</w:t>
      </w:r>
      <w:r>
        <w:rPr>
          <w:sz w:val="21"/>
          <w:szCs w:val="21"/>
        </w:rPr>
        <w:t xml:space="preserve">  </w:t>
      </w:r>
      <w:r>
        <w:rPr>
          <w:rFonts w:hint="eastAsia"/>
          <w:sz w:val="21"/>
          <w:szCs w:val="21"/>
        </w:rPr>
        <w:t>易挥发、易污染的液态材料，使用密闭容器存放。</w:t>
      </w:r>
    </w:p>
    <w:p w14:paraId="092064D3">
      <w:pPr>
        <w:widowControl w:val="0"/>
        <w:adjustRightInd w:val="0"/>
        <w:snapToGrid w:val="0"/>
        <w:ind w:firstLine="420" w:firstLineChars="200"/>
        <w:rPr>
          <w:rFonts w:hint="eastAsia"/>
          <w:sz w:val="21"/>
          <w:szCs w:val="21"/>
        </w:rPr>
      </w:pPr>
      <w:r>
        <w:rPr>
          <w:rFonts w:hint="eastAsia"/>
          <w:sz w:val="21"/>
          <w:szCs w:val="21"/>
        </w:rPr>
        <w:t>9</w:t>
      </w:r>
      <w:r>
        <w:rPr>
          <w:sz w:val="21"/>
          <w:szCs w:val="21"/>
        </w:rPr>
        <w:t xml:space="preserve">  </w:t>
      </w:r>
      <w:r>
        <w:rPr>
          <w:rFonts w:hint="eastAsia"/>
          <w:sz w:val="21"/>
          <w:szCs w:val="21"/>
        </w:rPr>
        <w:t>蓄电池</w:t>
      </w:r>
      <w:r>
        <w:rPr>
          <w:sz w:val="21"/>
          <w:szCs w:val="21"/>
        </w:rPr>
        <w:t>安装应</w:t>
      </w:r>
      <w:r>
        <w:rPr>
          <w:rFonts w:hint="eastAsia"/>
          <w:sz w:val="21"/>
          <w:szCs w:val="21"/>
        </w:rPr>
        <w:t>采取防止</w:t>
      </w:r>
      <w:r>
        <w:rPr>
          <w:sz w:val="21"/>
          <w:szCs w:val="21"/>
        </w:rPr>
        <w:t>电池液泄漏</w:t>
      </w:r>
      <w:r>
        <w:rPr>
          <w:rFonts w:hint="eastAsia"/>
          <w:sz w:val="21"/>
          <w:szCs w:val="21"/>
        </w:rPr>
        <w:t>措施</w:t>
      </w:r>
      <w:r>
        <w:rPr>
          <w:sz w:val="21"/>
          <w:szCs w:val="21"/>
        </w:rPr>
        <w:t>。</w:t>
      </w:r>
    </w:p>
    <w:p w14:paraId="3AC8BB69">
      <w:pPr>
        <w:widowControl w:val="0"/>
        <w:adjustRightInd w:val="0"/>
        <w:snapToGrid w:val="0"/>
        <w:ind w:firstLine="420" w:firstLineChars="200"/>
        <w:rPr>
          <w:rFonts w:hint="eastAsia"/>
          <w:sz w:val="21"/>
          <w:szCs w:val="21"/>
        </w:rPr>
      </w:pPr>
      <w:r>
        <w:rPr>
          <w:rFonts w:hint="eastAsia"/>
          <w:sz w:val="21"/>
          <w:szCs w:val="21"/>
        </w:rPr>
        <w:t>10</w:t>
      </w:r>
      <w:r>
        <w:rPr>
          <w:sz w:val="21"/>
          <w:szCs w:val="21"/>
        </w:rPr>
        <w:t xml:space="preserve">  </w:t>
      </w:r>
      <w:r>
        <w:rPr>
          <w:rFonts w:hint="eastAsia"/>
          <w:sz w:val="21"/>
          <w:szCs w:val="21"/>
        </w:rPr>
        <w:t>室内配电装置</w:t>
      </w:r>
      <w:r>
        <w:rPr>
          <w:sz w:val="21"/>
          <w:szCs w:val="21"/>
        </w:rPr>
        <w:t>作业区域门窗孔洞应进行封堵，房间内清洁、通风良好，地面应安装气体监测报警装置。</w:t>
      </w:r>
    </w:p>
    <w:p w14:paraId="41CA6CEF">
      <w:pPr>
        <w:widowControl w:val="0"/>
        <w:adjustRightInd w:val="0"/>
        <w:snapToGrid w:val="0"/>
        <w:ind w:firstLine="420" w:firstLineChars="200"/>
        <w:rPr>
          <w:rFonts w:hint="eastAsia"/>
          <w:sz w:val="21"/>
          <w:szCs w:val="21"/>
        </w:rPr>
      </w:pPr>
      <w:r>
        <w:rPr>
          <w:sz w:val="21"/>
          <w:szCs w:val="21"/>
        </w:rPr>
        <w:t>1</w:t>
      </w:r>
      <w:r>
        <w:rPr>
          <w:rFonts w:hint="eastAsia"/>
          <w:sz w:val="21"/>
          <w:szCs w:val="21"/>
        </w:rPr>
        <w:t>1</w:t>
      </w:r>
      <w:r>
        <w:rPr>
          <w:sz w:val="21"/>
          <w:szCs w:val="21"/>
        </w:rPr>
        <w:t xml:space="preserve">  SF6</w:t>
      </w:r>
      <w:r>
        <w:rPr>
          <w:rFonts w:hint="eastAsia"/>
          <w:sz w:val="21"/>
          <w:szCs w:val="21"/>
        </w:rPr>
        <w:t>配电装置</w:t>
      </w:r>
      <w:r>
        <w:rPr>
          <w:sz w:val="21"/>
          <w:szCs w:val="21"/>
        </w:rPr>
        <w:t>应对设备气体管道采取防护措施，避免因管道受损致使SF6气体泄漏。</w:t>
      </w:r>
    </w:p>
    <w:p w14:paraId="0DC1D2BC">
      <w:pPr>
        <w:widowControl w:val="0"/>
        <w:adjustRightInd w:val="0"/>
        <w:snapToGrid w:val="0"/>
        <w:ind w:firstLine="420" w:firstLineChars="200"/>
        <w:rPr>
          <w:rFonts w:hint="eastAsia"/>
          <w:sz w:val="21"/>
          <w:szCs w:val="21"/>
        </w:rPr>
      </w:pPr>
      <w:r>
        <w:rPr>
          <w:sz w:val="21"/>
          <w:szCs w:val="21"/>
        </w:rPr>
        <w:t>1</w:t>
      </w:r>
      <w:r>
        <w:rPr>
          <w:rFonts w:hint="eastAsia"/>
          <w:sz w:val="21"/>
          <w:szCs w:val="21"/>
        </w:rPr>
        <w:t>2</w:t>
      </w:r>
      <w:r>
        <w:rPr>
          <w:sz w:val="21"/>
          <w:szCs w:val="21"/>
        </w:rPr>
        <w:t xml:space="preserve">  </w:t>
      </w:r>
      <w:r>
        <w:rPr>
          <w:rFonts w:hint="eastAsia"/>
          <w:sz w:val="21"/>
          <w:szCs w:val="21"/>
        </w:rPr>
        <w:t>抽真空、注气前，应对设备、气管、连接阀等进行检查，避免</w:t>
      </w:r>
      <w:r>
        <w:rPr>
          <w:sz w:val="21"/>
          <w:szCs w:val="21"/>
        </w:rPr>
        <w:t>SF6气体泄漏。</w:t>
      </w:r>
    </w:p>
    <w:p w14:paraId="5FBE3BD4">
      <w:pPr>
        <w:widowControl w:val="0"/>
        <w:adjustRightInd w:val="0"/>
        <w:snapToGrid w:val="0"/>
        <w:outlineLvl w:val="1"/>
        <w:rPr>
          <w:rFonts w:hint="eastAsia"/>
          <w:sz w:val="21"/>
          <w:szCs w:val="21"/>
        </w:rPr>
      </w:pPr>
      <w:bookmarkStart w:id="281" w:name="_Toc16075"/>
      <w:bookmarkStart w:id="282" w:name="_Toc26958"/>
      <w:r>
        <w:rPr>
          <w:sz w:val="21"/>
          <w:szCs w:val="21"/>
        </w:rPr>
        <w:t>6.2.</w:t>
      </w:r>
      <w:r>
        <w:rPr>
          <w:rFonts w:hint="eastAsia"/>
          <w:sz w:val="21"/>
          <w:szCs w:val="21"/>
        </w:rPr>
        <w:t>6</w:t>
      </w:r>
      <w:r>
        <w:rPr>
          <w:sz w:val="21"/>
          <w:szCs w:val="21"/>
        </w:rPr>
        <w:t xml:space="preserve">  </w:t>
      </w:r>
      <w:r>
        <w:rPr>
          <w:rFonts w:hint="eastAsia"/>
          <w:sz w:val="21"/>
          <w:szCs w:val="21"/>
        </w:rPr>
        <w:t>光污染控制评价的内容应包括</w:t>
      </w:r>
      <w:r>
        <w:rPr>
          <w:sz w:val="21"/>
          <w:szCs w:val="21"/>
        </w:rPr>
        <w:t>：</w:t>
      </w:r>
      <w:bookmarkEnd w:id="281"/>
      <w:bookmarkEnd w:id="282"/>
    </w:p>
    <w:p w14:paraId="200A2370">
      <w:pPr>
        <w:widowControl w:val="0"/>
        <w:adjustRightInd w:val="0"/>
        <w:snapToGrid w:val="0"/>
        <w:ind w:firstLine="420" w:firstLineChars="200"/>
        <w:rPr>
          <w:rFonts w:hint="eastAsia"/>
          <w:sz w:val="21"/>
          <w:szCs w:val="21"/>
        </w:rPr>
      </w:pPr>
      <w:r>
        <w:rPr>
          <w:sz w:val="21"/>
          <w:szCs w:val="21"/>
        </w:rPr>
        <w:t xml:space="preserve">1  </w:t>
      </w:r>
      <w:r>
        <w:rPr>
          <w:rFonts w:hint="eastAsia"/>
          <w:sz w:val="21"/>
          <w:szCs w:val="21"/>
        </w:rPr>
        <w:t>避免或减少施工过程光污染，根据施工现场和周边环境情况，采取限时施工、遮光和全封闭等措施避免或减少施工过程中光污染。</w:t>
      </w:r>
    </w:p>
    <w:p w14:paraId="3FFE36FC">
      <w:pPr>
        <w:widowControl w:val="0"/>
        <w:adjustRightInd w:val="0"/>
        <w:snapToGrid w:val="0"/>
        <w:ind w:firstLine="420" w:firstLineChars="200"/>
        <w:rPr>
          <w:rFonts w:hint="eastAsia"/>
          <w:sz w:val="21"/>
          <w:szCs w:val="21"/>
        </w:rPr>
      </w:pPr>
      <w:r>
        <w:rPr>
          <w:sz w:val="21"/>
          <w:szCs w:val="21"/>
        </w:rPr>
        <w:t xml:space="preserve">2  </w:t>
      </w:r>
      <w:r>
        <w:rPr>
          <w:rFonts w:hint="eastAsia"/>
          <w:sz w:val="21"/>
          <w:szCs w:val="21"/>
        </w:rPr>
        <w:t>电焊作业避免电焊弧光外泄。钢结构、管道焊接部位应设置遮光棚，防止强光外射对施工外围区域造成影响。</w:t>
      </w:r>
    </w:p>
    <w:p w14:paraId="16903D56">
      <w:pPr>
        <w:widowControl w:val="0"/>
        <w:adjustRightInd w:val="0"/>
        <w:snapToGrid w:val="0"/>
        <w:ind w:firstLine="420" w:firstLineChars="200"/>
        <w:rPr>
          <w:rFonts w:hint="eastAsia"/>
          <w:sz w:val="21"/>
          <w:szCs w:val="21"/>
        </w:rPr>
      </w:pPr>
      <w:r>
        <w:rPr>
          <w:sz w:val="21"/>
          <w:szCs w:val="21"/>
        </w:rPr>
        <w:t xml:space="preserve">3  </w:t>
      </w:r>
      <w:r>
        <w:rPr>
          <w:rFonts w:hint="eastAsia"/>
          <w:sz w:val="21"/>
          <w:szCs w:val="21"/>
        </w:rPr>
        <w:t>通过控制照明光线的角度，夜间室外照明灯加设灯罩，透光方向集中在施工范围内。</w:t>
      </w:r>
    </w:p>
    <w:p w14:paraId="368DD346">
      <w:pPr>
        <w:widowControl w:val="0"/>
        <w:adjustRightInd w:val="0"/>
        <w:snapToGrid w:val="0"/>
        <w:outlineLvl w:val="1"/>
        <w:rPr>
          <w:rFonts w:hint="eastAsia"/>
          <w:sz w:val="21"/>
          <w:szCs w:val="21"/>
        </w:rPr>
      </w:pPr>
      <w:bookmarkStart w:id="283" w:name="_Toc20581"/>
      <w:bookmarkStart w:id="284" w:name="_Toc5884"/>
      <w:r>
        <w:rPr>
          <w:sz w:val="21"/>
          <w:szCs w:val="21"/>
        </w:rPr>
        <w:t>6.2.</w:t>
      </w:r>
      <w:r>
        <w:rPr>
          <w:rFonts w:hint="eastAsia"/>
          <w:sz w:val="21"/>
          <w:szCs w:val="21"/>
        </w:rPr>
        <w:t>7</w:t>
      </w:r>
      <w:r>
        <w:rPr>
          <w:sz w:val="21"/>
          <w:szCs w:val="21"/>
        </w:rPr>
        <w:t xml:space="preserve">  噪声与振动控制</w:t>
      </w:r>
      <w:r>
        <w:rPr>
          <w:rFonts w:hint="eastAsia"/>
          <w:sz w:val="21"/>
          <w:szCs w:val="21"/>
        </w:rPr>
        <w:t>评价的内容应包括</w:t>
      </w:r>
      <w:r>
        <w:rPr>
          <w:sz w:val="21"/>
          <w:szCs w:val="21"/>
        </w:rPr>
        <w:t>：</w:t>
      </w:r>
      <w:bookmarkEnd w:id="283"/>
      <w:bookmarkEnd w:id="284"/>
    </w:p>
    <w:p w14:paraId="79EF05C2">
      <w:pPr>
        <w:widowControl w:val="0"/>
        <w:adjustRightInd w:val="0"/>
        <w:snapToGrid w:val="0"/>
        <w:ind w:firstLine="420" w:firstLineChars="200"/>
        <w:rPr>
          <w:rFonts w:hint="eastAsia"/>
          <w:sz w:val="21"/>
          <w:szCs w:val="21"/>
        </w:rPr>
      </w:pPr>
      <w:r>
        <w:rPr>
          <w:sz w:val="21"/>
          <w:szCs w:val="21"/>
        </w:rPr>
        <w:t xml:space="preserve">1  </w:t>
      </w:r>
      <w:r>
        <w:rPr>
          <w:rFonts w:hint="eastAsia"/>
          <w:sz w:val="21"/>
          <w:szCs w:val="21"/>
        </w:rPr>
        <w:t>施工现场安装噪音监测设备，施工期间连续监测噪音数值，噪声排放符合现行国家标准《建筑施工场界环境噪声排放标准》</w:t>
      </w:r>
      <w:r>
        <w:rPr>
          <w:sz w:val="21"/>
          <w:szCs w:val="21"/>
        </w:rPr>
        <w:t>GB 12523</w:t>
      </w:r>
      <w:r>
        <w:rPr>
          <w:rFonts w:hint="eastAsia"/>
          <w:sz w:val="21"/>
          <w:szCs w:val="21"/>
        </w:rPr>
        <w:t>的规定。</w:t>
      </w:r>
    </w:p>
    <w:p w14:paraId="61BCE1CE">
      <w:pPr>
        <w:widowControl w:val="0"/>
        <w:adjustRightInd w:val="0"/>
        <w:snapToGrid w:val="0"/>
        <w:ind w:firstLine="420" w:firstLineChars="200"/>
        <w:rPr>
          <w:rFonts w:hint="eastAsia"/>
          <w:sz w:val="21"/>
          <w:szCs w:val="21"/>
        </w:rPr>
      </w:pPr>
      <w:r>
        <w:rPr>
          <w:rFonts w:hint="eastAsia"/>
          <w:sz w:val="21"/>
          <w:szCs w:val="21"/>
        </w:rPr>
        <w:t>2</w:t>
      </w:r>
      <w:r>
        <w:rPr>
          <w:sz w:val="21"/>
          <w:szCs w:val="21"/>
        </w:rPr>
        <w:t xml:space="preserve">  </w:t>
      </w:r>
      <w:r>
        <w:rPr>
          <w:rFonts w:hint="eastAsia"/>
          <w:sz w:val="21"/>
          <w:szCs w:val="21"/>
        </w:rPr>
        <w:t>合理安排工期，减少夜间施工，禁令时间内停止产生噪声的施工作业。</w:t>
      </w:r>
    </w:p>
    <w:p w14:paraId="262F7F45">
      <w:pPr>
        <w:widowControl w:val="0"/>
        <w:adjustRightInd w:val="0"/>
        <w:snapToGrid w:val="0"/>
        <w:ind w:firstLine="420" w:firstLineChars="200"/>
        <w:rPr>
          <w:rFonts w:hint="eastAsia"/>
          <w:sz w:val="21"/>
          <w:szCs w:val="21"/>
        </w:rPr>
      </w:pPr>
      <w:r>
        <w:rPr>
          <w:rFonts w:hint="eastAsia"/>
          <w:sz w:val="21"/>
          <w:szCs w:val="21"/>
        </w:rPr>
        <w:t>3</w:t>
      </w:r>
      <w:r>
        <w:rPr>
          <w:sz w:val="21"/>
          <w:szCs w:val="21"/>
        </w:rPr>
        <w:t xml:space="preserve">  </w:t>
      </w:r>
      <w:r>
        <w:rPr>
          <w:rFonts w:hint="eastAsia"/>
          <w:sz w:val="21"/>
          <w:szCs w:val="21"/>
        </w:rPr>
        <w:t>合理布置施工场地，根据声波衰减的原理，高噪声设备远离噪声敏感区。</w:t>
      </w:r>
    </w:p>
    <w:p w14:paraId="07322EF8">
      <w:pPr>
        <w:widowControl w:val="0"/>
        <w:adjustRightInd w:val="0"/>
        <w:snapToGrid w:val="0"/>
        <w:ind w:firstLine="420" w:firstLineChars="200"/>
        <w:outlineLvl w:val="0"/>
        <w:rPr>
          <w:rFonts w:hint="eastAsia"/>
          <w:sz w:val="21"/>
          <w:szCs w:val="21"/>
        </w:rPr>
      </w:pPr>
      <w:bookmarkStart w:id="285" w:name="_Toc6645"/>
      <w:bookmarkStart w:id="286" w:name="_Toc11600"/>
      <w:r>
        <w:rPr>
          <w:rFonts w:hint="eastAsia"/>
          <w:sz w:val="21"/>
          <w:szCs w:val="21"/>
        </w:rPr>
        <w:t>4</w:t>
      </w:r>
      <w:r>
        <w:rPr>
          <w:sz w:val="21"/>
          <w:szCs w:val="21"/>
        </w:rPr>
        <w:t xml:space="preserve">  </w:t>
      </w:r>
      <w:r>
        <w:rPr>
          <w:rFonts w:hint="eastAsia"/>
          <w:sz w:val="21"/>
          <w:szCs w:val="21"/>
        </w:rPr>
        <w:t>优先使用低噪音、低振动的施工机具。</w:t>
      </w:r>
      <w:bookmarkEnd w:id="285"/>
      <w:bookmarkEnd w:id="286"/>
    </w:p>
    <w:p w14:paraId="2B409CB6">
      <w:pPr>
        <w:widowControl w:val="0"/>
        <w:adjustRightInd w:val="0"/>
        <w:snapToGrid w:val="0"/>
        <w:ind w:firstLine="420" w:firstLineChars="200"/>
        <w:rPr>
          <w:rFonts w:hint="eastAsia"/>
          <w:sz w:val="21"/>
          <w:szCs w:val="21"/>
        </w:rPr>
      </w:pPr>
      <w:r>
        <w:rPr>
          <w:rFonts w:hint="eastAsia"/>
          <w:sz w:val="21"/>
          <w:szCs w:val="21"/>
        </w:rPr>
        <w:t>5</w:t>
      </w:r>
      <w:r>
        <w:rPr>
          <w:sz w:val="21"/>
          <w:szCs w:val="21"/>
        </w:rPr>
        <w:t xml:space="preserve">  </w:t>
      </w:r>
      <w:r>
        <w:rPr>
          <w:rFonts w:hint="eastAsia"/>
          <w:sz w:val="21"/>
          <w:szCs w:val="21"/>
        </w:rPr>
        <w:t>钢筋/木工加工场、</w:t>
      </w:r>
      <w:r>
        <w:rPr>
          <w:sz w:val="21"/>
          <w:szCs w:val="21"/>
        </w:rPr>
        <w:t>打桩机、搅拌机、电锯、振捣棒等强噪声</w:t>
      </w:r>
      <w:r>
        <w:rPr>
          <w:rFonts w:hint="eastAsia"/>
          <w:sz w:val="21"/>
          <w:szCs w:val="21"/>
        </w:rPr>
        <w:t>区域及</w:t>
      </w:r>
      <w:r>
        <w:rPr>
          <w:sz w:val="21"/>
          <w:szCs w:val="21"/>
        </w:rPr>
        <w:t>设备</w:t>
      </w:r>
      <w:r>
        <w:rPr>
          <w:rFonts w:hint="eastAsia"/>
          <w:sz w:val="21"/>
          <w:szCs w:val="21"/>
        </w:rPr>
        <w:t>周边应采取</w:t>
      </w:r>
      <w:r>
        <w:rPr>
          <w:sz w:val="21"/>
          <w:szCs w:val="21"/>
        </w:rPr>
        <w:t>吸声、隔声、隔振、阻尼等</w:t>
      </w:r>
      <w:r>
        <w:rPr>
          <w:rFonts w:hint="eastAsia"/>
          <w:sz w:val="21"/>
          <w:szCs w:val="21"/>
        </w:rPr>
        <w:t>降噪措施</w:t>
      </w:r>
      <w:r>
        <w:rPr>
          <w:sz w:val="21"/>
          <w:szCs w:val="21"/>
        </w:rPr>
        <w:t>。</w:t>
      </w:r>
      <w:r>
        <w:rPr>
          <w:rFonts w:hint="eastAsia"/>
          <w:sz w:val="21"/>
          <w:szCs w:val="21"/>
        </w:rPr>
        <w:t>对于混凝土输送泵、现场砂浆搅拌机等能产生较大噪音的设备宜进行全封闭处理，采用搭设防噪棚、内部安装阻燃吸音棉，控制噪音的传播。</w:t>
      </w:r>
    </w:p>
    <w:p w14:paraId="68C8C9EE">
      <w:pPr>
        <w:widowControl w:val="0"/>
        <w:adjustRightInd w:val="0"/>
        <w:snapToGrid w:val="0"/>
        <w:outlineLvl w:val="1"/>
        <w:rPr>
          <w:rFonts w:hint="eastAsia"/>
          <w:sz w:val="21"/>
          <w:szCs w:val="21"/>
        </w:rPr>
      </w:pPr>
      <w:bookmarkStart w:id="287" w:name="_Toc8861"/>
      <w:bookmarkStart w:id="288" w:name="_Toc1711"/>
      <w:r>
        <w:rPr>
          <w:sz w:val="21"/>
          <w:szCs w:val="21"/>
        </w:rPr>
        <w:t>6.2.</w:t>
      </w:r>
      <w:r>
        <w:rPr>
          <w:rFonts w:hint="eastAsia"/>
          <w:sz w:val="21"/>
          <w:szCs w:val="21"/>
        </w:rPr>
        <w:t>8</w:t>
      </w:r>
      <w:r>
        <w:rPr>
          <w:sz w:val="21"/>
          <w:szCs w:val="21"/>
        </w:rPr>
        <w:t xml:space="preserve">  施工用地及设施保护</w:t>
      </w:r>
      <w:r>
        <w:rPr>
          <w:rFonts w:hint="eastAsia"/>
          <w:sz w:val="21"/>
          <w:szCs w:val="21"/>
        </w:rPr>
        <w:t>评价的内容应包括</w:t>
      </w:r>
      <w:r>
        <w:rPr>
          <w:sz w:val="21"/>
          <w:szCs w:val="21"/>
        </w:rPr>
        <w:t>：</w:t>
      </w:r>
      <w:bookmarkEnd w:id="287"/>
      <w:bookmarkEnd w:id="288"/>
    </w:p>
    <w:p w14:paraId="79F7AB2A">
      <w:pPr>
        <w:widowControl w:val="0"/>
        <w:adjustRightInd w:val="0"/>
        <w:snapToGrid w:val="0"/>
        <w:ind w:firstLine="420" w:firstLineChars="200"/>
        <w:outlineLvl w:val="0"/>
        <w:rPr>
          <w:rFonts w:hint="eastAsia"/>
          <w:sz w:val="21"/>
          <w:szCs w:val="21"/>
        </w:rPr>
      </w:pPr>
      <w:bookmarkStart w:id="289" w:name="_Toc30540"/>
      <w:bookmarkStart w:id="290" w:name="_Toc30254"/>
      <w:r>
        <w:rPr>
          <w:sz w:val="21"/>
          <w:szCs w:val="21"/>
        </w:rPr>
        <w:t xml:space="preserve">1  </w:t>
      </w:r>
      <w:r>
        <w:rPr>
          <w:rFonts w:hint="eastAsia"/>
          <w:sz w:val="21"/>
          <w:szCs w:val="21"/>
        </w:rPr>
        <w:t>应采取</w:t>
      </w:r>
      <w:r>
        <w:rPr>
          <w:sz w:val="21"/>
          <w:szCs w:val="21"/>
        </w:rPr>
        <w:t>保护施工现场原有建</w:t>
      </w:r>
      <w:r>
        <w:rPr>
          <w:rFonts w:hint="eastAsia"/>
          <w:sz w:val="21"/>
          <w:szCs w:val="21"/>
        </w:rPr>
        <w:t>（构）</w:t>
      </w:r>
      <w:r>
        <w:rPr>
          <w:sz w:val="21"/>
          <w:szCs w:val="21"/>
        </w:rPr>
        <w:t>筑物、道路和管线等</w:t>
      </w:r>
      <w:r>
        <w:rPr>
          <w:rFonts w:hint="eastAsia"/>
          <w:sz w:val="21"/>
          <w:szCs w:val="21"/>
        </w:rPr>
        <w:t>措施</w:t>
      </w:r>
      <w:r>
        <w:rPr>
          <w:sz w:val="21"/>
          <w:szCs w:val="21"/>
        </w:rPr>
        <w:t>。</w:t>
      </w:r>
      <w:bookmarkEnd w:id="289"/>
      <w:bookmarkEnd w:id="290"/>
    </w:p>
    <w:p w14:paraId="2D6E6631">
      <w:pPr>
        <w:widowControl w:val="0"/>
        <w:adjustRightInd w:val="0"/>
        <w:snapToGrid w:val="0"/>
        <w:ind w:firstLine="420" w:firstLineChars="200"/>
        <w:rPr>
          <w:rFonts w:hint="eastAsia"/>
          <w:sz w:val="21"/>
          <w:szCs w:val="21"/>
        </w:rPr>
      </w:pPr>
      <w:r>
        <w:rPr>
          <w:sz w:val="21"/>
          <w:szCs w:val="21"/>
        </w:rPr>
        <w:t>2  对深基坑施工方案进行优化，减少土方开挖和回填量，最大限度地减少对土地的扰动，</w:t>
      </w:r>
      <w:r>
        <w:rPr>
          <w:rFonts w:hint="eastAsia"/>
          <w:sz w:val="21"/>
          <w:szCs w:val="21"/>
        </w:rPr>
        <w:t>采取</w:t>
      </w:r>
      <w:r>
        <w:rPr>
          <w:sz w:val="21"/>
          <w:szCs w:val="21"/>
        </w:rPr>
        <w:t>科学</w:t>
      </w:r>
      <w:r>
        <w:rPr>
          <w:rFonts w:hint="eastAsia"/>
          <w:sz w:val="21"/>
          <w:szCs w:val="21"/>
        </w:rPr>
        <w:t>合理的</w:t>
      </w:r>
      <w:r>
        <w:rPr>
          <w:sz w:val="21"/>
          <w:szCs w:val="21"/>
        </w:rPr>
        <w:t>水土资源保护</w:t>
      </w:r>
      <w:r>
        <w:rPr>
          <w:rFonts w:hint="eastAsia"/>
          <w:sz w:val="21"/>
          <w:szCs w:val="21"/>
        </w:rPr>
        <w:t>方法</w:t>
      </w:r>
      <w:r>
        <w:rPr>
          <w:sz w:val="21"/>
          <w:szCs w:val="21"/>
        </w:rPr>
        <w:t>。</w:t>
      </w:r>
    </w:p>
    <w:p w14:paraId="7F532A0F">
      <w:pPr>
        <w:widowControl w:val="0"/>
        <w:adjustRightInd w:val="0"/>
        <w:snapToGrid w:val="0"/>
        <w:outlineLvl w:val="1"/>
        <w:rPr>
          <w:rFonts w:hint="eastAsia"/>
          <w:sz w:val="21"/>
          <w:szCs w:val="21"/>
        </w:rPr>
      </w:pPr>
      <w:bookmarkStart w:id="291" w:name="_Toc4409"/>
      <w:bookmarkStart w:id="292" w:name="_Toc719"/>
      <w:r>
        <w:rPr>
          <w:sz w:val="21"/>
          <w:szCs w:val="21"/>
        </w:rPr>
        <w:t>6.2.</w:t>
      </w:r>
      <w:r>
        <w:rPr>
          <w:rFonts w:hint="eastAsia"/>
          <w:sz w:val="21"/>
          <w:szCs w:val="21"/>
        </w:rPr>
        <w:t>9</w:t>
      </w:r>
      <w:r>
        <w:rPr>
          <w:sz w:val="21"/>
          <w:szCs w:val="21"/>
        </w:rPr>
        <w:t xml:space="preserve">  职业健康管理</w:t>
      </w:r>
      <w:r>
        <w:rPr>
          <w:rFonts w:hint="eastAsia"/>
          <w:sz w:val="21"/>
          <w:szCs w:val="21"/>
        </w:rPr>
        <w:t>评价的内容应包括</w:t>
      </w:r>
      <w:r>
        <w:rPr>
          <w:sz w:val="21"/>
          <w:szCs w:val="21"/>
        </w:rPr>
        <w:t>：</w:t>
      </w:r>
      <w:bookmarkEnd w:id="291"/>
      <w:bookmarkEnd w:id="292"/>
    </w:p>
    <w:p w14:paraId="34816D7F">
      <w:pPr>
        <w:widowControl w:val="0"/>
        <w:adjustRightInd w:val="0"/>
        <w:snapToGrid w:val="0"/>
        <w:ind w:firstLine="420" w:firstLineChars="200"/>
        <w:rPr>
          <w:rFonts w:hint="eastAsia"/>
          <w:sz w:val="21"/>
          <w:szCs w:val="21"/>
        </w:rPr>
      </w:pPr>
      <w:r>
        <w:rPr>
          <w:sz w:val="21"/>
          <w:szCs w:val="21"/>
        </w:rPr>
        <w:t>1  合理配备个人劳动防护用品和卫生防疫用品。</w:t>
      </w:r>
      <w:r>
        <w:rPr>
          <w:rFonts w:hint="eastAsia"/>
          <w:sz w:val="21"/>
          <w:szCs w:val="21"/>
        </w:rPr>
        <w:t>从事有毒、有害、有刺激性气味和强光、强噪声施工人员，应佩戴相应的防护器具和劳动保护用品。</w:t>
      </w:r>
    </w:p>
    <w:p w14:paraId="64527847">
      <w:pPr>
        <w:widowControl w:val="0"/>
        <w:adjustRightInd w:val="0"/>
        <w:snapToGrid w:val="0"/>
        <w:ind w:firstLine="420" w:firstLineChars="200"/>
        <w:rPr>
          <w:rFonts w:hint="eastAsia"/>
          <w:sz w:val="21"/>
          <w:szCs w:val="21"/>
        </w:rPr>
      </w:pPr>
      <w:r>
        <w:rPr>
          <w:sz w:val="21"/>
          <w:szCs w:val="21"/>
        </w:rPr>
        <w:t>2  建立</w:t>
      </w:r>
      <w:r>
        <w:rPr>
          <w:rFonts w:hint="eastAsia"/>
          <w:sz w:val="21"/>
          <w:szCs w:val="21"/>
        </w:rPr>
        <w:t>职业</w:t>
      </w:r>
      <w:r>
        <w:rPr>
          <w:sz w:val="21"/>
          <w:szCs w:val="21"/>
        </w:rPr>
        <w:t>健康检查制度，组织上岗前检查和定期检查，健全职业健康档案，做好</w:t>
      </w:r>
      <w:r>
        <w:rPr>
          <w:rFonts w:hint="eastAsia"/>
          <w:sz w:val="21"/>
          <w:szCs w:val="21"/>
        </w:rPr>
        <w:t>人员</w:t>
      </w:r>
      <w:r>
        <w:rPr>
          <w:sz w:val="21"/>
          <w:szCs w:val="21"/>
        </w:rPr>
        <w:t>健康跟踪管理。</w:t>
      </w:r>
    </w:p>
    <w:p w14:paraId="4ADD1F26">
      <w:pPr>
        <w:widowControl w:val="0"/>
        <w:adjustRightInd w:val="0"/>
        <w:snapToGrid w:val="0"/>
        <w:ind w:firstLine="420" w:firstLineChars="200"/>
        <w:rPr>
          <w:rFonts w:hint="eastAsia"/>
          <w:sz w:val="21"/>
          <w:szCs w:val="21"/>
        </w:rPr>
      </w:pPr>
      <w:r>
        <w:rPr>
          <w:sz w:val="21"/>
          <w:szCs w:val="21"/>
        </w:rPr>
        <w:t xml:space="preserve">3  </w:t>
      </w:r>
      <w:r>
        <w:rPr>
          <w:rFonts w:hint="eastAsia"/>
          <w:sz w:val="21"/>
          <w:szCs w:val="21"/>
        </w:rPr>
        <w:t>制定职业病预防措施，定期对从事有职业病危害作业的人员进行体检，现场设置医务室或与当地医院签订医疗协议，制定人员健康应急预案。</w:t>
      </w:r>
    </w:p>
    <w:p w14:paraId="2000C91A">
      <w:pPr>
        <w:widowControl w:val="0"/>
        <w:adjustRightInd w:val="0"/>
        <w:snapToGrid w:val="0"/>
        <w:ind w:firstLine="420" w:firstLineChars="200"/>
        <w:rPr>
          <w:rFonts w:hint="eastAsia"/>
          <w:sz w:val="21"/>
          <w:szCs w:val="21"/>
        </w:rPr>
      </w:pPr>
      <w:r>
        <w:rPr>
          <w:sz w:val="21"/>
          <w:szCs w:val="21"/>
        </w:rPr>
        <w:t xml:space="preserve">4  </w:t>
      </w:r>
      <w:r>
        <w:rPr>
          <w:rFonts w:hint="eastAsia"/>
          <w:sz w:val="21"/>
          <w:szCs w:val="21"/>
        </w:rPr>
        <w:t>合理布置施工场地，保护生活及办公区不受施工活动、周边环境不利影响。</w:t>
      </w:r>
      <w:r>
        <w:rPr>
          <w:sz w:val="21"/>
          <w:szCs w:val="21"/>
        </w:rPr>
        <w:t>员工宿舍</w:t>
      </w:r>
      <w:r>
        <w:rPr>
          <w:rFonts w:hint="eastAsia"/>
          <w:sz w:val="21"/>
          <w:szCs w:val="21"/>
        </w:rPr>
        <w:t>具备</w:t>
      </w:r>
      <w:r>
        <w:rPr>
          <w:sz w:val="21"/>
          <w:szCs w:val="21"/>
        </w:rPr>
        <w:t>良好的居住条件，保持通风与干净整洁，设置专职管理人员。</w:t>
      </w:r>
    </w:p>
    <w:p w14:paraId="592FAB2F">
      <w:pPr>
        <w:widowControl w:val="0"/>
        <w:adjustRightInd w:val="0"/>
        <w:snapToGrid w:val="0"/>
        <w:ind w:firstLine="420" w:firstLineChars="200"/>
        <w:rPr>
          <w:rFonts w:hint="eastAsia"/>
          <w:sz w:val="21"/>
          <w:szCs w:val="21"/>
        </w:rPr>
      </w:pPr>
      <w:r>
        <w:rPr>
          <w:sz w:val="21"/>
          <w:szCs w:val="21"/>
        </w:rPr>
        <w:t>5  员工食堂符合卫生防疫要求，定期对饮用水及饮食卫生进行检查，预防肠道疾病的发生，严防食物中毒</w:t>
      </w:r>
      <w:r>
        <w:rPr>
          <w:rFonts w:hint="eastAsia"/>
          <w:sz w:val="21"/>
          <w:szCs w:val="21"/>
        </w:rPr>
        <w:t>，门窗及洞口设置纱窗，门下方设置不低于</w:t>
      </w:r>
      <w:r>
        <w:rPr>
          <w:sz w:val="21"/>
          <w:szCs w:val="21"/>
        </w:rPr>
        <w:t>0.6m的防鼠挡板</w:t>
      </w:r>
      <w:r>
        <w:rPr>
          <w:rFonts w:hint="eastAsia"/>
          <w:sz w:val="21"/>
          <w:szCs w:val="21"/>
        </w:rPr>
        <w:t>。</w:t>
      </w:r>
    </w:p>
    <w:p w14:paraId="14C70185">
      <w:pPr>
        <w:widowControl w:val="0"/>
        <w:adjustRightInd w:val="0"/>
        <w:snapToGrid w:val="0"/>
        <w:ind w:firstLine="420" w:firstLineChars="200"/>
        <w:rPr>
          <w:rFonts w:hint="eastAsia"/>
          <w:sz w:val="21"/>
          <w:szCs w:val="21"/>
        </w:rPr>
      </w:pPr>
      <w:r>
        <w:rPr>
          <w:sz w:val="21"/>
          <w:szCs w:val="21"/>
        </w:rPr>
        <w:t>6  尘、毒作业场所确保良好的通风、除尘及防止中毒措施，采取消除粉尘、灰尘飘洒的措施。</w:t>
      </w:r>
    </w:p>
    <w:p w14:paraId="3191FDD2">
      <w:pPr>
        <w:widowControl w:val="0"/>
        <w:adjustRightInd w:val="0"/>
        <w:snapToGrid w:val="0"/>
        <w:ind w:firstLine="420" w:firstLineChars="200"/>
        <w:rPr>
          <w:rFonts w:hint="eastAsia"/>
          <w:sz w:val="21"/>
          <w:szCs w:val="21"/>
        </w:rPr>
      </w:pPr>
      <w:r>
        <w:rPr>
          <w:sz w:val="21"/>
          <w:szCs w:val="21"/>
        </w:rPr>
        <w:t xml:space="preserve">7  </w:t>
      </w:r>
      <w:r>
        <w:rPr>
          <w:rFonts w:hint="eastAsia"/>
          <w:sz w:val="21"/>
          <w:szCs w:val="21"/>
        </w:rPr>
        <w:t>办公及生活区应设置消防设施、报警装置、应急疏散通道、标志标识、应急照明等设施，并设专人管理。</w:t>
      </w:r>
    </w:p>
    <w:p w14:paraId="48C32519">
      <w:pPr>
        <w:widowControl w:val="0"/>
        <w:adjustRightInd w:val="0"/>
        <w:snapToGrid w:val="0"/>
        <w:ind w:firstLine="420" w:firstLineChars="200"/>
        <w:outlineLvl w:val="0"/>
        <w:rPr>
          <w:rFonts w:hint="eastAsia"/>
          <w:sz w:val="21"/>
          <w:szCs w:val="21"/>
        </w:rPr>
      </w:pPr>
      <w:bookmarkStart w:id="293" w:name="_Toc4028"/>
      <w:bookmarkStart w:id="294" w:name="_Toc8638"/>
      <w:r>
        <w:rPr>
          <w:sz w:val="21"/>
          <w:szCs w:val="21"/>
        </w:rPr>
        <w:t xml:space="preserve">8  </w:t>
      </w:r>
      <w:r>
        <w:rPr>
          <w:rFonts w:hint="eastAsia"/>
          <w:sz w:val="21"/>
          <w:szCs w:val="21"/>
        </w:rPr>
        <w:t>施工现场人车分流，并有隔离措施。</w:t>
      </w:r>
      <w:bookmarkEnd w:id="293"/>
      <w:bookmarkEnd w:id="294"/>
    </w:p>
    <w:p w14:paraId="017318B0">
      <w:pPr>
        <w:widowControl w:val="0"/>
        <w:adjustRightInd w:val="0"/>
        <w:snapToGrid w:val="0"/>
        <w:ind w:firstLine="420" w:firstLineChars="200"/>
        <w:rPr>
          <w:rFonts w:hint="eastAsia"/>
          <w:sz w:val="21"/>
          <w:szCs w:val="21"/>
        </w:rPr>
      </w:pPr>
      <w:r>
        <w:rPr>
          <w:sz w:val="21"/>
          <w:szCs w:val="21"/>
        </w:rPr>
        <w:t xml:space="preserve">9  </w:t>
      </w:r>
      <w:r>
        <w:rPr>
          <w:rFonts w:hint="eastAsia"/>
          <w:sz w:val="21"/>
          <w:szCs w:val="21"/>
        </w:rPr>
        <w:t>施工现场有毒有害物品存放等处设置醒目安全标志，配备应急设施。</w:t>
      </w:r>
    </w:p>
    <w:p w14:paraId="3786BAEE">
      <w:pPr>
        <w:widowControl w:val="0"/>
        <w:adjustRightInd w:val="0"/>
        <w:snapToGrid w:val="0"/>
        <w:ind w:firstLine="420" w:firstLineChars="200"/>
        <w:rPr>
          <w:rFonts w:hint="eastAsia"/>
          <w:sz w:val="21"/>
          <w:szCs w:val="21"/>
        </w:rPr>
      </w:pPr>
      <w:r>
        <w:rPr>
          <w:rFonts w:hint="eastAsia"/>
          <w:sz w:val="21"/>
          <w:szCs w:val="21"/>
        </w:rPr>
        <w:t>10</w:t>
      </w:r>
      <w:r>
        <w:rPr>
          <w:sz w:val="21"/>
          <w:szCs w:val="21"/>
        </w:rPr>
        <w:t xml:space="preserve">  </w:t>
      </w:r>
      <w:r>
        <w:rPr>
          <w:rFonts w:hint="eastAsia"/>
          <w:sz w:val="21"/>
          <w:szCs w:val="21"/>
        </w:rPr>
        <w:t>深井、密闭环境、防水和室内装修施工时，应设置通风设施。</w:t>
      </w:r>
    </w:p>
    <w:p w14:paraId="46BE0FA2">
      <w:pPr>
        <w:widowControl w:val="0"/>
        <w:adjustRightInd w:val="0"/>
        <w:snapToGrid w:val="0"/>
        <w:ind w:firstLine="420" w:firstLineChars="200"/>
        <w:rPr>
          <w:rFonts w:hint="eastAsia"/>
          <w:sz w:val="21"/>
          <w:szCs w:val="21"/>
        </w:rPr>
      </w:pPr>
      <w:r>
        <w:rPr>
          <w:sz w:val="21"/>
          <w:szCs w:val="21"/>
        </w:rPr>
        <w:t xml:space="preserve">11  </w:t>
      </w:r>
      <w:r>
        <w:rPr>
          <w:rFonts w:hint="eastAsia"/>
          <w:sz w:val="21"/>
          <w:szCs w:val="21"/>
        </w:rPr>
        <w:t>施工现场设置安全教育体验区，对施工人员进行安全教育和安全施工知识培训。</w:t>
      </w:r>
    </w:p>
    <w:p w14:paraId="046A909F">
      <w:pPr>
        <w:widowControl w:val="0"/>
        <w:adjustRightInd w:val="0"/>
        <w:snapToGrid w:val="0"/>
        <w:ind w:firstLine="420" w:firstLineChars="200"/>
        <w:rPr>
          <w:rFonts w:hint="eastAsia"/>
          <w:sz w:val="21"/>
          <w:szCs w:val="21"/>
        </w:rPr>
      </w:pPr>
      <w:r>
        <w:rPr>
          <w:sz w:val="21"/>
          <w:szCs w:val="21"/>
        </w:rPr>
        <w:t xml:space="preserve">12  </w:t>
      </w:r>
      <w:r>
        <w:rPr>
          <w:rFonts w:hint="eastAsia"/>
          <w:sz w:val="21"/>
          <w:szCs w:val="21"/>
        </w:rPr>
        <w:t>生活区设置密闭式垃圾箱，垃圾分类存放，使用彩色垃圾箱，并在箱体上喷涂垃圾种类便于区分，垃圾箱附近定期灭蝇，每天产生的垃圾及时清运。</w:t>
      </w:r>
    </w:p>
    <w:p w14:paraId="073AE447">
      <w:pPr>
        <w:spacing w:before="120" w:beforeLines="50" w:after="240" w:afterLines="100"/>
        <w:jc w:val="center"/>
        <w:rPr>
          <w:rFonts w:hint="eastAsia"/>
          <w:sz w:val="21"/>
          <w:szCs w:val="21"/>
        </w:rPr>
      </w:pPr>
      <w:r>
        <w:rPr>
          <w:rFonts w:hint="eastAsia"/>
          <w:sz w:val="21"/>
          <w:szCs w:val="21"/>
        </w:rPr>
        <w:t xml:space="preserve">Ⅱ </w:t>
      </w:r>
      <w:r>
        <w:rPr>
          <w:sz w:val="21"/>
          <w:szCs w:val="21"/>
        </w:rPr>
        <w:t xml:space="preserve"> 专用项</w:t>
      </w:r>
    </w:p>
    <w:p w14:paraId="79543A53">
      <w:pPr>
        <w:widowControl w:val="0"/>
        <w:adjustRightInd w:val="0"/>
        <w:snapToGrid w:val="0"/>
        <w:outlineLvl w:val="1"/>
        <w:rPr>
          <w:rFonts w:hint="eastAsia"/>
          <w:sz w:val="21"/>
          <w:szCs w:val="21"/>
        </w:rPr>
      </w:pPr>
      <w:bookmarkStart w:id="295" w:name="_Toc12996"/>
      <w:bookmarkStart w:id="296" w:name="_Toc13294"/>
      <w:r>
        <w:fldChar w:fldCharType="begin"/>
      </w:r>
      <w:r>
        <w:instrText xml:space="preserve"> HYPERLINK \l "_Toc162470929" </w:instrText>
      </w:r>
      <w:r>
        <w:fldChar w:fldCharType="separate"/>
      </w:r>
      <w:r>
        <w:rPr>
          <w:sz w:val="21"/>
          <w:szCs w:val="21"/>
        </w:rPr>
        <w:t>6.2.10  火电</w:t>
      </w:r>
      <w:r>
        <w:rPr>
          <w:rFonts w:hint="eastAsia"/>
          <w:sz w:val="21"/>
          <w:szCs w:val="21"/>
        </w:rPr>
        <w:t>工程安全环保专用项评价包括以下内容：</w:t>
      </w:r>
      <w:r>
        <w:rPr>
          <w:rFonts w:hint="eastAsia"/>
          <w:sz w:val="21"/>
          <w:szCs w:val="21"/>
        </w:rPr>
        <w:fldChar w:fldCharType="end"/>
      </w:r>
      <w:bookmarkEnd w:id="295"/>
      <w:bookmarkEnd w:id="296"/>
    </w:p>
    <w:p w14:paraId="2F4E8DBF">
      <w:pPr>
        <w:widowControl w:val="0"/>
        <w:adjustRightInd w:val="0"/>
        <w:snapToGrid w:val="0"/>
        <w:ind w:firstLine="420" w:firstLineChars="200"/>
        <w:outlineLvl w:val="0"/>
        <w:rPr>
          <w:rFonts w:hint="eastAsia"/>
          <w:sz w:val="21"/>
          <w:szCs w:val="21"/>
        </w:rPr>
      </w:pPr>
      <w:bookmarkStart w:id="297" w:name="_Toc9127"/>
      <w:bookmarkStart w:id="298" w:name="_Toc14356"/>
      <w:r>
        <w:rPr>
          <w:sz w:val="21"/>
          <w:szCs w:val="21"/>
        </w:rPr>
        <w:t>1  燃煤发电工程</w:t>
      </w:r>
      <w:bookmarkEnd w:id="297"/>
      <w:bookmarkEnd w:id="298"/>
    </w:p>
    <w:p w14:paraId="73A09B25">
      <w:pPr>
        <w:widowControl w:val="0"/>
        <w:adjustRightInd w:val="0"/>
        <w:snapToGrid w:val="0"/>
        <w:ind w:firstLine="630" w:firstLineChars="300"/>
        <w:rPr>
          <w:rFonts w:hint="eastAsia"/>
          <w:sz w:val="21"/>
          <w:szCs w:val="21"/>
        </w:rPr>
      </w:pPr>
      <w:r>
        <w:rPr>
          <w:sz w:val="21"/>
          <w:szCs w:val="21"/>
        </w:rPr>
        <w:t>1）烟尘、二氧化硫、氮氧化物等大气污染物排放浓度满足各地要求。</w:t>
      </w:r>
    </w:p>
    <w:p w14:paraId="736CD492">
      <w:pPr>
        <w:widowControl w:val="0"/>
        <w:adjustRightInd w:val="0"/>
        <w:snapToGrid w:val="0"/>
        <w:ind w:firstLine="630" w:firstLineChars="300"/>
        <w:rPr>
          <w:rFonts w:hint="eastAsia"/>
          <w:sz w:val="21"/>
          <w:szCs w:val="21"/>
        </w:rPr>
      </w:pPr>
      <w:r>
        <w:rPr>
          <w:rFonts w:hint="eastAsia"/>
          <w:sz w:val="21"/>
          <w:szCs w:val="21"/>
        </w:rPr>
        <w:t>2</w:t>
      </w:r>
      <w:r>
        <w:rPr>
          <w:sz w:val="21"/>
          <w:szCs w:val="21"/>
        </w:rPr>
        <w:t>）锅炉烟风道及汽机中低压管道等喷砂、抛丸、切割等易产生扬尘或噪声场所采取防尘降噪措施，高空电焊作业采取避免电焊弧光外泄遮挡措施。</w:t>
      </w:r>
    </w:p>
    <w:p w14:paraId="3123E83D">
      <w:pPr>
        <w:widowControl w:val="0"/>
        <w:adjustRightInd w:val="0"/>
        <w:snapToGrid w:val="0"/>
        <w:ind w:firstLine="630" w:firstLineChars="300"/>
        <w:rPr>
          <w:rFonts w:hint="eastAsia"/>
          <w:sz w:val="21"/>
          <w:szCs w:val="21"/>
        </w:rPr>
      </w:pPr>
      <w:r>
        <w:rPr>
          <w:rFonts w:hint="eastAsia"/>
          <w:sz w:val="21"/>
          <w:szCs w:val="21"/>
        </w:rPr>
        <w:t>3</w:t>
      </w:r>
      <w:r>
        <w:rPr>
          <w:sz w:val="21"/>
          <w:szCs w:val="21"/>
        </w:rPr>
        <w:t>）锅炉化学清洗废液及设备、管道冲洗废水、废油等有毒有害废弃物及时回收且交有资质的单位处理，严禁废液外排。</w:t>
      </w:r>
    </w:p>
    <w:p w14:paraId="49914819">
      <w:pPr>
        <w:widowControl w:val="0"/>
        <w:adjustRightInd w:val="0"/>
        <w:snapToGrid w:val="0"/>
        <w:ind w:firstLine="630" w:firstLineChars="300"/>
        <w:rPr>
          <w:rFonts w:hint="eastAsia"/>
          <w:sz w:val="21"/>
          <w:szCs w:val="21"/>
        </w:rPr>
      </w:pPr>
      <w:r>
        <w:rPr>
          <w:rFonts w:hint="eastAsia"/>
          <w:sz w:val="21"/>
          <w:szCs w:val="21"/>
        </w:rPr>
        <w:t>4</w:t>
      </w:r>
      <w:r>
        <w:rPr>
          <w:sz w:val="21"/>
          <w:szCs w:val="21"/>
        </w:rPr>
        <w:t>）锅炉清洗</w:t>
      </w:r>
      <w:r>
        <w:rPr>
          <w:rFonts w:hint="eastAsia"/>
          <w:sz w:val="21"/>
          <w:szCs w:val="21"/>
        </w:rPr>
        <w:t>应为施工人员配备防护服、手套、护目镜、呼吸过滤器、面罩等设备，用以保护施工</w:t>
      </w:r>
      <w:r>
        <w:rPr>
          <w:sz w:val="21"/>
          <w:szCs w:val="21"/>
        </w:rPr>
        <w:t>过程中接触联氨、氨水人员。</w:t>
      </w:r>
    </w:p>
    <w:p w14:paraId="6587BC0C">
      <w:pPr>
        <w:widowControl w:val="0"/>
        <w:adjustRightInd w:val="0"/>
        <w:snapToGrid w:val="0"/>
        <w:ind w:firstLine="630" w:firstLineChars="300"/>
        <w:rPr>
          <w:rFonts w:hint="eastAsia"/>
          <w:sz w:val="21"/>
          <w:szCs w:val="21"/>
        </w:rPr>
      </w:pPr>
      <w:r>
        <w:rPr>
          <w:sz w:val="21"/>
          <w:szCs w:val="21"/>
        </w:rPr>
        <w:t>5）锅炉吹管前发布公告、告知厂区区域噪音影响，并确认周边区域收到相应告知</w:t>
      </w:r>
      <w:r>
        <w:rPr>
          <w:rFonts w:hint="eastAsia"/>
          <w:sz w:val="21"/>
          <w:szCs w:val="21"/>
        </w:rPr>
        <w:t>；</w:t>
      </w:r>
      <w:r>
        <w:rPr>
          <w:sz w:val="21"/>
          <w:szCs w:val="21"/>
        </w:rPr>
        <w:t>吹管期间，</w:t>
      </w:r>
      <w:r>
        <w:rPr>
          <w:rFonts w:hint="eastAsia"/>
          <w:sz w:val="21"/>
          <w:szCs w:val="21"/>
        </w:rPr>
        <w:t>设置有效的消音措施。</w:t>
      </w:r>
    </w:p>
    <w:p w14:paraId="234617D1">
      <w:pPr>
        <w:widowControl w:val="0"/>
        <w:adjustRightInd w:val="0"/>
        <w:snapToGrid w:val="0"/>
        <w:ind w:firstLine="630" w:firstLineChars="300"/>
        <w:rPr>
          <w:rFonts w:hint="eastAsia"/>
          <w:sz w:val="21"/>
          <w:szCs w:val="21"/>
        </w:rPr>
      </w:pPr>
      <w:r>
        <w:rPr>
          <w:sz w:val="21"/>
          <w:szCs w:val="21"/>
        </w:rPr>
        <w:t>6）保温防腐施工采取措施减少对环境的污染</w:t>
      </w:r>
      <w:r>
        <w:rPr>
          <w:rFonts w:hint="eastAsia"/>
          <w:sz w:val="21"/>
          <w:szCs w:val="21"/>
        </w:rPr>
        <w:t>，</w:t>
      </w:r>
      <w:r>
        <w:rPr>
          <w:sz w:val="21"/>
          <w:szCs w:val="21"/>
        </w:rPr>
        <w:t>产生的废弃物及时清理并合法处置。</w:t>
      </w:r>
    </w:p>
    <w:p w14:paraId="530C5F47">
      <w:pPr>
        <w:widowControl w:val="0"/>
        <w:adjustRightInd w:val="0"/>
        <w:snapToGrid w:val="0"/>
        <w:ind w:firstLine="630" w:firstLineChars="300"/>
        <w:rPr>
          <w:rFonts w:hint="eastAsia"/>
          <w:sz w:val="21"/>
          <w:szCs w:val="21"/>
        </w:rPr>
      </w:pPr>
      <w:r>
        <w:rPr>
          <w:sz w:val="21"/>
          <w:szCs w:val="21"/>
        </w:rPr>
        <w:t>7）燃油系统油循环完成后，清理滤油器</w:t>
      </w:r>
      <w:r>
        <w:rPr>
          <w:rFonts w:hint="eastAsia"/>
          <w:sz w:val="21"/>
          <w:szCs w:val="21"/>
        </w:rPr>
        <w:t>应采取避免污染地面的措施</w:t>
      </w:r>
      <w:r>
        <w:rPr>
          <w:sz w:val="21"/>
          <w:szCs w:val="21"/>
        </w:rPr>
        <w:t>。</w:t>
      </w:r>
    </w:p>
    <w:p w14:paraId="1CB00308">
      <w:pPr>
        <w:widowControl w:val="0"/>
        <w:adjustRightInd w:val="0"/>
        <w:snapToGrid w:val="0"/>
        <w:ind w:firstLine="630" w:firstLineChars="300"/>
        <w:outlineLvl w:val="1"/>
        <w:rPr>
          <w:rFonts w:hint="eastAsia"/>
          <w:sz w:val="21"/>
          <w:szCs w:val="21"/>
        </w:rPr>
      </w:pPr>
      <w:bookmarkStart w:id="299" w:name="_Toc25084"/>
      <w:bookmarkStart w:id="300" w:name="_Toc9330"/>
      <w:r>
        <w:rPr>
          <w:sz w:val="21"/>
          <w:szCs w:val="21"/>
        </w:rPr>
        <w:t>8）辅机设备循环用油、废油，统一回收处理。</w:t>
      </w:r>
      <w:bookmarkEnd w:id="299"/>
      <w:bookmarkEnd w:id="300"/>
    </w:p>
    <w:p w14:paraId="27711463">
      <w:pPr>
        <w:widowControl w:val="0"/>
        <w:adjustRightInd w:val="0"/>
        <w:snapToGrid w:val="0"/>
        <w:ind w:firstLine="630" w:firstLineChars="300"/>
        <w:rPr>
          <w:rFonts w:hint="eastAsia"/>
          <w:sz w:val="21"/>
          <w:szCs w:val="21"/>
        </w:rPr>
      </w:pPr>
      <w:r>
        <w:rPr>
          <w:sz w:val="21"/>
          <w:szCs w:val="21"/>
        </w:rPr>
        <w:t>9）现场放射源保管使用按《放射性同位素与射线装置安全和防护条例》（国务院第449</w:t>
      </w:r>
      <w:r>
        <w:rPr>
          <w:rFonts w:hint="eastAsia"/>
          <w:sz w:val="21"/>
          <w:szCs w:val="21"/>
        </w:rPr>
        <w:t>号令）制订安全使用和防护措施。</w:t>
      </w:r>
    </w:p>
    <w:p w14:paraId="3827E292">
      <w:pPr>
        <w:widowControl w:val="0"/>
        <w:adjustRightInd w:val="0"/>
        <w:snapToGrid w:val="0"/>
        <w:ind w:firstLine="420" w:firstLineChars="200"/>
        <w:outlineLvl w:val="0"/>
        <w:rPr>
          <w:rFonts w:hint="eastAsia"/>
          <w:sz w:val="21"/>
          <w:szCs w:val="21"/>
        </w:rPr>
      </w:pPr>
      <w:bookmarkStart w:id="301" w:name="_Toc22319"/>
      <w:bookmarkStart w:id="302" w:name="_Toc14874"/>
      <w:r>
        <w:rPr>
          <w:sz w:val="21"/>
          <w:szCs w:val="21"/>
        </w:rPr>
        <w:t>2  燃气蒸汽联合循环</w:t>
      </w:r>
      <w:r>
        <w:rPr>
          <w:rFonts w:hint="eastAsia"/>
          <w:sz w:val="21"/>
          <w:szCs w:val="21"/>
        </w:rPr>
        <w:t>发电工程</w:t>
      </w:r>
      <w:bookmarkEnd w:id="301"/>
      <w:bookmarkEnd w:id="302"/>
    </w:p>
    <w:p w14:paraId="6D2BD540">
      <w:pPr>
        <w:widowControl w:val="0"/>
        <w:adjustRightInd w:val="0"/>
        <w:snapToGrid w:val="0"/>
        <w:ind w:firstLine="630" w:firstLineChars="300"/>
        <w:rPr>
          <w:rFonts w:hint="eastAsia"/>
          <w:sz w:val="21"/>
          <w:szCs w:val="21"/>
        </w:rPr>
      </w:pPr>
      <w:r>
        <w:rPr>
          <w:sz w:val="21"/>
          <w:szCs w:val="21"/>
        </w:rPr>
        <w:t>1）燃气蒸汽联合循环</w:t>
      </w:r>
      <w:r>
        <w:rPr>
          <w:rFonts w:hint="eastAsia"/>
          <w:sz w:val="21"/>
          <w:szCs w:val="21"/>
        </w:rPr>
        <w:t>发电工程专用项评价可执行燃煤发电工程</w:t>
      </w:r>
      <w:r>
        <w:rPr>
          <w:sz w:val="21"/>
          <w:szCs w:val="21"/>
        </w:rPr>
        <w:t>1）-9）条。</w:t>
      </w:r>
    </w:p>
    <w:p w14:paraId="45A0ECC3">
      <w:pPr>
        <w:widowControl w:val="0"/>
        <w:adjustRightInd w:val="0"/>
        <w:snapToGrid w:val="0"/>
        <w:ind w:firstLine="630" w:firstLineChars="300"/>
        <w:rPr>
          <w:rFonts w:hint="eastAsia"/>
          <w:sz w:val="21"/>
          <w:szCs w:val="21"/>
        </w:rPr>
      </w:pPr>
      <w:r>
        <w:rPr>
          <w:sz w:val="21"/>
          <w:szCs w:val="21"/>
        </w:rPr>
        <w:t>2）燃气泄露量控制应达标。</w:t>
      </w:r>
    </w:p>
    <w:p w14:paraId="49A7E010">
      <w:pPr>
        <w:widowControl w:val="0"/>
        <w:adjustRightInd w:val="0"/>
        <w:snapToGrid w:val="0"/>
        <w:ind w:firstLine="630" w:firstLineChars="300"/>
        <w:rPr>
          <w:rFonts w:hint="eastAsia"/>
          <w:sz w:val="21"/>
          <w:szCs w:val="21"/>
        </w:rPr>
      </w:pPr>
      <w:r>
        <w:rPr>
          <w:sz w:val="21"/>
          <w:szCs w:val="21"/>
        </w:rPr>
        <w:t>3）燃机底板表面</w:t>
      </w:r>
      <w:r>
        <w:rPr>
          <w:rFonts w:hint="eastAsia"/>
          <w:sz w:val="21"/>
          <w:szCs w:val="21"/>
        </w:rPr>
        <w:t>清理所用的</w:t>
      </w:r>
      <w:r>
        <w:rPr>
          <w:sz w:val="21"/>
          <w:szCs w:val="21"/>
        </w:rPr>
        <w:t>煤油</w:t>
      </w:r>
      <w:r>
        <w:rPr>
          <w:rFonts w:hint="eastAsia"/>
          <w:sz w:val="21"/>
          <w:szCs w:val="21"/>
        </w:rPr>
        <w:t>应</w:t>
      </w:r>
      <w:r>
        <w:rPr>
          <w:sz w:val="21"/>
          <w:szCs w:val="21"/>
        </w:rPr>
        <w:t>统一回收处理</w:t>
      </w:r>
      <w:r>
        <w:rPr>
          <w:rFonts w:hint="eastAsia"/>
          <w:sz w:val="21"/>
          <w:szCs w:val="21"/>
        </w:rPr>
        <w:t>。</w:t>
      </w:r>
    </w:p>
    <w:p w14:paraId="484B9CE1">
      <w:pPr>
        <w:widowControl w:val="0"/>
        <w:adjustRightInd w:val="0"/>
        <w:snapToGrid w:val="0"/>
        <w:ind w:firstLine="420" w:firstLineChars="200"/>
        <w:outlineLvl w:val="0"/>
        <w:rPr>
          <w:rFonts w:hint="eastAsia"/>
          <w:sz w:val="21"/>
          <w:szCs w:val="21"/>
        </w:rPr>
      </w:pPr>
      <w:bookmarkStart w:id="303" w:name="_Toc32110"/>
      <w:bookmarkStart w:id="304" w:name="_Toc22861"/>
      <w:r>
        <w:rPr>
          <w:sz w:val="21"/>
          <w:szCs w:val="21"/>
        </w:rPr>
        <w:t>3  垃圾焚烧发电</w:t>
      </w:r>
      <w:r>
        <w:rPr>
          <w:rFonts w:hint="eastAsia"/>
          <w:sz w:val="21"/>
          <w:szCs w:val="21"/>
        </w:rPr>
        <w:t>工程</w:t>
      </w:r>
      <w:bookmarkEnd w:id="303"/>
      <w:bookmarkEnd w:id="304"/>
    </w:p>
    <w:p w14:paraId="17CE4021">
      <w:pPr>
        <w:widowControl w:val="0"/>
        <w:adjustRightInd w:val="0"/>
        <w:snapToGrid w:val="0"/>
        <w:ind w:firstLine="630" w:firstLineChars="300"/>
        <w:rPr>
          <w:rFonts w:hint="eastAsia"/>
          <w:sz w:val="21"/>
          <w:szCs w:val="21"/>
        </w:rPr>
      </w:pPr>
      <w:r>
        <w:rPr>
          <w:sz w:val="21"/>
          <w:szCs w:val="21"/>
        </w:rPr>
        <w:t>1）垃圾焚烧发电</w:t>
      </w:r>
      <w:r>
        <w:rPr>
          <w:rFonts w:hint="eastAsia"/>
          <w:sz w:val="21"/>
          <w:szCs w:val="21"/>
        </w:rPr>
        <w:t>工程专用项评价可执行燃煤发电工程</w:t>
      </w:r>
      <w:r>
        <w:rPr>
          <w:sz w:val="21"/>
          <w:szCs w:val="21"/>
        </w:rPr>
        <w:t>1）-9）条。</w:t>
      </w:r>
    </w:p>
    <w:p w14:paraId="5E7EE40A">
      <w:pPr>
        <w:widowControl w:val="0"/>
        <w:adjustRightInd w:val="0"/>
        <w:snapToGrid w:val="0"/>
        <w:ind w:firstLine="630" w:firstLineChars="300"/>
        <w:rPr>
          <w:rFonts w:hint="eastAsia"/>
          <w:sz w:val="21"/>
          <w:szCs w:val="21"/>
        </w:rPr>
      </w:pPr>
      <w:r>
        <w:rPr>
          <w:sz w:val="21"/>
          <w:szCs w:val="21"/>
        </w:rPr>
        <w:t>2）垃圾仓</w:t>
      </w:r>
      <w:r>
        <w:rPr>
          <w:rFonts w:hint="eastAsia"/>
          <w:sz w:val="21"/>
          <w:szCs w:val="21"/>
        </w:rPr>
        <w:t>的</w:t>
      </w:r>
      <w:r>
        <w:rPr>
          <w:sz w:val="21"/>
          <w:szCs w:val="21"/>
        </w:rPr>
        <w:t>安全、耐久性</w:t>
      </w:r>
      <w:r>
        <w:rPr>
          <w:rFonts w:hint="eastAsia"/>
          <w:sz w:val="21"/>
          <w:szCs w:val="21"/>
        </w:rPr>
        <w:t>应</w:t>
      </w:r>
      <w:r>
        <w:rPr>
          <w:sz w:val="21"/>
          <w:szCs w:val="21"/>
        </w:rPr>
        <w:t>检测合格，满足结构安全和环境安全要求。</w:t>
      </w:r>
    </w:p>
    <w:p w14:paraId="44FF3A5C">
      <w:pPr>
        <w:widowControl w:val="0"/>
        <w:adjustRightInd w:val="0"/>
        <w:snapToGrid w:val="0"/>
        <w:ind w:firstLine="630" w:firstLineChars="300"/>
        <w:rPr>
          <w:rFonts w:hint="eastAsia"/>
          <w:sz w:val="21"/>
          <w:szCs w:val="21"/>
        </w:rPr>
      </w:pPr>
      <w:r>
        <w:rPr>
          <w:sz w:val="21"/>
          <w:szCs w:val="21"/>
        </w:rPr>
        <w:t>3）垃圾焚烧发电</w:t>
      </w:r>
      <w:r>
        <w:rPr>
          <w:rFonts w:hint="eastAsia"/>
          <w:sz w:val="21"/>
          <w:szCs w:val="21"/>
        </w:rPr>
        <w:t>机组</w:t>
      </w:r>
      <w:r>
        <w:rPr>
          <w:sz w:val="21"/>
          <w:szCs w:val="21"/>
        </w:rPr>
        <w:t>排放烟气中颗粒物、二氧化硫、氮氧化物、氯化氢、重金属及其他化合物、二噁英类等污染物排放浓度满足各地要求。</w:t>
      </w:r>
    </w:p>
    <w:p w14:paraId="0E6EB663">
      <w:pPr>
        <w:widowControl w:val="0"/>
        <w:adjustRightInd w:val="0"/>
        <w:snapToGrid w:val="0"/>
        <w:ind w:firstLine="420" w:firstLineChars="200"/>
        <w:outlineLvl w:val="0"/>
        <w:rPr>
          <w:rFonts w:hint="eastAsia"/>
          <w:sz w:val="21"/>
          <w:szCs w:val="21"/>
        </w:rPr>
      </w:pPr>
      <w:bookmarkStart w:id="305" w:name="_Toc30171"/>
      <w:bookmarkStart w:id="306" w:name="_Toc18913"/>
      <w:r>
        <w:rPr>
          <w:sz w:val="21"/>
          <w:szCs w:val="21"/>
        </w:rPr>
        <w:t>4  生物质发电</w:t>
      </w:r>
      <w:r>
        <w:rPr>
          <w:rFonts w:hint="eastAsia"/>
          <w:sz w:val="21"/>
          <w:szCs w:val="21"/>
        </w:rPr>
        <w:t>工程</w:t>
      </w:r>
      <w:bookmarkEnd w:id="305"/>
      <w:bookmarkEnd w:id="306"/>
    </w:p>
    <w:p w14:paraId="4857BB12">
      <w:pPr>
        <w:widowControl w:val="0"/>
        <w:adjustRightInd w:val="0"/>
        <w:snapToGrid w:val="0"/>
        <w:ind w:firstLine="630" w:firstLineChars="300"/>
        <w:outlineLvl w:val="1"/>
        <w:rPr>
          <w:rFonts w:hint="eastAsia"/>
          <w:sz w:val="21"/>
          <w:szCs w:val="21"/>
        </w:rPr>
      </w:pPr>
      <w:bookmarkStart w:id="307" w:name="_Toc5383"/>
      <w:bookmarkStart w:id="308" w:name="_Toc400"/>
      <w:r>
        <w:rPr>
          <w:sz w:val="21"/>
          <w:szCs w:val="21"/>
        </w:rPr>
        <w:t>1）生物质发电</w:t>
      </w:r>
      <w:r>
        <w:rPr>
          <w:rFonts w:hint="eastAsia"/>
          <w:sz w:val="21"/>
          <w:szCs w:val="21"/>
        </w:rPr>
        <w:t>工程专用项评价可执行燃煤发电工程</w:t>
      </w:r>
      <w:r>
        <w:rPr>
          <w:sz w:val="21"/>
          <w:szCs w:val="21"/>
        </w:rPr>
        <w:t>1）-9）条。</w:t>
      </w:r>
      <w:bookmarkEnd w:id="307"/>
      <w:bookmarkEnd w:id="308"/>
    </w:p>
    <w:p w14:paraId="68B089D6">
      <w:pPr>
        <w:widowControl w:val="0"/>
        <w:adjustRightInd w:val="0"/>
        <w:snapToGrid w:val="0"/>
        <w:rPr>
          <w:rFonts w:hint="eastAsia"/>
          <w:color w:val="FF0000"/>
          <w:sz w:val="21"/>
          <w:szCs w:val="21"/>
        </w:rPr>
      </w:pPr>
      <w:r>
        <w:rPr>
          <w:sz w:val="21"/>
          <w:szCs w:val="21"/>
        </w:rPr>
        <w:t>6.2.11  水力发电</w:t>
      </w:r>
      <w:r>
        <w:rPr>
          <w:rFonts w:hint="eastAsia"/>
          <w:sz w:val="21"/>
          <w:szCs w:val="21"/>
        </w:rPr>
        <w:t>（含抽水蓄能）工程安全环保专用项评价包括以下内容：</w:t>
      </w:r>
      <w:r>
        <w:rPr>
          <w:color w:val="FF0000"/>
          <w:sz w:val="21"/>
          <w:szCs w:val="21"/>
        </w:rPr>
        <w:t xml:space="preserve"> </w:t>
      </w:r>
    </w:p>
    <w:p w14:paraId="57A4D0F3">
      <w:pPr>
        <w:widowControl w:val="0"/>
        <w:adjustRightInd w:val="0"/>
        <w:snapToGrid w:val="0"/>
        <w:ind w:firstLine="630" w:firstLineChars="300"/>
        <w:rPr>
          <w:rFonts w:hint="eastAsia"/>
          <w:sz w:val="21"/>
          <w:szCs w:val="21"/>
        </w:rPr>
      </w:pPr>
      <w:r>
        <w:rPr>
          <w:rFonts w:hint="eastAsia"/>
          <w:sz w:val="21"/>
          <w:szCs w:val="21"/>
        </w:rPr>
        <w:t>1）水电站施工过程中应减轻对周边生态环境的扰动，临时用地应及时覆绿，采取有效的水土保持措施。</w:t>
      </w:r>
    </w:p>
    <w:p w14:paraId="68F0DDEE">
      <w:pPr>
        <w:widowControl w:val="0"/>
        <w:adjustRightInd w:val="0"/>
        <w:snapToGrid w:val="0"/>
        <w:ind w:firstLine="630" w:firstLineChars="300"/>
        <w:rPr>
          <w:rFonts w:hint="eastAsia"/>
          <w:sz w:val="21"/>
          <w:szCs w:val="21"/>
        </w:rPr>
      </w:pPr>
      <w:r>
        <w:rPr>
          <w:rFonts w:hint="eastAsia"/>
          <w:sz w:val="21"/>
          <w:szCs w:val="21"/>
        </w:rPr>
        <w:t>2）受工程建设影响的特有鱼类保护措施合理，鱼类增殖站、过鱼设施等工程措施运行良好。</w:t>
      </w:r>
    </w:p>
    <w:p w14:paraId="7B7EE3A0">
      <w:pPr>
        <w:widowControl w:val="0"/>
        <w:adjustRightInd w:val="0"/>
        <w:snapToGrid w:val="0"/>
        <w:ind w:firstLine="630" w:firstLineChars="300"/>
        <w:rPr>
          <w:rFonts w:hint="eastAsia"/>
          <w:sz w:val="21"/>
          <w:szCs w:val="21"/>
        </w:rPr>
      </w:pPr>
      <w:r>
        <w:rPr>
          <w:rFonts w:hint="eastAsia"/>
          <w:sz w:val="21"/>
          <w:szCs w:val="21"/>
        </w:rPr>
        <w:t>3）水库淹没区内特有的动物、植物保护措施合理，效果良好。</w:t>
      </w:r>
    </w:p>
    <w:p w14:paraId="4DEF6E1B">
      <w:pPr>
        <w:widowControl w:val="0"/>
        <w:adjustRightInd w:val="0"/>
        <w:snapToGrid w:val="0"/>
        <w:ind w:firstLine="630" w:firstLineChars="300"/>
        <w:rPr>
          <w:rFonts w:hint="eastAsia"/>
          <w:sz w:val="21"/>
          <w:szCs w:val="21"/>
        </w:rPr>
      </w:pPr>
      <w:r>
        <w:rPr>
          <w:rFonts w:hint="eastAsia"/>
          <w:sz w:val="21"/>
          <w:szCs w:val="21"/>
        </w:rPr>
        <w:t>4）边坡开挖施工作业，采取有效拦挡措施，避免石渣入江。</w:t>
      </w:r>
    </w:p>
    <w:p w14:paraId="755FDABF">
      <w:pPr>
        <w:widowControl w:val="0"/>
        <w:adjustRightInd w:val="0"/>
        <w:snapToGrid w:val="0"/>
        <w:ind w:firstLine="630" w:firstLineChars="300"/>
        <w:rPr>
          <w:rFonts w:hint="eastAsia"/>
          <w:sz w:val="21"/>
          <w:szCs w:val="21"/>
        </w:rPr>
      </w:pPr>
      <w:r>
        <w:rPr>
          <w:rFonts w:hint="eastAsia"/>
          <w:sz w:val="21"/>
          <w:szCs w:val="21"/>
        </w:rPr>
        <w:t>5）爆破开挖施工使用的火工材料管理规范，专用仓库储存，专用车辆运输，专业人员操作。</w:t>
      </w:r>
    </w:p>
    <w:p w14:paraId="7957C286">
      <w:pPr>
        <w:widowControl w:val="0"/>
        <w:adjustRightInd w:val="0"/>
        <w:snapToGrid w:val="0"/>
        <w:ind w:firstLine="630" w:firstLineChars="300"/>
        <w:rPr>
          <w:rFonts w:hint="eastAsia"/>
          <w:sz w:val="21"/>
          <w:szCs w:val="21"/>
        </w:rPr>
      </w:pPr>
      <w:r>
        <w:rPr>
          <w:rFonts w:hint="eastAsia"/>
          <w:sz w:val="21"/>
          <w:szCs w:val="21"/>
        </w:rPr>
        <w:t>6）泄洪预警设施运行正常，泄洪前发布公告，并确认预警区域收到相应告知。</w:t>
      </w:r>
    </w:p>
    <w:p w14:paraId="36CE99AC">
      <w:pPr>
        <w:widowControl w:val="0"/>
        <w:adjustRightInd w:val="0"/>
        <w:snapToGrid w:val="0"/>
        <w:ind w:firstLine="630" w:firstLineChars="300"/>
        <w:rPr>
          <w:rFonts w:hint="eastAsia"/>
          <w:sz w:val="21"/>
          <w:szCs w:val="21"/>
        </w:rPr>
      </w:pPr>
      <w:r>
        <w:rPr>
          <w:rFonts w:hint="eastAsia"/>
          <w:sz w:val="21"/>
          <w:szCs w:val="21"/>
        </w:rPr>
        <w:t>7）对易发泥石流、山体滑坡等地质灾害工程项目的生活办公营地、生产设备设施、施工现场及周边环境开展地质灾害隐患排查，制定和落实防范措施。</w:t>
      </w:r>
    </w:p>
    <w:p w14:paraId="2EEA333A">
      <w:pPr>
        <w:widowControl w:val="0"/>
        <w:adjustRightInd w:val="0"/>
        <w:snapToGrid w:val="0"/>
        <w:ind w:firstLine="630" w:firstLineChars="300"/>
        <w:rPr>
          <w:rFonts w:hint="eastAsia"/>
          <w:sz w:val="21"/>
          <w:szCs w:val="21"/>
        </w:rPr>
      </w:pPr>
      <w:r>
        <w:rPr>
          <w:rFonts w:hint="eastAsia"/>
          <w:sz w:val="21"/>
          <w:szCs w:val="21"/>
        </w:rPr>
        <w:t>8）边坡、洞室喷混凝土施工采用湿喷工艺，减轻环境污染。</w:t>
      </w:r>
    </w:p>
    <w:p w14:paraId="69BC0671">
      <w:pPr>
        <w:widowControl w:val="0"/>
        <w:adjustRightInd w:val="0"/>
        <w:snapToGrid w:val="0"/>
        <w:ind w:firstLine="630" w:firstLineChars="300"/>
        <w:rPr>
          <w:rFonts w:hint="eastAsia"/>
          <w:sz w:val="21"/>
          <w:szCs w:val="21"/>
        </w:rPr>
      </w:pPr>
      <w:r>
        <w:rPr>
          <w:rFonts w:hint="eastAsia"/>
          <w:sz w:val="21"/>
          <w:szCs w:val="21"/>
        </w:rPr>
        <w:t>9）地下洞室施工时，通风设施运行正常，空气质量满足要求。</w:t>
      </w:r>
    </w:p>
    <w:p w14:paraId="6D501D1A">
      <w:pPr>
        <w:widowControl w:val="0"/>
        <w:adjustRightInd w:val="0"/>
        <w:snapToGrid w:val="0"/>
        <w:ind w:firstLine="630" w:firstLineChars="300"/>
        <w:rPr>
          <w:rFonts w:hint="eastAsia"/>
          <w:sz w:val="21"/>
          <w:szCs w:val="21"/>
        </w:rPr>
      </w:pPr>
      <w:r>
        <w:rPr>
          <w:rFonts w:hint="eastAsia"/>
          <w:sz w:val="21"/>
          <w:szCs w:val="21"/>
        </w:rPr>
        <w:t>10）采取有效措施防止施工废污水对水环境的污染，做好水环境保护，减缓工程施工和运行对区域水环境的不利影响，不因工程施工降低水质级别。</w:t>
      </w:r>
    </w:p>
    <w:p w14:paraId="3579588B">
      <w:pPr>
        <w:widowControl w:val="0"/>
        <w:adjustRightInd w:val="0"/>
        <w:snapToGrid w:val="0"/>
        <w:ind w:firstLine="630" w:firstLineChars="300"/>
        <w:rPr>
          <w:rFonts w:hint="eastAsia"/>
          <w:sz w:val="21"/>
          <w:szCs w:val="21"/>
        </w:rPr>
      </w:pPr>
      <w:r>
        <w:rPr>
          <w:rFonts w:hint="eastAsia"/>
          <w:sz w:val="21"/>
          <w:szCs w:val="21"/>
        </w:rPr>
        <w:t>11）帷幕灌浆、固结灌浆、接缝灌浆等灌浆施工应收集、处理污水、废液，严禁外排，污水处理合格后回用。</w:t>
      </w:r>
    </w:p>
    <w:p w14:paraId="0B46AE22">
      <w:pPr>
        <w:widowControl w:val="0"/>
        <w:adjustRightInd w:val="0"/>
        <w:snapToGrid w:val="0"/>
        <w:ind w:firstLine="630" w:firstLineChars="300"/>
        <w:rPr>
          <w:rFonts w:hint="eastAsia"/>
          <w:sz w:val="21"/>
          <w:szCs w:val="21"/>
        </w:rPr>
      </w:pPr>
      <w:r>
        <w:rPr>
          <w:rFonts w:hint="eastAsia"/>
          <w:sz w:val="21"/>
          <w:szCs w:val="21"/>
        </w:rPr>
        <w:t>12）设备、管道冲洗废水、废油等有毒有害废弃物及时回收处理，严禁废液外排。</w:t>
      </w:r>
    </w:p>
    <w:p w14:paraId="3192F577">
      <w:pPr>
        <w:widowControl w:val="0"/>
        <w:adjustRightInd w:val="0"/>
        <w:snapToGrid w:val="0"/>
        <w:ind w:firstLine="630" w:firstLineChars="300"/>
        <w:outlineLvl w:val="1"/>
        <w:rPr>
          <w:rFonts w:hint="eastAsia"/>
          <w:sz w:val="21"/>
          <w:szCs w:val="21"/>
        </w:rPr>
      </w:pPr>
      <w:bookmarkStart w:id="309" w:name="_Toc91"/>
      <w:bookmarkStart w:id="310" w:name="_Toc8816"/>
      <w:r>
        <w:rPr>
          <w:rFonts w:hint="eastAsia"/>
          <w:sz w:val="21"/>
          <w:szCs w:val="21"/>
        </w:rPr>
        <w:t>13）泄洪消能建筑物运行良好，雾化轻、噪音小。</w:t>
      </w:r>
      <w:bookmarkEnd w:id="309"/>
      <w:bookmarkEnd w:id="310"/>
    </w:p>
    <w:p w14:paraId="6DDFA906">
      <w:pPr>
        <w:widowControl w:val="0"/>
        <w:adjustRightInd w:val="0"/>
        <w:snapToGrid w:val="0"/>
        <w:outlineLvl w:val="2"/>
        <w:rPr>
          <w:rFonts w:hint="eastAsia"/>
          <w:color w:val="FF0000"/>
          <w:sz w:val="21"/>
          <w:szCs w:val="21"/>
        </w:rPr>
      </w:pPr>
      <w:bookmarkStart w:id="311" w:name="_Toc32071"/>
      <w:r>
        <w:rPr>
          <w:sz w:val="21"/>
          <w:szCs w:val="21"/>
        </w:rPr>
        <w:t xml:space="preserve">6.2.12  </w:t>
      </w:r>
      <w:r>
        <w:rPr>
          <w:rFonts w:hint="eastAsia"/>
          <w:sz w:val="21"/>
          <w:szCs w:val="21"/>
        </w:rPr>
        <w:t>风力发电安全环保专用项评价包括以下内容：</w:t>
      </w:r>
      <w:bookmarkEnd w:id="311"/>
      <w:r>
        <w:rPr>
          <w:color w:val="FF0000"/>
          <w:sz w:val="21"/>
          <w:szCs w:val="21"/>
        </w:rPr>
        <w:t xml:space="preserve"> </w:t>
      </w:r>
    </w:p>
    <w:p w14:paraId="3864405E">
      <w:pPr>
        <w:widowControl w:val="0"/>
        <w:adjustRightInd w:val="0"/>
        <w:snapToGrid w:val="0"/>
        <w:ind w:firstLine="420" w:firstLineChars="200"/>
        <w:outlineLvl w:val="0"/>
        <w:rPr>
          <w:rFonts w:hint="eastAsia"/>
          <w:sz w:val="21"/>
          <w:szCs w:val="21"/>
        </w:rPr>
      </w:pPr>
      <w:bookmarkStart w:id="312" w:name="_Toc15736"/>
      <w:bookmarkStart w:id="313" w:name="_Toc31607"/>
      <w:r>
        <w:rPr>
          <w:sz w:val="21"/>
          <w:szCs w:val="21"/>
        </w:rPr>
        <w:t xml:space="preserve">1  </w:t>
      </w:r>
      <w:r>
        <w:rPr>
          <w:rFonts w:hint="eastAsia"/>
          <w:sz w:val="21"/>
          <w:szCs w:val="21"/>
        </w:rPr>
        <w:t>陆上风电</w:t>
      </w:r>
      <w:bookmarkEnd w:id="312"/>
      <w:bookmarkEnd w:id="313"/>
    </w:p>
    <w:p w14:paraId="79063348">
      <w:pPr>
        <w:widowControl w:val="0"/>
        <w:adjustRightInd w:val="0"/>
        <w:snapToGrid w:val="0"/>
        <w:ind w:firstLine="630" w:firstLineChars="300"/>
        <w:rPr>
          <w:rFonts w:hint="eastAsia"/>
          <w:sz w:val="21"/>
          <w:szCs w:val="21"/>
        </w:rPr>
      </w:pPr>
      <w:r>
        <w:rPr>
          <w:sz w:val="21"/>
          <w:szCs w:val="21"/>
        </w:rPr>
        <w:t>1）</w:t>
      </w:r>
      <w:r>
        <w:rPr>
          <w:rFonts w:hint="eastAsia"/>
          <w:sz w:val="21"/>
          <w:szCs w:val="21"/>
        </w:rPr>
        <w:t>风机基础基坑在开挖前进行开挖方案论证，做到开挖量最小、对土体扰动最小、保护周边自然生态环境。</w:t>
      </w:r>
    </w:p>
    <w:p w14:paraId="7DEA48E3">
      <w:pPr>
        <w:widowControl w:val="0"/>
        <w:adjustRightInd w:val="0"/>
        <w:snapToGrid w:val="0"/>
        <w:ind w:firstLine="630" w:firstLineChars="300"/>
        <w:rPr>
          <w:rFonts w:hint="eastAsia"/>
          <w:sz w:val="21"/>
          <w:szCs w:val="21"/>
        </w:rPr>
      </w:pPr>
      <w:r>
        <w:rPr>
          <w:sz w:val="21"/>
          <w:szCs w:val="21"/>
        </w:rPr>
        <w:t>2）</w:t>
      </w:r>
      <w:r>
        <w:rPr>
          <w:rFonts w:hint="eastAsia"/>
          <w:sz w:val="21"/>
          <w:szCs w:val="21"/>
        </w:rPr>
        <w:t>风电场道路在满足大件运输前提下，选择合理的坡度和转弯半径，并尽量减少道路土石方量，避免大量挖方填方。</w:t>
      </w:r>
    </w:p>
    <w:p w14:paraId="1FFB36DC">
      <w:pPr>
        <w:widowControl w:val="0"/>
        <w:adjustRightInd w:val="0"/>
        <w:snapToGrid w:val="0"/>
        <w:ind w:firstLine="630" w:firstLineChars="300"/>
        <w:rPr>
          <w:rFonts w:hint="eastAsia"/>
          <w:sz w:val="21"/>
          <w:szCs w:val="21"/>
        </w:rPr>
      </w:pPr>
      <w:r>
        <w:rPr>
          <w:sz w:val="21"/>
          <w:szCs w:val="21"/>
        </w:rPr>
        <w:t>3</w:t>
      </w:r>
      <w:r>
        <w:rPr>
          <w:rFonts w:hint="eastAsia"/>
          <w:sz w:val="21"/>
          <w:szCs w:val="21"/>
        </w:rPr>
        <w:t>）风力发电机吊装、大型起重机装拆等危险性较大分部分项工程专项施工方案应经审批及专家论证后执行。</w:t>
      </w:r>
    </w:p>
    <w:p w14:paraId="03745C49">
      <w:pPr>
        <w:widowControl w:val="0"/>
        <w:adjustRightInd w:val="0"/>
        <w:snapToGrid w:val="0"/>
        <w:ind w:firstLine="630" w:firstLineChars="300"/>
        <w:rPr>
          <w:rFonts w:hint="eastAsia"/>
          <w:sz w:val="21"/>
          <w:szCs w:val="21"/>
        </w:rPr>
      </w:pPr>
      <w:r>
        <w:rPr>
          <w:sz w:val="21"/>
          <w:szCs w:val="21"/>
        </w:rPr>
        <w:t>4</w:t>
      </w:r>
      <w:r>
        <w:rPr>
          <w:rFonts w:hint="eastAsia"/>
          <w:sz w:val="21"/>
          <w:szCs w:val="21"/>
        </w:rPr>
        <w:t>）对于施工中破坏植被、造成裸土的区域，应覆盖砂石或种植速生草种，以减少土壤侵蚀，施工结束后尽快恢复原有植被。</w:t>
      </w:r>
    </w:p>
    <w:p w14:paraId="2204FF23">
      <w:pPr>
        <w:widowControl w:val="0"/>
        <w:adjustRightInd w:val="0"/>
        <w:snapToGrid w:val="0"/>
        <w:ind w:firstLine="630" w:firstLineChars="300"/>
        <w:rPr>
          <w:rFonts w:hint="eastAsia"/>
          <w:sz w:val="21"/>
          <w:szCs w:val="21"/>
        </w:rPr>
      </w:pPr>
      <w:r>
        <w:rPr>
          <w:sz w:val="21"/>
          <w:szCs w:val="21"/>
        </w:rPr>
        <w:t>5</w:t>
      </w:r>
      <w:r>
        <w:rPr>
          <w:rFonts w:hint="eastAsia"/>
          <w:sz w:val="21"/>
          <w:szCs w:val="21"/>
        </w:rPr>
        <w:t>）风机运输车辆、吊装机械等定期维护保养，使其保持良好的运行状态。采取使用清洁燃油，安装尾气净化装置等措施减少车辆尾气中有害物质的含量，。</w:t>
      </w:r>
    </w:p>
    <w:p w14:paraId="34BCB868">
      <w:pPr>
        <w:widowControl w:val="0"/>
        <w:adjustRightInd w:val="0"/>
        <w:snapToGrid w:val="0"/>
        <w:ind w:firstLine="630" w:firstLineChars="300"/>
        <w:rPr>
          <w:rFonts w:hint="eastAsia"/>
          <w:sz w:val="21"/>
          <w:szCs w:val="21"/>
        </w:rPr>
      </w:pPr>
      <w:r>
        <w:rPr>
          <w:sz w:val="21"/>
          <w:szCs w:val="21"/>
        </w:rPr>
        <w:t>6）风机安装过程中严禁垃圾空中抛洒，风机内垃圾应集中存放并由专人负责清理运至指定地点集中处理。</w:t>
      </w:r>
    </w:p>
    <w:p w14:paraId="46FB4DB0">
      <w:pPr>
        <w:widowControl w:val="0"/>
        <w:adjustRightInd w:val="0"/>
        <w:snapToGrid w:val="0"/>
        <w:ind w:firstLine="420" w:firstLineChars="200"/>
        <w:outlineLvl w:val="0"/>
        <w:rPr>
          <w:rFonts w:hint="eastAsia"/>
          <w:sz w:val="21"/>
          <w:szCs w:val="21"/>
        </w:rPr>
      </w:pPr>
      <w:bookmarkStart w:id="314" w:name="_Toc15608"/>
      <w:bookmarkStart w:id="315" w:name="_Toc17184"/>
      <w:r>
        <w:rPr>
          <w:sz w:val="21"/>
          <w:szCs w:val="21"/>
        </w:rPr>
        <w:t xml:space="preserve">2  </w:t>
      </w:r>
      <w:r>
        <w:rPr>
          <w:rFonts w:hint="eastAsia"/>
          <w:sz w:val="21"/>
          <w:szCs w:val="21"/>
        </w:rPr>
        <w:t>海上风电</w:t>
      </w:r>
      <w:bookmarkEnd w:id="314"/>
      <w:bookmarkEnd w:id="315"/>
    </w:p>
    <w:p w14:paraId="31E045F6">
      <w:pPr>
        <w:widowControl w:val="0"/>
        <w:adjustRightInd w:val="0"/>
        <w:snapToGrid w:val="0"/>
        <w:ind w:firstLine="630" w:firstLineChars="300"/>
        <w:rPr>
          <w:rFonts w:hint="eastAsia"/>
          <w:sz w:val="21"/>
          <w:szCs w:val="21"/>
        </w:rPr>
      </w:pPr>
      <w:r>
        <w:rPr>
          <w:sz w:val="21"/>
          <w:szCs w:val="21"/>
        </w:rPr>
        <w:t>1）海上风电作业人员应按规定持有《海上设施工作人员海上交通安全技能培训合格证明》或相应等效的培训合格证，参加内部安全教育及培训，确保出海前熟悉作业区域的气象海况、工况条件和安全要求等。</w:t>
      </w:r>
    </w:p>
    <w:p w14:paraId="03E8ACDD">
      <w:pPr>
        <w:widowControl w:val="0"/>
        <w:adjustRightInd w:val="0"/>
        <w:snapToGrid w:val="0"/>
        <w:ind w:firstLine="630" w:firstLineChars="300"/>
        <w:rPr>
          <w:rFonts w:hint="eastAsia"/>
          <w:sz w:val="21"/>
          <w:szCs w:val="21"/>
        </w:rPr>
      </w:pPr>
      <w:r>
        <w:rPr>
          <w:sz w:val="21"/>
          <w:szCs w:val="21"/>
        </w:rPr>
        <w:t>2）应建立出海人员动态管理台账，对出海作业各类人员（船员、海上风电作业人员、临时性出海人员）进行管理。</w:t>
      </w:r>
    </w:p>
    <w:p w14:paraId="103C3A22">
      <w:pPr>
        <w:widowControl w:val="0"/>
        <w:adjustRightInd w:val="0"/>
        <w:snapToGrid w:val="0"/>
        <w:ind w:firstLine="630" w:firstLineChars="300"/>
        <w:rPr>
          <w:rFonts w:hint="eastAsia"/>
          <w:sz w:val="21"/>
          <w:szCs w:val="21"/>
        </w:rPr>
      </w:pPr>
      <w:r>
        <w:rPr>
          <w:sz w:val="21"/>
          <w:szCs w:val="21"/>
        </w:rPr>
        <w:t>3</w:t>
      </w:r>
      <w:r>
        <w:rPr>
          <w:rFonts w:hint="eastAsia"/>
          <w:sz w:val="21"/>
          <w:szCs w:val="21"/>
        </w:rPr>
        <w:t>）应根据作业需要开展船舶稳性、系泊、强度、压载作业、插拔桩、船舶载荷工况、风浪载荷等相关计算及校核。</w:t>
      </w:r>
    </w:p>
    <w:p w14:paraId="718EE564">
      <w:pPr>
        <w:widowControl w:val="0"/>
        <w:adjustRightInd w:val="0"/>
        <w:snapToGrid w:val="0"/>
        <w:ind w:firstLine="630" w:firstLineChars="300"/>
        <w:rPr>
          <w:rFonts w:hint="eastAsia"/>
          <w:sz w:val="21"/>
          <w:szCs w:val="21"/>
        </w:rPr>
      </w:pPr>
      <w:r>
        <w:rPr>
          <w:sz w:val="21"/>
          <w:szCs w:val="21"/>
        </w:rPr>
        <w:t>4</w:t>
      </w:r>
      <w:r>
        <w:rPr>
          <w:rFonts w:hint="eastAsia"/>
          <w:sz w:val="21"/>
          <w:szCs w:val="21"/>
        </w:rPr>
        <w:t>）沉桩作业应制定防溜桩工作措施，并落实执行。</w:t>
      </w:r>
    </w:p>
    <w:p w14:paraId="120332A1">
      <w:pPr>
        <w:widowControl w:val="0"/>
        <w:adjustRightInd w:val="0"/>
        <w:snapToGrid w:val="0"/>
        <w:ind w:firstLine="630" w:firstLineChars="300"/>
        <w:rPr>
          <w:rFonts w:hint="eastAsia"/>
          <w:sz w:val="21"/>
          <w:szCs w:val="21"/>
        </w:rPr>
      </w:pPr>
      <w:r>
        <w:rPr>
          <w:sz w:val="21"/>
          <w:szCs w:val="21"/>
        </w:rPr>
        <w:t>5）海缆敷设作业应制定防止走锚措施，并落实警戒。</w:t>
      </w:r>
    </w:p>
    <w:p w14:paraId="1FBA035C">
      <w:pPr>
        <w:widowControl w:val="0"/>
        <w:adjustRightInd w:val="0"/>
        <w:snapToGrid w:val="0"/>
        <w:ind w:firstLine="630" w:firstLineChars="300"/>
        <w:rPr>
          <w:rFonts w:hint="eastAsia"/>
          <w:sz w:val="21"/>
          <w:szCs w:val="21"/>
        </w:rPr>
      </w:pPr>
      <w:r>
        <w:rPr>
          <w:sz w:val="21"/>
          <w:szCs w:val="21"/>
        </w:rPr>
        <w:t>6）施工及运输单位应建立船舶值守制度，施工过程中船机抛锚期间，应当安排船员值守瞭望，避免船机走锚发生安全事故。</w:t>
      </w:r>
    </w:p>
    <w:p w14:paraId="3E1FB517">
      <w:pPr>
        <w:widowControl w:val="0"/>
        <w:adjustRightInd w:val="0"/>
        <w:snapToGrid w:val="0"/>
        <w:ind w:firstLine="630" w:firstLineChars="300"/>
        <w:rPr>
          <w:rFonts w:hint="eastAsia"/>
          <w:sz w:val="21"/>
          <w:szCs w:val="21"/>
        </w:rPr>
      </w:pPr>
      <w:r>
        <w:rPr>
          <w:sz w:val="21"/>
          <w:szCs w:val="21"/>
        </w:rPr>
        <w:t>7）应加强天气和海浪预报管理，根据气象、海浪预报信息，合理安排海上作业窗口期，保障施工安全风险可控。</w:t>
      </w:r>
    </w:p>
    <w:p w14:paraId="617316EF">
      <w:pPr>
        <w:widowControl w:val="0"/>
        <w:adjustRightInd w:val="0"/>
        <w:snapToGrid w:val="0"/>
        <w:ind w:firstLine="630" w:firstLineChars="300"/>
        <w:rPr>
          <w:rFonts w:hint="eastAsia"/>
          <w:sz w:val="21"/>
          <w:szCs w:val="21"/>
        </w:rPr>
      </w:pPr>
      <w:r>
        <w:rPr>
          <w:sz w:val="21"/>
          <w:szCs w:val="21"/>
        </w:rPr>
        <w:t>8）应优化施工方案，尽可能缩短水下作业时间，避免施工悬浮物剧烈扩散对海洋环境的影响。</w:t>
      </w:r>
    </w:p>
    <w:p w14:paraId="1743B807">
      <w:pPr>
        <w:widowControl w:val="0"/>
        <w:adjustRightInd w:val="0"/>
        <w:snapToGrid w:val="0"/>
        <w:ind w:firstLine="630" w:firstLineChars="300"/>
        <w:rPr>
          <w:rFonts w:hint="eastAsia"/>
          <w:sz w:val="21"/>
          <w:szCs w:val="21"/>
        </w:rPr>
      </w:pPr>
      <w:r>
        <w:rPr>
          <w:sz w:val="21"/>
          <w:szCs w:val="21"/>
        </w:rPr>
        <w:t>9）应制定降噪措施，对船载发动机进行噪声治理，严格检测施工噪声分贝值，保证满足施工场所噪音限值要求。</w:t>
      </w:r>
    </w:p>
    <w:p w14:paraId="1BF798EC">
      <w:pPr>
        <w:widowControl w:val="0"/>
        <w:adjustRightInd w:val="0"/>
        <w:snapToGrid w:val="0"/>
        <w:ind w:firstLine="630" w:firstLineChars="300"/>
        <w:rPr>
          <w:rFonts w:hint="eastAsia"/>
          <w:sz w:val="21"/>
          <w:szCs w:val="21"/>
        </w:rPr>
      </w:pPr>
      <w:r>
        <w:rPr>
          <w:sz w:val="21"/>
          <w:szCs w:val="21"/>
        </w:rPr>
        <w:t>10）应制定油污和粉尘控制措施，严禁在船舶上焚烧废弃物，定期清理船舶卫</w:t>
      </w:r>
      <w:r>
        <w:rPr>
          <w:rFonts w:hint="eastAsia"/>
          <w:sz w:val="21"/>
          <w:szCs w:val="21"/>
        </w:rPr>
        <w:t>生，防止产生过多粉尘。</w:t>
      </w:r>
    </w:p>
    <w:p w14:paraId="04B247F1">
      <w:pPr>
        <w:widowControl w:val="0"/>
        <w:adjustRightInd w:val="0"/>
        <w:snapToGrid w:val="0"/>
        <w:ind w:firstLine="630" w:firstLineChars="300"/>
        <w:rPr>
          <w:rFonts w:hint="eastAsia"/>
          <w:sz w:val="21"/>
          <w:szCs w:val="21"/>
        </w:rPr>
      </w:pPr>
      <w:r>
        <w:rPr>
          <w:sz w:val="21"/>
          <w:szCs w:val="21"/>
        </w:rPr>
        <w:t>11）施工期船舶生活污水、含油污水收集后交由具有船舶污染物接收处置资质的单位回收处理，不得随意排放入海。</w:t>
      </w:r>
    </w:p>
    <w:p w14:paraId="467E907D">
      <w:pPr>
        <w:widowControl w:val="0"/>
        <w:adjustRightInd w:val="0"/>
        <w:snapToGrid w:val="0"/>
        <w:ind w:firstLine="630" w:firstLineChars="300"/>
        <w:rPr>
          <w:rFonts w:hint="eastAsia"/>
          <w:sz w:val="21"/>
          <w:szCs w:val="21"/>
        </w:rPr>
      </w:pPr>
      <w:r>
        <w:rPr>
          <w:sz w:val="21"/>
          <w:szCs w:val="21"/>
        </w:rPr>
        <w:t>12）船舶修理及日常维修所产生的废机油、废弃物等应有专门的收集箱，定期处理。</w:t>
      </w:r>
    </w:p>
    <w:p w14:paraId="0079DE23">
      <w:pPr>
        <w:widowControl w:val="0"/>
        <w:adjustRightInd w:val="0"/>
        <w:snapToGrid w:val="0"/>
        <w:ind w:firstLine="630" w:firstLineChars="300"/>
        <w:rPr>
          <w:rFonts w:hint="eastAsia"/>
          <w:sz w:val="21"/>
          <w:szCs w:val="21"/>
        </w:rPr>
      </w:pPr>
      <w:r>
        <w:rPr>
          <w:sz w:val="21"/>
          <w:szCs w:val="21"/>
        </w:rPr>
        <w:t>13）制定施工现场废弃物管理计划，对现场垃圾进行统一规划处置，严禁将生活垃圾、粪便等倾倒入海中。</w:t>
      </w:r>
    </w:p>
    <w:p w14:paraId="5E4B8635">
      <w:pPr>
        <w:widowControl w:val="0"/>
        <w:adjustRightInd w:val="0"/>
        <w:snapToGrid w:val="0"/>
        <w:ind w:firstLine="630" w:firstLineChars="300"/>
        <w:rPr>
          <w:rFonts w:hint="eastAsia"/>
          <w:sz w:val="21"/>
          <w:szCs w:val="21"/>
        </w:rPr>
      </w:pPr>
      <w:r>
        <w:rPr>
          <w:sz w:val="21"/>
          <w:szCs w:val="21"/>
        </w:rPr>
        <w:t>14）施工计划及进度安排应尽量避开鱼类产卵高峰期、鸟类迁徙期、繁殖期。</w:t>
      </w:r>
    </w:p>
    <w:p w14:paraId="12688084">
      <w:pPr>
        <w:widowControl w:val="0"/>
        <w:adjustRightInd w:val="0"/>
        <w:snapToGrid w:val="0"/>
        <w:rPr>
          <w:rFonts w:hint="eastAsia"/>
          <w:color w:val="FF0000"/>
          <w:sz w:val="21"/>
          <w:szCs w:val="21"/>
        </w:rPr>
      </w:pPr>
      <w:r>
        <w:rPr>
          <w:sz w:val="21"/>
          <w:szCs w:val="21"/>
        </w:rPr>
        <w:t xml:space="preserve">6.2.13  </w:t>
      </w:r>
      <w:r>
        <w:rPr>
          <w:rFonts w:hint="eastAsia"/>
          <w:sz w:val="21"/>
          <w:szCs w:val="21"/>
        </w:rPr>
        <w:t>太阳能发电工程安全环保专用项评价包括以下内容：</w:t>
      </w:r>
      <w:r>
        <w:rPr>
          <w:color w:val="FF0000"/>
          <w:sz w:val="21"/>
          <w:szCs w:val="21"/>
        </w:rPr>
        <w:t xml:space="preserve"> </w:t>
      </w:r>
    </w:p>
    <w:p w14:paraId="4E16FE0D">
      <w:pPr>
        <w:widowControl w:val="0"/>
        <w:adjustRightInd w:val="0"/>
        <w:snapToGrid w:val="0"/>
        <w:ind w:firstLine="420" w:firstLineChars="200"/>
        <w:outlineLvl w:val="0"/>
        <w:rPr>
          <w:rFonts w:hint="eastAsia"/>
          <w:color w:val="000000" w:themeColor="text1"/>
          <w:sz w:val="21"/>
          <w:szCs w:val="21"/>
          <w14:textFill>
            <w14:solidFill>
              <w14:schemeClr w14:val="tx1"/>
            </w14:solidFill>
          </w14:textFill>
        </w:rPr>
      </w:pPr>
      <w:bookmarkStart w:id="316" w:name="_Toc3953"/>
      <w:bookmarkStart w:id="317" w:name="_Toc8920"/>
      <w:r>
        <w:rPr>
          <w:rFonts w:hint="eastAsia"/>
          <w:color w:val="000000" w:themeColor="text1"/>
          <w:sz w:val="21"/>
          <w:szCs w:val="21"/>
          <w14:textFill>
            <w14:solidFill>
              <w14:schemeClr w14:val="tx1"/>
            </w14:solidFill>
          </w14:textFill>
        </w:rPr>
        <w:t>1 陆上光伏发电项目</w:t>
      </w:r>
      <w:bookmarkEnd w:id="316"/>
      <w:bookmarkEnd w:id="317"/>
    </w:p>
    <w:p w14:paraId="631D181B">
      <w:pPr>
        <w:widowControl w:val="0"/>
        <w:adjustRightInd w:val="0"/>
        <w:snapToGrid w:val="0"/>
        <w:ind w:firstLine="420" w:firstLineChars="200"/>
        <w:outlineLvl w:val="1"/>
        <w:rPr>
          <w:rFonts w:hint="eastAsia"/>
          <w:color w:val="000000" w:themeColor="text1"/>
          <w:sz w:val="21"/>
          <w:szCs w:val="21"/>
          <w14:textFill>
            <w14:solidFill>
              <w14:schemeClr w14:val="tx1"/>
            </w14:solidFill>
          </w14:textFill>
        </w:rPr>
      </w:pPr>
      <w:bookmarkStart w:id="318" w:name="_Toc12685"/>
      <w:bookmarkStart w:id="319" w:name="_Toc4807"/>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基础浇筑过程中应减少对环境的破坏，基础质量应检验合格。</w:t>
      </w:r>
      <w:bookmarkEnd w:id="318"/>
      <w:bookmarkEnd w:id="319"/>
    </w:p>
    <w:p w14:paraId="6E32A669">
      <w:pPr>
        <w:widowControl w:val="0"/>
        <w:adjustRightInd w:val="0"/>
        <w:snapToGrid w:val="0"/>
        <w:ind w:firstLine="420" w:firstLineChars="2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2）光伏支架施工应符合《光伏发电站施工规范》GB50794的规定。</w:t>
      </w:r>
    </w:p>
    <w:p w14:paraId="28270BD9">
      <w:pPr>
        <w:widowControl w:val="0"/>
        <w:adjustRightInd w:val="0"/>
        <w:snapToGrid w:val="0"/>
        <w:ind w:firstLine="420" w:firstLineChars="2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3）应做好光伏组件的卸车、搬运、开箱等过程保护，安装过程中</w:t>
      </w:r>
      <w:r>
        <w:rPr>
          <w:color w:val="000000" w:themeColor="text1"/>
          <w:sz w:val="21"/>
          <w:szCs w:val="21"/>
          <w14:textFill>
            <w14:solidFill>
              <w14:schemeClr w14:val="tx1"/>
            </w14:solidFill>
          </w14:textFill>
        </w:rPr>
        <w:t>不应踩踏，不应触碰金属带电部位，废弃光伏组件不应随意丢弃。</w:t>
      </w:r>
    </w:p>
    <w:p w14:paraId="7CFE477D">
      <w:pPr>
        <w:widowControl w:val="0"/>
        <w:adjustRightInd w:val="0"/>
        <w:snapToGrid w:val="0"/>
        <w:ind w:firstLine="420" w:firstLineChars="2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4）逆变器、汇流箱及箱式变压器安装调试过程中应确保输入及输出侧均由明显断开点。</w:t>
      </w:r>
    </w:p>
    <w:p w14:paraId="42098770">
      <w:pPr>
        <w:widowControl w:val="0"/>
        <w:adjustRightInd w:val="0"/>
        <w:snapToGrid w:val="0"/>
        <w:ind w:firstLine="420" w:firstLineChars="2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5）打桩机、运输及吊装等施工机械应定期维护保养，使其保持良好的运行状态。</w:t>
      </w:r>
    </w:p>
    <w:p w14:paraId="029DA570">
      <w:pPr>
        <w:widowControl w:val="0"/>
        <w:adjustRightInd w:val="0"/>
        <w:snapToGrid w:val="0"/>
        <w:ind w:firstLine="420" w:firstLineChars="2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6）光伏阵列区道路施工应减少土石方量，避免大量挖方填方，大件运输时合理设置道路坡度和转弯半径。</w:t>
      </w:r>
    </w:p>
    <w:p w14:paraId="74E073AE">
      <w:pPr>
        <w:widowControl w:val="0"/>
        <w:adjustRightInd w:val="0"/>
        <w:snapToGrid w:val="0"/>
        <w:ind w:firstLine="420" w:firstLineChars="2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7）变电站区域、场内集电线路施工前应进行封闭，光伏发电站阵列区施工前应完成围护结构工程施工。</w:t>
      </w:r>
    </w:p>
    <w:p w14:paraId="61C2CAAE">
      <w:pPr>
        <w:widowControl w:val="0"/>
        <w:adjustRightInd w:val="0"/>
        <w:snapToGrid w:val="0"/>
        <w:ind w:firstLine="420" w:firstLineChars="200"/>
        <w:outlineLvl w:val="0"/>
        <w:rPr>
          <w:rFonts w:hint="eastAsia"/>
          <w:color w:val="000000" w:themeColor="text1"/>
          <w:sz w:val="21"/>
          <w:szCs w:val="21"/>
          <w14:textFill>
            <w14:solidFill>
              <w14:schemeClr w14:val="tx1"/>
            </w14:solidFill>
          </w14:textFill>
        </w:rPr>
      </w:pPr>
      <w:bookmarkStart w:id="320" w:name="_Toc6484"/>
      <w:bookmarkStart w:id="321" w:name="_Toc15396"/>
      <w:r>
        <w:rPr>
          <w:rFonts w:hint="eastAsia"/>
          <w:color w:val="000000" w:themeColor="text1"/>
          <w:sz w:val="21"/>
          <w:szCs w:val="21"/>
          <w14:textFill>
            <w14:solidFill>
              <w14:schemeClr w14:val="tx1"/>
            </w14:solidFill>
          </w14:textFill>
        </w:rPr>
        <w:t>2 水上光伏发电项目</w:t>
      </w:r>
      <w:bookmarkEnd w:id="320"/>
      <w:bookmarkEnd w:id="321"/>
    </w:p>
    <w:p w14:paraId="08E65858">
      <w:pPr>
        <w:widowControl w:val="0"/>
        <w:adjustRightInd w:val="0"/>
        <w:snapToGrid w:val="0"/>
        <w:ind w:firstLine="420" w:firstLineChars="200"/>
        <w:rPr>
          <w:rFonts w:hint="eastAsia"/>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水上光伏作业人员应按规定持有相关水上设施工作人员安全技能培训合格证明或相应等效的培训合格证，参加内部安全教育及培训，确保熟悉作业区域的气象水况、工况条件和安全要求等。</w:t>
      </w:r>
    </w:p>
    <w:p w14:paraId="07D7E75D">
      <w:pPr>
        <w:widowControl w:val="0"/>
        <w:adjustRightInd w:val="0"/>
        <w:snapToGrid w:val="0"/>
        <w:ind w:firstLine="420" w:firstLineChars="2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2）应建立水上作业人员动态管理台账，对水上作业各类人员（船员、安装作业人员、临时水上作业人员）进行管理。</w:t>
      </w:r>
    </w:p>
    <w:p w14:paraId="00D38187">
      <w:pPr>
        <w:widowControl w:val="0"/>
        <w:adjustRightInd w:val="0"/>
        <w:snapToGrid w:val="0"/>
        <w:ind w:firstLine="420" w:firstLineChars="2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w:t>
      </w:r>
      <w:r>
        <w:rPr>
          <w:color w:val="000000" w:themeColor="text1"/>
          <w:sz w:val="21"/>
          <w:szCs w:val="21"/>
          <w14:textFill>
            <w14:solidFill>
              <w14:schemeClr w14:val="tx1"/>
            </w14:solidFill>
          </w14:textFill>
        </w:rPr>
        <w:t>水上光伏应设置水上运输通道，并设置安全标志标识，注明水深、水位等关键信息，应配备救生衣。</w:t>
      </w:r>
    </w:p>
    <w:p w14:paraId="4D1CC7FF">
      <w:pPr>
        <w:widowControl w:val="0"/>
        <w:adjustRightInd w:val="0"/>
        <w:snapToGrid w:val="0"/>
        <w:ind w:firstLine="420" w:firstLineChars="2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w:t>
      </w:r>
      <w:r>
        <w:rPr>
          <w:color w:val="000000" w:themeColor="text1"/>
          <w:sz w:val="21"/>
          <w:szCs w:val="21"/>
          <w14:textFill>
            <w14:solidFill>
              <w14:schemeClr w14:val="tx1"/>
            </w14:solidFill>
          </w14:textFill>
        </w:rPr>
        <w:t>）施工</w:t>
      </w:r>
      <w:r>
        <w:rPr>
          <w:rFonts w:hint="eastAsia"/>
          <w:color w:val="000000" w:themeColor="text1"/>
          <w:sz w:val="21"/>
          <w:szCs w:val="21"/>
          <w14:textFill>
            <w14:solidFill>
              <w14:schemeClr w14:val="tx1"/>
            </w14:solidFill>
          </w14:textFill>
        </w:rPr>
        <w:t>前应制定周边环境保护的控制措施，</w:t>
      </w:r>
      <w:r>
        <w:rPr>
          <w:color w:val="000000" w:themeColor="text1"/>
          <w:sz w:val="21"/>
          <w:szCs w:val="21"/>
          <w14:textFill>
            <w14:solidFill>
              <w14:schemeClr w14:val="tx1"/>
            </w14:solidFill>
          </w14:textFill>
        </w:rPr>
        <w:t>应定期监测水质</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空气</w:t>
      </w:r>
      <w:r>
        <w:rPr>
          <w:rFonts w:hint="eastAsia"/>
          <w:color w:val="000000" w:themeColor="text1"/>
          <w:sz w:val="21"/>
          <w:szCs w:val="21"/>
          <w14:textFill>
            <w14:solidFill>
              <w14:schemeClr w14:val="tx1"/>
            </w14:solidFill>
          </w14:textFill>
        </w:rPr>
        <w:t>等环境保护指标</w:t>
      </w:r>
      <w:r>
        <w:rPr>
          <w:color w:val="000000" w:themeColor="text1"/>
          <w:sz w:val="21"/>
          <w:szCs w:val="21"/>
          <w14:textFill>
            <w14:solidFill>
              <w14:schemeClr w14:val="tx1"/>
            </w14:solidFill>
          </w14:textFill>
        </w:rPr>
        <w:t>，</w:t>
      </w:r>
      <w:r>
        <w:rPr>
          <w:rFonts w:hint="eastAsia"/>
          <w:color w:val="000000" w:themeColor="text1"/>
          <w:sz w:val="21"/>
          <w:szCs w:val="21"/>
          <w14:textFill>
            <w14:solidFill>
              <w14:schemeClr w14:val="tx1"/>
            </w14:solidFill>
          </w14:textFill>
        </w:rPr>
        <w:t>施工过程中</w:t>
      </w:r>
      <w:r>
        <w:rPr>
          <w:color w:val="000000" w:themeColor="text1"/>
          <w:sz w:val="21"/>
          <w:szCs w:val="21"/>
          <w14:textFill>
            <w14:solidFill>
              <w14:schemeClr w14:val="tx1"/>
            </w14:solidFill>
          </w14:textFill>
        </w:rPr>
        <w:t>采取有效措施做好环境保护工作</w:t>
      </w:r>
      <w:r>
        <w:rPr>
          <w:rFonts w:hint="eastAsia"/>
          <w:color w:val="000000" w:themeColor="text1"/>
          <w:sz w:val="21"/>
          <w:szCs w:val="21"/>
          <w14:textFill>
            <w14:solidFill>
              <w14:schemeClr w14:val="tx1"/>
            </w14:solidFill>
          </w14:textFill>
        </w:rPr>
        <w:t>，减少</w:t>
      </w:r>
      <w:r>
        <w:rPr>
          <w:color w:val="000000" w:themeColor="text1"/>
          <w:sz w:val="21"/>
          <w:szCs w:val="21"/>
          <w14:textFill>
            <w14:solidFill>
              <w14:schemeClr w14:val="tx1"/>
            </w14:solidFill>
          </w14:textFill>
        </w:rPr>
        <w:t>工程施工对</w:t>
      </w:r>
      <w:r>
        <w:rPr>
          <w:rFonts w:hint="eastAsia"/>
          <w:color w:val="000000" w:themeColor="text1"/>
          <w:sz w:val="21"/>
          <w:szCs w:val="21"/>
          <w14:textFill>
            <w14:solidFill>
              <w14:schemeClr w14:val="tx1"/>
            </w14:solidFill>
          </w14:textFill>
        </w:rPr>
        <w:t>环境的负面影响。</w:t>
      </w:r>
    </w:p>
    <w:p w14:paraId="64316511">
      <w:pPr>
        <w:widowControl w:val="0"/>
        <w:adjustRightInd w:val="0"/>
        <w:snapToGrid w:val="0"/>
        <w:ind w:firstLine="420" w:firstLineChars="2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5</w:t>
      </w:r>
      <w:r>
        <w:rPr>
          <w:color w:val="000000" w:themeColor="text1"/>
          <w:sz w:val="21"/>
          <w:szCs w:val="21"/>
          <w14:textFill>
            <w14:solidFill>
              <w14:schemeClr w14:val="tx1"/>
            </w14:solidFill>
          </w14:textFill>
        </w:rPr>
        <w:t>）水下电缆敷设施工中，应采取</w:t>
      </w:r>
      <w:r>
        <w:rPr>
          <w:rFonts w:hint="eastAsia"/>
          <w:color w:val="000000" w:themeColor="text1"/>
          <w:sz w:val="21"/>
          <w:szCs w:val="21"/>
          <w14:textFill>
            <w14:solidFill>
              <w14:schemeClr w14:val="tx1"/>
            </w14:solidFill>
          </w14:textFill>
        </w:rPr>
        <w:t>相应水体保护措施，防治</w:t>
      </w:r>
      <w:r>
        <w:rPr>
          <w:color w:val="000000" w:themeColor="text1"/>
          <w:sz w:val="21"/>
          <w:szCs w:val="21"/>
          <w14:textFill>
            <w14:solidFill>
              <w14:schemeClr w14:val="tx1"/>
            </w14:solidFill>
          </w14:textFill>
        </w:rPr>
        <w:t>水质污染。</w:t>
      </w:r>
    </w:p>
    <w:p w14:paraId="55FF23E7">
      <w:pPr>
        <w:widowControl w:val="0"/>
        <w:adjustRightInd w:val="0"/>
        <w:snapToGrid w:val="0"/>
        <w:ind w:firstLine="420" w:firstLineChars="200"/>
        <w:outlineLvl w:val="1"/>
        <w:rPr>
          <w:rFonts w:hint="eastAsia"/>
          <w:color w:val="000000" w:themeColor="text1"/>
          <w:sz w:val="21"/>
          <w:szCs w:val="21"/>
          <w14:textFill>
            <w14:solidFill>
              <w14:schemeClr w14:val="tx1"/>
            </w14:solidFill>
          </w14:textFill>
        </w:rPr>
      </w:pPr>
      <w:bookmarkStart w:id="322" w:name="_Toc26524"/>
      <w:bookmarkStart w:id="323" w:name="_Toc8508"/>
      <w:r>
        <w:rPr>
          <w:rFonts w:hint="eastAsia"/>
          <w:color w:val="000000" w:themeColor="text1"/>
          <w:sz w:val="21"/>
          <w:szCs w:val="21"/>
          <w14:textFill>
            <w14:solidFill>
              <w14:schemeClr w14:val="tx1"/>
            </w14:solidFill>
          </w14:textFill>
        </w:rPr>
        <w:t>6</w:t>
      </w:r>
      <w:r>
        <w:rPr>
          <w:color w:val="000000" w:themeColor="text1"/>
          <w:sz w:val="21"/>
          <w:szCs w:val="21"/>
          <w14:textFill>
            <w14:solidFill>
              <w14:schemeClr w14:val="tx1"/>
            </w14:solidFill>
          </w14:textFill>
        </w:rPr>
        <w:t>）不应触碰光伏组件金属带电部位。</w:t>
      </w:r>
      <w:bookmarkEnd w:id="322"/>
      <w:bookmarkEnd w:id="323"/>
    </w:p>
    <w:p w14:paraId="38112FE2">
      <w:pPr>
        <w:widowControl w:val="0"/>
        <w:adjustRightInd w:val="0"/>
        <w:snapToGrid w:val="0"/>
        <w:ind w:firstLine="420" w:firstLineChars="2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7）</w:t>
      </w:r>
      <w:r>
        <w:rPr>
          <w:color w:val="000000" w:themeColor="text1"/>
          <w:sz w:val="21"/>
          <w:szCs w:val="21"/>
          <w14:textFill>
            <w14:solidFill>
              <w14:schemeClr w14:val="tx1"/>
            </w14:solidFill>
          </w14:textFill>
        </w:rPr>
        <w:t>应加强天气预报管理，根据气象、</w:t>
      </w:r>
      <w:r>
        <w:rPr>
          <w:rFonts w:hint="eastAsia"/>
          <w:color w:val="000000" w:themeColor="text1"/>
          <w:sz w:val="21"/>
          <w:szCs w:val="21"/>
          <w14:textFill>
            <w14:solidFill>
              <w14:schemeClr w14:val="tx1"/>
            </w14:solidFill>
          </w14:textFill>
        </w:rPr>
        <w:t>水文</w:t>
      </w:r>
      <w:r>
        <w:rPr>
          <w:color w:val="000000" w:themeColor="text1"/>
          <w:sz w:val="21"/>
          <w:szCs w:val="21"/>
          <w14:textFill>
            <w14:solidFill>
              <w14:schemeClr w14:val="tx1"/>
            </w14:solidFill>
          </w14:textFill>
        </w:rPr>
        <w:t>预报信息，合理安排</w:t>
      </w:r>
      <w:r>
        <w:rPr>
          <w:rFonts w:hint="eastAsia"/>
          <w:color w:val="000000" w:themeColor="text1"/>
          <w:sz w:val="21"/>
          <w:szCs w:val="21"/>
          <w14:textFill>
            <w14:solidFill>
              <w14:schemeClr w14:val="tx1"/>
            </w14:solidFill>
          </w14:textFill>
        </w:rPr>
        <w:t>水上</w:t>
      </w:r>
      <w:r>
        <w:rPr>
          <w:color w:val="000000" w:themeColor="text1"/>
          <w:sz w:val="21"/>
          <w:szCs w:val="21"/>
          <w14:textFill>
            <w14:solidFill>
              <w14:schemeClr w14:val="tx1"/>
            </w14:solidFill>
          </w14:textFill>
        </w:rPr>
        <w:t>作业窗口期，保障施工安全风险可控。</w:t>
      </w:r>
    </w:p>
    <w:p w14:paraId="0666B836">
      <w:pPr>
        <w:widowControl w:val="0"/>
        <w:adjustRightInd w:val="0"/>
        <w:snapToGrid w:val="0"/>
        <w:ind w:firstLine="420" w:firstLineChars="2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8）应优化施工方案，尽可能缩短水下作业时间，避免施工悬浮物扩散对水体环境的影响。</w:t>
      </w:r>
    </w:p>
    <w:p w14:paraId="2DB5B18E">
      <w:pPr>
        <w:widowControl w:val="0"/>
        <w:adjustRightInd w:val="0"/>
        <w:snapToGrid w:val="0"/>
        <w:ind w:firstLine="420" w:firstLineChars="200"/>
        <w:outlineLvl w:val="0"/>
        <w:rPr>
          <w:rFonts w:hint="eastAsia"/>
          <w:color w:val="000000" w:themeColor="text1"/>
          <w:sz w:val="21"/>
          <w:szCs w:val="21"/>
          <w14:textFill>
            <w14:solidFill>
              <w14:schemeClr w14:val="tx1"/>
            </w14:solidFill>
          </w14:textFill>
        </w:rPr>
      </w:pPr>
      <w:bookmarkStart w:id="324" w:name="_Toc23577"/>
      <w:bookmarkStart w:id="325" w:name="_Toc10331"/>
      <w:r>
        <w:rPr>
          <w:color w:val="000000" w:themeColor="text1"/>
          <w:sz w:val="21"/>
          <w:szCs w:val="21"/>
          <w14:textFill>
            <w14:solidFill>
              <w14:schemeClr w14:val="tx1"/>
            </w14:solidFill>
          </w14:textFill>
        </w:rPr>
        <w:t xml:space="preserve">3 </w:t>
      </w:r>
      <w:r>
        <w:rPr>
          <w:rFonts w:hint="eastAsia"/>
          <w:color w:val="000000" w:themeColor="text1"/>
          <w:sz w:val="21"/>
          <w:szCs w:val="21"/>
          <w14:textFill>
            <w14:solidFill>
              <w14:schemeClr w14:val="tx1"/>
            </w14:solidFill>
          </w14:textFill>
        </w:rPr>
        <w:t>光热发电项目</w:t>
      </w:r>
      <w:bookmarkEnd w:id="324"/>
      <w:bookmarkEnd w:id="325"/>
    </w:p>
    <w:p w14:paraId="2E69686F">
      <w:pPr>
        <w:widowControl w:val="0"/>
        <w:adjustRightInd w:val="0"/>
        <w:snapToGrid w:val="0"/>
        <w:ind w:firstLine="420" w:firstLineChars="200"/>
        <w:outlineLvl w:val="1"/>
        <w:rPr>
          <w:rFonts w:hint="eastAsia"/>
          <w:color w:val="000000" w:themeColor="text1"/>
          <w:sz w:val="21"/>
          <w:szCs w:val="21"/>
          <w14:textFill>
            <w14:solidFill>
              <w14:schemeClr w14:val="tx1"/>
            </w14:solidFill>
          </w14:textFill>
        </w:rPr>
      </w:pPr>
      <w:bookmarkStart w:id="326" w:name="_Toc20500"/>
      <w:bookmarkStart w:id="327" w:name="_Toc8698"/>
      <w:r>
        <w:rPr>
          <w:color w:val="000000" w:themeColor="text1"/>
          <w:sz w:val="21"/>
          <w:szCs w:val="21"/>
          <w14:textFill>
            <w14:solidFill>
              <w14:schemeClr w14:val="tx1"/>
            </w14:solidFill>
          </w14:textFill>
        </w:rPr>
        <w:t>1）光热发电站集热场施工前应完成网围栏工程施工。</w:t>
      </w:r>
      <w:bookmarkEnd w:id="326"/>
      <w:bookmarkEnd w:id="327"/>
    </w:p>
    <w:p w14:paraId="1CD8279E">
      <w:pPr>
        <w:widowControl w:val="0"/>
        <w:adjustRightInd w:val="0"/>
        <w:snapToGrid w:val="0"/>
        <w:ind w:firstLine="420" w:firstLineChars="2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w:t>
      </w:r>
      <w:r>
        <w:rPr>
          <w:color w:val="000000" w:themeColor="text1"/>
          <w:sz w:val="21"/>
          <w:szCs w:val="21"/>
          <w14:textFill>
            <w14:solidFill>
              <w14:schemeClr w14:val="tx1"/>
            </w14:solidFill>
          </w14:textFill>
        </w:rPr>
        <w:t>）</w:t>
      </w:r>
      <w:r>
        <w:rPr>
          <w:rFonts w:hint="eastAsia"/>
          <w:color w:val="000000" w:themeColor="text1"/>
          <w:sz w:val="21"/>
          <w:szCs w:val="21"/>
          <w14:textFill>
            <w14:solidFill>
              <w14:schemeClr w14:val="tx1"/>
            </w14:solidFill>
          </w14:textFill>
        </w:rPr>
        <w:t>光热电站集热场内施工中</w:t>
      </w:r>
      <w:r>
        <w:rPr>
          <w:color w:val="000000" w:themeColor="text1"/>
          <w:sz w:val="21"/>
          <w:szCs w:val="21"/>
          <w14:textFill>
            <w14:solidFill>
              <w14:schemeClr w14:val="tx1"/>
            </w14:solidFill>
          </w14:textFill>
        </w:rPr>
        <w:t xml:space="preserve">喷砂、抛丸、切割等易产生扬尘或噪声场所应采取防尘降噪措施，高空电焊作业采取避免电焊弧光外泄遮挡措施。 </w:t>
      </w:r>
    </w:p>
    <w:p w14:paraId="2B74A234">
      <w:pPr>
        <w:widowControl w:val="0"/>
        <w:adjustRightInd w:val="0"/>
        <w:snapToGrid w:val="0"/>
        <w:ind w:firstLine="420" w:firstLineChars="200"/>
        <w:outlineLvl w:val="1"/>
        <w:rPr>
          <w:rFonts w:hint="eastAsia"/>
          <w:color w:val="000000" w:themeColor="text1"/>
          <w:sz w:val="21"/>
          <w:szCs w:val="21"/>
          <w14:textFill>
            <w14:solidFill>
              <w14:schemeClr w14:val="tx1"/>
            </w14:solidFill>
          </w14:textFill>
        </w:rPr>
      </w:pPr>
      <w:bookmarkStart w:id="328" w:name="_Toc29056"/>
      <w:bookmarkStart w:id="329" w:name="_Toc12699"/>
      <w:r>
        <w:rPr>
          <w:rFonts w:hint="eastAsia"/>
          <w:color w:val="000000" w:themeColor="text1"/>
          <w:sz w:val="21"/>
          <w:szCs w:val="21"/>
          <w14:textFill>
            <w14:solidFill>
              <w14:schemeClr w14:val="tx1"/>
            </w14:solidFill>
          </w14:textFill>
        </w:rPr>
        <w:t>3</w:t>
      </w:r>
      <w:r>
        <w:rPr>
          <w:color w:val="000000" w:themeColor="text1"/>
          <w:sz w:val="21"/>
          <w:szCs w:val="21"/>
          <w14:textFill>
            <w14:solidFill>
              <w14:schemeClr w14:val="tx1"/>
            </w14:solidFill>
          </w14:textFill>
        </w:rPr>
        <w:t>）不应踩踏定日镜等易碎部件。</w:t>
      </w:r>
      <w:bookmarkEnd w:id="328"/>
      <w:bookmarkEnd w:id="329"/>
    </w:p>
    <w:p w14:paraId="347F7B82">
      <w:pPr>
        <w:widowControl w:val="0"/>
        <w:adjustRightInd w:val="0"/>
        <w:snapToGrid w:val="0"/>
        <w:ind w:firstLine="420" w:firstLineChars="2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4）集热场内大型设备安装、集热塔施工、大型起重机装拆等危险性较大分部分项工程专项施工方案应经审批及专家论证后执行。</w:t>
      </w:r>
    </w:p>
    <w:p w14:paraId="19B2032B">
      <w:pPr>
        <w:widowControl w:val="0"/>
        <w:adjustRightInd w:val="0"/>
        <w:snapToGrid w:val="0"/>
        <w:outlineLvl w:val="2"/>
        <w:rPr>
          <w:rFonts w:hint="eastAsia"/>
          <w:color w:val="FF0000"/>
          <w:sz w:val="21"/>
          <w:szCs w:val="21"/>
        </w:rPr>
      </w:pPr>
      <w:bookmarkStart w:id="330" w:name="_Toc19"/>
      <w:r>
        <w:rPr>
          <w:sz w:val="21"/>
          <w:szCs w:val="21"/>
        </w:rPr>
        <w:t>6.2.14  输变电工程</w:t>
      </w:r>
      <w:r>
        <w:rPr>
          <w:rFonts w:hint="eastAsia"/>
          <w:sz w:val="21"/>
          <w:szCs w:val="21"/>
        </w:rPr>
        <w:t>安全环保专用项评价包括以下内容：</w:t>
      </w:r>
      <w:bookmarkEnd w:id="330"/>
      <w:r>
        <w:rPr>
          <w:color w:val="FF0000"/>
          <w:sz w:val="21"/>
          <w:szCs w:val="21"/>
        </w:rPr>
        <w:t xml:space="preserve"> </w:t>
      </w:r>
    </w:p>
    <w:p w14:paraId="5D305366">
      <w:pPr>
        <w:widowControl w:val="0"/>
        <w:adjustRightInd w:val="0"/>
        <w:snapToGrid w:val="0"/>
        <w:ind w:firstLine="420" w:firstLineChars="200"/>
        <w:outlineLvl w:val="0"/>
        <w:rPr>
          <w:rFonts w:hint="eastAsia"/>
          <w:sz w:val="21"/>
          <w:szCs w:val="21"/>
        </w:rPr>
      </w:pPr>
      <w:bookmarkStart w:id="331" w:name="_Toc31496"/>
      <w:bookmarkStart w:id="332" w:name="_Toc20720"/>
      <w:r>
        <w:rPr>
          <w:sz w:val="21"/>
          <w:szCs w:val="21"/>
        </w:rPr>
        <w:t>1  变电（换流）站</w:t>
      </w:r>
      <w:bookmarkEnd w:id="331"/>
      <w:bookmarkEnd w:id="332"/>
    </w:p>
    <w:p w14:paraId="21FC5489">
      <w:pPr>
        <w:widowControl w:val="0"/>
        <w:adjustRightInd w:val="0"/>
        <w:snapToGrid w:val="0"/>
        <w:ind w:firstLine="630" w:firstLineChars="300"/>
        <w:rPr>
          <w:rFonts w:hint="eastAsia"/>
          <w:sz w:val="21"/>
          <w:szCs w:val="21"/>
        </w:rPr>
      </w:pPr>
      <w:r>
        <w:rPr>
          <w:sz w:val="21"/>
          <w:szCs w:val="21"/>
        </w:rPr>
        <w:t>1）</w:t>
      </w:r>
      <w:r>
        <w:rPr>
          <w:rFonts w:hint="eastAsia"/>
          <w:sz w:val="21"/>
          <w:szCs w:val="21"/>
        </w:rPr>
        <w:t>变电站</w:t>
      </w:r>
      <w:r>
        <w:rPr>
          <w:sz w:val="21"/>
          <w:szCs w:val="21"/>
        </w:rPr>
        <w:t>土石方工程施工应加强场地保护，施工中减少场地干扰、保护基地环境。</w:t>
      </w:r>
    </w:p>
    <w:p w14:paraId="6843D57F">
      <w:pPr>
        <w:widowControl w:val="0"/>
        <w:adjustRightInd w:val="0"/>
        <w:snapToGrid w:val="0"/>
        <w:ind w:firstLine="630" w:firstLineChars="300"/>
        <w:rPr>
          <w:rFonts w:hint="eastAsia"/>
          <w:sz w:val="21"/>
          <w:szCs w:val="21"/>
        </w:rPr>
      </w:pPr>
      <w:r>
        <w:rPr>
          <w:sz w:val="21"/>
          <w:szCs w:val="21"/>
        </w:rPr>
        <w:t>2）</w:t>
      </w:r>
      <w:r>
        <w:rPr>
          <w:rFonts w:hint="eastAsia"/>
          <w:sz w:val="21"/>
          <w:szCs w:val="21"/>
        </w:rPr>
        <w:t>变电站</w:t>
      </w:r>
      <w:r>
        <w:rPr>
          <w:sz w:val="21"/>
          <w:szCs w:val="21"/>
        </w:rPr>
        <w:t>凝土灌注桩施工使用泥浆护壁成孔时，施工现场设置专用泥浆池，并及时清理沉淀的废渣。</w:t>
      </w:r>
    </w:p>
    <w:p w14:paraId="0D625F27">
      <w:pPr>
        <w:widowControl w:val="0"/>
        <w:adjustRightInd w:val="0"/>
        <w:snapToGrid w:val="0"/>
        <w:ind w:firstLine="630" w:firstLineChars="300"/>
        <w:rPr>
          <w:rFonts w:hint="eastAsia"/>
          <w:sz w:val="21"/>
          <w:szCs w:val="21"/>
        </w:rPr>
      </w:pPr>
      <w:r>
        <w:rPr>
          <w:rFonts w:hint="eastAsia"/>
          <w:sz w:val="21"/>
          <w:szCs w:val="21"/>
        </w:rPr>
        <w:t>3</w:t>
      </w:r>
      <w:r>
        <w:rPr>
          <w:sz w:val="21"/>
          <w:szCs w:val="21"/>
        </w:rPr>
        <w:t>）</w:t>
      </w:r>
      <w:r>
        <w:rPr>
          <w:rFonts w:hint="eastAsia"/>
          <w:sz w:val="21"/>
          <w:szCs w:val="21"/>
        </w:rPr>
        <w:t>变电站主控楼</w:t>
      </w:r>
      <w:r>
        <w:rPr>
          <w:sz w:val="21"/>
          <w:szCs w:val="21"/>
        </w:rPr>
        <w:t>钢结构防火涂料喷涂施工时，采取防止涂料外泄的专项措施</w:t>
      </w:r>
      <w:r>
        <w:rPr>
          <w:rFonts w:hint="eastAsia"/>
          <w:sz w:val="21"/>
          <w:szCs w:val="21"/>
        </w:rPr>
        <w:t>，减少对环境的污染</w:t>
      </w:r>
      <w:r>
        <w:rPr>
          <w:sz w:val="21"/>
          <w:szCs w:val="21"/>
        </w:rPr>
        <w:t>。</w:t>
      </w:r>
    </w:p>
    <w:p w14:paraId="11E911DE">
      <w:pPr>
        <w:widowControl w:val="0"/>
        <w:adjustRightInd w:val="0"/>
        <w:snapToGrid w:val="0"/>
        <w:ind w:firstLine="630" w:firstLineChars="300"/>
        <w:rPr>
          <w:rFonts w:hint="eastAsia"/>
          <w:sz w:val="21"/>
          <w:szCs w:val="21"/>
        </w:rPr>
      </w:pPr>
      <w:r>
        <w:rPr>
          <w:rFonts w:hint="eastAsia"/>
          <w:sz w:val="21"/>
          <w:szCs w:val="21"/>
        </w:rPr>
        <w:t>4</w:t>
      </w:r>
      <w:r>
        <w:rPr>
          <w:sz w:val="21"/>
          <w:szCs w:val="21"/>
        </w:rPr>
        <w:t>）</w:t>
      </w:r>
      <w:r>
        <w:rPr>
          <w:rFonts w:hint="eastAsia"/>
          <w:sz w:val="21"/>
          <w:szCs w:val="21"/>
        </w:rPr>
        <w:t>变电站</w:t>
      </w:r>
      <w:r>
        <w:rPr>
          <w:sz w:val="21"/>
          <w:szCs w:val="21"/>
        </w:rPr>
        <w:t>涂膜防水层施工材料采用封闭容器存放，余料应及时回收；宜采用滚涂或涂刷工艺，当采用喷涂工艺时，采取遮挡等防止污染的措施。</w:t>
      </w:r>
    </w:p>
    <w:p w14:paraId="355F3C0E">
      <w:pPr>
        <w:widowControl w:val="0"/>
        <w:adjustRightInd w:val="0"/>
        <w:snapToGrid w:val="0"/>
        <w:ind w:firstLine="630" w:firstLineChars="300"/>
        <w:rPr>
          <w:rFonts w:hint="eastAsia"/>
          <w:sz w:val="21"/>
          <w:szCs w:val="21"/>
        </w:rPr>
      </w:pPr>
      <w:r>
        <w:rPr>
          <w:rFonts w:hint="eastAsia"/>
          <w:sz w:val="21"/>
          <w:szCs w:val="21"/>
        </w:rPr>
        <w:t>5</w:t>
      </w:r>
      <w:r>
        <w:rPr>
          <w:sz w:val="21"/>
          <w:szCs w:val="21"/>
        </w:rPr>
        <w:t>）装饰装修工程中不采用沥青类、煤焦油类等材料作为室内防腐、防潮处理剂。</w:t>
      </w:r>
    </w:p>
    <w:p w14:paraId="218FA6BA">
      <w:pPr>
        <w:widowControl w:val="0"/>
        <w:adjustRightInd w:val="0"/>
        <w:snapToGrid w:val="0"/>
        <w:ind w:firstLine="630" w:firstLineChars="300"/>
        <w:rPr>
          <w:rFonts w:hint="eastAsia"/>
          <w:sz w:val="21"/>
          <w:szCs w:val="21"/>
        </w:rPr>
      </w:pPr>
      <w:r>
        <w:rPr>
          <w:rFonts w:hint="eastAsia"/>
          <w:sz w:val="21"/>
          <w:szCs w:val="21"/>
        </w:rPr>
        <w:t>6</w:t>
      </w:r>
      <w:r>
        <w:rPr>
          <w:sz w:val="21"/>
          <w:szCs w:val="21"/>
        </w:rPr>
        <w:t>）</w:t>
      </w:r>
      <w:r>
        <w:rPr>
          <w:rFonts w:hint="eastAsia"/>
          <w:sz w:val="21"/>
          <w:szCs w:val="21"/>
        </w:rPr>
        <w:t>变电站地基</w:t>
      </w:r>
      <w:r>
        <w:rPr>
          <w:sz w:val="21"/>
          <w:szCs w:val="21"/>
        </w:rPr>
        <w:t>换填法施工过程中，回填土施工采取防止扬尘的措施</w:t>
      </w:r>
      <w:r>
        <w:rPr>
          <w:rFonts w:hint="eastAsia"/>
          <w:sz w:val="21"/>
          <w:szCs w:val="21"/>
        </w:rPr>
        <w:t>。</w:t>
      </w:r>
    </w:p>
    <w:p w14:paraId="1EFBE58B">
      <w:pPr>
        <w:widowControl w:val="0"/>
        <w:adjustRightInd w:val="0"/>
        <w:snapToGrid w:val="0"/>
        <w:ind w:firstLine="630" w:firstLineChars="300"/>
        <w:outlineLvl w:val="1"/>
        <w:rPr>
          <w:rFonts w:hint="eastAsia"/>
          <w:sz w:val="21"/>
          <w:szCs w:val="21"/>
        </w:rPr>
      </w:pPr>
      <w:bookmarkStart w:id="333" w:name="_Toc22670"/>
      <w:bookmarkStart w:id="334" w:name="_Toc32053"/>
      <w:r>
        <w:rPr>
          <w:sz w:val="21"/>
          <w:szCs w:val="21"/>
        </w:rPr>
        <w:t>7）不间断电源安装应防止电池液泄漏，废旧电池应回收。</w:t>
      </w:r>
      <w:bookmarkEnd w:id="333"/>
      <w:bookmarkEnd w:id="334"/>
    </w:p>
    <w:p w14:paraId="40A1D346">
      <w:pPr>
        <w:widowControl w:val="0"/>
        <w:adjustRightInd w:val="0"/>
        <w:snapToGrid w:val="0"/>
        <w:ind w:firstLine="630" w:firstLineChars="300"/>
        <w:rPr>
          <w:rFonts w:hint="eastAsia"/>
          <w:sz w:val="21"/>
          <w:szCs w:val="21"/>
        </w:rPr>
      </w:pPr>
      <w:r>
        <w:rPr>
          <w:rFonts w:hint="eastAsia"/>
          <w:sz w:val="21"/>
          <w:szCs w:val="21"/>
        </w:rPr>
        <w:t>8</w:t>
      </w:r>
      <w:r>
        <w:rPr>
          <w:sz w:val="21"/>
          <w:szCs w:val="21"/>
        </w:rPr>
        <w:t>）绝缘油到场后使用专用油罐堆放在指定区域，</w:t>
      </w:r>
      <w:r>
        <w:rPr>
          <w:rFonts w:hint="eastAsia"/>
          <w:sz w:val="21"/>
          <w:szCs w:val="21"/>
        </w:rPr>
        <w:t>严禁</w:t>
      </w:r>
      <w:r>
        <w:rPr>
          <w:sz w:val="21"/>
          <w:szCs w:val="21"/>
        </w:rPr>
        <w:t>使用储放过其他油类或不清洁的容器，严禁直接放置于草坪、土壤上。堆放地面设置严格的防油措施，如铺设耐腐蚀性防油布，做好防渗漏及收集工作。废油、残油应统一回收处理并做好记录。</w:t>
      </w:r>
    </w:p>
    <w:p w14:paraId="1B32ECBD">
      <w:pPr>
        <w:widowControl w:val="0"/>
        <w:adjustRightInd w:val="0"/>
        <w:snapToGrid w:val="0"/>
        <w:ind w:firstLine="630" w:firstLineChars="300"/>
        <w:rPr>
          <w:rFonts w:hint="eastAsia"/>
          <w:sz w:val="21"/>
          <w:szCs w:val="21"/>
        </w:rPr>
      </w:pPr>
      <w:r>
        <w:rPr>
          <w:rFonts w:hint="eastAsia"/>
          <w:sz w:val="21"/>
          <w:szCs w:val="21"/>
        </w:rPr>
        <w:t>9</w:t>
      </w:r>
      <w:r>
        <w:rPr>
          <w:sz w:val="21"/>
          <w:szCs w:val="21"/>
        </w:rPr>
        <w:t>）油浸式变压器（电抗器）在真空注油、热油循环、滤油前，应对设备、油管、连接阀等进行检查，并用新油进行冲洗，避免工作中泄漏的绝缘油及杂质进入器身。滤油前，油浸式变压器（电抗器）、滤油设备及油管路应采取防泄漏措施并可靠接地。</w:t>
      </w:r>
    </w:p>
    <w:p w14:paraId="0BB0CD01">
      <w:pPr>
        <w:widowControl w:val="0"/>
        <w:adjustRightInd w:val="0"/>
        <w:snapToGrid w:val="0"/>
        <w:ind w:firstLine="630" w:firstLineChars="300"/>
        <w:rPr>
          <w:rFonts w:hint="eastAsia"/>
          <w:sz w:val="21"/>
          <w:szCs w:val="21"/>
        </w:rPr>
      </w:pPr>
      <w:r>
        <w:rPr>
          <w:rFonts w:hint="eastAsia"/>
          <w:sz w:val="21"/>
          <w:szCs w:val="21"/>
        </w:rPr>
        <w:t>10</w:t>
      </w:r>
      <w:r>
        <w:rPr>
          <w:sz w:val="21"/>
          <w:szCs w:val="21"/>
        </w:rPr>
        <w:t>）油浸式变压器（电抗器）内检人员应着连体防尘服（防尘服无帽时需佩戴防尘帽）、佩戴鞋套等个人防尘用品。器身检查时，梯子与变压器（电抗器）搭接处应做好防护措施。内检后，浸油的鞋套、手套、抹布应做好回收处理，不得随意丢弃污染环境。</w:t>
      </w:r>
    </w:p>
    <w:p w14:paraId="18B557A3">
      <w:pPr>
        <w:widowControl w:val="0"/>
        <w:adjustRightInd w:val="0"/>
        <w:snapToGrid w:val="0"/>
        <w:ind w:firstLine="630" w:firstLineChars="300"/>
        <w:rPr>
          <w:rFonts w:hint="eastAsia"/>
          <w:sz w:val="21"/>
          <w:szCs w:val="21"/>
        </w:rPr>
      </w:pPr>
      <w:r>
        <w:rPr>
          <w:rFonts w:hint="eastAsia"/>
          <w:sz w:val="21"/>
          <w:szCs w:val="21"/>
        </w:rPr>
        <w:t>11</w:t>
      </w:r>
      <w:r>
        <w:rPr>
          <w:sz w:val="21"/>
          <w:szCs w:val="21"/>
        </w:rPr>
        <w:t>）GIS配电装置安装应满足无尘化要求，施工区域的环境洁净度需达到百万级以上。</w:t>
      </w:r>
    </w:p>
    <w:p w14:paraId="7FEFCB7F">
      <w:pPr>
        <w:widowControl w:val="0"/>
        <w:adjustRightInd w:val="0"/>
        <w:snapToGrid w:val="0"/>
        <w:ind w:firstLine="630" w:firstLineChars="300"/>
        <w:rPr>
          <w:rFonts w:hint="eastAsia"/>
          <w:sz w:val="21"/>
          <w:szCs w:val="21"/>
        </w:rPr>
      </w:pPr>
      <w:r>
        <w:rPr>
          <w:rFonts w:hint="eastAsia"/>
          <w:sz w:val="21"/>
          <w:szCs w:val="21"/>
        </w:rPr>
        <w:t>12</w:t>
      </w:r>
      <w:r>
        <w:rPr>
          <w:sz w:val="21"/>
          <w:szCs w:val="21"/>
        </w:rPr>
        <w:t>）气体绝缘开关设备在抽真空、注气前，应对设备、气管、连接阀等进行检查，避免绝缘气体泄漏。气体绝缘开关设备安装结束后应进行绝缘气体检漏，如有泄露，应及时采取临时封堵措施。若现场无法有效处理，应迅速使用气体回收装置回收气体，并安排返厂检修。</w:t>
      </w:r>
    </w:p>
    <w:p w14:paraId="2D5ECBB0">
      <w:pPr>
        <w:widowControl w:val="0"/>
        <w:adjustRightInd w:val="0"/>
        <w:snapToGrid w:val="0"/>
        <w:ind w:firstLine="630" w:firstLineChars="300"/>
        <w:rPr>
          <w:rFonts w:hint="eastAsia"/>
          <w:sz w:val="21"/>
          <w:szCs w:val="21"/>
        </w:rPr>
      </w:pPr>
      <w:r>
        <w:rPr>
          <w:rFonts w:hint="eastAsia"/>
          <w:sz w:val="21"/>
          <w:szCs w:val="21"/>
        </w:rPr>
        <w:t>13</w:t>
      </w:r>
      <w:r>
        <w:rPr>
          <w:sz w:val="21"/>
          <w:szCs w:val="21"/>
        </w:rPr>
        <w:t>）软母线采用液压压接时，应对液压器械及其管路采取防液压油泄漏污染措施。</w:t>
      </w:r>
    </w:p>
    <w:p w14:paraId="28B8DEDA">
      <w:pPr>
        <w:widowControl w:val="0"/>
        <w:adjustRightInd w:val="0"/>
        <w:snapToGrid w:val="0"/>
        <w:ind w:firstLine="630" w:firstLineChars="300"/>
        <w:rPr>
          <w:rFonts w:hint="eastAsia"/>
          <w:sz w:val="21"/>
          <w:szCs w:val="21"/>
        </w:rPr>
      </w:pPr>
      <w:r>
        <w:rPr>
          <w:rFonts w:hint="eastAsia"/>
          <w:sz w:val="21"/>
          <w:szCs w:val="21"/>
        </w:rPr>
        <w:t>14</w:t>
      </w:r>
      <w:r>
        <w:rPr>
          <w:sz w:val="21"/>
          <w:szCs w:val="21"/>
        </w:rPr>
        <w:t>）电缆头制作、二次接线产生的固体废物，如电缆绝缘皮、线芯碎头等应集中回收处理</w:t>
      </w:r>
      <w:r>
        <w:rPr>
          <w:rFonts w:hint="eastAsia"/>
          <w:sz w:val="21"/>
          <w:szCs w:val="21"/>
        </w:rPr>
        <w:t>。</w:t>
      </w:r>
    </w:p>
    <w:p w14:paraId="574A28B6">
      <w:pPr>
        <w:widowControl w:val="0"/>
        <w:adjustRightInd w:val="0"/>
        <w:snapToGrid w:val="0"/>
        <w:ind w:firstLine="420" w:firstLineChars="200"/>
        <w:outlineLvl w:val="0"/>
        <w:rPr>
          <w:rFonts w:hint="eastAsia"/>
          <w:sz w:val="21"/>
          <w:szCs w:val="21"/>
        </w:rPr>
      </w:pPr>
      <w:bookmarkStart w:id="335" w:name="_Toc19834"/>
      <w:bookmarkStart w:id="336" w:name="_Toc15043"/>
      <w:r>
        <w:rPr>
          <w:sz w:val="21"/>
          <w:szCs w:val="21"/>
        </w:rPr>
        <w:t xml:space="preserve">2  </w:t>
      </w:r>
      <w:r>
        <w:rPr>
          <w:rFonts w:hint="eastAsia"/>
          <w:sz w:val="21"/>
          <w:szCs w:val="21"/>
        </w:rPr>
        <w:t>架空输电线路</w:t>
      </w:r>
      <w:bookmarkEnd w:id="335"/>
      <w:bookmarkEnd w:id="336"/>
    </w:p>
    <w:p w14:paraId="5308ADF3">
      <w:pPr>
        <w:widowControl w:val="0"/>
        <w:adjustRightInd w:val="0"/>
        <w:snapToGrid w:val="0"/>
        <w:ind w:firstLine="630" w:firstLineChars="300"/>
        <w:rPr>
          <w:rFonts w:hint="eastAsia"/>
          <w:sz w:val="21"/>
          <w:szCs w:val="21"/>
        </w:rPr>
      </w:pPr>
      <w:r>
        <w:rPr>
          <w:sz w:val="21"/>
          <w:szCs w:val="21"/>
        </w:rPr>
        <w:t>1）架空线路基础施工现场应通过设置沉淀池、加装污水处理设备等措施降低废水污染</w:t>
      </w:r>
      <w:r>
        <w:rPr>
          <w:rFonts w:hint="eastAsia"/>
          <w:sz w:val="21"/>
          <w:szCs w:val="21"/>
        </w:rPr>
        <w:t>。</w:t>
      </w:r>
    </w:p>
    <w:p w14:paraId="0F062955">
      <w:pPr>
        <w:widowControl w:val="0"/>
        <w:adjustRightInd w:val="0"/>
        <w:snapToGrid w:val="0"/>
        <w:ind w:firstLine="630" w:firstLineChars="300"/>
        <w:rPr>
          <w:rFonts w:hint="eastAsia"/>
          <w:sz w:val="21"/>
          <w:szCs w:val="21"/>
        </w:rPr>
      </w:pPr>
      <w:r>
        <w:rPr>
          <w:sz w:val="21"/>
          <w:szCs w:val="21"/>
        </w:rPr>
        <w:t>2）架空线路施工机械应设隔油布，防止油污渗漏；危险品、化学品应存放在专用仓库或进行有效隔离</w:t>
      </w:r>
      <w:r>
        <w:rPr>
          <w:rFonts w:hint="eastAsia"/>
          <w:sz w:val="21"/>
          <w:szCs w:val="21"/>
        </w:rPr>
        <w:t>，</w:t>
      </w:r>
      <w:r>
        <w:rPr>
          <w:sz w:val="21"/>
          <w:szCs w:val="21"/>
        </w:rPr>
        <w:t>存放处应设明显标志</w:t>
      </w:r>
      <w:r>
        <w:rPr>
          <w:rFonts w:hint="eastAsia"/>
          <w:sz w:val="21"/>
          <w:szCs w:val="21"/>
        </w:rPr>
        <w:t>。</w:t>
      </w:r>
      <w:r>
        <w:rPr>
          <w:sz w:val="21"/>
          <w:szCs w:val="21"/>
        </w:rPr>
        <w:t>包装、线盘材料采用木质材料，应符合植物检疫要求，到场后应及时消杀，防止虫害传播。</w:t>
      </w:r>
    </w:p>
    <w:p w14:paraId="7A6C647D">
      <w:pPr>
        <w:widowControl w:val="0"/>
        <w:adjustRightInd w:val="0"/>
        <w:snapToGrid w:val="0"/>
        <w:ind w:firstLine="630" w:firstLineChars="300"/>
        <w:rPr>
          <w:rFonts w:hint="eastAsia"/>
          <w:sz w:val="21"/>
          <w:szCs w:val="21"/>
        </w:rPr>
      </w:pPr>
      <w:r>
        <w:rPr>
          <w:sz w:val="21"/>
          <w:szCs w:val="21"/>
        </w:rPr>
        <w:t>3）平地及符合条件的</w:t>
      </w:r>
      <w:r>
        <w:rPr>
          <w:rFonts w:hint="eastAsia"/>
          <w:sz w:val="21"/>
          <w:szCs w:val="21"/>
        </w:rPr>
        <w:t>地区，</w:t>
      </w:r>
      <w:r>
        <w:rPr>
          <w:sz w:val="21"/>
          <w:szCs w:val="21"/>
        </w:rPr>
        <w:t>架空线路基础应采用预拌混凝土</w:t>
      </w:r>
      <w:r>
        <w:rPr>
          <w:rFonts w:hint="eastAsia"/>
          <w:sz w:val="21"/>
          <w:szCs w:val="21"/>
        </w:rPr>
        <w:t>；</w:t>
      </w:r>
      <w:r>
        <w:rPr>
          <w:sz w:val="21"/>
          <w:szCs w:val="21"/>
        </w:rPr>
        <w:t>不具备条件采用自拌混凝土时，水泥应有密闭防尘措施，搅拌机宜有封闭降噪和防尘措施。</w:t>
      </w:r>
    </w:p>
    <w:p w14:paraId="2B57FB9C">
      <w:pPr>
        <w:widowControl w:val="0"/>
        <w:adjustRightInd w:val="0"/>
        <w:snapToGrid w:val="0"/>
        <w:ind w:firstLine="630" w:firstLineChars="300"/>
        <w:rPr>
          <w:rFonts w:hint="eastAsia"/>
          <w:sz w:val="21"/>
          <w:szCs w:val="21"/>
        </w:rPr>
      </w:pPr>
      <w:r>
        <w:rPr>
          <w:sz w:val="21"/>
          <w:szCs w:val="21"/>
        </w:rPr>
        <w:t>4）采用抱杆组立铁塔时，需合理布置地锚坑、拉线和控制绳，塔材堆放及组装区域的设置也应合理。导引绳牵引和导地线展放施工中，宜采用无人机、牵张机等机械设备，以减少对树木和植被的破坏。放线时，应悬空展放导引绳和导地线，并采用张力放线方式，以减少通道开辟和树木砍伐。</w:t>
      </w:r>
    </w:p>
    <w:p w14:paraId="695C4E3C">
      <w:pPr>
        <w:widowControl w:val="0"/>
        <w:adjustRightInd w:val="0"/>
        <w:snapToGrid w:val="0"/>
        <w:ind w:firstLine="420" w:firstLineChars="200"/>
        <w:outlineLvl w:val="0"/>
        <w:rPr>
          <w:rFonts w:hint="eastAsia"/>
          <w:sz w:val="21"/>
          <w:szCs w:val="21"/>
        </w:rPr>
      </w:pPr>
      <w:bookmarkStart w:id="337" w:name="_Toc7214"/>
      <w:bookmarkStart w:id="338" w:name="_Toc22388"/>
      <w:r>
        <w:rPr>
          <w:sz w:val="21"/>
          <w:szCs w:val="21"/>
        </w:rPr>
        <w:t xml:space="preserve">3  </w:t>
      </w:r>
      <w:r>
        <w:rPr>
          <w:rFonts w:hint="eastAsia"/>
          <w:sz w:val="21"/>
          <w:szCs w:val="21"/>
        </w:rPr>
        <w:t>电缆线路</w:t>
      </w:r>
      <w:bookmarkEnd w:id="337"/>
      <w:bookmarkEnd w:id="338"/>
    </w:p>
    <w:p w14:paraId="15324757">
      <w:pPr>
        <w:widowControl w:val="0"/>
        <w:adjustRightInd w:val="0"/>
        <w:snapToGrid w:val="0"/>
        <w:ind w:firstLine="630" w:firstLineChars="300"/>
        <w:rPr>
          <w:rFonts w:hint="eastAsia"/>
          <w:sz w:val="21"/>
          <w:szCs w:val="21"/>
        </w:rPr>
      </w:pPr>
      <w:r>
        <w:rPr>
          <w:sz w:val="21"/>
          <w:szCs w:val="21"/>
        </w:rPr>
        <w:t>1）电缆土建施工中，应采取措施避免施工噪声、振动、水质和土壤污染及地表下沉等对周边环境造成影响。</w:t>
      </w:r>
    </w:p>
    <w:p w14:paraId="44E78B87">
      <w:pPr>
        <w:widowControl w:val="0"/>
        <w:adjustRightInd w:val="0"/>
        <w:snapToGrid w:val="0"/>
        <w:ind w:firstLine="630" w:firstLineChars="300"/>
        <w:rPr>
          <w:rFonts w:hint="eastAsia"/>
          <w:sz w:val="21"/>
          <w:szCs w:val="21"/>
        </w:rPr>
      </w:pPr>
      <w:r>
        <w:rPr>
          <w:sz w:val="21"/>
          <w:szCs w:val="21"/>
        </w:rPr>
        <w:t>2）木质包装电缆盘或光缆盘材料应符合植物检疫要求，到场后应及时进行消杀，防止虫害传播，施工结束后及时回收处理。</w:t>
      </w:r>
    </w:p>
    <w:p w14:paraId="01E0995B">
      <w:pPr>
        <w:widowControl w:val="0"/>
        <w:adjustRightInd w:val="0"/>
        <w:snapToGrid w:val="0"/>
        <w:ind w:firstLine="630" w:firstLineChars="300"/>
        <w:rPr>
          <w:rFonts w:hint="eastAsia"/>
          <w:sz w:val="21"/>
          <w:szCs w:val="21"/>
        </w:rPr>
      </w:pPr>
      <w:r>
        <w:rPr>
          <w:sz w:val="21"/>
          <w:szCs w:val="21"/>
        </w:rPr>
        <w:t>3）电缆变压器终端进筒、封闭式组合电器终端进仓时应做好绝缘油、气的回收工作。</w:t>
      </w:r>
    </w:p>
    <w:p w14:paraId="2067ED56">
      <w:pPr>
        <w:widowControl w:val="0"/>
        <w:adjustRightInd w:val="0"/>
        <w:snapToGrid w:val="0"/>
        <w:ind w:firstLine="630" w:firstLineChars="300"/>
        <w:rPr>
          <w:rFonts w:hint="eastAsia"/>
          <w:sz w:val="21"/>
          <w:szCs w:val="21"/>
        </w:rPr>
      </w:pPr>
      <w:r>
        <w:rPr>
          <w:sz w:val="21"/>
          <w:szCs w:val="21"/>
        </w:rPr>
        <w:t>4）电缆接头制作现场宜配备吸尘器，对电缆绝缘主体进行打磨时应做好绝缘、半导电颗粒的清理工作。电缆接头制作时，应在制作区域下方铺设垫布等物品，防止沥青滴落。</w:t>
      </w:r>
    </w:p>
    <w:p w14:paraId="4E08B557">
      <w:pPr>
        <w:widowControl w:val="0"/>
        <w:adjustRightInd w:val="0"/>
        <w:snapToGrid w:val="0"/>
        <w:ind w:firstLine="420" w:firstLineChars="200"/>
        <w:outlineLvl w:val="0"/>
        <w:rPr>
          <w:rFonts w:hint="eastAsia"/>
          <w:sz w:val="21"/>
          <w:szCs w:val="21"/>
        </w:rPr>
      </w:pPr>
      <w:bookmarkStart w:id="339" w:name="_Toc26069"/>
      <w:bookmarkStart w:id="340" w:name="_Toc27648"/>
      <w:r>
        <w:rPr>
          <w:sz w:val="21"/>
          <w:szCs w:val="21"/>
        </w:rPr>
        <w:t>4  海底电缆线路</w:t>
      </w:r>
      <w:bookmarkEnd w:id="339"/>
      <w:bookmarkEnd w:id="340"/>
    </w:p>
    <w:p w14:paraId="3F21A4D2">
      <w:pPr>
        <w:widowControl w:val="0"/>
        <w:adjustRightInd w:val="0"/>
        <w:snapToGrid w:val="0"/>
        <w:ind w:firstLine="630" w:firstLineChars="300"/>
        <w:rPr>
          <w:rFonts w:hint="eastAsia"/>
          <w:sz w:val="21"/>
          <w:szCs w:val="21"/>
        </w:rPr>
      </w:pPr>
      <w:r>
        <w:rPr>
          <w:sz w:val="21"/>
          <w:szCs w:val="21"/>
        </w:rPr>
        <w:t>1）选取符合环保标准的施工船舶，船舶应配备废弃物处理设施和防污染系统。船舶设备应选用低噪音设备，燃油、燃气设备的尾气排放必须符合国家相关标准，对施工船舶产生的生活垃圾、废油和其他有害物质进行严格管理和处理，确保不直接排放入海。</w:t>
      </w:r>
    </w:p>
    <w:p w14:paraId="08BCDA71">
      <w:pPr>
        <w:widowControl w:val="0"/>
        <w:adjustRightInd w:val="0"/>
        <w:snapToGrid w:val="0"/>
        <w:ind w:firstLine="630" w:firstLineChars="300"/>
        <w:rPr>
          <w:rFonts w:hint="eastAsia"/>
          <w:sz w:val="21"/>
          <w:szCs w:val="21"/>
        </w:rPr>
      </w:pPr>
      <w:r>
        <w:rPr>
          <w:sz w:val="21"/>
          <w:szCs w:val="21"/>
        </w:rPr>
        <w:t>2）登陆施工作业期间，应定期洒水或进行绿化，安装围栏，对易产生扬尘的材料进行覆盖或封闭处理，减少产生扬尘的工序。</w:t>
      </w:r>
    </w:p>
    <w:p w14:paraId="5014E5D6">
      <w:pPr>
        <w:widowControl w:val="0"/>
        <w:adjustRightInd w:val="0"/>
        <w:snapToGrid w:val="0"/>
        <w:ind w:firstLine="630" w:firstLineChars="300"/>
        <w:rPr>
          <w:rFonts w:hint="eastAsia"/>
          <w:sz w:val="21"/>
          <w:szCs w:val="21"/>
        </w:rPr>
      </w:pPr>
      <w:r>
        <w:rPr>
          <w:sz w:val="21"/>
          <w:szCs w:val="21"/>
        </w:rPr>
        <w:t>3）尽量避开海洋生物的繁殖和迁徙季节进行施工，在施工区域设置缓冲区，保护海洋牧场等生态敏感区。</w:t>
      </w:r>
    </w:p>
    <w:p w14:paraId="4CC212D7">
      <w:pPr>
        <w:widowControl w:val="0"/>
        <w:adjustRightInd w:val="0"/>
        <w:snapToGrid w:val="0"/>
        <w:ind w:firstLine="630" w:firstLineChars="300"/>
        <w:rPr>
          <w:rFonts w:hint="eastAsia"/>
          <w:sz w:val="21"/>
          <w:szCs w:val="21"/>
        </w:rPr>
      </w:pPr>
      <w:r>
        <w:rPr>
          <w:sz w:val="21"/>
          <w:szCs w:val="21"/>
        </w:rPr>
        <w:t>4</w:t>
      </w:r>
      <w:r>
        <w:rPr>
          <w:rFonts w:hint="eastAsia"/>
          <w:sz w:val="21"/>
          <w:szCs w:val="21"/>
        </w:rPr>
        <w:t>）</w:t>
      </w:r>
      <w:r>
        <w:rPr>
          <w:sz w:val="21"/>
          <w:szCs w:val="21"/>
        </w:rPr>
        <w:t>海底电缆敷设期间在满足设计埋深的情况下应尽可能避免过度的冲喷操作以降低对海底床面的破坏及对底栖生物的影响。</w:t>
      </w:r>
    </w:p>
    <w:p w14:paraId="4C59A29D">
      <w:pPr>
        <w:widowControl w:val="0"/>
        <w:adjustRightInd w:val="0"/>
        <w:snapToGrid w:val="0"/>
        <w:ind w:firstLine="630" w:firstLineChars="300"/>
        <w:rPr>
          <w:rFonts w:hint="eastAsia"/>
          <w:sz w:val="21"/>
          <w:szCs w:val="21"/>
        </w:rPr>
      </w:pPr>
      <w:r>
        <w:rPr>
          <w:sz w:val="21"/>
          <w:szCs w:val="21"/>
        </w:rPr>
        <w:t>5）路由附近有环境敏感区域时，应选取合适的潮汐时刻进行施工，减少因施工造成的悬浮泥沙侵入环境敏感区域。</w:t>
      </w:r>
    </w:p>
    <w:p w14:paraId="25C03914">
      <w:pPr>
        <w:outlineLvl w:val="1"/>
        <w:rPr>
          <w:rFonts w:hint="eastAsia"/>
          <w:sz w:val="21"/>
          <w:szCs w:val="21"/>
        </w:rPr>
      </w:pPr>
      <w:bookmarkStart w:id="341" w:name="_Toc27913"/>
      <w:bookmarkStart w:id="342" w:name="_Toc28272"/>
      <w:r>
        <w:rPr>
          <w:sz w:val="21"/>
          <w:szCs w:val="21"/>
        </w:rPr>
        <w:t>6.2.</w:t>
      </w:r>
      <w:r>
        <w:rPr>
          <w:rFonts w:hint="eastAsia"/>
          <w:sz w:val="21"/>
          <w:szCs w:val="21"/>
        </w:rPr>
        <w:t>15</w:t>
      </w:r>
      <w:r>
        <w:rPr>
          <w:sz w:val="21"/>
          <w:szCs w:val="21"/>
        </w:rPr>
        <w:t xml:space="preserve"> </w:t>
      </w:r>
      <w:r>
        <w:rPr>
          <w:rFonts w:hint="eastAsia"/>
          <w:sz w:val="21"/>
          <w:szCs w:val="21"/>
        </w:rPr>
        <w:t>电力储能工</w:t>
      </w:r>
      <w:r>
        <w:rPr>
          <w:sz w:val="21"/>
          <w:szCs w:val="21"/>
        </w:rPr>
        <w:t>程</w:t>
      </w:r>
      <w:r>
        <w:rPr>
          <w:rFonts w:hint="eastAsia"/>
          <w:sz w:val="21"/>
          <w:szCs w:val="21"/>
        </w:rPr>
        <w:t>安全环保专用项评价包括以下内容：</w:t>
      </w:r>
      <w:bookmarkEnd w:id="341"/>
      <w:bookmarkEnd w:id="342"/>
    </w:p>
    <w:p w14:paraId="5A5A7826">
      <w:pPr>
        <w:ind w:firstLine="420" w:firstLineChars="200"/>
        <w:outlineLvl w:val="0"/>
        <w:rPr>
          <w:rFonts w:hint="eastAsia"/>
          <w:sz w:val="21"/>
          <w:szCs w:val="21"/>
        </w:rPr>
      </w:pPr>
      <w:r>
        <w:rPr>
          <w:sz w:val="21"/>
          <w:szCs w:val="21"/>
        </w:rPr>
        <w:t xml:space="preserve"> </w:t>
      </w:r>
      <w:bookmarkStart w:id="343" w:name="_Toc23204"/>
      <w:bookmarkStart w:id="344" w:name="_Toc26393"/>
      <w:r>
        <w:rPr>
          <w:sz w:val="21"/>
          <w:szCs w:val="21"/>
        </w:rPr>
        <w:t>1  电化学（锂电、液流、燃料电池、钠离子、铅酸、铅炭）储能</w:t>
      </w:r>
      <w:bookmarkEnd w:id="343"/>
      <w:bookmarkEnd w:id="344"/>
    </w:p>
    <w:p w14:paraId="5BC0395F">
      <w:pPr>
        <w:ind w:firstLine="630" w:firstLineChars="300"/>
        <w:rPr>
          <w:rFonts w:hint="eastAsia"/>
          <w:sz w:val="21"/>
          <w:szCs w:val="21"/>
        </w:rPr>
      </w:pPr>
      <w:r>
        <w:rPr>
          <w:sz w:val="21"/>
          <w:szCs w:val="21"/>
        </w:rPr>
        <w:t>1）施工单位及运维单位应根据不同类型的储能</w:t>
      </w:r>
      <w:r>
        <w:rPr>
          <w:rFonts w:hint="eastAsia"/>
          <w:sz w:val="21"/>
          <w:szCs w:val="21"/>
        </w:rPr>
        <w:t>电池</w:t>
      </w:r>
      <w:r>
        <w:rPr>
          <w:sz w:val="21"/>
          <w:szCs w:val="21"/>
        </w:rPr>
        <w:t>特性，针对储能场站火灾、电解液泄露等突发事故建立应急预案，并进行过每年至少1次应急演练，应有文件记录可查验，建设方和总包方应监督实施。</w:t>
      </w:r>
    </w:p>
    <w:p w14:paraId="7865DD1B">
      <w:pPr>
        <w:ind w:firstLine="630" w:firstLineChars="300"/>
        <w:rPr>
          <w:rFonts w:hint="eastAsia"/>
          <w:sz w:val="21"/>
          <w:szCs w:val="21"/>
        </w:rPr>
      </w:pPr>
      <w:r>
        <w:rPr>
          <w:sz w:val="21"/>
          <w:szCs w:val="21"/>
        </w:rPr>
        <w:t>2）电化学储能电站更换下来的废旧电池及其他电气设备，应妥善转移到危废品库中，并对危废品库中的物品加强管理，采取防止丢失的措施，不可移交给没有处理资质的企业或单位，并建立相应台账。</w:t>
      </w:r>
    </w:p>
    <w:p w14:paraId="76E04EB7">
      <w:pPr>
        <w:ind w:firstLine="630" w:firstLineChars="300"/>
        <w:rPr>
          <w:rFonts w:hint="eastAsia"/>
          <w:sz w:val="21"/>
          <w:szCs w:val="21"/>
        </w:rPr>
      </w:pPr>
      <w:r>
        <w:rPr>
          <w:sz w:val="21"/>
          <w:szCs w:val="21"/>
        </w:rPr>
        <w:t>3）施工单位在施工前应根据电池类型，编制储能设施安全施工专篇，包括但不限于对有毒原料加料（全钒液流电池电解液及原料）、电池正负极电缆接线防误接、电缆接线牢固性等危险源识别及安全防范进行系统梳理总结，采取有效措施。</w:t>
      </w:r>
    </w:p>
    <w:p w14:paraId="1638B0B4">
      <w:pPr>
        <w:ind w:firstLine="630" w:firstLineChars="300"/>
        <w:rPr>
          <w:rFonts w:hint="eastAsia"/>
          <w:sz w:val="21"/>
          <w:szCs w:val="21"/>
        </w:rPr>
      </w:pPr>
      <w:r>
        <w:rPr>
          <w:sz w:val="21"/>
          <w:szCs w:val="21"/>
        </w:rPr>
        <w:t>4）电化学储能电站正常运行时无生产用废水废液废气产生，仅有人员值班产生的生活废水。火灾后收集处理废液</w:t>
      </w:r>
      <w:r>
        <w:rPr>
          <w:rFonts w:hint="eastAsia"/>
          <w:sz w:val="21"/>
          <w:szCs w:val="21"/>
        </w:rPr>
        <w:t>，</w:t>
      </w:r>
      <w:r>
        <w:rPr>
          <w:sz w:val="21"/>
          <w:szCs w:val="21"/>
        </w:rPr>
        <w:t>由专业厂家处理后达标才能排出</w:t>
      </w:r>
      <w:r>
        <w:rPr>
          <w:rFonts w:hint="eastAsia"/>
          <w:sz w:val="21"/>
          <w:szCs w:val="21"/>
        </w:rPr>
        <w:t>。</w:t>
      </w:r>
    </w:p>
    <w:p w14:paraId="17DFA45D">
      <w:pPr>
        <w:ind w:firstLine="630" w:firstLineChars="300"/>
        <w:rPr>
          <w:rFonts w:hint="eastAsia"/>
          <w:sz w:val="21"/>
          <w:szCs w:val="21"/>
        </w:rPr>
      </w:pPr>
      <w:r>
        <w:rPr>
          <w:sz w:val="21"/>
          <w:szCs w:val="21"/>
        </w:rPr>
        <w:t>5）电化学储能系统通常由多个子系统组成，如电池管理系统、能量转换系统等，施工时的</w:t>
      </w:r>
      <w:r>
        <w:rPr>
          <w:rFonts w:hint="eastAsia"/>
          <w:sz w:val="21"/>
          <w:szCs w:val="21"/>
        </w:rPr>
        <w:t>电缆接线和调试工作较为复杂，施工单位、系统集成厂家、调试单位应密切配合。</w:t>
      </w:r>
    </w:p>
    <w:p w14:paraId="79B13562">
      <w:pPr>
        <w:ind w:firstLine="630" w:firstLineChars="300"/>
        <w:rPr>
          <w:rFonts w:hint="eastAsia"/>
          <w:sz w:val="21"/>
          <w:szCs w:val="21"/>
        </w:rPr>
      </w:pPr>
      <w:r>
        <w:rPr>
          <w:sz w:val="21"/>
          <w:szCs w:val="21"/>
        </w:rPr>
        <w:t>6）</w:t>
      </w:r>
      <w:r>
        <w:rPr>
          <w:rFonts w:hint="eastAsia"/>
          <w:sz w:val="21"/>
          <w:szCs w:val="21"/>
        </w:rPr>
        <w:t>施工地点的环境条件，如温度、湿度、海拔等，会对储能系统的性能和安全性产生影响，施工中需要充分考虑并采取相应的措施。</w:t>
      </w:r>
    </w:p>
    <w:p w14:paraId="1E59FA3F">
      <w:pPr>
        <w:ind w:firstLine="420" w:firstLineChars="200"/>
        <w:outlineLvl w:val="0"/>
        <w:rPr>
          <w:rFonts w:hint="eastAsia"/>
          <w:sz w:val="21"/>
          <w:szCs w:val="21"/>
        </w:rPr>
      </w:pPr>
      <w:bookmarkStart w:id="345" w:name="_Toc14620"/>
      <w:bookmarkStart w:id="346" w:name="_Toc31907"/>
      <w:r>
        <w:rPr>
          <w:sz w:val="21"/>
          <w:szCs w:val="21"/>
        </w:rPr>
        <w:t>2  飞轮储能</w:t>
      </w:r>
      <w:bookmarkEnd w:id="345"/>
      <w:bookmarkEnd w:id="346"/>
    </w:p>
    <w:p w14:paraId="7CE21049">
      <w:pPr>
        <w:ind w:firstLine="630" w:firstLineChars="300"/>
        <w:rPr>
          <w:rFonts w:hint="eastAsia"/>
          <w:sz w:val="21"/>
          <w:szCs w:val="21"/>
        </w:rPr>
      </w:pPr>
      <w:r>
        <w:rPr>
          <w:sz w:val="21"/>
          <w:szCs w:val="21"/>
        </w:rPr>
        <w:t>1）施工单位及运维单位应根据飞轮设备特性，针对</w:t>
      </w:r>
      <w:r>
        <w:rPr>
          <w:rFonts w:hint="eastAsia"/>
          <w:sz w:val="21"/>
          <w:szCs w:val="21"/>
        </w:rPr>
        <w:t>飞轮</w:t>
      </w:r>
      <w:r>
        <w:rPr>
          <w:sz w:val="21"/>
          <w:szCs w:val="21"/>
        </w:rPr>
        <w:t>设备火灾、</w:t>
      </w:r>
      <w:r>
        <w:rPr>
          <w:rFonts w:hint="eastAsia"/>
          <w:sz w:val="21"/>
          <w:szCs w:val="21"/>
        </w:rPr>
        <w:t>飞轮</w:t>
      </w:r>
      <w:r>
        <w:rPr>
          <w:sz w:val="21"/>
          <w:szCs w:val="21"/>
        </w:rPr>
        <w:t>失控等突发事故建立应急预案，并进行过每年至少1次应急演练，应有文件记录可查验，建设方和总包方应监督实施。</w:t>
      </w:r>
    </w:p>
    <w:p w14:paraId="0797B2B7">
      <w:pPr>
        <w:ind w:firstLine="630" w:firstLineChars="300"/>
        <w:rPr>
          <w:rFonts w:hint="eastAsia"/>
          <w:sz w:val="21"/>
          <w:szCs w:val="21"/>
        </w:rPr>
      </w:pPr>
      <w:r>
        <w:rPr>
          <w:sz w:val="21"/>
          <w:szCs w:val="21"/>
        </w:rPr>
        <w:t>2）飞轮在调试运行时，应做好人员安全防护，人员不应滞留在飞轮设备旁边。</w:t>
      </w:r>
    </w:p>
    <w:p w14:paraId="61AFC310">
      <w:pPr>
        <w:ind w:firstLine="630" w:firstLineChars="300"/>
        <w:rPr>
          <w:rFonts w:hint="eastAsia"/>
          <w:sz w:val="21"/>
          <w:szCs w:val="21"/>
        </w:rPr>
      </w:pPr>
      <w:r>
        <w:rPr>
          <w:sz w:val="21"/>
          <w:szCs w:val="21"/>
        </w:rPr>
        <w:t>3）施工单位在施工前应编制飞轮储能设施安全施工专篇，对告诉旋转设备及部件等危险源识别及安全防范进行系统梳理总结，采取有效措施。</w:t>
      </w:r>
    </w:p>
    <w:p w14:paraId="2EDB1993">
      <w:pPr>
        <w:ind w:firstLine="630" w:firstLineChars="300"/>
        <w:rPr>
          <w:rFonts w:hint="eastAsia"/>
          <w:sz w:val="21"/>
          <w:szCs w:val="21"/>
        </w:rPr>
      </w:pPr>
      <w:r>
        <w:rPr>
          <w:sz w:val="21"/>
          <w:szCs w:val="21"/>
        </w:rPr>
        <w:t>4）</w:t>
      </w:r>
      <w:r>
        <w:rPr>
          <w:rFonts w:hint="eastAsia"/>
          <w:sz w:val="21"/>
          <w:szCs w:val="21"/>
        </w:rPr>
        <w:t>施工过程中对飞轮设备基础和支撑结构的施工质量严格要求，具备良好的抗震、抗振性能，严格控制安装误差，确保系统的正常运行和性能发挥。</w:t>
      </w:r>
    </w:p>
    <w:p w14:paraId="2670F14C">
      <w:pPr>
        <w:ind w:firstLine="630" w:firstLineChars="300"/>
        <w:rPr>
          <w:rFonts w:hint="eastAsia"/>
          <w:sz w:val="21"/>
          <w:szCs w:val="21"/>
        </w:rPr>
      </w:pPr>
      <w:r>
        <w:rPr>
          <w:sz w:val="21"/>
          <w:szCs w:val="21"/>
        </w:rPr>
        <w:t>5）飞轮主设备内部零部件对灰尘、</w:t>
      </w:r>
      <w:r>
        <w:rPr>
          <w:rFonts w:hint="eastAsia"/>
          <w:sz w:val="21"/>
          <w:szCs w:val="21"/>
        </w:rPr>
        <w:t>杂质等较为敏感，施工过程中不应在设备厂家不在场的情况下擅自拆卸破坏内部清洁度，影响设备性能和寿命。</w:t>
      </w:r>
    </w:p>
    <w:p w14:paraId="55E5C2BB">
      <w:pPr>
        <w:ind w:firstLine="630" w:firstLineChars="300"/>
        <w:rPr>
          <w:rFonts w:hint="eastAsia"/>
          <w:sz w:val="21"/>
          <w:szCs w:val="21"/>
        </w:rPr>
      </w:pPr>
      <w:r>
        <w:rPr>
          <w:sz w:val="21"/>
          <w:szCs w:val="21"/>
        </w:rPr>
        <w:t>6）飞轮系统</w:t>
      </w:r>
      <w:r>
        <w:rPr>
          <w:rFonts w:hint="eastAsia"/>
          <w:sz w:val="21"/>
          <w:szCs w:val="21"/>
        </w:rPr>
        <w:t>的调试和检测环节较为复杂，需要专业的设备和技术人员进行精确的参数调整和性能测试，一般应由厂家主导完成，施工单位积极配合。</w:t>
      </w:r>
    </w:p>
    <w:p w14:paraId="6A6C5CC4">
      <w:pPr>
        <w:ind w:firstLine="630" w:firstLineChars="300"/>
        <w:rPr>
          <w:rFonts w:hint="eastAsia"/>
          <w:sz w:val="21"/>
          <w:szCs w:val="21"/>
        </w:rPr>
      </w:pPr>
      <w:r>
        <w:rPr>
          <w:sz w:val="21"/>
          <w:szCs w:val="21"/>
        </w:rPr>
        <w:t>7）飞轮主设备</w:t>
      </w:r>
      <w:r>
        <w:rPr>
          <w:rFonts w:hint="eastAsia"/>
          <w:sz w:val="21"/>
          <w:szCs w:val="21"/>
        </w:rPr>
        <w:t>在飞轮丼内安装就位后，施工单位应有在暴雨天气采取排水或防止水进入飞轮丼的措施。</w:t>
      </w:r>
    </w:p>
    <w:p w14:paraId="5A2FCD6D">
      <w:pPr>
        <w:ind w:firstLine="420" w:firstLineChars="200"/>
        <w:outlineLvl w:val="0"/>
        <w:rPr>
          <w:rFonts w:hint="eastAsia"/>
          <w:sz w:val="21"/>
          <w:szCs w:val="21"/>
        </w:rPr>
      </w:pPr>
      <w:bookmarkStart w:id="347" w:name="_Toc21768"/>
      <w:bookmarkStart w:id="348" w:name="_Toc32551"/>
      <w:r>
        <w:rPr>
          <w:sz w:val="21"/>
          <w:szCs w:val="21"/>
        </w:rPr>
        <w:t>3  压缩空气储能</w:t>
      </w:r>
      <w:bookmarkEnd w:id="347"/>
      <w:bookmarkEnd w:id="348"/>
    </w:p>
    <w:p w14:paraId="76E8C2F5">
      <w:pPr>
        <w:ind w:firstLine="630" w:firstLineChars="300"/>
        <w:rPr>
          <w:rFonts w:hint="eastAsia"/>
          <w:sz w:val="21"/>
          <w:szCs w:val="21"/>
        </w:rPr>
      </w:pPr>
      <w:r>
        <w:rPr>
          <w:sz w:val="21"/>
          <w:szCs w:val="21"/>
        </w:rPr>
        <w:t>1）施工单位及运维单位应根据</w:t>
      </w:r>
      <w:r>
        <w:rPr>
          <w:rFonts w:hint="eastAsia"/>
          <w:sz w:val="21"/>
          <w:szCs w:val="21"/>
        </w:rPr>
        <w:t>压缩空气</w:t>
      </w:r>
      <w:r>
        <w:rPr>
          <w:sz w:val="21"/>
          <w:szCs w:val="21"/>
        </w:rPr>
        <w:t>储能设备特性，针对</w:t>
      </w:r>
      <w:r>
        <w:rPr>
          <w:rFonts w:hint="eastAsia"/>
          <w:sz w:val="21"/>
          <w:szCs w:val="21"/>
        </w:rPr>
        <w:t>压缩</w:t>
      </w:r>
      <w:r>
        <w:rPr>
          <w:sz w:val="21"/>
          <w:szCs w:val="21"/>
        </w:rPr>
        <w:t>空气场站火灾、</w:t>
      </w:r>
      <w:r>
        <w:rPr>
          <w:rFonts w:hint="eastAsia"/>
          <w:sz w:val="21"/>
          <w:szCs w:val="21"/>
        </w:rPr>
        <w:t>压缩空气非正常</w:t>
      </w:r>
      <w:r>
        <w:rPr>
          <w:sz w:val="21"/>
          <w:szCs w:val="21"/>
        </w:rPr>
        <w:t>泄露等突发事故建立应急预案，并进行过每年至少1次应急演练，应有文件记录可查验，建设方和总包方应监督实施。</w:t>
      </w:r>
    </w:p>
    <w:p w14:paraId="5A8C3494">
      <w:pPr>
        <w:ind w:firstLine="630" w:firstLineChars="300"/>
        <w:outlineLvl w:val="1"/>
        <w:rPr>
          <w:rFonts w:hint="eastAsia"/>
          <w:sz w:val="21"/>
          <w:szCs w:val="21"/>
        </w:rPr>
      </w:pPr>
      <w:bookmarkStart w:id="349" w:name="_Toc5049"/>
      <w:bookmarkStart w:id="350" w:name="_Toc10533"/>
      <w:r>
        <w:rPr>
          <w:sz w:val="21"/>
          <w:szCs w:val="21"/>
        </w:rPr>
        <w:t>2）压缩空气调试阶段，人员应远离可能产生空气泄露的区域。</w:t>
      </w:r>
      <w:bookmarkEnd w:id="349"/>
      <w:bookmarkEnd w:id="350"/>
    </w:p>
    <w:p w14:paraId="4FC9EA1B">
      <w:pPr>
        <w:ind w:firstLine="630" w:firstLineChars="300"/>
        <w:rPr>
          <w:rFonts w:hint="eastAsia"/>
          <w:sz w:val="21"/>
          <w:szCs w:val="21"/>
        </w:rPr>
      </w:pPr>
      <w:r>
        <w:rPr>
          <w:sz w:val="21"/>
          <w:szCs w:val="21"/>
        </w:rPr>
        <w:t>3）施工单位在施工前应编制压缩空气储能设施安全施工专篇，对高温高压危险点等危险源识别及安全防范进行系统梳理总结，采取有效措施。</w:t>
      </w:r>
    </w:p>
    <w:p w14:paraId="1026ED92">
      <w:pPr>
        <w:ind w:firstLine="630" w:firstLineChars="300"/>
        <w:rPr>
          <w:rFonts w:hint="eastAsia"/>
          <w:sz w:val="21"/>
          <w:szCs w:val="21"/>
        </w:rPr>
      </w:pPr>
      <w:r>
        <w:rPr>
          <w:sz w:val="21"/>
          <w:szCs w:val="21"/>
        </w:rPr>
        <w:t>4）</w:t>
      </w:r>
      <w:r>
        <w:rPr>
          <w:rFonts w:hint="eastAsia"/>
          <w:sz w:val="21"/>
          <w:szCs w:val="21"/>
        </w:rPr>
        <w:t>压缩空气储能系统，对管道的密封性和耐压性要求高，安装工艺复杂，对密封材料和施工工艺要求严格。</w:t>
      </w:r>
    </w:p>
    <w:p w14:paraId="4074B2C3">
      <w:pPr>
        <w:spacing w:before="120" w:beforeLines="50" w:after="240" w:afterLines="100"/>
        <w:jc w:val="center"/>
        <w:outlineLvl w:val="2"/>
        <w:rPr>
          <w:rFonts w:hint="eastAsia"/>
          <w:sz w:val="21"/>
          <w:szCs w:val="21"/>
        </w:rPr>
      </w:pPr>
      <w:bookmarkStart w:id="351" w:name="_Toc14069"/>
      <w:r>
        <w:fldChar w:fldCharType="begin"/>
      </w:r>
      <w:r>
        <w:instrText xml:space="preserve"> HYPERLINK \l "_Toc162470926" </w:instrText>
      </w:r>
      <w:r>
        <w:fldChar w:fldCharType="separate"/>
      </w:r>
      <w:bookmarkStart w:id="352" w:name="_Toc174141249"/>
      <w:r>
        <w:rPr>
          <w:sz w:val="21"/>
          <w:szCs w:val="21"/>
        </w:rPr>
        <w:t xml:space="preserve">6.3  </w:t>
      </w:r>
      <w:r>
        <w:rPr>
          <w:rFonts w:hint="eastAsia"/>
          <w:sz w:val="21"/>
          <w:szCs w:val="21"/>
        </w:rPr>
        <w:t>资源节约</w:t>
      </w:r>
      <w:bookmarkEnd w:id="352"/>
      <w:r>
        <w:rPr>
          <w:rFonts w:hint="eastAsia"/>
          <w:sz w:val="21"/>
          <w:szCs w:val="21"/>
        </w:rPr>
        <w:fldChar w:fldCharType="end"/>
      </w:r>
      <w:bookmarkEnd w:id="351"/>
    </w:p>
    <w:p w14:paraId="57FAA992">
      <w:pPr>
        <w:spacing w:before="120" w:beforeLines="50" w:after="240" w:afterLines="100"/>
        <w:jc w:val="center"/>
        <w:rPr>
          <w:rFonts w:hint="eastAsia"/>
          <w:sz w:val="21"/>
          <w:szCs w:val="21"/>
        </w:rPr>
      </w:pPr>
      <w:r>
        <w:rPr>
          <w:rFonts w:hint="eastAsia"/>
          <w:sz w:val="21"/>
          <w:szCs w:val="21"/>
        </w:rPr>
        <w:t>Ⅰ</w:t>
      </w:r>
      <w:r>
        <w:rPr>
          <w:sz w:val="21"/>
          <w:szCs w:val="21"/>
        </w:rPr>
        <w:t xml:space="preserve">  </w:t>
      </w:r>
      <w:r>
        <w:fldChar w:fldCharType="begin"/>
      </w:r>
      <w:r>
        <w:instrText xml:space="preserve"> HYPERLINK \l "_Toc162470927" </w:instrText>
      </w:r>
      <w:r>
        <w:fldChar w:fldCharType="separate"/>
      </w:r>
      <w:r>
        <w:rPr>
          <w:rFonts w:hint="eastAsia"/>
          <w:sz w:val="21"/>
          <w:szCs w:val="21"/>
        </w:rPr>
        <w:t>材料节约与循环利用</w:t>
      </w:r>
      <w:r>
        <w:rPr>
          <w:rFonts w:hint="eastAsia"/>
          <w:sz w:val="21"/>
          <w:szCs w:val="21"/>
        </w:rPr>
        <w:fldChar w:fldCharType="end"/>
      </w:r>
    </w:p>
    <w:p w14:paraId="464831DC">
      <w:pPr>
        <w:widowControl w:val="0"/>
        <w:adjustRightInd w:val="0"/>
        <w:snapToGrid w:val="0"/>
        <w:rPr>
          <w:rFonts w:hint="eastAsia"/>
          <w:sz w:val="21"/>
          <w:szCs w:val="21"/>
        </w:rPr>
      </w:pPr>
      <w:r>
        <w:fldChar w:fldCharType="begin"/>
      </w:r>
      <w:r>
        <w:instrText xml:space="preserve"> HYPERLINK \l "_Toc162470928" </w:instrText>
      </w:r>
      <w:r>
        <w:fldChar w:fldCharType="separate"/>
      </w:r>
      <w:r>
        <w:rPr>
          <w:sz w:val="21"/>
          <w:szCs w:val="21"/>
        </w:rPr>
        <w:t xml:space="preserve">6.3.1  </w:t>
      </w:r>
      <w:r>
        <w:fldChar w:fldCharType="begin"/>
      </w:r>
      <w:r>
        <w:instrText xml:space="preserve"> HYPERLINK \l "_Toc162470927" </w:instrText>
      </w:r>
      <w:r>
        <w:fldChar w:fldCharType="separate"/>
      </w:r>
      <w:r>
        <w:rPr>
          <w:rFonts w:hint="eastAsia"/>
          <w:sz w:val="21"/>
          <w:szCs w:val="21"/>
        </w:rPr>
        <w:t>材料节约与循环利用</w:t>
      </w:r>
      <w:r>
        <w:rPr>
          <w:rFonts w:hint="eastAsia"/>
          <w:sz w:val="21"/>
          <w:szCs w:val="21"/>
        </w:rPr>
        <w:fldChar w:fldCharType="end"/>
      </w:r>
      <w:r>
        <w:rPr>
          <w:rFonts w:hint="eastAsia"/>
          <w:sz w:val="21"/>
          <w:szCs w:val="21"/>
        </w:rPr>
        <w:t>通用项</w:t>
      </w:r>
      <w:r>
        <w:rPr>
          <w:rFonts w:hint="eastAsia"/>
          <w:sz w:val="21"/>
          <w:szCs w:val="21"/>
        </w:rPr>
        <w:fldChar w:fldCharType="end"/>
      </w:r>
      <w:r>
        <w:rPr>
          <w:rFonts w:hint="eastAsia"/>
          <w:sz w:val="21"/>
          <w:szCs w:val="21"/>
        </w:rPr>
        <w:t>评价包括以下内容：</w:t>
      </w:r>
      <w:r>
        <w:rPr>
          <w:sz w:val="21"/>
          <w:szCs w:val="21"/>
        </w:rPr>
        <w:t xml:space="preserve"> </w:t>
      </w:r>
    </w:p>
    <w:p w14:paraId="5AADAD5F">
      <w:pPr>
        <w:widowControl w:val="0"/>
        <w:adjustRightInd w:val="0"/>
        <w:snapToGrid w:val="0"/>
        <w:ind w:firstLine="420" w:firstLineChars="200"/>
        <w:outlineLvl w:val="0"/>
        <w:rPr>
          <w:rFonts w:hint="eastAsia"/>
          <w:sz w:val="21"/>
          <w:szCs w:val="21"/>
        </w:rPr>
      </w:pPr>
      <w:bookmarkStart w:id="353" w:name="_Toc11078"/>
      <w:bookmarkStart w:id="354" w:name="_Toc26044"/>
      <w:r>
        <w:rPr>
          <w:sz w:val="21"/>
          <w:szCs w:val="21"/>
        </w:rPr>
        <w:t>1  材料节约措施</w:t>
      </w:r>
      <w:bookmarkEnd w:id="353"/>
      <w:bookmarkEnd w:id="354"/>
    </w:p>
    <w:p w14:paraId="53E0F74B">
      <w:pPr>
        <w:widowControl w:val="0"/>
        <w:adjustRightInd w:val="0"/>
        <w:snapToGrid w:val="0"/>
        <w:ind w:firstLine="630" w:firstLineChars="300"/>
        <w:rPr>
          <w:rFonts w:hint="eastAsia"/>
          <w:sz w:val="21"/>
          <w:szCs w:val="21"/>
        </w:rPr>
      </w:pPr>
      <w:r>
        <w:rPr>
          <w:sz w:val="21"/>
          <w:szCs w:val="21"/>
        </w:rPr>
        <w:t>1）材料选用应科学合理。应优先选用绿色、环保材料，宜优先选用建筑垃圾制作的材料。</w:t>
      </w:r>
    </w:p>
    <w:p w14:paraId="787BD3A8">
      <w:pPr>
        <w:widowControl w:val="0"/>
        <w:adjustRightInd w:val="0"/>
        <w:snapToGrid w:val="0"/>
        <w:ind w:firstLine="630" w:firstLineChars="300"/>
        <w:rPr>
          <w:rFonts w:hint="eastAsia"/>
          <w:sz w:val="21"/>
          <w:szCs w:val="21"/>
        </w:rPr>
      </w:pPr>
      <w:r>
        <w:rPr>
          <w:sz w:val="21"/>
          <w:szCs w:val="21"/>
        </w:rPr>
        <w:t>2）制定合理的材料进场计划，精细化材料进场及仓储管理。应根据工程施工进度，合理安排材料采购、进场的时间和批次；应制定并严格执行材料领用</w:t>
      </w:r>
      <w:r>
        <w:rPr>
          <w:rFonts w:hint="eastAsia"/>
          <w:sz w:val="21"/>
          <w:szCs w:val="21"/>
        </w:rPr>
        <w:t>制度</w:t>
      </w:r>
      <w:r>
        <w:rPr>
          <w:sz w:val="21"/>
          <w:szCs w:val="21"/>
        </w:rPr>
        <w:t>，教育</w:t>
      </w:r>
      <w:r>
        <w:rPr>
          <w:rFonts w:hint="eastAsia"/>
          <w:sz w:val="21"/>
          <w:szCs w:val="21"/>
        </w:rPr>
        <w:t>并监督</w:t>
      </w:r>
      <w:r>
        <w:rPr>
          <w:sz w:val="21"/>
          <w:szCs w:val="21"/>
        </w:rPr>
        <w:t>施工人员正确合理使用材料。</w:t>
      </w:r>
    </w:p>
    <w:p w14:paraId="4173C4F3">
      <w:pPr>
        <w:widowControl w:val="0"/>
        <w:adjustRightInd w:val="0"/>
        <w:snapToGrid w:val="0"/>
        <w:ind w:firstLine="630" w:firstLineChars="300"/>
        <w:outlineLvl w:val="1"/>
        <w:rPr>
          <w:rFonts w:hint="eastAsia"/>
          <w:sz w:val="21"/>
          <w:szCs w:val="21"/>
        </w:rPr>
      </w:pPr>
      <w:bookmarkStart w:id="355" w:name="_Toc117"/>
      <w:bookmarkStart w:id="356" w:name="_Toc21170"/>
      <w:r>
        <w:rPr>
          <w:sz w:val="21"/>
          <w:szCs w:val="21"/>
        </w:rPr>
        <w:t>3）制定材料节约技术方案及措施。</w:t>
      </w:r>
      <w:bookmarkEnd w:id="355"/>
      <w:bookmarkEnd w:id="356"/>
    </w:p>
    <w:p w14:paraId="11576DEE">
      <w:pPr>
        <w:widowControl w:val="0"/>
        <w:adjustRightInd w:val="0"/>
        <w:snapToGrid w:val="0"/>
        <w:ind w:firstLine="630" w:firstLineChars="300"/>
        <w:rPr>
          <w:rFonts w:hint="eastAsia"/>
          <w:sz w:val="21"/>
          <w:szCs w:val="21"/>
        </w:rPr>
      </w:pPr>
      <w:r>
        <w:rPr>
          <w:sz w:val="21"/>
          <w:szCs w:val="21"/>
        </w:rPr>
        <w:t>4）优化材料的配料、下料方案，材料节约量应比定额损耗量低30%。</w:t>
      </w:r>
    </w:p>
    <w:p w14:paraId="6220FA28">
      <w:pPr>
        <w:widowControl w:val="0"/>
        <w:adjustRightInd w:val="0"/>
        <w:snapToGrid w:val="0"/>
        <w:ind w:firstLine="420" w:firstLineChars="200"/>
        <w:outlineLvl w:val="0"/>
        <w:rPr>
          <w:rFonts w:hint="eastAsia"/>
          <w:sz w:val="21"/>
          <w:szCs w:val="21"/>
        </w:rPr>
      </w:pPr>
      <w:bookmarkStart w:id="357" w:name="_Toc17912"/>
      <w:bookmarkStart w:id="358" w:name="_Toc27728"/>
      <w:r>
        <w:rPr>
          <w:sz w:val="21"/>
          <w:szCs w:val="21"/>
        </w:rPr>
        <w:t>2  材料循环再利用措施</w:t>
      </w:r>
      <w:bookmarkEnd w:id="357"/>
      <w:bookmarkEnd w:id="358"/>
    </w:p>
    <w:p w14:paraId="2629C14D">
      <w:pPr>
        <w:widowControl w:val="0"/>
        <w:adjustRightInd w:val="0"/>
        <w:snapToGrid w:val="0"/>
        <w:ind w:firstLine="630" w:firstLineChars="300"/>
        <w:rPr>
          <w:rFonts w:hint="eastAsia"/>
          <w:sz w:val="21"/>
          <w:szCs w:val="21"/>
        </w:rPr>
      </w:pPr>
      <w:r>
        <w:rPr>
          <w:sz w:val="21"/>
          <w:szCs w:val="21"/>
        </w:rPr>
        <w:t>1）选用耐用、维护与拆卸方便的周转材料，选用可重复使用的材料比重应大于70%</w:t>
      </w:r>
      <w:r>
        <w:rPr>
          <w:rFonts w:hint="eastAsia"/>
          <w:sz w:val="21"/>
          <w:szCs w:val="21"/>
        </w:rPr>
        <w:t>。</w:t>
      </w:r>
    </w:p>
    <w:p w14:paraId="2AE9689D">
      <w:pPr>
        <w:widowControl w:val="0"/>
        <w:adjustRightInd w:val="0"/>
        <w:snapToGrid w:val="0"/>
        <w:ind w:firstLine="630" w:firstLineChars="300"/>
        <w:rPr>
          <w:rFonts w:hint="eastAsia"/>
          <w:sz w:val="21"/>
          <w:szCs w:val="21"/>
        </w:rPr>
      </w:pPr>
      <w:r>
        <w:rPr>
          <w:sz w:val="21"/>
          <w:szCs w:val="21"/>
        </w:rPr>
        <w:t>2）应选用可重复周转使用的模板、脚手架等材料。</w:t>
      </w:r>
    </w:p>
    <w:p w14:paraId="575F0701">
      <w:pPr>
        <w:widowControl w:val="0"/>
        <w:adjustRightInd w:val="0"/>
        <w:snapToGrid w:val="0"/>
        <w:ind w:firstLine="630" w:firstLineChars="300"/>
        <w:rPr>
          <w:rFonts w:hint="eastAsia"/>
          <w:sz w:val="21"/>
          <w:szCs w:val="21"/>
        </w:rPr>
      </w:pPr>
      <w:r>
        <w:rPr>
          <w:sz w:val="21"/>
          <w:szCs w:val="21"/>
        </w:rPr>
        <w:t>3）办公、生活区</w:t>
      </w:r>
      <w:r>
        <w:rPr>
          <w:rFonts w:hint="eastAsia"/>
          <w:sz w:val="21"/>
          <w:szCs w:val="21"/>
        </w:rPr>
        <w:t>临建设施宜预制装配化。</w:t>
      </w:r>
    </w:p>
    <w:p w14:paraId="739CA580">
      <w:pPr>
        <w:widowControl w:val="0"/>
        <w:adjustRightInd w:val="0"/>
        <w:snapToGrid w:val="0"/>
        <w:ind w:firstLine="630" w:firstLineChars="300"/>
        <w:rPr>
          <w:rFonts w:hint="eastAsia"/>
          <w:sz w:val="21"/>
          <w:szCs w:val="21"/>
        </w:rPr>
      </w:pPr>
      <w:r>
        <w:rPr>
          <w:sz w:val="21"/>
          <w:szCs w:val="21"/>
        </w:rPr>
        <w:t>4）安全文明施工及防护设施应采用可回收材料制作，实现标准化、可拆迁重复利用。</w:t>
      </w:r>
    </w:p>
    <w:p w14:paraId="5B860E2B">
      <w:pPr>
        <w:widowControl w:val="0"/>
        <w:adjustRightInd w:val="0"/>
        <w:snapToGrid w:val="0"/>
        <w:ind w:firstLine="630" w:firstLineChars="300"/>
        <w:rPr>
          <w:rFonts w:hint="eastAsia"/>
          <w:sz w:val="21"/>
          <w:szCs w:val="21"/>
        </w:rPr>
      </w:pPr>
      <w:r>
        <w:rPr>
          <w:sz w:val="21"/>
          <w:szCs w:val="21"/>
        </w:rPr>
        <w:t>5）保温防腐材料</w:t>
      </w:r>
      <w:r>
        <w:rPr>
          <w:rFonts w:hint="eastAsia"/>
          <w:sz w:val="21"/>
          <w:szCs w:val="21"/>
        </w:rPr>
        <w:t>应</w:t>
      </w:r>
      <w:r>
        <w:rPr>
          <w:sz w:val="21"/>
          <w:szCs w:val="21"/>
        </w:rPr>
        <w:t>合理安排进厂次序，限额领料；充分利用保温边角料，降低材料损耗</w:t>
      </w:r>
      <w:r>
        <w:rPr>
          <w:rFonts w:hint="eastAsia"/>
          <w:sz w:val="21"/>
          <w:szCs w:val="21"/>
        </w:rPr>
        <w:t>；现场成品</w:t>
      </w:r>
      <w:r>
        <w:rPr>
          <w:sz w:val="21"/>
          <w:szCs w:val="21"/>
        </w:rPr>
        <w:t>保温防腐材料</w:t>
      </w:r>
      <w:r>
        <w:rPr>
          <w:rFonts w:hint="eastAsia"/>
          <w:sz w:val="21"/>
          <w:szCs w:val="21"/>
        </w:rPr>
        <w:t>应有完善的成品保护措施，避免二次污染与破坏造成返工。</w:t>
      </w:r>
    </w:p>
    <w:p w14:paraId="40DA6C66">
      <w:pPr>
        <w:widowControl w:val="0"/>
        <w:adjustRightInd w:val="0"/>
        <w:snapToGrid w:val="0"/>
        <w:ind w:firstLine="630" w:firstLineChars="300"/>
        <w:rPr>
          <w:rFonts w:hint="eastAsia"/>
          <w:sz w:val="21"/>
          <w:szCs w:val="21"/>
        </w:rPr>
      </w:pPr>
      <w:r>
        <w:rPr>
          <w:sz w:val="21"/>
          <w:szCs w:val="21"/>
        </w:rPr>
        <w:t>6）采用可移动、可重复利用的活动电源盘基础底座，并利用废旧模板刷漆作为基础平面。移动式电源盘基础可实现快速移位，一次投入，重复循环利用。</w:t>
      </w:r>
    </w:p>
    <w:p w14:paraId="167D6AA9">
      <w:pPr>
        <w:widowControl w:val="0"/>
        <w:adjustRightInd w:val="0"/>
        <w:snapToGrid w:val="0"/>
        <w:ind w:firstLine="630" w:firstLineChars="300"/>
        <w:rPr>
          <w:rFonts w:hint="eastAsia"/>
          <w:sz w:val="21"/>
          <w:szCs w:val="21"/>
        </w:rPr>
      </w:pPr>
      <w:r>
        <w:rPr>
          <w:sz w:val="21"/>
          <w:szCs w:val="21"/>
        </w:rPr>
        <w:t>7）</w:t>
      </w:r>
      <w:r>
        <w:rPr>
          <w:rFonts w:hint="eastAsia"/>
          <w:sz w:val="21"/>
          <w:szCs w:val="21"/>
        </w:rPr>
        <w:t>现场钢材、木材、管材等边角料</w:t>
      </w:r>
      <w:r>
        <w:rPr>
          <w:sz w:val="21"/>
          <w:szCs w:val="21"/>
        </w:rPr>
        <w:t>集中</w:t>
      </w:r>
      <w:r>
        <w:rPr>
          <w:rFonts w:hint="eastAsia"/>
          <w:sz w:val="21"/>
          <w:szCs w:val="21"/>
        </w:rPr>
        <w:t>分类</w:t>
      </w:r>
      <w:r>
        <w:rPr>
          <w:sz w:val="21"/>
          <w:szCs w:val="21"/>
        </w:rPr>
        <w:t>管理，</w:t>
      </w:r>
      <w:r>
        <w:rPr>
          <w:rFonts w:hint="eastAsia"/>
          <w:sz w:val="21"/>
          <w:szCs w:val="21"/>
        </w:rPr>
        <w:t>根据材料特点及现场实际</w:t>
      </w:r>
      <w:r>
        <w:rPr>
          <w:sz w:val="21"/>
          <w:szCs w:val="21"/>
        </w:rPr>
        <w:t>回收后二次利用。</w:t>
      </w:r>
    </w:p>
    <w:p w14:paraId="6471948F">
      <w:pPr>
        <w:widowControl w:val="0"/>
        <w:adjustRightInd w:val="0"/>
        <w:snapToGrid w:val="0"/>
        <w:ind w:firstLine="630" w:firstLineChars="300"/>
        <w:rPr>
          <w:rFonts w:hint="eastAsia"/>
          <w:sz w:val="21"/>
          <w:szCs w:val="21"/>
        </w:rPr>
      </w:pPr>
      <w:r>
        <w:rPr>
          <w:sz w:val="21"/>
          <w:szCs w:val="21"/>
        </w:rPr>
        <w:t>8）钢筋、管道等焊接作业，可利用废旧模板设置维护挡板；大钢结构焊接区域宜搭设简易可移动支架，并悬挂防火帆布，支架可拆卸循环利用。</w:t>
      </w:r>
    </w:p>
    <w:p w14:paraId="745D1081">
      <w:pPr>
        <w:widowControl w:val="0"/>
        <w:adjustRightInd w:val="0"/>
        <w:snapToGrid w:val="0"/>
        <w:ind w:firstLine="630" w:firstLineChars="300"/>
        <w:rPr>
          <w:rFonts w:hint="eastAsia"/>
          <w:sz w:val="21"/>
          <w:szCs w:val="21"/>
        </w:rPr>
      </w:pPr>
      <w:r>
        <w:rPr>
          <w:sz w:val="21"/>
          <w:szCs w:val="21"/>
        </w:rPr>
        <w:t>9）施工现场的木工加工场、钢筋加工场等采用工具式型钢、钢管脚手架、模板等周转设备料搭设</w:t>
      </w:r>
      <w:r>
        <w:rPr>
          <w:rFonts w:hint="eastAsia"/>
          <w:sz w:val="21"/>
          <w:szCs w:val="21"/>
        </w:rPr>
        <w:t>，</w:t>
      </w:r>
      <w:r>
        <w:rPr>
          <w:sz w:val="21"/>
          <w:szCs w:val="21"/>
        </w:rPr>
        <w:t>做到可重复利用，减少一次性物资投入。</w:t>
      </w:r>
    </w:p>
    <w:p w14:paraId="314F2DE9">
      <w:pPr>
        <w:widowControl w:val="0"/>
        <w:adjustRightInd w:val="0"/>
        <w:snapToGrid w:val="0"/>
        <w:rPr>
          <w:rFonts w:hint="eastAsia"/>
          <w:sz w:val="21"/>
          <w:szCs w:val="21"/>
        </w:rPr>
      </w:pPr>
      <w:r>
        <w:fldChar w:fldCharType="begin"/>
      </w:r>
      <w:r>
        <w:instrText xml:space="preserve"> HYPERLINK \l "_Toc162470929" </w:instrText>
      </w:r>
      <w:r>
        <w:fldChar w:fldCharType="separate"/>
      </w:r>
      <w:r>
        <w:rPr>
          <w:sz w:val="21"/>
          <w:szCs w:val="21"/>
        </w:rPr>
        <w:t>6.3.2  火电</w:t>
      </w:r>
      <w:r>
        <w:rPr>
          <w:rFonts w:hint="eastAsia"/>
          <w:sz w:val="21"/>
          <w:szCs w:val="21"/>
        </w:rPr>
        <w:t>工程</w:t>
      </w:r>
      <w:r>
        <w:fldChar w:fldCharType="begin"/>
      </w:r>
      <w:r>
        <w:instrText xml:space="preserve"> HYPERLINK \l "_Toc162470927" </w:instrText>
      </w:r>
      <w:r>
        <w:fldChar w:fldCharType="separate"/>
      </w:r>
      <w:r>
        <w:rPr>
          <w:rFonts w:hint="eastAsia"/>
          <w:sz w:val="21"/>
          <w:szCs w:val="21"/>
        </w:rPr>
        <w:t>材料节约与循环利用</w:t>
      </w:r>
      <w:r>
        <w:rPr>
          <w:rFonts w:hint="eastAsia"/>
          <w:sz w:val="21"/>
          <w:szCs w:val="21"/>
        </w:rPr>
        <w:fldChar w:fldCharType="end"/>
      </w:r>
      <w:r>
        <w:rPr>
          <w:rFonts w:hint="eastAsia"/>
          <w:sz w:val="21"/>
          <w:szCs w:val="21"/>
        </w:rPr>
        <w:t>专用项评价包括以下内容：</w:t>
      </w:r>
      <w:r>
        <w:rPr>
          <w:rFonts w:hint="eastAsia"/>
          <w:sz w:val="21"/>
          <w:szCs w:val="21"/>
        </w:rPr>
        <w:fldChar w:fldCharType="end"/>
      </w:r>
      <w:r>
        <w:rPr>
          <w:sz w:val="21"/>
          <w:szCs w:val="21"/>
        </w:rPr>
        <w:t xml:space="preserve"> </w:t>
      </w:r>
    </w:p>
    <w:p w14:paraId="45A0FFA9">
      <w:pPr>
        <w:widowControl w:val="0"/>
        <w:adjustRightInd w:val="0"/>
        <w:snapToGrid w:val="0"/>
        <w:ind w:firstLine="420" w:firstLineChars="200"/>
        <w:outlineLvl w:val="0"/>
        <w:rPr>
          <w:rFonts w:hint="eastAsia"/>
          <w:sz w:val="21"/>
          <w:szCs w:val="21"/>
        </w:rPr>
      </w:pPr>
      <w:bookmarkStart w:id="359" w:name="_Toc21487"/>
      <w:bookmarkStart w:id="360" w:name="_Toc25572"/>
      <w:r>
        <w:rPr>
          <w:sz w:val="21"/>
          <w:szCs w:val="21"/>
        </w:rPr>
        <w:t>1  燃煤发电工程</w:t>
      </w:r>
      <w:bookmarkEnd w:id="359"/>
      <w:bookmarkEnd w:id="360"/>
    </w:p>
    <w:p w14:paraId="4C7CE331">
      <w:pPr>
        <w:widowControl w:val="0"/>
        <w:adjustRightInd w:val="0"/>
        <w:snapToGrid w:val="0"/>
        <w:ind w:firstLine="630" w:firstLineChars="300"/>
        <w:rPr>
          <w:rFonts w:hint="eastAsia"/>
          <w:sz w:val="21"/>
          <w:szCs w:val="21"/>
        </w:rPr>
      </w:pPr>
      <w:r>
        <w:rPr>
          <w:sz w:val="21"/>
          <w:szCs w:val="21"/>
        </w:rPr>
        <w:t>1）锅炉钢架、烟风道、四大管道及中低压管道采用工厂制作、现场拼装的方式</w:t>
      </w:r>
      <w:r>
        <w:rPr>
          <w:rFonts w:hint="eastAsia"/>
          <w:sz w:val="21"/>
          <w:szCs w:val="21"/>
        </w:rPr>
        <w:t>，钢结构安装</w:t>
      </w:r>
      <w:r>
        <w:rPr>
          <w:sz w:val="21"/>
          <w:szCs w:val="21"/>
        </w:rPr>
        <w:t>采用分段吊装</w:t>
      </w:r>
      <w:r>
        <w:rPr>
          <w:rFonts w:hint="eastAsia"/>
          <w:sz w:val="21"/>
          <w:szCs w:val="21"/>
        </w:rPr>
        <w:t>、</w:t>
      </w:r>
      <w:r>
        <w:rPr>
          <w:sz w:val="21"/>
          <w:szCs w:val="21"/>
        </w:rPr>
        <w:t>整体提升</w:t>
      </w:r>
      <w:r>
        <w:rPr>
          <w:rFonts w:hint="eastAsia"/>
          <w:sz w:val="21"/>
          <w:szCs w:val="21"/>
        </w:rPr>
        <w:t>、</w:t>
      </w:r>
      <w:r>
        <w:rPr>
          <w:sz w:val="21"/>
          <w:szCs w:val="21"/>
        </w:rPr>
        <w:t>滑移、顶升等安装方法，减少措施</w:t>
      </w:r>
      <w:r>
        <w:rPr>
          <w:rFonts w:hint="eastAsia"/>
          <w:sz w:val="21"/>
          <w:szCs w:val="21"/>
        </w:rPr>
        <w:t>性钢材</w:t>
      </w:r>
      <w:r>
        <w:rPr>
          <w:sz w:val="21"/>
          <w:szCs w:val="21"/>
        </w:rPr>
        <w:t>用量</w:t>
      </w:r>
      <w:r>
        <w:rPr>
          <w:rFonts w:hint="eastAsia"/>
          <w:sz w:val="21"/>
          <w:szCs w:val="21"/>
        </w:rPr>
        <w:t>。</w:t>
      </w:r>
    </w:p>
    <w:p w14:paraId="6E249EBF">
      <w:pPr>
        <w:widowControl w:val="0"/>
        <w:adjustRightInd w:val="0"/>
        <w:snapToGrid w:val="0"/>
        <w:ind w:firstLine="630" w:firstLineChars="300"/>
        <w:rPr>
          <w:rFonts w:hint="eastAsia"/>
          <w:sz w:val="21"/>
          <w:szCs w:val="21"/>
        </w:rPr>
      </w:pPr>
      <w:r>
        <w:rPr>
          <w:sz w:val="21"/>
          <w:szCs w:val="21"/>
        </w:rPr>
        <w:t>2</w:t>
      </w:r>
      <w:r>
        <w:rPr>
          <w:rFonts w:hint="eastAsia"/>
          <w:sz w:val="21"/>
          <w:szCs w:val="21"/>
        </w:rPr>
        <w:t>）</w:t>
      </w:r>
      <w:r>
        <w:rPr>
          <w:sz w:val="21"/>
          <w:szCs w:val="21"/>
        </w:rPr>
        <w:t>锅炉本体管排等组合时，合理安排组合顺序，充分利用场地,提高场地使用效率，减少组合支架钢材的使用量。</w:t>
      </w:r>
    </w:p>
    <w:p w14:paraId="0DEAFE53">
      <w:pPr>
        <w:widowControl w:val="0"/>
        <w:adjustRightInd w:val="0"/>
        <w:snapToGrid w:val="0"/>
        <w:ind w:firstLine="630" w:firstLineChars="300"/>
        <w:rPr>
          <w:rFonts w:hint="eastAsia"/>
          <w:sz w:val="21"/>
          <w:szCs w:val="21"/>
        </w:rPr>
      </w:pPr>
      <w:r>
        <w:rPr>
          <w:sz w:val="21"/>
          <w:szCs w:val="21"/>
        </w:rPr>
        <w:t>3）循环水管</w:t>
      </w:r>
      <w:r>
        <w:rPr>
          <w:rFonts w:hint="eastAsia"/>
          <w:sz w:val="21"/>
          <w:szCs w:val="21"/>
        </w:rPr>
        <w:t>道</w:t>
      </w:r>
      <w:r>
        <w:rPr>
          <w:sz w:val="21"/>
          <w:szCs w:val="21"/>
        </w:rPr>
        <w:t>对口、焊接时，</w:t>
      </w:r>
      <w:r>
        <w:rPr>
          <w:rFonts w:hint="eastAsia"/>
          <w:sz w:val="21"/>
          <w:szCs w:val="21"/>
        </w:rPr>
        <w:t>采用</w:t>
      </w:r>
      <w:r>
        <w:rPr>
          <w:sz w:val="21"/>
          <w:szCs w:val="21"/>
        </w:rPr>
        <w:t>管道对口一体化装置</w:t>
      </w:r>
      <w:r>
        <w:rPr>
          <w:rFonts w:hint="eastAsia"/>
          <w:sz w:val="21"/>
          <w:szCs w:val="21"/>
        </w:rPr>
        <w:t>，减少</w:t>
      </w:r>
      <w:r>
        <w:rPr>
          <w:sz w:val="21"/>
          <w:szCs w:val="21"/>
        </w:rPr>
        <w:t>人工、</w:t>
      </w:r>
      <w:r>
        <w:rPr>
          <w:rFonts w:hint="eastAsia"/>
          <w:sz w:val="21"/>
          <w:szCs w:val="21"/>
        </w:rPr>
        <w:t>周转性</w:t>
      </w:r>
      <w:r>
        <w:rPr>
          <w:sz w:val="21"/>
          <w:szCs w:val="21"/>
        </w:rPr>
        <w:t>材料</w:t>
      </w:r>
      <w:r>
        <w:rPr>
          <w:rFonts w:hint="eastAsia"/>
          <w:sz w:val="21"/>
          <w:szCs w:val="21"/>
        </w:rPr>
        <w:t>投入</w:t>
      </w:r>
      <w:r>
        <w:rPr>
          <w:sz w:val="21"/>
          <w:szCs w:val="21"/>
        </w:rPr>
        <w:t>。</w:t>
      </w:r>
    </w:p>
    <w:p w14:paraId="0B2B703A">
      <w:pPr>
        <w:widowControl w:val="0"/>
        <w:adjustRightInd w:val="0"/>
        <w:snapToGrid w:val="0"/>
        <w:ind w:firstLine="630" w:firstLineChars="300"/>
        <w:rPr>
          <w:rFonts w:hint="eastAsia"/>
          <w:sz w:val="21"/>
          <w:szCs w:val="21"/>
        </w:rPr>
      </w:pPr>
      <w:r>
        <w:rPr>
          <w:sz w:val="21"/>
          <w:szCs w:val="21"/>
        </w:rPr>
        <w:t>4）烟风道制作时，应提前绘图策划，优化设计，减少制作材料的使用。</w:t>
      </w:r>
    </w:p>
    <w:p w14:paraId="1C7D0BC8">
      <w:pPr>
        <w:widowControl w:val="0"/>
        <w:adjustRightInd w:val="0"/>
        <w:snapToGrid w:val="0"/>
        <w:ind w:firstLine="630" w:firstLineChars="300"/>
        <w:rPr>
          <w:rFonts w:hint="eastAsia"/>
          <w:sz w:val="21"/>
          <w:szCs w:val="21"/>
        </w:rPr>
      </w:pPr>
      <w:r>
        <w:rPr>
          <w:sz w:val="21"/>
          <w:szCs w:val="21"/>
        </w:rPr>
        <w:t>5）根据相关图纸和实际情况，对疏放水管道、取样管道</w:t>
      </w:r>
      <w:r>
        <w:rPr>
          <w:rFonts w:hint="eastAsia"/>
          <w:sz w:val="21"/>
          <w:szCs w:val="21"/>
        </w:rPr>
        <w:t>、</w:t>
      </w:r>
      <w:r>
        <w:rPr>
          <w:sz w:val="21"/>
          <w:szCs w:val="21"/>
        </w:rPr>
        <w:t>放空气管道做</w:t>
      </w:r>
      <w:r>
        <w:rPr>
          <w:rFonts w:hint="eastAsia"/>
          <w:sz w:val="21"/>
          <w:szCs w:val="21"/>
        </w:rPr>
        <w:t>优化设计，</w:t>
      </w:r>
      <w:r>
        <w:rPr>
          <w:sz w:val="21"/>
          <w:szCs w:val="21"/>
        </w:rPr>
        <w:t>集中布置</w:t>
      </w:r>
      <w:r>
        <w:rPr>
          <w:rFonts w:hint="eastAsia"/>
          <w:sz w:val="21"/>
          <w:szCs w:val="21"/>
        </w:rPr>
        <w:t>，减少材料用量。</w:t>
      </w:r>
    </w:p>
    <w:p w14:paraId="0439BFAB">
      <w:pPr>
        <w:widowControl w:val="0"/>
        <w:adjustRightInd w:val="0"/>
        <w:snapToGrid w:val="0"/>
        <w:ind w:firstLine="630" w:firstLineChars="300"/>
        <w:rPr>
          <w:rFonts w:hint="eastAsia"/>
          <w:sz w:val="21"/>
          <w:szCs w:val="21"/>
        </w:rPr>
      </w:pPr>
      <w:r>
        <w:rPr>
          <w:sz w:val="21"/>
          <w:szCs w:val="21"/>
        </w:rPr>
        <w:t>6）除氧器等大型设备安装拖运就位</w:t>
      </w:r>
      <w:r>
        <w:rPr>
          <w:rFonts w:hint="eastAsia"/>
          <w:sz w:val="21"/>
          <w:szCs w:val="21"/>
        </w:rPr>
        <w:t>时利用过轨吊轨道作为拖运轨道，减少措施性材料的投入。</w:t>
      </w:r>
    </w:p>
    <w:p w14:paraId="367AA597">
      <w:pPr>
        <w:widowControl w:val="0"/>
        <w:adjustRightInd w:val="0"/>
        <w:snapToGrid w:val="0"/>
        <w:ind w:firstLine="420" w:firstLineChars="200"/>
        <w:outlineLvl w:val="0"/>
        <w:rPr>
          <w:rFonts w:hint="eastAsia"/>
          <w:sz w:val="21"/>
          <w:szCs w:val="21"/>
        </w:rPr>
      </w:pPr>
      <w:bookmarkStart w:id="361" w:name="_Toc17783"/>
      <w:bookmarkStart w:id="362" w:name="_Toc15886"/>
      <w:r>
        <w:rPr>
          <w:sz w:val="21"/>
          <w:szCs w:val="21"/>
        </w:rPr>
        <w:t>2  燃气蒸汽联合循环</w:t>
      </w:r>
      <w:r>
        <w:rPr>
          <w:rFonts w:hint="eastAsia"/>
          <w:sz w:val="21"/>
          <w:szCs w:val="21"/>
        </w:rPr>
        <w:t>发电工程</w:t>
      </w:r>
      <w:bookmarkEnd w:id="361"/>
      <w:bookmarkEnd w:id="362"/>
    </w:p>
    <w:p w14:paraId="1A2F5A9D">
      <w:pPr>
        <w:widowControl w:val="0"/>
        <w:adjustRightInd w:val="0"/>
        <w:snapToGrid w:val="0"/>
        <w:ind w:firstLine="630" w:firstLineChars="300"/>
        <w:rPr>
          <w:rFonts w:hint="eastAsia"/>
          <w:sz w:val="21"/>
          <w:szCs w:val="21"/>
        </w:rPr>
      </w:pPr>
      <w:r>
        <w:rPr>
          <w:sz w:val="21"/>
          <w:szCs w:val="21"/>
        </w:rPr>
        <w:t>1）燃气蒸汽联合循环</w:t>
      </w:r>
      <w:r>
        <w:rPr>
          <w:rFonts w:hint="eastAsia"/>
          <w:sz w:val="21"/>
          <w:szCs w:val="21"/>
        </w:rPr>
        <w:t>发电工程专用项评价可执行燃煤发电工程</w:t>
      </w:r>
      <w:r>
        <w:rPr>
          <w:sz w:val="21"/>
          <w:szCs w:val="21"/>
        </w:rPr>
        <w:t>1）-5）条。</w:t>
      </w:r>
    </w:p>
    <w:p w14:paraId="25B3FAD3">
      <w:pPr>
        <w:widowControl w:val="0"/>
        <w:adjustRightInd w:val="0"/>
        <w:snapToGrid w:val="0"/>
        <w:ind w:firstLine="420" w:firstLineChars="200"/>
        <w:outlineLvl w:val="0"/>
        <w:rPr>
          <w:rFonts w:hint="eastAsia"/>
          <w:sz w:val="21"/>
          <w:szCs w:val="21"/>
        </w:rPr>
      </w:pPr>
      <w:bookmarkStart w:id="363" w:name="_Toc14792"/>
      <w:bookmarkStart w:id="364" w:name="_Toc590"/>
      <w:r>
        <w:rPr>
          <w:sz w:val="21"/>
          <w:szCs w:val="21"/>
        </w:rPr>
        <w:t>3  垃圾焚烧发电</w:t>
      </w:r>
      <w:r>
        <w:rPr>
          <w:rFonts w:hint="eastAsia"/>
          <w:sz w:val="21"/>
          <w:szCs w:val="21"/>
        </w:rPr>
        <w:t>工程</w:t>
      </w:r>
      <w:bookmarkEnd w:id="363"/>
      <w:bookmarkEnd w:id="364"/>
    </w:p>
    <w:p w14:paraId="04AA3690">
      <w:pPr>
        <w:widowControl w:val="0"/>
        <w:adjustRightInd w:val="0"/>
        <w:snapToGrid w:val="0"/>
        <w:ind w:firstLine="630" w:firstLineChars="300"/>
        <w:rPr>
          <w:rFonts w:hint="eastAsia"/>
          <w:sz w:val="21"/>
          <w:szCs w:val="21"/>
        </w:rPr>
      </w:pPr>
      <w:r>
        <w:rPr>
          <w:sz w:val="21"/>
          <w:szCs w:val="21"/>
        </w:rPr>
        <w:t>1）垃圾焚烧发电</w:t>
      </w:r>
      <w:r>
        <w:rPr>
          <w:rFonts w:hint="eastAsia"/>
          <w:sz w:val="21"/>
          <w:szCs w:val="21"/>
        </w:rPr>
        <w:t>工程专用项评价可执行燃煤发电工程</w:t>
      </w:r>
      <w:r>
        <w:rPr>
          <w:sz w:val="21"/>
          <w:szCs w:val="21"/>
        </w:rPr>
        <w:t>1）-5）条。</w:t>
      </w:r>
    </w:p>
    <w:p w14:paraId="10FBF7D9">
      <w:pPr>
        <w:widowControl w:val="0"/>
        <w:adjustRightInd w:val="0"/>
        <w:snapToGrid w:val="0"/>
        <w:ind w:firstLine="420" w:firstLineChars="200"/>
        <w:outlineLvl w:val="0"/>
        <w:rPr>
          <w:rFonts w:hint="eastAsia"/>
          <w:sz w:val="21"/>
          <w:szCs w:val="21"/>
        </w:rPr>
      </w:pPr>
      <w:bookmarkStart w:id="365" w:name="_Toc28811"/>
      <w:bookmarkStart w:id="366" w:name="_Toc15625"/>
      <w:r>
        <w:rPr>
          <w:sz w:val="21"/>
          <w:szCs w:val="21"/>
        </w:rPr>
        <w:t>4  生物质发电</w:t>
      </w:r>
      <w:r>
        <w:rPr>
          <w:rFonts w:hint="eastAsia"/>
          <w:sz w:val="21"/>
          <w:szCs w:val="21"/>
        </w:rPr>
        <w:t>工程</w:t>
      </w:r>
      <w:bookmarkEnd w:id="365"/>
      <w:bookmarkEnd w:id="366"/>
    </w:p>
    <w:p w14:paraId="2D6008E3">
      <w:pPr>
        <w:widowControl w:val="0"/>
        <w:adjustRightInd w:val="0"/>
        <w:snapToGrid w:val="0"/>
        <w:ind w:firstLine="630" w:firstLineChars="300"/>
        <w:outlineLvl w:val="1"/>
        <w:rPr>
          <w:rFonts w:hint="eastAsia"/>
          <w:sz w:val="21"/>
          <w:szCs w:val="21"/>
        </w:rPr>
      </w:pPr>
      <w:bookmarkStart w:id="367" w:name="_Toc1489"/>
      <w:bookmarkStart w:id="368" w:name="_Toc14166"/>
      <w:r>
        <w:rPr>
          <w:sz w:val="21"/>
          <w:szCs w:val="21"/>
        </w:rPr>
        <w:t>1）生物质发电</w:t>
      </w:r>
      <w:r>
        <w:rPr>
          <w:rFonts w:hint="eastAsia"/>
          <w:sz w:val="21"/>
          <w:szCs w:val="21"/>
        </w:rPr>
        <w:t>工程专用项评价可执行燃煤发电工程</w:t>
      </w:r>
      <w:r>
        <w:rPr>
          <w:sz w:val="21"/>
          <w:szCs w:val="21"/>
        </w:rPr>
        <w:t>1）-5）条。</w:t>
      </w:r>
      <w:bookmarkEnd w:id="367"/>
      <w:bookmarkEnd w:id="368"/>
    </w:p>
    <w:p w14:paraId="5841CA20">
      <w:pPr>
        <w:widowControl w:val="0"/>
        <w:adjustRightInd w:val="0"/>
        <w:snapToGrid w:val="0"/>
        <w:rPr>
          <w:rFonts w:hint="eastAsia"/>
          <w:sz w:val="21"/>
          <w:szCs w:val="21"/>
        </w:rPr>
      </w:pPr>
      <w:r>
        <w:fldChar w:fldCharType="begin"/>
      </w:r>
      <w:r>
        <w:instrText xml:space="preserve"> HYPERLINK \l "_Toc162470929" </w:instrText>
      </w:r>
      <w:r>
        <w:fldChar w:fldCharType="separate"/>
      </w:r>
      <w:r>
        <w:rPr>
          <w:sz w:val="21"/>
          <w:szCs w:val="21"/>
        </w:rPr>
        <w:t xml:space="preserve">6.3.3  </w:t>
      </w:r>
      <w:r>
        <w:rPr>
          <w:rFonts w:hint="eastAsia"/>
          <w:sz w:val="21"/>
          <w:szCs w:val="21"/>
        </w:rPr>
        <w:t>水</w:t>
      </w:r>
      <w:r>
        <w:rPr>
          <w:sz w:val="21"/>
          <w:szCs w:val="21"/>
        </w:rPr>
        <w:t>力发电</w:t>
      </w:r>
      <w:r>
        <w:rPr>
          <w:rFonts w:hint="eastAsia"/>
          <w:sz w:val="21"/>
          <w:szCs w:val="21"/>
        </w:rPr>
        <w:t>工程</w:t>
      </w:r>
      <w:r>
        <w:fldChar w:fldCharType="begin"/>
      </w:r>
      <w:r>
        <w:instrText xml:space="preserve"> HYPERLINK \l "_Toc162470927" </w:instrText>
      </w:r>
      <w:r>
        <w:fldChar w:fldCharType="separate"/>
      </w:r>
      <w:r>
        <w:rPr>
          <w:rFonts w:hint="eastAsia"/>
          <w:sz w:val="21"/>
          <w:szCs w:val="21"/>
        </w:rPr>
        <w:t>材料节约与循环利用</w:t>
      </w:r>
      <w:r>
        <w:rPr>
          <w:rFonts w:hint="eastAsia"/>
          <w:sz w:val="21"/>
          <w:szCs w:val="21"/>
        </w:rPr>
        <w:fldChar w:fldCharType="end"/>
      </w:r>
      <w:r>
        <w:rPr>
          <w:rFonts w:hint="eastAsia"/>
          <w:sz w:val="21"/>
          <w:szCs w:val="21"/>
        </w:rPr>
        <w:t>专用项评价包括以下内容：</w:t>
      </w:r>
      <w:r>
        <w:rPr>
          <w:rFonts w:hint="eastAsia"/>
          <w:sz w:val="21"/>
          <w:szCs w:val="21"/>
        </w:rPr>
        <w:fldChar w:fldCharType="end"/>
      </w:r>
    </w:p>
    <w:p w14:paraId="6EF40969">
      <w:pPr>
        <w:widowControl w:val="0"/>
        <w:adjustRightInd w:val="0"/>
        <w:snapToGrid w:val="0"/>
        <w:ind w:firstLine="420" w:firstLineChars="200"/>
        <w:rPr>
          <w:rFonts w:hint="eastAsia"/>
          <w:sz w:val="21"/>
          <w:szCs w:val="21"/>
        </w:rPr>
      </w:pPr>
      <w:r>
        <w:rPr>
          <w:rFonts w:hint="eastAsia"/>
          <w:sz w:val="21"/>
          <w:szCs w:val="21"/>
        </w:rPr>
        <w:t>1  优化大坝、厂房等水工大体积混凝土配合比设计，通过添加粉煤灰、工业废料、矿山废渣等，减少水泥用量。</w:t>
      </w:r>
    </w:p>
    <w:p w14:paraId="2319EE8B">
      <w:pPr>
        <w:widowControl w:val="0"/>
        <w:adjustRightInd w:val="0"/>
        <w:snapToGrid w:val="0"/>
        <w:ind w:firstLine="420" w:firstLineChars="200"/>
        <w:rPr>
          <w:rFonts w:hint="eastAsia"/>
          <w:sz w:val="21"/>
          <w:szCs w:val="21"/>
        </w:rPr>
      </w:pPr>
      <w:r>
        <w:rPr>
          <w:rFonts w:hint="eastAsia"/>
          <w:sz w:val="21"/>
          <w:szCs w:val="21"/>
        </w:rPr>
        <w:t>2  大坝混凝土浇筑优先采用大型整体钢模板和定型钢模板，施工过程中做好模板保护，提高模板循环利用率，节约模板用量。</w:t>
      </w:r>
    </w:p>
    <w:p w14:paraId="34E10577">
      <w:pPr>
        <w:widowControl w:val="0"/>
        <w:adjustRightInd w:val="0"/>
        <w:snapToGrid w:val="0"/>
        <w:ind w:firstLine="420" w:firstLineChars="200"/>
        <w:rPr>
          <w:rFonts w:hint="eastAsia"/>
          <w:sz w:val="21"/>
          <w:szCs w:val="21"/>
        </w:rPr>
      </w:pPr>
      <w:r>
        <w:rPr>
          <w:rFonts w:hint="eastAsia"/>
          <w:sz w:val="21"/>
          <w:szCs w:val="21"/>
        </w:rPr>
        <w:t>3  合理使用开挖渣料，有用渣料破碎作为混凝土骨料、坝体或围堰填筑料，无用渣料用于平整施工场地、临时道路。</w:t>
      </w:r>
    </w:p>
    <w:p w14:paraId="379B7E32">
      <w:pPr>
        <w:widowControl w:val="0"/>
        <w:adjustRightInd w:val="0"/>
        <w:snapToGrid w:val="0"/>
        <w:ind w:firstLine="420" w:firstLineChars="200"/>
        <w:rPr>
          <w:rFonts w:hint="eastAsia"/>
          <w:sz w:val="21"/>
          <w:szCs w:val="21"/>
        </w:rPr>
      </w:pPr>
      <w:r>
        <w:rPr>
          <w:rFonts w:hint="eastAsia"/>
          <w:sz w:val="21"/>
          <w:szCs w:val="21"/>
        </w:rPr>
        <w:t>4  风道、桥架、管路、支吊架等采用工厂制作、现场拼装的方式，钢结构安装采用分段吊装、整体提升、滑移、顶升等安装方法，减少措施性钢材用量。</w:t>
      </w:r>
    </w:p>
    <w:p w14:paraId="63452771">
      <w:pPr>
        <w:widowControl w:val="0"/>
        <w:adjustRightInd w:val="0"/>
        <w:snapToGrid w:val="0"/>
        <w:ind w:firstLine="420" w:firstLineChars="200"/>
        <w:rPr>
          <w:rFonts w:hint="eastAsia"/>
          <w:sz w:val="21"/>
          <w:szCs w:val="21"/>
        </w:rPr>
      </w:pPr>
      <w:r>
        <w:rPr>
          <w:rFonts w:hint="eastAsia"/>
          <w:sz w:val="21"/>
          <w:szCs w:val="21"/>
        </w:rPr>
        <w:t>5  采用智能灌浆系统进行灌浆施工，减少浆液损失，节约水泥用量。</w:t>
      </w:r>
    </w:p>
    <w:p w14:paraId="6F070DBD">
      <w:pPr>
        <w:widowControl w:val="0"/>
        <w:adjustRightInd w:val="0"/>
        <w:snapToGrid w:val="0"/>
        <w:ind w:firstLine="420" w:firstLineChars="200"/>
        <w:rPr>
          <w:rFonts w:hint="eastAsia"/>
          <w:sz w:val="21"/>
          <w:szCs w:val="21"/>
        </w:rPr>
      </w:pPr>
      <w:r>
        <w:rPr>
          <w:rFonts w:hint="eastAsia"/>
          <w:sz w:val="21"/>
          <w:szCs w:val="21"/>
        </w:rPr>
        <w:t>6  厂房、主变室、开关站等部位吊顶、地砖、墙砖施工宜进行二次设计，减少材料损耗，提高装修装饰效果。</w:t>
      </w:r>
    </w:p>
    <w:p w14:paraId="7CA6F6E1">
      <w:pPr>
        <w:widowControl w:val="0"/>
        <w:adjustRightInd w:val="0"/>
        <w:snapToGrid w:val="0"/>
        <w:rPr>
          <w:rFonts w:hint="eastAsia"/>
          <w:color w:val="FF0000"/>
          <w:sz w:val="21"/>
          <w:szCs w:val="21"/>
        </w:rPr>
      </w:pPr>
      <w:r>
        <w:rPr>
          <w:sz w:val="21"/>
          <w:szCs w:val="21"/>
        </w:rPr>
        <w:t xml:space="preserve">6.3.4  </w:t>
      </w:r>
      <w:r>
        <w:rPr>
          <w:rFonts w:hint="eastAsia"/>
          <w:sz w:val="21"/>
          <w:szCs w:val="21"/>
        </w:rPr>
        <w:t>风力发电工程</w:t>
      </w:r>
      <w:r>
        <w:fldChar w:fldCharType="begin"/>
      </w:r>
      <w:r>
        <w:instrText xml:space="preserve"> HYPERLINK \l "_Toc162470927" </w:instrText>
      </w:r>
      <w:r>
        <w:fldChar w:fldCharType="separate"/>
      </w:r>
      <w:r>
        <w:rPr>
          <w:rFonts w:hint="eastAsia"/>
          <w:sz w:val="21"/>
          <w:szCs w:val="21"/>
        </w:rPr>
        <w:t>材料节约与循环利用</w:t>
      </w:r>
      <w:r>
        <w:rPr>
          <w:rFonts w:hint="eastAsia"/>
          <w:sz w:val="21"/>
          <w:szCs w:val="21"/>
        </w:rPr>
        <w:fldChar w:fldCharType="end"/>
      </w:r>
      <w:r>
        <w:rPr>
          <w:rFonts w:hint="eastAsia"/>
          <w:sz w:val="21"/>
          <w:szCs w:val="21"/>
        </w:rPr>
        <w:t>专用项评价包括以下内容：</w:t>
      </w:r>
      <w:r>
        <w:rPr>
          <w:color w:val="FF0000"/>
          <w:sz w:val="21"/>
          <w:szCs w:val="21"/>
        </w:rPr>
        <w:t xml:space="preserve"> </w:t>
      </w:r>
    </w:p>
    <w:p w14:paraId="2C5A133F">
      <w:pPr>
        <w:widowControl w:val="0"/>
        <w:adjustRightInd w:val="0"/>
        <w:snapToGrid w:val="0"/>
        <w:ind w:firstLine="420" w:firstLineChars="200"/>
        <w:outlineLvl w:val="0"/>
        <w:rPr>
          <w:rFonts w:hint="eastAsia"/>
          <w:sz w:val="21"/>
          <w:szCs w:val="21"/>
        </w:rPr>
      </w:pPr>
      <w:bookmarkStart w:id="369" w:name="_Toc31552"/>
      <w:bookmarkStart w:id="370" w:name="_Toc17956"/>
      <w:r>
        <w:rPr>
          <w:sz w:val="21"/>
          <w:szCs w:val="21"/>
        </w:rPr>
        <w:t xml:space="preserve">1  </w:t>
      </w:r>
      <w:r>
        <w:rPr>
          <w:rFonts w:hint="eastAsia"/>
          <w:sz w:val="21"/>
          <w:szCs w:val="21"/>
        </w:rPr>
        <w:t>陆上风电</w:t>
      </w:r>
      <w:bookmarkEnd w:id="369"/>
      <w:bookmarkEnd w:id="370"/>
    </w:p>
    <w:p w14:paraId="16A114F5">
      <w:pPr>
        <w:widowControl w:val="0"/>
        <w:adjustRightInd w:val="0"/>
        <w:snapToGrid w:val="0"/>
        <w:ind w:firstLine="630" w:firstLineChars="300"/>
        <w:outlineLvl w:val="1"/>
        <w:rPr>
          <w:rFonts w:hint="eastAsia"/>
          <w:sz w:val="21"/>
          <w:szCs w:val="21"/>
        </w:rPr>
      </w:pPr>
      <w:bookmarkStart w:id="371" w:name="_Toc5472"/>
      <w:bookmarkStart w:id="372" w:name="_Toc26885"/>
      <w:r>
        <w:rPr>
          <w:sz w:val="21"/>
          <w:szCs w:val="21"/>
        </w:rPr>
        <w:t>1）风机基础采用定型化钢模板等工具式模板，增加模板周转率。</w:t>
      </w:r>
      <w:bookmarkEnd w:id="371"/>
      <w:bookmarkEnd w:id="372"/>
    </w:p>
    <w:p w14:paraId="3CADAFE7">
      <w:pPr>
        <w:widowControl w:val="0"/>
        <w:adjustRightInd w:val="0"/>
        <w:snapToGrid w:val="0"/>
        <w:ind w:firstLine="630" w:firstLineChars="300"/>
        <w:rPr>
          <w:rFonts w:hint="eastAsia"/>
          <w:sz w:val="21"/>
          <w:szCs w:val="21"/>
        </w:rPr>
      </w:pPr>
      <w:r>
        <w:rPr>
          <w:sz w:val="21"/>
          <w:szCs w:val="21"/>
        </w:rPr>
        <w:t>2）</w:t>
      </w:r>
      <w:r>
        <w:rPr>
          <w:rFonts w:hint="eastAsia"/>
          <w:sz w:val="21"/>
          <w:szCs w:val="21"/>
        </w:rPr>
        <w:t>风机基础钢筋应用</w:t>
      </w:r>
      <w:r>
        <w:rPr>
          <w:sz w:val="21"/>
          <w:szCs w:val="21"/>
        </w:rPr>
        <w:t>数字化加工、加工厂集中加工、信息化管理</w:t>
      </w:r>
      <w:r>
        <w:rPr>
          <w:rFonts w:hint="eastAsia"/>
          <w:sz w:val="21"/>
          <w:szCs w:val="21"/>
        </w:rPr>
        <w:t>等</w:t>
      </w:r>
      <w:r>
        <w:rPr>
          <w:sz w:val="21"/>
          <w:szCs w:val="21"/>
        </w:rPr>
        <w:t>方式实现精准下料和定制化采购，降低</w:t>
      </w:r>
      <w:r>
        <w:rPr>
          <w:rFonts w:hint="eastAsia"/>
          <w:sz w:val="21"/>
          <w:szCs w:val="21"/>
        </w:rPr>
        <w:t>基础钢筋</w:t>
      </w:r>
      <w:r>
        <w:rPr>
          <w:sz w:val="21"/>
          <w:szCs w:val="21"/>
        </w:rPr>
        <w:t>损耗率。</w:t>
      </w:r>
    </w:p>
    <w:p w14:paraId="6E4213E5">
      <w:pPr>
        <w:widowControl w:val="0"/>
        <w:adjustRightInd w:val="0"/>
        <w:snapToGrid w:val="0"/>
        <w:ind w:firstLine="630" w:firstLineChars="300"/>
        <w:outlineLvl w:val="1"/>
        <w:rPr>
          <w:rFonts w:hint="eastAsia"/>
          <w:sz w:val="21"/>
          <w:szCs w:val="21"/>
        </w:rPr>
      </w:pPr>
      <w:bookmarkStart w:id="373" w:name="_Toc18727"/>
      <w:bookmarkStart w:id="374" w:name="_Toc31028"/>
      <w:r>
        <w:rPr>
          <w:sz w:val="21"/>
          <w:szCs w:val="21"/>
        </w:rPr>
        <w:t>3）优化风机基础大体积混凝土配合比设计，减少水泥用量。</w:t>
      </w:r>
      <w:bookmarkEnd w:id="373"/>
      <w:bookmarkEnd w:id="374"/>
    </w:p>
    <w:p w14:paraId="7802365E">
      <w:pPr>
        <w:widowControl w:val="0"/>
        <w:adjustRightInd w:val="0"/>
        <w:snapToGrid w:val="0"/>
        <w:ind w:firstLine="630" w:firstLineChars="300"/>
        <w:rPr>
          <w:rFonts w:hint="eastAsia"/>
          <w:sz w:val="21"/>
          <w:szCs w:val="21"/>
        </w:rPr>
      </w:pPr>
      <w:r>
        <w:rPr>
          <w:sz w:val="21"/>
          <w:szCs w:val="21"/>
        </w:rPr>
        <w:t>4）科学准确计算</w:t>
      </w:r>
      <w:r>
        <w:rPr>
          <w:rFonts w:hint="eastAsia"/>
          <w:sz w:val="21"/>
          <w:szCs w:val="21"/>
        </w:rPr>
        <w:t>风机基础</w:t>
      </w:r>
      <w:r>
        <w:rPr>
          <w:sz w:val="21"/>
          <w:szCs w:val="21"/>
        </w:rPr>
        <w:t>混凝土浇筑量，避免混凝土搅拌量超出浇筑量产生废料。</w:t>
      </w:r>
    </w:p>
    <w:p w14:paraId="07ECAFDC">
      <w:pPr>
        <w:widowControl w:val="0"/>
        <w:adjustRightInd w:val="0"/>
        <w:snapToGrid w:val="0"/>
        <w:ind w:firstLine="420" w:firstLineChars="200"/>
        <w:outlineLvl w:val="0"/>
        <w:rPr>
          <w:rFonts w:hint="eastAsia"/>
          <w:sz w:val="21"/>
          <w:szCs w:val="21"/>
        </w:rPr>
      </w:pPr>
      <w:bookmarkStart w:id="375" w:name="_Toc4877"/>
      <w:bookmarkStart w:id="376" w:name="_Toc27169"/>
      <w:r>
        <w:rPr>
          <w:sz w:val="21"/>
          <w:szCs w:val="21"/>
        </w:rPr>
        <w:t xml:space="preserve">2  </w:t>
      </w:r>
      <w:r>
        <w:rPr>
          <w:rFonts w:hint="eastAsia"/>
          <w:sz w:val="21"/>
          <w:szCs w:val="21"/>
        </w:rPr>
        <w:t>海上风电</w:t>
      </w:r>
      <w:bookmarkEnd w:id="375"/>
      <w:bookmarkEnd w:id="376"/>
    </w:p>
    <w:p w14:paraId="1E233A34">
      <w:pPr>
        <w:widowControl w:val="0"/>
        <w:adjustRightInd w:val="0"/>
        <w:snapToGrid w:val="0"/>
        <w:ind w:firstLine="630" w:firstLineChars="300"/>
        <w:rPr>
          <w:rFonts w:hint="eastAsia"/>
          <w:sz w:val="21"/>
          <w:szCs w:val="21"/>
        </w:rPr>
      </w:pPr>
      <w:r>
        <w:rPr>
          <w:sz w:val="21"/>
          <w:szCs w:val="21"/>
        </w:rPr>
        <w:t>1）</w:t>
      </w:r>
      <w:r>
        <w:rPr>
          <w:rFonts w:hint="eastAsia"/>
          <w:sz w:val="21"/>
          <w:szCs w:val="21"/>
        </w:rPr>
        <w:t>钢管桩、塔架等大宗钢结构采用工厂制作的方式，钢结构采用分段制作、整体提升、滑移、拼装等方法，提高材料利用率、减少措施性钢材用量。</w:t>
      </w:r>
    </w:p>
    <w:p w14:paraId="487CA7F8">
      <w:pPr>
        <w:widowControl w:val="0"/>
        <w:adjustRightInd w:val="0"/>
        <w:snapToGrid w:val="0"/>
        <w:ind w:firstLine="630" w:firstLineChars="300"/>
        <w:rPr>
          <w:rFonts w:hint="eastAsia"/>
          <w:sz w:val="21"/>
          <w:szCs w:val="21"/>
        </w:rPr>
      </w:pPr>
      <w:r>
        <w:rPr>
          <w:sz w:val="21"/>
          <w:szCs w:val="21"/>
        </w:rPr>
        <w:t>2</w:t>
      </w:r>
      <w:r>
        <w:rPr>
          <w:rFonts w:hint="eastAsia"/>
          <w:sz w:val="21"/>
          <w:szCs w:val="21"/>
        </w:rPr>
        <w:t>）钢结构和设备的海上运输安装的绑扎件、吊梁、吊装框架、施工平台等施工临建及临时围挡采用可周转重复利用材料。</w:t>
      </w:r>
    </w:p>
    <w:p w14:paraId="7144AF14">
      <w:pPr>
        <w:widowControl w:val="0"/>
        <w:adjustRightInd w:val="0"/>
        <w:snapToGrid w:val="0"/>
        <w:ind w:firstLine="630" w:firstLineChars="300"/>
        <w:rPr>
          <w:rFonts w:hint="eastAsia"/>
          <w:sz w:val="21"/>
          <w:szCs w:val="21"/>
        </w:rPr>
      </w:pPr>
      <w:r>
        <w:rPr>
          <w:sz w:val="21"/>
          <w:szCs w:val="21"/>
        </w:rPr>
        <w:t>3</w:t>
      </w:r>
      <w:r>
        <w:rPr>
          <w:rFonts w:hint="eastAsia"/>
          <w:sz w:val="21"/>
          <w:szCs w:val="21"/>
        </w:rPr>
        <w:t>）根据施工窗口期、船舶情况、供货条件合理安排施工工序，减小船舶重复进出场工作。</w:t>
      </w:r>
    </w:p>
    <w:p w14:paraId="72FD983C">
      <w:pPr>
        <w:widowControl w:val="0"/>
        <w:adjustRightInd w:val="0"/>
        <w:snapToGrid w:val="0"/>
        <w:rPr>
          <w:rFonts w:hint="eastAsia"/>
          <w:color w:val="FF0000"/>
          <w:sz w:val="21"/>
          <w:szCs w:val="21"/>
        </w:rPr>
      </w:pPr>
      <w:r>
        <w:rPr>
          <w:sz w:val="21"/>
          <w:szCs w:val="21"/>
        </w:rPr>
        <w:t xml:space="preserve">6.3.5  </w:t>
      </w:r>
      <w:r>
        <w:rPr>
          <w:rFonts w:hint="eastAsia"/>
          <w:sz w:val="21"/>
          <w:szCs w:val="21"/>
        </w:rPr>
        <w:t>太阳能发电工程</w:t>
      </w:r>
      <w:r>
        <w:fldChar w:fldCharType="begin"/>
      </w:r>
      <w:r>
        <w:instrText xml:space="preserve"> HYPERLINK \l "_Toc162470927" </w:instrText>
      </w:r>
      <w:r>
        <w:fldChar w:fldCharType="separate"/>
      </w:r>
      <w:r>
        <w:rPr>
          <w:rFonts w:hint="eastAsia"/>
          <w:sz w:val="21"/>
          <w:szCs w:val="21"/>
        </w:rPr>
        <w:t>材料节约与循环利用</w:t>
      </w:r>
      <w:r>
        <w:rPr>
          <w:rFonts w:hint="eastAsia"/>
          <w:sz w:val="21"/>
          <w:szCs w:val="21"/>
        </w:rPr>
        <w:fldChar w:fldCharType="end"/>
      </w:r>
      <w:r>
        <w:rPr>
          <w:rFonts w:hint="eastAsia"/>
          <w:sz w:val="21"/>
          <w:szCs w:val="21"/>
        </w:rPr>
        <w:t>专用项评价包括以下内容：</w:t>
      </w:r>
      <w:r>
        <w:rPr>
          <w:color w:val="FF0000"/>
          <w:sz w:val="21"/>
          <w:szCs w:val="21"/>
        </w:rPr>
        <w:t xml:space="preserve"> </w:t>
      </w:r>
    </w:p>
    <w:p w14:paraId="05C62D50">
      <w:pPr>
        <w:widowControl w:val="0"/>
        <w:adjustRightInd w:val="0"/>
        <w:snapToGrid w:val="0"/>
        <w:ind w:firstLine="420" w:firstLineChars="200"/>
        <w:outlineLvl w:val="0"/>
        <w:rPr>
          <w:rFonts w:hint="eastAsia"/>
          <w:sz w:val="21"/>
          <w:szCs w:val="21"/>
        </w:rPr>
      </w:pPr>
      <w:bookmarkStart w:id="377" w:name="_Toc667"/>
      <w:bookmarkStart w:id="378" w:name="_Toc20253"/>
      <w:r>
        <w:rPr>
          <w:rFonts w:hint="eastAsia"/>
          <w:sz w:val="21"/>
          <w:szCs w:val="21"/>
        </w:rPr>
        <w:t>1</w:t>
      </w:r>
      <w:r>
        <w:rPr>
          <w:sz w:val="21"/>
          <w:szCs w:val="21"/>
        </w:rPr>
        <w:t xml:space="preserve"> </w:t>
      </w:r>
      <w:r>
        <w:rPr>
          <w:rFonts w:hint="eastAsia"/>
          <w:sz w:val="21"/>
          <w:szCs w:val="21"/>
        </w:rPr>
        <w:t>陆上光伏发电项目</w:t>
      </w:r>
      <w:bookmarkEnd w:id="377"/>
      <w:bookmarkEnd w:id="378"/>
    </w:p>
    <w:p w14:paraId="1EC4FEC0">
      <w:pPr>
        <w:widowControl w:val="0"/>
        <w:adjustRightInd w:val="0"/>
        <w:snapToGrid w:val="0"/>
        <w:ind w:firstLine="630" w:firstLineChars="300"/>
        <w:outlineLvl w:val="1"/>
        <w:rPr>
          <w:rFonts w:hint="eastAsia"/>
          <w:sz w:val="21"/>
          <w:szCs w:val="21"/>
        </w:rPr>
      </w:pPr>
      <w:bookmarkStart w:id="379" w:name="_Toc5473"/>
      <w:bookmarkStart w:id="380" w:name="_Toc25678"/>
      <w:r>
        <w:rPr>
          <w:sz w:val="21"/>
          <w:szCs w:val="21"/>
        </w:rPr>
        <w:t>1）应优化基础施工方案，减少基础混凝土浇筑</w:t>
      </w:r>
      <w:r>
        <w:rPr>
          <w:rFonts w:hint="eastAsia"/>
          <w:sz w:val="21"/>
          <w:szCs w:val="21"/>
        </w:rPr>
        <w:t>用量</w:t>
      </w:r>
      <w:r>
        <w:rPr>
          <w:sz w:val="21"/>
          <w:szCs w:val="21"/>
        </w:rPr>
        <w:t>。</w:t>
      </w:r>
      <w:bookmarkEnd w:id="379"/>
      <w:bookmarkEnd w:id="380"/>
    </w:p>
    <w:p w14:paraId="066DD76E">
      <w:pPr>
        <w:widowControl w:val="0"/>
        <w:adjustRightInd w:val="0"/>
        <w:snapToGrid w:val="0"/>
        <w:ind w:firstLine="630" w:firstLineChars="300"/>
        <w:rPr>
          <w:rFonts w:hint="eastAsia"/>
          <w:sz w:val="21"/>
          <w:szCs w:val="21"/>
        </w:rPr>
      </w:pPr>
      <w:r>
        <w:rPr>
          <w:sz w:val="21"/>
          <w:szCs w:val="21"/>
        </w:rPr>
        <w:t>2）优化光伏组件安装方案，采取合理的二次倒运方案，降低施工过程损坏。</w:t>
      </w:r>
    </w:p>
    <w:p w14:paraId="3EEE5BF8">
      <w:pPr>
        <w:widowControl w:val="0"/>
        <w:adjustRightInd w:val="0"/>
        <w:snapToGrid w:val="0"/>
        <w:ind w:firstLine="630" w:firstLineChars="300"/>
        <w:rPr>
          <w:rFonts w:hint="eastAsia"/>
          <w:sz w:val="21"/>
          <w:szCs w:val="21"/>
        </w:rPr>
      </w:pPr>
      <w:r>
        <w:rPr>
          <w:sz w:val="21"/>
          <w:szCs w:val="21"/>
        </w:rPr>
        <w:t>3）优化电缆敷设施工方案，并科学合理地进行</w:t>
      </w:r>
      <w:r>
        <w:rPr>
          <w:rFonts w:hint="eastAsia"/>
          <w:sz w:val="21"/>
          <w:szCs w:val="21"/>
        </w:rPr>
        <w:t>路径优化、</w:t>
      </w:r>
      <w:r>
        <w:rPr>
          <w:sz w:val="21"/>
          <w:szCs w:val="21"/>
        </w:rPr>
        <w:t>电缆分盘，减少电缆接头，电缆施工损耗率</w:t>
      </w:r>
      <w:r>
        <w:rPr>
          <w:rFonts w:hint="eastAsia"/>
          <w:sz w:val="21"/>
          <w:szCs w:val="21"/>
        </w:rPr>
        <w:t>相较额定损耗率减少50%</w:t>
      </w:r>
      <w:r>
        <w:rPr>
          <w:sz w:val="21"/>
          <w:szCs w:val="21"/>
        </w:rPr>
        <w:t>。</w:t>
      </w:r>
    </w:p>
    <w:p w14:paraId="594B1E19">
      <w:pPr>
        <w:widowControl w:val="0"/>
        <w:adjustRightInd w:val="0"/>
        <w:snapToGrid w:val="0"/>
        <w:ind w:firstLine="630" w:firstLineChars="300"/>
        <w:rPr>
          <w:rFonts w:hint="eastAsia"/>
          <w:sz w:val="21"/>
          <w:szCs w:val="21"/>
        </w:rPr>
      </w:pPr>
      <w:r>
        <w:rPr>
          <w:rFonts w:hint="eastAsia"/>
          <w:sz w:val="21"/>
          <w:szCs w:val="21"/>
        </w:rPr>
        <w:t>4</w:t>
      </w:r>
      <w:r>
        <w:rPr>
          <w:sz w:val="21"/>
          <w:szCs w:val="21"/>
        </w:rPr>
        <w:t>）</w:t>
      </w:r>
      <w:r>
        <w:rPr>
          <w:rFonts w:hint="eastAsia"/>
          <w:sz w:val="21"/>
          <w:szCs w:val="21"/>
        </w:rPr>
        <w:t>优化光伏电站接地敷设方案，减少钢材用量。</w:t>
      </w:r>
    </w:p>
    <w:p w14:paraId="31CE793A">
      <w:pPr>
        <w:widowControl w:val="0"/>
        <w:adjustRightInd w:val="0"/>
        <w:snapToGrid w:val="0"/>
        <w:ind w:firstLine="630" w:firstLineChars="300"/>
        <w:rPr>
          <w:rFonts w:hint="eastAsia"/>
          <w:sz w:val="21"/>
          <w:szCs w:val="21"/>
        </w:rPr>
      </w:pPr>
      <w:r>
        <w:rPr>
          <w:rFonts w:hint="eastAsia"/>
          <w:sz w:val="21"/>
          <w:szCs w:val="21"/>
        </w:rPr>
        <w:t>5）优化光伏发电站内集电线路路径，减少导线和光缆用量</w:t>
      </w:r>
      <w:r>
        <w:rPr>
          <w:sz w:val="21"/>
          <w:szCs w:val="21"/>
        </w:rPr>
        <w:t>。</w:t>
      </w:r>
    </w:p>
    <w:p w14:paraId="590D7F3C">
      <w:pPr>
        <w:widowControl w:val="0"/>
        <w:adjustRightInd w:val="0"/>
        <w:snapToGrid w:val="0"/>
        <w:ind w:firstLine="630" w:firstLineChars="300"/>
        <w:rPr>
          <w:rFonts w:hint="eastAsia"/>
          <w:sz w:val="21"/>
          <w:szCs w:val="21"/>
        </w:rPr>
      </w:pPr>
      <w:r>
        <w:rPr>
          <w:rFonts w:hint="eastAsia"/>
          <w:sz w:val="21"/>
          <w:szCs w:val="21"/>
        </w:rPr>
        <w:t>6）优化光伏子阵区道路路径，减少材料损耗。</w:t>
      </w:r>
    </w:p>
    <w:p w14:paraId="75D7007A">
      <w:pPr>
        <w:widowControl w:val="0"/>
        <w:adjustRightInd w:val="0"/>
        <w:snapToGrid w:val="0"/>
        <w:ind w:firstLine="420" w:firstLineChars="200"/>
        <w:outlineLvl w:val="0"/>
        <w:rPr>
          <w:rFonts w:hint="eastAsia"/>
          <w:sz w:val="21"/>
          <w:szCs w:val="21"/>
        </w:rPr>
      </w:pPr>
      <w:bookmarkStart w:id="381" w:name="_Toc7475"/>
      <w:bookmarkStart w:id="382" w:name="_Toc22015"/>
      <w:r>
        <w:rPr>
          <w:rFonts w:hint="eastAsia"/>
          <w:sz w:val="21"/>
          <w:szCs w:val="21"/>
        </w:rPr>
        <w:t xml:space="preserve">2 </w:t>
      </w:r>
      <w:r>
        <w:rPr>
          <w:sz w:val="21"/>
          <w:szCs w:val="21"/>
        </w:rPr>
        <w:t>水上光伏发电项目</w:t>
      </w:r>
      <w:bookmarkEnd w:id="381"/>
      <w:bookmarkEnd w:id="382"/>
    </w:p>
    <w:p w14:paraId="543A46CC">
      <w:pPr>
        <w:widowControl w:val="0"/>
        <w:adjustRightInd w:val="0"/>
        <w:snapToGrid w:val="0"/>
        <w:ind w:firstLine="630" w:firstLineChars="300"/>
        <w:outlineLvl w:val="1"/>
        <w:rPr>
          <w:rFonts w:hint="eastAsia"/>
          <w:sz w:val="21"/>
          <w:szCs w:val="21"/>
        </w:rPr>
      </w:pPr>
      <w:bookmarkStart w:id="383" w:name="_Toc22524"/>
      <w:bookmarkStart w:id="384" w:name="_Toc13324"/>
      <w:r>
        <w:rPr>
          <w:sz w:val="21"/>
          <w:szCs w:val="21"/>
        </w:rPr>
        <w:t>1）优化水上光伏的浮体布置，减少</w:t>
      </w:r>
      <w:r>
        <w:rPr>
          <w:rFonts w:hint="eastAsia"/>
          <w:sz w:val="21"/>
          <w:szCs w:val="21"/>
        </w:rPr>
        <w:t>材料</w:t>
      </w:r>
      <w:r>
        <w:rPr>
          <w:sz w:val="21"/>
          <w:szCs w:val="21"/>
        </w:rPr>
        <w:t>用量。</w:t>
      </w:r>
      <w:bookmarkEnd w:id="383"/>
      <w:bookmarkEnd w:id="384"/>
    </w:p>
    <w:p w14:paraId="5ABAF153">
      <w:pPr>
        <w:widowControl w:val="0"/>
        <w:adjustRightInd w:val="0"/>
        <w:snapToGrid w:val="0"/>
        <w:ind w:firstLine="630" w:firstLineChars="300"/>
        <w:rPr>
          <w:rFonts w:hint="eastAsia"/>
          <w:sz w:val="21"/>
          <w:szCs w:val="21"/>
        </w:rPr>
      </w:pPr>
      <w:r>
        <w:rPr>
          <w:sz w:val="21"/>
          <w:szCs w:val="21"/>
        </w:rPr>
        <w:t>2）光伏组件安装方案应科学可行，光伏组件水上倒运应合理，减少施工过程损坏。</w:t>
      </w:r>
    </w:p>
    <w:p w14:paraId="50C8E899">
      <w:pPr>
        <w:widowControl w:val="0"/>
        <w:adjustRightInd w:val="0"/>
        <w:snapToGrid w:val="0"/>
        <w:ind w:firstLine="630" w:firstLineChars="300"/>
        <w:rPr>
          <w:rFonts w:hint="eastAsia"/>
          <w:sz w:val="21"/>
          <w:szCs w:val="21"/>
        </w:rPr>
      </w:pPr>
      <w:r>
        <w:rPr>
          <w:sz w:val="21"/>
          <w:szCs w:val="21"/>
        </w:rPr>
        <w:t>3）优化电缆敷设施工方案，并科学合理地进行电缆分盘，减少电缆接头，电缆施工损耗率</w:t>
      </w:r>
      <w:r>
        <w:rPr>
          <w:rFonts w:hint="eastAsia"/>
          <w:sz w:val="21"/>
          <w:szCs w:val="21"/>
        </w:rPr>
        <w:t>相较额定损耗率减少50%</w:t>
      </w:r>
      <w:r>
        <w:rPr>
          <w:sz w:val="21"/>
          <w:szCs w:val="21"/>
        </w:rPr>
        <w:t>。</w:t>
      </w:r>
    </w:p>
    <w:p w14:paraId="4690218E">
      <w:pPr>
        <w:widowControl w:val="0"/>
        <w:adjustRightInd w:val="0"/>
        <w:snapToGrid w:val="0"/>
        <w:ind w:firstLine="630" w:firstLineChars="300"/>
        <w:outlineLvl w:val="1"/>
        <w:rPr>
          <w:rFonts w:hint="eastAsia"/>
          <w:sz w:val="21"/>
          <w:szCs w:val="21"/>
        </w:rPr>
      </w:pPr>
      <w:bookmarkStart w:id="385" w:name="_Toc14542"/>
      <w:bookmarkStart w:id="386" w:name="_Toc27570"/>
      <w:r>
        <w:rPr>
          <w:rFonts w:hint="eastAsia"/>
          <w:sz w:val="21"/>
          <w:szCs w:val="21"/>
        </w:rPr>
        <w:t>4）优化水上光伏发电项目检修航道。</w:t>
      </w:r>
      <w:bookmarkEnd w:id="385"/>
      <w:bookmarkEnd w:id="386"/>
    </w:p>
    <w:p w14:paraId="2264149D">
      <w:pPr>
        <w:widowControl w:val="0"/>
        <w:adjustRightInd w:val="0"/>
        <w:snapToGrid w:val="0"/>
        <w:ind w:firstLine="420" w:firstLineChars="200"/>
        <w:outlineLvl w:val="0"/>
        <w:rPr>
          <w:rFonts w:hint="eastAsia"/>
          <w:sz w:val="21"/>
          <w:szCs w:val="21"/>
        </w:rPr>
      </w:pPr>
      <w:bookmarkStart w:id="387" w:name="_Toc2820"/>
      <w:bookmarkStart w:id="388" w:name="_Toc19914"/>
      <w:r>
        <w:rPr>
          <w:sz w:val="21"/>
          <w:szCs w:val="21"/>
        </w:rPr>
        <w:t xml:space="preserve">3 </w:t>
      </w:r>
      <w:r>
        <w:rPr>
          <w:rFonts w:hint="eastAsia"/>
          <w:sz w:val="21"/>
          <w:szCs w:val="21"/>
        </w:rPr>
        <w:t>光热发电项目</w:t>
      </w:r>
      <w:bookmarkEnd w:id="387"/>
      <w:bookmarkEnd w:id="388"/>
    </w:p>
    <w:p w14:paraId="74777E35">
      <w:pPr>
        <w:widowControl w:val="0"/>
        <w:adjustRightInd w:val="0"/>
        <w:snapToGrid w:val="0"/>
        <w:ind w:firstLine="630" w:firstLineChars="300"/>
        <w:outlineLvl w:val="1"/>
        <w:rPr>
          <w:rFonts w:hint="eastAsia"/>
          <w:sz w:val="21"/>
          <w:szCs w:val="21"/>
        </w:rPr>
      </w:pPr>
      <w:bookmarkStart w:id="389" w:name="_Toc32208"/>
      <w:bookmarkStart w:id="390" w:name="_Toc20759"/>
      <w:r>
        <w:rPr>
          <w:sz w:val="21"/>
          <w:szCs w:val="21"/>
        </w:rPr>
        <w:t>1）</w:t>
      </w:r>
      <w:r>
        <w:rPr>
          <w:rFonts w:hint="eastAsia"/>
          <w:sz w:val="21"/>
          <w:szCs w:val="21"/>
        </w:rPr>
        <w:t>熔盐</w:t>
      </w:r>
      <w:r>
        <w:rPr>
          <w:sz w:val="21"/>
          <w:szCs w:val="21"/>
        </w:rPr>
        <w:t>管道系统采用工厂化预制加工</w:t>
      </w:r>
      <w:r>
        <w:rPr>
          <w:rFonts w:hint="eastAsia"/>
          <w:sz w:val="21"/>
          <w:szCs w:val="21"/>
        </w:rPr>
        <w:t>，合理布置管道，减少损耗</w:t>
      </w:r>
      <w:r>
        <w:rPr>
          <w:sz w:val="21"/>
          <w:szCs w:val="21"/>
        </w:rPr>
        <w:t>。</w:t>
      </w:r>
      <w:bookmarkEnd w:id="389"/>
      <w:bookmarkEnd w:id="390"/>
    </w:p>
    <w:p w14:paraId="2731B9C8">
      <w:pPr>
        <w:widowControl w:val="0"/>
        <w:adjustRightInd w:val="0"/>
        <w:snapToGrid w:val="0"/>
        <w:ind w:firstLine="630" w:firstLineChars="300"/>
        <w:rPr>
          <w:rFonts w:hint="eastAsia"/>
          <w:sz w:val="21"/>
          <w:szCs w:val="21"/>
        </w:rPr>
      </w:pPr>
      <w:r>
        <w:rPr>
          <w:sz w:val="21"/>
          <w:szCs w:val="21"/>
        </w:rPr>
        <w:t>2）</w:t>
      </w:r>
      <w:r>
        <w:rPr>
          <w:rFonts w:hint="eastAsia"/>
          <w:sz w:val="21"/>
          <w:szCs w:val="21"/>
        </w:rPr>
        <w:t>光热发电站集热场内</w:t>
      </w:r>
      <w:r>
        <w:rPr>
          <w:sz w:val="21"/>
          <w:szCs w:val="21"/>
        </w:rPr>
        <w:t>钢结构采用工厂制作、现场拼装的方式，降低钢材损耗。</w:t>
      </w:r>
    </w:p>
    <w:p w14:paraId="39B0F151">
      <w:pPr>
        <w:widowControl w:val="0"/>
        <w:adjustRightInd w:val="0"/>
        <w:snapToGrid w:val="0"/>
        <w:ind w:firstLine="630" w:firstLineChars="300"/>
        <w:rPr>
          <w:rFonts w:hint="eastAsia"/>
          <w:sz w:val="21"/>
          <w:szCs w:val="21"/>
        </w:rPr>
      </w:pPr>
      <w:r>
        <w:rPr>
          <w:rFonts w:hint="eastAsia"/>
          <w:sz w:val="21"/>
          <w:szCs w:val="21"/>
        </w:rPr>
        <w:t>3</w:t>
      </w:r>
      <w:r>
        <w:rPr>
          <w:sz w:val="21"/>
          <w:szCs w:val="21"/>
        </w:rPr>
        <w:t>）</w:t>
      </w:r>
      <w:r>
        <w:rPr>
          <w:rFonts w:hint="eastAsia"/>
          <w:sz w:val="21"/>
          <w:szCs w:val="21"/>
        </w:rPr>
        <w:t>优化光热发电站内定日镜等设备安装，采取合理的二次倒运和散料，降低施工过程中的损耗</w:t>
      </w:r>
      <w:r>
        <w:rPr>
          <w:sz w:val="21"/>
          <w:szCs w:val="21"/>
        </w:rPr>
        <w:t>。</w:t>
      </w:r>
    </w:p>
    <w:p w14:paraId="54268B17">
      <w:pPr>
        <w:widowControl w:val="0"/>
        <w:adjustRightInd w:val="0"/>
        <w:snapToGrid w:val="0"/>
        <w:rPr>
          <w:rFonts w:hint="eastAsia"/>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6.3.6  </w:t>
      </w:r>
      <w:r>
        <w:rPr>
          <w:rFonts w:hint="eastAsia"/>
          <w:color w:val="000000" w:themeColor="text1"/>
          <w:sz w:val="21"/>
          <w:szCs w:val="21"/>
          <w14:textFill>
            <w14:solidFill>
              <w14:schemeClr w14:val="tx1"/>
            </w14:solidFill>
          </w14:textFill>
        </w:rPr>
        <w:t>输变电工程</w:t>
      </w:r>
      <w:r>
        <w:fldChar w:fldCharType="begin"/>
      </w:r>
      <w:r>
        <w:instrText xml:space="preserve"> HYPERLINK \l "_Toc162470927" </w:instrText>
      </w:r>
      <w:r>
        <w:fldChar w:fldCharType="separate"/>
      </w:r>
      <w:r>
        <w:rPr>
          <w:rFonts w:hint="eastAsia"/>
          <w:color w:val="000000" w:themeColor="text1"/>
          <w:sz w:val="21"/>
          <w:szCs w:val="21"/>
          <w14:textFill>
            <w14:solidFill>
              <w14:schemeClr w14:val="tx1"/>
            </w14:solidFill>
          </w14:textFill>
        </w:rPr>
        <w:t>材料节约与循环利用</w:t>
      </w:r>
      <w:r>
        <w:rPr>
          <w:rFonts w:hint="eastAsia"/>
          <w:color w:val="000000" w:themeColor="text1"/>
          <w:sz w:val="21"/>
          <w:szCs w:val="21"/>
          <w14:textFill>
            <w14:solidFill>
              <w14:schemeClr w14:val="tx1"/>
            </w14:solidFill>
          </w14:textFill>
        </w:rPr>
        <w:fldChar w:fldCharType="end"/>
      </w:r>
      <w:r>
        <w:rPr>
          <w:rFonts w:hint="eastAsia"/>
          <w:color w:val="000000" w:themeColor="text1"/>
          <w:sz w:val="21"/>
          <w:szCs w:val="21"/>
          <w14:textFill>
            <w14:solidFill>
              <w14:schemeClr w14:val="tx1"/>
            </w14:solidFill>
          </w14:textFill>
        </w:rPr>
        <w:t>专用项评价包括以下内容：</w:t>
      </w:r>
      <w:r>
        <w:rPr>
          <w:color w:val="000000" w:themeColor="text1"/>
          <w:sz w:val="21"/>
          <w:szCs w:val="21"/>
          <w14:textFill>
            <w14:solidFill>
              <w14:schemeClr w14:val="tx1"/>
            </w14:solidFill>
          </w14:textFill>
        </w:rPr>
        <w:t xml:space="preserve"> </w:t>
      </w:r>
    </w:p>
    <w:p w14:paraId="65B2C2F3">
      <w:pPr>
        <w:widowControl w:val="0"/>
        <w:adjustRightInd w:val="0"/>
        <w:snapToGrid w:val="0"/>
        <w:ind w:firstLine="420" w:firstLineChars="200"/>
        <w:outlineLvl w:val="0"/>
        <w:rPr>
          <w:rFonts w:hint="eastAsia"/>
          <w:color w:val="000000" w:themeColor="text1"/>
          <w:sz w:val="21"/>
          <w:szCs w:val="21"/>
          <w14:textFill>
            <w14:solidFill>
              <w14:schemeClr w14:val="tx1"/>
            </w14:solidFill>
          </w14:textFill>
        </w:rPr>
      </w:pPr>
      <w:bookmarkStart w:id="391" w:name="_Toc21201"/>
      <w:bookmarkStart w:id="392" w:name="_Toc15460"/>
      <w:r>
        <w:rPr>
          <w:color w:val="000000" w:themeColor="text1"/>
          <w:sz w:val="21"/>
          <w:szCs w:val="21"/>
          <w14:textFill>
            <w14:solidFill>
              <w14:schemeClr w14:val="tx1"/>
            </w14:solidFill>
          </w14:textFill>
        </w:rPr>
        <w:t xml:space="preserve">1  </w:t>
      </w:r>
      <w:r>
        <w:rPr>
          <w:rFonts w:hint="eastAsia"/>
          <w:color w:val="000000" w:themeColor="text1"/>
          <w:sz w:val="21"/>
          <w:szCs w:val="21"/>
          <w14:textFill>
            <w14:solidFill>
              <w14:schemeClr w14:val="tx1"/>
            </w14:solidFill>
          </w14:textFill>
        </w:rPr>
        <w:t>变电（换流）站</w:t>
      </w:r>
      <w:bookmarkEnd w:id="391"/>
      <w:bookmarkEnd w:id="392"/>
    </w:p>
    <w:p w14:paraId="15EDDD11">
      <w:pPr>
        <w:widowControl w:val="0"/>
        <w:adjustRightInd w:val="0"/>
        <w:snapToGrid w:val="0"/>
        <w:ind w:firstLine="630" w:firstLineChars="300"/>
        <w:outlineLvl w:val="1"/>
        <w:rPr>
          <w:rFonts w:hint="eastAsia"/>
          <w:color w:val="000000" w:themeColor="text1"/>
          <w:sz w:val="21"/>
          <w:szCs w:val="21"/>
          <w14:textFill>
            <w14:solidFill>
              <w14:schemeClr w14:val="tx1"/>
            </w14:solidFill>
          </w14:textFill>
        </w:rPr>
      </w:pPr>
      <w:bookmarkStart w:id="393" w:name="_Toc20114"/>
      <w:bookmarkStart w:id="394" w:name="_Toc1295"/>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变电站主控楼</w:t>
      </w:r>
      <w:r>
        <w:rPr>
          <w:color w:val="000000" w:themeColor="text1"/>
          <w:sz w:val="21"/>
          <w:szCs w:val="21"/>
          <w14:textFill>
            <w14:solidFill>
              <w14:schemeClr w14:val="tx1"/>
            </w14:solidFill>
          </w14:textFill>
        </w:rPr>
        <w:t>主体结构采用预制构件工厂化生产加工技术。</w:t>
      </w:r>
      <w:bookmarkEnd w:id="393"/>
      <w:bookmarkEnd w:id="394"/>
    </w:p>
    <w:p w14:paraId="61468128">
      <w:pPr>
        <w:widowControl w:val="0"/>
        <w:adjustRightInd w:val="0"/>
        <w:snapToGrid w:val="0"/>
        <w:ind w:firstLine="630" w:firstLineChars="300"/>
        <w:rPr>
          <w:rFonts w:hint="eastAsia"/>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2）外门窗安装与外墙面装修同步进行。管线的预埋、预留应与土建及装修工程同步进行，不得现场临时剔凿。</w:t>
      </w:r>
    </w:p>
    <w:p w14:paraId="68D5CD45">
      <w:pPr>
        <w:widowControl w:val="0"/>
        <w:adjustRightInd w:val="0"/>
        <w:snapToGrid w:val="0"/>
        <w:ind w:firstLine="630" w:firstLineChars="3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w:t>
      </w:r>
      <w:r>
        <w:rPr>
          <w:color w:val="000000" w:themeColor="text1"/>
          <w:sz w:val="21"/>
          <w:szCs w:val="21"/>
          <w14:textFill>
            <w14:solidFill>
              <w14:schemeClr w14:val="tx1"/>
            </w14:solidFill>
          </w14:textFill>
        </w:rPr>
        <w:t>）光电缆敷设裕度应设置合理，避免预留长度过长产生不必要损耗。</w:t>
      </w:r>
    </w:p>
    <w:p w14:paraId="6D30C5ED">
      <w:pPr>
        <w:widowControl w:val="0"/>
        <w:adjustRightInd w:val="0"/>
        <w:snapToGrid w:val="0"/>
        <w:ind w:firstLine="630" w:firstLineChars="3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w:t>
      </w:r>
      <w:r>
        <w:rPr>
          <w:color w:val="000000" w:themeColor="text1"/>
          <w:sz w:val="21"/>
          <w:szCs w:val="21"/>
          <w14:textFill>
            <w14:solidFill>
              <w14:schemeClr w14:val="tx1"/>
            </w14:solidFill>
          </w14:textFill>
        </w:rPr>
        <w:t>）高压电缆进仓搭接前，应核对设备与电缆头相位、设备内部导体和电缆头型号适配情况，避免出现返工现象。</w:t>
      </w:r>
    </w:p>
    <w:p w14:paraId="03260A97">
      <w:pPr>
        <w:widowControl w:val="0"/>
        <w:adjustRightInd w:val="0"/>
        <w:snapToGrid w:val="0"/>
        <w:ind w:firstLine="630" w:firstLineChars="3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5</w:t>
      </w:r>
      <w:r>
        <w:rPr>
          <w:color w:val="000000" w:themeColor="text1"/>
          <w:sz w:val="21"/>
          <w:szCs w:val="21"/>
          <w14:textFill>
            <w14:solidFill>
              <w14:schemeClr w14:val="tx1"/>
            </w14:solidFill>
          </w14:textFill>
        </w:rPr>
        <w:t>）电气试验需外接试验套管时，GIS配电装置耐压试验加压位置宜选择在气室较小、方便回气的位置。</w:t>
      </w:r>
    </w:p>
    <w:p w14:paraId="6570EF23">
      <w:pPr>
        <w:widowControl w:val="0"/>
        <w:adjustRightInd w:val="0"/>
        <w:snapToGrid w:val="0"/>
        <w:ind w:firstLine="420" w:firstLineChars="200"/>
        <w:outlineLvl w:val="0"/>
        <w:rPr>
          <w:rFonts w:hint="eastAsia"/>
          <w:color w:val="000000" w:themeColor="text1"/>
          <w:sz w:val="21"/>
          <w:szCs w:val="21"/>
          <w14:textFill>
            <w14:solidFill>
              <w14:schemeClr w14:val="tx1"/>
            </w14:solidFill>
          </w14:textFill>
        </w:rPr>
      </w:pPr>
      <w:bookmarkStart w:id="395" w:name="_Toc8754"/>
      <w:bookmarkStart w:id="396" w:name="_Toc3097"/>
      <w:r>
        <w:rPr>
          <w:color w:val="000000" w:themeColor="text1"/>
          <w:sz w:val="21"/>
          <w:szCs w:val="21"/>
          <w14:textFill>
            <w14:solidFill>
              <w14:schemeClr w14:val="tx1"/>
            </w14:solidFill>
          </w14:textFill>
        </w:rPr>
        <w:t>2  架空</w:t>
      </w:r>
      <w:r>
        <w:rPr>
          <w:rFonts w:hint="eastAsia"/>
          <w:color w:val="000000" w:themeColor="text1"/>
          <w:sz w:val="21"/>
          <w:szCs w:val="21"/>
          <w14:textFill>
            <w14:solidFill>
              <w14:schemeClr w14:val="tx1"/>
            </w14:solidFill>
          </w14:textFill>
        </w:rPr>
        <w:t>输电</w:t>
      </w:r>
      <w:r>
        <w:rPr>
          <w:color w:val="000000" w:themeColor="text1"/>
          <w:sz w:val="21"/>
          <w:szCs w:val="21"/>
          <w14:textFill>
            <w14:solidFill>
              <w14:schemeClr w14:val="tx1"/>
            </w14:solidFill>
          </w14:textFill>
        </w:rPr>
        <w:t>线路</w:t>
      </w:r>
      <w:bookmarkEnd w:id="395"/>
      <w:bookmarkEnd w:id="396"/>
    </w:p>
    <w:p w14:paraId="3892F8F8">
      <w:pPr>
        <w:widowControl w:val="0"/>
        <w:adjustRightInd w:val="0"/>
        <w:snapToGrid w:val="0"/>
        <w:ind w:firstLine="420" w:firstLineChars="2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架空线路钢筋施工应优化钢筋放样下料，采用成型钢筋集中加工；受力钢筋宜机械连接、箍筋采用一笔箍或焊接封闭箍；基础支模采用可重复利用模板，施工中回收散落材料，将短木方接长，拼接木、竹胶合板边角余料，实现材料循环利用。</w:t>
      </w:r>
    </w:p>
    <w:p w14:paraId="7966181C">
      <w:pPr>
        <w:widowControl w:val="0"/>
        <w:adjustRightInd w:val="0"/>
        <w:snapToGrid w:val="0"/>
        <w:ind w:firstLine="420" w:firstLineChars="200"/>
        <w:outlineLvl w:val="0"/>
        <w:rPr>
          <w:rFonts w:hint="eastAsia"/>
          <w:color w:val="000000" w:themeColor="text1"/>
          <w:sz w:val="21"/>
          <w:szCs w:val="21"/>
          <w14:textFill>
            <w14:solidFill>
              <w14:schemeClr w14:val="tx1"/>
            </w14:solidFill>
          </w14:textFill>
        </w:rPr>
      </w:pPr>
      <w:bookmarkStart w:id="397" w:name="_Toc27927"/>
      <w:bookmarkStart w:id="398" w:name="_Toc22430"/>
      <w:r>
        <w:rPr>
          <w:color w:val="000000" w:themeColor="text1"/>
          <w:sz w:val="21"/>
          <w:szCs w:val="21"/>
          <w14:textFill>
            <w14:solidFill>
              <w14:schemeClr w14:val="tx1"/>
            </w14:solidFill>
          </w14:textFill>
        </w:rPr>
        <w:t>3  电缆工程</w:t>
      </w:r>
      <w:bookmarkEnd w:id="397"/>
      <w:bookmarkEnd w:id="398"/>
    </w:p>
    <w:p w14:paraId="5CB7D817">
      <w:pPr>
        <w:widowControl w:val="0"/>
        <w:adjustRightInd w:val="0"/>
        <w:snapToGrid w:val="0"/>
        <w:ind w:firstLine="630" w:firstLineChars="300"/>
        <w:rPr>
          <w:rFonts w:hint="eastAsia"/>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1）电缆通道中采用的预制装配式结构构件，宜采取工厂化加工，制作时准确预留、预埋；存放和运输应采取防止变形和损坏的措施；加工和进场顺序应与现场安装顺序一致，不宜二次倒运。</w:t>
      </w:r>
    </w:p>
    <w:p w14:paraId="13E9D62E">
      <w:pPr>
        <w:widowControl w:val="0"/>
        <w:adjustRightInd w:val="0"/>
        <w:snapToGrid w:val="0"/>
        <w:ind w:firstLine="630" w:firstLineChars="300"/>
        <w:rPr>
          <w:rFonts w:hint="eastAsia"/>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2）电缆配盘应合理，缆线在终端与接头附近应预留适合的长度，减少现场的材料损耗。</w:t>
      </w:r>
    </w:p>
    <w:p w14:paraId="0CCA64CD">
      <w:pPr>
        <w:widowControl w:val="0"/>
        <w:adjustRightInd w:val="0"/>
        <w:snapToGrid w:val="0"/>
        <w:ind w:firstLine="630" w:firstLineChars="300"/>
        <w:rPr>
          <w:rFonts w:hint="eastAsia"/>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3）电缆附件以及防火隔板、涂料、包带、堵料等材料，其储存保管应符合产品技术性能要求。</w:t>
      </w:r>
    </w:p>
    <w:p w14:paraId="4B89C7E4">
      <w:pPr>
        <w:widowControl w:val="0"/>
        <w:adjustRightInd w:val="0"/>
        <w:snapToGrid w:val="0"/>
        <w:ind w:firstLine="420" w:firstLineChars="200"/>
        <w:outlineLvl w:val="0"/>
        <w:rPr>
          <w:rFonts w:hint="eastAsia"/>
          <w:color w:val="000000" w:themeColor="text1"/>
          <w:sz w:val="21"/>
          <w:szCs w:val="21"/>
          <w14:textFill>
            <w14:solidFill>
              <w14:schemeClr w14:val="tx1"/>
            </w14:solidFill>
          </w14:textFill>
        </w:rPr>
      </w:pPr>
      <w:bookmarkStart w:id="399" w:name="_Toc11212"/>
      <w:bookmarkStart w:id="400" w:name="_Toc12769"/>
      <w:r>
        <w:rPr>
          <w:color w:val="000000" w:themeColor="text1"/>
          <w:sz w:val="21"/>
          <w:szCs w:val="21"/>
          <w14:textFill>
            <w14:solidFill>
              <w14:schemeClr w14:val="tx1"/>
            </w14:solidFill>
          </w14:textFill>
        </w:rPr>
        <w:t xml:space="preserve">4  </w:t>
      </w:r>
      <w:r>
        <w:rPr>
          <w:rFonts w:hint="eastAsia"/>
          <w:color w:val="000000" w:themeColor="text1"/>
          <w:sz w:val="21"/>
          <w:szCs w:val="21"/>
          <w14:textFill>
            <w14:solidFill>
              <w14:schemeClr w14:val="tx1"/>
            </w14:solidFill>
          </w14:textFill>
        </w:rPr>
        <w:t>海底</w:t>
      </w:r>
      <w:r>
        <w:rPr>
          <w:color w:val="000000" w:themeColor="text1"/>
          <w:sz w:val="21"/>
          <w:szCs w:val="21"/>
          <w14:textFill>
            <w14:solidFill>
              <w14:schemeClr w14:val="tx1"/>
            </w14:solidFill>
          </w14:textFill>
        </w:rPr>
        <w:t>电缆工程</w:t>
      </w:r>
      <w:bookmarkEnd w:id="399"/>
      <w:bookmarkEnd w:id="400"/>
    </w:p>
    <w:p w14:paraId="7FC6513D">
      <w:pPr>
        <w:widowControl w:val="0"/>
        <w:adjustRightInd w:val="0"/>
        <w:snapToGrid w:val="0"/>
        <w:ind w:firstLine="630" w:firstLineChars="300"/>
        <w:outlineLvl w:val="1"/>
        <w:rPr>
          <w:rFonts w:hint="eastAsia"/>
          <w:color w:val="000000" w:themeColor="text1"/>
          <w:sz w:val="21"/>
          <w:szCs w:val="21"/>
          <w14:textFill>
            <w14:solidFill>
              <w14:schemeClr w14:val="tx1"/>
            </w14:solidFill>
          </w14:textFill>
        </w:rPr>
      </w:pPr>
      <w:bookmarkStart w:id="401" w:name="_Toc32629"/>
      <w:bookmarkStart w:id="402" w:name="_Toc24848"/>
      <w:r>
        <w:rPr>
          <w:color w:val="000000" w:themeColor="text1"/>
          <w:sz w:val="21"/>
          <w:szCs w:val="21"/>
          <w14:textFill>
            <w14:solidFill>
              <w14:schemeClr w14:val="tx1"/>
            </w14:solidFill>
          </w14:textFill>
        </w:rPr>
        <w:t>1）优化施工船舶的航线规划，减少不必要的航行和燃油消耗。</w:t>
      </w:r>
      <w:bookmarkEnd w:id="401"/>
      <w:bookmarkEnd w:id="402"/>
    </w:p>
    <w:p w14:paraId="76278213">
      <w:pPr>
        <w:widowControl w:val="0"/>
        <w:adjustRightInd w:val="0"/>
        <w:snapToGrid w:val="0"/>
        <w:ind w:firstLine="630" w:firstLineChars="300"/>
        <w:rPr>
          <w:rFonts w:hint="eastAsia"/>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施工船舶应采用节能型发动机和推进系统，降低燃油消耗和碳排放。</w:t>
      </w:r>
    </w:p>
    <w:p w14:paraId="64B608EA">
      <w:pPr>
        <w:widowControl w:val="0"/>
        <w:adjustRightInd w:val="0"/>
        <w:snapToGrid w:val="0"/>
        <w:rPr>
          <w:rFonts w:hint="eastAsia"/>
          <w:color w:val="FF0000"/>
          <w:sz w:val="21"/>
          <w:szCs w:val="21"/>
        </w:rPr>
      </w:pPr>
      <w:r>
        <w:rPr>
          <w:sz w:val="21"/>
          <w:szCs w:val="21"/>
        </w:rPr>
        <w:t xml:space="preserve">6.3.7  </w:t>
      </w:r>
      <w:r>
        <w:rPr>
          <w:rFonts w:hint="eastAsia"/>
          <w:sz w:val="21"/>
          <w:szCs w:val="21"/>
        </w:rPr>
        <w:t>电力储能工程</w:t>
      </w:r>
      <w:r>
        <w:fldChar w:fldCharType="begin"/>
      </w:r>
      <w:r>
        <w:instrText xml:space="preserve"> HYPERLINK \l "_Toc162470927" </w:instrText>
      </w:r>
      <w:r>
        <w:fldChar w:fldCharType="separate"/>
      </w:r>
      <w:r>
        <w:rPr>
          <w:rFonts w:hint="eastAsia"/>
          <w:sz w:val="21"/>
          <w:szCs w:val="21"/>
        </w:rPr>
        <w:t>材料节约与循环利用</w:t>
      </w:r>
      <w:r>
        <w:rPr>
          <w:rFonts w:hint="eastAsia"/>
          <w:sz w:val="21"/>
          <w:szCs w:val="21"/>
        </w:rPr>
        <w:fldChar w:fldCharType="end"/>
      </w:r>
      <w:r>
        <w:rPr>
          <w:rFonts w:hint="eastAsia"/>
          <w:sz w:val="21"/>
          <w:szCs w:val="21"/>
        </w:rPr>
        <w:t>专用项评价包括以下内容：</w:t>
      </w:r>
      <w:r>
        <w:rPr>
          <w:color w:val="FF0000"/>
          <w:sz w:val="21"/>
          <w:szCs w:val="21"/>
        </w:rPr>
        <w:t xml:space="preserve"> </w:t>
      </w:r>
    </w:p>
    <w:p w14:paraId="3680D625">
      <w:pPr>
        <w:widowControl w:val="0"/>
        <w:ind w:firstLine="420" w:firstLineChars="200"/>
        <w:outlineLvl w:val="0"/>
        <w:rPr>
          <w:rFonts w:hint="eastAsia"/>
          <w:sz w:val="21"/>
          <w:szCs w:val="21"/>
        </w:rPr>
      </w:pPr>
      <w:bookmarkStart w:id="403" w:name="_Toc19282"/>
      <w:bookmarkStart w:id="404" w:name="_Toc31818"/>
      <w:r>
        <w:rPr>
          <w:sz w:val="21"/>
          <w:szCs w:val="21"/>
        </w:rPr>
        <w:t>1  电化学（锂电、液流、燃料电池、钠离子、铅酸、铅炭）储能</w:t>
      </w:r>
      <w:bookmarkEnd w:id="403"/>
      <w:bookmarkEnd w:id="404"/>
    </w:p>
    <w:p w14:paraId="07A41AD1">
      <w:pPr>
        <w:widowControl w:val="0"/>
        <w:ind w:firstLine="630" w:firstLineChars="300"/>
        <w:rPr>
          <w:rFonts w:hint="eastAsia"/>
          <w:sz w:val="21"/>
          <w:szCs w:val="21"/>
        </w:rPr>
      </w:pPr>
      <w:r>
        <w:rPr>
          <w:sz w:val="21"/>
          <w:szCs w:val="21"/>
        </w:rPr>
        <w:t>1）</w:t>
      </w:r>
      <w:r>
        <w:rPr>
          <w:rFonts w:hint="eastAsia"/>
          <w:sz w:val="21"/>
          <w:szCs w:val="21"/>
        </w:rPr>
        <w:t>在施工过程中主接地网与储能集装箱之间的设备接地线，施工单位应在核实集装箱外壳上的接地点位置后，从距离集装箱外壳接地点最近的主接地网引出设备接地线，减少设备接地线材料用量。</w:t>
      </w:r>
    </w:p>
    <w:p w14:paraId="3DA58171">
      <w:pPr>
        <w:widowControl w:val="0"/>
        <w:ind w:firstLine="630" w:firstLineChars="300"/>
        <w:rPr>
          <w:rFonts w:hint="eastAsia"/>
          <w:sz w:val="21"/>
          <w:szCs w:val="21"/>
        </w:rPr>
      </w:pPr>
      <w:r>
        <w:rPr>
          <w:sz w:val="21"/>
          <w:szCs w:val="21"/>
        </w:rPr>
        <w:t>2）</w:t>
      </w:r>
      <w:r>
        <w:rPr>
          <w:rFonts w:hint="eastAsia"/>
          <w:sz w:val="21"/>
          <w:szCs w:val="21"/>
        </w:rPr>
        <w:t>建立对施工中产生的废旧电池、电解液及电极材料等进行回收利用的预案措施，签订有废旧电池回收协议，通过专业机构的回收、处理和修复，实现材料的循环利用。</w:t>
      </w:r>
    </w:p>
    <w:p w14:paraId="1163AAC3">
      <w:pPr>
        <w:widowControl w:val="0"/>
        <w:ind w:firstLine="420" w:firstLineChars="200"/>
        <w:outlineLvl w:val="0"/>
        <w:rPr>
          <w:rFonts w:hint="eastAsia"/>
          <w:sz w:val="21"/>
          <w:szCs w:val="21"/>
        </w:rPr>
      </w:pPr>
      <w:bookmarkStart w:id="405" w:name="_Toc28833"/>
      <w:bookmarkStart w:id="406" w:name="_Toc18493"/>
      <w:r>
        <w:rPr>
          <w:sz w:val="21"/>
          <w:szCs w:val="21"/>
        </w:rPr>
        <w:t>2  飞轮储能</w:t>
      </w:r>
      <w:bookmarkEnd w:id="405"/>
      <w:bookmarkEnd w:id="406"/>
    </w:p>
    <w:p w14:paraId="379AC518">
      <w:pPr>
        <w:widowControl w:val="0"/>
        <w:ind w:firstLine="630" w:firstLineChars="300"/>
        <w:rPr>
          <w:rFonts w:hint="eastAsia"/>
          <w:sz w:val="21"/>
          <w:szCs w:val="21"/>
        </w:rPr>
      </w:pPr>
      <w:r>
        <w:rPr>
          <w:rFonts w:hint="eastAsia"/>
          <w:sz w:val="21"/>
          <w:szCs w:val="21"/>
        </w:rPr>
        <w:t>1）在施工阶段和调试、运维阶段，建立对飞轮储能系统中电机、轴承、电力电子器件等设备的维护</w:t>
      </w:r>
      <w:r>
        <w:rPr>
          <w:sz w:val="21"/>
          <w:szCs w:val="21"/>
        </w:rPr>
        <w:t>方案措施</w:t>
      </w:r>
      <w:r>
        <w:rPr>
          <w:rFonts w:hint="eastAsia"/>
          <w:sz w:val="21"/>
          <w:szCs w:val="21"/>
        </w:rPr>
        <w:t>，</w:t>
      </w:r>
      <w:r>
        <w:rPr>
          <w:sz w:val="21"/>
          <w:szCs w:val="21"/>
        </w:rPr>
        <w:t>方案措施中应有</w:t>
      </w:r>
      <w:r>
        <w:rPr>
          <w:rFonts w:hint="eastAsia"/>
          <w:sz w:val="21"/>
          <w:szCs w:val="21"/>
        </w:rPr>
        <w:t>定期保养和维修，延长其使用寿命，</w:t>
      </w:r>
      <w:r>
        <w:rPr>
          <w:sz w:val="21"/>
          <w:szCs w:val="21"/>
        </w:rPr>
        <w:t>减少材料消耗量</w:t>
      </w:r>
      <w:r>
        <w:rPr>
          <w:rFonts w:hint="eastAsia"/>
          <w:sz w:val="21"/>
          <w:szCs w:val="21"/>
        </w:rPr>
        <w:t>。</w:t>
      </w:r>
    </w:p>
    <w:p w14:paraId="478803C8">
      <w:pPr>
        <w:widowControl w:val="0"/>
        <w:ind w:firstLine="630" w:firstLineChars="300"/>
        <w:rPr>
          <w:rFonts w:hint="eastAsia"/>
          <w:sz w:val="21"/>
          <w:szCs w:val="21"/>
        </w:rPr>
      </w:pPr>
      <w:r>
        <w:rPr>
          <w:sz w:val="21"/>
          <w:szCs w:val="21"/>
        </w:rPr>
        <w:t>2）</w:t>
      </w:r>
      <w:r>
        <w:rPr>
          <w:rFonts w:hint="eastAsia"/>
          <w:sz w:val="21"/>
          <w:szCs w:val="21"/>
        </w:rPr>
        <w:t>飞轮储能主设备及装置中的材料，在报废后可进行回收利用。制定合理的回收方案或</w:t>
      </w:r>
      <w:r>
        <w:rPr>
          <w:sz w:val="21"/>
          <w:szCs w:val="21"/>
        </w:rPr>
        <w:t>与专业厂家签订回收协议</w:t>
      </w:r>
      <w:r>
        <w:rPr>
          <w:rFonts w:hint="eastAsia"/>
          <w:sz w:val="21"/>
          <w:szCs w:val="21"/>
        </w:rPr>
        <w:t>，对可再利用的材料进行回收和处理，使其能够重新投入生产或其他适用领域。</w:t>
      </w:r>
    </w:p>
    <w:p w14:paraId="4805F63C">
      <w:pPr>
        <w:widowControl w:val="0"/>
        <w:ind w:firstLine="630" w:firstLineChars="300"/>
        <w:outlineLvl w:val="0"/>
        <w:rPr>
          <w:rFonts w:hint="eastAsia"/>
          <w:sz w:val="21"/>
          <w:szCs w:val="21"/>
        </w:rPr>
      </w:pPr>
      <w:bookmarkStart w:id="407" w:name="_Toc3504"/>
      <w:bookmarkStart w:id="408" w:name="_Toc945"/>
      <w:r>
        <w:rPr>
          <w:sz w:val="21"/>
          <w:szCs w:val="21"/>
        </w:rPr>
        <w:t>3压缩空气储能</w:t>
      </w:r>
      <w:bookmarkEnd w:id="407"/>
      <w:bookmarkEnd w:id="408"/>
    </w:p>
    <w:p w14:paraId="27C428D3">
      <w:pPr>
        <w:widowControl w:val="0"/>
        <w:ind w:firstLine="840" w:firstLineChars="400"/>
        <w:rPr>
          <w:rFonts w:hint="eastAsia"/>
          <w:sz w:val="21"/>
          <w:szCs w:val="21"/>
        </w:rPr>
      </w:pPr>
      <w:r>
        <w:rPr>
          <w:rFonts w:hint="eastAsia"/>
          <w:sz w:val="21"/>
          <w:szCs w:val="21"/>
        </w:rPr>
        <w:t>1）对压缩空气储能项目施工过程中产生的金属、保温材料等废料，进行分类回收和处理，实现循环在利用。</w:t>
      </w:r>
    </w:p>
    <w:p w14:paraId="2B5EF601">
      <w:pPr>
        <w:widowControl w:val="0"/>
        <w:ind w:firstLine="840" w:firstLineChars="400"/>
        <w:rPr>
          <w:rFonts w:hint="eastAsia"/>
          <w:sz w:val="21"/>
          <w:szCs w:val="21"/>
        </w:rPr>
      </w:pPr>
      <w:r>
        <w:rPr>
          <w:rFonts w:hint="eastAsia"/>
          <w:sz w:val="21"/>
          <w:szCs w:val="21"/>
        </w:rPr>
        <w:t>2）建立压缩空气储能项目施工过程中的材料利用监督管理措施，避免材料损坏或浪费。</w:t>
      </w:r>
    </w:p>
    <w:p w14:paraId="7510458C">
      <w:pPr>
        <w:widowControl w:val="0"/>
        <w:ind w:firstLine="840" w:firstLineChars="400"/>
        <w:rPr>
          <w:rFonts w:hint="eastAsia"/>
          <w:sz w:val="21"/>
          <w:szCs w:val="21"/>
        </w:rPr>
      </w:pPr>
      <w:r>
        <w:rPr>
          <w:rFonts w:hint="eastAsia"/>
          <w:sz w:val="21"/>
          <w:szCs w:val="21"/>
        </w:rPr>
        <w:t>3）建立对空气压缩机、电动机、发电机、膨胀机、热交换器等设备的保养维护措施，提高设备寿命，提升材料节约及循环利用水平。</w:t>
      </w:r>
    </w:p>
    <w:p w14:paraId="0C490D1D">
      <w:pPr>
        <w:spacing w:before="120" w:beforeLines="50" w:after="240" w:afterLines="100"/>
        <w:jc w:val="center"/>
        <w:rPr>
          <w:rFonts w:hint="eastAsia"/>
          <w:sz w:val="21"/>
          <w:szCs w:val="21"/>
        </w:rPr>
      </w:pPr>
      <w:r>
        <w:rPr>
          <w:rFonts w:hint="eastAsia"/>
          <w:sz w:val="21"/>
          <w:szCs w:val="21"/>
        </w:rPr>
        <w:t>Ⅱ</w:t>
      </w:r>
      <w:r>
        <w:rPr>
          <w:sz w:val="21"/>
          <w:szCs w:val="21"/>
        </w:rPr>
        <w:t xml:space="preserve">  </w:t>
      </w:r>
      <w:r>
        <w:rPr>
          <w:rFonts w:hint="eastAsia"/>
          <w:sz w:val="21"/>
          <w:szCs w:val="21"/>
        </w:rPr>
        <w:t>建筑垃圾控制与循环利用</w:t>
      </w:r>
    </w:p>
    <w:p w14:paraId="6988D1BF">
      <w:pPr>
        <w:widowControl w:val="0"/>
        <w:adjustRightInd w:val="0"/>
        <w:snapToGrid w:val="0"/>
        <w:outlineLvl w:val="1"/>
        <w:rPr>
          <w:rFonts w:hint="eastAsia"/>
          <w:sz w:val="21"/>
          <w:szCs w:val="21"/>
        </w:rPr>
      </w:pPr>
      <w:bookmarkStart w:id="409" w:name="_Toc22653"/>
      <w:bookmarkStart w:id="410" w:name="_Toc19162"/>
      <w:r>
        <w:fldChar w:fldCharType="begin"/>
      </w:r>
      <w:r>
        <w:instrText xml:space="preserve"> HYPERLINK \l "_Toc162470928" </w:instrText>
      </w:r>
      <w:r>
        <w:fldChar w:fldCharType="separate"/>
      </w:r>
      <w:r>
        <w:rPr>
          <w:sz w:val="21"/>
          <w:szCs w:val="21"/>
        </w:rPr>
        <w:t xml:space="preserve">6.3.8  </w:t>
      </w:r>
      <w:r>
        <w:fldChar w:fldCharType="begin"/>
      </w:r>
      <w:r>
        <w:instrText xml:space="preserve"> HYPERLINK \l "_Toc162470928" </w:instrText>
      </w:r>
      <w:r>
        <w:fldChar w:fldCharType="separate"/>
      </w:r>
      <w:r>
        <w:rPr>
          <w:rFonts w:hint="eastAsia"/>
          <w:sz w:val="21"/>
          <w:szCs w:val="21"/>
        </w:rPr>
        <w:t>建筑垃圾控制与循环利用通用项</w:t>
      </w:r>
      <w:r>
        <w:rPr>
          <w:rFonts w:hint="eastAsia"/>
          <w:sz w:val="21"/>
          <w:szCs w:val="21"/>
        </w:rPr>
        <w:fldChar w:fldCharType="end"/>
      </w:r>
      <w:r>
        <w:rPr>
          <w:rFonts w:hint="eastAsia"/>
          <w:sz w:val="21"/>
          <w:szCs w:val="21"/>
        </w:rPr>
        <w:t>评价包括以下内容：</w:t>
      </w:r>
      <w:r>
        <w:rPr>
          <w:rFonts w:hint="eastAsia"/>
          <w:sz w:val="21"/>
          <w:szCs w:val="21"/>
        </w:rPr>
        <w:fldChar w:fldCharType="end"/>
      </w:r>
      <w:bookmarkEnd w:id="409"/>
      <w:bookmarkEnd w:id="410"/>
    </w:p>
    <w:p w14:paraId="40E37FC7">
      <w:pPr>
        <w:widowControl w:val="0"/>
        <w:adjustRightInd w:val="0"/>
        <w:snapToGrid w:val="0"/>
        <w:ind w:firstLine="420" w:firstLineChars="200"/>
        <w:outlineLvl w:val="0"/>
        <w:rPr>
          <w:rFonts w:hint="eastAsia"/>
          <w:sz w:val="21"/>
          <w:szCs w:val="21"/>
        </w:rPr>
      </w:pPr>
      <w:bookmarkStart w:id="411" w:name="_Toc30559"/>
      <w:bookmarkStart w:id="412" w:name="_Toc17031"/>
      <w:r>
        <w:rPr>
          <w:sz w:val="21"/>
          <w:szCs w:val="21"/>
        </w:rPr>
        <w:t>1  建筑垃圾控制措施</w:t>
      </w:r>
      <w:bookmarkEnd w:id="411"/>
      <w:bookmarkEnd w:id="412"/>
    </w:p>
    <w:p w14:paraId="72A9C4A4">
      <w:pPr>
        <w:widowControl w:val="0"/>
        <w:adjustRightInd w:val="0"/>
        <w:snapToGrid w:val="0"/>
        <w:ind w:firstLine="630" w:firstLineChars="300"/>
        <w:rPr>
          <w:rFonts w:hint="eastAsia"/>
          <w:sz w:val="21"/>
          <w:szCs w:val="21"/>
        </w:rPr>
      </w:pPr>
      <w:r>
        <w:rPr>
          <w:sz w:val="21"/>
          <w:szCs w:val="21"/>
        </w:rPr>
        <w:t xml:space="preserve">1）制定垃圾减量目标及措施。 </w:t>
      </w:r>
    </w:p>
    <w:p w14:paraId="75E9AF20">
      <w:pPr>
        <w:widowControl w:val="0"/>
        <w:adjustRightInd w:val="0"/>
        <w:snapToGrid w:val="0"/>
        <w:ind w:firstLine="630" w:firstLineChars="300"/>
        <w:rPr>
          <w:rFonts w:hint="eastAsia"/>
          <w:sz w:val="21"/>
          <w:szCs w:val="21"/>
        </w:rPr>
      </w:pPr>
      <w:r>
        <w:rPr>
          <w:sz w:val="21"/>
          <w:szCs w:val="21"/>
        </w:rPr>
        <w:t>2）建筑垃圾分类</w:t>
      </w:r>
      <w:r>
        <w:rPr>
          <w:rFonts w:hint="eastAsia"/>
          <w:sz w:val="21"/>
          <w:szCs w:val="21"/>
        </w:rPr>
        <w:t>收集</w:t>
      </w:r>
      <w:r>
        <w:rPr>
          <w:sz w:val="21"/>
          <w:szCs w:val="21"/>
        </w:rPr>
        <w:t>存放，</w:t>
      </w:r>
      <w:r>
        <w:rPr>
          <w:rFonts w:hint="eastAsia"/>
          <w:sz w:val="21"/>
          <w:szCs w:val="21"/>
        </w:rPr>
        <w:t>并建立相应台账。</w:t>
      </w:r>
    </w:p>
    <w:p w14:paraId="20F06007">
      <w:pPr>
        <w:widowControl w:val="0"/>
        <w:adjustRightInd w:val="0"/>
        <w:snapToGrid w:val="0"/>
        <w:ind w:firstLine="630" w:firstLineChars="300"/>
        <w:rPr>
          <w:rFonts w:hint="eastAsia"/>
          <w:sz w:val="21"/>
          <w:szCs w:val="21"/>
        </w:rPr>
      </w:pPr>
      <w:r>
        <w:rPr>
          <w:sz w:val="21"/>
          <w:szCs w:val="21"/>
        </w:rPr>
        <w:t>3）建筑垃圾处置清运应由政府许可单位处理，并建立清运台账。</w:t>
      </w:r>
    </w:p>
    <w:p w14:paraId="40A0BAB2">
      <w:pPr>
        <w:widowControl w:val="0"/>
        <w:adjustRightInd w:val="0"/>
        <w:snapToGrid w:val="0"/>
        <w:ind w:firstLine="630" w:firstLineChars="300"/>
        <w:rPr>
          <w:rFonts w:hint="eastAsia"/>
          <w:sz w:val="21"/>
          <w:szCs w:val="21"/>
        </w:rPr>
      </w:pPr>
      <w:r>
        <w:rPr>
          <w:sz w:val="21"/>
          <w:szCs w:val="21"/>
        </w:rPr>
        <w:t>4）现场有毒有害废弃物</w:t>
      </w:r>
      <w:r>
        <w:rPr>
          <w:rFonts w:hint="eastAsia"/>
          <w:sz w:val="21"/>
          <w:szCs w:val="21"/>
        </w:rPr>
        <w:t>应</w:t>
      </w:r>
      <w:r>
        <w:rPr>
          <w:sz w:val="21"/>
          <w:szCs w:val="21"/>
        </w:rPr>
        <w:t>100%分类回收，</w:t>
      </w:r>
      <w:r>
        <w:rPr>
          <w:rFonts w:hint="eastAsia"/>
          <w:sz w:val="21"/>
          <w:szCs w:val="21"/>
        </w:rPr>
        <w:t>委托有资质的单位进行处理</w:t>
      </w:r>
      <w:r>
        <w:rPr>
          <w:sz w:val="21"/>
          <w:szCs w:val="21"/>
        </w:rPr>
        <w:t>。</w:t>
      </w:r>
    </w:p>
    <w:p w14:paraId="71270372">
      <w:pPr>
        <w:widowControl w:val="0"/>
        <w:adjustRightInd w:val="0"/>
        <w:snapToGrid w:val="0"/>
        <w:ind w:firstLine="630" w:firstLineChars="300"/>
        <w:outlineLvl w:val="1"/>
        <w:rPr>
          <w:rFonts w:hint="eastAsia"/>
          <w:sz w:val="21"/>
          <w:szCs w:val="21"/>
        </w:rPr>
      </w:pPr>
      <w:bookmarkStart w:id="413" w:name="_Toc11597"/>
      <w:bookmarkStart w:id="414" w:name="_Toc1783"/>
      <w:r>
        <w:rPr>
          <w:sz w:val="21"/>
          <w:szCs w:val="21"/>
        </w:rPr>
        <w:t>5）设备材料</w:t>
      </w:r>
      <w:r>
        <w:rPr>
          <w:rFonts w:hint="eastAsia"/>
          <w:sz w:val="21"/>
          <w:szCs w:val="21"/>
        </w:rPr>
        <w:t>的</w:t>
      </w:r>
      <w:r>
        <w:rPr>
          <w:sz w:val="21"/>
          <w:szCs w:val="21"/>
        </w:rPr>
        <w:t>包装物</w:t>
      </w:r>
      <w:r>
        <w:rPr>
          <w:rFonts w:hint="eastAsia"/>
          <w:sz w:val="21"/>
          <w:szCs w:val="21"/>
        </w:rPr>
        <w:t>应</w:t>
      </w:r>
      <w:r>
        <w:rPr>
          <w:sz w:val="21"/>
          <w:szCs w:val="21"/>
        </w:rPr>
        <w:t>100%</w:t>
      </w:r>
      <w:r>
        <w:rPr>
          <w:rFonts w:hint="eastAsia"/>
          <w:sz w:val="21"/>
          <w:szCs w:val="21"/>
        </w:rPr>
        <w:t>分类回收。</w:t>
      </w:r>
      <w:bookmarkEnd w:id="413"/>
      <w:bookmarkEnd w:id="414"/>
    </w:p>
    <w:p w14:paraId="00BC22E1">
      <w:pPr>
        <w:widowControl w:val="0"/>
        <w:adjustRightInd w:val="0"/>
        <w:snapToGrid w:val="0"/>
        <w:ind w:firstLine="630" w:firstLineChars="300"/>
        <w:rPr>
          <w:rFonts w:hint="eastAsia"/>
          <w:sz w:val="21"/>
          <w:szCs w:val="21"/>
        </w:rPr>
      </w:pPr>
      <w:r>
        <w:rPr>
          <w:sz w:val="21"/>
          <w:szCs w:val="21"/>
        </w:rPr>
        <w:t>6）废弃保温材料</w:t>
      </w:r>
      <w:r>
        <w:rPr>
          <w:rFonts w:hint="eastAsia"/>
          <w:sz w:val="21"/>
          <w:szCs w:val="21"/>
        </w:rPr>
        <w:t>应</w:t>
      </w:r>
      <w:r>
        <w:rPr>
          <w:sz w:val="21"/>
          <w:szCs w:val="21"/>
        </w:rPr>
        <w:t>集中存放，做好隔挡，委托有资质的单位进行处理。</w:t>
      </w:r>
    </w:p>
    <w:p w14:paraId="4C92CBF5">
      <w:pPr>
        <w:widowControl w:val="0"/>
        <w:adjustRightInd w:val="0"/>
        <w:snapToGrid w:val="0"/>
        <w:ind w:firstLine="630" w:firstLineChars="300"/>
        <w:rPr>
          <w:rFonts w:hint="eastAsia"/>
          <w:sz w:val="21"/>
          <w:szCs w:val="21"/>
        </w:rPr>
      </w:pPr>
      <w:r>
        <w:rPr>
          <w:sz w:val="21"/>
          <w:szCs w:val="21"/>
        </w:rPr>
        <w:t>7）机械保养等过程产生的废油、设备滤油</w:t>
      </w:r>
      <w:r>
        <w:rPr>
          <w:rFonts w:hint="eastAsia"/>
          <w:sz w:val="21"/>
          <w:szCs w:val="21"/>
        </w:rPr>
        <w:t>等，设置专门的容器存放，委托有</w:t>
      </w:r>
      <w:r>
        <w:rPr>
          <w:sz w:val="21"/>
          <w:szCs w:val="21"/>
        </w:rPr>
        <w:t>资质的单位进行回收</w:t>
      </w:r>
      <w:r>
        <w:rPr>
          <w:rFonts w:hint="eastAsia"/>
          <w:sz w:val="21"/>
          <w:szCs w:val="21"/>
        </w:rPr>
        <w:t>。</w:t>
      </w:r>
    </w:p>
    <w:p w14:paraId="36A75504">
      <w:pPr>
        <w:widowControl w:val="0"/>
        <w:adjustRightInd w:val="0"/>
        <w:snapToGrid w:val="0"/>
        <w:ind w:firstLine="630" w:firstLineChars="300"/>
        <w:rPr>
          <w:rFonts w:hint="eastAsia"/>
          <w:sz w:val="21"/>
          <w:szCs w:val="21"/>
        </w:rPr>
      </w:pPr>
      <w:r>
        <w:rPr>
          <w:sz w:val="21"/>
          <w:szCs w:val="21"/>
        </w:rPr>
        <w:t>8）电缆头制作、二次接线产生电缆绝缘皮、线芯碎头等废弃物应集中回收处理。</w:t>
      </w:r>
    </w:p>
    <w:p w14:paraId="4C7545AE">
      <w:pPr>
        <w:widowControl w:val="0"/>
        <w:adjustRightInd w:val="0"/>
        <w:snapToGrid w:val="0"/>
        <w:ind w:firstLine="420" w:firstLineChars="200"/>
        <w:outlineLvl w:val="0"/>
        <w:rPr>
          <w:rFonts w:hint="eastAsia"/>
          <w:sz w:val="21"/>
          <w:szCs w:val="21"/>
        </w:rPr>
      </w:pPr>
      <w:bookmarkStart w:id="415" w:name="_Toc25206"/>
      <w:bookmarkStart w:id="416" w:name="_Toc15984"/>
      <w:r>
        <w:rPr>
          <w:sz w:val="21"/>
          <w:szCs w:val="21"/>
        </w:rPr>
        <w:t>2  建筑垃圾循环利用措施</w:t>
      </w:r>
      <w:bookmarkEnd w:id="415"/>
      <w:bookmarkEnd w:id="416"/>
    </w:p>
    <w:p w14:paraId="49FF0C23">
      <w:pPr>
        <w:widowControl w:val="0"/>
        <w:adjustRightInd w:val="0"/>
        <w:snapToGrid w:val="0"/>
        <w:ind w:firstLine="630" w:firstLineChars="300"/>
        <w:rPr>
          <w:rFonts w:hint="eastAsia"/>
          <w:sz w:val="21"/>
          <w:szCs w:val="21"/>
        </w:rPr>
      </w:pPr>
      <w:r>
        <w:rPr>
          <w:sz w:val="21"/>
          <w:szCs w:val="21"/>
        </w:rPr>
        <w:t>1）</w:t>
      </w:r>
      <w:r>
        <w:rPr>
          <w:rFonts w:hint="eastAsia"/>
          <w:sz w:val="21"/>
          <w:szCs w:val="21"/>
        </w:rPr>
        <w:t>制定建筑垃圾再利用措施，</w:t>
      </w:r>
      <w:r>
        <w:rPr>
          <w:sz w:val="21"/>
          <w:szCs w:val="21"/>
        </w:rPr>
        <w:t>建筑</w:t>
      </w:r>
      <w:r>
        <w:rPr>
          <w:rFonts w:hint="eastAsia"/>
          <w:sz w:val="21"/>
          <w:szCs w:val="21"/>
        </w:rPr>
        <w:t>垃圾</w:t>
      </w:r>
      <w:r>
        <w:rPr>
          <w:sz w:val="21"/>
          <w:szCs w:val="21"/>
        </w:rPr>
        <w:t>回收利用率应达到30%。</w:t>
      </w:r>
    </w:p>
    <w:p w14:paraId="58817214">
      <w:pPr>
        <w:widowControl w:val="0"/>
        <w:adjustRightInd w:val="0"/>
        <w:snapToGrid w:val="0"/>
        <w:ind w:firstLine="630" w:firstLineChars="300"/>
        <w:rPr>
          <w:rFonts w:hint="eastAsia"/>
          <w:sz w:val="21"/>
          <w:szCs w:val="21"/>
        </w:rPr>
      </w:pPr>
      <w:r>
        <w:rPr>
          <w:sz w:val="21"/>
          <w:szCs w:val="21"/>
        </w:rPr>
        <w:t>2）</w:t>
      </w:r>
      <w:r>
        <w:rPr>
          <w:rFonts w:hint="eastAsia"/>
          <w:sz w:val="21"/>
          <w:szCs w:val="21"/>
        </w:rPr>
        <w:t>充分利用</w:t>
      </w:r>
      <w:r>
        <w:rPr>
          <w:sz w:val="21"/>
          <w:szCs w:val="21"/>
        </w:rPr>
        <w:t>建筑垃圾为原料生产的达标建筑材料。</w:t>
      </w:r>
    </w:p>
    <w:p w14:paraId="79026186">
      <w:pPr>
        <w:widowControl w:val="0"/>
        <w:adjustRightInd w:val="0"/>
        <w:snapToGrid w:val="0"/>
        <w:ind w:firstLine="630" w:firstLineChars="300"/>
        <w:rPr>
          <w:rFonts w:hint="eastAsia"/>
          <w:sz w:val="21"/>
          <w:szCs w:val="21"/>
        </w:rPr>
      </w:pPr>
      <w:r>
        <w:rPr>
          <w:sz w:val="21"/>
          <w:szCs w:val="21"/>
        </w:rPr>
        <w:t>3）充分利用现场开山和开挖的石块、碎石</w:t>
      </w:r>
      <w:r>
        <w:rPr>
          <w:rFonts w:hint="eastAsia"/>
          <w:sz w:val="21"/>
          <w:szCs w:val="21"/>
        </w:rPr>
        <w:t>、破碎的桩头、拆除的构筑物材料</w:t>
      </w:r>
      <w:r>
        <w:rPr>
          <w:sz w:val="21"/>
          <w:szCs w:val="21"/>
        </w:rPr>
        <w:t>，用于路基材料、</w:t>
      </w:r>
      <w:r>
        <w:rPr>
          <w:rFonts w:hint="eastAsia"/>
          <w:sz w:val="21"/>
          <w:szCs w:val="21"/>
        </w:rPr>
        <w:t>大型机械设备基础</w:t>
      </w:r>
      <w:r>
        <w:rPr>
          <w:sz w:val="21"/>
          <w:szCs w:val="21"/>
        </w:rPr>
        <w:t>垫层及临时挡墙等</w:t>
      </w:r>
      <w:r>
        <w:rPr>
          <w:rFonts w:hint="eastAsia"/>
          <w:sz w:val="21"/>
          <w:szCs w:val="21"/>
        </w:rPr>
        <w:t>的制作</w:t>
      </w:r>
      <w:r>
        <w:rPr>
          <w:sz w:val="21"/>
          <w:szCs w:val="21"/>
        </w:rPr>
        <w:t>。</w:t>
      </w:r>
    </w:p>
    <w:p w14:paraId="6B643FF9">
      <w:pPr>
        <w:widowControl w:val="0"/>
        <w:adjustRightInd w:val="0"/>
        <w:snapToGrid w:val="0"/>
        <w:ind w:firstLine="630" w:firstLineChars="300"/>
        <w:rPr>
          <w:rFonts w:hint="eastAsia"/>
          <w:sz w:val="21"/>
          <w:szCs w:val="21"/>
        </w:rPr>
      </w:pPr>
      <w:r>
        <w:rPr>
          <w:sz w:val="21"/>
          <w:szCs w:val="21"/>
        </w:rPr>
        <w:t>4）建筑废旧模板用于草坪栅栏、洞口防护、小型预制构件模板、施工机械防</w:t>
      </w:r>
      <w:r>
        <w:rPr>
          <w:rFonts w:hint="eastAsia"/>
          <w:sz w:val="21"/>
          <w:szCs w:val="21"/>
        </w:rPr>
        <w:t>护、墙柱护角、楼梯踏步护角等。</w:t>
      </w:r>
    </w:p>
    <w:p w14:paraId="7FF71BAE">
      <w:pPr>
        <w:widowControl w:val="0"/>
        <w:adjustRightInd w:val="0"/>
        <w:snapToGrid w:val="0"/>
        <w:ind w:firstLine="630" w:firstLineChars="300"/>
        <w:rPr>
          <w:rFonts w:hint="eastAsia"/>
          <w:sz w:val="21"/>
          <w:szCs w:val="21"/>
        </w:rPr>
      </w:pPr>
      <w:r>
        <w:rPr>
          <w:sz w:val="21"/>
          <w:szCs w:val="21"/>
        </w:rPr>
        <w:t>5）</w:t>
      </w:r>
      <w:r>
        <w:rPr>
          <w:rFonts w:hint="eastAsia"/>
          <w:sz w:val="21"/>
          <w:szCs w:val="21"/>
        </w:rPr>
        <w:t>钢材类边角料用于制作施工临时设施。</w:t>
      </w:r>
    </w:p>
    <w:p w14:paraId="45EDD587">
      <w:pPr>
        <w:widowControl w:val="0"/>
        <w:adjustRightInd w:val="0"/>
        <w:snapToGrid w:val="0"/>
        <w:ind w:firstLine="630" w:firstLineChars="300"/>
        <w:rPr>
          <w:rFonts w:hint="eastAsia"/>
          <w:sz w:val="21"/>
          <w:szCs w:val="21"/>
        </w:rPr>
      </w:pPr>
      <w:r>
        <w:rPr>
          <w:sz w:val="21"/>
          <w:szCs w:val="21"/>
        </w:rPr>
        <w:t>6）设备材料的包装物</w:t>
      </w:r>
      <w:r>
        <w:rPr>
          <w:rFonts w:hint="eastAsia"/>
          <w:sz w:val="21"/>
          <w:szCs w:val="21"/>
        </w:rPr>
        <w:t>进行分类使用。</w:t>
      </w:r>
    </w:p>
    <w:p w14:paraId="5025647F">
      <w:pPr>
        <w:widowControl w:val="0"/>
        <w:adjustRightInd w:val="0"/>
        <w:snapToGrid w:val="0"/>
        <w:ind w:firstLine="630" w:firstLineChars="300"/>
        <w:rPr>
          <w:rFonts w:hint="eastAsia"/>
          <w:sz w:val="21"/>
          <w:szCs w:val="21"/>
        </w:rPr>
      </w:pPr>
      <w:r>
        <w:rPr>
          <w:sz w:val="21"/>
          <w:szCs w:val="21"/>
        </w:rPr>
        <w:t>7）合理利用余料混凝土浇筑临时便道、硬化组合场地</w:t>
      </w:r>
      <w:r>
        <w:rPr>
          <w:rFonts w:hint="eastAsia"/>
          <w:sz w:val="21"/>
          <w:szCs w:val="21"/>
        </w:rPr>
        <w:t>。</w:t>
      </w:r>
    </w:p>
    <w:p w14:paraId="458D4EC7">
      <w:pPr>
        <w:widowControl w:val="0"/>
        <w:adjustRightInd w:val="0"/>
        <w:snapToGrid w:val="0"/>
        <w:ind w:firstLine="630" w:firstLineChars="300"/>
        <w:rPr>
          <w:rFonts w:hint="eastAsia"/>
          <w:sz w:val="21"/>
          <w:szCs w:val="21"/>
        </w:rPr>
      </w:pPr>
      <w:r>
        <w:rPr>
          <w:sz w:val="21"/>
          <w:szCs w:val="21"/>
        </w:rPr>
        <w:t>8）采用接木机、接模板机、梳齿机等设备，进行模板、木方回收重复使用。</w:t>
      </w:r>
    </w:p>
    <w:p w14:paraId="5913FEAF">
      <w:pPr>
        <w:widowControl w:val="0"/>
        <w:adjustRightInd w:val="0"/>
        <w:snapToGrid w:val="0"/>
        <w:ind w:firstLine="630" w:firstLineChars="300"/>
        <w:outlineLvl w:val="1"/>
        <w:rPr>
          <w:rFonts w:hint="eastAsia"/>
          <w:sz w:val="21"/>
          <w:szCs w:val="21"/>
        </w:rPr>
      </w:pPr>
      <w:bookmarkStart w:id="417" w:name="_Toc21006"/>
      <w:bookmarkStart w:id="418" w:name="_Toc13340"/>
      <w:r>
        <w:rPr>
          <w:sz w:val="21"/>
          <w:szCs w:val="21"/>
        </w:rPr>
        <w:t>9）电缆卷盘应进行全数回收和循环利用。</w:t>
      </w:r>
      <w:bookmarkEnd w:id="417"/>
      <w:bookmarkEnd w:id="418"/>
    </w:p>
    <w:p w14:paraId="6F1E69F8">
      <w:pPr>
        <w:widowControl w:val="0"/>
        <w:adjustRightInd w:val="0"/>
        <w:snapToGrid w:val="0"/>
        <w:rPr>
          <w:rFonts w:hint="eastAsia"/>
          <w:color w:val="FF0000"/>
          <w:sz w:val="21"/>
          <w:szCs w:val="21"/>
        </w:rPr>
      </w:pPr>
      <w:r>
        <w:fldChar w:fldCharType="begin"/>
      </w:r>
      <w:r>
        <w:instrText xml:space="preserve"> HYPERLINK \l "_Toc162470929" </w:instrText>
      </w:r>
      <w:r>
        <w:fldChar w:fldCharType="separate"/>
      </w:r>
      <w:r>
        <w:rPr>
          <w:sz w:val="21"/>
          <w:szCs w:val="21"/>
        </w:rPr>
        <w:t xml:space="preserve">6.3.9  </w:t>
      </w:r>
      <w:r>
        <w:rPr>
          <w:rFonts w:hint="eastAsia"/>
          <w:sz w:val="21"/>
          <w:szCs w:val="21"/>
        </w:rPr>
        <w:t>火电工程</w:t>
      </w:r>
      <w:r>
        <w:fldChar w:fldCharType="begin"/>
      </w:r>
      <w:r>
        <w:instrText xml:space="preserve"> HYPERLINK \l "_Toc162470928" </w:instrText>
      </w:r>
      <w:r>
        <w:fldChar w:fldCharType="separate"/>
      </w:r>
      <w:r>
        <w:rPr>
          <w:rFonts w:hint="eastAsia"/>
          <w:sz w:val="21"/>
          <w:szCs w:val="21"/>
        </w:rPr>
        <w:t>建筑垃圾控制与循环利用</w:t>
      </w:r>
      <w:r>
        <w:rPr>
          <w:rFonts w:hint="eastAsia"/>
          <w:sz w:val="21"/>
          <w:szCs w:val="21"/>
        </w:rPr>
        <w:fldChar w:fldCharType="end"/>
      </w:r>
      <w:r>
        <w:rPr>
          <w:rFonts w:hint="eastAsia"/>
          <w:sz w:val="21"/>
          <w:szCs w:val="21"/>
        </w:rPr>
        <w:fldChar w:fldCharType="end"/>
      </w:r>
      <w:r>
        <w:rPr>
          <w:rFonts w:hint="eastAsia"/>
          <w:sz w:val="21"/>
          <w:szCs w:val="21"/>
        </w:rPr>
        <w:t>专用项评价包括以下内容：</w:t>
      </w:r>
      <w:r>
        <w:rPr>
          <w:color w:val="FF0000"/>
          <w:sz w:val="21"/>
          <w:szCs w:val="21"/>
        </w:rPr>
        <w:t xml:space="preserve"> </w:t>
      </w:r>
    </w:p>
    <w:p w14:paraId="7CD44C98">
      <w:pPr>
        <w:widowControl w:val="0"/>
        <w:adjustRightInd w:val="0"/>
        <w:snapToGrid w:val="0"/>
        <w:ind w:firstLine="420" w:firstLineChars="200"/>
        <w:outlineLvl w:val="0"/>
        <w:rPr>
          <w:rFonts w:hint="eastAsia"/>
          <w:sz w:val="21"/>
          <w:szCs w:val="21"/>
        </w:rPr>
      </w:pPr>
      <w:bookmarkStart w:id="419" w:name="_Toc23101"/>
      <w:bookmarkStart w:id="420" w:name="_Toc16255"/>
      <w:r>
        <w:rPr>
          <w:sz w:val="21"/>
          <w:szCs w:val="21"/>
        </w:rPr>
        <w:t>1  燃煤发电工程</w:t>
      </w:r>
      <w:bookmarkEnd w:id="419"/>
      <w:bookmarkEnd w:id="420"/>
    </w:p>
    <w:p w14:paraId="778B6D02">
      <w:pPr>
        <w:widowControl w:val="0"/>
        <w:adjustRightInd w:val="0"/>
        <w:snapToGrid w:val="0"/>
        <w:ind w:firstLine="630" w:firstLineChars="300"/>
        <w:rPr>
          <w:rFonts w:hint="eastAsia"/>
          <w:sz w:val="21"/>
          <w:szCs w:val="21"/>
        </w:rPr>
      </w:pPr>
      <w:r>
        <w:rPr>
          <w:sz w:val="21"/>
          <w:szCs w:val="21"/>
        </w:rPr>
        <w:t>1）凝汽器、</w:t>
      </w:r>
      <w:r>
        <w:rPr>
          <w:rFonts w:hint="eastAsia"/>
          <w:sz w:val="21"/>
          <w:szCs w:val="21"/>
        </w:rPr>
        <w:t>锅炉</w:t>
      </w:r>
      <w:r>
        <w:rPr>
          <w:sz w:val="21"/>
          <w:szCs w:val="21"/>
        </w:rPr>
        <w:t>受热面</w:t>
      </w:r>
      <w:r>
        <w:rPr>
          <w:rFonts w:hint="eastAsia"/>
          <w:sz w:val="21"/>
          <w:szCs w:val="21"/>
        </w:rPr>
        <w:t>、</w:t>
      </w:r>
      <w:r>
        <w:rPr>
          <w:sz w:val="21"/>
          <w:szCs w:val="21"/>
        </w:rPr>
        <w:t>汽轮发电机样板架</w:t>
      </w:r>
      <w:r>
        <w:rPr>
          <w:rFonts w:hint="eastAsia"/>
          <w:sz w:val="21"/>
          <w:szCs w:val="21"/>
        </w:rPr>
        <w:t>等宜采用</w:t>
      </w:r>
      <w:r>
        <w:rPr>
          <w:sz w:val="21"/>
          <w:szCs w:val="21"/>
        </w:rPr>
        <w:t>废旧包装物</w:t>
      </w:r>
      <w:r>
        <w:rPr>
          <w:rFonts w:hint="eastAsia"/>
          <w:sz w:val="21"/>
          <w:szCs w:val="21"/>
        </w:rPr>
        <w:t>制作。</w:t>
      </w:r>
    </w:p>
    <w:p w14:paraId="3AE1E76E">
      <w:pPr>
        <w:widowControl w:val="0"/>
        <w:adjustRightInd w:val="0"/>
        <w:snapToGrid w:val="0"/>
        <w:ind w:firstLine="420" w:firstLineChars="200"/>
        <w:outlineLvl w:val="0"/>
        <w:rPr>
          <w:rFonts w:hint="eastAsia"/>
          <w:sz w:val="21"/>
          <w:szCs w:val="21"/>
        </w:rPr>
      </w:pPr>
      <w:bookmarkStart w:id="421" w:name="_Toc28733"/>
      <w:bookmarkStart w:id="422" w:name="_Toc22035"/>
      <w:r>
        <w:rPr>
          <w:sz w:val="21"/>
          <w:szCs w:val="21"/>
        </w:rPr>
        <w:t>2  燃气蒸汽联合循环</w:t>
      </w:r>
      <w:r>
        <w:rPr>
          <w:rFonts w:hint="eastAsia"/>
          <w:sz w:val="21"/>
          <w:szCs w:val="21"/>
        </w:rPr>
        <w:t>发电工程</w:t>
      </w:r>
      <w:bookmarkEnd w:id="421"/>
      <w:bookmarkEnd w:id="422"/>
    </w:p>
    <w:p w14:paraId="07782AA0">
      <w:pPr>
        <w:widowControl w:val="0"/>
        <w:adjustRightInd w:val="0"/>
        <w:snapToGrid w:val="0"/>
        <w:ind w:firstLine="630" w:firstLineChars="300"/>
        <w:rPr>
          <w:rFonts w:hint="eastAsia"/>
          <w:sz w:val="21"/>
          <w:szCs w:val="21"/>
        </w:rPr>
      </w:pPr>
      <w:r>
        <w:rPr>
          <w:sz w:val="21"/>
          <w:szCs w:val="21"/>
        </w:rPr>
        <w:t>1）燃气蒸汽联合循环</w:t>
      </w:r>
      <w:r>
        <w:rPr>
          <w:rFonts w:hint="eastAsia"/>
          <w:sz w:val="21"/>
          <w:szCs w:val="21"/>
        </w:rPr>
        <w:t>发电工程专用项评价可执行燃煤发电工程</w:t>
      </w:r>
      <w:r>
        <w:rPr>
          <w:sz w:val="21"/>
          <w:szCs w:val="21"/>
        </w:rPr>
        <w:t>1）条。</w:t>
      </w:r>
    </w:p>
    <w:p w14:paraId="2807F06D">
      <w:pPr>
        <w:widowControl w:val="0"/>
        <w:adjustRightInd w:val="0"/>
        <w:snapToGrid w:val="0"/>
        <w:ind w:firstLine="420" w:firstLineChars="200"/>
        <w:outlineLvl w:val="0"/>
        <w:rPr>
          <w:rFonts w:hint="eastAsia"/>
          <w:sz w:val="21"/>
          <w:szCs w:val="21"/>
        </w:rPr>
      </w:pPr>
      <w:bookmarkStart w:id="423" w:name="_Toc18499"/>
      <w:bookmarkStart w:id="424" w:name="_Toc11859"/>
      <w:r>
        <w:rPr>
          <w:sz w:val="21"/>
          <w:szCs w:val="21"/>
        </w:rPr>
        <w:t>3  垃圾焚烧发电</w:t>
      </w:r>
      <w:r>
        <w:rPr>
          <w:rFonts w:hint="eastAsia"/>
          <w:sz w:val="21"/>
          <w:szCs w:val="21"/>
        </w:rPr>
        <w:t>工程</w:t>
      </w:r>
      <w:bookmarkEnd w:id="423"/>
      <w:bookmarkEnd w:id="424"/>
    </w:p>
    <w:p w14:paraId="539F5732">
      <w:pPr>
        <w:widowControl w:val="0"/>
        <w:adjustRightInd w:val="0"/>
        <w:snapToGrid w:val="0"/>
        <w:ind w:firstLine="630" w:firstLineChars="300"/>
        <w:outlineLvl w:val="1"/>
        <w:rPr>
          <w:rFonts w:hint="eastAsia"/>
          <w:sz w:val="21"/>
          <w:szCs w:val="21"/>
        </w:rPr>
      </w:pPr>
      <w:bookmarkStart w:id="425" w:name="_Toc16653"/>
      <w:bookmarkStart w:id="426" w:name="_Toc16141"/>
      <w:r>
        <w:rPr>
          <w:sz w:val="21"/>
          <w:szCs w:val="21"/>
        </w:rPr>
        <w:t>1）垃圾焚烧发电</w:t>
      </w:r>
      <w:r>
        <w:rPr>
          <w:rFonts w:hint="eastAsia"/>
          <w:sz w:val="21"/>
          <w:szCs w:val="21"/>
        </w:rPr>
        <w:t>工程专用项评价可执行燃煤发电工程</w:t>
      </w:r>
      <w:r>
        <w:rPr>
          <w:sz w:val="21"/>
          <w:szCs w:val="21"/>
        </w:rPr>
        <w:t>1）条。</w:t>
      </w:r>
      <w:bookmarkEnd w:id="425"/>
      <w:bookmarkEnd w:id="426"/>
    </w:p>
    <w:p w14:paraId="22E0EB96">
      <w:pPr>
        <w:widowControl w:val="0"/>
        <w:adjustRightInd w:val="0"/>
        <w:snapToGrid w:val="0"/>
        <w:ind w:firstLine="420" w:firstLineChars="200"/>
        <w:outlineLvl w:val="0"/>
        <w:rPr>
          <w:rFonts w:hint="eastAsia"/>
          <w:sz w:val="21"/>
          <w:szCs w:val="21"/>
        </w:rPr>
      </w:pPr>
      <w:bookmarkStart w:id="427" w:name="_Toc10061"/>
      <w:bookmarkStart w:id="428" w:name="_Toc14367"/>
      <w:r>
        <w:rPr>
          <w:sz w:val="21"/>
          <w:szCs w:val="21"/>
        </w:rPr>
        <w:t>4  生物质发电</w:t>
      </w:r>
      <w:r>
        <w:rPr>
          <w:rFonts w:hint="eastAsia"/>
          <w:sz w:val="21"/>
          <w:szCs w:val="21"/>
        </w:rPr>
        <w:t>工程</w:t>
      </w:r>
      <w:bookmarkEnd w:id="427"/>
      <w:bookmarkEnd w:id="428"/>
    </w:p>
    <w:p w14:paraId="29BAABD7">
      <w:pPr>
        <w:widowControl w:val="0"/>
        <w:adjustRightInd w:val="0"/>
        <w:snapToGrid w:val="0"/>
        <w:ind w:firstLine="630" w:firstLineChars="300"/>
        <w:outlineLvl w:val="1"/>
        <w:rPr>
          <w:rFonts w:hint="eastAsia"/>
          <w:sz w:val="21"/>
          <w:szCs w:val="21"/>
        </w:rPr>
      </w:pPr>
      <w:bookmarkStart w:id="429" w:name="_Toc18722"/>
      <w:bookmarkStart w:id="430" w:name="_Toc9237"/>
      <w:r>
        <w:rPr>
          <w:sz w:val="21"/>
          <w:szCs w:val="21"/>
        </w:rPr>
        <w:t>1）生物质发电</w:t>
      </w:r>
      <w:r>
        <w:rPr>
          <w:rFonts w:hint="eastAsia"/>
          <w:sz w:val="21"/>
          <w:szCs w:val="21"/>
        </w:rPr>
        <w:t>工程专用项评价可执行燃煤发电工程</w:t>
      </w:r>
      <w:r>
        <w:rPr>
          <w:sz w:val="21"/>
          <w:szCs w:val="21"/>
        </w:rPr>
        <w:t>1）条。</w:t>
      </w:r>
      <w:bookmarkEnd w:id="429"/>
      <w:bookmarkEnd w:id="430"/>
    </w:p>
    <w:p w14:paraId="795F227B">
      <w:pPr>
        <w:widowControl w:val="0"/>
        <w:adjustRightInd w:val="0"/>
        <w:snapToGrid w:val="0"/>
        <w:rPr>
          <w:rFonts w:hint="eastAsia"/>
          <w:color w:val="FF0000"/>
          <w:sz w:val="21"/>
          <w:szCs w:val="21"/>
        </w:rPr>
      </w:pPr>
      <w:r>
        <w:rPr>
          <w:sz w:val="21"/>
          <w:szCs w:val="21"/>
        </w:rPr>
        <w:t xml:space="preserve">6.3.10  </w:t>
      </w:r>
      <w:r>
        <w:rPr>
          <w:rFonts w:hint="eastAsia"/>
          <w:sz w:val="21"/>
          <w:szCs w:val="21"/>
        </w:rPr>
        <w:t>水力</w:t>
      </w:r>
      <w:r>
        <w:rPr>
          <w:sz w:val="21"/>
          <w:szCs w:val="21"/>
        </w:rPr>
        <w:t>发电</w:t>
      </w:r>
      <w:r>
        <w:rPr>
          <w:rFonts w:hint="eastAsia"/>
          <w:sz w:val="21"/>
          <w:szCs w:val="21"/>
        </w:rPr>
        <w:t>（含抽水蓄能）</w:t>
      </w:r>
      <w:r>
        <w:fldChar w:fldCharType="begin"/>
      </w:r>
      <w:r>
        <w:instrText xml:space="preserve"> HYPERLINK \l "_Toc162470929" </w:instrText>
      </w:r>
      <w:r>
        <w:fldChar w:fldCharType="separate"/>
      </w:r>
      <w:r>
        <w:rPr>
          <w:rFonts w:hint="eastAsia"/>
          <w:sz w:val="21"/>
          <w:szCs w:val="21"/>
        </w:rPr>
        <w:t>工程</w:t>
      </w:r>
      <w:r>
        <w:fldChar w:fldCharType="begin"/>
      </w:r>
      <w:r>
        <w:instrText xml:space="preserve"> HYPERLINK \l "_Toc162470928" </w:instrText>
      </w:r>
      <w:r>
        <w:fldChar w:fldCharType="separate"/>
      </w:r>
      <w:r>
        <w:rPr>
          <w:rFonts w:hint="eastAsia"/>
          <w:sz w:val="21"/>
          <w:szCs w:val="21"/>
        </w:rPr>
        <w:t>建筑垃圾控制与循环利用</w:t>
      </w:r>
      <w:r>
        <w:rPr>
          <w:rFonts w:hint="eastAsia"/>
          <w:sz w:val="21"/>
          <w:szCs w:val="21"/>
        </w:rPr>
        <w:fldChar w:fldCharType="end"/>
      </w:r>
      <w:r>
        <w:rPr>
          <w:rFonts w:hint="eastAsia"/>
          <w:sz w:val="21"/>
          <w:szCs w:val="21"/>
        </w:rPr>
        <w:fldChar w:fldCharType="end"/>
      </w:r>
      <w:r>
        <w:rPr>
          <w:rFonts w:hint="eastAsia"/>
          <w:sz w:val="21"/>
          <w:szCs w:val="21"/>
        </w:rPr>
        <w:t>专用项评价包括以下内容：</w:t>
      </w:r>
    </w:p>
    <w:p w14:paraId="51BABE8C">
      <w:pPr>
        <w:widowControl w:val="0"/>
        <w:adjustRightInd w:val="0"/>
        <w:snapToGrid w:val="0"/>
        <w:ind w:firstLine="420" w:firstLineChars="200"/>
        <w:rPr>
          <w:rFonts w:hint="eastAsia"/>
          <w:sz w:val="21"/>
          <w:szCs w:val="21"/>
        </w:rPr>
      </w:pPr>
      <w:r>
        <w:rPr>
          <w:rFonts w:hint="eastAsia"/>
          <w:sz w:val="21"/>
          <w:szCs w:val="21"/>
        </w:rPr>
        <w:t>1  工程挖方、填方平衡效果良好，渣场堆放量小于同期国内同类工程。</w:t>
      </w:r>
    </w:p>
    <w:p w14:paraId="042CD010">
      <w:pPr>
        <w:widowControl w:val="0"/>
        <w:adjustRightInd w:val="0"/>
        <w:snapToGrid w:val="0"/>
        <w:ind w:firstLine="420" w:firstLineChars="200"/>
        <w:rPr>
          <w:rFonts w:hint="eastAsia"/>
          <w:sz w:val="21"/>
          <w:szCs w:val="21"/>
        </w:rPr>
      </w:pPr>
      <w:r>
        <w:rPr>
          <w:rFonts w:hint="eastAsia"/>
          <w:sz w:val="21"/>
          <w:szCs w:val="21"/>
        </w:rPr>
        <w:t>2  边坡开挖工程应做好表面耕植土的剥离、收集、存放工作，后期用作植被恢复。</w:t>
      </w:r>
    </w:p>
    <w:p w14:paraId="4636A910">
      <w:pPr>
        <w:widowControl w:val="0"/>
        <w:adjustRightInd w:val="0"/>
        <w:snapToGrid w:val="0"/>
        <w:rPr>
          <w:rFonts w:hint="eastAsia"/>
          <w:color w:val="FF0000"/>
          <w:sz w:val="21"/>
          <w:szCs w:val="21"/>
        </w:rPr>
      </w:pPr>
      <w:r>
        <w:rPr>
          <w:sz w:val="21"/>
          <w:szCs w:val="21"/>
        </w:rPr>
        <w:t>6.3.11  风力发电</w:t>
      </w:r>
      <w:r>
        <w:fldChar w:fldCharType="begin"/>
      </w:r>
      <w:r>
        <w:instrText xml:space="preserve"> HYPERLINK \l "_Toc162470929" </w:instrText>
      </w:r>
      <w:r>
        <w:fldChar w:fldCharType="separate"/>
      </w:r>
      <w:r>
        <w:rPr>
          <w:rFonts w:hint="eastAsia"/>
          <w:sz w:val="21"/>
          <w:szCs w:val="21"/>
        </w:rPr>
        <w:t>工程</w:t>
      </w:r>
      <w:r>
        <w:fldChar w:fldCharType="begin"/>
      </w:r>
      <w:r>
        <w:instrText xml:space="preserve"> HYPERLINK \l "_Toc162470928" </w:instrText>
      </w:r>
      <w:r>
        <w:fldChar w:fldCharType="separate"/>
      </w:r>
      <w:r>
        <w:rPr>
          <w:rFonts w:hint="eastAsia"/>
          <w:sz w:val="21"/>
          <w:szCs w:val="21"/>
        </w:rPr>
        <w:t>建筑垃圾控制与循环利用</w:t>
      </w:r>
      <w:r>
        <w:rPr>
          <w:rFonts w:hint="eastAsia"/>
          <w:sz w:val="21"/>
          <w:szCs w:val="21"/>
        </w:rPr>
        <w:fldChar w:fldCharType="end"/>
      </w:r>
      <w:r>
        <w:rPr>
          <w:rFonts w:hint="eastAsia"/>
          <w:sz w:val="21"/>
          <w:szCs w:val="21"/>
        </w:rPr>
        <w:fldChar w:fldCharType="end"/>
      </w:r>
      <w:r>
        <w:rPr>
          <w:rFonts w:hint="eastAsia"/>
          <w:sz w:val="21"/>
          <w:szCs w:val="21"/>
        </w:rPr>
        <w:t>专用项评价包括以下内容：</w:t>
      </w:r>
      <w:r>
        <w:rPr>
          <w:color w:val="FF0000"/>
          <w:sz w:val="21"/>
          <w:szCs w:val="21"/>
        </w:rPr>
        <w:t xml:space="preserve"> </w:t>
      </w:r>
    </w:p>
    <w:p w14:paraId="3A00ADF1">
      <w:pPr>
        <w:widowControl w:val="0"/>
        <w:adjustRightInd w:val="0"/>
        <w:snapToGrid w:val="0"/>
        <w:ind w:firstLine="420" w:firstLineChars="200"/>
        <w:outlineLvl w:val="0"/>
        <w:rPr>
          <w:rFonts w:hint="eastAsia"/>
          <w:sz w:val="21"/>
          <w:szCs w:val="21"/>
        </w:rPr>
      </w:pPr>
      <w:bookmarkStart w:id="431" w:name="_Toc21144"/>
      <w:bookmarkStart w:id="432" w:name="_Toc4065"/>
      <w:r>
        <w:rPr>
          <w:sz w:val="21"/>
          <w:szCs w:val="21"/>
        </w:rPr>
        <w:t xml:space="preserve">1  </w:t>
      </w:r>
      <w:r>
        <w:rPr>
          <w:rFonts w:hint="eastAsia"/>
          <w:sz w:val="21"/>
          <w:szCs w:val="21"/>
        </w:rPr>
        <w:t>陆上风电</w:t>
      </w:r>
      <w:bookmarkEnd w:id="431"/>
      <w:bookmarkEnd w:id="432"/>
    </w:p>
    <w:p w14:paraId="471DDC4E">
      <w:pPr>
        <w:widowControl w:val="0"/>
        <w:adjustRightInd w:val="0"/>
        <w:snapToGrid w:val="0"/>
        <w:ind w:firstLine="630" w:firstLineChars="300"/>
        <w:rPr>
          <w:rFonts w:hint="eastAsia"/>
          <w:sz w:val="21"/>
          <w:szCs w:val="21"/>
        </w:rPr>
      </w:pPr>
      <w:r>
        <w:rPr>
          <w:sz w:val="21"/>
          <w:szCs w:val="21"/>
        </w:rPr>
        <w:t>1）风机基础工程场地挖方、填方平衡，开挖的渣土经处理就地利用，无渣外运、或弃土。</w:t>
      </w:r>
    </w:p>
    <w:p w14:paraId="5F996970">
      <w:pPr>
        <w:widowControl w:val="0"/>
        <w:adjustRightInd w:val="0"/>
        <w:snapToGrid w:val="0"/>
        <w:ind w:firstLine="420" w:firstLineChars="200"/>
        <w:outlineLvl w:val="0"/>
        <w:rPr>
          <w:rFonts w:hint="eastAsia"/>
          <w:sz w:val="21"/>
          <w:szCs w:val="21"/>
        </w:rPr>
      </w:pPr>
      <w:bookmarkStart w:id="433" w:name="_Toc25414"/>
      <w:bookmarkStart w:id="434" w:name="_Toc24038"/>
      <w:r>
        <w:rPr>
          <w:sz w:val="21"/>
          <w:szCs w:val="21"/>
        </w:rPr>
        <w:t xml:space="preserve">2  </w:t>
      </w:r>
      <w:r>
        <w:rPr>
          <w:rFonts w:hint="eastAsia"/>
          <w:sz w:val="21"/>
          <w:szCs w:val="21"/>
        </w:rPr>
        <w:t>海上风电</w:t>
      </w:r>
      <w:bookmarkEnd w:id="433"/>
      <w:bookmarkEnd w:id="434"/>
    </w:p>
    <w:p w14:paraId="1B6EC402">
      <w:pPr>
        <w:widowControl w:val="0"/>
        <w:adjustRightInd w:val="0"/>
        <w:snapToGrid w:val="0"/>
        <w:ind w:firstLine="630" w:firstLineChars="300"/>
        <w:rPr>
          <w:rFonts w:hint="eastAsia"/>
          <w:sz w:val="21"/>
          <w:szCs w:val="21"/>
        </w:rPr>
      </w:pPr>
      <w:r>
        <w:rPr>
          <w:sz w:val="21"/>
          <w:szCs w:val="21"/>
        </w:rPr>
        <w:t>1）应与具备资质的海洋垃圾收集单位订立垃圾回收合同，定期将船上产生的垃圾进行回收。</w:t>
      </w:r>
    </w:p>
    <w:p w14:paraId="03623DCC">
      <w:pPr>
        <w:widowControl w:val="0"/>
        <w:adjustRightInd w:val="0"/>
        <w:snapToGrid w:val="0"/>
        <w:rPr>
          <w:rFonts w:hint="eastAsia"/>
          <w:color w:val="FF0000"/>
          <w:sz w:val="21"/>
          <w:szCs w:val="21"/>
        </w:rPr>
      </w:pPr>
      <w:r>
        <w:rPr>
          <w:sz w:val="21"/>
          <w:szCs w:val="21"/>
        </w:rPr>
        <w:t xml:space="preserve">6.3.12  </w:t>
      </w:r>
      <w:r>
        <w:rPr>
          <w:rFonts w:hint="eastAsia"/>
          <w:sz w:val="21"/>
          <w:szCs w:val="21"/>
        </w:rPr>
        <w:t>太阳能发电</w:t>
      </w:r>
      <w:r>
        <w:fldChar w:fldCharType="begin"/>
      </w:r>
      <w:r>
        <w:instrText xml:space="preserve"> HYPERLINK \l "_Toc162470929" </w:instrText>
      </w:r>
      <w:r>
        <w:fldChar w:fldCharType="separate"/>
      </w:r>
      <w:r>
        <w:rPr>
          <w:rFonts w:hint="eastAsia"/>
          <w:sz w:val="21"/>
          <w:szCs w:val="21"/>
        </w:rPr>
        <w:t>工程</w:t>
      </w:r>
      <w:r>
        <w:fldChar w:fldCharType="begin"/>
      </w:r>
      <w:r>
        <w:instrText xml:space="preserve"> HYPERLINK \l "_Toc162470928" </w:instrText>
      </w:r>
      <w:r>
        <w:fldChar w:fldCharType="separate"/>
      </w:r>
      <w:r>
        <w:rPr>
          <w:rFonts w:hint="eastAsia"/>
          <w:sz w:val="21"/>
          <w:szCs w:val="21"/>
        </w:rPr>
        <w:t>建筑垃圾控制与循环利用</w:t>
      </w:r>
      <w:r>
        <w:rPr>
          <w:rFonts w:hint="eastAsia"/>
          <w:sz w:val="21"/>
          <w:szCs w:val="21"/>
        </w:rPr>
        <w:fldChar w:fldCharType="end"/>
      </w:r>
      <w:r>
        <w:rPr>
          <w:rFonts w:hint="eastAsia"/>
          <w:sz w:val="21"/>
          <w:szCs w:val="21"/>
        </w:rPr>
        <w:fldChar w:fldCharType="end"/>
      </w:r>
      <w:r>
        <w:rPr>
          <w:rFonts w:hint="eastAsia"/>
          <w:sz w:val="21"/>
          <w:szCs w:val="21"/>
        </w:rPr>
        <w:t>专用项评价包括以下内容：</w:t>
      </w:r>
      <w:r>
        <w:rPr>
          <w:color w:val="FF0000"/>
          <w:sz w:val="21"/>
          <w:szCs w:val="21"/>
        </w:rPr>
        <w:t xml:space="preserve"> </w:t>
      </w:r>
    </w:p>
    <w:p w14:paraId="6AE97002">
      <w:pPr>
        <w:widowControl w:val="0"/>
        <w:adjustRightInd w:val="0"/>
        <w:snapToGrid w:val="0"/>
        <w:ind w:firstLine="420" w:firstLineChars="200"/>
        <w:outlineLvl w:val="0"/>
        <w:rPr>
          <w:rFonts w:hint="eastAsia"/>
          <w:sz w:val="21"/>
          <w:szCs w:val="21"/>
        </w:rPr>
      </w:pPr>
      <w:bookmarkStart w:id="435" w:name="_Toc31807"/>
      <w:bookmarkStart w:id="436" w:name="_Toc7758"/>
      <w:r>
        <w:rPr>
          <w:rFonts w:hint="eastAsia"/>
          <w:sz w:val="21"/>
          <w:szCs w:val="21"/>
        </w:rPr>
        <w:t>1</w:t>
      </w:r>
      <w:r>
        <w:rPr>
          <w:sz w:val="21"/>
          <w:szCs w:val="21"/>
        </w:rPr>
        <w:t xml:space="preserve"> </w:t>
      </w:r>
      <w:r>
        <w:rPr>
          <w:rFonts w:hint="eastAsia"/>
          <w:sz w:val="21"/>
          <w:szCs w:val="21"/>
        </w:rPr>
        <w:t>陆上光伏发电项目</w:t>
      </w:r>
      <w:bookmarkEnd w:id="435"/>
      <w:bookmarkEnd w:id="436"/>
    </w:p>
    <w:p w14:paraId="187ADFB6">
      <w:pPr>
        <w:widowControl w:val="0"/>
        <w:adjustRightInd w:val="0"/>
        <w:snapToGrid w:val="0"/>
        <w:ind w:firstLine="420" w:firstLineChars="200"/>
        <w:rPr>
          <w:rFonts w:hint="eastAsia"/>
          <w:sz w:val="21"/>
          <w:szCs w:val="21"/>
        </w:rPr>
      </w:pPr>
      <w:r>
        <w:rPr>
          <w:sz w:val="21"/>
          <w:szCs w:val="21"/>
        </w:rPr>
        <w:t>1）</w:t>
      </w:r>
      <w:r>
        <w:rPr>
          <w:rFonts w:hint="eastAsia"/>
          <w:sz w:val="21"/>
          <w:szCs w:val="21"/>
        </w:rPr>
        <w:t>光伏发电站</w:t>
      </w:r>
      <w:r>
        <w:rPr>
          <w:sz w:val="21"/>
          <w:szCs w:val="21"/>
        </w:rPr>
        <w:t>土方统一策划和管理，分类使用，回填土应尽可能采用现场开挖土，尽量做到土方平衡；充分利用现场土石方工程产生的石块、碎石、渣土。</w:t>
      </w:r>
    </w:p>
    <w:p w14:paraId="3CE4FAA5">
      <w:pPr>
        <w:widowControl w:val="0"/>
        <w:adjustRightInd w:val="0"/>
        <w:snapToGrid w:val="0"/>
        <w:ind w:firstLine="420" w:firstLineChars="200"/>
        <w:outlineLvl w:val="1"/>
        <w:rPr>
          <w:rFonts w:hint="eastAsia"/>
          <w:sz w:val="21"/>
          <w:szCs w:val="21"/>
        </w:rPr>
      </w:pPr>
      <w:bookmarkStart w:id="437" w:name="_Toc6586"/>
      <w:bookmarkStart w:id="438" w:name="_Toc413"/>
      <w:r>
        <w:rPr>
          <w:sz w:val="21"/>
          <w:szCs w:val="21"/>
        </w:rPr>
        <w:t>2）</w:t>
      </w:r>
      <w:r>
        <w:rPr>
          <w:rFonts w:hint="eastAsia"/>
          <w:sz w:val="21"/>
          <w:szCs w:val="21"/>
        </w:rPr>
        <w:t>光伏子阵区混凝土桩基础施工时产生的废料应及时清理回收</w:t>
      </w:r>
      <w:r>
        <w:rPr>
          <w:sz w:val="21"/>
          <w:szCs w:val="21"/>
        </w:rPr>
        <w:t>。</w:t>
      </w:r>
      <w:bookmarkEnd w:id="437"/>
      <w:bookmarkEnd w:id="438"/>
    </w:p>
    <w:p w14:paraId="37706841">
      <w:pPr>
        <w:widowControl w:val="0"/>
        <w:adjustRightInd w:val="0"/>
        <w:snapToGrid w:val="0"/>
        <w:ind w:firstLine="420" w:firstLineChars="200"/>
        <w:rPr>
          <w:rFonts w:hint="eastAsia"/>
          <w:sz w:val="21"/>
          <w:szCs w:val="21"/>
        </w:rPr>
      </w:pPr>
      <w:r>
        <w:rPr>
          <w:sz w:val="21"/>
          <w:szCs w:val="21"/>
        </w:rPr>
        <w:t>3）电站设备开箱验收合格后，应对光伏组件托盘、纸箱等外包装等进行全数回收，应对电缆卷盘进行全数回收和循环利用。</w:t>
      </w:r>
    </w:p>
    <w:p w14:paraId="6E5C570F">
      <w:pPr>
        <w:widowControl w:val="0"/>
        <w:adjustRightInd w:val="0"/>
        <w:snapToGrid w:val="0"/>
        <w:ind w:firstLine="420" w:firstLineChars="200"/>
        <w:rPr>
          <w:rFonts w:hint="eastAsia"/>
          <w:sz w:val="21"/>
          <w:szCs w:val="21"/>
        </w:rPr>
      </w:pPr>
      <w:r>
        <w:rPr>
          <w:rFonts w:hint="eastAsia"/>
          <w:sz w:val="21"/>
          <w:szCs w:val="21"/>
        </w:rPr>
        <w:t>4）打桩机、牵引机等设备保养等过程产生的废油、设备滤油等，设置专门的容器存放，委托有资质的单位进行回收。</w:t>
      </w:r>
    </w:p>
    <w:p w14:paraId="6784C54B">
      <w:pPr>
        <w:widowControl w:val="0"/>
        <w:adjustRightInd w:val="0"/>
        <w:snapToGrid w:val="0"/>
        <w:ind w:firstLine="420" w:firstLineChars="200"/>
        <w:outlineLvl w:val="0"/>
        <w:rPr>
          <w:rFonts w:hint="eastAsia"/>
          <w:sz w:val="21"/>
          <w:szCs w:val="21"/>
        </w:rPr>
      </w:pPr>
      <w:bookmarkStart w:id="439" w:name="_Toc27592"/>
      <w:bookmarkStart w:id="440" w:name="_Toc15946"/>
      <w:r>
        <w:rPr>
          <w:rFonts w:hint="eastAsia"/>
          <w:sz w:val="21"/>
          <w:szCs w:val="21"/>
        </w:rPr>
        <w:t>2</w:t>
      </w:r>
      <w:r>
        <w:rPr>
          <w:sz w:val="21"/>
          <w:szCs w:val="21"/>
        </w:rPr>
        <w:t xml:space="preserve"> </w:t>
      </w:r>
      <w:r>
        <w:rPr>
          <w:rFonts w:hint="eastAsia"/>
          <w:sz w:val="21"/>
          <w:szCs w:val="21"/>
        </w:rPr>
        <w:t>水上光伏发电项目</w:t>
      </w:r>
      <w:bookmarkEnd w:id="439"/>
      <w:bookmarkEnd w:id="440"/>
    </w:p>
    <w:p w14:paraId="6B91CF58">
      <w:pPr>
        <w:widowControl w:val="0"/>
        <w:adjustRightInd w:val="0"/>
        <w:snapToGrid w:val="0"/>
        <w:ind w:firstLine="420" w:firstLineChars="200"/>
        <w:rPr>
          <w:rFonts w:hint="eastAsia"/>
          <w:sz w:val="21"/>
          <w:szCs w:val="21"/>
        </w:rPr>
      </w:pPr>
      <w:r>
        <w:rPr>
          <w:rFonts w:hint="eastAsia"/>
          <w:sz w:val="21"/>
          <w:szCs w:val="21"/>
        </w:rPr>
        <w:t>1）设备开箱验收合格后，应对光伏组件托盘、纸箱等外包装等进行全数回收，应对电缆卷盘进行全数回收和循环利用。</w:t>
      </w:r>
    </w:p>
    <w:p w14:paraId="53CC61E5">
      <w:pPr>
        <w:widowControl w:val="0"/>
        <w:adjustRightInd w:val="0"/>
        <w:snapToGrid w:val="0"/>
        <w:ind w:firstLine="420" w:firstLineChars="200"/>
        <w:outlineLvl w:val="1"/>
        <w:rPr>
          <w:rFonts w:hint="eastAsia"/>
          <w:sz w:val="21"/>
          <w:szCs w:val="21"/>
        </w:rPr>
      </w:pPr>
      <w:bookmarkStart w:id="441" w:name="_Toc2827"/>
      <w:bookmarkStart w:id="442" w:name="_Toc6118"/>
      <w:r>
        <w:rPr>
          <w:rFonts w:hint="eastAsia"/>
          <w:sz w:val="21"/>
          <w:szCs w:val="21"/>
        </w:rPr>
        <w:t>2）水上光伏电站中产生的漂浮物及零件包装应及时清理回收。</w:t>
      </w:r>
      <w:bookmarkEnd w:id="441"/>
      <w:bookmarkEnd w:id="442"/>
    </w:p>
    <w:p w14:paraId="62D48301">
      <w:pPr>
        <w:widowControl w:val="0"/>
        <w:adjustRightInd w:val="0"/>
        <w:snapToGrid w:val="0"/>
        <w:ind w:firstLine="420" w:firstLineChars="200"/>
        <w:outlineLvl w:val="0"/>
        <w:rPr>
          <w:rFonts w:hint="eastAsia"/>
          <w:sz w:val="21"/>
          <w:szCs w:val="21"/>
        </w:rPr>
      </w:pPr>
      <w:bookmarkStart w:id="443" w:name="_Toc28199"/>
      <w:bookmarkStart w:id="444" w:name="_Toc20955"/>
      <w:r>
        <w:rPr>
          <w:sz w:val="21"/>
          <w:szCs w:val="21"/>
        </w:rPr>
        <w:t xml:space="preserve">3 </w:t>
      </w:r>
      <w:r>
        <w:rPr>
          <w:rFonts w:hint="eastAsia"/>
          <w:sz w:val="21"/>
          <w:szCs w:val="21"/>
        </w:rPr>
        <w:t>光热发电项目</w:t>
      </w:r>
      <w:bookmarkEnd w:id="443"/>
      <w:bookmarkEnd w:id="444"/>
    </w:p>
    <w:p w14:paraId="0DB29E06">
      <w:pPr>
        <w:widowControl w:val="0"/>
        <w:adjustRightInd w:val="0"/>
        <w:snapToGrid w:val="0"/>
        <w:ind w:firstLine="420" w:firstLineChars="200"/>
        <w:rPr>
          <w:rFonts w:hint="eastAsia"/>
          <w:sz w:val="21"/>
          <w:szCs w:val="21"/>
        </w:rPr>
      </w:pPr>
      <w:r>
        <w:rPr>
          <w:sz w:val="21"/>
          <w:szCs w:val="21"/>
        </w:rPr>
        <w:t>1）现场土方统一策划和管理，分类使用，回填土应尽可能采用现场开挖土，尽量做到土方平衡；充分利用现场土石方工程产生的石块、碎石、渣土，筛分、破碎后可用于路基材料、龙门吊轨道垫层及临时挡墙等。</w:t>
      </w:r>
    </w:p>
    <w:p w14:paraId="18650BCC">
      <w:pPr>
        <w:widowControl w:val="0"/>
        <w:adjustRightInd w:val="0"/>
        <w:snapToGrid w:val="0"/>
        <w:ind w:firstLine="420" w:firstLineChars="200"/>
        <w:rPr>
          <w:rFonts w:hint="eastAsia"/>
          <w:sz w:val="21"/>
          <w:szCs w:val="21"/>
        </w:rPr>
      </w:pPr>
      <w:r>
        <w:rPr>
          <w:rFonts w:hint="eastAsia"/>
          <w:sz w:val="21"/>
          <w:szCs w:val="21"/>
        </w:rPr>
        <w:t>2</w:t>
      </w:r>
      <w:r>
        <w:rPr>
          <w:sz w:val="21"/>
          <w:szCs w:val="21"/>
        </w:rPr>
        <w:t>）定日镜、吸热器、集热器、聚光器、等设备包装物及时回收，充分利用废旧包装物。</w:t>
      </w:r>
    </w:p>
    <w:p w14:paraId="77824CC0">
      <w:pPr>
        <w:widowControl w:val="0"/>
        <w:adjustRightInd w:val="0"/>
        <w:snapToGrid w:val="0"/>
        <w:ind w:firstLine="420" w:firstLineChars="200"/>
        <w:rPr>
          <w:rFonts w:hint="eastAsia"/>
          <w:sz w:val="21"/>
          <w:szCs w:val="21"/>
        </w:rPr>
      </w:pPr>
      <w:r>
        <w:rPr>
          <w:rFonts w:hint="eastAsia"/>
          <w:sz w:val="21"/>
          <w:szCs w:val="21"/>
        </w:rPr>
        <w:t>3</w:t>
      </w:r>
      <w:r>
        <w:rPr>
          <w:sz w:val="21"/>
          <w:szCs w:val="21"/>
        </w:rPr>
        <w:t>）</w:t>
      </w:r>
      <w:r>
        <w:rPr>
          <w:rFonts w:hint="eastAsia"/>
          <w:sz w:val="21"/>
          <w:szCs w:val="21"/>
        </w:rPr>
        <w:t>熔盐</w:t>
      </w:r>
      <w:r>
        <w:rPr>
          <w:sz w:val="21"/>
          <w:szCs w:val="21"/>
        </w:rPr>
        <w:t>管道系统清洗及调试产生的废水、保温防腐施工产生的废弃物等应及时收集并合法处置。</w:t>
      </w:r>
    </w:p>
    <w:p w14:paraId="5CC75211">
      <w:pPr>
        <w:widowControl w:val="0"/>
        <w:adjustRightInd w:val="0"/>
        <w:snapToGrid w:val="0"/>
        <w:outlineLvl w:val="1"/>
        <w:rPr>
          <w:rFonts w:hint="eastAsia"/>
          <w:color w:val="FF0000"/>
          <w:sz w:val="21"/>
          <w:szCs w:val="21"/>
        </w:rPr>
      </w:pPr>
      <w:bookmarkStart w:id="445" w:name="_Toc16023"/>
      <w:bookmarkStart w:id="446" w:name="_Toc7162"/>
      <w:r>
        <w:rPr>
          <w:sz w:val="21"/>
          <w:szCs w:val="21"/>
        </w:rPr>
        <w:t xml:space="preserve">6.3.13  </w:t>
      </w:r>
      <w:r>
        <w:rPr>
          <w:rFonts w:hint="eastAsia"/>
          <w:sz w:val="21"/>
          <w:szCs w:val="21"/>
        </w:rPr>
        <w:t>输变电</w:t>
      </w:r>
      <w:r>
        <w:fldChar w:fldCharType="begin"/>
      </w:r>
      <w:r>
        <w:instrText xml:space="preserve"> HYPERLINK \l "_Toc162470929" </w:instrText>
      </w:r>
      <w:r>
        <w:fldChar w:fldCharType="separate"/>
      </w:r>
      <w:r>
        <w:rPr>
          <w:rFonts w:hint="eastAsia"/>
          <w:sz w:val="21"/>
          <w:szCs w:val="21"/>
        </w:rPr>
        <w:t>工程</w:t>
      </w:r>
      <w:r>
        <w:rPr>
          <w:rFonts w:hint="eastAsia"/>
          <w:sz w:val="21"/>
          <w:szCs w:val="21"/>
        </w:rPr>
        <w:fldChar w:fldCharType="end"/>
      </w:r>
      <w:r>
        <w:rPr>
          <w:rFonts w:hint="eastAsia"/>
          <w:sz w:val="21"/>
          <w:szCs w:val="21"/>
        </w:rPr>
        <w:t>专用项评价包括以下内容：</w:t>
      </w:r>
      <w:bookmarkEnd w:id="445"/>
      <w:bookmarkEnd w:id="446"/>
      <w:r>
        <w:rPr>
          <w:color w:val="FF0000"/>
          <w:sz w:val="21"/>
          <w:szCs w:val="21"/>
        </w:rPr>
        <w:t xml:space="preserve"> </w:t>
      </w:r>
    </w:p>
    <w:p w14:paraId="65A43ACD">
      <w:pPr>
        <w:widowControl w:val="0"/>
        <w:adjustRightInd w:val="0"/>
        <w:snapToGrid w:val="0"/>
        <w:ind w:firstLine="420" w:firstLineChars="200"/>
        <w:outlineLvl w:val="0"/>
        <w:rPr>
          <w:rFonts w:hint="eastAsia"/>
          <w:sz w:val="21"/>
          <w:szCs w:val="21"/>
        </w:rPr>
      </w:pPr>
      <w:bookmarkStart w:id="447" w:name="_Toc27312"/>
      <w:bookmarkStart w:id="448" w:name="_Toc8090"/>
      <w:r>
        <w:rPr>
          <w:sz w:val="21"/>
          <w:szCs w:val="21"/>
        </w:rPr>
        <w:t>1  变电（换流）站</w:t>
      </w:r>
      <w:bookmarkEnd w:id="447"/>
      <w:bookmarkEnd w:id="448"/>
    </w:p>
    <w:p w14:paraId="6870C880">
      <w:pPr>
        <w:widowControl w:val="0"/>
        <w:adjustRightInd w:val="0"/>
        <w:snapToGrid w:val="0"/>
        <w:ind w:firstLine="630" w:firstLineChars="300"/>
        <w:rPr>
          <w:rFonts w:hint="eastAsia"/>
          <w:sz w:val="21"/>
          <w:szCs w:val="21"/>
        </w:rPr>
      </w:pPr>
      <w:r>
        <w:rPr>
          <w:sz w:val="21"/>
          <w:szCs w:val="21"/>
        </w:rPr>
        <w:t>1）</w:t>
      </w:r>
      <w:r>
        <w:rPr>
          <w:rFonts w:hint="eastAsia"/>
          <w:sz w:val="21"/>
          <w:szCs w:val="21"/>
        </w:rPr>
        <w:t>变电站</w:t>
      </w:r>
      <w:r>
        <w:rPr>
          <w:sz w:val="21"/>
          <w:szCs w:val="21"/>
        </w:rPr>
        <w:t>混凝土浇筑余料应制成小型预制件，或采用其他措施加以利用，不得随意倾倒。</w:t>
      </w:r>
    </w:p>
    <w:p w14:paraId="49C8C445">
      <w:pPr>
        <w:widowControl w:val="0"/>
        <w:adjustRightInd w:val="0"/>
        <w:snapToGrid w:val="0"/>
        <w:ind w:firstLine="630" w:firstLineChars="300"/>
        <w:rPr>
          <w:rFonts w:hint="eastAsia"/>
          <w:sz w:val="21"/>
          <w:szCs w:val="21"/>
        </w:rPr>
      </w:pPr>
      <w:r>
        <w:rPr>
          <w:sz w:val="21"/>
          <w:szCs w:val="21"/>
        </w:rPr>
        <w:t>2）</w:t>
      </w:r>
      <w:r>
        <w:rPr>
          <w:rFonts w:hint="eastAsia"/>
          <w:sz w:val="21"/>
          <w:szCs w:val="21"/>
        </w:rPr>
        <w:t>变电站主控楼</w:t>
      </w:r>
      <w:r>
        <w:rPr>
          <w:sz w:val="21"/>
          <w:szCs w:val="21"/>
        </w:rPr>
        <w:t>钢结构加工应制订废料减量计划，优化下料，综合利用余料，废料应分类收集、集中堆放、定期回收处理。</w:t>
      </w:r>
    </w:p>
    <w:p w14:paraId="361E68E1">
      <w:pPr>
        <w:widowControl w:val="0"/>
        <w:adjustRightInd w:val="0"/>
        <w:snapToGrid w:val="0"/>
        <w:ind w:firstLine="420" w:firstLineChars="200"/>
        <w:outlineLvl w:val="0"/>
        <w:rPr>
          <w:rFonts w:hint="eastAsia"/>
          <w:sz w:val="21"/>
          <w:szCs w:val="21"/>
        </w:rPr>
      </w:pPr>
      <w:bookmarkStart w:id="449" w:name="_Toc11806"/>
      <w:bookmarkStart w:id="450" w:name="_Toc28083"/>
      <w:r>
        <w:rPr>
          <w:sz w:val="21"/>
          <w:szCs w:val="21"/>
        </w:rPr>
        <w:t>2  架空输电线路</w:t>
      </w:r>
      <w:bookmarkEnd w:id="449"/>
      <w:bookmarkEnd w:id="450"/>
    </w:p>
    <w:p w14:paraId="47AA4319">
      <w:pPr>
        <w:widowControl w:val="0"/>
        <w:adjustRightInd w:val="0"/>
        <w:snapToGrid w:val="0"/>
        <w:ind w:firstLine="420" w:firstLineChars="200"/>
        <w:rPr>
          <w:rFonts w:hint="eastAsia"/>
          <w:sz w:val="21"/>
          <w:szCs w:val="21"/>
        </w:rPr>
      </w:pPr>
      <w:r>
        <w:rPr>
          <w:sz w:val="21"/>
          <w:szCs w:val="21"/>
        </w:rPr>
        <w:t>施工现场应采用先进施工工艺与方法，选用绿色材料，规范固体废物处理方式，从源头减少危险废物的产生。对产生的危险废物应100%分类回收，并实施</w:t>
      </w:r>
      <w:r>
        <w:rPr>
          <w:rFonts w:hint="eastAsia"/>
          <w:sz w:val="21"/>
          <w:szCs w:val="21"/>
        </w:rPr>
        <w:t>环境无害化处置。不得在施工现场融化沥青或焚烧油毡、油漆以及其他产生有毒、有害烟尘或恶臭气体的物质。</w:t>
      </w:r>
    </w:p>
    <w:p w14:paraId="69DCFB3C">
      <w:pPr>
        <w:widowControl w:val="0"/>
        <w:adjustRightInd w:val="0"/>
        <w:snapToGrid w:val="0"/>
        <w:ind w:firstLine="420" w:firstLineChars="200"/>
        <w:outlineLvl w:val="0"/>
        <w:rPr>
          <w:rFonts w:hint="eastAsia"/>
          <w:sz w:val="21"/>
          <w:szCs w:val="21"/>
        </w:rPr>
      </w:pPr>
      <w:bookmarkStart w:id="451" w:name="_Toc27859"/>
      <w:bookmarkStart w:id="452" w:name="_Toc618"/>
      <w:r>
        <w:rPr>
          <w:sz w:val="21"/>
          <w:szCs w:val="21"/>
        </w:rPr>
        <w:t>3  电缆线路</w:t>
      </w:r>
      <w:bookmarkEnd w:id="451"/>
      <w:bookmarkEnd w:id="452"/>
    </w:p>
    <w:p w14:paraId="5D9F0EE0">
      <w:pPr>
        <w:widowControl w:val="0"/>
        <w:adjustRightInd w:val="0"/>
        <w:snapToGrid w:val="0"/>
        <w:ind w:firstLine="420" w:firstLineChars="200"/>
        <w:rPr>
          <w:rFonts w:hint="eastAsia"/>
          <w:sz w:val="21"/>
          <w:szCs w:val="21"/>
        </w:rPr>
      </w:pPr>
      <w:r>
        <w:rPr>
          <w:sz w:val="21"/>
          <w:szCs w:val="21"/>
        </w:rPr>
        <w:t>制作电缆接头前应先搭设临时工棚，工作平台牢固平整并可靠接地，便于清洁、防尘。工棚内设置专用垃圾桶，施工后的废弃带材、绝缘胶或其他杂物应分类堆放，集中处理。</w:t>
      </w:r>
    </w:p>
    <w:p w14:paraId="3A0A9EA9">
      <w:pPr>
        <w:widowControl w:val="0"/>
        <w:adjustRightInd w:val="0"/>
        <w:snapToGrid w:val="0"/>
        <w:ind w:firstLine="420" w:firstLineChars="200"/>
        <w:outlineLvl w:val="0"/>
        <w:rPr>
          <w:rFonts w:hint="eastAsia"/>
          <w:sz w:val="21"/>
          <w:szCs w:val="21"/>
        </w:rPr>
      </w:pPr>
      <w:bookmarkStart w:id="453" w:name="_Toc13601"/>
      <w:bookmarkStart w:id="454" w:name="_Toc26990"/>
      <w:r>
        <w:rPr>
          <w:sz w:val="21"/>
          <w:szCs w:val="21"/>
        </w:rPr>
        <w:t xml:space="preserve">4  </w:t>
      </w:r>
      <w:r>
        <w:rPr>
          <w:rFonts w:hint="eastAsia"/>
          <w:sz w:val="21"/>
          <w:szCs w:val="21"/>
        </w:rPr>
        <w:t>海底电缆线路</w:t>
      </w:r>
      <w:bookmarkEnd w:id="453"/>
      <w:bookmarkEnd w:id="454"/>
    </w:p>
    <w:p w14:paraId="447599D4">
      <w:pPr>
        <w:widowControl w:val="0"/>
        <w:adjustRightInd w:val="0"/>
        <w:snapToGrid w:val="0"/>
        <w:ind w:firstLine="420" w:firstLineChars="200"/>
        <w:rPr>
          <w:rFonts w:hint="eastAsia"/>
          <w:sz w:val="21"/>
          <w:szCs w:val="21"/>
        </w:rPr>
      </w:pPr>
      <w:r>
        <w:rPr>
          <w:sz w:val="21"/>
          <w:szCs w:val="21"/>
        </w:rPr>
        <w:t>1）现场领用的建筑安装材料码放整齐，无乱堆乱摊及堵塞通道现象。</w:t>
      </w:r>
    </w:p>
    <w:p w14:paraId="6E9B2B16">
      <w:pPr>
        <w:widowControl w:val="0"/>
        <w:adjustRightInd w:val="0"/>
        <w:snapToGrid w:val="0"/>
        <w:ind w:firstLine="420" w:firstLineChars="200"/>
        <w:outlineLvl w:val="1"/>
        <w:rPr>
          <w:rFonts w:hint="eastAsia"/>
          <w:sz w:val="21"/>
          <w:szCs w:val="21"/>
        </w:rPr>
      </w:pPr>
      <w:bookmarkStart w:id="455" w:name="_Toc12450"/>
      <w:bookmarkStart w:id="456" w:name="_Toc7771"/>
      <w:r>
        <w:rPr>
          <w:sz w:val="21"/>
          <w:szCs w:val="21"/>
        </w:rPr>
        <w:t>2）设备、材料开箱在指定地点进行，废料垃圾及时清理运走。</w:t>
      </w:r>
      <w:bookmarkEnd w:id="455"/>
      <w:bookmarkEnd w:id="456"/>
    </w:p>
    <w:p w14:paraId="51D0D95C">
      <w:pPr>
        <w:widowControl w:val="0"/>
        <w:adjustRightInd w:val="0"/>
        <w:snapToGrid w:val="0"/>
        <w:rPr>
          <w:rFonts w:hint="eastAsia"/>
          <w:color w:val="FF0000"/>
          <w:sz w:val="21"/>
          <w:szCs w:val="21"/>
        </w:rPr>
      </w:pPr>
      <w:r>
        <w:rPr>
          <w:sz w:val="21"/>
          <w:szCs w:val="21"/>
        </w:rPr>
        <w:t xml:space="preserve">6.3.14  </w:t>
      </w:r>
      <w:r>
        <w:rPr>
          <w:rFonts w:hint="eastAsia"/>
          <w:sz w:val="21"/>
          <w:szCs w:val="21"/>
        </w:rPr>
        <w:t>电力储能</w:t>
      </w:r>
      <w:r>
        <w:fldChar w:fldCharType="begin"/>
      </w:r>
      <w:r>
        <w:instrText xml:space="preserve"> HYPERLINK \l "_Toc162470929" </w:instrText>
      </w:r>
      <w:r>
        <w:fldChar w:fldCharType="separate"/>
      </w:r>
      <w:r>
        <w:rPr>
          <w:rFonts w:hint="eastAsia"/>
          <w:sz w:val="21"/>
          <w:szCs w:val="21"/>
        </w:rPr>
        <w:t>工程</w:t>
      </w:r>
      <w:r>
        <w:fldChar w:fldCharType="begin"/>
      </w:r>
      <w:r>
        <w:instrText xml:space="preserve"> HYPERLINK \l "_Toc162470928" </w:instrText>
      </w:r>
      <w:r>
        <w:fldChar w:fldCharType="separate"/>
      </w:r>
      <w:r>
        <w:rPr>
          <w:rFonts w:hint="eastAsia"/>
          <w:sz w:val="21"/>
          <w:szCs w:val="21"/>
        </w:rPr>
        <w:t>建筑垃圾控制与循环利用</w:t>
      </w:r>
      <w:r>
        <w:rPr>
          <w:rFonts w:hint="eastAsia"/>
          <w:sz w:val="21"/>
          <w:szCs w:val="21"/>
        </w:rPr>
        <w:fldChar w:fldCharType="end"/>
      </w:r>
      <w:r>
        <w:rPr>
          <w:rFonts w:hint="eastAsia"/>
          <w:sz w:val="21"/>
          <w:szCs w:val="21"/>
        </w:rPr>
        <w:fldChar w:fldCharType="end"/>
      </w:r>
      <w:r>
        <w:rPr>
          <w:rFonts w:hint="eastAsia"/>
          <w:sz w:val="21"/>
          <w:szCs w:val="21"/>
        </w:rPr>
        <w:t>专用项评价包括以下内容：</w:t>
      </w:r>
      <w:r>
        <w:rPr>
          <w:color w:val="FF0000"/>
          <w:sz w:val="21"/>
          <w:szCs w:val="21"/>
        </w:rPr>
        <w:t xml:space="preserve"> </w:t>
      </w:r>
    </w:p>
    <w:p w14:paraId="542F8DB1">
      <w:pPr>
        <w:widowControl w:val="0"/>
        <w:ind w:firstLine="420" w:firstLineChars="200"/>
        <w:outlineLvl w:val="0"/>
        <w:rPr>
          <w:rFonts w:hint="eastAsia"/>
          <w:sz w:val="21"/>
          <w:szCs w:val="21"/>
        </w:rPr>
      </w:pPr>
      <w:bookmarkStart w:id="457" w:name="_Toc23506"/>
      <w:bookmarkStart w:id="458" w:name="_Toc30040"/>
      <w:r>
        <w:rPr>
          <w:sz w:val="21"/>
          <w:szCs w:val="21"/>
        </w:rPr>
        <w:t>1  电化学（锂电、液流、燃料电池、钠离子、铅酸、铅炭）储能</w:t>
      </w:r>
      <w:bookmarkEnd w:id="457"/>
      <w:bookmarkEnd w:id="458"/>
    </w:p>
    <w:p w14:paraId="3F5B8F06">
      <w:pPr>
        <w:widowControl w:val="0"/>
        <w:ind w:firstLine="420" w:firstLineChars="200"/>
        <w:rPr>
          <w:rFonts w:hint="eastAsia"/>
          <w:sz w:val="21"/>
          <w:szCs w:val="21"/>
        </w:rPr>
      </w:pPr>
      <w:r>
        <w:rPr>
          <w:rFonts w:hint="eastAsia"/>
          <w:sz w:val="21"/>
          <w:szCs w:val="21"/>
        </w:rPr>
        <w:t>电化学储能工程</w:t>
      </w:r>
      <w:r>
        <w:rPr>
          <w:sz w:val="21"/>
          <w:szCs w:val="21"/>
        </w:rPr>
        <w:t>挖方、填方平衡效果良好，渣场堆放量小于</w:t>
      </w:r>
      <w:r>
        <w:rPr>
          <w:rFonts w:hint="eastAsia"/>
          <w:sz w:val="21"/>
          <w:szCs w:val="21"/>
        </w:rPr>
        <w:t>同期国内</w:t>
      </w:r>
      <w:r>
        <w:rPr>
          <w:sz w:val="21"/>
          <w:szCs w:val="21"/>
        </w:rPr>
        <w:t>同类工程</w:t>
      </w:r>
      <w:r>
        <w:rPr>
          <w:rFonts w:hint="eastAsia"/>
          <w:sz w:val="21"/>
          <w:szCs w:val="21"/>
        </w:rPr>
        <w:t>，</w:t>
      </w:r>
      <w:r>
        <w:rPr>
          <w:sz w:val="21"/>
          <w:szCs w:val="21"/>
        </w:rPr>
        <w:t>减少建筑垃圾外运</w:t>
      </w:r>
      <w:r>
        <w:rPr>
          <w:rFonts w:hint="eastAsia"/>
          <w:sz w:val="21"/>
          <w:szCs w:val="21"/>
        </w:rPr>
        <w:t>。</w:t>
      </w:r>
    </w:p>
    <w:p w14:paraId="368ABD36">
      <w:pPr>
        <w:widowControl w:val="0"/>
        <w:ind w:firstLine="420" w:firstLineChars="200"/>
        <w:outlineLvl w:val="0"/>
        <w:rPr>
          <w:rFonts w:hint="eastAsia"/>
          <w:sz w:val="21"/>
          <w:szCs w:val="21"/>
        </w:rPr>
      </w:pPr>
      <w:bookmarkStart w:id="459" w:name="_Toc28764"/>
      <w:bookmarkStart w:id="460" w:name="_Toc13317"/>
      <w:r>
        <w:rPr>
          <w:sz w:val="21"/>
          <w:szCs w:val="21"/>
        </w:rPr>
        <w:t>2  飞轮储能</w:t>
      </w:r>
      <w:bookmarkEnd w:id="459"/>
      <w:bookmarkEnd w:id="460"/>
    </w:p>
    <w:p w14:paraId="038986E7">
      <w:pPr>
        <w:widowControl w:val="0"/>
        <w:ind w:firstLine="420" w:firstLineChars="200"/>
        <w:rPr>
          <w:rFonts w:hint="eastAsia"/>
          <w:sz w:val="21"/>
          <w:szCs w:val="21"/>
        </w:rPr>
      </w:pPr>
      <w:r>
        <w:rPr>
          <w:rFonts w:hint="eastAsia"/>
          <w:sz w:val="21"/>
          <w:szCs w:val="21"/>
        </w:rPr>
        <w:t>飞轮储能工程</w:t>
      </w:r>
      <w:r>
        <w:rPr>
          <w:sz w:val="21"/>
          <w:szCs w:val="21"/>
        </w:rPr>
        <w:t>挖方、填方平衡效果良好，渣场堆放量小于</w:t>
      </w:r>
      <w:r>
        <w:rPr>
          <w:rFonts w:hint="eastAsia"/>
          <w:sz w:val="21"/>
          <w:szCs w:val="21"/>
        </w:rPr>
        <w:t>同期国内</w:t>
      </w:r>
      <w:r>
        <w:rPr>
          <w:sz w:val="21"/>
          <w:szCs w:val="21"/>
        </w:rPr>
        <w:t>同类工程</w:t>
      </w:r>
      <w:r>
        <w:rPr>
          <w:rFonts w:hint="eastAsia"/>
          <w:sz w:val="21"/>
          <w:szCs w:val="21"/>
        </w:rPr>
        <w:t>，</w:t>
      </w:r>
      <w:r>
        <w:rPr>
          <w:sz w:val="21"/>
          <w:szCs w:val="21"/>
        </w:rPr>
        <w:t>减少建筑垃圾外运</w:t>
      </w:r>
      <w:r>
        <w:rPr>
          <w:rFonts w:hint="eastAsia"/>
          <w:sz w:val="21"/>
          <w:szCs w:val="21"/>
        </w:rPr>
        <w:t>。</w:t>
      </w:r>
    </w:p>
    <w:p w14:paraId="4E090DEE">
      <w:pPr>
        <w:widowControl w:val="0"/>
        <w:ind w:firstLine="420" w:firstLineChars="200"/>
        <w:outlineLvl w:val="0"/>
        <w:rPr>
          <w:rFonts w:hint="eastAsia"/>
          <w:sz w:val="21"/>
          <w:szCs w:val="21"/>
        </w:rPr>
      </w:pPr>
      <w:bookmarkStart w:id="461" w:name="_Toc25310"/>
      <w:bookmarkStart w:id="462" w:name="_Toc32326"/>
      <w:r>
        <w:rPr>
          <w:sz w:val="21"/>
          <w:szCs w:val="21"/>
        </w:rPr>
        <w:t>3  压缩空气储能</w:t>
      </w:r>
      <w:bookmarkEnd w:id="461"/>
      <w:bookmarkEnd w:id="462"/>
    </w:p>
    <w:p w14:paraId="4C683E46">
      <w:pPr>
        <w:widowControl w:val="0"/>
        <w:ind w:firstLine="420" w:firstLineChars="200"/>
        <w:rPr>
          <w:rFonts w:hint="eastAsia"/>
          <w:sz w:val="21"/>
          <w:szCs w:val="21"/>
        </w:rPr>
      </w:pPr>
      <w:r>
        <w:rPr>
          <w:sz w:val="21"/>
          <w:szCs w:val="21"/>
        </w:rPr>
        <w:t>压缩空气储能</w:t>
      </w:r>
      <w:r>
        <w:rPr>
          <w:rFonts w:hint="eastAsia"/>
          <w:sz w:val="21"/>
          <w:szCs w:val="21"/>
        </w:rPr>
        <w:t>工程</w:t>
      </w:r>
      <w:r>
        <w:rPr>
          <w:sz w:val="21"/>
          <w:szCs w:val="21"/>
        </w:rPr>
        <w:t>挖方、填方平衡效果良好，渣场堆放量小于</w:t>
      </w:r>
      <w:r>
        <w:rPr>
          <w:rFonts w:hint="eastAsia"/>
          <w:sz w:val="21"/>
          <w:szCs w:val="21"/>
        </w:rPr>
        <w:t>同期国内</w:t>
      </w:r>
      <w:r>
        <w:rPr>
          <w:sz w:val="21"/>
          <w:szCs w:val="21"/>
        </w:rPr>
        <w:t>同类工程</w:t>
      </w:r>
      <w:r>
        <w:rPr>
          <w:rFonts w:hint="eastAsia"/>
          <w:sz w:val="21"/>
          <w:szCs w:val="21"/>
        </w:rPr>
        <w:t>，</w:t>
      </w:r>
      <w:r>
        <w:rPr>
          <w:sz w:val="21"/>
          <w:szCs w:val="21"/>
        </w:rPr>
        <w:t>减少建筑垃圾外运</w:t>
      </w:r>
      <w:r>
        <w:rPr>
          <w:rFonts w:hint="eastAsia"/>
          <w:sz w:val="21"/>
          <w:szCs w:val="21"/>
        </w:rPr>
        <w:t>。</w:t>
      </w:r>
    </w:p>
    <w:p w14:paraId="5629E2F6">
      <w:pPr>
        <w:spacing w:before="120" w:beforeLines="50" w:after="240" w:afterLines="100"/>
        <w:jc w:val="center"/>
        <w:rPr>
          <w:rFonts w:hint="eastAsia"/>
          <w:sz w:val="21"/>
          <w:szCs w:val="21"/>
        </w:rPr>
      </w:pPr>
      <w:r>
        <w:rPr>
          <w:rFonts w:hint="eastAsia"/>
          <w:sz w:val="21"/>
          <w:szCs w:val="21"/>
        </w:rPr>
        <w:t>Ⅲ</w:t>
      </w:r>
      <w:r>
        <w:rPr>
          <w:sz w:val="21"/>
          <w:szCs w:val="21"/>
        </w:rPr>
        <w:t xml:space="preserve">  </w:t>
      </w:r>
      <w:r>
        <w:rPr>
          <w:rFonts w:hint="eastAsia"/>
          <w:sz w:val="21"/>
          <w:szCs w:val="21"/>
        </w:rPr>
        <w:t>水资源节约与循环利用</w:t>
      </w:r>
    </w:p>
    <w:p w14:paraId="1FF4E7E9">
      <w:pPr>
        <w:widowControl w:val="0"/>
        <w:adjustRightInd w:val="0"/>
        <w:snapToGrid w:val="0"/>
        <w:rPr>
          <w:rFonts w:hint="eastAsia"/>
          <w:sz w:val="21"/>
          <w:szCs w:val="21"/>
        </w:rPr>
      </w:pPr>
      <w:r>
        <w:fldChar w:fldCharType="begin"/>
      </w:r>
      <w:r>
        <w:instrText xml:space="preserve"> HYPERLINK \l "_Toc162470928" </w:instrText>
      </w:r>
      <w:r>
        <w:fldChar w:fldCharType="separate"/>
      </w:r>
      <w:r>
        <w:rPr>
          <w:sz w:val="21"/>
          <w:szCs w:val="21"/>
        </w:rPr>
        <w:t xml:space="preserve">6.3.15  </w:t>
      </w:r>
      <w:r>
        <w:rPr>
          <w:rFonts w:hint="eastAsia"/>
          <w:sz w:val="21"/>
          <w:szCs w:val="21"/>
        </w:rPr>
        <w:t>水资源节约与循环利用通用项</w:t>
      </w:r>
      <w:r>
        <w:rPr>
          <w:rFonts w:hint="eastAsia"/>
          <w:sz w:val="21"/>
          <w:szCs w:val="21"/>
        </w:rPr>
        <w:fldChar w:fldCharType="end"/>
      </w:r>
      <w:r>
        <w:rPr>
          <w:rFonts w:hint="eastAsia"/>
          <w:sz w:val="21"/>
          <w:szCs w:val="21"/>
        </w:rPr>
        <w:t>评价包括以下内容：</w:t>
      </w:r>
      <w:r>
        <w:rPr>
          <w:sz w:val="21"/>
          <w:szCs w:val="21"/>
        </w:rPr>
        <w:t xml:space="preserve"> </w:t>
      </w:r>
    </w:p>
    <w:p w14:paraId="1171A8BE">
      <w:pPr>
        <w:widowControl w:val="0"/>
        <w:adjustRightInd w:val="0"/>
        <w:snapToGrid w:val="0"/>
        <w:ind w:firstLine="420" w:firstLineChars="200"/>
        <w:outlineLvl w:val="0"/>
        <w:rPr>
          <w:rFonts w:hint="eastAsia"/>
          <w:sz w:val="21"/>
          <w:szCs w:val="21"/>
        </w:rPr>
      </w:pPr>
      <w:bookmarkStart w:id="463" w:name="_Toc25506"/>
      <w:bookmarkStart w:id="464" w:name="_Toc22808"/>
      <w:r>
        <w:rPr>
          <w:sz w:val="21"/>
          <w:szCs w:val="21"/>
        </w:rPr>
        <w:t>1  水资源节约</w:t>
      </w:r>
      <w:r>
        <w:rPr>
          <w:rFonts w:hint="eastAsia"/>
          <w:sz w:val="21"/>
          <w:szCs w:val="21"/>
        </w:rPr>
        <w:t>措施</w:t>
      </w:r>
      <w:bookmarkEnd w:id="463"/>
      <w:bookmarkEnd w:id="464"/>
    </w:p>
    <w:p w14:paraId="5063455B">
      <w:pPr>
        <w:widowControl w:val="0"/>
        <w:adjustRightInd w:val="0"/>
        <w:snapToGrid w:val="0"/>
        <w:ind w:firstLine="630" w:firstLineChars="300"/>
        <w:rPr>
          <w:rFonts w:hint="eastAsia"/>
          <w:sz w:val="21"/>
          <w:szCs w:val="21"/>
        </w:rPr>
      </w:pPr>
      <w:r>
        <w:rPr>
          <w:sz w:val="21"/>
          <w:szCs w:val="21"/>
        </w:rPr>
        <w:t>1）应</w:t>
      </w:r>
      <w:r>
        <w:rPr>
          <w:rFonts w:hint="eastAsia"/>
          <w:sz w:val="21"/>
          <w:szCs w:val="21"/>
        </w:rPr>
        <w:t>制定</w:t>
      </w:r>
      <w:r>
        <w:rPr>
          <w:sz w:val="21"/>
          <w:szCs w:val="21"/>
        </w:rPr>
        <w:t>水资源节约管理</w:t>
      </w:r>
      <w:r>
        <w:rPr>
          <w:rFonts w:hint="eastAsia"/>
          <w:sz w:val="21"/>
          <w:szCs w:val="21"/>
        </w:rPr>
        <w:t>措施</w:t>
      </w:r>
      <w:r>
        <w:rPr>
          <w:sz w:val="21"/>
          <w:szCs w:val="21"/>
        </w:rPr>
        <w:t>，</w:t>
      </w:r>
      <w:r>
        <w:rPr>
          <w:rFonts w:hint="eastAsia"/>
          <w:sz w:val="21"/>
          <w:szCs w:val="21"/>
        </w:rPr>
        <w:t>明确</w:t>
      </w:r>
      <w:r>
        <w:rPr>
          <w:sz w:val="21"/>
          <w:szCs w:val="21"/>
        </w:rPr>
        <w:t>水资源消耗总目标</w:t>
      </w:r>
      <w:r>
        <w:rPr>
          <w:rFonts w:hint="eastAsia"/>
          <w:sz w:val="21"/>
          <w:szCs w:val="21"/>
        </w:rPr>
        <w:t>，并分阶段（地基与基础、主体结构、屋面及装饰装修、安装、调试）、分标段、分区域制定</w:t>
      </w:r>
      <w:r>
        <w:rPr>
          <w:sz w:val="21"/>
          <w:szCs w:val="21"/>
        </w:rPr>
        <w:t>水资源消耗指标，</w:t>
      </w:r>
      <w:r>
        <w:rPr>
          <w:rFonts w:hint="eastAsia"/>
          <w:sz w:val="21"/>
          <w:szCs w:val="21"/>
        </w:rPr>
        <w:t>节约用水量</w:t>
      </w:r>
      <w:r>
        <w:rPr>
          <w:sz w:val="21"/>
          <w:szCs w:val="21"/>
        </w:rPr>
        <w:t>不低于定额用水量的10%</w:t>
      </w:r>
      <w:r>
        <w:rPr>
          <w:rFonts w:hint="eastAsia"/>
          <w:sz w:val="21"/>
          <w:szCs w:val="21"/>
        </w:rPr>
        <w:t>。</w:t>
      </w:r>
    </w:p>
    <w:p w14:paraId="0B68A714">
      <w:pPr>
        <w:widowControl w:val="0"/>
        <w:adjustRightInd w:val="0"/>
        <w:snapToGrid w:val="0"/>
        <w:ind w:firstLine="630" w:firstLineChars="300"/>
        <w:rPr>
          <w:rFonts w:hint="eastAsia"/>
          <w:sz w:val="21"/>
          <w:szCs w:val="21"/>
        </w:rPr>
      </w:pPr>
      <w:r>
        <w:rPr>
          <w:sz w:val="21"/>
          <w:szCs w:val="21"/>
        </w:rPr>
        <w:t>2）施工现场的办公区、生活区、生产区用水应单独水表计量，并建立台账，分别进行计量考核管理</w:t>
      </w:r>
      <w:r>
        <w:rPr>
          <w:rFonts w:hint="eastAsia"/>
          <w:sz w:val="21"/>
          <w:szCs w:val="21"/>
        </w:rPr>
        <w:t>。</w:t>
      </w:r>
      <w:r>
        <w:rPr>
          <w:sz w:val="21"/>
          <w:szCs w:val="21"/>
        </w:rPr>
        <w:t xml:space="preserve"> </w:t>
      </w:r>
    </w:p>
    <w:p w14:paraId="48DE56C6">
      <w:pPr>
        <w:widowControl w:val="0"/>
        <w:adjustRightInd w:val="0"/>
        <w:snapToGrid w:val="0"/>
        <w:ind w:firstLine="630" w:firstLineChars="300"/>
        <w:rPr>
          <w:rFonts w:hint="eastAsia"/>
          <w:sz w:val="21"/>
          <w:szCs w:val="21"/>
        </w:rPr>
      </w:pPr>
      <w:r>
        <w:rPr>
          <w:sz w:val="21"/>
          <w:szCs w:val="21"/>
        </w:rPr>
        <w:t>3）制定节水方案及措施。</w:t>
      </w:r>
      <w:r>
        <w:rPr>
          <w:rFonts w:hint="eastAsia"/>
          <w:sz w:val="21"/>
          <w:szCs w:val="21"/>
        </w:rPr>
        <w:t>混凝土</w:t>
      </w:r>
      <w:r>
        <w:rPr>
          <w:sz w:val="21"/>
          <w:szCs w:val="21"/>
        </w:rPr>
        <w:t>搅拌</w:t>
      </w:r>
      <w:r>
        <w:rPr>
          <w:rFonts w:hint="eastAsia"/>
          <w:sz w:val="21"/>
          <w:szCs w:val="21"/>
        </w:rPr>
        <w:t>及</w:t>
      </w:r>
      <w:r>
        <w:rPr>
          <w:sz w:val="21"/>
          <w:szCs w:val="21"/>
        </w:rPr>
        <w:t>养护用水</w:t>
      </w:r>
      <w:r>
        <w:rPr>
          <w:rFonts w:hint="eastAsia"/>
          <w:sz w:val="21"/>
          <w:szCs w:val="21"/>
        </w:rPr>
        <w:t>应</w:t>
      </w:r>
      <w:r>
        <w:rPr>
          <w:sz w:val="21"/>
          <w:szCs w:val="21"/>
        </w:rPr>
        <w:t>采取节水措施</w:t>
      </w:r>
      <w:r>
        <w:rPr>
          <w:rFonts w:hint="eastAsia"/>
          <w:sz w:val="21"/>
          <w:szCs w:val="21"/>
        </w:rPr>
        <w:t>。</w:t>
      </w:r>
      <w:r>
        <w:rPr>
          <w:sz w:val="21"/>
          <w:szCs w:val="21"/>
        </w:rPr>
        <w:t>砌体加工区及砌体堆放场地宜集中布置，区域内设置喷淋系统用于砌块砌筑前浇水湿润。根据每堆砌体的位置及场地进行布置喷淋管，保证横管两面都能喷淋浇砖。</w:t>
      </w:r>
    </w:p>
    <w:p w14:paraId="14B3BFBA">
      <w:pPr>
        <w:widowControl w:val="0"/>
        <w:adjustRightInd w:val="0"/>
        <w:snapToGrid w:val="0"/>
        <w:ind w:firstLine="630" w:firstLineChars="300"/>
        <w:rPr>
          <w:rFonts w:hint="eastAsia"/>
          <w:sz w:val="21"/>
          <w:szCs w:val="21"/>
        </w:rPr>
      </w:pPr>
      <w:r>
        <w:rPr>
          <w:sz w:val="21"/>
          <w:szCs w:val="21"/>
        </w:rPr>
        <w:t>4）选用节水类的器具设施。办公、生活区用水100%采用节水系统和节水器具，分别安装水表计量，定期进行计量考核。施工现场临时用水</w:t>
      </w:r>
      <w:r>
        <w:rPr>
          <w:rFonts w:hint="eastAsia"/>
          <w:sz w:val="21"/>
          <w:szCs w:val="21"/>
        </w:rPr>
        <w:t>采用</w:t>
      </w:r>
      <w:r>
        <w:rPr>
          <w:sz w:val="21"/>
          <w:szCs w:val="21"/>
        </w:rPr>
        <w:t>节水型产品，安装计量装置。采用带有红外传感装置的公厕便槽，实现无人值守、自动管理的卫生、节水的使用效果。</w:t>
      </w:r>
    </w:p>
    <w:p w14:paraId="4ECEF539">
      <w:pPr>
        <w:widowControl w:val="0"/>
        <w:adjustRightInd w:val="0"/>
        <w:snapToGrid w:val="0"/>
        <w:ind w:firstLine="420" w:firstLineChars="200"/>
        <w:outlineLvl w:val="0"/>
        <w:rPr>
          <w:rFonts w:hint="eastAsia"/>
          <w:sz w:val="21"/>
          <w:szCs w:val="21"/>
        </w:rPr>
      </w:pPr>
      <w:bookmarkStart w:id="465" w:name="_Toc24172"/>
      <w:bookmarkStart w:id="466" w:name="_Toc30350"/>
      <w:r>
        <w:rPr>
          <w:sz w:val="21"/>
          <w:szCs w:val="21"/>
        </w:rPr>
        <w:t>2  水资源高效利用</w:t>
      </w:r>
      <w:r>
        <w:rPr>
          <w:rFonts w:hint="eastAsia"/>
          <w:sz w:val="21"/>
          <w:szCs w:val="21"/>
        </w:rPr>
        <w:t>的评价内容措施：</w:t>
      </w:r>
      <w:bookmarkEnd w:id="465"/>
      <w:bookmarkEnd w:id="466"/>
    </w:p>
    <w:p w14:paraId="74A25D73">
      <w:pPr>
        <w:widowControl w:val="0"/>
        <w:adjustRightInd w:val="0"/>
        <w:snapToGrid w:val="0"/>
        <w:ind w:firstLine="630" w:firstLineChars="300"/>
        <w:rPr>
          <w:rFonts w:hint="eastAsia"/>
          <w:sz w:val="21"/>
          <w:szCs w:val="21"/>
        </w:rPr>
      </w:pPr>
      <w:r>
        <w:rPr>
          <w:sz w:val="21"/>
          <w:szCs w:val="21"/>
        </w:rPr>
        <w:t>1）施工中应尽可能采用</w:t>
      </w:r>
      <w:r>
        <w:rPr>
          <w:rFonts w:hint="eastAsia"/>
          <w:sz w:val="21"/>
          <w:szCs w:val="21"/>
        </w:rPr>
        <w:t>经检测合格的</w:t>
      </w:r>
      <w:r>
        <w:rPr>
          <w:sz w:val="21"/>
          <w:szCs w:val="21"/>
        </w:rPr>
        <w:t>非传统水源和</w:t>
      </w:r>
      <w:r>
        <w:rPr>
          <w:rFonts w:hint="eastAsia"/>
          <w:sz w:val="21"/>
          <w:szCs w:val="21"/>
        </w:rPr>
        <w:t>再生</w:t>
      </w:r>
      <w:r>
        <w:rPr>
          <w:sz w:val="21"/>
          <w:szCs w:val="21"/>
        </w:rPr>
        <w:t>水</w:t>
      </w:r>
      <w:r>
        <w:rPr>
          <w:rFonts w:hint="eastAsia"/>
          <w:sz w:val="21"/>
          <w:szCs w:val="21"/>
        </w:rPr>
        <w:t>进行循环</w:t>
      </w:r>
      <w:r>
        <w:rPr>
          <w:sz w:val="21"/>
          <w:szCs w:val="21"/>
        </w:rPr>
        <w:t>利用。有条件的地区和现场应建立雨水收集利用系统</w:t>
      </w:r>
      <w:r>
        <w:rPr>
          <w:rFonts w:hint="eastAsia"/>
          <w:sz w:val="21"/>
          <w:szCs w:val="21"/>
        </w:rPr>
        <w:t>；</w:t>
      </w:r>
      <w:r>
        <w:rPr>
          <w:sz w:val="21"/>
          <w:szCs w:val="21"/>
        </w:rPr>
        <w:t>低洼道路、低洼区域满铺塑料布集中收集雨水，用于道路、基坑开挖降尘</w:t>
      </w:r>
      <w:r>
        <w:rPr>
          <w:rFonts w:hint="eastAsia"/>
          <w:sz w:val="21"/>
          <w:szCs w:val="21"/>
        </w:rPr>
        <w:t>；</w:t>
      </w:r>
      <w:r>
        <w:rPr>
          <w:sz w:val="21"/>
          <w:szCs w:val="21"/>
        </w:rPr>
        <w:t>现场机具、设备、车辆冲洗、喷洒路面、绿化浇灌等用水，优先采用非传统水源</w:t>
      </w:r>
      <w:r>
        <w:rPr>
          <w:rFonts w:hint="eastAsia"/>
          <w:sz w:val="21"/>
          <w:szCs w:val="21"/>
        </w:rPr>
        <w:t>；</w:t>
      </w:r>
      <w:r>
        <w:rPr>
          <w:sz w:val="21"/>
          <w:szCs w:val="21"/>
        </w:rPr>
        <w:t>污水管道、雨水管道试验及冲洗用水宜利用非自来水源。</w:t>
      </w:r>
    </w:p>
    <w:p w14:paraId="13E80B80">
      <w:pPr>
        <w:widowControl w:val="0"/>
        <w:adjustRightInd w:val="0"/>
        <w:snapToGrid w:val="0"/>
        <w:ind w:firstLine="630" w:firstLineChars="300"/>
        <w:rPr>
          <w:rFonts w:hint="eastAsia"/>
          <w:sz w:val="21"/>
          <w:szCs w:val="21"/>
        </w:rPr>
      </w:pPr>
      <w:r>
        <w:rPr>
          <w:sz w:val="21"/>
          <w:szCs w:val="21"/>
        </w:rPr>
        <w:t>2）处于基坑降水阶段的工地,宜优先采用</w:t>
      </w:r>
      <w:r>
        <w:rPr>
          <w:rFonts w:hint="eastAsia"/>
          <w:sz w:val="21"/>
          <w:szCs w:val="21"/>
        </w:rPr>
        <w:t>经检测合格的</w:t>
      </w:r>
      <w:r>
        <w:rPr>
          <w:sz w:val="21"/>
          <w:szCs w:val="21"/>
        </w:rPr>
        <w:t>地下水作为</w:t>
      </w:r>
      <w:r>
        <w:rPr>
          <w:rFonts w:hint="eastAsia"/>
          <w:sz w:val="21"/>
          <w:szCs w:val="21"/>
        </w:rPr>
        <w:t>现场洒水、</w:t>
      </w:r>
      <w:r>
        <w:rPr>
          <w:sz w:val="21"/>
          <w:szCs w:val="21"/>
        </w:rPr>
        <w:t>混凝土搅拌用水、养护用水、冲洗用水和部分生活用水。</w:t>
      </w:r>
    </w:p>
    <w:p w14:paraId="480DF7C1">
      <w:pPr>
        <w:widowControl w:val="0"/>
        <w:adjustRightInd w:val="0"/>
        <w:snapToGrid w:val="0"/>
        <w:ind w:firstLine="630" w:firstLineChars="300"/>
        <w:rPr>
          <w:rFonts w:hint="eastAsia"/>
          <w:sz w:val="21"/>
          <w:szCs w:val="21"/>
        </w:rPr>
      </w:pPr>
      <w:r>
        <w:rPr>
          <w:sz w:val="21"/>
          <w:szCs w:val="21"/>
        </w:rPr>
        <w:t>3）</w:t>
      </w:r>
      <w:r>
        <w:rPr>
          <w:rFonts w:hint="eastAsia"/>
          <w:sz w:val="21"/>
          <w:szCs w:val="21"/>
        </w:rPr>
        <w:t>现场设置回水利用设备，水池满水试验及管网水压试验用水实现回收再利用。</w:t>
      </w:r>
      <w:r>
        <w:rPr>
          <w:sz w:val="21"/>
          <w:szCs w:val="21"/>
        </w:rPr>
        <w:t>现场冲洗区域设置循环排水沟及沉淀池，确保沉淀后的水可再次进入冲洗设备使用。在喷淋场地坡度最低处设置一个沉淀池，浇砖后的水可进行再利用。</w:t>
      </w:r>
    </w:p>
    <w:p w14:paraId="5AE6812D">
      <w:pPr>
        <w:widowControl w:val="0"/>
        <w:adjustRightInd w:val="0"/>
        <w:snapToGrid w:val="0"/>
        <w:ind w:firstLine="630" w:firstLineChars="300"/>
        <w:rPr>
          <w:rFonts w:hint="eastAsia"/>
          <w:sz w:val="21"/>
          <w:szCs w:val="21"/>
        </w:rPr>
      </w:pPr>
      <w:r>
        <w:rPr>
          <w:sz w:val="21"/>
          <w:szCs w:val="21"/>
        </w:rPr>
        <w:t>4）生活区设置中水处理系统，将生活污水净化为中水，用于降尘、绿化浇灌、车辆冲洗和厕所冲洗用水</w:t>
      </w:r>
      <w:r>
        <w:rPr>
          <w:rFonts w:hint="eastAsia"/>
          <w:sz w:val="21"/>
          <w:szCs w:val="21"/>
        </w:rPr>
        <w:t>等实现再利用</w:t>
      </w:r>
      <w:r>
        <w:rPr>
          <w:sz w:val="21"/>
          <w:szCs w:val="21"/>
        </w:rPr>
        <w:t>。</w:t>
      </w:r>
    </w:p>
    <w:p w14:paraId="57F681EC">
      <w:pPr>
        <w:widowControl w:val="0"/>
        <w:adjustRightInd w:val="0"/>
        <w:snapToGrid w:val="0"/>
        <w:rPr>
          <w:rFonts w:hint="eastAsia"/>
          <w:sz w:val="21"/>
          <w:szCs w:val="21"/>
        </w:rPr>
      </w:pPr>
      <w:r>
        <w:fldChar w:fldCharType="begin"/>
      </w:r>
      <w:r>
        <w:instrText xml:space="preserve"> HYPERLINK \l "_Toc162470929" </w:instrText>
      </w:r>
      <w:r>
        <w:fldChar w:fldCharType="separate"/>
      </w:r>
      <w:r>
        <w:rPr>
          <w:sz w:val="21"/>
          <w:szCs w:val="21"/>
        </w:rPr>
        <w:t xml:space="preserve">6.3.16  </w:t>
      </w:r>
      <w:r>
        <w:fldChar w:fldCharType="begin"/>
      </w:r>
      <w:r>
        <w:instrText xml:space="preserve"> HYPERLINK \l "_Toc162470929" </w:instrText>
      </w:r>
      <w:r>
        <w:fldChar w:fldCharType="separate"/>
      </w:r>
      <w:r>
        <w:rPr>
          <w:rFonts w:hint="eastAsia"/>
          <w:sz w:val="21"/>
          <w:szCs w:val="21"/>
        </w:rPr>
        <w:t>火电工程水资源节约与循环利用</w:t>
      </w:r>
      <w:r>
        <w:rPr>
          <w:rFonts w:hint="eastAsia"/>
          <w:sz w:val="21"/>
          <w:szCs w:val="21"/>
        </w:rPr>
        <w:fldChar w:fldCharType="end"/>
      </w:r>
      <w:r>
        <w:rPr>
          <w:rFonts w:hint="eastAsia"/>
          <w:sz w:val="21"/>
          <w:szCs w:val="21"/>
        </w:rPr>
        <w:t>专用项评价包括以下内容：</w:t>
      </w:r>
      <w:r>
        <w:rPr>
          <w:rFonts w:hint="eastAsia"/>
          <w:sz w:val="21"/>
          <w:szCs w:val="21"/>
        </w:rPr>
        <w:fldChar w:fldCharType="end"/>
      </w:r>
      <w:r>
        <w:rPr>
          <w:sz w:val="21"/>
          <w:szCs w:val="21"/>
        </w:rPr>
        <w:t xml:space="preserve"> </w:t>
      </w:r>
    </w:p>
    <w:p w14:paraId="26E32E20">
      <w:pPr>
        <w:widowControl w:val="0"/>
        <w:adjustRightInd w:val="0"/>
        <w:snapToGrid w:val="0"/>
        <w:ind w:firstLine="420" w:firstLineChars="200"/>
        <w:outlineLvl w:val="0"/>
        <w:rPr>
          <w:rFonts w:hint="eastAsia"/>
          <w:sz w:val="21"/>
          <w:szCs w:val="21"/>
        </w:rPr>
      </w:pPr>
      <w:bookmarkStart w:id="467" w:name="_Toc9468"/>
      <w:bookmarkStart w:id="468" w:name="_Toc17498"/>
      <w:r>
        <w:rPr>
          <w:sz w:val="21"/>
          <w:szCs w:val="21"/>
        </w:rPr>
        <w:t>1  燃煤发电工程</w:t>
      </w:r>
      <w:bookmarkEnd w:id="467"/>
      <w:bookmarkEnd w:id="468"/>
    </w:p>
    <w:p w14:paraId="746D50F9">
      <w:pPr>
        <w:widowControl w:val="0"/>
        <w:adjustRightInd w:val="0"/>
        <w:snapToGrid w:val="0"/>
        <w:ind w:firstLine="630" w:firstLineChars="300"/>
        <w:rPr>
          <w:rFonts w:hint="eastAsia"/>
          <w:sz w:val="21"/>
          <w:szCs w:val="21"/>
        </w:rPr>
      </w:pPr>
      <w:r>
        <w:rPr>
          <w:sz w:val="21"/>
          <w:szCs w:val="21"/>
        </w:rPr>
        <w:t>1）给水管道冲洗采用闭式循环冲洗工艺。</w:t>
      </w:r>
    </w:p>
    <w:p w14:paraId="20C84803">
      <w:pPr>
        <w:widowControl w:val="0"/>
        <w:adjustRightInd w:val="0"/>
        <w:snapToGrid w:val="0"/>
        <w:ind w:firstLine="630" w:firstLineChars="300"/>
        <w:rPr>
          <w:rFonts w:hint="eastAsia"/>
          <w:sz w:val="21"/>
          <w:szCs w:val="21"/>
        </w:rPr>
      </w:pPr>
      <w:r>
        <w:rPr>
          <w:sz w:val="21"/>
          <w:szCs w:val="21"/>
        </w:rPr>
        <w:t>2）锅炉水压试验应接临时管道，处理后重复利用</w:t>
      </w:r>
      <w:r>
        <w:rPr>
          <w:rFonts w:hint="eastAsia"/>
          <w:sz w:val="21"/>
          <w:szCs w:val="21"/>
        </w:rPr>
        <w:t>。</w:t>
      </w:r>
      <w:r>
        <w:rPr>
          <w:sz w:val="21"/>
          <w:szCs w:val="21"/>
        </w:rPr>
        <w:t xml:space="preserve"> </w:t>
      </w:r>
    </w:p>
    <w:p w14:paraId="3E7F4FC4">
      <w:pPr>
        <w:widowControl w:val="0"/>
        <w:adjustRightInd w:val="0"/>
        <w:snapToGrid w:val="0"/>
        <w:ind w:firstLine="630" w:firstLineChars="300"/>
        <w:rPr>
          <w:rFonts w:hint="eastAsia"/>
          <w:sz w:val="21"/>
          <w:szCs w:val="21"/>
        </w:rPr>
      </w:pPr>
      <w:r>
        <w:rPr>
          <w:sz w:val="21"/>
          <w:szCs w:val="21"/>
        </w:rPr>
        <w:t>3）锅炉受热面管排与集箱管道对口前应全面检查，保证集箱内部清洁</w:t>
      </w:r>
      <w:r>
        <w:rPr>
          <w:rFonts w:hint="eastAsia"/>
          <w:sz w:val="21"/>
          <w:szCs w:val="21"/>
        </w:rPr>
        <w:t>，已减少吹管时用水量。</w:t>
      </w:r>
    </w:p>
    <w:p w14:paraId="3523E048">
      <w:pPr>
        <w:widowControl w:val="0"/>
        <w:adjustRightInd w:val="0"/>
        <w:snapToGrid w:val="0"/>
        <w:ind w:firstLine="630" w:firstLineChars="300"/>
        <w:rPr>
          <w:rFonts w:hint="eastAsia"/>
          <w:sz w:val="21"/>
          <w:szCs w:val="21"/>
        </w:rPr>
      </w:pPr>
      <w:r>
        <w:rPr>
          <w:sz w:val="21"/>
          <w:szCs w:val="21"/>
        </w:rPr>
        <w:t>4）</w:t>
      </w:r>
      <w:r>
        <w:rPr>
          <w:rFonts w:hint="eastAsia"/>
          <w:sz w:val="21"/>
          <w:szCs w:val="21"/>
        </w:rPr>
        <w:t>合理确定机组循环水量和冷却倍率，减少冷却塔的损失，降低补给水用量。</w:t>
      </w:r>
    </w:p>
    <w:p w14:paraId="3C5FE7F9">
      <w:pPr>
        <w:widowControl w:val="0"/>
        <w:adjustRightInd w:val="0"/>
        <w:snapToGrid w:val="0"/>
        <w:ind w:firstLine="630" w:firstLineChars="300"/>
        <w:outlineLvl w:val="1"/>
        <w:rPr>
          <w:rFonts w:hint="eastAsia"/>
          <w:sz w:val="21"/>
          <w:szCs w:val="21"/>
        </w:rPr>
      </w:pPr>
      <w:bookmarkStart w:id="469" w:name="_Toc25073"/>
      <w:bookmarkStart w:id="470" w:name="_Toc4694"/>
      <w:r>
        <w:rPr>
          <w:sz w:val="21"/>
          <w:szCs w:val="21"/>
        </w:rPr>
        <w:t>5）化学制水产生的废水设置回收利用设施。</w:t>
      </w:r>
      <w:bookmarkEnd w:id="469"/>
      <w:bookmarkEnd w:id="470"/>
    </w:p>
    <w:p w14:paraId="46530FAD">
      <w:pPr>
        <w:widowControl w:val="0"/>
        <w:adjustRightInd w:val="0"/>
        <w:snapToGrid w:val="0"/>
        <w:ind w:firstLine="630" w:firstLineChars="300"/>
        <w:rPr>
          <w:rFonts w:hint="eastAsia"/>
          <w:sz w:val="21"/>
          <w:szCs w:val="21"/>
        </w:rPr>
      </w:pPr>
      <w:r>
        <w:rPr>
          <w:sz w:val="21"/>
          <w:szCs w:val="21"/>
        </w:rPr>
        <w:t>6）</w:t>
      </w:r>
      <w:r>
        <w:rPr>
          <w:rFonts w:hint="eastAsia"/>
          <w:sz w:val="21"/>
          <w:szCs w:val="21"/>
        </w:rPr>
        <w:t>试运期间制定针对循环水系统、主厂房辅机系统、输煤除灰渣用水系统、原水预处理系统等的节水措施。</w:t>
      </w:r>
    </w:p>
    <w:p w14:paraId="7B8D3FFA">
      <w:pPr>
        <w:widowControl w:val="0"/>
        <w:adjustRightInd w:val="0"/>
        <w:snapToGrid w:val="0"/>
        <w:ind w:firstLine="420" w:firstLineChars="200"/>
        <w:outlineLvl w:val="0"/>
        <w:rPr>
          <w:rFonts w:hint="eastAsia"/>
          <w:sz w:val="21"/>
          <w:szCs w:val="21"/>
        </w:rPr>
      </w:pPr>
      <w:bookmarkStart w:id="471" w:name="_Toc6357"/>
      <w:bookmarkStart w:id="472" w:name="_Toc29528"/>
      <w:r>
        <w:rPr>
          <w:sz w:val="21"/>
          <w:szCs w:val="21"/>
        </w:rPr>
        <w:t>2  燃气蒸汽联合循环</w:t>
      </w:r>
      <w:r>
        <w:rPr>
          <w:rFonts w:hint="eastAsia"/>
          <w:sz w:val="21"/>
          <w:szCs w:val="21"/>
        </w:rPr>
        <w:t>发电工程</w:t>
      </w:r>
      <w:bookmarkEnd w:id="471"/>
      <w:bookmarkEnd w:id="472"/>
    </w:p>
    <w:p w14:paraId="74DC5BBE">
      <w:pPr>
        <w:widowControl w:val="0"/>
        <w:adjustRightInd w:val="0"/>
        <w:snapToGrid w:val="0"/>
        <w:ind w:firstLine="630" w:firstLineChars="300"/>
        <w:rPr>
          <w:rFonts w:hint="eastAsia"/>
          <w:sz w:val="21"/>
          <w:szCs w:val="21"/>
        </w:rPr>
      </w:pPr>
      <w:r>
        <w:rPr>
          <w:sz w:val="21"/>
          <w:szCs w:val="21"/>
        </w:rPr>
        <w:t>1）燃气蒸汽联合循环</w:t>
      </w:r>
      <w:r>
        <w:rPr>
          <w:rFonts w:hint="eastAsia"/>
          <w:sz w:val="21"/>
          <w:szCs w:val="21"/>
        </w:rPr>
        <w:t>发电工程专用项评价可执行燃煤发电工程</w:t>
      </w:r>
      <w:r>
        <w:rPr>
          <w:sz w:val="21"/>
          <w:szCs w:val="21"/>
        </w:rPr>
        <w:t>1）-5）条。</w:t>
      </w:r>
    </w:p>
    <w:p w14:paraId="44B88707">
      <w:pPr>
        <w:widowControl w:val="0"/>
        <w:adjustRightInd w:val="0"/>
        <w:snapToGrid w:val="0"/>
        <w:ind w:firstLine="630" w:firstLineChars="300"/>
        <w:rPr>
          <w:rFonts w:hint="eastAsia"/>
          <w:sz w:val="21"/>
          <w:szCs w:val="21"/>
        </w:rPr>
      </w:pPr>
      <w:r>
        <w:rPr>
          <w:sz w:val="21"/>
          <w:szCs w:val="21"/>
        </w:rPr>
        <w:t>2）燃气蒸汽联合循环机组天然气管道试压</w:t>
      </w:r>
      <w:r>
        <w:rPr>
          <w:rFonts w:hint="eastAsia"/>
          <w:sz w:val="21"/>
          <w:szCs w:val="21"/>
        </w:rPr>
        <w:t>用水应设施废水回收处理装置，做到废水循环利用。</w:t>
      </w:r>
    </w:p>
    <w:p w14:paraId="7620ECE2">
      <w:pPr>
        <w:widowControl w:val="0"/>
        <w:adjustRightInd w:val="0"/>
        <w:snapToGrid w:val="0"/>
        <w:ind w:firstLine="420" w:firstLineChars="200"/>
        <w:outlineLvl w:val="0"/>
        <w:rPr>
          <w:rFonts w:hint="eastAsia"/>
          <w:sz w:val="21"/>
          <w:szCs w:val="21"/>
        </w:rPr>
      </w:pPr>
      <w:bookmarkStart w:id="473" w:name="_Toc3023"/>
      <w:bookmarkStart w:id="474" w:name="_Toc4280"/>
      <w:r>
        <w:rPr>
          <w:sz w:val="21"/>
          <w:szCs w:val="21"/>
        </w:rPr>
        <w:t>3  垃圾焚烧发电</w:t>
      </w:r>
      <w:r>
        <w:rPr>
          <w:rFonts w:hint="eastAsia"/>
          <w:sz w:val="21"/>
          <w:szCs w:val="21"/>
        </w:rPr>
        <w:t>工程</w:t>
      </w:r>
      <w:bookmarkEnd w:id="473"/>
      <w:bookmarkEnd w:id="474"/>
    </w:p>
    <w:p w14:paraId="682C9608">
      <w:pPr>
        <w:widowControl w:val="0"/>
        <w:adjustRightInd w:val="0"/>
        <w:snapToGrid w:val="0"/>
        <w:ind w:firstLine="630" w:firstLineChars="300"/>
        <w:rPr>
          <w:rFonts w:hint="eastAsia"/>
          <w:sz w:val="21"/>
          <w:szCs w:val="21"/>
        </w:rPr>
      </w:pPr>
      <w:r>
        <w:rPr>
          <w:sz w:val="21"/>
          <w:szCs w:val="21"/>
        </w:rPr>
        <w:t>1）垃圾焚烧发电</w:t>
      </w:r>
      <w:r>
        <w:rPr>
          <w:rFonts w:hint="eastAsia"/>
          <w:sz w:val="21"/>
          <w:szCs w:val="21"/>
        </w:rPr>
        <w:t>工程专用项评价可执行燃煤发电工程</w:t>
      </w:r>
      <w:r>
        <w:rPr>
          <w:sz w:val="21"/>
          <w:szCs w:val="21"/>
        </w:rPr>
        <w:t>1）</w:t>
      </w:r>
      <w:r>
        <w:rPr>
          <w:rFonts w:hint="eastAsia"/>
          <w:sz w:val="21"/>
          <w:szCs w:val="21"/>
        </w:rPr>
        <w:t>～</w:t>
      </w:r>
      <w:r>
        <w:rPr>
          <w:sz w:val="21"/>
          <w:szCs w:val="21"/>
        </w:rPr>
        <w:t>5）条。</w:t>
      </w:r>
    </w:p>
    <w:p w14:paraId="11849B88">
      <w:pPr>
        <w:widowControl w:val="0"/>
        <w:adjustRightInd w:val="0"/>
        <w:snapToGrid w:val="0"/>
        <w:ind w:firstLine="420" w:firstLineChars="200"/>
        <w:outlineLvl w:val="0"/>
        <w:rPr>
          <w:rFonts w:hint="eastAsia"/>
          <w:sz w:val="21"/>
          <w:szCs w:val="21"/>
        </w:rPr>
      </w:pPr>
      <w:bookmarkStart w:id="475" w:name="_Toc2335"/>
      <w:bookmarkStart w:id="476" w:name="_Toc13973"/>
      <w:r>
        <w:rPr>
          <w:sz w:val="21"/>
          <w:szCs w:val="21"/>
        </w:rPr>
        <w:t>4  生物质发电</w:t>
      </w:r>
      <w:r>
        <w:rPr>
          <w:rFonts w:hint="eastAsia"/>
          <w:sz w:val="21"/>
          <w:szCs w:val="21"/>
        </w:rPr>
        <w:t>工程</w:t>
      </w:r>
      <w:bookmarkEnd w:id="475"/>
      <w:bookmarkEnd w:id="476"/>
    </w:p>
    <w:p w14:paraId="274F7617">
      <w:pPr>
        <w:widowControl w:val="0"/>
        <w:adjustRightInd w:val="0"/>
        <w:snapToGrid w:val="0"/>
        <w:ind w:firstLine="630" w:firstLineChars="300"/>
        <w:outlineLvl w:val="1"/>
        <w:rPr>
          <w:rFonts w:hint="eastAsia"/>
          <w:sz w:val="21"/>
          <w:szCs w:val="21"/>
        </w:rPr>
      </w:pPr>
      <w:bookmarkStart w:id="477" w:name="_Toc30433"/>
      <w:bookmarkStart w:id="478" w:name="_Toc19828"/>
      <w:r>
        <w:rPr>
          <w:sz w:val="21"/>
          <w:szCs w:val="21"/>
        </w:rPr>
        <w:t>1）生物质发电</w:t>
      </w:r>
      <w:r>
        <w:rPr>
          <w:rFonts w:hint="eastAsia"/>
          <w:sz w:val="21"/>
          <w:szCs w:val="21"/>
        </w:rPr>
        <w:t>工程专用项评价可执行燃煤发电工程</w:t>
      </w:r>
      <w:r>
        <w:rPr>
          <w:sz w:val="21"/>
          <w:szCs w:val="21"/>
        </w:rPr>
        <w:t>1）</w:t>
      </w:r>
      <w:r>
        <w:rPr>
          <w:rFonts w:hint="eastAsia"/>
          <w:sz w:val="21"/>
          <w:szCs w:val="21"/>
        </w:rPr>
        <w:t>～</w:t>
      </w:r>
      <w:r>
        <w:rPr>
          <w:sz w:val="21"/>
          <w:szCs w:val="21"/>
        </w:rPr>
        <w:t>5）条。</w:t>
      </w:r>
      <w:bookmarkEnd w:id="477"/>
      <w:bookmarkEnd w:id="478"/>
    </w:p>
    <w:p w14:paraId="2E722759">
      <w:pPr>
        <w:widowControl w:val="0"/>
        <w:adjustRightInd w:val="0"/>
        <w:snapToGrid w:val="0"/>
        <w:rPr>
          <w:rFonts w:hint="eastAsia"/>
          <w:color w:val="FF0000"/>
          <w:sz w:val="21"/>
          <w:szCs w:val="21"/>
        </w:rPr>
      </w:pPr>
      <w:r>
        <w:rPr>
          <w:sz w:val="21"/>
          <w:szCs w:val="21"/>
        </w:rPr>
        <w:t xml:space="preserve">6.3.17  </w:t>
      </w:r>
      <w:r>
        <w:rPr>
          <w:rFonts w:hint="eastAsia"/>
          <w:sz w:val="21"/>
          <w:szCs w:val="21"/>
        </w:rPr>
        <w:t>水力</w:t>
      </w:r>
      <w:r>
        <w:rPr>
          <w:sz w:val="21"/>
          <w:szCs w:val="21"/>
        </w:rPr>
        <w:t>发电</w:t>
      </w:r>
      <w:r>
        <w:rPr>
          <w:rFonts w:hint="eastAsia"/>
          <w:sz w:val="21"/>
          <w:szCs w:val="21"/>
        </w:rPr>
        <w:t>（含抽水蓄能）</w:t>
      </w:r>
      <w:r>
        <w:fldChar w:fldCharType="begin"/>
      </w:r>
      <w:r>
        <w:instrText xml:space="preserve"> HYPERLINK \l "_Toc162470929" </w:instrText>
      </w:r>
      <w:r>
        <w:fldChar w:fldCharType="separate"/>
      </w:r>
      <w:r>
        <w:rPr>
          <w:rFonts w:hint="eastAsia"/>
          <w:sz w:val="21"/>
          <w:szCs w:val="21"/>
        </w:rPr>
        <w:t>工程水资源节约与循环利用</w:t>
      </w:r>
      <w:r>
        <w:rPr>
          <w:rFonts w:hint="eastAsia"/>
          <w:sz w:val="21"/>
          <w:szCs w:val="21"/>
        </w:rPr>
        <w:fldChar w:fldCharType="end"/>
      </w:r>
      <w:r>
        <w:rPr>
          <w:rFonts w:hint="eastAsia"/>
          <w:sz w:val="21"/>
          <w:szCs w:val="21"/>
        </w:rPr>
        <w:t>专用项评价包括以下内容：</w:t>
      </w:r>
      <w:r>
        <w:rPr>
          <w:color w:val="FF0000"/>
          <w:sz w:val="21"/>
          <w:szCs w:val="21"/>
        </w:rPr>
        <w:t xml:space="preserve"> </w:t>
      </w:r>
    </w:p>
    <w:p w14:paraId="6C5C56BF">
      <w:pPr>
        <w:widowControl w:val="0"/>
        <w:adjustRightInd w:val="0"/>
        <w:snapToGrid w:val="0"/>
        <w:ind w:firstLine="420" w:firstLineChars="200"/>
        <w:rPr>
          <w:rFonts w:hint="eastAsia"/>
          <w:sz w:val="21"/>
          <w:szCs w:val="21"/>
        </w:rPr>
      </w:pPr>
      <w:r>
        <w:rPr>
          <w:rFonts w:hint="eastAsia"/>
          <w:sz w:val="21"/>
          <w:szCs w:val="21"/>
        </w:rPr>
        <w:t>1  工程防渗系统运行效果良好，减少水资源浪费，渗漏量小于设计预警值，领先国内同期工程。</w:t>
      </w:r>
    </w:p>
    <w:p w14:paraId="2D78E04A">
      <w:pPr>
        <w:widowControl w:val="0"/>
        <w:adjustRightInd w:val="0"/>
        <w:snapToGrid w:val="0"/>
        <w:ind w:firstLine="420" w:firstLineChars="200"/>
        <w:rPr>
          <w:rFonts w:hint="eastAsia"/>
          <w:sz w:val="21"/>
          <w:szCs w:val="21"/>
        </w:rPr>
      </w:pPr>
      <w:r>
        <w:rPr>
          <w:rFonts w:hint="eastAsia"/>
          <w:sz w:val="21"/>
          <w:szCs w:val="21"/>
        </w:rPr>
        <w:t>2  水工大体积混凝土采用智能温控系统进行温度控制，减少通水量，节约水资源。</w:t>
      </w:r>
    </w:p>
    <w:p w14:paraId="114136F3">
      <w:pPr>
        <w:widowControl w:val="0"/>
        <w:adjustRightInd w:val="0"/>
        <w:snapToGrid w:val="0"/>
        <w:ind w:firstLine="420" w:firstLineChars="200"/>
        <w:rPr>
          <w:rFonts w:hint="eastAsia"/>
          <w:sz w:val="21"/>
          <w:szCs w:val="21"/>
        </w:rPr>
      </w:pPr>
      <w:r>
        <w:rPr>
          <w:rFonts w:hint="eastAsia"/>
          <w:sz w:val="21"/>
          <w:szCs w:val="21"/>
        </w:rPr>
        <w:t>3  砂石加工系统工程废水处理工艺先进，处理效果良好，处理后的清水用于路面洒水、生产降尘等。</w:t>
      </w:r>
    </w:p>
    <w:p w14:paraId="0DE5C75F">
      <w:pPr>
        <w:widowControl w:val="0"/>
        <w:adjustRightInd w:val="0"/>
        <w:snapToGrid w:val="0"/>
        <w:ind w:firstLine="420" w:firstLineChars="200"/>
        <w:rPr>
          <w:rFonts w:hint="eastAsia"/>
          <w:sz w:val="21"/>
          <w:szCs w:val="21"/>
        </w:rPr>
      </w:pPr>
      <w:r>
        <w:rPr>
          <w:rFonts w:hint="eastAsia"/>
          <w:sz w:val="21"/>
          <w:szCs w:val="21"/>
        </w:rPr>
        <w:t>4  水工混凝土养护宜采用覆盖养护、喷淋养护等节水措施，不得采用表面漫流方式。</w:t>
      </w:r>
    </w:p>
    <w:p w14:paraId="431E38BD">
      <w:pPr>
        <w:widowControl w:val="0"/>
        <w:adjustRightInd w:val="0"/>
        <w:snapToGrid w:val="0"/>
        <w:rPr>
          <w:rFonts w:hint="eastAsia"/>
          <w:color w:val="FF0000"/>
          <w:sz w:val="21"/>
          <w:szCs w:val="21"/>
        </w:rPr>
      </w:pPr>
      <w:r>
        <w:rPr>
          <w:sz w:val="21"/>
          <w:szCs w:val="21"/>
        </w:rPr>
        <w:t xml:space="preserve">6.3.18  </w:t>
      </w:r>
      <w:r>
        <w:rPr>
          <w:rFonts w:hint="eastAsia"/>
          <w:sz w:val="21"/>
          <w:szCs w:val="21"/>
        </w:rPr>
        <w:t>风力发电</w:t>
      </w:r>
      <w:r>
        <w:fldChar w:fldCharType="begin"/>
      </w:r>
      <w:r>
        <w:instrText xml:space="preserve"> HYPERLINK \l "_Toc162470929" </w:instrText>
      </w:r>
      <w:r>
        <w:fldChar w:fldCharType="separate"/>
      </w:r>
      <w:r>
        <w:rPr>
          <w:rFonts w:hint="eastAsia"/>
          <w:sz w:val="21"/>
          <w:szCs w:val="21"/>
        </w:rPr>
        <w:t>工程水资源节约与循环利用</w:t>
      </w:r>
      <w:r>
        <w:rPr>
          <w:rFonts w:hint="eastAsia"/>
          <w:sz w:val="21"/>
          <w:szCs w:val="21"/>
        </w:rPr>
        <w:fldChar w:fldCharType="end"/>
      </w:r>
      <w:r>
        <w:rPr>
          <w:rFonts w:hint="eastAsia"/>
          <w:sz w:val="21"/>
          <w:szCs w:val="21"/>
        </w:rPr>
        <w:t>专用项评价包括以下内容：</w:t>
      </w:r>
      <w:r>
        <w:rPr>
          <w:color w:val="FF0000"/>
          <w:sz w:val="21"/>
          <w:szCs w:val="21"/>
        </w:rPr>
        <w:t xml:space="preserve"> </w:t>
      </w:r>
    </w:p>
    <w:p w14:paraId="79739175">
      <w:pPr>
        <w:widowControl w:val="0"/>
        <w:adjustRightInd w:val="0"/>
        <w:snapToGrid w:val="0"/>
        <w:ind w:firstLine="420" w:firstLineChars="200"/>
        <w:outlineLvl w:val="0"/>
        <w:rPr>
          <w:rFonts w:hint="eastAsia"/>
          <w:sz w:val="21"/>
          <w:szCs w:val="21"/>
        </w:rPr>
      </w:pPr>
      <w:bookmarkStart w:id="479" w:name="_Toc822"/>
      <w:bookmarkStart w:id="480" w:name="_Toc10274"/>
      <w:r>
        <w:rPr>
          <w:sz w:val="21"/>
          <w:szCs w:val="21"/>
        </w:rPr>
        <w:t xml:space="preserve">1  </w:t>
      </w:r>
      <w:r>
        <w:rPr>
          <w:rFonts w:hint="eastAsia"/>
          <w:sz w:val="21"/>
          <w:szCs w:val="21"/>
        </w:rPr>
        <w:t>陆上风电</w:t>
      </w:r>
      <w:bookmarkEnd w:id="479"/>
      <w:bookmarkEnd w:id="480"/>
    </w:p>
    <w:p w14:paraId="61A03DCC">
      <w:pPr>
        <w:widowControl w:val="0"/>
        <w:adjustRightInd w:val="0"/>
        <w:snapToGrid w:val="0"/>
        <w:ind w:firstLine="630" w:firstLineChars="300"/>
        <w:outlineLvl w:val="1"/>
        <w:rPr>
          <w:rFonts w:hint="eastAsia"/>
          <w:sz w:val="21"/>
          <w:szCs w:val="21"/>
        </w:rPr>
      </w:pPr>
      <w:bookmarkStart w:id="481" w:name="_Toc2393"/>
      <w:bookmarkStart w:id="482" w:name="_Toc20514"/>
      <w:r>
        <w:rPr>
          <w:sz w:val="21"/>
          <w:szCs w:val="21"/>
        </w:rPr>
        <w:t>1）</w:t>
      </w:r>
      <w:r>
        <w:rPr>
          <w:rFonts w:hint="eastAsia"/>
          <w:sz w:val="21"/>
          <w:szCs w:val="21"/>
        </w:rPr>
        <w:t>风机基础</w:t>
      </w:r>
      <w:r>
        <w:rPr>
          <w:sz w:val="21"/>
          <w:szCs w:val="21"/>
        </w:rPr>
        <w:t>混凝土应</w:t>
      </w:r>
      <w:r>
        <w:rPr>
          <w:rFonts w:hint="eastAsia"/>
          <w:sz w:val="21"/>
          <w:szCs w:val="21"/>
        </w:rPr>
        <w:t>采用养护剂、薄膜覆盖等</w:t>
      </w:r>
      <w:r>
        <w:rPr>
          <w:sz w:val="21"/>
          <w:szCs w:val="21"/>
        </w:rPr>
        <w:t>节水</w:t>
      </w:r>
      <w:r>
        <w:rPr>
          <w:rFonts w:hint="eastAsia"/>
          <w:sz w:val="21"/>
          <w:szCs w:val="21"/>
        </w:rPr>
        <w:t>型</w:t>
      </w:r>
      <w:r>
        <w:rPr>
          <w:sz w:val="21"/>
          <w:szCs w:val="21"/>
        </w:rPr>
        <w:t>养护措施。</w:t>
      </w:r>
      <w:bookmarkEnd w:id="481"/>
      <w:bookmarkEnd w:id="482"/>
    </w:p>
    <w:p w14:paraId="5B6FA488">
      <w:pPr>
        <w:widowControl w:val="0"/>
        <w:adjustRightInd w:val="0"/>
        <w:snapToGrid w:val="0"/>
        <w:ind w:firstLine="630" w:firstLineChars="300"/>
        <w:rPr>
          <w:rFonts w:hint="eastAsia"/>
          <w:sz w:val="21"/>
          <w:szCs w:val="21"/>
        </w:rPr>
      </w:pPr>
      <w:r>
        <w:rPr>
          <w:sz w:val="21"/>
          <w:szCs w:val="21"/>
        </w:rPr>
        <w:t>2）现场布置雨水收集沟道和沉淀池，利用回收水进行现场抑尘洒水和风机基础混凝土养护水源。</w:t>
      </w:r>
    </w:p>
    <w:p w14:paraId="6507E50C">
      <w:pPr>
        <w:widowControl w:val="0"/>
        <w:adjustRightInd w:val="0"/>
        <w:snapToGrid w:val="0"/>
        <w:ind w:firstLine="420" w:firstLineChars="200"/>
        <w:outlineLvl w:val="0"/>
        <w:rPr>
          <w:rFonts w:hint="eastAsia"/>
          <w:sz w:val="21"/>
          <w:szCs w:val="21"/>
        </w:rPr>
      </w:pPr>
      <w:bookmarkStart w:id="483" w:name="_Toc12733"/>
      <w:bookmarkStart w:id="484" w:name="_Toc11829"/>
      <w:r>
        <w:rPr>
          <w:sz w:val="21"/>
          <w:szCs w:val="21"/>
        </w:rPr>
        <w:t xml:space="preserve">2  </w:t>
      </w:r>
      <w:r>
        <w:rPr>
          <w:rFonts w:hint="eastAsia"/>
          <w:sz w:val="21"/>
          <w:szCs w:val="21"/>
        </w:rPr>
        <w:t>海上风电</w:t>
      </w:r>
      <w:bookmarkEnd w:id="483"/>
      <w:bookmarkEnd w:id="484"/>
    </w:p>
    <w:p w14:paraId="7AEAEFEC">
      <w:pPr>
        <w:widowControl w:val="0"/>
        <w:adjustRightInd w:val="0"/>
        <w:snapToGrid w:val="0"/>
        <w:ind w:firstLine="630" w:firstLineChars="300"/>
        <w:rPr>
          <w:rFonts w:hint="eastAsia"/>
          <w:sz w:val="21"/>
          <w:szCs w:val="21"/>
        </w:rPr>
      </w:pPr>
      <w:r>
        <w:rPr>
          <w:sz w:val="21"/>
          <w:szCs w:val="21"/>
        </w:rPr>
        <w:t>1）现场船舶供水统一调配，根据现场各船只用水情况安排专用船只定期定量供应。</w:t>
      </w:r>
    </w:p>
    <w:p w14:paraId="22032686">
      <w:pPr>
        <w:widowControl w:val="0"/>
        <w:adjustRightInd w:val="0"/>
        <w:snapToGrid w:val="0"/>
        <w:ind w:firstLine="630" w:firstLineChars="300"/>
        <w:rPr>
          <w:rFonts w:hint="eastAsia"/>
          <w:sz w:val="21"/>
          <w:szCs w:val="21"/>
        </w:rPr>
      </w:pPr>
      <w:r>
        <w:rPr>
          <w:sz w:val="21"/>
          <w:szCs w:val="21"/>
        </w:rPr>
        <w:t>2）</w:t>
      </w:r>
      <w:r>
        <w:rPr>
          <w:rFonts w:hint="eastAsia"/>
          <w:sz w:val="21"/>
          <w:szCs w:val="21"/>
        </w:rPr>
        <w:t>大型作业船舶宜装备自动净水装置，实现最大限度的水资源重复利用。</w:t>
      </w:r>
    </w:p>
    <w:p w14:paraId="6DE9AAD5">
      <w:pPr>
        <w:widowControl w:val="0"/>
        <w:adjustRightInd w:val="0"/>
        <w:snapToGrid w:val="0"/>
        <w:rPr>
          <w:rFonts w:hint="eastAsia"/>
          <w:color w:val="FF0000"/>
          <w:sz w:val="21"/>
          <w:szCs w:val="21"/>
        </w:rPr>
      </w:pPr>
      <w:r>
        <w:rPr>
          <w:sz w:val="21"/>
          <w:szCs w:val="21"/>
        </w:rPr>
        <w:t xml:space="preserve">6.3.19  </w:t>
      </w:r>
      <w:r>
        <w:rPr>
          <w:rFonts w:hint="eastAsia"/>
          <w:sz w:val="21"/>
          <w:szCs w:val="21"/>
        </w:rPr>
        <w:t>太阳能发电</w:t>
      </w:r>
      <w:r>
        <w:fldChar w:fldCharType="begin"/>
      </w:r>
      <w:r>
        <w:instrText xml:space="preserve"> HYPERLINK \l "_Toc162470929" </w:instrText>
      </w:r>
      <w:r>
        <w:fldChar w:fldCharType="separate"/>
      </w:r>
      <w:r>
        <w:rPr>
          <w:rFonts w:hint="eastAsia"/>
          <w:sz w:val="21"/>
          <w:szCs w:val="21"/>
        </w:rPr>
        <w:t>工程水资源节约与循环利用</w:t>
      </w:r>
      <w:r>
        <w:rPr>
          <w:rFonts w:hint="eastAsia"/>
          <w:sz w:val="21"/>
          <w:szCs w:val="21"/>
        </w:rPr>
        <w:fldChar w:fldCharType="end"/>
      </w:r>
      <w:r>
        <w:rPr>
          <w:rFonts w:hint="eastAsia"/>
          <w:sz w:val="21"/>
          <w:szCs w:val="21"/>
        </w:rPr>
        <w:t>专用项评价包括以下内容：</w:t>
      </w:r>
      <w:r>
        <w:rPr>
          <w:color w:val="FF0000"/>
          <w:sz w:val="21"/>
          <w:szCs w:val="21"/>
        </w:rPr>
        <w:t xml:space="preserve"> </w:t>
      </w:r>
    </w:p>
    <w:p w14:paraId="384BAA83">
      <w:pPr>
        <w:widowControl w:val="0"/>
        <w:adjustRightInd w:val="0"/>
        <w:snapToGrid w:val="0"/>
        <w:ind w:firstLine="420" w:firstLineChars="200"/>
        <w:outlineLvl w:val="0"/>
        <w:rPr>
          <w:rFonts w:hint="eastAsia"/>
          <w:sz w:val="21"/>
          <w:szCs w:val="21"/>
        </w:rPr>
      </w:pPr>
      <w:bookmarkStart w:id="485" w:name="_Toc5020"/>
      <w:bookmarkStart w:id="486" w:name="_Toc22324"/>
      <w:r>
        <w:rPr>
          <w:rFonts w:hint="eastAsia"/>
          <w:sz w:val="21"/>
          <w:szCs w:val="21"/>
        </w:rPr>
        <w:t>1</w:t>
      </w:r>
      <w:r>
        <w:rPr>
          <w:sz w:val="21"/>
          <w:szCs w:val="21"/>
        </w:rPr>
        <w:t xml:space="preserve"> </w:t>
      </w:r>
      <w:r>
        <w:rPr>
          <w:rFonts w:hint="eastAsia"/>
          <w:sz w:val="21"/>
          <w:szCs w:val="21"/>
        </w:rPr>
        <w:t>陆上光伏发电项目</w:t>
      </w:r>
      <w:bookmarkEnd w:id="485"/>
      <w:bookmarkEnd w:id="486"/>
    </w:p>
    <w:p w14:paraId="49D92441">
      <w:pPr>
        <w:widowControl w:val="0"/>
        <w:adjustRightInd w:val="0"/>
        <w:snapToGrid w:val="0"/>
        <w:ind w:firstLine="420" w:firstLineChars="200"/>
        <w:rPr>
          <w:rFonts w:hint="eastAsia"/>
          <w:sz w:val="21"/>
          <w:szCs w:val="21"/>
        </w:rPr>
      </w:pPr>
      <w:r>
        <w:rPr>
          <w:sz w:val="21"/>
          <w:szCs w:val="21"/>
        </w:rPr>
        <w:t>1）</w:t>
      </w:r>
      <w:r>
        <w:rPr>
          <w:rFonts w:hint="eastAsia"/>
          <w:sz w:val="21"/>
          <w:szCs w:val="21"/>
        </w:rPr>
        <w:t>在升压站处建造集水井和污水处理装置，收集</w:t>
      </w:r>
      <w:r>
        <w:rPr>
          <w:sz w:val="21"/>
          <w:szCs w:val="21"/>
        </w:rPr>
        <w:t>雨水、地下水，用于降尘、绿化浇灌、车辆冲洗和厕所冲洗用水等实现再利用。</w:t>
      </w:r>
    </w:p>
    <w:p w14:paraId="2A50A217">
      <w:pPr>
        <w:widowControl w:val="0"/>
        <w:adjustRightInd w:val="0"/>
        <w:snapToGrid w:val="0"/>
        <w:ind w:firstLine="420" w:firstLineChars="200"/>
        <w:outlineLvl w:val="1"/>
        <w:rPr>
          <w:rFonts w:hint="eastAsia"/>
          <w:sz w:val="21"/>
          <w:szCs w:val="21"/>
        </w:rPr>
      </w:pPr>
      <w:bookmarkStart w:id="487" w:name="_Toc31371"/>
      <w:bookmarkStart w:id="488" w:name="_Toc576"/>
      <w:r>
        <w:rPr>
          <w:sz w:val="21"/>
          <w:szCs w:val="21"/>
        </w:rPr>
        <w:t>2）采用高效组件清洗技术，降低光伏组件冲洗用水。</w:t>
      </w:r>
      <w:bookmarkEnd w:id="487"/>
      <w:bookmarkEnd w:id="488"/>
    </w:p>
    <w:p w14:paraId="726702FA">
      <w:pPr>
        <w:widowControl w:val="0"/>
        <w:adjustRightInd w:val="0"/>
        <w:snapToGrid w:val="0"/>
        <w:ind w:firstLine="420" w:firstLineChars="200"/>
        <w:outlineLvl w:val="0"/>
        <w:rPr>
          <w:rFonts w:hint="eastAsia"/>
          <w:sz w:val="21"/>
          <w:szCs w:val="21"/>
        </w:rPr>
      </w:pPr>
      <w:bookmarkStart w:id="489" w:name="_Toc1800"/>
      <w:bookmarkStart w:id="490" w:name="_Toc32758"/>
      <w:r>
        <w:rPr>
          <w:rFonts w:hint="eastAsia"/>
          <w:sz w:val="21"/>
          <w:szCs w:val="21"/>
        </w:rPr>
        <w:t>2</w:t>
      </w:r>
      <w:r>
        <w:rPr>
          <w:sz w:val="21"/>
          <w:szCs w:val="21"/>
        </w:rPr>
        <w:t xml:space="preserve"> </w:t>
      </w:r>
      <w:r>
        <w:rPr>
          <w:rFonts w:hint="eastAsia"/>
          <w:sz w:val="21"/>
          <w:szCs w:val="21"/>
        </w:rPr>
        <w:t>水上光伏发电项目</w:t>
      </w:r>
      <w:bookmarkEnd w:id="489"/>
      <w:bookmarkEnd w:id="490"/>
    </w:p>
    <w:p w14:paraId="74EA1A9E">
      <w:pPr>
        <w:widowControl w:val="0"/>
        <w:adjustRightInd w:val="0"/>
        <w:snapToGrid w:val="0"/>
        <w:ind w:firstLine="420" w:firstLineChars="200"/>
        <w:rPr>
          <w:rFonts w:hint="eastAsia"/>
          <w:sz w:val="21"/>
          <w:szCs w:val="21"/>
        </w:rPr>
      </w:pPr>
      <w:r>
        <w:rPr>
          <w:sz w:val="21"/>
          <w:szCs w:val="21"/>
        </w:rPr>
        <w:t>1）应合理利用光伏电站内水资源，避免造成水体污染，严禁有毒有害物流入</w:t>
      </w:r>
      <w:r>
        <w:rPr>
          <w:rFonts w:hint="eastAsia"/>
          <w:sz w:val="21"/>
          <w:szCs w:val="21"/>
        </w:rPr>
        <w:t>水体</w:t>
      </w:r>
      <w:r>
        <w:rPr>
          <w:sz w:val="21"/>
          <w:szCs w:val="21"/>
        </w:rPr>
        <w:t>。</w:t>
      </w:r>
    </w:p>
    <w:p w14:paraId="540C0B85">
      <w:pPr>
        <w:widowControl w:val="0"/>
        <w:adjustRightInd w:val="0"/>
        <w:snapToGrid w:val="0"/>
        <w:ind w:firstLine="420" w:firstLineChars="200"/>
        <w:outlineLvl w:val="1"/>
        <w:rPr>
          <w:rFonts w:hint="eastAsia"/>
          <w:sz w:val="21"/>
          <w:szCs w:val="21"/>
        </w:rPr>
      </w:pPr>
      <w:bookmarkStart w:id="491" w:name="_Toc10470"/>
      <w:bookmarkStart w:id="492" w:name="_Toc30584"/>
      <w:r>
        <w:rPr>
          <w:sz w:val="21"/>
          <w:szCs w:val="21"/>
        </w:rPr>
        <w:t>2）宜采用</w:t>
      </w:r>
      <w:r>
        <w:rPr>
          <w:rFonts w:hint="eastAsia"/>
          <w:sz w:val="21"/>
          <w:szCs w:val="21"/>
        </w:rPr>
        <w:t>场站内水体</w:t>
      </w:r>
      <w:r>
        <w:rPr>
          <w:sz w:val="21"/>
          <w:szCs w:val="21"/>
        </w:rPr>
        <w:t>进行组件清洗。</w:t>
      </w:r>
      <w:bookmarkEnd w:id="491"/>
      <w:bookmarkEnd w:id="492"/>
    </w:p>
    <w:p w14:paraId="6D22CB59">
      <w:pPr>
        <w:widowControl w:val="0"/>
        <w:adjustRightInd w:val="0"/>
        <w:snapToGrid w:val="0"/>
        <w:ind w:firstLine="420" w:firstLineChars="200"/>
        <w:outlineLvl w:val="0"/>
        <w:rPr>
          <w:rFonts w:hint="eastAsia"/>
          <w:sz w:val="21"/>
          <w:szCs w:val="21"/>
        </w:rPr>
      </w:pPr>
      <w:bookmarkStart w:id="493" w:name="_Toc3004"/>
      <w:bookmarkStart w:id="494" w:name="_Toc14199"/>
      <w:r>
        <w:rPr>
          <w:sz w:val="21"/>
          <w:szCs w:val="21"/>
        </w:rPr>
        <w:t xml:space="preserve">3 </w:t>
      </w:r>
      <w:r>
        <w:rPr>
          <w:rFonts w:hint="eastAsia"/>
          <w:sz w:val="21"/>
          <w:szCs w:val="21"/>
        </w:rPr>
        <w:t>光热发电项目</w:t>
      </w:r>
      <w:bookmarkEnd w:id="493"/>
      <w:bookmarkEnd w:id="494"/>
    </w:p>
    <w:p w14:paraId="6AE013F5">
      <w:pPr>
        <w:widowControl w:val="0"/>
        <w:adjustRightInd w:val="0"/>
        <w:snapToGrid w:val="0"/>
        <w:ind w:firstLine="420" w:firstLineChars="200"/>
        <w:rPr>
          <w:rFonts w:hint="eastAsia"/>
          <w:sz w:val="21"/>
          <w:szCs w:val="21"/>
        </w:rPr>
      </w:pPr>
      <w:r>
        <w:rPr>
          <w:sz w:val="21"/>
          <w:szCs w:val="21"/>
        </w:rPr>
        <w:t>1）</w:t>
      </w:r>
      <w:r>
        <w:rPr>
          <w:rFonts w:hint="eastAsia"/>
          <w:sz w:val="21"/>
          <w:szCs w:val="21"/>
        </w:rPr>
        <w:t>在升压站处建造集水井和污水处理装置，</w:t>
      </w:r>
      <w:r>
        <w:rPr>
          <w:sz w:val="21"/>
          <w:szCs w:val="21"/>
        </w:rPr>
        <w:t>合理利用雨水、地下水，用于降尘、绿化浇灌、车辆冲洗和厕所冲洗用水等实现再利用。</w:t>
      </w:r>
    </w:p>
    <w:p w14:paraId="316A9D4F">
      <w:pPr>
        <w:widowControl w:val="0"/>
        <w:adjustRightInd w:val="0"/>
        <w:snapToGrid w:val="0"/>
        <w:ind w:firstLine="420" w:firstLineChars="200"/>
        <w:outlineLvl w:val="1"/>
        <w:rPr>
          <w:rFonts w:hint="eastAsia"/>
          <w:sz w:val="21"/>
          <w:szCs w:val="21"/>
        </w:rPr>
      </w:pPr>
      <w:bookmarkStart w:id="495" w:name="_Toc28312"/>
      <w:bookmarkStart w:id="496" w:name="_Toc23191"/>
      <w:r>
        <w:rPr>
          <w:sz w:val="21"/>
          <w:szCs w:val="21"/>
        </w:rPr>
        <w:t>2）</w:t>
      </w:r>
      <w:r>
        <w:rPr>
          <w:rFonts w:hint="eastAsia"/>
          <w:sz w:val="21"/>
          <w:szCs w:val="21"/>
        </w:rPr>
        <w:t>熔盐</w:t>
      </w:r>
      <w:r>
        <w:rPr>
          <w:sz w:val="21"/>
          <w:szCs w:val="21"/>
        </w:rPr>
        <w:t>管道冲洗采用闭式循环冲洗工艺。</w:t>
      </w:r>
      <w:bookmarkEnd w:id="495"/>
      <w:bookmarkEnd w:id="496"/>
    </w:p>
    <w:p w14:paraId="6221AA8D">
      <w:pPr>
        <w:widowControl w:val="0"/>
        <w:adjustRightInd w:val="0"/>
        <w:snapToGrid w:val="0"/>
        <w:ind w:firstLine="420" w:firstLineChars="200"/>
        <w:rPr>
          <w:rFonts w:hint="eastAsia"/>
          <w:sz w:val="21"/>
          <w:szCs w:val="21"/>
        </w:rPr>
      </w:pPr>
      <w:r>
        <w:rPr>
          <w:sz w:val="21"/>
          <w:szCs w:val="21"/>
        </w:rPr>
        <w:t>3）</w:t>
      </w:r>
      <w:r>
        <w:rPr>
          <w:rFonts w:hint="eastAsia"/>
          <w:sz w:val="21"/>
          <w:szCs w:val="21"/>
        </w:rPr>
        <w:t>熔盐</w:t>
      </w:r>
      <w:r>
        <w:rPr>
          <w:sz w:val="21"/>
          <w:szCs w:val="21"/>
        </w:rPr>
        <w:t>管道试验及冲洗用水应有组织排放，处理后重复利用；污水管道、雨水管道试验及冲洗用水宜利用非自来水源。</w:t>
      </w:r>
    </w:p>
    <w:p w14:paraId="4098CEAC">
      <w:pPr>
        <w:widowControl w:val="0"/>
        <w:adjustRightInd w:val="0"/>
        <w:snapToGrid w:val="0"/>
        <w:ind w:firstLine="420" w:firstLineChars="200"/>
        <w:outlineLvl w:val="1"/>
        <w:rPr>
          <w:rFonts w:hint="eastAsia"/>
          <w:sz w:val="21"/>
          <w:szCs w:val="21"/>
        </w:rPr>
      </w:pPr>
      <w:bookmarkStart w:id="497" w:name="_Toc13793"/>
      <w:bookmarkStart w:id="498" w:name="_Toc972"/>
      <w:r>
        <w:rPr>
          <w:sz w:val="21"/>
          <w:szCs w:val="21"/>
        </w:rPr>
        <w:t>4）应采用高效清洗工艺，降低定日镜清洗用水。</w:t>
      </w:r>
      <w:bookmarkEnd w:id="497"/>
      <w:bookmarkEnd w:id="498"/>
    </w:p>
    <w:p w14:paraId="413D6218">
      <w:pPr>
        <w:widowControl w:val="0"/>
        <w:adjustRightInd w:val="0"/>
        <w:snapToGrid w:val="0"/>
        <w:rPr>
          <w:rFonts w:hint="eastAsia"/>
          <w:sz w:val="21"/>
          <w:szCs w:val="21"/>
        </w:rPr>
      </w:pPr>
      <w:r>
        <w:rPr>
          <w:sz w:val="21"/>
          <w:szCs w:val="21"/>
        </w:rPr>
        <w:t>6.3.20  输变电</w:t>
      </w:r>
      <w:r>
        <w:fldChar w:fldCharType="begin"/>
      </w:r>
      <w:r>
        <w:instrText xml:space="preserve"> HYPERLINK \l "_Toc162470929" </w:instrText>
      </w:r>
      <w:r>
        <w:fldChar w:fldCharType="separate"/>
      </w:r>
      <w:r>
        <w:rPr>
          <w:rFonts w:hint="eastAsia"/>
          <w:sz w:val="21"/>
          <w:szCs w:val="21"/>
        </w:rPr>
        <w:t>工程水资源节约与循环利用</w:t>
      </w:r>
      <w:r>
        <w:rPr>
          <w:rFonts w:hint="eastAsia"/>
          <w:sz w:val="21"/>
          <w:szCs w:val="21"/>
        </w:rPr>
        <w:fldChar w:fldCharType="end"/>
      </w:r>
      <w:r>
        <w:rPr>
          <w:rFonts w:hint="eastAsia"/>
          <w:sz w:val="21"/>
          <w:szCs w:val="21"/>
        </w:rPr>
        <w:t>专用项评价包括以下内容：</w:t>
      </w:r>
      <w:r>
        <w:rPr>
          <w:sz w:val="21"/>
          <w:szCs w:val="21"/>
        </w:rPr>
        <w:t xml:space="preserve"> </w:t>
      </w:r>
    </w:p>
    <w:p w14:paraId="6AE902BD">
      <w:pPr>
        <w:widowControl w:val="0"/>
        <w:adjustRightInd w:val="0"/>
        <w:snapToGrid w:val="0"/>
        <w:ind w:firstLine="420" w:firstLineChars="200"/>
        <w:outlineLvl w:val="0"/>
        <w:rPr>
          <w:rFonts w:hint="eastAsia"/>
          <w:sz w:val="21"/>
          <w:szCs w:val="21"/>
        </w:rPr>
      </w:pPr>
      <w:bookmarkStart w:id="499" w:name="_Toc6815"/>
      <w:bookmarkStart w:id="500" w:name="_Toc23710"/>
      <w:r>
        <w:rPr>
          <w:sz w:val="21"/>
          <w:szCs w:val="21"/>
        </w:rPr>
        <w:t>1  变电（换流）站</w:t>
      </w:r>
      <w:bookmarkEnd w:id="499"/>
      <w:bookmarkEnd w:id="500"/>
    </w:p>
    <w:p w14:paraId="081B0C91">
      <w:pPr>
        <w:widowControl w:val="0"/>
        <w:adjustRightInd w:val="0"/>
        <w:snapToGrid w:val="0"/>
        <w:ind w:firstLine="630" w:firstLineChars="300"/>
        <w:rPr>
          <w:rFonts w:hint="eastAsia"/>
          <w:sz w:val="21"/>
          <w:szCs w:val="21"/>
        </w:rPr>
      </w:pPr>
      <w:r>
        <w:rPr>
          <w:sz w:val="21"/>
          <w:szCs w:val="21"/>
        </w:rPr>
        <w:t>1）</w:t>
      </w:r>
      <w:r>
        <w:rPr>
          <w:rFonts w:hint="eastAsia"/>
          <w:sz w:val="21"/>
          <w:szCs w:val="21"/>
        </w:rPr>
        <w:t>变电站基础</w:t>
      </w:r>
      <w:r>
        <w:rPr>
          <w:sz w:val="21"/>
          <w:szCs w:val="21"/>
        </w:rPr>
        <w:t>混凝土采用塑料薄膜加保温材料覆盖保湿、保温养护；当采用洒水或喷雾养护时，养护用水使用回收的基坑降水或雨水；混凝土竖向构件采用养护剂进行养护；抹灰墙面采用喷雾方法进行养护</w:t>
      </w:r>
      <w:r>
        <w:rPr>
          <w:rFonts w:hint="eastAsia"/>
          <w:sz w:val="21"/>
          <w:szCs w:val="21"/>
        </w:rPr>
        <w:t>。</w:t>
      </w:r>
    </w:p>
    <w:p w14:paraId="10BDCC8D">
      <w:pPr>
        <w:widowControl w:val="0"/>
        <w:adjustRightInd w:val="0"/>
        <w:snapToGrid w:val="0"/>
        <w:ind w:firstLine="630" w:firstLineChars="300"/>
        <w:rPr>
          <w:rFonts w:hint="eastAsia"/>
          <w:sz w:val="21"/>
          <w:szCs w:val="21"/>
        </w:rPr>
      </w:pPr>
      <w:r>
        <w:rPr>
          <w:sz w:val="21"/>
          <w:szCs w:val="21"/>
        </w:rPr>
        <w:t>2）建筑给排水系统及水消防系统，以及主变（换流变）等电气设备水消防系统蓄水、管道、淋水试验用水及冲洗用水应有组织排放，处理后重复利用</w:t>
      </w:r>
      <w:r>
        <w:rPr>
          <w:rFonts w:hint="eastAsia"/>
          <w:sz w:val="21"/>
          <w:szCs w:val="21"/>
        </w:rPr>
        <w:t>。</w:t>
      </w:r>
    </w:p>
    <w:p w14:paraId="5C5D07B3">
      <w:pPr>
        <w:widowControl w:val="0"/>
        <w:adjustRightInd w:val="0"/>
        <w:snapToGrid w:val="0"/>
        <w:ind w:firstLine="630" w:firstLineChars="300"/>
        <w:rPr>
          <w:rFonts w:hint="eastAsia"/>
          <w:sz w:val="21"/>
          <w:szCs w:val="21"/>
        </w:rPr>
      </w:pPr>
      <w:r>
        <w:rPr>
          <w:sz w:val="21"/>
          <w:szCs w:val="21"/>
        </w:rPr>
        <w:t>3）污水管道、雨水管道试验及冲洗用水等生产用水采用非传统水源。喷洒路面、绿化浇灌、车辆冲洗、卫生间冲洗用水等施工杂务用水采用非传统水源。</w:t>
      </w:r>
    </w:p>
    <w:p w14:paraId="77FD4CFE">
      <w:pPr>
        <w:widowControl w:val="0"/>
        <w:adjustRightInd w:val="0"/>
        <w:snapToGrid w:val="0"/>
        <w:ind w:firstLine="420" w:firstLineChars="200"/>
        <w:outlineLvl w:val="0"/>
        <w:rPr>
          <w:rFonts w:hint="eastAsia"/>
          <w:sz w:val="21"/>
          <w:szCs w:val="21"/>
        </w:rPr>
      </w:pPr>
      <w:bookmarkStart w:id="501" w:name="_Toc24072"/>
      <w:bookmarkStart w:id="502" w:name="_Toc28744"/>
      <w:r>
        <w:rPr>
          <w:sz w:val="21"/>
          <w:szCs w:val="21"/>
        </w:rPr>
        <w:t>2  架空输电线路</w:t>
      </w:r>
      <w:bookmarkEnd w:id="501"/>
      <w:bookmarkEnd w:id="502"/>
    </w:p>
    <w:p w14:paraId="4B7FACDA">
      <w:pPr>
        <w:widowControl w:val="0"/>
        <w:adjustRightInd w:val="0"/>
        <w:snapToGrid w:val="0"/>
        <w:ind w:firstLine="420" w:firstLineChars="200"/>
        <w:rPr>
          <w:rFonts w:hint="eastAsia"/>
          <w:sz w:val="21"/>
          <w:szCs w:val="21"/>
        </w:rPr>
      </w:pPr>
      <w:r>
        <w:rPr>
          <w:sz w:val="21"/>
          <w:szCs w:val="21"/>
        </w:rPr>
        <w:t>杆塔基础施工采用绿色环保的节水施工工艺和混凝土养护工艺，宜利用回收的基坑降水、排水或雨水进行混凝土养护。</w:t>
      </w:r>
    </w:p>
    <w:p w14:paraId="7C16F558">
      <w:pPr>
        <w:widowControl w:val="0"/>
        <w:adjustRightInd w:val="0"/>
        <w:snapToGrid w:val="0"/>
        <w:ind w:firstLine="420" w:firstLineChars="200"/>
        <w:outlineLvl w:val="0"/>
        <w:rPr>
          <w:rFonts w:hint="eastAsia"/>
          <w:sz w:val="21"/>
          <w:szCs w:val="21"/>
        </w:rPr>
      </w:pPr>
      <w:bookmarkStart w:id="503" w:name="_Toc6802"/>
      <w:bookmarkStart w:id="504" w:name="_Toc18586"/>
      <w:r>
        <w:rPr>
          <w:sz w:val="21"/>
          <w:szCs w:val="21"/>
        </w:rPr>
        <w:t>3  电缆线路</w:t>
      </w:r>
      <w:bookmarkEnd w:id="503"/>
      <w:bookmarkEnd w:id="504"/>
    </w:p>
    <w:p w14:paraId="17CF1C1E">
      <w:pPr>
        <w:widowControl w:val="0"/>
        <w:adjustRightInd w:val="0"/>
        <w:snapToGrid w:val="0"/>
        <w:ind w:firstLine="420" w:firstLineChars="200"/>
        <w:rPr>
          <w:rFonts w:hint="eastAsia"/>
          <w:sz w:val="21"/>
          <w:szCs w:val="21"/>
        </w:rPr>
      </w:pPr>
      <w:r>
        <w:rPr>
          <w:sz w:val="21"/>
          <w:szCs w:val="21"/>
        </w:rPr>
        <w:t>电缆隧道混凝土采用绿色环保的节水施工工艺和混凝土养护工艺，当采用洒水或喷雾养护时，养护用水使用回收的基坑降水或雨水。</w:t>
      </w:r>
    </w:p>
    <w:p w14:paraId="7F767B25">
      <w:pPr>
        <w:widowControl w:val="0"/>
        <w:adjustRightInd w:val="0"/>
        <w:snapToGrid w:val="0"/>
        <w:ind w:firstLine="420" w:firstLineChars="200"/>
        <w:outlineLvl w:val="0"/>
        <w:rPr>
          <w:rFonts w:hint="eastAsia"/>
          <w:sz w:val="21"/>
          <w:szCs w:val="21"/>
        </w:rPr>
      </w:pPr>
      <w:bookmarkStart w:id="505" w:name="_Toc32146"/>
      <w:bookmarkStart w:id="506" w:name="_Toc31905"/>
      <w:r>
        <w:rPr>
          <w:sz w:val="21"/>
          <w:szCs w:val="21"/>
        </w:rPr>
        <w:t>4  海底电缆线路</w:t>
      </w:r>
      <w:bookmarkEnd w:id="505"/>
      <w:bookmarkEnd w:id="506"/>
    </w:p>
    <w:p w14:paraId="7F5F28E2">
      <w:pPr>
        <w:widowControl w:val="0"/>
        <w:adjustRightInd w:val="0"/>
        <w:snapToGrid w:val="0"/>
        <w:ind w:firstLine="420" w:firstLineChars="200"/>
        <w:rPr>
          <w:rFonts w:hint="eastAsia"/>
          <w:sz w:val="21"/>
          <w:szCs w:val="21"/>
        </w:rPr>
      </w:pPr>
      <w:r>
        <w:rPr>
          <w:sz w:val="21"/>
          <w:szCs w:val="21"/>
        </w:rPr>
        <w:t>海缆埋设施工时水喷式埋设犁高压水泵抽取海水进行冲埋。</w:t>
      </w:r>
    </w:p>
    <w:p w14:paraId="00B05C6B">
      <w:pPr>
        <w:widowControl w:val="0"/>
        <w:adjustRightInd w:val="0"/>
        <w:snapToGrid w:val="0"/>
        <w:rPr>
          <w:rFonts w:hint="eastAsia"/>
          <w:color w:val="FF0000"/>
          <w:sz w:val="21"/>
          <w:szCs w:val="21"/>
        </w:rPr>
      </w:pPr>
      <w:r>
        <w:rPr>
          <w:sz w:val="21"/>
          <w:szCs w:val="21"/>
        </w:rPr>
        <w:t xml:space="preserve">6.3.21  </w:t>
      </w:r>
      <w:r>
        <w:rPr>
          <w:rFonts w:hint="eastAsia"/>
          <w:sz w:val="21"/>
          <w:szCs w:val="21"/>
        </w:rPr>
        <w:t>电</w:t>
      </w:r>
      <w:r>
        <w:rPr>
          <w:sz w:val="21"/>
          <w:szCs w:val="21"/>
        </w:rPr>
        <w:t>力储能</w:t>
      </w:r>
      <w:r>
        <w:fldChar w:fldCharType="begin"/>
      </w:r>
      <w:r>
        <w:instrText xml:space="preserve"> HYPERLINK \l "_Toc162470929" </w:instrText>
      </w:r>
      <w:r>
        <w:fldChar w:fldCharType="separate"/>
      </w:r>
      <w:r>
        <w:rPr>
          <w:rFonts w:hint="eastAsia"/>
          <w:sz w:val="21"/>
          <w:szCs w:val="21"/>
        </w:rPr>
        <w:t>工程水资源节约与循环利用</w:t>
      </w:r>
      <w:r>
        <w:rPr>
          <w:rFonts w:hint="eastAsia"/>
          <w:sz w:val="21"/>
          <w:szCs w:val="21"/>
        </w:rPr>
        <w:fldChar w:fldCharType="end"/>
      </w:r>
      <w:r>
        <w:rPr>
          <w:rFonts w:hint="eastAsia"/>
          <w:sz w:val="21"/>
          <w:szCs w:val="21"/>
        </w:rPr>
        <w:t>专用项评价包括以下内容：</w:t>
      </w:r>
      <w:r>
        <w:rPr>
          <w:color w:val="FF0000"/>
          <w:sz w:val="21"/>
          <w:szCs w:val="21"/>
        </w:rPr>
        <w:t xml:space="preserve"> </w:t>
      </w:r>
    </w:p>
    <w:p w14:paraId="08D62128">
      <w:pPr>
        <w:widowControl w:val="0"/>
        <w:adjustRightInd w:val="0"/>
        <w:snapToGrid w:val="0"/>
        <w:ind w:firstLine="420" w:firstLineChars="200"/>
        <w:outlineLvl w:val="0"/>
        <w:rPr>
          <w:rFonts w:hint="eastAsia"/>
          <w:sz w:val="21"/>
          <w:szCs w:val="21"/>
        </w:rPr>
      </w:pPr>
      <w:bookmarkStart w:id="507" w:name="_Toc17388"/>
      <w:bookmarkStart w:id="508" w:name="_Toc1222"/>
      <w:r>
        <w:rPr>
          <w:sz w:val="21"/>
          <w:szCs w:val="21"/>
        </w:rPr>
        <w:t>1  电化学（锂电、液流、燃料电池、钠离子、铅酸、铅炭）储能</w:t>
      </w:r>
      <w:bookmarkEnd w:id="507"/>
      <w:bookmarkEnd w:id="508"/>
    </w:p>
    <w:p w14:paraId="19C2BC6C">
      <w:pPr>
        <w:widowControl w:val="0"/>
        <w:ind w:firstLine="630" w:firstLineChars="300"/>
        <w:rPr>
          <w:rFonts w:hint="eastAsia"/>
          <w:sz w:val="21"/>
          <w:szCs w:val="21"/>
        </w:rPr>
      </w:pPr>
      <w:r>
        <w:rPr>
          <w:rFonts w:hint="eastAsia"/>
          <w:sz w:val="21"/>
          <w:szCs w:val="21"/>
        </w:rPr>
        <w:t>1）电化学储能基础及升压站电气楼</w:t>
      </w:r>
      <w:r>
        <w:rPr>
          <w:sz w:val="21"/>
          <w:szCs w:val="21"/>
        </w:rPr>
        <w:t>混凝土采用绿色环保的节水施工工艺和混凝土养护工艺，当采用洒水或喷雾养护时，养护用水使用回收的基坑降水或雨水</w:t>
      </w:r>
      <w:r>
        <w:rPr>
          <w:rFonts w:hint="eastAsia"/>
          <w:sz w:val="21"/>
          <w:szCs w:val="21"/>
        </w:rPr>
        <w:t>。</w:t>
      </w:r>
    </w:p>
    <w:p w14:paraId="5EC345C0">
      <w:pPr>
        <w:widowControl w:val="0"/>
        <w:adjustRightInd w:val="0"/>
        <w:snapToGrid w:val="0"/>
        <w:ind w:firstLine="630" w:firstLineChars="300"/>
        <w:rPr>
          <w:rFonts w:hint="eastAsia"/>
          <w:sz w:val="21"/>
          <w:szCs w:val="21"/>
        </w:rPr>
      </w:pPr>
      <w:r>
        <w:rPr>
          <w:rFonts w:hint="eastAsia"/>
          <w:sz w:val="21"/>
          <w:szCs w:val="21"/>
        </w:rPr>
        <w:t>2）</w:t>
      </w:r>
      <w:r>
        <w:rPr>
          <w:sz w:val="21"/>
          <w:szCs w:val="21"/>
        </w:rPr>
        <w:t>合理利用雨水、基坑降水，用于施工降尘、绿化浇灌等实现再利用</w:t>
      </w:r>
      <w:r>
        <w:rPr>
          <w:rFonts w:hint="eastAsia"/>
          <w:sz w:val="21"/>
          <w:szCs w:val="21"/>
        </w:rPr>
        <w:t>。</w:t>
      </w:r>
    </w:p>
    <w:p w14:paraId="0457B606">
      <w:pPr>
        <w:widowControl w:val="0"/>
        <w:adjustRightInd w:val="0"/>
        <w:snapToGrid w:val="0"/>
        <w:ind w:firstLine="420" w:firstLineChars="200"/>
        <w:outlineLvl w:val="0"/>
        <w:rPr>
          <w:rFonts w:hint="eastAsia"/>
          <w:sz w:val="21"/>
          <w:szCs w:val="21"/>
        </w:rPr>
      </w:pPr>
      <w:bookmarkStart w:id="509" w:name="_Toc14142"/>
      <w:bookmarkStart w:id="510" w:name="_Toc11804"/>
      <w:r>
        <w:rPr>
          <w:sz w:val="21"/>
          <w:szCs w:val="21"/>
        </w:rPr>
        <w:t>2  飞轮储能</w:t>
      </w:r>
      <w:bookmarkEnd w:id="509"/>
      <w:bookmarkEnd w:id="510"/>
    </w:p>
    <w:p w14:paraId="33EEC91D">
      <w:pPr>
        <w:widowControl w:val="0"/>
        <w:ind w:firstLine="630" w:firstLineChars="300"/>
        <w:rPr>
          <w:rFonts w:hint="eastAsia"/>
          <w:sz w:val="21"/>
          <w:szCs w:val="21"/>
        </w:rPr>
      </w:pPr>
      <w:r>
        <w:rPr>
          <w:rFonts w:hint="eastAsia"/>
          <w:sz w:val="21"/>
          <w:szCs w:val="21"/>
        </w:rPr>
        <w:t>1）飞轮储能基础及升压站电气楼</w:t>
      </w:r>
      <w:r>
        <w:rPr>
          <w:sz w:val="21"/>
          <w:szCs w:val="21"/>
        </w:rPr>
        <w:t>混凝土采用绿色环保的节水施工工艺和混凝土养护工艺，当采用洒水或喷雾养护时，养护用水使用回收的基坑降水或雨水</w:t>
      </w:r>
      <w:r>
        <w:rPr>
          <w:rFonts w:hint="eastAsia"/>
          <w:sz w:val="21"/>
          <w:szCs w:val="21"/>
        </w:rPr>
        <w:t>。</w:t>
      </w:r>
    </w:p>
    <w:p w14:paraId="6AA63B91">
      <w:pPr>
        <w:widowControl w:val="0"/>
        <w:adjustRightInd w:val="0"/>
        <w:snapToGrid w:val="0"/>
        <w:ind w:firstLine="630" w:firstLineChars="300"/>
        <w:rPr>
          <w:rFonts w:hint="eastAsia"/>
          <w:sz w:val="21"/>
          <w:szCs w:val="21"/>
        </w:rPr>
      </w:pPr>
      <w:r>
        <w:rPr>
          <w:rFonts w:hint="eastAsia"/>
          <w:sz w:val="21"/>
          <w:szCs w:val="21"/>
        </w:rPr>
        <w:t>2）合理利用雨水、基坑降水，用于施工降尘、绿化浇灌等实现再利用。</w:t>
      </w:r>
    </w:p>
    <w:p w14:paraId="0648284F">
      <w:pPr>
        <w:widowControl w:val="0"/>
        <w:adjustRightInd w:val="0"/>
        <w:snapToGrid w:val="0"/>
        <w:ind w:firstLine="420" w:firstLineChars="200"/>
        <w:outlineLvl w:val="0"/>
        <w:rPr>
          <w:rFonts w:hint="eastAsia"/>
          <w:sz w:val="21"/>
          <w:szCs w:val="21"/>
        </w:rPr>
      </w:pPr>
      <w:bookmarkStart w:id="511" w:name="_Toc3286"/>
      <w:bookmarkStart w:id="512" w:name="_Toc8569"/>
      <w:r>
        <w:rPr>
          <w:sz w:val="21"/>
          <w:szCs w:val="21"/>
        </w:rPr>
        <w:t>3压缩空气储能</w:t>
      </w:r>
      <w:bookmarkEnd w:id="511"/>
      <w:bookmarkEnd w:id="512"/>
    </w:p>
    <w:p w14:paraId="193F1121">
      <w:pPr>
        <w:widowControl w:val="0"/>
        <w:ind w:firstLine="630" w:firstLineChars="300"/>
        <w:rPr>
          <w:rFonts w:hint="eastAsia"/>
          <w:sz w:val="21"/>
          <w:szCs w:val="21"/>
        </w:rPr>
      </w:pPr>
      <w:r>
        <w:rPr>
          <w:rFonts w:hint="eastAsia"/>
          <w:sz w:val="21"/>
          <w:szCs w:val="21"/>
        </w:rPr>
        <w:t>1）压缩空气储能基础及升压站电气楼</w:t>
      </w:r>
      <w:r>
        <w:rPr>
          <w:sz w:val="21"/>
          <w:szCs w:val="21"/>
        </w:rPr>
        <w:t>混凝土采用绿色环保的节水施工工艺和混凝土养护工艺，当采用洒水或喷雾养护时，养护用水使用回收的基坑降水或雨水</w:t>
      </w:r>
      <w:r>
        <w:rPr>
          <w:rFonts w:hint="eastAsia"/>
          <w:sz w:val="21"/>
          <w:szCs w:val="21"/>
        </w:rPr>
        <w:t>。</w:t>
      </w:r>
    </w:p>
    <w:p w14:paraId="2380DBD5">
      <w:pPr>
        <w:widowControl w:val="0"/>
        <w:adjustRightInd w:val="0"/>
        <w:snapToGrid w:val="0"/>
        <w:ind w:firstLine="630" w:firstLineChars="300"/>
        <w:rPr>
          <w:rFonts w:hint="eastAsia"/>
          <w:sz w:val="21"/>
          <w:szCs w:val="21"/>
        </w:rPr>
      </w:pPr>
      <w:r>
        <w:rPr>
          <w:rFonts w:hint="eastAsia"/>
          <w:sz w:val="21"/>
          <w:szCs w:val="21"/>
        </w:rPr>
        <w:t>2）合理利用雨水、基坑降水，用于施工降尘、绿化浇灌等实现再利用。</w:t>
      </w:r>
    </w:p>
    <w:p w14:paraId="217E40BD">
      <w:pPr>
        <w:spacing w:before="120" w:beforeLines="50" w:after="240" w:afterLines="100"/>
        <w:jc w:val="center"/>
        <w:rPr>
          <w:rFonts w:hint="eastAsia"/>
          <w:sz w:val="21"/>
          <w:szCs w:val="21"/>
        </w:rPr>
      </w:pPr>
      <w:r>
        <w:rPr>
          <w:rFonts w:hint="eastAsia"/>
          <w:sz w:val="21"/>
          <w:szCs w:val="21"/>
        </w:rPr>
        <w:t>Ⅳ</w:t>
      </w:r>
      <w:r>
        <w:rPr>
          <w:sz w:val="21"/>
          <w:szCs w:val="21"/>
        </w:rPr>
        <w:t xml:space="preserve">  </w:t>
      </w:r>
      <w:r>
        <w:rPr>
          <w:rFonts w:hint="eastAsia"/>
          <w:sz w:val="21"/>
          <w:szCs w:val="21"/>
        </w:rPr>
        <w:t>能源节约与高效利用</w:t>
      </w:r>
    </w:p>
    <w:p w14:paraId="03865BA5">
      <w:pPr>
        <w:widowControl w:val="0"/>
        <w:adjustRightInd w:val="0"/>
        <w:snapToGrid w:val="0"/>
        <w:outlineLvl w:val="1"/>
        <w:rPr>
          <w:rFonts w:hint="eastAsia"/>
          <w:color w:val="FF0000"/>
          <w:sz w:val="21"/>
          <w:szCs w:val="21"/>
        </w:rPr>
      </w:pPr>
      <w:bookmarkStart w:id="513" w:name="_Toc13654"/>
      <w:bookmarkStart w:id="514" w:name="_Toc6965"/>
      <w:r>
        <w:fldChar w:fldCharType="begin"/>
      </w:r>
      <w:r>
        <w:instrText xml:space="preserve"> HYPERLINK \l "_Toc162470928" </w:instrText>
      </w:r>
      <w:r>
        <w:fldChar w:fldCharType="separate"/>
      </w:r>
      <w:r>
        <w:rPr>
          <w:sz w:val="21"/>
          <w:szCs w:val="21"/>
        </w:rPr>
        <w:t xml:space="preserve">6.3.22  </w:t>
      </w:r>
      <w:r>
        <w:rPr>
          <w:rFonts w:hint="eastAsia"/>
          <w:sz w:val="21"/>
          <w:szCs w:val="21"/>
        </w:rPr>
        <w:t>能源节约与高效利用评价</w:t>
      </w:r>
      <w:r>
        <w:rPr>
          <w:sz w:val="21"/>
          <w:szCs w:val="21"/>
        </w:rPr>
        <w:t>通用项</w:t>
      </w:r>
      <w:r>
        <w:rPr>
          <w:sz w:val="21"/>
          <w:szCs w:val="21"/>
        </w:rPr>
        <w:fldChar w:fldCharType="end"/>
      </w:r>
      <w:r>
        <w:rPr>
          <w:rFonts w:hint="eastAsia"/>
          <w:sz w:val="21"/>
          <w:szCs w:val="21"/>
        </w:rPr>
        <w:t>包括以下内容：</w:t>
      </w:r>
      <w:bookmarkEnd w:id="513"/>
      <w:bookmarkEnd w:id="514"/>
      <w:r>
        <w:rPr>
          <w:color w:val="FF0000"/>
          <w:sz w:val="21"/>
          <w:szCs w:val="21"/>
        </w:rPr>
        <w:t xml:space="preserve"> </w:t>
      </w:r>
    </w:p>
    <w:p w14:paraId="54767945">
      <w:pPr>
        <w:widowControl w:val="0"/>
        <w:adjustRightInd w:val="0"/>
        <w:snapToGrid w:val="0"/>
        <w:ind w:firstLine="420" w:firstLineChars="200"/>
        <w:rPr>
          <w:rFonts w:hint="eastAsia"/>
          <w:sz w:val="21"/>
          <w:szCs w:val="21"/>
        </w:rPr>
      </w:pPr>
      <w:r>
        <w:rPr>
          <w:sz w:val="21"/>
          <w:szCs w:val="21"/>
        </w:rPr>
        <w:t>1  应</w:t>
      </w:r>
      <w:r>
        <w:rPr>
          <w:rFonts w:hint="eastAsia"/>
          <w:sz w:val="21"/>
          <w:szCs w:val="21"/>
        </w:rPr>
        <w:t>制定施工用能</w:t>
      </w:r>
      <w:r>
        <w:rPr>
          <w:sz w:val="21"/>
          <w:szCs w:val="21"/>
        </w:rPr>
        <w:t>节约管理</w:t>
      </w:r>
      <w:r>
        <w:rPr>
          <w:rFonts w:hint="eastAsia"/>
          <w:sz w:val="21"/>
          <w:szCs w:val="21"/>
        </w:rPr>
        <w:t>措施，明确能源</w:t>
      </w:r>
      <w:r>
        <w:rPr>
          <w:sz w:val="21"/>
          <w:szCs w:val="21"/>
        </w:rPr>
        <w:t>消耗总目标</w:t>
      </w:r>
      <w:r>
        <w:rPr>
          <w:rFonts w:hint="eastAsia"/>
          <w:sz w:val="21"/>
          <w:szCs w:val="21"/>
        </w:rPr>
        <w:t>，并分阶段（地基与基础、主体结构、屋面及装饰装修、安装、调试）、分标段、分区域制定能源</w:t>
      </w:r>
      <w:r>
        <w:rPr>
          <w:sz w:val="21"/>
          <w:szCs w:val="21"/>
        </w:rPr>
        <w:t>消耗指标，</w:t>
      </w:r>
      <w:r>
        <w:rPr>
          <w:rFonts w:hint="eastAsia"/>
          <w:sz w:val="21"/>
          <w:szCs w:val="21"/>
        </w:rPr>
        <w:t>能源节约量</w:t>
      </w:r>
      <w:r>
        <w:rPr>
          <w:sz w:val="21"/>
          <w:szCs w:val="21"/>
        </w:rPr>
        <w:t>不低于定额</w:t>
      </w:r>
      <w:r>
        <w:rPr>
          <w:rFonts w:hint="eastAsia"/>
          <w:sz w:val="21"/>
          <w:szCs w:val="21"/>
        </w:rPr>
        <w:t>能耗</w:t>
      </w:r>
      <w:r>
        <w:rPr>
          <w:sz w:val="21"/>
          <w:szCs w:val="21"/>
        </w:rPr>
        <w:t>的10%</w:t>
      </w:r>
      <w:r>
        <w:rPr>
          <w:rFonts w:hint="eastAsia"/>
          <w:sz w:val="21"/>
          <w:szCs w:val="21"/>
        </w:rPr>
        <w:t>。</w:t>
      </w:r>
    </w:p>
    <w:p w14:paraId="60172BF9">
      <w:pPr>
        <w:widowControl w:val="0"/>
        <w:adjustRightInd w:val="0"/>
        <w:snapToGrid w:val="0"/>
        <w:ind w:firstLine="420" w:firstLineChars="200"/>
        <w:rPr>
          <w:rFonts w:hint="eastAsia"/>
          <w:sz w:val="21"/>
          <w:szCs w:val="21"/>
        </w:rPr>
      </w:pPr>
      <w:r>
        <w:rPr>
          <w:sz w:val="21"/>
          <w:szCs w:val="21"/>
        </w:rPr>
        <w:t>2  应建立能源消耗台账，并分别计量，大型耗能设备应单独计量。</w:t>
      </w:r>
    </w:p>
    <w:p w14:paraId="73FEDC7A">
      <w:pPr>
        <w:widowControl w:val="0"/>
        <w:adjustRightInd w:val="0"/>
        <w:snapToGrid w:val="0"/>
        <w:ind w:firstLine="420" w:firstLineChars="200"/>
        <w:rPr>
          <w:rFonts w:hint="eastAsia"/>
          <w:sz w:val="21"/>
          <w:szCs w:val="21"/>
        </w:rPr>
      </w:pPr>
      <w:r>
        <w:rPr>
          <w:sz w:val="21"/>
          <w:szCs w:val="21"/>
        </w:rPr>
        <w:t>3  制定合理的节能方案。</w:t>
      </w:r>
    </w:p>
    <w:p w14:paraId="135D192D">
      <w:pPr>
        <w:widowControl w:val="0"/>
        <w:adjustRightInd w:val="0"/>
        <w:snapToGrid w:val="0"/>
        <w:ind w:firstLine="420" w:firstLineChars="200"/>
        <w:rPr>
          <w:rFonts w:hint="eastAsia"/>
          <w:sz w:val="21"/>
          <w:szCs w:val="21"/>
        </w:rPr>
      </w:pPr>
      <w:r>
        <w:rPr>
          <w:sz w:val="21"/>
          <w:szCs w:val="21"/>
        </w:rPr>
        <w:t>4  选用合理的机械设备</w:t>
      </w:r>
    </w:p>
    <w:p w14:paraId="759B99B4">
      <w:pPr>
        <w:widowControl w:val="0"/>
        <w:adjustRightInd w:val="0"/>
        <w:snapToGrid w:val="0"/>
        <w:ind w:firstLine="630" w:firstLineChars="300"/>
        <w:rPr>
          <w:rFonts w:hint="eastAsia"/>
          <w:sz w:val="21"/>
          <w:szCs w:val="21"/>
        </w:rPr>
      </w:pPr>
      <w:r>
        <w:rPr>
          <w:sz w:val="21"/>
          <w:szCs w:val="21"/>
        </w:rPr>
        <w:t>1）选择功率与负载相匹配的施工机械设备，选择国家</w:t>
      </w:r>
      <w:r>
        <w:rPr>
          <w:rFonts w:hint="eastAsia"/>
          <w:sz w:val="21"/>
          <w:szCs w:val="21"/>
        </w:rPr>
        <w:t>及</w:t>
      </w:r>
      <w:r>
        <w:rPr>
          <w:sz w:val="21"/>
          <w:szCs w:val="21"/>
        </w:rPr>
        <w:t>行业推荐</w:t>
      </w:r>
      <w:r>
        <w:rPr>
          <w:rFonts w:hint="eastAsia"/>
          <w:sz w:val="21"/>
          <w:szCs w:val="21"/>
        </w:rPr>
        <w:t>的</w:t>
      </w:r>
      <w:r>
        <w:rPr>
          <w:sz w:val="21"/>
          <w:szCs w:val="21"/>
        </w:rPr>
        <w:t>节能、环保工具和设备</w:t>
      </w:r>
      <w:r>
        <w:rPr>
          <w:rFonts w:hint="eastAsia"/>
          <w:sz w:val="21"/>
          <w:szCs w:val="21"/>
        </w:rPr>
        <w:t>。</w:t>
      </w:r>
    </w:p>
    <w:p w14:paraId="6D647DBB">
      <w:pPr>
        <w:widowControl w:val="0"/>
        <w:adjustRightInd w:val="0"/>
        <w:snapToGrid w:val="0"/>
        <w:ind w:firstLine="630" w:firstLineChars="300"/>
        <w:rPr>
          <w:rFonts w:hint="eastAsia"/>
          <w:sz w:val="21"/>
          <w:szCs w:val="21"/>
        </w:rPr>
      </w:pPr>
      <w:r>
        <w:rPr>
          <w:sz w:val="21"/>
          <w:szCs w:val="21"/>
        </w:rPr>
        <w:t>2）加强施工机械设备的使用和维护管理，降低运行损耗。避免大功率施工机械设备低负载长时间运行</w:t>
      </w:r>
      <w:r>
        <w:rPr>
          <w:rFonts w:hint="eastAsia"/>
          <w:sz w:val="21"/>
          <w:szCs w:val="21"/>
        </w:rPr>
        <w:t>。</w:t>
      </w:r>
    </w:p>
    <w:p w14:paraId="43386C24">
      <w:pPr>
        <w:widowControl w:val="0"/>
        <w:adjustRightInd w:val="0"/>
        <w:snapToGrid w:val="0"/>
        <w:ind w:firstLine="630" w:firstLineChars="300"/>
        <w:outlineLvl w:val="2"/>
        <w:rPr>
          <w:rFonts w:hint="eastAsia"/>
          <w:sz w:val="21"/>
          <w:szCs w:val="21"/>
        </w:rPr>
      </w:pPr>
      <w:bookmarkStart w:id="515" w:name="_Toc22574"/>
      <w:r>
        <w:rPr>
          <w:sz w:val="21"/>
          <w:szCs w:val="21"/>
        </w:rPr>
        <w:t>3）机械设备宜使用节能型油料添加剂，节约</w:t>
      </w:r>
      <w:r>
        <w:rPr>
          <w:rFonts w:hint="eastAsia"/>
          <w:sz w:val="21"/>
          <w:szCs w:val="21"/>
        </w:rPr>
        <w:t>燃油</w:t>
      </w:r>
      <w:r>
        <w:rPr>
          <w:sz w:val="21"/>
          <w:szCs w:val="21"/>
        </w:rPr>
        <w:t>。</w:t>
      </w:r>
      <w:bookmarkEnd w:id="515"/>
    </w:p>
    <w:p w14:paraId="669968A2">
      <w:pPr>
        <w:widowControl w:val="0"/>
        <w:adjustRightInd w:val="0"/>
        <w:snapToGrid w:val="0"/>
        <w:ind w:firstLine="630" w:firstLineChars="300"/>
        <w:rPr>
          <w:rFonts w:hint="eastAsia"/>
          <w:sz w:val="21"/>
          <w:szCs w:val="21"/>
        </w:rPr>
      </w:pPr>
      <w:r>
        <w:rPr>
          <w:sz w:val="21"/>
          <w:szCs w:val="21"/>
        </w:rPr>
        <w:t>4）工程施工使用的材料宜选用距施工现场500km以内生产的建筑材料</w:t>
      </w:r>
      <w:r>
        <w:rPr>
          <w:rFonts w:hint="eastAsia"/>
          <w:sz w:val="21"/>
          <w:szCs w:val="21"/>
        </w:rPr>
        <w:t>，减少运输过程的能耗</w:t>
      </w:r>
      <w:r>
        <w:rPr>
          <w:sz w:val="21"/>
          <w:szCs w:val="21"/>
        </w:rPr>
        <w:t>。</w:t>
      </w:r>
    </w:p>
    <w:p w14:paraId="264FFA9A">
      <w:pPr>
        <w:widowControl w:val="0"/>
        <w:adjustRightInd w:val="0"/>
        <w:snapToGrid w:val="0"/>
        <w:ind w:firstLine="420" w:firstLineChars="200"/>
        <w:outlineLvl w:val="0"/>
        <w:rPr>
          <w:rFonts w:hint="eastAsia"/>
          <w:sz w:val="21"/>
          <w:szCs w:val="21"/>
        </w:rPr>
      </w:pPr>
      <w:bookmarkStart w:id="516" w:name="_Toc22235"/>
      <w:bookmarkStart w:id="517" w:name="_Toc3262"/>
      <w:r>
        <w:rPr>
          <w:sz w:val="21"/>
          <w:szCs w:val="21"/>
        </w:rPr>
        <w:t>5  制定合理的施工用电及照明节能措施</w:t>
      </w:r>
      <w:bookmarkEnd w:id="516"/>
      <w:bookmarkEnd w:id="517"/>
    </w:p>
    <w:p w14:paraId="654DA110">
      <w:pPr>
        <w:widowControl w:val="0"/>
        <w:adjustRightInd w:val="0"/>
        <w:snapToGrid w:val="0"/>
        <w:ind w:firstLine="630" w:firstLineChars="300"/>
        <w:rPr>
          <w:rFonts w:hint="eastAsia"/>
          <w:sz w:val="21"/>
          <w:szCs w:val="21"/>
        </w:rPr>
      </w:pPr>
      <w:r>
        <w:rPr>
          <w:sz w:val="21"/>
          <w:szCs w:val="21"/>
        </w:rPr>
        <w:t>1）</w:t>
      </w:r>
      <w:r>
        <w:rPr>
          <w:rFonts w:hint="eastAsia"/>
          <w:sz w:val="21"/>
          <w:szCs w:val="21"/>
        </w:rPr>
        <w:t>优化临时用电系统，</w:t>
      </w:r>
      <w:r>
        <w:rPr>
          <w:sz w:val="21"/>
          <w:szCs w:val="21"/>
        </w:rPr>
        <w:t>合理布置临时用电线路</w:t>
      </w:r>
      <w:r>
        <w:rPr>
          <w:rFonts w:hint="eastAsia"/>
          <w:sz w:val="21"/>
          <w:szCs w:val="21"/>
        </w:rPr>
        <w:t>，减少临时用电系统损耗。</w:t>
      </w:r>
      <w:r>
        <w:rPr>
          <w:sz w:val="21"/>
          <w:szCs w:val="21"/>
        </w:rPr>
        <w:t xml:space="preserve"> </w:t>
      </w:r>
    </w:p>
    <w:p w14:paraId="6E28C8B6">
      <w:pPr>
        <w:widowControl w:val="0"/>
        <w:adjustRightInd w:val="0"/>
        <w:snapToGrid w:val="0"/>
        <w:ind w:firstLine="630" w:firstLineChars="300"/>
        <w:rPr>
          <w:rFonts w:hint="eastAsia"/>
          <w:sz w:val="21"/>
          <w:szCs w:val="21"/>
        </w:rPr>
      </w:pPr>
      <w:r>
        <w:rPr>
          <w:sz w:val="21"/>
          <w:szCs w:val="21"/>
        </w:rPr>
        <w:t>2）</w:t>
      </w:r>
      <w:r>
        <w:rPr>
          <w:rFonts w:hint="eastAsia"/>
          <w:sz w:val="21"/>
          <w:szCs w:val="21"/>
        </w:rPr>
        <w:t>临时用电应优先采用自动控制系统设备。采用无功补偿等措施提高设备能源效率。</w:t>
      </w:r>
    </w:p>
    <w:p w14:paraId="2DA8EF85">
      <w:pPr>
        <w:widowControl w:val="0"/>
        <w:adjustRightInd w:val="0"/>
        <w:snapToGrid w:val="0"/>
        <w:ind w:firstLine="630" w:firstLineChars="300"/>
        <w:rPr>
          <w:rFonts w:hint="eastAsia"/>
          <w:sz w:val="21"/>
          <w:szCs w:val="21"/>
        </w:rPr>
      </w:pPr>
      <w:r>
        <w:rPr>
          <w:sz w:val="21"/>
          <w:szCs w:val="21"/>
        </w:rPr>
        <w:t>3）100%选用节能型灯具，采用高效节能的设备和用电器，加强用电器的管理及使用。</w:t>
      </w:r>
    </w:p>
    <w:p w14:paraId="44F98F77">
      <w:pPr>
        <w:widowControl w:val="0"/>
        <w:adjustRightInd w:val="0"/>
        <w:snapToGrid w:val="0"/>
        <w:ind w:firstLine="420" w:firstLineChars="200"/>
        <w:outlineLvl w:val="0"/>
        <w:rPr>
          <w:rFonts w:hint="eastAsia"/>
          <w:sz w:val="21"/>
          <w:szCs w:val="21"/>
        </w:rPr>
      </w:pPr>
      <w:bookmarkStart w:id="518" w:name="_Toc25625"/>
      <w:bookmarkStart w:id="519" w:name="_Toc19800"/>
      <w:r>
        <w:rPr>
          <w:sz w:val="21"/>
          <w:szCs w:val="21"/>
        </w:rPr>
        <w:t>6  临时设施节能</w:t>
      </w:r>
      <w:r>
        <w:rPr>
          <w:rFonts w:hint="eastAsia"/>
          <w:sz w:val="21"/>
          <w:szCs w:val="21"/>
        </w:rPr>
        <w:t>措施</w:t>
      </w:r>
      <w:bookmarkEnd w:id="518"/>
      <w:bookmarkEnd w:id="519"/>
    </w:p>
    <w:p w14:paraId="3501B361">
      <w:pPr>
        <w:widowControl w:val="0"/>
        <w:adjustRightInd w:val="0"/>
        <w:snapToGrid w:val="0"/>
        <w:ind w:firstLine="630" w:firstLineChars="300"/>
        <w:rPr>
          <w:rFonts w:hint="eastAsia"/>
          <w:sz w:val="21"/>
          <w:szCs w:val="21"/>
        </w:rPr>
      </w:pPr>
      <w:r>
        <w:rPr>
          <w:sz w:val="21"/>
          <w:szCs w:val="21"/>
        </w:rPr>
        <w:t>1）结合场地</w:t>
      </w:r>
      <w:r>
        <w:rPr>
          <w:rFonts w:hint="eastAsia"/>
          <w:sz w:val="21"/>
          <w:szCs w:val="21"/>
        </w:rPr>
        <w:t>施工</w:t>
      </w:r>
      <w:r>
        <w:rPr>
          <w:sz w:val="21"/>
          <w:szCs w:val="21"/>
        </w:rPr>
        <w:t>条件，合理进行临时设施的设计，使其获得良好的日照、通风和采光</w:t>
      </w:r>
      <w:r>
        <w:rPr>
          <w:rFonts w:hint="eastAsia"/>
          <w:sz w:val="21"/>
          <w:szCs w:val="21"/>
        </w:rPr>
        <w:t>；</w:t>
      </w:r>
      <w:r>
        <w:rPr>
          <w:sz w:val="21"/>
          <w:szCs w:val="21"/>
        </w:rPr>
        <w:t>临时设施墙体、屋面</w:t>
      </w:r>
      <w:r>
        <w:rPr>
          <w:rFonts w:hint="eastAsia"/>
          <w:sz w:val="21"/>
          <w:szCs w:val="21"/>
        </w:rPr>
        <w:t>应</w:t>
      </w:r>
      <w:r>
        <w:rPr>
          <w:sz w:val="21"/>
          <w:szCs w:val="21"/>
        </w:rPr>
        <w:t>采用节能材料，减少空调、取暖设备的使用时间及耗能量。</w:t>
      </w:r>
    </w:p>
    <w:p w14:paraId="1D4B6057">
      <w:pPr>
        <w:widowControl w:val="0"/>
        <w:adjustRightInd w:val="0"/>
        <w:snapToGrid w:val="0"/>
        <w:ind w:firstLine="630" w:firstLineChars="300"/>
        <w:outlineLvl w:val="1"/>
        <w:rPr>
          <w:rFonts w:hint="eastAsia"/>
          <w:sz w:val="21"/>
          <w:szCs w:val="21"/>
        </w:rPr>
      </w:pPr>
      <w:bookmarkStart w:id="520" w:name="_Toc20655"/>
      <w:bookmarkStart w:id="521" w:name="_Toc30612"/>
      <w:r>
        <w:rPr>
          <w:sz w:val="21"/>
          <w:szCs w:val="21"/>
        </w:rPr>
        <w:t>2）临时施工用房应使用热工性能达标的复合墙体和屋面板。</w:t>
      </w:r>
      <w:bookmarkEnd w:id="520"/>
      <w:bookmarkEnd w:id="521"/>
    </w:p>
    <w:p w14:paraId="6FBBA3BF">
      <w:pPr>
        <w:widowControl w:val="0"/>
        <w:adjustRightInd w:val="0"/>
        <w:snapToGrid w:val="0"/>
        <w:ind w:firstLine="420" w:firstLineChars="200"/>
        <w:outlineLvl w:val="0"/>
        <w:rPr>
          <w:rFonts w:hint="eastAsia"/>
          <w:sz w:val="21"/>
          <w:szCs w:val="21"/>
        </w:rPr>
      </w:pPr>
      <w:bookmarkStart w:id="522" w:name="_Toc6252"/>
      <w:bookmarkStart w:id="523" w:name="_Toc29105"/>
      <w:r>
        <w:rPr>
          <w:sz w:val="21"/>
          <w:szCs w:val="21"/>
        </w:rPr>
        <w:t>7  可再生能源综合利用措施</w:t>
      </w:r>
      <w:bookmarkEnd w:id="522"/>
      <w:bookmarkEnd w:id="523"/>
    </w:p>
    <w:p w14:paraId="0C85D4CB">
      <w:pPr>
        <w:widowControl w:val="0"/>
        <w:adjustRightInd w:val="0"/>
        <w:snapToGrid w:val="0"/>
        <w:ind w:firstLine="630" w:firstLineChars="300"/>
        <w:rPr>
          <w:rFonts w:hint="eastAsia"/>
          <w:sz w:val="21"/>
          <w:szCs w:val="21"/>
        </w:rPr>
      </w:pPr>
      <w:r>
        <w:rPr>
          <w:sz w:val="21"/>
          <w:szCs w:val="21"/>
        </w:rPr>
        <w:t>1）自然资源能源利用率达到总用能量的30%</w:t>
      </w:r>
      <w:r>
        <w:rPr>
          <w:rFonts w:hint="eastAsia"/>
          <w:sz w:val="21"/>
          <w:szCs w:val="21"/>
        </w:rPr>
        <w:t>。</w:t>
      </w:r>
    </w:p>
    <w:p w14:paraId="054133B6">
      <w:pPr>
        <w:widowControl w:val="0"/>
        <w:adjustRightInd w:val="0"/>
        <w:snapToGrid w:val="0"/>
        <w:ind w:firstLine="630" w:firstLineChars="300"/>
        <w:rPr>
          <w:rFonts w:hint="eastAsia"/>
          <w:sz w:val="21"/>
          <w:szCs w:val="21"/>
        </w:rPr>
      </w:pPr>
      <w:r>
        <w:rPr>
          <w:sz w:val="21"/>
          <w:szCs w:val="21"/>
        </w:rPr>
        <w:t>2）采取自然能源利用措施，建立自然能源利用台账。</w:t>
      </w:r>
    </w:p>
    <w:p w14:paraId="316976EE">
      <w:pPr>
        <w:widowControl w:val="0"/>
        <w:adjustRightInd w:val="0"/>
        <w:snapToGrid w:val="0"/>
        <w:rPr>
          <w:rFonts w:hint="eastAsia"/>
          <w:sz w:val="21"/>
          <w:szCs w:val="21"/>
        </w:rPr>
      </w:pPr>
      <w:r>
        <w:fldChar w:fldCharType="begin"/>
      </w:r>
      <w:r>
        <w:instrText xml:space="preserve"> HYPERLINK \l "_Toc162470929" </w:instrText>
      </w:r>
      <w:r>
        <w:fldChar w:fldCharType="separate"/>
      </w:r>
      <w:r>
        <w:rPr>
          <w:sz w:val="21"/>
          <w:szCs w:val="21"/>
        </w:rPr>
        <w:t xml:space="preserve">6.3.23  </w:t>
      </w:r>
      <w:r>
        <w:rPr>
          <w:rFonts w:hint="eastAsia"/>
          <w:sz w:val="21"/>
          <w:szCs w:val="21"/>
        </w:rPr>
        <w:t>火电工程能源节约与高效利用专用项评价包括以下内容：</w:t>
      </w:r>
      <w:r>
        <w:rPr>
          <w:rFonts w:hint="eastAsia"/>
          <w:sz w:val="21"/>
          <w:szCs w:val="21"/>
        </w:rPr>
        <w:fldChar w:fldCharType="end"/>
      </w:r>
      <w:r>
        <w:rPr>
          <w:sz w:val="21"/>
          <w:szCs w:val="21"/>
        </w:rPr>
        <w:t xml:space="preserve"> </w:t>
      </w:r>
    </w:p>
    <w:p w14:paraId="36044993">
      <w:pPr>
        <w:widowControl w:val="0"/>
        <w:adjustRightInd w:val="0"/>
        <w:snapToGrid w:val="0"/>
        <w:ind w:firstLine="420" w:firstLineChars="200"/>
        <w:outlineLvl w:val="0"/>
        <w:rPr>
          <w:rFonts w:hint="eastAsia"/>
          <w:sz w:val="21"/>
          <w:szCs w:val="21"/>
        </w:rPr>
      </w:pPr>
      <w:bookmarkStart w:id="524" w:name="_Toc31077"/>
      <w:bookmarkStart w:id="525" w:name="_Toc8730"/>
      <w:r>
        <w:rPr>
          <w:sz w:val="21"/>
          <w:szCs w:val="21"/>
        </w:rPr>
        <w:t>1  燃煤发电工程</w:t>
      </w:r>
      <w:bookmarkEnd w:id="524"/>
      <w:bookmarkEnd w:id="525"/>
    </w:p>
    <w:p w14:paraId="5D876052">
      <w:pPr>
        <w:widowControl w:val="0"/>
        <w:adjustRightInd w:val="0"/>
        <w:snapToGrid w:val="0"/>
        <w:ind w:firstLine="630" w:firstLineChars="300"/>
        <w:outlineLvl w:val="1"/>
        <w:rPr>
          <w:rFonts w:hint="eastAsia"/>
          <w:sz w:val="21"/>
          <w:szCs w:val="21"/>
        </w:rPr>
      </w:pPr>
      <w:bookmarkStart w:id="526" w:name="_Toc19421"/>
      <w:bookmarkStart w:id="527" w:name="_Toc22804"/>
      <w:r>
        <w:rPr>
          <w:sz w:val="21"/>
          <w:szCs w:val="21"/>
        </w:rPr>
        <w:t>1）</w:t>
      </w:r>
      <w:r>
        <w:rPr>
          <w:rFonts w:hint="eastAsia"/>
          <w:sz w:val="21"/>
          <w:szCs w:val="21"/>
        </w:rPr>
        <w:t>采取有效措施</w:t>
      </w:r>
      <w:r>
        <w:rPr>
          <w:sz w:val="21"/>
          <w:szCs w:val="21"/>
        </w:rPr>
        <w:t>减少试运期间燃油消耗</w:t>
      </w:r>
      <w:r>
        <w:rPr>
          <w:rFonts w:hint="eastAsia"/>
          <w:sz w:val="21"/>
          <w:szCs w:val="21"/>
        </w:rPr>
        <w:t>。</w:t>
      </w:r>
      <w:bookmarkEnd w:id="526"/>
      <w:bookmarkEnd w:id="527"/>
    </w:p>
    <w:p w14:paraId="2D87146A">
      <w:pPr>
        <w:widowControl w:val="0"/>
        <w:adjustRightInd w:val="0"/>
        <w:snapToGrid w:val="0"/>
        <w:ind w:firstLine="630" w:firstLineChars="300"/>
        <w:rPr>
          <w:rFonts w:hint="eastAsia"/>
          <w:sz w:val="21"/>
          <w:szCs w:val="21"/>
        </w:rPr>
      </w:pPr>
      <w:r>
        <w:rPr>
          <w:sz w:val="21"/>
          <w:szCs w:val="21"/>
        </w:rPr>
        <w:t>2）</w:t>
      </w:r>
      <w:r>
        <w:rPr>
          <w:rFonts w:hint="eastAsia"/>
          <w:sz w:val="21"/>
          <w:szCs w:val="21"/>
        </w:rPr>
        <w:t>优化</w:t>
      </w:r>
      <w:r>
        <w:rPr>
          <w:sz w:val="21"/>
          <w:szCs w:val="21"/>
        </w:rPr>
        <w:t>循环水管道、锅炉烟风道、受热面管排等大件设备组合场地与安装位置间距离，降低运输能耗。</w:t>
      </w:r>
    </w:p>
    <w:p w14:paraId="3226EC31">
      <w:pPr>
        <w:widowControl w:val="0"/>
        <w:adjustRightInd w:val="0"/>
        <w:snapToGrid w:val="0"/>
        <w:ind w:firstLine="630" w:firstLineChars="300"/>
        <w:rPr>
          <w:rFonts w:hint="eastAsia"/>
          <w:sz w:val="21"/>
          <w:szCs w:val="21"/>
        </w:rPr>
      </w:pPr>
      <w:r>
        <w:rPr>
          <w:sz w:val="21"/>
          <w:szCs w:val="21"/>
        </w:rPr>
        <w:t>3）主厂房及锅炉施工，主吊机械优先选用采取变频技术的塔式起重机，提高塔机系统功率因数和整机工作效率。</w:t>
      </w:r>
    </w:p>
    <w:p w14:paraId="1A3FEACC">
      <w:pPr>
        <w:widowControl w:val="0"/>
        <w:adjustRightInd w:val="0"/>
        <w:snapToGrid w:val="0"/>
        <w:ind w:firstLine="630" w:firstLineChars="300"/>
        <w:rPr>
          <w:rFonts w:hint="eastAsia"/>
          <w:sz w:val="21"/>
          <w:szCs w:val="21"/>
        </w:rPr>
      </w:pPr>
      <w:r>
        <w:rPr>
          <w:sz w:val="21"/>
          <w:szCs w:val="21"/>
        </w:rPr>
        <w:t>4）充分利用老厂蒸汽余量，生活区淋浴、取暖采用蒸汽热源，有效减少生活区用电量。</w:t>
      </w:r>
    </w:p>
    <w:p w14:paraId="211F432B">
      <w:pPr>
        <w:widowControl w:val="0"/>
        <w:adjustRightInd w:val="0"/>
        <w:snapToGrid w:val="0"/>
        <w:ind w:firstLine="420" w:firstLineChars="200"/>
        <w:outlineLvl w:val="0"/>
        <w:rPr>
          <w:rFonts w:hint="eastAsia"/>
          <w:sz w:val="21"/>
          <w:szCs w:val="21"/>
        </w:rPr>
      </w:pPr>
      <w:bookmarkStart w:id="528" w:name="_Toc23164"/>
      <w:bookmarkStart w:id="529" w:name="_Toc11830"/>
      <w:r>
        <w:rPr>
          <w:sz w:val="21"/>
          <w:szCs w:val="21"/>
        </w:rPr>
        <w:t>2  燃气蒸汽联合循环</w:t>
      </w:r>
      <w:r>
        <w:rPr>
          <w:rFonts w:hint="eastAsia"/>
          <w:sz w:val="21"/>
          <w:szCs w:val="21"/>
        </w:rPr>
        <w:t>发电工程</w:t>
      </w:r>
      <w:bookmarkEnd w:id="528"/>
      <w:bookmarkEnd w:id="529"/>
    </w:p>
    <w:p w14:paraId="47607ECB">
      <w:pPr>
        <w:widowControl w:val="0"/>
        <w:adjustRightInd w:val="0"/>
        <w:snapToGrid w:val="0"/>
        <w:ind w:firstLine="630" w:firstLineChars="300"/>
        <w:rPr>
          <w:rFonts w:hint="eastAsia"/>
          <w:sz w:val="21"/>
          <w:szCs w:val="21"/>
        </w:rPr>
      </w:pPr>
      <w:r>
        <w:rPr>
          <w:sz w:val="21"/>
          <w:szCs w:val="21"/>
        </w:rPr>
        <w:t>1）燃气蒸汽联合循环</w:t>
      </w:r>
      <w:r>
        <w:rPr>
          <w:rFonts w:hint="eastAsia"/>
          <w:sz w:val="21"/>
          <w:szCs w:val="21"/>
        </w:rPr>
        <w:t>发电工程专用项评价可执行燃煤发电工程</w:t>
      </w:r>
      <w:r>
        <w:rPr>
          <w:sz w:val="21"/>
          <w:szCs w:val="21"/>
        </w:rPr>
        <w:t>1）-4）条。</w:t>
      </w:r>
    </w:p>
    <w:p w14:paraId="5BED1819">
      <w:pPr>
        <w:widowControl w:val="0"/>
        <w:adjustRightInd w:val="0"/>
        <w:snapToGrid w:val="0"/>
        <w:ind w:firstLine="630" w:firstLineChars="300"/>
        <w:rPr>
          <w:rFonts w:hint="eastAsia"/>
          <w:sz w:val="21"/>
          <w:szCs w:val="21"/>
        </w:rPr>
      </w:pPr>
      <w:r>
        <w:rPr>
          <w:rFonts w:hint="eastAsia"/>
          <w:sz w:val="21"/>
          <w:szCs w:val="21"/>
        </w:rPr>
        <w:t>2</w:t>
      </w:r>
      <w:r>
        <w:rPr>
          <w:sz w:val="21"/>
          <w:szCs w:val="21"/>
        </w:rPr>
        <w:t>）合理选择余热锅炉钢结构、受热面模块及汽包、烟囱等大件设备的吊装</w:t>
      </w:r>
      <w:r>
        <w:rPr>
          <w:rFonts w:hint="eastAsia"/>
          <w:sz w:val="21"/>
          <w:szCs w:val="21"/>
        </w:rPr>
        <w:t>机械，编制高效的吊装方案，提高大件设备的吊装效率及安全性。</w:t>
      </w:r>
    </w:p>
    <w:p w14:paraId="31C25591">
      <w:pPr>
        <w:widowControl w:val="0"/>
        <w:adjustRightInd w:val="0"/>
        <w:snapToGrid w:val="0"/>
        <w:ind w:firstLine="630" w:firstLineChars="300"/>
        <w:rPr>
          <w:rFonts w:hint="eastAsia"/>
          <w:sz w:val="21"/>
          <w:szCs w:val="21"/>
        </w:rPr>
      </w:pPr>
      <w:r>
        <w:rPr>
          <w:sz w:val="21"/>
          <w:szCs w:val="21"/>
        </w:rPr>
        <w:t>3）根据施工进度、设备到货等情况综合考虑、合理控制</w:t>
      </w:r>
      <w:r>
        <w:rPr>
          <w:rFonts w:hint="eastAsia"/>
          <w:sz w:val="21"/>
          <w:szCs w:val="21"/>
        </w:rPr>
        <w:t>余热锅炉受热面模块、汽包部件等</w:t>
      </w:r>
      <w:r>
        <w:rPr>
          <w:sz w:val="21"/>
          <w:szCs w:val="21"/>
        </w:rPr>
        <w:t>大件设备在厂内卸车及二次转运，避免余热锅炉区域</w:t>
      </w:r>
      <w:r>
        <w:rPr>
          <w:rFonts w:hint="eastAsia"/>
          <w:sz w:val="21"/>
          <w:szCs w:val="21"/>
        </w:rPr>
        <w:t>场地设备</w:t>
      </w:r>
      <w:r>
        <w:rPr>
          <w:sz w:val="21"/>
          <w:szCs w:val="21"/>
        </w:rPr>
        <w:t>堆积较多</w:t>
      </w:r>
      <w:r>
        <w:rPr>
          <w:rFonts w:hint="eastAsia"/>
          <w:sz w:val="21"/>
          <w:szCs w:val="21"/>
        </w:rPr>
        <w:t>，提高</w:t>
      </w:r>
      <w:r>
        <w:rPr>
          <w:sz w:val="21"/>
          <w:szCs w:val="21"/>
        </w:rPr>
        <w:t>造成吊装效率</w:t>
      </w:r>
      <w:r>
        <w:rPr>
          <w:rFonts w:hint="eastAsia"/>
          <w:sz w:val="21"/>
          <w:szCs w:val="21"/>
        </w:rPr>
        <w:t>，降低能耗</w:t>
      </w:r>
      <w:r>
        <w:rPr>
          <w:sz w:val="21"/>
          <w:szCs w:val="21"/>
        </w:rPr>
        <w:t>。</w:t>
      </w:r>
    </w:p>
    <w:p w14:paraId="07597764">
      <w:pPr>
        <w:widowControl w:val="0"/>
        <w:adjustRightInd w:val="0"/>
        <w:snapToGrid w:val="0"/>
        <w:ind w:firstLine="420" w:firstLineChars="200"/>
        <w:outlineLvl w:val="0"/>
        <w:rPr>
          <w:rFonts w:hint="eastAsia"/>
          <w:sz w:val="21"/>
          <w:szCs w:val="21"/>
        </w:rPr>
      </w:pPr>
      <w:bookmarkStart w:id="530" w:name="_Toc10752"/>
      <w:bookmarkStart w:id="531" w:name="_Toc2189"/>
      <w:r>
        <w:rPr>
          <w:sz w:val="21"/>
          <w:szCs w:val="21"/>
        </w:rPr>
        <w:t>3  垃圾焚烧发电</w:t>
      </w:r>
      <w:r>
        <w:rPr>
          <w:rFonts w:hint="eastAsia"/>
          <w:sz w:val="21"/>
          <w:szCs w:val="21"/>
        </w:rPr>
        <w:t>工程</w:t>
      </w:r>
      <w:bookmarkEnd w:id="530"/>
      <w:bookmarkEnd w:id="531"/>
    </w:p>
    <w:p w14:paraId="0E45F765">
      <w:pPr>
        <w:widowControl w:val="0"/>
        <w:adjustRightInd w:val="0"/>
        <w:snapToGrid w:val="0"/>
        <w:ind w:firstLine="630" w:firstLineChars="300"/>
        <w:rPr>
          <w:rFonts w:hint="eastAsia"/>
          <w:sz w:val="21"/>
          <w:szCs w:val="21"/>
        </w:rPr>
      </w:pPr>
      <w:r>
        <w:rPr>
          <w:sz w:val="21"/>
          <w:szCs w:val="21"/>
        </w:rPr>
        <w:t>1）垃圾焚烧发电</w:t>
      </w:r>
      <w:r>
        <w:rPr>
          <w:rFonts w:hint="eastAsia"/>
          <w:sz w:val="21"/>
          <w:szCs w:val="21"/>
        </w:rPr>
        <w:t>工程专用项评价可执行燃煤发电工程</w:t>
      </w:r>
      <w:r>
        <w:rPr>
          <w:sz w:val="21"/>
          <w:szCs w:val="21"/>
        </w:rPr>
        <w:t>1）</w:t>
      </w:r>
      <w:r>
        <w:rPr>
          <w:rFonts w:hint="eastAsia"/>
          <w:sz w:val="21"/>
          <w:szCs w:val="21"/>
        </w:rPr>
        <w:t>～</w:t>
      </w:r>
      <w:r>
        <w:rPr>
          <w:sz w:val="21"/>
          <w:szCs w:val="21"/>
        </w:rPr>
        <w:t>4）条。</w:t>
      </w:r>
    </w:p>
    <w:p w14:paraId="2D309CC8">
      <w:pPr>
        <w:widowControl w:val="0"/>
        <w:adjustRightInd w:val="0"/>
        <w:snapToGrid w:val="0"/>
        <w:ind w:firstLine="420" w:firstLineChars="200"/>
        <w:outlineLvl w:val="0"/>
        <w:rPr>
          <w:rFonts w:hint="eastAsia"/>
          <w:sz w:val="21"/>
          <w:szCs w:val="21"/>
        </w:rPr>
      </w:pPr>
      <w:bookmarkStart w:id="532" w:name="_Toc24828"/>
      <w:bookmarkStart w:id="533" w:name="_Toc21635"/>
      <w:r>
        <w:rPr>
          <w:sz w:val="21"/>
          <w:szCs w:val="21"/>
        </w:rPr>
        <w:t>4  生物质发电</w:t>
      </w:r>
      <w:r>
        <w:rPr>
          <w:rFonts w:hint="eastAsia"/>
          <w:sz w:val="21"/>
          <w:szCs w:val="21"/>
        </w:rPr>
        <w:t>工程</w:t>
      </w:r>
      <w:bookmarkEnd w:id="532"/>
      <w:bookmarkEnd w:id="533"/>
    </w:p>
    <w:p w14:paraId="3CFB7C3F">
      <w:pPr>
        <w:widowControl w:val="0"/>
        <w:adjustRightInd w:val="0"/>
        <w:snapToGrid w:val="0"/>
        <w:ind w:firstLine="630" w:firstLineChars="300"/>
        <w:outlineLvl w:val="1"/>
        <w:rPr>
          <w:rFonts w:hint="eastAsia"/>
          <w:sz w:val="21"/>
          <w:szCs w:val="21"/>
        </w:rPr>
      </w:pPr>
      <w:bookmarkStart w:id="534" w:name="_Toc17500"/>
      <w:bookmarkStart w:id="535" w:name="_Toc26399"/>
      <w:r>
        <w:rPr>
          <w:sz w:val="21"/>
          <w:szCs w:val="21"/>
        </w:rPr>
        <w:t>1）生物质发电</w:t>
      </w:r>
      <w:r>
        <w:rPr>
          <w:rFonts w:hint="eastAsia"/>
          <w:sz w:val="21"/>
          <w:szCs w:val="21"/>
        </w:rPr>
        <w:t>工程专用项评价可执行燃煤发电工程</w:t>
      </w:r>
      <w:r>
        <w:rPr>
          <w:sz w:val="21"/>
          <w:szCs w:val="21"/>
        </w:rPr>
        <w:t>1）</w:t>
      </w:r>
      <w:r>
        <w:rPr>
          <w:rFonts w:hint="eastAsia"/>
          <w:sz w:val="21"/>
          <w:szCs w:val="21"/>
        </w:rPr>
        <w:t>～</w:t>
      </w:r>
      <w:r>
        <w:rPr>
          <w:sz w:val="21"/>
          <w:szCs w:val="21"/>
        </w:rPr>
        <w:t>4）条。</w:t>
      </w:r>
      <w:bookmarkEnd w:id="534"/>
      <w:bookmarkEnd w:id="535"/>
    </w:p>
    <w:p w14:paraId="16DA63B1">
      <w:pPr>
        <w:widowControl w:val="0"/>
        <w:adjustRightInd w:val="0"/>
        <w:snapToGrid w:val="0"/>
        <w:rPr>
          <w:rFonts w:hint="eastAsia"/>
          <w:color w:val="FF0000"/>
          <w:sz w:val="21"/>
          <w:szCs w:val="21"/>
        </w:rPr>
      </w:pPr>
      <w:r>
        <w:rPr>
          <w:sz w:val="21"/>
          <w:szCs w:val="21"/>
        </w:rPr>
        <w:t xml:space="preserve">6.3.24  </w:t>
      </w:r>
      <w:r>
        <w:rPr>
          <w:rFonts w:hint="eastAsia"/>
          <w:sz w:val="21"/>
          <w:szCs w:val="21"/>
        </w:rPr>
        <w:t>水力</w:t>
      </w:r>
      <w:r>
        <w:rPr>
          <w:sz w:val="21"/>
          <w:szCs w:val="21"/>
        </w:rPr>
        <w:t>发电</w:t>
      </w:r>
      <w:r>
        <w:rPr>
          <w:rFonts w:hint="eastAsia"/>
          <w:sz w:val="21"/>
          <w:szCs w:val="21"/>
        </w:rPr>
        <w:t>（含抽水蓄能）工</w:t>
      </w:r>
      <w:r>
        <w:rPr>
          <w:sz w:val="21"/>
          <w:szCs w:val="21"/>
        </w:rPr>
        <w:t>程</w:t>
      </w:r>
      <w:r>
        <w:rPr>
          <w:rFonts w:hint="eastAsia"/>
          <w:sz w:val="21"/>
          <w:szCs w:val="21"/>
        </w:rPr>
        <w:t>能源节约与高效利用专用项评价包括以下内容：</w:t>
      </w:r>
      <w:r>
        <w:rPr>
          <w:color w:val="FF0000"/>
          <w:sz w:val="21"/>
          <w:szCs w:val="21"/>
        </w:rPr>
        <w:t xml:space="preserve"> </w:t>
      </w:r>
    </w:p>
    <w:p w14:paraId="532F38DE">
      <w:pPr>
        <w:widowControl w:val="0"/>
        <w:adjustRightInd w:val="0"/>
        <w:snapToGrid w:val="0"/>
        <w:ind w:firstLine="420" w:firstLineChars="200"/>
        <w:rPr>
          <w:rFonts w:hint="eastAsia"/>
          <w:sz w:val="21"/>
          <w:szCs w:val="21"/>
        </w:rPr>
      </w:pPr>
      <w:r>
        <w:rPr>
          <w:rFonts w:hint="eastAsia"/>
          <w:sz w:val="21"/>
          <w:szCs w:val="21"/>
        </w:rPr>
        <w:t>1  枢纽建筑物、砂石加工系统、混凝土拌和系统、料场、钢筋加工厂等集中布置，减少运输能耗。</w:t>
      </w:r>
    </w:p>
    <w:p w14:paraId="55A585FF">
      <w:pPr>
        <w:widowControl w:val="0"/>
        <w:adjustRightInd w:val="0"/>
        <w:snapToGrid w:val="0"/>
        <w:ind w:firstLine="420" w:firstLineChars="200"/>
        <w:rPr>
          <w:rFonts w:hint="eastAsia"/>
          <w:sz w:val="21"/>
          <w:szCs w:val="21"/>
        </w:rPr>
      </w:pPr>
      <w:r>
        <w:rPr>
          <w:rFonts w:hint="eastAsia"/>
          <w:sz w:val="21"/>
          <w:szCs w:val="21"/>
        </w:rPr>
        <w:t>2  应用先进节能施工方法，大体积混凝土宜采用布料机下料，砂石加工系统宜采用输送带运输砂石料，节约能源。</w:t>
      </w:r>
    </w:p>
    <w:p w14:paraId="4A127050">
      <w:pPr>
        <w:widowControl w:val="0"/>
        <w:adjustRightInd w:val="0"/>
        <w:snapToGrid w:val="0"/>
        <w:ind w:firstLine="420" w:firstLineChars="200"/>
        <w:rPr>
          <w:rFonts w:hint="eastAsia"/>
          <w:sz w:val="21"/>
          <w:szCs w:val="21"/>
        </w:rPr>
      </w:pPr>
      <w:r>
        <w:rPr>
          <w:rFonts w:hint="eastAsia"/>
          <w:sz w:val="21"/>
          <w:szCs w:val="21"/>
        </w:rPr>
        <w:t>3  充分利用高处水源，在天然水沟高处设置水厂，解决生产生活用水，高效利用水资源并节约电能。</w:t>
      </w:r>
    </w:p>
    <w:p w14:paraId="406B7D63">
      <w:pPr>
        <w:widowControl w:val="0"/>
        <w:adjustRightInd w:val="0"/>
        <w:snapToGrid w:val="0"/>
        <w:ind w:firstLine="420" w:firstLineChars="200"/>
        <w:outlineLvl w:val="0"/>
        <w:rPr>
          <w:rFonts w:hint="eastAsia"/>
          <w:sz w:val="21"/>
          <w:szCs w:val="21"/>
        </w:rPr>
      </w:pPr>
      <w:bookmarkStart w:id="536" w:name="_Toc22131"/>
      <w:bookmarkStart w:id="537" w:name="_Toc30080"/>
      <w:r>
        <w:rPr>
          <w:rFonts w:hint="eastAsia"/>
          <w:sz w:val="21"/>
          <w:szCs w:val="21"/>
        </w:rPr>
        <w:t>4  地下洞室通风使用变频技术风机，节约电能。</w:t>
      </w:r>
      <w:bookmarkEnd w:id="536"/>
      <w:bookmarkEnd w:id="537"/>
    </w:p>
    <w:p w14:paraId="76B60E03">
      <w:pPr>
        <w:widowControl w:val="0"/>
        <w:adjustRightInd w:val="0"/>
        <w:snapToGrid w:val="0"/>
        <w:rPr>
          <w:rFonts w:hint="eastAsia"/>
          <w:color w:val="FF0000"/>
          <w:sz w:val="21"/>
          <w:szCs w:val="21"/>
        </w:rPr>
      </w:pPr>
      <w:r>
        <w:rPr>
          <w:sz w:val="21"/>
          <w:szCs w:val="21"/>
        </w:rPr>
        <w:t>6.3.25  风力发电</w:t>
      </w:r>
      <w:r>
        <w:rPr>
          <w:rFonts w:hint="eastAsia"/>
          <w:sz w:val="21"/>
          <w:szCs w:val="21"/>
        </w:rPr>
        <w:t>工</w:t>
      </w:r>
      <w:r>
        <w:rPr>
          <w:sz w:val="21"/>
          <w:szCs w:val="21"/>
        </w:rPr>
        <w:t>程</w:t>
      </w:r>
      <w:r>
        <w:rPr>
          <w:rFonts w:hint="eastAsia"/>
          <w:sz w:val="21"/>
          <w:szCs w:val="21"/>
        </w:rPr>
        <w:t>能源节约与高效利用专用项评价包括以下内容：</w:t>
      </w:r>
      <w:r>
        <w:rPr>
          <w:color w:val="FF0000"/>
          <w:sz w:val="21"/>
          <w:szCs w:val="21"/>
        </w:rPr>
        <w:t xml:space="preserve"> </w:t>
      </w:r>
    </w:p>
    <w:p w14:paraId="41447B22">
      <w:pPr>
        <w:widowControl w:val="0"/>
        <w:adjustRightInd w:val="0"/>
        <w:snapToGrid w:val="0"/>
        <w:ind w:firstLine="420" w:firstLineChars="200"/>
        <w:outlineLvl w:val="0"/>
        <w:rPr>
          <w:rFonts w:hint="eastAsia"/>
          <w:sz w:val="21"/>
          <w:szCs w:val="21"/>
        </w:rPr>
      </w:pPr>
      <w:bookmarkStart w:id="538" w:name="_Toc11262"/>
      <w:bookmarkStart w:id="539" w:name="_Toc15025"/>
      <w:r>
        <w:rPr>
          <w:sz w:val="21"/>
          <w:szCs w:val="21"/>
        </w:rPr>
        <w:t xml:space="preserve">1  </w:t>
      </w:r>
      <w:r>
        <w:rPr>
          <w:rFonts w:hint="eastAsia"/>
          <w:sz w:val="21"/>
          <w:szCs w:val="21"/>
        </w:rPr>
        <w:t>陆上风电</w:t>
      </w:r>
      <w:bookmarkEnd w:id="538"/>
      <w:bookmarkEnd w:id="539"/>
    </w:p>
    <w:p w14:paraId="7B348C82">
      <w:pPr>
        <w:widowControl w:val="0"/>
        <w:adjustRightInd w:val="0"/>
        <w:snapToGrid w:val="0"/>
        <w:ind w:firstLine="630" w:firstLineChars="300"/>
        <w:rPr>
          <w:rFonts w:hint="eastAsia"/>
          <w:sz w:val="21"/>
          <w:szCs w:val="21"/>
        </w:rPr>
      </w:pPr>
      <w:r>
        <w:rPr>
          <w:sz w:val="21"/>
          <w:szCs w:val="21"/>
        </w:rPr>
        <w:t>1）</w:t>
      </w:r>
      <w:r>
        <w:rPr>
          <w:rFonts w:hint="eastAsia"/>
          <w:sz w:val="21"/>
          <w:szCs w:val="21"/>
        </w:rPr>
        <w:t>合理安排设备到场计划，风力发电机组大件设备直接运输至安装位置，减少现场设备存储及二次倒运机械能源消耗。</w:t>
      </w:r>
    </w:p>
    <w:p w14:paraId="29FF4A2B">
      <w:pPr>
        <w:widowControl w:val="0"/>
        <w:adjustRightInd w:val="0"/>
        <w:snapToGrid w:val="0"/>
        <w:ind w:firstLine="630" w:firstLineChars="300"/>
        <w:rPr>
          <w:rFonts w:hint="eastAsia"/>
          <w:sz w:val="21"/>
          <w:szCs w:val="21"/>
        </w:rPr>
      </w:pPr>
      <w:r>
        <w:rPr>
          <w:sz w:val="21"/>
          <w:szCs w:val="21"/>
        </w:rPr>
        <w:t>2</w:t>
      </w:r>
      <w:r>
        <w:rPr>
          <w:rFonts w:hint="eastAsia"/>
          <w:sz w:val="21"/>
          <w:szCs w:val="21"/>
        </w:rPr>
        <w:t>）设备临时存放场地宜就近规划布置，减少设备二次倒运距离，降低机械设备使用量，降低能源消耗。</w:t>
      </w:r>
    </w:p>
    <w:p w14:paraId="41CD1FAC">
      <w:pPr>
        <w:widowControl w:val="0"/>
        <w:adjustRightInd w:val="0"/>
        <w:snapToGrid w:val="0"/>
        <w:ind w:firstLine="630" w:firstLineChars="300"/>
        <w:rPr>
          <w:rFonts w:hint="eastAsia"/>
          <w:sz w:val="21"/>
          <w:szCs w:val="21"/>
        </w:rPr>
      </w:pPr>
      <w:r>
        <w:rPr>
          <w:sz w:val="21"/>
          <w:szCs w:val="21"/>
        </w:rPr>
        <w:t>3）吊装机械选取合理，合理安排工序，提高机械的使用率和满载率。</w:t>
      </w:r>
    </w:p>
    <w:p w14:paraId="7544F155">
      <w:pPr>
        <w:widowControl w:val="0"/>
        <w:adjustRightInd w:val="0"/>
        <w:snapToGrid w:val="0"/>
        <w:ind w:firstLine="420" w:firstLineChars="200"/>
        <w:outlineLvl w:val="0"/>
        <w:rPr>
          <w:rFonts w:hint="eastAsia"/>
          <w:sz w:val="21"/>
          <w:szCs w:val="21"/>
        </w:rPr>
      </w:pPr>
      <w:bookmarkStart w:id="540" w:name="_Toc1693"/>
      <w:bookmarkStart w:id="541" w:name="_Toc4434"/>
      <w:r>
        <w:rPr>
          <w:sz w:val="21"/>
          <w:szCs w:val="21"/>
        </w:rPr>
        <w:t xml:space="preserve">2  </w:t>
      </w:r>
      <w:r>
        <w:rPr>
          <w:rFonts w:hint="eastAsia"/>
          <w:sz w:val="21"/>
          <w:szCs w:val="21"/>
        </w:rPr>
        <w:t>海上风电</w:t>
      </w:r>
      <w:bookmarkEnd w:id="540"/>
      <w:bookmarkEnd w:id="541"/>
    </w:p>
    <w:p w14:paraId="70EB40A3">
      <w:pPr>
        <w:widowControl w:val="0"/>
        <w:adjustRightInd w:val="0"/>
        <w:snapToGrid w:val="0"/>
        <w:ind w:firstLine="630" w:firstLineChars="300"/>
        <w:rPr>
          <w:rFonts w:hint="eastAsia"/>
          <w:sz w:val="21"/>
          <w:szCs w:val="21"/>
        </w:rPr>
      </w:pPr>
      <w:r>
        <w:rPr>
          <w:sz w:val="21"/>
          <w:szCs w:val="21"/>
        </w:rPr>
        <w:t>1</w:t>
      </w:r>
      <w:r>
        <w:rPr>
          <w:rFonts w:hint="eastAsia"/>
          <w:sz w:val="21"/>
          <w:szCs w:val="21"/>
        </w:rPr>
        <w:t>）</w:t>
      </w:r>
      <w:r>
        <w:rPr>
          <w:sz w:val="21"/>
          <w:szCs w:val="21"/>
        </w:rPr>
        <w:t>钢管桩、塔架等大宗钢结构设备制造厂家</w:t>
      </w:r>
      <w:r>
        <w:rPr>
          <w:rFonts w:hint="eastAsia"/>
          <w:sz w:val="21"/>
          <w:szCs w:val="21"/>
        </w:rPr>
        <w:t>宜</w:t>
      </w:r>
      <w:r>
        <w:rPr>
          <w:sz w:val="21"/>
          <w:szCs w:val="21"/>
        </w:rPr>
        <w:t>选择在沿海或者沿江口岸，降低设备运输能耗。</w:t>
      </w:r>
    </w:p>
    <w:p w14:paraId="0C1BA9AD">
      <w:pPr>
        <w:widowControl w:val="0"/>
        <w:adjustRightInd w:val="0"/>
        <w:snapToGrid w:val="0"/>
        <w:ind w:firstLine="630" w:firstLineChars="300"/>
        <w:rPr>
          <w:rFonts w:hint="eastAsia"/>
          <w:sz w:val="21"/>
          <w:szCs w:val="21"/>
        </w:rPr>
      </w:pPr>
      <w:r>
        <w:rPr>
          <w:sz w:val="21"/>
          <w:szCs w:val="21"/>
        </w:rPr>
        <w:t>2</w:t>
      </w:r>
      <w:r>
        <w:rPr>
          <w:rFonts w:hint="eastAsia"/>
          <w:sz w:val="21"/>
          <w:szCs w:val="21"/>
        </w:rPr>
        <w:t>）严格控制现场船舶燃油消耗，记录用油情况和交通往来情况，合理安排施工内容，避免出现船舶无效交通运输情况。</w:t>
      </w:r>
    </w:p>
    <w:p w14:paraId="1C48FA16">
      <w:pPr>
        <w:widowControl w:val="0"/>
        <w:adjustRightInd w:val="0"/>
        <w:snapToGrid w:val="0"/>
        <w:ind w:firstLine="630" w:firstLineChars="300"/>
        <w:rPr>
          <w:rFonts w:hint="eastAsia"/>
          <w:sz w:val="21"/>
          <w:szCs w:val="21"/>
        </w:rPr>
      </w:pPr>
      <w:r>
        <w:rPr>
          <w:sz w:val="21"/>
          <w:szCs w:val="21"/>
        </w:rPr>
        <w:t>3</w:t>
      </w:r>
      <w:r>
        <w:rPr>
          <w:rFonts w:hint="eastAsia"/>
          <w:sz w:val="21"/>
          <w:szCs w:val="21"/>
        </w:rPr>
        <w:t>）应定期检查燃油系统设备及管路，避免油料“跑”</w:t>
      </w:r>
      <w:r>
        <w:rPr>
          <w:sz w:val="21"/>
          <w:szCs w:val="21"/>
        </w:rPr>
        <w:t>、</w:t>
      </w:r>
      <w:r>
        <w:rPr>
          <w:rFonts w:hint="eastAsia"/>
          <w:sz w:val="21"/>
          <w:szCs w:val="21"/>
        </w:rPr>
        <w:t>“冒”</w:t>
      </w:r>
      <w:r>
        <w:rPr>
          <w:sz w:val="21"/>
          <w:szCs w:val="21"/>
        </w:rPr>
        <w:t>、</w:t>
      </w:r>
      <w:r>
        <w:rPr>
          <w:rFonts w:hint="eastAsia"/>
          <w:sz w:val="21"/>
          <w:szCs w:val="21"/>
        </w:rPr>
        <w:t>“滴”</w:t>
      </w:r>
      <w:r>
        <w:rPr>
          <w:sz w:val="21"/>
          <w:szCs w:val="21"/>
        </w:rPr>
        <w:t>、“</w:t>
      </w:r>
      <w:r>
        <w:rPr>
          <w:rFonts w:hint="eastAsia"/>
          <w:sz w:val="21"/>
          <w:szCs w:val="21"/>
        </w:rPr>
        <w:t>漏”。</w:t>
      </w:r>
    </w:p>
    <w:p w14:paraId="36AEE639">
      <w:pPr>
        <w:widowControl w:val="0"/>
        <w:adjustRightInd w:val="0"/>
        <w:snapToGrid w:val="0"/>
        <w:rPr>
          <w:rFonts w:hint="eastAsia"/>
          <w:color w:val="FF0000"/>
          <w:sz w:val="21"/>
          <w:szCs w:val="21"/>
        </w:rPr>
      </w:pPr>
      <w:r>
        <w:rPr>
          <w:sz w:val="21"/>
          <w:szCs w:val="21"/>
        </w:rPr>
        <w:t xml:space="preserve">6.3.26  </w:t>
      </w:r>
      <w:r>
        <w:rPr>
          <w:rFonts w:hint="eastAsia"/>
          <w:sz w:val="21"/>
          <w:szCs w:val="21"/>
        </w:rPr>
        <w:t>太阳能发电工</w:t>
      </w:r>
      <w:r>
        <w:rPr>
          <w:sz w:val="21"/>
          <w:szCs w:val="21"/>
        </w:rPr>
        <w:t>程</w:t>
      </w:r>
      <w:r>
        <w:rPr>
          <w:rFonts w:hint="eastAsia"/>
          <w:sz w:val="21"/>
          <w:szCs w:val="21"/>
        </w:rPr>
        <w:t>能源节约与高效利用专用项评价包括以下内容：</w:t>
      </w:r>
      <w:r>
        <w:rPr>
          <w:color w:val="FF0000"/>
          <w:sz w:val="21"/>
          <w:szCs w:val="21"/>
        </w:rPr>
        <w:t xml:space="preserve"> </w:t>
      </w:r>
    </w:p>
    <w:p w14:paraId="6EC2F671">
      <w:pPr>
        <w:widowControl w:val="0"/>
        <w:adjustRightInd w:val="0"/>
        <w:snapToGrid w:val="0"/>
        <w:ind w:firstLine="420" w:firstLineChars="200"/>
        <w:outlineLvl w:val="0"/>
        <w:rPr>
          <w:rFonts w:hint="eastAsia"/>
          <w:sz w:val="21"/>
          <w:szCs w:val="21"/>
        </w:rPr>
      </w:pPr>
      <w:bookmarkStart w:id="542" w:name="_Toc10478"/>
      <w:bookmarkStart w:id="543" w:name="_Toc30019"/>
      <w:r>
        <w:rPr>
          <w:rFonts w:hint="eastAsia"/>
          <w:sz w:val="21"/>
          <w:szCs w:val="21"/>
        </w:rPr>
        <w:t>1</w:t>
      </w:r>
      <w:r>
        <w:rPr>
          <w:sz w:val="21"/>
          <w:szCs w:val="21"/>
        </w:rPr>
        <w:t xml:space="preserve"> </w:t>
      </w:r>
      <w:r>
        <w:rPr>
          <w:rFonts w:hint="eastAsia"/>
          <w:sz w:val="21"/>
          <w:szCs w:val="21"/>
        </w:rPr>
        <w:t>陆上光伏发电项目</w:t>
      </w:r>
      <w:bookmarkEnd w:id="542"/>
      <w:bookmarkEnd w:id="543"/>
    </w:p>
    <w:p w14:paraId="48752FCE">
      <w:pPr>
        <w:widowControl w:val="0"/>
        <w:adjustRightInd w:val="0"/>
        <w:snapToGrid w:val="0"/>
        <w:ind w:firstLine="420" w:firstLineChars="200"/>
        <w:rPr>
          <w:rFonts w:hint="eastAsia"/>
          <w:sz w:val="21"/>
          <w:szCs w:val="21"/>
        </w:rPr>
      </w:pPr>
      <w:r>
        <w:rPr>
          <w:sz w:val="21"/>
          <w:szCs w:val="21"/>
        </w:rPr>
        <w:t>1）</w:t>
      </w:r>
      <w:r>
        <w:rPr>
          <w:rFonts w:hint="eastAsia"/>
          <w:sz w:val="21"/>
          <w:szCs w:val="21"/>
        </w:rPr>
        <w:t>变电站大型设备应直接运输至安装位置，减少现场设备存储及二次倒运机械的能源消耗</w:t>
      </w:r>
      <w:r>
        <w:rPr>
          <w:sz w:val="21"/>
          <w:szCs w:val="21"/>
        </w:rPr>
        <w:t xml:space="preserve">。 </w:t>
      </w:r>
    </w:p>
    <w:p w14:paraId="52B7DB42">
      <w:pPr>
        <w:widowControl w:val="0"/>
        <w:adjustRightInd w:val="0"/>
        <w:snapToGrid w:val="0"/>
        <w:ind w:firstLine="420" w:firstLineChars="200"/>
        <w:rPr>
          <w:rFonts w:hint="eastAsia"/>
          <w:sz w:val="21"/>
          <w:szCs w:val="21"/>
        </w:rPr>
      </w:pPr>
      <w:r>
        <w:rPr>
          <w:sz w:val="21"/>
          <w:szCs w:val="21"/>
        </w:rPr>
        <w:t>2）</w:t>
      </w:r>
      <w:r>
        <w:rPr>
          <w:rFonts w:hint="eastAsia"/>
          <w:sz w:val="21"/>
          <w:szCs w:val="21"/>
        </w:rPr>
        <w:t>光伏支架及组件等设备临时存放场地宜就近规划布置，减少设备二次倒运距离，降低机械设备使用量，降低能源消耗</w:t>
      </w:r>
      <w:r>
        <w:rPr>
          <w:sz w:val="21"/>
          <w:szCs w:val="21"/>
        </w:rPr>
        <w:t>。</w:t>
      </w:r>
    </w:p>
    <w:p w14:paraId="7263629E">
      <w:pPr>
        <w:widowControl w:val="0"/>
        <w:adjustRightInd w:val="0"/>
        <w:snapToGrid w:val="0"/>
        <w:ind w:firstLine="420" w:firstLineChars="200"/>
        <w:rPr>
          <w:rFonts w:hint="eastAsia"/>
          <w:sz w:val="21"/>
          <w:szCs w:val="21"/>
        </w:rPr>
      </w:pPr>
      <w:r>
        <w:rPr>
          <w:rFonts w:hint="eastAsia"/>
          <w:sz w:val="21"/>
          <w:szCs w:val="21"/>
        </w:rPr>
        <w:t>3）宜优先选用高效节能的手持电动力矩扳手进行支架安装，提高安装效率。</w:t>
      </w:r>
    </w:p>
    <w:p w14:paraId="69CB39F6">
      <w:pPr>
        <w:widowControl w:val="0"/>
        <w:adjustRightInd w:val="0"/>
        <w:snapToGrid w:val="0"/>
        <w:ind w:firstLine="420" w:firstLineChars="200"/>
        <w:outlineLvl w:val="0"/>
        <w:rPr>
          <w:rFonts w:hint="eastAsia"/>
          <w:sz w:val="21"/>
          <w:szCs w:val="21"/>
        </w:rPr>
      </w:pPr>
      <w:bookmarkStart w:id="544" w:name="_Toc8092"/>
      <w:bookmarkStart w:id="545" w:name="_Toc17059"/>
      <w:r>
        <w:rPr>
          <w:rFonts w:hint="eastAsia"/>
          <w:sz w:val="21"/>
          <w:szCs w:val="21"/>
        </w:rPr>
        <w:t>2</w:t>
      </w:r>
      <w:r>
        <w:rPr>
          <w:sz w:val="21"/>
          <w:szCs w:val="21"/>
        </w:rPr>
        <w:t xml:space="preserve"> </w:t>
      </w:r>
      <w:r>
        <w:rPr>
          <w:rFonts w:hint="eastAsia"/>
          <w:sz w:val="21"/>
          <w:szCs w:val="21"/>
        </w:rPr>
        <w:t>水上光伏发电项目</w:t>
      </w:r>
      <w:bookmarkEnd w:id="544"/>
      <w:bookmarkEnd w:id="545"/>
    </w:p>
    <w:p w14:paraId="347B883B">
      <w:pPr>
        <w:widowControl w:val="0"/>
        <w:adjustRightInd w:val="0"/>
        <w:snapToGrid w:val="0"/>
        <w:ind w:firstLine="420" w:firstLineChars="200"/>
        <w:outlineLvl w:val="1"/>
        <w:rPr>
          <w:rFonts w:hint="eastAsia"/>
          <w:sz w:val="21"/>
          <w:szCs w:val="21"/>
        </w:rPr>
      </w:pPr>
      <w:bookmarkStart w:id="546" w:name="_Toc1564"/>
      <w:bookmarkStart w:id="547" w:name="_Toc7386"/>
      <w:r>
        <w:rPr>
          <w:sz w:val="21"/>
          <w:szCs w:val="21"/>
        </w:rPr>
        <w:t>1）合理选用高效节能运输船只，提高运输效率。</w:t>
      </w:r>
      <w:bookmarkEnd w:id="546"/>
      <w:bookmarkEnd w:id="547"/>
    </w:p>
    <w:p w14:paraId="02260E90">
      <w:pPr>
        <w:widowControl w:val="0"/>
        <w:adjustRightInd w:val="0"/>
        <w:snapToGrid w:val="0"/>
        <w:ind w:firstLine="420" w:firstLineChars="200"/>
        <w:rPr>
          <w:rFonts w:hint="eastAsia"/>
          <w:sz w:val="21"/>
          <w:szCs w:val="21"/>
        </w:rPr>
      </w:pPr>
      <w:r>
        <w:rPr>
          <w:rFonts w:hint="eastAsia"/>
          <w:sz w:val="21"/>
          <w:szCs w:val="21"/>
        </w:rPr>
        <w:t>2）严格控制现场施工船只燃油消耗，记录用油情况和交通往来情况，合理安排施工内容，避免出现无效交通运输情况。</w:t>
      </w:r>
    </w:p>
    <w:p w14:paraId="09095699">
      <w:pPr>
        <w:widowControl w:val="0"/>
        <w:adjustRightInd w:val="0"/>
        <w:snapToGrid w:val="0"/>
        <w:ind w:firstLine="420" w:firstLineChars="200"/>
        <w:rPr>
          <w:rFonts w:hint="eastAsia"/>
          <w:sz w:val="21"/>
          <w:szCs w:val="21"/>
        </w:rPr>
      </w:pPr>
      <w:r>
        <w:rPr>
          <w:rFonts w:hint="eastAsia"/>
          <w:sz w:val="21"/>
          <w:szCs w:val="21"/>
        </w:rPr>
        <w:t>3</w:t>
      </w:r>
      <w:r>
        <w:rPr>
          <w:sz w:val="21"/>
          <w:szCs w:val="21"/>
        </w:rPr>
        <w:t>）</w:t>
      </w:r>
      <w:r>
        <w:rPr>
          <w:rFonts w:hint="eastAsia"/>
          <w:sz w:val="21"/>
          <w:szCs w:val="21"/>
        </w:rPr>
        <w:t>宜优先选用高效节能的手持电动力矩扳手进行支架安装，提高安装效率。</w:t>
      </w:r>
    </w:p>
    <w:p w14:paraId="464BEC79">
      <w:pPr>
        <w:widowControl w:val="0"/>
        <w:adjustRightInd w:val="0"/>
        <w:snapToGrid w:val="0"/>
        <w:ind w:firstLine="420" w:firstLineChars="200"/>
        <w:outlineLvl w:val="0"/>
        <w:rPr>
          <w:rFonts w:hint="eastAsia"/>
          <w:sz w:val="21"/>
          <w:szCs w:val="21"/>
        </w:rPr>
      </w:pPr>
      <w:bookmarkStart w:id="548" w:name="_Toc23982"/>
      <w:bookmarkStart w:id="549" w:name="_Toc32094"/>
      <w:r>
        <w:rPr>
          <w:sz w:val="21"/>
          <w:szCs w:val="21"/>
        </w:rPr>
        <w:t xml:space="preserve">3 </w:t>
      </w:r>
      <w:r>
        <w:rPr>
          <w:rFonts w:hint="eastAsia"/>
          <w:sz w:val="21"/>
          <w:szCs w:val="21"/>
        </w:rPr>
        <w:t>光热发电项目</w:t>
      </w:r>
      <w:bookmarkEnd w:id="548"/>
      <w:bookmarkEnd w:id="549"/>
    </w:p>
    <w:p w14:paraId="69BBB3F7">
      <w:pPr>
        <w:widowControl w:val="0"/>
        <w:adjustRightInd w:val="0"/>
        <w:snapToGrid w:val="0"/>
        <w:ind w:firstLine="420" w:firstLineChars="200"/>
        <w:rPr>
          <w:rFonts w:hint="eastAsia"/>
          <w:sz w:val="21"/>
          <w:szCs w:val="21"/>
        </w:rPr>
      </w:pPr>
      <w:r>
        <w:rPr>
          <w:sz w:val="21"/>
          <w:szCs w:val="21"/>
        </w:rPr>
        <w:t>1）</w:t>
      </w:r>
      <w:r>
        <w:rPr>
          <w:rFonts w:hint="eastAsia"/>
          <w:sz w:val="21"/>
          <w:szCs w:val="21"/>
        </w:rPr>
        <w:t>光热电站内大型设备应直接运输至安装位置，减少现场设备存储及二次倒运机械的能源消耗</w:t>
      </w:r>
      <w:r>
        <w:rPr>
          <w:sz w:val="21"/>
          <w:szCs w:val="21"/>
        </w:rPr>
        <w:t xml:space="preserve">。 </w:t>
      </w:r>
    </w:p>
    <w:p w14:paraId="60F3E95D">
      <w:pPr>
        <w:widowControl w:val="0"/>
        <w:adjustRightInd w:val="0"/>
        <w:snapToGrid w:val="0"/>
        <w:ind w:firstLine="420" w:firstLineChars="200"/>
        <w:rPr>
          <w:rFonts w:hint="eastAsia"/>
          <w:sz w:val="21"/>
          <w:szCs w:val="21"/>
        </w:rPr>
      </w:pPr>
      <w:r>
        <w:rPr>
          <w:sz w:val="21"/>
          <w:szCs w:val="21"/>
        </w:rPr>
        <w:t>2）</w:t>
      </w:r>
      <w:r>
        <w:rPr>
          <w:rFonts w:hint="eastAsia"/>
          <w:sz w:val="21"/>
          <w:szCs w:val="21"/>
        </w:rPr>
        <w:t>集热场内设备临时存放场地宜就近规划布置，减少设备二次倒运距离，降低机械设备使用量，降低能源消耗</w:t>
      </w:r>
      <w:r>
        <w:rPr>
          <w:sz w:val="21"/>
          <w:szCs w:val="21"/>
        </w:rPr>
        <w:t xml:space="preserve">。 </w:t>
      </w:r>
    </w:p>
    <w:p w14:paraId="084C7E70">
      <w:pPr>
        <w:widowControl w:val="0"/>
        <w:adjustRightInd w:val="0"/>
        <w:snapToGrid w:val="0"/>
        <w:ind w:firstLine="420" w:firstLineChars="200"/>
        <w:rPr>
          <w:rFonts w:hint="eastAsia"/>
          <w:sz w:val="21"/>
          <w:szCs w:val="21"/>
        </w:rPr>
      </w:pPr>
      <w:r>
        <w:rPr>
          <w:sz w:val="21"/>
          <w:szCs w:val="21"/>
        </w:rPr>
        <w:t>3）主厂房及设备安装主吊机械优先选用采取变频技术的塔式起重机，提高塔机系统功率因数和整机工作效率。</w:t>
      </w:r>
    </w:p>
    <w:p w14:paraId="799B4682">
      <w:pPr>
        <w:widowControl w:val="0"/>
        <w:adjustRightInd w:val="0"/>
        <w:snapToGrid w:val="0"/>
        <w:rPr>
          <w:rFonts w:hint="eastAsia"/>
          <w:color w:val="FF0000"/>
          <w:sz w:val="21"/>
          <w:szCs w:val="21"/>
        </w:rPr>
      </w:pPr>
      <w:r>
        <w:rPr>
          <w:sz w:val="21"/>
          <w:szCs w:val="21"/>
        </w:rPr>
        <w:t>6.3.27  输变电</w:t>
      </w:r>
      <w:r>
        <w:rPr>
          <w:rFonts w:hint="eastAsia"/>
          <w:sz w:val="21"/>
          <w:szCs w:val="21"/>
        </w:rPr>
        <w:t>工</w:t>
      </w:r>
      <w:r>
        <w:rPr>
          <w:sz w:val="21"/>
          <w:szCs w:val="21"/>
        </w:rPr>
        <w:t>程</w:t>
      </w:r>
      <w:r>
        <w:rPr>
          <w:rFonts w:hint="eastAsia"/>
          <w:sz w:val="21"/>
          <w:szCs w:val="21"/>
        </w:rPr>
        <w:t>能源节约与高效利用专用项评价包括以下内容：</w:t>
      </w:r>
      <w:r>
        <w:rPr>
          <w:color w:val="FF0000"/>
          <w:sz w:val="21"/>
          <w:szCs w:val="21"/>
        </w:rPr>
        <w:t xml:space="preserve"> </w:t>
      </w:r>
    </w:p>
    <w:p w14:paraId="54ECCF6E">
      <w:pPr>
        <w:widowControl w:val="0"/>
        <w:adjustRightInd w:val="0"/>
        <w:snapToGrid w:val="0"/>
        <w:ind w:firstLine="420" w:firstLineChars="200"/>
        <w:outlineLvl w:val="0"/>
        <w:rPr>
          <w:rFonts w:hint="eastAsia"/>
          <w:sz w:val="21"/>
          <w:szCs w:val="21"/>
        </w:rPr>
      </w:pPr>
      <w:bookmarkStart w:id="550" w:name="_Toc3005"/>
      <w:bookmarkStart w:id="551" w:name="_Toc11210"/>
      <w:r>
        <w:rPr>
          <w:sz w:val="21"/>
          <w:szCs w:val="21"/>
        </w:rPr>
        <w:t>1  变电（换流）站</w:t>
      </w:r>
      <w:bookmarkEnd w:id="550"/>
      <w:bookmarkEnd w:id="551"/>
    </w:p>
    <w:p w14:paraId="1BDE7F83">
      <w:pPr>
        <w:widowControl w:val="0"/>
        <w:adjustRightInd w:val="0"/>
        <w:snapToGrid w:val="0"/>
        <w:ind w:firstLine="630" w:firstLineChars="300"/>
        <w:rPr>
          <w:rFonts w:hint="eastAsia"/>
          <w:sz w:val="21"/>
          <w:szCs w:val="21"/>
        </w:rPr>
      </w:pPr>
      <w:r>
        <w:rPr>
          <w:sz w:val="21"/>
          <w:szCs w:val="21"/>
        </w:rPr>
        <w:t>1</w:t>
      </w:r>
      <w:r>
        <w:rPr>
          <w:rFonts w:hint="eastAsia"/>
          <w:sz w:val="21"/>
          <w:szCs w:val="21"/>
        </w:rPr>
        <w:t>）变电站</w:t>
      </w:r>
      <w:r>
        <w:rPr>
          <w:sz w:val="21"/>
          <w:szCs w:val="21"/>
        </w:rPr>
        <w:t>主要建筑材料</w:t>
      </w:r>
      <w:r>
        <w:rPr>
          <w:rFonts w:hint="eastAsia"/>
          <w:sz w:val="21"/>
          <w:szCs w:val="21"/>
        </w:rPr>
        <w:t>场地、主（换流）变等设备结合使用临时用地，</w:t>
      </w:r>
      <w:r>
        <w:rPr>
          <w:sz w:val="21"/>
          <w:szCs w:val="21"/>
        </w:rPr>
        <w:t>因地制宜</w:t>
      </w:r>
      <w:r>
        <w:rPr>
          <w:rFonts w:hint="eastAsia"/>
          <w:sz w:val="21"/>
          <w:szCs w:val="21"/>
        </w:rPr>
        <w:t>布置合理，</w:t>
      </w:r>
      <w:r>
        <w:rPr>
          <w:sz w:val="21"/>
          <w:szCs w:val="21"/>
        </w:rPr>
        <w:t>减少运输能耗。</w:t>
      </w:r>
    </w:p>
    <w:p w14:paraId="41CE822E">
      <w:pPr>
        <w:widowControl w:val="0"/>
        <w:adjustRightInd w:val="0"/>
        <w:snapToGrid w:val="0"/>
        <w:ind w:firstLine="630" w:firstLineChars="300"/>
        <w:rPr>
          <w:rFonts w:hint="eastAsia"/>
          <w:sz w:val="21"/>
          <w:szCs w:val="21"/>
        </w:rPr>
      </w:pPr>
      <w:r>
        <w:rPr>
          <w:rFonts w:hint="eastAsia"/>
          <w:sz w:val="21"/>
          <w:szCs w:val="21"/>
        </w:rPr>
        <w:t>2）变电站</w:t>
      </w:r>
      <w:r>
        <w:rPr>
          <w:sz w:val="21"/>
          <w:szCs w:val="21"/>
        </w:rPr>
        <w:t>施工计划合理，减少夜间、高温、寒冷情况下的施工时间，控制变电（换流）站各系统调试和试运行时间，减少能源消耗。</w:t>
      </w:r>
    </w:p>
    <w:p w14:paraId="2A650464">
      <w:pPr>
        <w:widowControl w:val="0"/>
        <w:adjustRightInd w:val="0"/>
        <w:snapToGrid w:val="0"/>
        <w:ind w:firstLine="630" w:firstLineChars="300"/>
        <w:rPr>
          <w:rFonts w:hint="eastAsia"/>
          <w:sz w:val="21"/>
          <w:szCs w:val="21"/>
        </w:rPr>
      </w:pPr>
      <w:r>
        <w:rPr>
          <w:rFonts w:hint="eastAsia"/>
          <w:sz w:val="21"/>
          <w:szCs w:val="21"/>
        </w:rPr>
        <w:t>3）</w:t>
      </w:r>
      <w:r>
        <w:rPr>
          <w:sz w:val="21"/>
          <w:szCs w:val="21"/>
        </w:rPr>
        <w:t>主变（换流变）等充油设备热油循环采取保温措施，减少能源消耗。</w:t>
      </w:r>
    </w:p>
    <w:p w14:paraId="00663677">
      <w:pPr>
        <w:widowControl w:val="0"/>
        <w:adjustRightInd w:val="0"/>
        <w:snapToGrid w:val="0"/>
        <w:ind w:firstLine="630" w:firstLineChars="300"/>
        <w:rPr>
          <w:rFonts w:hint="eastAsia"/>
          <w:sz w:val="21"/>
          <w:szCs w:val="21"/>
        </w:rPr>
      </w:pPr>
      <w:r>
        <w:rPr>
          <w:rFonts w:hint="eastAsia"/>
          <w:sz w:val="21"/>
          <w:szCs w:val="21"/>
        </w:rPr>
        <w:t>4）</w:t>
      </w:r>
      <w:r>
        <w:rPr>
          <w:sz w:val="21"/>
          <w:szCs w:val="21"/>
        </w:rPr>
        <w:t>因地制宜利用自然能源，采用太阳能集热器、地（水、气）源热泵等供热，户外照明采用太阳能路灯和自动控制装置等供电，减少能源消耗。</w:t>
      </w:r>
    </w:p>
    <w:p w14:paraId="6C44274E">
      <w:pPr>
        <w:widowControl w:val="0"/>
        <w:adjustRightInd w:val="0"/>
        <w:snapToGrid w:val="0"/>
        <w:ind w:firstLine="420" w:firstLineChars="200"/>
        <w:outlineLvl w:val="0"/>
        <w:rPr>
          <w:rFonts w:hint="eastAsia"/>
          <w:sz w:val="21"/>
          <w:szCs w:val="21"/>
        </w:rPr>
      </w:pPr>
      <w:bookmarkStart w:id="552" w:name="_Toc28896"/>
      <w:bookmarkStart w:id="553" w:name="_Toc6227"/>
      <w:r>
        <w:rPr>
          <w:sz w:val="21"/>
          <w:szCs w:val="21"/>
        </w:rPr>
        <w:t>2  架空输电线路</w:t>
      </w:r>
      <w:bookmarkEnd w:id="552"/>
      <w:bookmarkEnd w:id="553"/>
    </w:p>
    <w:p w14:paraId="0DA4BE65">
      <w:pPr>
        <w:widowControl w:val="0"/>
        <w:adjustRightInd w:val="0"/>
        <w:snapToGrid w:val="0"/>
        <w:ind w:firstLine="630" w:firstLineChars="300"/>
        <w:rPr>
          <w:rFonts w:hint="eastAsia"/>
          <w:sz w:val="21"/>
          <w:szCs w:val="21"/>
        </w:rPr>
      </w:pPr>
      <w:r>
        <w:rPr>
          <w:sz w:val="21"/>
          <w:szCs w:val="21"/>
        </w:rPr>
        <w:t>1）物料运输和施工选用低噪、环保、节能、高效的机械化</w:t>
      </w:r>
      <w:r>
        <w:rPr>
          <w:rFonts w:hint="eastAsia"/>
          <w:sz w:val="21"/>
          <w:szCs w:val="21"/>
        </w:rPr>
        <w:t>作业</w:t>
      </w:r>
      <w:r>
        <w:rPr>
          <w:sz w:val="21"/>
          <w:szCs w:val="21"/>
        </w:rPr>
        <w:t>设备</w:t>
      </w:r>
      <w:r>
        <w:rPr>
          <w:rFonts w:hint="eastAsia"/>
          <w:sz w:val="21"/>
          <w:szCs w:val="21"/>
        </w:rPr>
        <w:t>，减少施工能耗</w:t>
      </w:r>
      <w:r>
        <w:rPr>
          <w:sz w:val="21"/>
          <w:szCs w:val="21"/>
        </w:rPr>
        <w:t>。</w:t>
      </w:r>
    </w:p>
    <w:p w14:paraId="0428EF81">
      <w:pPr>
        <w:widowControl w:val="0"/>
        <w:adjustRightInd w:val="0"/>
        <w:snapToGrid w:val="0"/>
        <w:ind w:firstLine="630" w:firstLineChars="300"/>
        <w:rPr>
          <w:rFonts w:hint="eastAsia"/>
          <w:sz w:val="21"/>
          <w:szCs w:val="21"/>
        </w:rPr>
      </w:pPr>
      <w:r>
        <w:rPr>
          <w:sz w:val="21"/>
          <w:szCs w:val="21"/>
        </w:rPr>
        <w:t>2）</w:t>
      </w:r>
      <w:r>
        <w:rPr>
          <w:rFonts w:hint="eastAsia"/>
          <w:sz w:val="21"/>
          <w:szCs w:val="21"/>
        </w:rPr>
        <w:t>线路</w:t>
      </w:r>
      <w:r>
        <w:rPr>
          <w:sz w:val="21"/>
          <w:szCs w:val="21"/>
        </w:rPr>
        <w:t>施工计划合理，减少夜间、高温、寒冷情况下的施工时间，降低能源消耗。</w:t>
      </w:r>
    </w:p>
    <w:p w14:paraId="3178CDEE">
      <w:pPr>
        <w:widowControl w:val="0"/>
        <w:adjustRightInd w:val="0"/>
        <w:snapToGrid w:val="0"/>
        <w:ind w:firstLine="420" w:firstLineChars="200"/>
        <w:outlineLvl w:val="0"/>
        <w:rPr>
          <w:rFonts w:hint="eastAsia"/>
          <w:sz w:val="21"/>
          <w:szCs w:val="21"/>
        </w:rPr>
      </w:pPr>
      <w:bookmarkStart w:id="554" w:name="_Toc20536"/>
      <w:bookmarkStart w:id="555" w:name="_Toc29760"/>
      <w:r>
        <w:rPr>
          <w:sz w:val="21"/>
          <w:szCs w:val="21"/>
        </w:rPr>
        <w:t>3  电缆线路</w:t>
      </w:r>
      <w:bookmarkEnd w:id="554"/>
      <w:bookmarkEnd w:id="555"/>
    </w:p>
    <w:p w14:paraId="0280E16E">
      <w:pPr>
        <w:widowControl w:val="0"/>
        <w:adjustRightInd w:val="0"/>
        <w:snapToGrid w:val="0"/>
        <w:ind w:firstLine="630" w:firstLineChars="300"/>
        <w:rPr>
          <w:rFonts w:hint="eastAsia"/>
          <w:sz w:val="21"/>
          <w:szCs w:val="21"/>
        </w:rPr>
      </w:pPr>
      <w:r>
        <w:rPr>
          <w:sz w:val="21"/>
          <w:szCs w:val="21"/>
        </w:rPr>
        <w:t>1）顶管、盾构隧道垂直和水平运输机械统筹安排</w:t>
      </w:r>
      <w:r>
        <w:rPr>
          <w:rFonts w:hint="eastAsia"/>
          <w:sz w:val="21"/>
          <w:szCs w:val="21"/>
        </w:rPr>
        <w:t>合理</w:t>
      </w:r>
      <w:r>
        <w:rPr>
          <w:sz w:val="21"/>
          <w:szCs w:val="21"/>
        </w:rPr>
        <w:t>，土方外运、</w:t>
      </w:r>
      <w:r>
        <w:rPr>
          <w:rFonts w:hint="eastAsia"/>
          <w:sz w:val="21"/>
          <w:szCs w:val="21"/>
        </w:rPr>
        <w:t>物资</w:t>
      </w:r>
      <w:r>
        <w:rPr>
          <w:sz w:val="21"/>
          <w:szCs w:val="21"/>
        </w:rPr>
        <w:t>材料下井等垂直运输充分利用门式起重机作业，减少汽车吊使用频率</w:t>
      </w:r>
      <w:r>
        <w:rPr>
          <w:rFonts w:hint="eastAsia"/>
          <w:sz w:val="21"/>
          <w:szCs w:val="21"/>
        </w:rPr>
        <w:t>，降低能源消耗。</w:t>
      </w:r>
    </w:p>
    <w:p w14:paraId="2554F4C1">
      <w:pPr>
        <w:widowControl w:val="0"/>
        <w:adjustRightInd w:val="0"/>
        <w:snapToGrid w:val="0"/>
        <w:ind w:firstLine="630" w:firstLineChars="300"/>
        <w:rPr>
          <w:rFonts w:hint="eastAsia"/>
          <w:sz w:val="21"/>
          <w:szCs w:val="21"/>
        </w:rPr>
      </w:pPr>
      <w:r>
        <w:rPr>
          <w:sz w:val="21"/>
          <w:szCs w:val="21"/>
        </w:rPr>
        <w:t>2）电缆敷设布置规划合理，电缆引出侧到最终位置移动的距离最近，电缆敷设装置</w:t>
      </w:r>
      <w:r>
        <w:rPr>
          <w:rFonts w:hint="eastAsia"/>
          <w:sz w:val="21"/>
          <w:szCs w:val="21"/>
        </w:rPr>
        <w:t>、机械</w:t>
      </w:r>
      <w:r>
        <w:rPr>
          <w:sz w:val="21"/>
          <w:szCs w:val="21"/>
        </w:rPr>
        <w:t>调整移动的次数最少</w:t>
      </w:r>
      <w:r>
        <w:rPr>
          <w:rFonts w:hint="eastAsia"/>
          <w:sz w:val="21"/>
          <w:szCs w:val="21"/>
        </w:rPr>
        <w:t>，减少施工能耗</w:t>
      </w:r>
      <w:r>
        <w:rPr>
          <w:sz w:val="21"/>
          <w:szCs w:val="21"/>
        </w:rPr>
        <w:t>。</w:t>
      </w:r>
    </w:p>
    <w:p w14:paraId="473E6802">
      <w:pPr>
        <w:widowControl w:val="0"/>
        <w:adjustRightInd w:val="0"/>
        <w:snapToGrid w:val="0"/>
        <w:ind w:firstLine="630" w:firstLineChars="300"/>
        <w:rPr>
          <w:rFonts w:hint="eastAsia"/>
          <w:sz w:val="21"/>
          <w:szCs w:val="21"/>
        </w:rPr>
      </w:pPr>
      <w:r>
        <w:rPr>
          <w:sz w:val="21"/>
          <w:szCs w:val="21"/>
        </w:rPr>
        <w:t>3）电缆敷设施工采用低噪、环保、节能、高效的施工机械设备和设施等，降低能源消耗。</w:t>
      </w:r>
    </w:p>
    <w:p w14:paraId="4028E1AE">
      <w:pPr>
        <w:widowControl w:val="0"/>
        <w:adjustRightInd w:val="0"/>
        <w:snapToGrid w:val="0"/>
        <w:ind w:firstLine="420" w:firstLineChars="200"/>
        <w:outlineLvl w:val="0"/>
        <w:rPr>
          <w:rFonts w:hint="eastAsia"/>
          <w:sz w:val="21"/>
          <w:szCs w:val="21"/>
        </w:rPr>
      </w:pPr>
      <w:bookmarkStart w:id="556" w:name="_Toc12248"/>
      <w:bookmarkStart w:id="557" w:name="_Toc8465"/>
      <w:r>
        <w:rPr>
          <w:sz w:val="21"/>
          <w:szCs w:val="21"/>
        </w:rPr>
        <w:t xml:space="preserve">4  </w:t>
      </w:r>
      <w:r>
        <w:rPr>
          <w:rFonts w:hint="eastAsia"/>
          <w:sz w:val="21"/>
          <w:szCs w:val="21"/>
        </w:rPr>
        <w:t>海底电缆线路</w:t>
      </w:r>
      <w:bookmarkEnd w:id="556"/>
      <w:bookmarkEnd w:id="557"/>
    </w:p>
    <w:p w14:paraId="7B669897">
      <w:pPr>
        <w:widowControl w:val="0"/>
        <w:adjustRightInd w:val="0"/>
        <w:snapToGrid w:val="0"/>
        <w:ind w:firstLine="630" w:firstLineChars="300"/>
        <w:rPr>
          <w:rFonts w:hint="eastAsia"/>
          <w:sz w:val="21"/>
          <w:szCs w:val="21"/>
        </w:rPr>
      </w:pPr>
      <w:r>
        <w:rPr>
          <w:sz w:val="21"/>
          <w:szCs w:val="21"/>
        </w:rPr>
        <w:t>1）合理安排海缆施工计划，提高海缆施工船舶及设备的利用率。</w:t>
      </w:r>
    </w:p>
    <w:p w14:paraId="29F8C487">
      <w:pPr>
        <w:widowControl w:val="0"/>
        <w:adjustRightInd w:val="0"/>
        <w:snapToGrid w:val="0"/>
        <w:ind w:firstLine="630" w:firstLineChars="300"/>
        <w:rPr>
          <w:rFonts w:hint="eastAsia"/>
          <w:sz w:val="21"/>
          <w:szCs w:val="21"/>
        </w:rPr>
      </w:pPr>
      <w:r>
        <w:rPr>
          <w:sz w:val="21"/>
          <w:szCs w:val="21"/>
        </w:rPr>
        <w:t>2）优化施工船舶的航线规划，减少不必要的航行和燃油消耗。</w:t>
      </w:r>
    </w:p>
    <w:p w14:paraId="479849A2">
      <w:pPr>
        <w:widowControl w:val="0"/>
        <w:adjustRightInd w:val="0"/>
        <w:snapToGrid w:val="0"/>
        <w:ind w:firstLine="630" w:firstLineChars="300"/>
        <w:rPr>
          <w:rFonts w:hint="eastAsia"/>
          <w:sz w:val="21"/>
          <w:szCs w:val="21"/>
        </w:rPr>
      </w:pPr>
      <w:r>
        <w:rPr>
          <w:sz w:val="21"/>
          <w:szCs w:val="21"/>
        </w:rPr>
        <w:t>3）施工船舶应采用节能型发动机和推进系统，降低燃油消耗和碳排放。</w:t>
      </w:r>
    </w:p>
    <w:p w14:paraId="384D967B">
      <w:pPr>
        <w:widowControl w:val="0"/>
        <w:adjustRightInd w:val="0"/>
        <w:snapToGrid w:val="0"/>
        <w:rPr>
          <w:rFonts w:hint="eastAsia"/>
          <w:color w:val="FF0000"/>
          <w:sz w:val="21"/>
          <w:szCs w:val="21"/>
        </w:rPr>
      </w:pPr>
      <w:r>
        <w:rPr>
          <w:sz w:val="21"/>
          <w:szCs w:val="21"/>
        </w:rPr>
        <w:t xml:space="preserve">6.3.28  </w:t>
      </w:r>
      <w:r>
        <w:rPr>
          <w:rFonts w:hint="eastAsia"/>
          <w:sz w:val="21"/>
          <w:szCs w:val="21"/>
        </w:rPr>
        <w:t>电力</w:t>
      </w:r>
      <w:r>
        <w:rPr>
          <w:sz w:val="21"/>
          <w:szCs w:val="21"/>
        </w:rPr>
        <w:t>储能</w:t>
      </w:r>
      <w:r>
        <w:rPr>
          <w:rFonts w:hint="eastAsia"/>
          <w:sz w:val="21"/>
          <w:szCs w:val="21"/>
        </w:rPr>
        <w:t>工</w:t>
      </w:r>
      <w:r>
        <w:rPr>
          <w:sz w:val="21"/>
          <w:szCs w:val="21"/>
        </w:rPr>
        <w:t>程</w:t>
      </w:r>
      <w:r>
        <w:rPr>
          <w:rFonts w:hint="eastAsia"/>
          <w:sz w:val="21"/>
          <w:szCs w:val="21"/>
        </w:rPr>
        <w:t>能源节约与高效利用专用项评价包括以下内容：</w:t>
      </w:r>
      <w:r>
        <w:rPr>
          <w:color w:val="FF0000"/>
          <w:sz w:val="21"/>
          <w:szCs w:val="21"/>
        </w:rPr>
        <w:t xml:space="preserve"> </w:t>
      </w:r>
    </w:p>
    <w:p w14:paraId="1392C33B">
      <w:pPr>
        <w:widowControl w:val="0"/>
        <w:adjustRightInd w:val="0"/>
        <w:snapToGrid w:val="0"/>
        <w:ind w:firstLine="420" w:firstLineChars="200"/>
        <w:outlineLvl w:val="0"/>
        <w:rPr>
          <w:rFonts w:hint="eastAsia"/>
          <w:sz w:val="21"/>
          <w:szCs w:val="21"/>
        </w:rPr>
      </w:pPr>
      <w:bookmarkStart w:id="558" w:name="_Toc23080"/>
      <w:bookmarkStart w:id="559" w:name="_Toc10560"/>
      <w:r>
        <w:rPr>
          <w:sz w:val="21"/>
          <w:szCs w:val="21"/>
        </w:rPr>
        <w:t>1  电化学（锂电、液流、燃料电池、钠离子、铅酸、铅炭）储能</w:t>
      </w:r>
      <w:bookmarkEnd w:id="558"/>
      <w:bookmarkEnd w:id="559"/>
    </w:p>
    <w:p w14:paraId="00585A0C">
      <w:pPr>
        <w:widowControl w:val="0"/>
        <w:ind w:firstLine="630" w:firstLineChars="300"/>
        <w:rPr>
          <w:rFonts w:hint="eastAsia"/>
          <w:sz w:val="21"/>
          <w:szCs w:val="21"/>
        </w:rPr>
      </w:pPr>
      <w:r>
        <w:rPr>
          <w:rFonts w:hint="eastAsia"/>
          <w:sz w:val="21"/>
          <w:szCs w:val="21"/>
        </w:rPr>
        <w:t>1）电化学储能工程根据项目施工进度合理安排集装箱分时间段到达现场，减少设备倒运，节约能源。</w:t>
      </w:r>
    </w:p>
    <w:p w14:paraId="588326E5">
      <w:pPr>
        <w:widowControl w:val="0"/>
        <w:adjustRightInd w:val="0"/>
        <w:snapToGrid w:val="0"/>
        <w:ind w:firstLine="630" w:firstLineChars="300"/>
        <w:rPr>
          <w:rFonts w:hint="eastAsia"/>
          <w:sz w:val="21"/>
          <w:szCs w:val="21"/>
        </w:rPr>
      </w:pPr>
      <w:r>
        <w:rPr>
          <w:rFonts w:hint="eastAsia"/>
          <w:sz w:val="21"/>
          <w:szCs w:val="21"/>
        </w:rPr>
        <w:t>2）加强施工过程中对用电设备管理，施工休息间隙及时切断相关设备电源。</w:t>
      </w:r>
    </w:p>
    <w:p w14:paraId="3A78034C">
      <w:pPr>
        <w:widowControl w:val="0"/>
        <w:adjustRightInd w:val="0"/>
        <w:snapToGrid w:val="0"/>
        <w:ind w:firstLine="420" w:firstLineChars="200"/>
        <w:outlineLvl w:val="0"/>
        <w:rPr>
          <w:rFonts w:hint="eastAsia"/>
          <w:sz w:val="21"/>
          <w:szCs w:val="21"/>
        </w:rPr>
      </w:pPr>
      <w:bookmarkStart w:id="560" w:name="_Toc31002"/>
      <w:bookmarkStart w:id="561" w:name="_Toc13176"/>
      <w:r>
        <w:rPr>
          <w:sz w:val="21"/>
          <w:szCs w:val="21"/>
        </w:rPr>
        <w:t>2  飞轮储能</w:t>
      </w:r>
      <w:bookmarkEnd w:id="560"/>
      <w:bookmarkEnd w:id="561"/>
    </w:p>
    <w:p w14:paraId="29235640">
      <w:pPr>
        <w:widowControl w:val="0"/>
        <w:ind w:firstLine="630" w:firstLineChars="300"/>
        <w:rPr>
          <w:rFonts w:hint="eastAsia"/>
          <w:sz w:val="21"/>
          <w:szCs w:val="21"/>
        </w:rPr>
      </w:pPr>
      <w:r>
        <w:rPr>
          <w:rFonts w:hint="eastAsia"/>
          <w:sz w:val="21"/>
          <w:szCs w:val="21"/>
        </w:rPr>
        <w:t>1）飞轮储能工程根据项目施工进度合理安排集装箱分时间段到达现场，减少设备倒运，节约能源。</w:t>
      </w:r>
    </w:p>
    <w:p w14:paraId="4BB08E58">
      <w:pPr>
        <w:widowControl w:val="0"/>
        <w:adjustRightInd w:val="0"/>
        <w:snapToGrid w:val="0"/>
        <w:ind w:firstLine="630" w:firstLineChars="300"/>
        <w:rPr>
          <w:rFonts w:hint="eastAsia"/>
          <w:sz w:val="21"/>
          <w:szCs w:val="21"/>
        </w:rPr>
      </w:pPr>
      <w:r>
        <w:rPr>
          <w:rFonts w:hint="eastAsia"/>
          <w:sz w:val="21"/>
          <w:szCs w:val="21"/>
        </w:rPr>
        <w:t>2）加强施工过程中对用电设备管理，施工休息间隙及时切断相关设备电源。</w:t>
      </w:r>
    </w:p>
    <w:p w14:paraId="4F51AF8B">
      <w:pPr>
        <w:widowControl w:val="0"/>
        <w:adjustRightInd w:val="0"/>
        <w:snapToGrid w:val="0"/>
        <w:ind w:firstLine="420" w:firstLineChars="200"/>
        <w:outlineLvl w:val="0"/>
        <w:rPr>
          <w:rFonts w:hint="eastAsia"/>
          <w:sz w:val="21"/>
          <w:szCs w:val="21"/>
        </w:rPr>
      </w:pPr>
      <w:r>
        <w:rPr>
          <w:rFonts w:hint="eastAsia"/>
          <w:sz w:val="21"/>
          <w:szCs w:val="21"/>
        </w:rPr>
        <w:t xml:space="preserve"> </w:t>
      </w:r>
      <w:bookmarkStart w:id="562" w:name="_Toc5713"/>
      <w:bookmarkStart w:id="563" w:name="_Toc118"/>
      <w:r>
        <w:rPr>
          <w:sz w:val="21"/>
          <w:szCs w:val="21"/>
        </w:rPr>
        <w:t>3  压缩空气储能</w:t>
      </w:r>
      <w:bookmarkEnd w:id="562"/>
      <w:bookmarkEnd w:id="563"/>
    </w:p>
    <w:p w14:paraId="0BC83EB7">
      <w:pPr>
        <w:widowControl w:val="0"/>
        <w:ind w:firstLine="630" w:firstLineChars="300"/>
        <w:rPr>
          <w:rFonts w:hint="eastAsia"/>
          <w:sz w:val="21"/>
          <w:szCs w:val="21"/>
        </w:rPr>
      </w:pPr>
      <w:r>
        <w:rPr>
          <w:rFonts w:hint="eastAsia"/>
          <w:sz w:val="21"/>
          <w:szCs w:val="21"/>
        </w:rPr>
        <w:t>1）压缩空气储能工程根据项目施工进度合理安排集装箱分时间段到达现场，减少设备倒运，节约能源。</w:t>
      </w:r>
    </w:p>
    <w:p w14:paraId="1C1AB671">
      <w:pPr>
        <w:widowControl w:val="0"/>
        <w:adjustRightInd w:val="0"/>
        <w:snapToGrid w:val="0"/>
        <w:ind w:firstLine="630" w:firstLineChars="300"/>
        <w:rPr>
          <w:rFonts w:hint="eastAsia"/>
          <w:sz w:val="21"/>
          <w:szCs w:val="21"/>
        </w:rPr>
      </w:pPr>
      <w:r>
        <w:rPr>
          <w:rFonts w:hint="eastAsia"/>
          <w:sz w:val="21"/>
          <w:szCs w:val="21"/>
        </w:rPr>
        <w:t>2）加强施工过程中对用电设备管理，施工休息间隙及时切断相关设备电源。</w:t>
      </w:r>
    </w:p>
    <w:p w14:paraId="47D5DD39">
      <w:pPr>
        <w:spacing w:before="120" w:beforeLines="50" w:after="240" w:afterLines="100"/>
        <w:jc w:val="center"/>
        <w:rPr>
          <w:rFonts w:hint="eastAsia"/>
          <w:sz w:val="21"/>
          <w:szCs w:val="21"/>
        </w:rPr>
      </w:pPr>
      <w:r>
        <w:rPr>
          <w:rFonts w:hint="eastAsia"/>
          <w:sz w:val="21"/>
          <w:szCs w:val="21"/>
        </w:rPr>
        <w:t xml:space="preserve">Ⅴ </w:t>
      </w:r>
      <w:r>
        <w:rPr>
          <w:sz w:val="21"/>
          <w:szCs w:val="21"/>
        </w:rPr>
        <w:t xml:space="preserve"> </w:t>
      </w:r>
      <w:r>
        <w:rPr>
          <w:rFonts w:hint="eastAsia"/>
          <w:sz w:val="21"/>
          <w:szCs w:val="21"/>
        </w:rPr>
        <w:t>节约用地</w:t>
      </w:r>
    </w:p>
    <w:p w14:paraId="7294BB2E">
      <w:pPr>
        <w:widowControl w:val="0"/>
        <w:adjustRightInd w:val="0"/>
        <w:snapToGrid w:val="0"/>
        <w:outlineLvl w:val="1"/>
        <w:rPr>
          <w:rFonts w:hint="eastAsia"/>
          <w:sz w:val="21"/>
          <w:szCs w:val="21"/>
        </w:rPr>
      </w:pPr>
      <w:bookmarkStart w:id="564" w:name="_Toc5494"/>
      <w:bookmarkStart w:id="565" w:name="_Toc6850"/>
      <w:r>
        <w:fldChar w:fldCharType="begin"/>
      </w:r>
      <w:r>
        <w:instrText xml:space="preserve"> HYPERLINK \l "_Toc162470928" </w:instrText>
      </w:r>
      <w:r>
        <w:fldChar w:fldCharType="separate"/>
      </w:r>
      <w:r>
        <w:rPr>
          <w:sz w:val="21"/>
          <w:szCs w:val="21"/>
        </w:rPr>
        <w:t xml:space="preserve">6.3.29  </w:t>
      </w:r>
      <w:r>
        <w:rPr>
          <w:rFonts w:hint="eastAsia"/>
          <w:sz w:val="21"/>
          <w:szCs w:val="21"/>
        </w:rPr>
        <w:t>节约用地</w:t>
      </w:r>
      <w:r>
        <w:rPr>
          <w:sz w:val="21"/>
          <w:szCs w:val="21"/>
        </w:rPr>
        <w:t>通用项</w:t>
      </w:r>
      <w:r>
        <w:rPr>
          <w:sz w:val="21"/>
          <w:szCs w:val="21"/>
        </w:rPr>
        <w:fldChar w:fldCharType="end"/>
      </w:r>
      <w:r>
        <w:rPr>
          <w:rFonts w:hint="eastAsia"/>
          <w:sz w:val="21"/>
          <w:szCs w:val="21"/>
        </w:rPr>
        <w:t>评价包括以下内容：</w:t>
      </w:r>
      <w:bookmarkEnd w:id="564"/>
      <w:bookmarkEnd w:id="565"/>
      <w:r>
        <w:rPr>
          <w:sz w:val="21"/>
          <w:szCs w:val="21"/>
        </w:rPr>
        <w:t xml:space="preserve"> </w:t>
      </w:r>
    </w:p>
    <w:p w14:paraId="4EDDCDFE">
      <w:pPr>
        <w:widowControl w:val="0"/>
        <w:adjustRightInd w:val="0"/>
        <w:snapToGrid w:val="0"/>
        <w:ind w:firstLine="420" w:firstLineChars="200"/>
        <w:rPr>
          <w:rFonts w:hint="eastAsia"/>
          <w:sz w:val="21"/>
          <w:szCs w:val="21"/>
        </w:rPr>
      </w:pPr>
      <w:r>
        <w:rPr>
          <w:sz w:val="21"/>
          <w:szCs w:val="21"/>
        </w:rPr>
        <w:t>1  合理规划布置施工区域，施工用地面积指标应低于相应工程施工组织设计导则推荐用地面积指标的10%，临时用地占地面积的有效利用率</w:t>
      </w:r>
      <w:r>
        <w:rPr>
          <w:rFonts w:hint="eastAsia"/>
          <w:sz w:val="21"/>
          <w:szCs w:val="21"/>
        </w:rPr>
        <w:t>应</w:t>
      </w:r>
      <w:r>
        <w:rPr>
          <w:sz w:val="21"/>
          <w:szCs w:val="21"/>
        </w:rPr>
        <w:t>大于90%。</w:t>
      </w:r>
    </w:p>
    <w:p w14:paraId="2E3473E6">
      <w:pPr>
        <w:widowControl w:val="0"/>
        <w:adjustRightInd w:val="0"/>
        <w:snapToGrid w:val="0"/>
        <w:ind w:firstLine="420" w:firstLineChars="200"/>
        <w:rPr>
          <w:rFonts w:hint="eastAsia"/>
          <w:sz w:val="21"/>
          <w:szCs w:val="21"/>
        </w:rPr>
      </w:pPr>
      <w:r>
        <w:rPr>
          <w:sz w:val="21"/>
          <w:szCs w:val="21"/>
        </w:rPr>
        <w:t>2  充分利用社会资源、合理利用土地，优化施工总平面布置。施工总平面布置应紧凑合理、符合流程、方便施工、节省用地、有利生活、易于管理、安全可靠、经济合理、注重环境保护。</w:t>
      </w:r>
    </w:p>
    <w:p w14:paraId="2D4F043D">
      <w:pPr>
        <w:widowControl w:val="0"/>
        <w:adjustRightInd w:val="0"/>
        <w:snapToGrid w:val="0"/>
        <w:ind w:firstLine="420" w:firstLineChars="200"/>
        <w:rPr>
          <w:rFonts w:hint="eastAsia"/>
          <w:sz w:val="21"/>
          <w:szCs w:val="21"/>
        </w:rPr>
      </w:pPr>
      <w:r>
        <w:rPr>
          <w:sz w:val="21"/>
          <w:szCs w:val="21"/>
        </w:rPr>
        <w:t>3  应制定施工总平面管理制度，分阶段动态管理各施工单位、各专业的施工作业，满足交通运输、保卫、消防、防洪、安全文明施工等要求。</w:t>
      </w:r>
    </w:p>
    <w:p w14:paraId="4B626F27">
      <w:pPr>
        <w:widowControl w:val="0"/>
        <w:adjustRightInd w:val="0"/>
        <w:snapToGrid w:val="0"/>
        <w:ind w:firstLine="420" w:firstLineChars="200"/>
        <w:rPr>
          <w:rFonts w:hint="eastAsia"/>
          <w:sz w:val="21"/>
          <w:szCs w:val="21"/>
        </w:rPr>
      </w:pPr>
      <w:r>
        <w:rPr>
          <w:sz w:val="21"/>
          <w:szCs w:val="21"/>
        </w:rPr>
        <w:t>4  宜采用永临结合方式建造办公室、生活区宿舍。根据场地情况</w:t>
      </w:r>
      <w:r>
        <w:rPr>
          <w:rFonts w:hint="eastAsia"/>
          <w:sz w:val="21"/>
          <w:szCs w:val="21"/>
        </w:rPr>
        <w:t>，宜采用永临结合方式</w:t>
      </w:r>
      <w:r>
        <w:rPr>
          <w:sz w:val="21"/>
          <w:szCs w:val="21"/>
        </w:rPr>
        <w:t>合理布置</w:t>
      </w:r>
      <w:r>
        <w:rPr>
          <w:rFonts w:hint="eastAsia"/>
          <w:sz w:val="21"/>
          <w:szCs w:val="21"/>
        </w:rPr>
        <w:t>施工</w:t>
      </w:r>
      <w:r>
        <w:rPr>
          <w:sz w:val="21"/>
          <w:szCs w:val="21"/>
        </w:rPr>
        <w:t>道路</w:t>
      </w:r>
      <w:r>
        <w:rPr>
          <w:rFonts w:hint="eastAsia"/>
          <w:sz w:val="21"/>
          <w:szCs w:val="21"/>
        </w:rPr>
        <w:t>。</w:t>
      </w:r>
    </w:p>
    <w:p w14:paraId="1A4F0097">
      <w:pPr>
        <w:widowControl w:val="0"/>
        <w:adjustRightInd w:val="0"/>
        <w:snapToGrid w:val="0"/>
        <w:ind w:firstLine="420" w:firstLineChars="200"/>
        <w:rPr>
          <w:rFonts w:hint="eastAsia"/>
          <w:sz w:val="21"/>
          <w:szCs w:val="21"/>
        </w:rPr>
      </w:pPr>
      <w:r>
        <w:rPr>
          <w:sz w:val="21"/>
          <w:szCs w:val="21"/>
        </w:rPr>
        <w:t>5  充分利用和保护原有</w:t>
      </w:r>
      <w:r>
        <w:rPr>
          <w:rFonts w:hint="eastAsia"/>
          <w:sz w:val="21"/>
          <w:szCs w:val="21"/>
        </w:rPr>
        <w:t>设施和</w:t>
      </w:r>
      <w:r>
        <w:rPr>
          <w:sz w:val="21"/>
          <w:szCs w:val="21"/>
        </w:rPr>
        <w:t>建筑物</w:t>
      </w:r>
      <w:r>
        <w:rPr>
          <w:rFonts w:hint="eastAsia"/>
          <w:sz w:val="21"/>
          <w:szCs w:val="21"/>
        </w:rPr>
        <w:t>。</w:t>
      </w:r>
      <w:r>
        <w:rPr>
          <w:sz w:val="21"/>
          <w:szCs w:val="21"/>
        </w:rPr>
        <w:t>充分利用部分附属建筑物前期作为临时组合场、临时</w:t>
      </w:r>
      <w:r>
        <w:rPr>
          <w:rFonts w:hint="eastAsia"/>
          <w:sz w:val="21"/>
          <w:szCs w:val="21"/>
        </w:rPr>
        <w:t>设备材料</w:t>
      </w:r>
      <w:r>
        <w:rPr>
          <w:sz w:val="21"/>
          <w:szCs w:val="21"/>
        </w:rPr>
        <w:t>堆放</w:t>
      </w:r>
      <w:r>
        <w:rPr>
          <w:rFonts w:hint="eastAsia"/>
          <w:sz w:val="21"/>
          <w:szCs w:val="21"/>
        </w:rPr>
        <w:t>场地。</w:t>
      </w:r>
    </w:p>
    <w:p w14:paraId="63D65707">
      <w:pPr>
        <w:widowControl w:val="0"/>
        <w:adjustRightInd w:val="0"/>
        <w:snapToGrid w:val="0"/>
        <w:ind w:firstLine="420" w:firstLineChars="200"/>
        <w:rPr>
          <w:rFonts w:hint="eastAsia"/>
          <w:sz w:val="21"/>
          <w:szCs w:val="21"/>
        </w:rPr>
      </w:pPr>
      <w:r>
        <w:rPr>
          <w:sz w:val="21"/>
          <w:szCs w:val="21"/>
        </w:rPr>
        <w:t>6  对深基坑边坡坡度、排水沟形式与尺寸、基坑填料及取弃土等方案进行比选，避免高填深挖，减少土方开挖和回填量。</w:t>
      </w:r>
    </w:p>
    <w:p w14:paraId="30D58DE5">
      <w:pPr>
        <w:widowControl w:val="0"/>
        <w:adjustRightInd w:val="0"/>
        <w:snapToGrid w:val="0"/>
        <w:ind w:firstLine="420" w:firstLineChars="200"/>
        <w:rPr>
          <w:rFonts w:hint="eastAsia"/>
          <w:sz w:val="21"/>
          <w:szCs w:val="21"/>
        </w:rPr>
      </w:pPr>
      <w:r>
        <w:rPr>
          <w:sz w:val="21"/>
          <w:szCs w:val="21"/>
        </w:rPr>
        <w:t>7  制定最佳的土石方的调配方案，在经济运距内充分利用移挖作填，严格控制土石方工程量。</w:t>
      </w:r>
    </w:p>
    <w:p w14:paraId="0BB168AE">
      <w:pPr>
        <w:widowControl w:val="0"/>
        <w:adjustRightInd w:val="0"/>
        <w:snapToGrid w:val="0"/>
        <w:ind w:firstLine="420" w:firstLineChars="200"/>
        <w:rPr>
          <w:rFonts w:hint="eastAsia"/>
          <w:sz w:val="21"/>
          <w:szCs w:val="21"/>
        </w:rPr>
      </w:pPr>
      <w:r>
        <w:rPr>
          <w:sz w:val="21"/>
          <w:szCs w:val="21"/>
        </w:rPr>
        <w:t>8  施工取土、弃土场宜选择荒废地，不宜占用农田，工程完工后，应按“用多少、垦多少”的原则，恢复原有地形、地貌。</w:t>
      </w:r>
    </w:p>
    <w:p w14:paraId="30099090">
      <w:pPr>
        <w:widowControl w:val="0"/>
        <w:adjustRightInd w:val="0"/>
        <w:snapToGrid w:val="0"/>
        <w:ind w:firstLine="420" w:firstLineChars="200"/>
        <w:rPr>
          <w:rFonts w:hint="eastAsia"/>
          <w:sz w:val="21"/>
          <w:szCs w:val="21"/>
        </w:rPr>
      </w:pPr>
      <w:r>
        <w:rPr>
          <w:sz w:val="21"/>
          <w:szCs w:val="21"/>
        </w:rPr>
        <w:t>9  大型管道采用工厂化预制方法，减少施工现场管道制作临时用地占用面积，</w:t>
      </w:r>
      <w:r>
        <w:rPr>
          <w:rFonts w:hint="eastAsia"/>
          <w:sz w:val="21"/>
          <w:szCs w:val="21"/>
        </w:rPr>
        <w:t>管道在工厂进行预制完成后分期分批运至安装现场</w:t>
      </w:r>
      <w:r>
        <w:rPr>
          <w:sz w:val="21"/>
          <w:szCs w:val="21"/>
        </w:rPr>
        <w:t>。</w:t>
      </w:r>
    </w:p>
    <w:p w14:paraId="79FBA45F">
      <w:pPr>
        <w:widowControl w:val="0"/>
        <w:adjustRightInd w:val="0"/>
        <w:snapToGrid w:val="0"/>
        <w:outlineLvl w:val="1"/>
        <w:rPr>
          <w:rFonts w:hint="eastAsia"/>
          <w:sz w:val="21"/>
          <w:szCs w:val="21"/>
        </w:rPr>
      </w:pPr>
      <w:bookmarkStart w:id="566" w:name="_Toc1240"/>
      <w:bookmarkStart w:id="567" w:name="_Toc15227"/>
      <w:r>
        <w:fldChar w:fldCharType="begin"/>
      </w:r>
      <w:r>
        <w:instrText xml:space="preserve"> HYPERLINK \l "_Toc162470929" </w:instrText>
      </w:r>
      <w:r>
        <w:fldChar w:fldCharType="separate"/>
      </w:r>
      <w:r>
        <w:rPr>
          <w:sz w:val="21"/>
          <w:szCs w:val="21"/>
        </w:rPr>
        <w:t>6.3.30  火电</w:t>
      </w:r>
      <w:r>
        <w:rPr>
          <w:rFonts w:hint="eastAsia"/>
          <w:sz w:val="21"/>
          <w:szCs w:val="21"/>
        </w:rPr>
        <w:t>工程节约用地</w:t>
      </w:r>
      <w:r>
        <w:rPr>
          <w:sz w:val="21"/>
          <w:szCs w:val="21"/>
        </w:rPr>
        <w:t>专用项</w:t>
      </w:r>
      <w:r>
        <w:rPr>
          <w:sz w:val="21"/>
          <w:szCs w:val="21"/>
        </w:rPr>
        <w:fldChar w:fldCharType="end"/>
      </w:r>
      <w:r>
        <w:rPr>
          <w:rFonts w:hint="eastAsia"/>
          <w:sz w:val="21"/>
          <w:szCs w:val="21"/>
        </w:rPr>
        <w:t>评价包括以下内容：</w:t>
      </w:r>
      <w:bookmarkEnd w:id="566"/>
      <w:bookmarkEnd w:id="567"/>
      <w:r>
        <w:rPr>
          <w:sz w:val="21"/>
          <w:szCs w:val="21"/>
        </w:rPr>
        <w:t xml:space="preserve"> </w:t>
      </w:r>
    </w:p>
    <w:p w14:paraId="45DDDC54">
      <w:pPr>
        <w:widowControl w:val="0"/>
        <w:adjustRightInd w:val="0"/>
        <w:snapToGrid w:val="0"/>
        <w:ind w:firstLine="420" w:firstLineChars="200"/>
        <w:outlineLvl w:val="0"/>
        <w:rPr>
          <w:rFonts w:hint="eastAsia"/>
          <w:sz w:val="21"/>
          <w:szCs w:val="21"/>
        </w:rPr>
      </w:pPr>
      <w:bookmarkStart w:id="568" w:name="_Toc23730"/>
      <w:bookmarkStart w:id="569" w:name="_Toc28710"/>
      <w:r>
        <w:rPr>
          <w:sz w:val="21"/>
          <w:szCs w:val="21"/>
        </w:rPr>
        <w:t>1  燃煤发电工程</w:t>
      </w:r>
      <w:bookmarkEnd w:id="568"/>
      <w:bookmarkEnd w:id="569"/>
    </w:p>
    <w:p w14:paraId="6B5A5A41">
      <w:pPr>
        <w:widowControl w:val="0"/>
        <w:adjustRightInd w:val="0"/>
        <w:snapToGrid w:val="0"/>
        <w:ind w:firstLine="630" w:firstLineChars="300"/>
        <w:rPr>
          <w:rFonts w:hint="eastAsia"/>
          <w:sz w:val="21"/>
          <w:szCs w:val="21"/>
        </w:rPr>
      </w:pPr>
      <w:r>
        <w:rPr>
          <w:sz w:val="21"/>
          <w:szCs w:val="21"/>
        </w:rPr>
        <w:t>1）充分汽机房和除氧间扩建端的延伸区，根据施工进度，先期作为土建加工制作场，安装高峰期作为主广房钢结构堆放组装、汽轮机管道组合场地、设备堆放场。</w:t>
      </w:r>
    </w:p>
    <w:p w14:paraId="0445645B">
      <w:pPr>
        <w:widowControl w:val="0"/>
        <w:adjustRightInd w:val="0"/>
        <w:snapToGrid w:val="0"/>
        <w:ind w:firstLine="630" w:firstLineChars="300"/>
        <w:rPr>
          <w:rFonts w:hint="eastAsia"/>
          <w:sz w:val="21"/>
          <w:szCs w:val="21"/>
        </w:rPr>
      </w:pPr>
      <w:r>
        <w:rPr>
          <w:sz w:val="21"/>
          <w:szCs w:val="21"/>
        </w:rPr>
        <w:t>2）主厂房扩建端外侧场地按照专业施工先后次序以及专业</w:t>
      </w:r>
      <w:r>
        <w:rPr>
          <w:rFonts w:hint="eastAsia"/>
          <w:sz w:val="21"/>
          <w:szCs w:val="21"/>
        </w:rPr>
        <w:t>内部工序的先后次序交替使用，以提高场地利用率。</w:t>
      </w:r>
    </w:p>
    <w:p w14:paraId="7527AA88">
      <w:pPr>
        <w:widowControl w:val="0"/>
        <w:adjustRightInd w:val="0"/>
        <w:snapToGrid w:val="0"/>
        <w:ind w:firstLine="630" w:firstLineChars="300"/>
        <w:rPr>
          <w:rFonts w:hint="eastAsia"/>
          <w:sz w:val="21"/>
          <w:szCs w:val="21"/>
        </w:rPr>
      </w:pPr>
      <w:r>
        <w:rPr>
          <w:sz w:val="21"/>
          <w:szCs w:val="21"/>
        </w:rPr>
        <w:t>3）充分利用利用锅炉烟道和受热面组合与烟道支架和电除尘安装时间差，电除尘及前烟道支架区域基础施工、粗地坪完成后，前期作为烟道和受热面组合</w:t>
      </w:r>
    </w:p>
    <w:p w14:paraId="0DC61B72">
      <w:pPr>
        <w:widowControl w:val="0"/>
        <w:adjustRightInd w:val="0"/>
        <w:snapToGrid w:val="0"/>
        <w:ind w:firstLine="630" w:firstLineChars="300"/>
        <w:rPr>
          <w:rFonts w:hint="eastAsia"/>
          <w:sz w:val="21"/>
          <w:szCs w:val="21"/>
        </w:rPr>
      </w:pPr>
      <w:r>
        <w:rPr>
          <w:sz w:val="21"/>
          <w:szCs w:val="21"/>
        </w:rPr>
        <w:t>4）钢结构、循环水管道、烟风道等采用工厂化预制方法，减少施工现场管道制作临时用地占用面积，</w:t>
      </w:r>
      <w:r>
        <w:rPr>
          <w:rFonts w:hint="eastAsia"/>
          <w:sz w:val="21"/>
          <w:szCs w:val="21"/>
        </w:rPr>
        <w:t>预制完成根据施工进度分批运至安装现场</w:t>
      </w:r>
      <w:r>
        <w:rPr>
          <w:sz w:val="21"/>
          <w:szCs w:val="21"/>
        </w:rPr>
        <w:t>。</w:t>
      </w:r>
    </w:p>
    <w:p w14:paraId="04179798">
      <w:pPr>
        <w:widowControl w:val="0"/>
        <w:adjustRightInd w:val="0"/>
        <w:snapToGrid w:val="0"/>
        <w:ind w:firstLine="420" w:firstLineChars="200"/>
        <w:outlineLvl w:val="0"/>
        <w:rPr>
          <w:rFonts w:hint="eastAsia"/>
          <w:sz w:val="21"/>
          <w:szCs w:val="21"/>
        </w:rPr>
      </w:pPr>
      <w:bookmarkStart w:id="570" w:name="_Toc24024"/>
      <w:bookmarkStart w:id="571" w:name="_Toc7313"/>
      <w:r>
        <w:rPr>
          <w:sz w:val="21"/>
          <w:szCs w:val="21"/>
        </w:rPr>
        <w:t>2  燃气蒸汽联合循环</w:t>
      </w:r>
      <w:r>
        <w:rPr>
          <w:rFonts w:hint="eastAsia"/>
          <w:sz w:val="21"/>
          <w:szCs w:val="21"/>
        </w:rPr>
        <w:t>发电工程</w:t>
      </w:r>
      <w:bookmarkEnd w:id="570"/>
      <w:bookmarkEnd w:id="571"/>
    </w:p>
    <w:p w14:paraId="181F5805">
      <w:pPr>
        <w:widowControl w:val="0"/>
        <w:adjustRightInd w:val="0"/>
        <w:snapToGrid w:val="0"/>
        <w:ind w:firstLine="630" w:firstLineChars="300"/>
        <w:rPr>
          <w:rFonts w:hint="eastAsia"/>
          <w:sz w:val="21"/>
          <w:szCs w:val="21"/>
        </w:rPr>
      </w:pPr>
      <w:r>
        <w:rPr>
          <w:sz w:val="21"/>
          <w:szCs w:val="21"/>
        </w:rPr>
        <w:t>1）燃气蒸汽联合循环</w:t>
      </w:r>
      <w:r>
        <w:rPr>
          <w:rFonts w:hint="eastAsia"/>
          <w:sz w:val="21"/>
          <w:szCs w:val="21"/>
        </w:rPr>
        <w:t>发电工程专用项评价可执行燃煤发电工程</w:t>
      </w:r>
      <w:r>
        <w:rPr>
          <w:sz w:val="21"/>
          <w:szCs w:val="21"/>
        </w:rPr>
        <w:t>2）、3）、4）条。</w:t>
      </w:r>
    </w:p>
    <w:p w14:paraId="05807B55">
      <w:pPr>
        <w:widowControl w:val="0"/>
        <w:adjustRightInd w:val="0"/>
        <w:snapToGrid w:val="0"/>
        <w:ind w:firstLine="630" w:firstLineChars="300"/>
        <w:rPr>
          <w:rFonts w:hint="eastAsia"/>
          <w:sz w:val="21"/>
          <w:szCs w:val="21"/>
        </w:rPr>
      </w:pPr>
      <w:r>
        <w:rPr>
          <w:sz w:val="21"/>
          <w:szCs w:val="21"/>
        </w:rPr>
        <w:t>2）合理安排</w:t>
      </w:r>
      <w:r>
        <w:rPr>
          <w:rFonts w:hint="eastAsia"/>
          <w:sz w:val="21"/>
          <w:szCs w:val="21"/>
        </w:rPr>
        <w:t>余热锅炉</w:t>
      </w:r>
      <w:r>
        <w:rPr>
          <w:sz w:val="21"/>
          <w:szCs w:val="21"/>
        </w:rPr>
        <w:t>受热面设备吊装顺序，根据顺序提前组合，减少地面摆放时间。</w:t>
      </w:r>
    </w:p>
    <w:p w14:paraId="2D08123E">
      <w:pPr>
        <w:widowControl w:val="0"/>
        <w:adjustRightInd w:val="0"/>
        <w:snapToGrid w:val="0"/>
        <w:ind w:firstLine="630" w:firstLineChars="300"/>
        <w:rPr>
          <w:rFonts w:hint="eastAsia"/>
          <w:sz w:val="21"/>
          <w:szCs w:val="21"/>
        </w:rPr>
      </w:pPr>
      <w:r>
        <w:rPr>
          <w:sz w:val="21"/>
          <w:szCs w:val="21"/>
        </w:rPr>
        <w:t>3）燃机厂房内设备到货后，如凝结水泵、轴封加热器、电动滤水器、开闭式水泵、换热器、真空泵、热网加热器、热网循环水泵、热网除氧器、热网除铁器等设备到货后，</w:t>
      </w:r>
      <w:r>
        <w:rPr>
          <w:rFonts w:hint="eastAsia"/>
          <w:sz w:val="21"/>
          <w:szCs w:val="21"/>
        </w:rPr>
        <w:t>及时</w:t>
      </w:r>
      <w:r>
        <w:rPr>
          <w:sz w:val="21"/>
          <w:szCs w:val="21"/>
        </w:rPr>
        <w:t>吊装、拖运和就位</w:t>
      </w:r>
      <w:r>
        <w:rPr>
          <w:rFonts w:hint="eastAsia"/>
          <w:sz w:val="21"/>
          <w:szCs w:val="21"/>
        </w:rPr>
        <w:t>，减少临时存放时间，从而节省施工用地空间。</w:t>
      </w:r>
    </w:p>
    <w:p w14:paraId="29B0AE5D">
      <w:pPr>
        <w:widowControl w:val="0"/>
        <w:adjustRightInd w:val="0"/>
        <w:snapToGrid w:val="0"/>
        <w:ind w:firstLine="420" w:firstLineChars="200"/>
        <w:outlineLvl w:val="0"/>
        <w:rPr>
          <w:rFonts w:hint="eastAsia"/>
          <w:sz w:val="21"/>
          <w:szCs w:val="21"/>
        </w:rPr>
      </w:pPr>
      <w:bookmarkStart w:id="572" w:name="_Toc4156"/>
      <w:bookmarkStart w:id="573" w:name="_Toc19262"/>
      <w:r>
        <w:rPr>
          <w:sz w:val="21"/>
          <w:szCs w:val="21"/>
        </w:rPr>
        <w:t>3  垃圾焚烧发电</w:t>
      </w:r>
      <w:r>
        <w:rPr>
          <w:rFonts w:hint="eastAsia"/>
          <w:sz w:val="21"/>
          <w:szCs w:val="21"/>
        </w:rPr>
        <w:t>工程</w:t>
      </w:r>
      <w:bookmarkEnd w:id="572"/>
      <w:bookmarkEnd w:id="573"/>
    </w:p>
    <w:p w14:paraId="7A1DF774">
      <w:pPr>
        <w:widowControl w:val="0"/>
        <w:adjustRightInd w:val="0"/>
        <w:snapToGrid w:val="0"/>
        <w:ind w:firstLine="630" w:firstLineChars="300"/>
        <w:rPr>
          <w:rFonts w:hint="eastAsia"/>
          <w:sz w:val="21"/>
          <w:szCs w:val="21"/>
        </w:rPr>
      </w:pPr>
      <w:r>
        <w:rPr>
          <w:sz w:val="21"/>
          <w:szCs w:val="21"/>
        </w:rPr>
        <w:t>1）垃圾焚烧发电</w:t>
      </w:r>
      <w:r>
        <w:rPr>
          <w:rFonts w:hint="eastAsia"/>
          <w:sz w:val="21"/>
          <w:szCs w:val="21"/>
        </w:rPr>
        <w:t>工程专用项评价可执行燃煤发电工程</w:t>
      </w:r>
      <w:r>
        <w:rPr>
          <w:sz w:val="21"/>
          <w:szCs w:val="21"/>
        </w:rPr>
        <w:t>2）、3）、4）条。</w:t>
      </w:r>
    </w:p>
    <w:p w14:paraId="6AAB1CE4">
      <w:pPr>
        <w:widowControl w:val="0"/>
        <w:adjustRightInd w:val="0"/>
        <w:snapToGrid w:val="0"/>
        <w:ind w:firstLine="630" w:firstLineChars="300"/>
        <w:rPr>
          <w:rFonts w:hint="eastAsia"/>
          <w:sz w:val="21"/>
          <w:szCs w:val="21"/>
        </w:rPr>
      </w:pPr>
      <w:r>
        <w:rPr>
          <w:sz w:val="21"/>
          <w:szCs w:val="21"/>
        </w:rPr>
        <w:t>2）合理安排焚烧炉、余热锅炉、汽轮机、发电机等设备到货时间，避免施工高峰期交叉作业。</w:t>
      </w:r>
    </w:p>
    <w:p w14:paraId="41804B7E">
      <w:pPr>
        <w:widowControl w:val="0"/>
        <w:adjustRightInd w:val="0"/>
        <w:snapToGrid w:val="0"/>
        <w:ind w:firstLine="420" w:firstLineChars="200"/>
        <w:outlineLvl w:val="0"/>
        <w:rPr>
          <w:rFonts w:hint="eastAsia"/>
          <w:sz w:val="21"/>
          <w:szCs w:val="21"/>
        </w:rPr>
      </w:pPr>
      <w:bookmarkStart w:id="574" w:name="_Toc10172"/>
      <w:bookmarkStart w:id="575" w:name="_Toc10713"/>
      <w:r>
        <w:rPr>
          <w:sz w:val="21"/>
          <w:szCs w:val="21"/>
        </w:rPr>
        <w:t>4  生物质发电</w:t>
      </w:r>
      <w:r>
        <w:rPr>
          <w:rFonts w:hint="eastAsia"/>
          <w:sz w:val="21"/>
          <w:szCs w:val="21"/>
        </w:rPr>
        <w:t>工程</w:t>
      </w:r>
      <w:bookmarkEnd w:id="574"/>
      <w:bookmarkEnd w:id="575"/>
    </w:p>
    <w:p w14:paraId="71DCF37E">
      <w:pPr>
        <w:widowControl w:val="0"/>
        <w:adjustRightInd w:val="0"/>
        <w:snapToGrid w:val="0"/>
        <w:ind w:firstLine="630" w:firstLineChars="300"/>
        <w:rPr>
          <w:rFonts w:hint="eastAsia"/>
          <w:sz w:val="21"/>
          <w:szCs w:val="21"/>
        </w:rPr>
      </w:pPr>
      <w:r>
        <w:rPr>
          <w:sz w:val="21"/>
          <w:szCs w:val="21"/>
        </w:rPr>
        <w:t>1）生物质发电</w:t>
      </w:r>
      <w:r>
        <w:rPr>
          <w:rFonts w:hint="eastAsia"/>
          <w:sz w:val="21"/>
          <w:szCs w:val="21"/>
        </w:rPr>
        <w:t>工程专用项评价可执行燃煤发电工程</w:t>
      </w:r>
      <w:r>
        <w:rPr>
          <w:sz w:val="21"/>
          <w:szCs w:val="21"/>
        </w:rPr>
        <w:t>2）、3）、4）条。</w:t>
      </w:r>
    </w:p>
    <w:p w14:paraId="447616FE">
      <w:pPr>
        <w:widowControl w:val="0"/>
        <w:adjustRightInd w:val="0"/>
        <w:snapToGrid w:val="0"/>
        <w:ind w:firstLine="630" w:firstLineChars="300"/>
        <w:rPr>
          <w:rFonts w:hint="eastAsia"/>
          <w:sz w:val="21"/>
          <w:szCs w:val="21"/>
        </w:rPr>
      </w:pPr>
      <w:r>
        <w:rPr>
          <w:sz w:val="21"/>
          <w:szCs w:val="21"/>
        </w:rPr>
        <w:t>2）合理安排焚烧炉、余热锅炉、汽轮机、发电机等设备到货时间，避免施工高峰期交叉作业。</w:t>
      </w:r>
    </w:p>
    <w:p w14:paraId="015CEF9C">
      <w:pPr>
        <w:widowControl w:val="0"/>
        <w:adjustRightInd w:val="0"/>
        <w:snapToGrid w:val="0"/>
        <w:rPr>
          <w:rFonts w:hint="eastAsia"/>
          <w:sz w:val="21"/>
          <w:szCs w:val="21"/>
        </w:rPr>
      </w:pPr>
      <w:r>
        <w:rPr>
          <w:sz w:val="21"/>
          <w:szCs w:val="21"/>
        </w:rPr>
        <w:t xml:space="preserve">6.3.31  </w:t>
      </w:r>
      <w:r>
        <w:rPr>
          <w:rFonts w:hint="eastAsia"/>
          <w:sz w:val="21"/>
          <w:szCs w:val="21"/>
        </w:rPr>
        <w:t>水力</w:t>
      </w:r>
      <w:r>
        <w:rPr>
          <w:sz w:val="21"/>
          <w:szCs w:val="21"/>
        </w:rPr>
        <w:t>发电</w:t>
      </w:r>
      <w:r>
        <w:rPr>
          <w:rFonts w:hint="eastAsia"/>
          <w:sz w:val="21"/>
          <w:szCs w:val="21"/>
        </w:rPr>
        <w:t>（含抽水蓄能）</w:t>
      </w:r>
      <w:r>
        <w:fldChar w:fldCharType="begin"/>
      </w:r>
      <w:r>
        <w:instrText xml:space="preserve"> HYPERLINK \l "_Toc162470929" </w:instrText>
      </w:r>
      <w:r>
        <w:fldChar w:fldCharType="separate"/>
      </w:r>
      <w:r>
        <w:rPr>
          <w:rFonts w:hint="eastAsia"/>
          <w:sz w:val="21"/>
          <w:szCs w:val="21"/>
        </w:rPr>
        <w:t>工程节约用地</w:t>
      </w:r>
      <w:r>
        <w:rPr>
          <w:sz w:val="21"/>
          <w:szCs w:val="21"/>
        </w:rPr>
        <w:t>专用项</w:t>
      </w:r>
      <w:r>
        <w:rPr>
          <w:sz w:val="21"/>
          <w:szCs w:val="21"/>
        </w:rPr>
        <w:fldChar w:fldCharType="end"/>
      </w:r>
      <w:r>
        <w:rPr>
          <w:rFonts w:hint="eastAsia"/>
          <w:sz w:val="21"/>
          <w:szCs w:val="21"/>
        </w:rPr>
        <w:t>评价包括以下内容：</w:t>
      </w:r>
    </w:p>
    <w:p w14:paraId="6560E546">
      <w:pPr>
        <w:widowControl w:val="0"/>
        <w:adjustRightInd w:val="0"/>
        <w:snapToGrid w:val="0"/>
        <w:ind w:firstLine="420" w:firstLineChars="200"/>
        <w:rPr>
          <w:rFonts w:hint="eastAsia"/>
          <w:sz w:val="21"/>
          <w:szCs w:val="21"/>
        </w:rPr>
      </w:pPr>
      <w:r>
        <w:rPr>
          <w:rFonts w:hint="eastAsia"/>
          <w:sz w:val="21"/>
          <w:szCs w:val="21"/>
        </w:rPr>
        <w:t>1  办公室、生活区宿舍宜采用永临结合方式，有效节约用地面积。</w:t>
      </w:r>
    </w:p>
    <w:p w14:paraId="514891B6">
      <w:pPr>
        <w:widowControl w:val="0"/>
        <w:adjustRightInd w:val="0"/>
        <w:snapToGrid w:val="0"/>
        <w:ind w:firstLine="420" w:firstLineChars="200"/>
        <w:rPr>
          <w:rFonts w:hint="eastAsia"/>
          <w:sz w:val="21"/>
          <w:szCs w:val="21"/>
        </w:rPr>
      </w:pPr>
      <w:r>
        <w:rPr>
          <w:rFonts w:hint="eastAsia"/>
          <w:sz w:val="21"/>
          <w:szCs w:val="21"/>
        </w:rPr>
        <w:t>2  施工组织设计先进合理，降低高峰期管理人员和作业人员数量，合理规划营地规模，节约用地。</w:t>
      </w:r>
    </w:p>
    <w:p w14:paraId="680ACBE8">
      <w:pPr>
        <w:widowControl w:val="0"/>
        <w:adjustRightInd w:val="0"/>
        <w:snapToGrid w:val="0"/>
        <w:ind w:firstLine="420" w:firstLineChars="200"/>
        <w:rPr>
          <w:rFonts w:hint="eastAsia"/>
          <w:sz w:val="21"/>
          <w:szCs w:val="21"/>
        </w:rPr>
      </w:pPr>
      <w:r>
        <w:rPr>
          <w:rFonts w:hint="eastAsia"/>
          <w:sz w:val="21"/>
          <w:szCs w:val="21"/>
        </w:rPr>
        <w:t>3  合理利用土建、金结机电等各专业施工高峰和设备到货时间差，进行设备材料存放，提高场地循环利用率。</w:t>
      </w:r>
    </w:p>
    <w:p w14:paraId="013D667E">
      <w:pPr>
        <w:widowControl w:val="0"/>
        <w:adjustRightInd w:val="0"/>
        <w:snapToGrid w:val="0"/>
        <w:ind w:firstLine="420" w:firstLineChars="200"/>
        <w:rPr>
          <w:rFonts w:hint="eastAsia"/>
          <w:sz w:val="21"/>
          <w:szCs w:val="21"/>
        </w:rPr>
      </w:pPr>
      <w:r>
        <w:rPr>
          <w:rFonts w:hint="eastAsia"/>
          <w:sz w:val="21"/>
          <w:szCs w:val="21"/>
        </w:rPr>
        <w:t>4  临时建筑物使用结束后及时拆除，临时用地使用结束后进行土地复垦、绿化。</w:t>
      </w:r>
    </w:p>
    <w:p w14:paraId="2B918FC5">
      <w:pPr>
        <w:widowControl w:val="0"/>
        <w:adjustRightInd w:val="0"/>
        <w:snapToGrid w:val="0"/>
        <w:outlineLvl w:val="1"/>
        <w:rPr>
          <w:rFonts w:hint="eastAsia"/>
          <w:color w:val="FF0000"/>
          <w:sz w:val="21"/>
          <w:szCs w:val="21"/>
        </w:rPr>
      </w:pPr>
      <w:bookmarkStart w:id="576" w:name="_Toc9379"/>
      <w:bookmarkStart w:id="577" w:name="_Toc31439"/>
      <w:r>
        <w:rPr>
          <w:sz w:val="21"/>
          <w:szCs w:val="21"/>
        </w:rPr>
        <w:t>6.3.32 风力发电</w:t>
      </w:r>
      <w:r>
        <w:fldChar w:fldCharType="begin"/>
      </w:r>
      <w:r>
        <w:instrText xml:space="preserve"> HYPERLINK \l "_Toc162470929" </w:instrText>
      </w:r>
      <w:r>
        <w:fldChar w:fldCharType="separate"/>
      </w:r>
      <w:r>
        <w:rPr>
          <w:rFonts w:hint="eastAsia"/>
          <w:sz w:val="21"/>
          <w:szCs w:val="21"/>
        </w:rPr>
        <w:t>工程节约用地</w:t>
      </w:r>
      <w:r>
        <w:rPr>
          <w:sz w:val="21"/>
          <w:szCs w:val="21"/>
        </w:rPr>
        <w:t>专用项</w:t>
      </w:r>
      <w:r>
        <w:rPr>
          <w:sz w:val="21"/>
          <w:szCs w:val="21"/>
        </w:rPr>
        <w:fldChar w:fldCharType="end"/>
      </w:r>
      <w:r>
        <w:rPr>
          <w:rFonts w:hint="eastAsia"/>
          <w:sz w:val="21"/>
          <w:szCs w:val="21"/>
        </w:rPr>
        <w:t>评价包括以下内容：</w:t>
      </w:r>
      <w:bookmarkEnd w:id="576"/>
      <w:bookmarkEnd w:id="577"/>
      <w:r>
        <w:rPr>
          <w:color w:val="FF0000"/>
          <w:sz w:val="21"/>
          <w:szCs w:val="21"/>
        </w:rPr>
        <w:t xml:space="preserve"> </w:t>
      </w:r>
    </w:p>
    <w:p w14:paraId="0A45418D">
      <w:pPr>
        <w:widowControl w:val="0"/>
        <w:adjustRightInd w:val="0"/>
        <w:snapToGrid w:val="0"/>
        <w:ind w:firstLine="420" w:firstLineChars="200"/>
        <w:outlineLvl w:val="0"/>
        <w:rPr>
          <w:rFonts w:hint="eastAsia"/>
          <w:sz w:val="21"/>
          <w:szCs w:val="21"/>
        </w:rPr>
      </w:pPr>
      <w:bookmarkStart w:id="578" w:name="_Toc13668"/>
      <w:bookmarkStart w:id="579" w:name="_Toc31628"/>
      <w:r>
        <w:rPr>
          <w:sz w:val="21"/>
          <w:szCs w:val="21"/>
        </w:rPr>
        <w:t>1  陆上风电</w:t>
      </w:r>
      <w:bookmarkEnd w:id="578"/>
      <w:bookmarkEnd w:id="579"/>
    </w:p>
    <w:p w14:paraId="1DF07A0E">
      <w:pPr>
        <w:widowControl w:val="0"/>
        <w:adjustRightInd w:val="0"/>
        <w:snapToGrid w:val="0"/>
        <w:ind w:firstLine="630" w:firstLineChars="300"/>
        <w:rPr>
          <w:rFonts w:hint="eastAsia"/>
          <w:sz w:val="21"/>
          <w:szCs w:val="21"/>
        </w:rPr>
      </w:pPr>
      <w:r>
        <w:rPr>
          <w:sz w:val="21"/>
          <w:szCs w:val="21"/>
        </w:rPr>
        <w:t>1）</w:t>
      </w:r>
      <w:r>
        <w:rPr>
          <w:rFonts w:hint="eastAsia"/>
          <w:sz w:val="21"/>
          <w:szCs w:val="21"/>
        </w:rPr>
        <w:t>风机基础开挖前</w:t>
      </w:r>
      <w:r>
        <w:rPr>
          <w:sz w:val="21"/>
          <w:szCs w:val="21"/>
        </w:rPr>
        <w:t>对深基坑施工方案进行</w:t>
      </w:r>
      <w:r>
        <w:rPr>
          <w:rFonts w:hint="eastAsia"/>
          <w:sz w:val="21"/>
          <w:szCs w:val="21"/>
        </w:rPr>
        <w:t>论证</w:t>
      </w:r>
      <w:r>
        <w:rPr>
          <w:sz w:val="21"/>
          <w:szCs w:val="21"/>
        </w:rPr>
        <w:t>优化，减少土方开挖和回填量，最大限度地减少土地</w:t>
      </w:r>
      <w:r>
        <w:rPr>
          <w:rFonts w:hint="eastAsia"/>
          <w:sz w:val="21"/>
          <w:szCs w:val="21"/>
        </w:rPr>
        <w:t>征用面积。</w:t>
      </w:r>
    </w:p>
    <w:p w14:paraId="2D873348">
      <w:pPr>
        <w:widowControl w:val="0"/>
        <w:adjustRightInd w:val="0"/>
        <w:snapToGrid w:val="0"/>
        <w:ind w:firstLine="630" w:firstLineChars="300"/>
        <w:rPr>
          <w:rFonts w:hint="eastAsia"/>
          <w:sz w:val="21"/>
          <w:szCs w:val="21"/>
        </w:rPr>
      </w:pPr>
      <w:r>
        <w:rPr>
          <w:sz w:val="21"/>
          <w:szCs w:val="21"/>
        </w:rPr>
        <w:t>2</w:t>
      </w:r>
      <w:r>
        <w:rPr>
          <w:rFonts w:hint="eastAsia"/>
          <w:sz w:val="21"/>
          <w:szCs w:val="21"/>
        </w:rPr>
        <w:t>）合理规划风场施工检修道路，遵循就近原则，减少道路长度、减少运输和检修的行驶距离，充分利用现有道路。</w:t>
      </w:r>
    </w:p>
    <w:p w14:paraId="36C7183A">
      <w:pPr>
        <w:widowControl w:val="0"/>
        <w:adjustRightInd w:val="0"/>
        <w:snapToGrid w:val="0"/>
        <w:ind w:firstLine="630" w:firstLineChars="300"/>
        <w:outlineLvl w:val="1"/>
        <w:rPr>
          <w:rFonts w:hint="eastAsia"/>
          <w:sz w:val="21"/>
          <w:szCs w:val="21"/>
        </w:rPr>
      </w:pPr>
      <w:bookmarkStart w:id="580" w:name="_Toc14256"/>
      <w:bookmarkStart w:id="581" w:name="_Toc12456"/>
      <w:r>
        <w:rPr>
          <w:sz w:val="21"/>
          <w:szCs w:val="21"/>
        </w:rPr>
        <w:t>3</w:t>
      </w:r>
      <w:r>
        <w:rPr>
          <w:rFonts w:hint="eastAsia"/>
          <w:sz w:val="21"/>
          <w:szCs w:val="21"/>
        </w:rPr>
        <w:t>）合理设计风机吊装平台，减少临时占地面积。</w:t>
      </w:r>
      <w:bookmarkEnd w:id="580"/>
      <w:bookmarkEnd w:id="581"/>
    </w:p>
    <w:p w14:paraId="0EF93AB5">
      <w:pPr>
        <w:widowControl w:val="0"/>
        <w:adjustRightInd w:val="0"/>
        <w:snapToGrid w:val="0"/>
        <w:ind w:firstLine="630" w:firstLineChars="300"/>
        <w:rPr>
          <w:rFonts w:hint="eastAsia"/>
          <w:sz w:val="21"/>
          <w:szCs w:val="21"/>
        </w:rPr>
      </w:pPr>
      <w:r>
        <w:rPr>
          <w:sz w:val="21"/>
          <w:szCs w:val="21"/>
        </w:rPr>
        <w:t>4</w:t>
      </w:r>
      <w:r>
        <w:rPr>
          <w:rFonts w:hint="eastAsia"/>
          <w:sz w:val="21"/>
          <w:szCs w:val="21"/>
        </w:rPr>
        <w:t>）合理计划风机塔筒、机舱、叶片的进场时间，宜从制造厂直接运输至吊装工位 ，减少风机大件设备仓储临时用地。</w:t>
      </w:r>
    </w:p>
    <w:p w14:paraId="0A4DF472">
      <w:pPr>
        <w:widowControl w:val="0"/>
        <w:adjustRightInd w:val="0"/>
        <w:snapToGrid w:val="0"/>
        <w:ind w:firstLine="420" w:firstLineChars="200"/>
        <w:outlineLvl w:val="0"/>
        <w:rPr>
          <w:rFonts w:hint="eastAsia"/>
          <w:sz w:val="21"/>
          <w:szCs w:val="21"/>
        </w:rPr>
      </w:pPr>
      <w:bookmarkStart w:id="582" w:name="_Toc29267"/>
      <w:bookmarkStart w:id="583" w:name="_Toc29897"/>
      <w:r>
        <w:rPr>
          <w:sz w:val="21"/>
          <w:szCs w:val="21"/>
        </w:rPr>
        <w:t xml:space="preserve">2 </w:t>
      </w:r>
      <w:r>
        <w:rPr>
          <w:rFonts w:hint="eastAsia"/>
          <w:sz w:val="21"/>
          <w:szCs w:val="21"/>
        </w:rPr>
        <w:t>海上风电</w:t>
      </w:r>
      <w:bookmarkEnd w:id="582"/>
      <w:bookmarkEnd w:id="583"/>
    </w:p>
    <w:p w14:paraId="6BA75FDA">
      <w:pPr>
        <w:widowControl w:val="0"/>
        <w:adjustRightInd w:val="0"/>
        <w:snapToGrid w:val="0"/>
        <w:ind w:firstLine="630" w:firstLineChars="300"/>
        <w:rPr>
          <w:rFonts w:hint="eastAsia"/>
          <w:sz w:val="21"/>
          <w:szCs w:val="21"/>
        </w:rPr>
      </w:pPr>
      <w:r>
        <w:rPr>
          <w:sz w:val="21"/>
          <w:szCs w:val="21"/>
        </w:rPr>
        <w:t>1）海上施工现场根据施工进度和计划合理控制现场船舶数量，宜采用多功能船舶，减少临时征海面积。</w:t>
      </w:r>
    </w:p>
    <w:p w14:paraId="0F150F02">
      <w:pPr>
        <w:widowControl w:val="0"/>
        <w:adjustRightInd w:val="0"/>
        <w:snapToGrid w:val="0"/>
        <w:ind w:firstLine="630" w:firstLineChars="300"/>
        <w:rPr>
          <w:rFonts w:hint="eastAsia"/>
          <w:sz w:val="21"/>
          <w:szCs w:val="21"/>
        </w:rPr>
      </w:pPr>
      <w:r>
        <w:rPr>
          <w:sz w:val="21"/>
          <w:szCs w:val="21"/>
        </w:rPr>
        <w:t>2）主要设备及施工材料直接运输至施工现场，减少岸上临时设施占地面积。</w:t>
      </w:r>
    </w:p>
    <w:p w14:paraId="35ED66EA">
      <w:pPr>
        <w:widowControl w:val="0"/>
        <w:adjustRightInd w:val="0"/>
        <w:snapToGrid w:val="0"/>
        <w:rPr>
          <w:rFonts w:hint="eastAsia"/>
          <w:color w:val="FF0000"/>
          <w:sz w:val="21"/>
          <w:szCs w:val="21"/>
        </w:rPr>
      </w:pPr>
      <w:r>
        <w:rPr>
          <w:sz w:val="21"/>
          <w:szCs w:val="21"/>
        </w:rPr>
        <w:t xml:space="preserve">6.3.33  </w:t>
      </w:r>
      <w:r>
        <w:rPr>
          <w:rFonts w:hint="eastAsia"/>
          <w:sz w:val="21"/>
          <w:szCs w:val="21"/>
        </w:rPr>
        <w:t>太阳能发电</w:t>
      </w:r>
      <w:r>
        <w:fldChar w:fldCharType="begin"/>
      </w:r>
      <w:r>
        <w:instrText xml:space="preserve"> HYPERLINK \l "_Toc162470929" </w:instrText>
      </w:r>
      <w:r>
        <w:fldChar w:fldCharType="separate"/>
      </w:r>
      <w:r>
        <w:rPr>
          <w:rFonts w:hint="eastAsia"/>
          <w:sz w:val="21"/>
          <w:szCs w:val="21"/>
        </w:rPr>
        <w:t>工程节约用地</w:t>
      </w:r>
      <w:r>
        <w:rPr>
          <w:sz w:val="21"/>
          <w:szCs w:val="21"/>
        </w:rPr>
        <w:t>专用项</w:t>
      </w:r>
      <w:r>
        <w:rPr>
          <w:sz w:val="21"/>
          <w:szCs w:val="21"/>
        </w:rPr>
        <w:fldChar w:fldCharType="end"/>
      </w:r>
      <w:r>
        <w:rPr>
          <w:rFonts w:hint="eastAsia"/>
          <w:sz w:val="21"/>
          <w:szCs w:val="21"/>
        </w:rPr>
        <w:t>评价包括以下内容：</w:t>
      </w:r>
      <w:r>
        <w:rPr>
          <w:color w:val="FF0000"/>
          <w:sz w:val="21"/>
          <w:szCs w:val="21"/>
        </w:rPr>
        <w:t xml:space="preserve"> </w:t>
      </w:r>
    </w:p>
    <w:p w14:paraId="6F91F8C5">
      <w:pPr>
        <w:widowControl w:val="0"/>
        <w:adjustRightInd w:val="0"/>
        <w:snapToGrid w:val="0"/>
        <w:ind w:firstLine="420" w:firstLineChars="200"/>
        <w:outlineLvl w:val="0"/>
        <w:rPr>
          <w:rFonts w:hint="eastAsia"/>
          <w:sz w:val="21"/>
          <w:szCs w:val="21"/>
        </w:rPr>
      </w:pPr>
      <w:bookmarkStart w:id="584" w:name="_Toc8264"/>
      <w:bookmarkStart w:id="585" w:name="_Toc8631"/>
      <w:r>
        <w:rPr>
          <w:rFonts w:hint="eastAsia"/>
          <w:sz w:val="21"/>
          <w:szCs w:val="21"/>
        </w:rPr>
        <w:t>1</w:t>
      </w:r>
      <w:r>
        <w:rPr>
          <w:sz w:val="21"/>
          <w:szCs w:val="21"/>
        </w:rPr>
        <w:t xml:space="preserve"> </w:t>
      </w:r>
      <w:r>
        <w:rPr>
          <w:rFonts w:hint="eastAsia"/>
          <w:sz w:val="21"/>
          <w:szCs w:val="21"/>
        </w:rPr>
        <w:t>陆上光伏发电项目</w:t>
      </w:r>
      <w:bookmarkEnd w:id="584"/>
      <w:bookmarkEnd w:id="585"/>
    </w:p>
    <w:p w14:paraId="4E018EA2">
      <w:pPr>
        <w:widowControl w:val="0"/>
        <w:adjustRightInd w:val="0"/>
        <w:snapToGrid w:val="0"/>
        <w:ind w:firstLine="420" w:firstLineChars="200"/>
        <w:rPr>
          <w:rFonts w:hint="eastAsia"/>
          <w:sz w:val="21"/>
          <w:szCs w:val="21"/>
        </w:rPr>
      </w:pPr>
      <w:r>
        <w:rPr>
          <w:sz w:val="21"/>
          <w:szCs w:val="21"/>
        </w:rPr>
        <w:t>1）</w:t>
      </w:r>
      <w:r>
        <w:rPr>
          <w:rFonts w:hint="eastAsia"/>
          <w:sz w:val="21"/>
          <w:szCs w:val="21"/>
        </w:rPr>
        <w:t>合理规划子阵区检修道路，遵循就近原则，减少道路宽度、减少运输和检修的行驶距离。</w:t>
      </w:r>
    </w:p>
    <w:p w14:paraId="2CC9BA70">
      <w:pPr>
        <w:widowControl w:val="0"/>
        <w:adjustRightInd w:val="0"/>
        <w:snapToGrid w:val="0"/>
        <w:ind w:firstLine="420" w:firstLineChars="200"/>
        <w:rPr>
          <w:rFonts w:hint="eastAsia"/>
          <w:sz w:val="21"/>
          <w:szCs w:val="21"/>
        </w:rPr>
      </w:pPr>
      <w:r>
        <w:rPr>
          <w:rFonts w:hint="eastAsia"/>
          <w:sz w:val="21"/>
          <w:szCs w:val="21"/>
        </w:rPr>
        <w:t>2</w:t>
      </w:r>
      <w:r>
        <w:rPr>
          <w:sz w:val="21"/>
          <w:szCs w:val="21"/>
        </w:rPr>
        <w:t>）对基础施工方案进行优化，减少土方开挖和回填量，最大限度减少对土地的扰动。</w:t>
      </w:r>
    </w:p>
    <w:p w14:paraId="52022F81">
      <w:pPr>
        <w:widowControl w:val="0"/>
        <w:adjustRightInd w:val="0"/>
        <w:snapToGrid w:val="0"/>
        <w:ind w:firstLine="420" w:firstLineChars="200"/>
        <w:rPr>
          <w:rFonts w:hint="eastAsia"/>
          <w:sz w:val="21"/>
          <w:szCs w:val="21"/>
        </w:rPr>
      </w:pPr>
      <w:r>
        <w:rPr>
          <w:rFonts w:hint="eastAsia"/>
          <w:sz w:val="21"/>
          <w:szCs w:val="21"/>
        </w:rPr>
        <w:t>3</w:t>
      </w:r>
      <w:r>
        <w:rPr>
          <w:sz w:val="21"/>
          <w:szCs w:val="21"/>
        </w:rPr>
        <w:t>）发电单元分区合理，设备布置紧凑，电缆敷设方式及路径合理，采用型钢桩、预制管桩等基础型式</w:t>
      </w:r>
      <w:r>
        <w:rPr>
          <w:rFonts w:hint="eastAsia"/>
          <w:sz w:val="21"/>
          <w:szCs w:val="21"/>
        </w:rPr>
        <w:t>，减少土地扰动。</w:t>
      </w:r>
    </w:p>
    <w:p w14:paraId="38E55961">
      <w:pPr>
        <w:widowControl w:val="0"/>
        <w:adjustRightInd w:val="0"/>
        <w:snapToGrid w:val="0"/>
        <w:ind w:firstLine="420" w:firstLineChars="200"/>
        <w:rPr>
          <w:rFonts w:hint="eastAsia"/>
          <w:sz w:val="21"/>
          <w:szCs w:val="21"/>
        </w:rPr>
      </w:pPr>
      <w:r>
        <w:rPr>
          <w:rFonts w:hint="eastAsia"/>
          <w:sz w:val="21"/>
          <w:szCs w:val="21"/>
        </w:rPr>
        <w:t>4</w:t>
      </w:r>
      <w:r>
        <w:rPr>
          <w:sz w:val="21"/>
          <w:szCs w:val="21"/>
        </w:rPr>
        <w:t>）</w:t>
      </w:r>
      <w:r>
        <w:rPr>
          <w:rFonts w:hint="eastAsia"/>
          <w:sz w:val="21"/>
          <w:szCs w:val="21"/>
        </w:rPr>
        <w:t>场内</w:t>
      </w:r>
      <w:r>
        <w:rPr>
          <w:sz w:val="21"/>
          <w:szCs w:val="21"/>
        </w:rPr>
        <w:t>集电线路走向及路径合理，基础型式设计合理</w:t>
      </w:r>
      <w:r>
        <w:rPr>
          <w:rFonts w:hint="eastAsia"/>
          <w:sz w:val="21"/>
          <w:szCs w:val="21"/>
        </w:rPr>
        <w:t>，减少土地占用</w:t>
      </w:r>
      <w:r>
        <w:rPr>
          <w:sz w:val="21"/>
          <w:szCs w:val="21"/>
        </w:rPr>
        <w:t>。</w:t>
      </w:r>
    </w:p>
    <w:p w14:paraId="51A2BF32">
      <w:pPr>
        <w:widowControl w:val="0"/>
        <w:adjustRightInd w:val="0"/>
        <w:snapToGrid w:val="0"/>
        <w:ind w:firstLine="420" w:firstLineChars="200"/>
        <w:outlineLvl w:val="0"/>
        <w:rPr>
          <w:rFonts w:hint="eastAsia"/>
          <w:sz w:val="21"/>
          <w:szCs w:val="21"/>
        </w:rPr>
      </w:pPr>
      <w:bookmarkStart w:id="586" w:name="_Toc21886"/>
      <w:bookmarkStart w:id="587" w:name="_Toc1003"/>
      <w:r>
        <w:rPr>
          <w:rFonts w:hint="eastAsia"/>
          <w:sz w:val="21"/>
          <w:szCs w:val="21"/>
        </w:rPr>
        <w:t>2</w:t>
      </w:r>
      <w:r>
        <w:rPr>
          <w:sz w:val="21"/>
          <w:szCs w:val="21"/>
        </w:rPr>
        <w:t xml:space="preserve"> </w:t>
      </w:r>
      <w:r>
        <w:rPr>
          <w:rFonts w:hint="eastAsia"/>
          <w:sz w:val="21"/>
          <w:szCs w:val="21"/>
        </w:rPr>
        <w:t>水上光伏发电项目</w:t>
      </w:r>
      <w:bookmarkEnd w:id="586"/>
      <w:bookmarkEnd w:id="587"/>
    </w:p>
    <w:p w14:paraId="6B8DBCA6">
      <w:pPr>
        <w:widowControl w:val="0"/>
        <w:adjustRightInd w:val="0"/>
        <w:snapToGrid w:val="0"/>
        <w:ind w:firstLine="420" w:firstLineChars="200"/>
        <w:rPr>
          <w:rFonts w:hint="eastAsia"/>
          <w:sz w:val="21"/>
          <w:szCs w:val="21"/>
        </w:rPr>
      </w:pPr>
      <w:r>
        <w:rPr>
          <w:rFonts w:hint="eastAsia"/>
          <w:sz w:val="21"/>
          <w:szCs w:val="21"/>
        </w:rPr>
        <w:t>根据厂区位置，合理布置施工区域，减少在水中的作业面积。</w:t>
      </w:r>
    </w:p>
    <w:p w14:paraId="378B2431">
      <w:pPr>
        <w:widowControl w:val="0"/>
        <w:adjustRightInd w:val="0"/>
        <w:snapToGrid w:val="0"/>
        <w:ind w:firstLine="420" w:firstLineChars="200"/>
        <w:outlineLvl w:val="0"/>
        <w:rPr>
          <w:rFonts w:hint="eastAsia"/>
          <w:sz w:val="21"/>
          <w:szCs w:val="21"/>
        </w:rPr>
      </w:pPr>
      <w:bookmarkStart w:id="588" w:name="_Toc11918"/>
      <w:bookmarkStart w:id="589" w:name="_Toc25476"/>
      <w:r>
        <w:rPr>
          <w:sz w:val="21"/>
          <w:szCs w:val="21"/>
        </w:rPr>
        <w:t xml:space="preserve">3 </w:t>
      </w:r>
      <w:r>
        <w:rPr>
          <w:rFonts w:hint="eastAsia"/>
          <w:sz w:val="21"/>
          <w:szCs w:val="21"/>
        </w:rPr>
        <w:t>光热发电项目</w:t>
      </w:r>
      <w:bookmarkEnd w:id="588"/>
      <w:bookmarkEnd w:id="589"/>
    </w:p>
    <w:p w14:paraId="6FF83740">
      <w:pPr>
        <w:widowControl w:val="0"/>
        <w:adjustRightInd w:val="0"/>
        <w:snapToGrid w:val="0"/>
        <w:ind w:firstLine="420" w:firstLineChars="200"/>
        <w:outlineLvl w:val="1"/>
        <w:rPr>
          <w:rFonts w:hint="eastAsia"/>
          <w:sz w:val="21"/>
          <w:szCs w:val="21"/>
        </w:rPr>
      </w:pPr>
      <w:bookmarkStart w:id="590" w:name="_Toc22393"/>
      <w:bookmarkStart w:id="591" w:name="_Toc23209"/>
      <w:r>
        <w:rPr>
          <w:sz w:val="21"/>
          <w:szCs w:val="21"/>
        </w:rPr>
        <w:t>1）根据施工阶段不同动态管理</w:t>
      </w:r>
      <w:r>
        <w:rPr>
          <w:rFonts w:hint="eastAsia"/>
          <w:sz w:val="21"/>
          <w:szCs w:val="21"/>
        </w:rPr>
        <w:t>场站</w:t>
      </w:r>
      <w:r>
        <w:rPr>
          <w:sz w:val="21"/>
          <w:szCs w:val="21"/>
        </w:rPr>
        <w:t>布置，做到科学、合理。</w:t>
      </w:r>
      <w:bookmarkEnd w:id="590"/>
      <w:bookmarkEnd w:id="591"/>
    </w:p>
    <w:p w14:paraId="206C8F15">
      <w:pPr>
        <w:widowControl w:val="0"/>
        <w:adjustRightInd w:val="0"/>
        <w:snapToGrid w:val="0"/>
        <w:ind w:firstLine="420" w:firstLineChars="200"/>
        <w:rPr>
          <w:rFonts w:hint="eastAsia"/>
          <w:sz w:val="21"/>
          <w:szCs w:val="21"/>
        </w:rPr>
      </w:pPr>
      <w:r>
        <w:rPr>
          <w:sz w:val="21"/>
          <w:szCs w:val="21"/>
        </w:rPr>
        <w:t>2）对基础施工方案进行优化，减少土方开挖和回填量，最大限度减少对土地的扰动。</w:t>
      </w:r>
    </w:p>
    <w:p w14:paraId="7FB9E3C7">
      <w:pPr>
        <w:widowControl w:val="0"/>
        <w:adjustRightInd w:val="0"/>
        <w:snapToGrid w:val="0"/>
        <w:outlineLvl w:val="2"/>
        <w:rPr>
          <w:rFonts w:hint="eastAsia"/>
          <w:color w:val="FF0000"/>
          <w:sz w:val="21"/>
          <w:szCs w:val="21"/>
        </w:rPr>
      </w:pPr>
      <w:bookmarkStart w:id="592" w:name="_Toc9687"/>
      <w:r>
        <w:rPr>
          <w:sz w:val="21"/>
          <w:szCs w:val="21"/>
        </w:rPr>
        <w:t>6.3.34  输变电</w:t>
      </w:r>
      <w:r>
        <w:fldChar w:fldCharType="begin"/>
      </w:r>
      <w:r>
        <w:instrText xml:space="preserve"> HYPERLINK \l "_Toc162470929" </w:instrText>
      </w:r>
      <w:r>
        <w:fldChar w:fldCharType="separate"/>
      </w:r>
      <w:r>
        <w:rPr>
          <w:rFonts w:hint="eastAsia"/>
          <w:sz w:val="21"/>
          <w:szCs w:val="21"/>
        </w:rPr>
        <w:t>工程节约用地</w:t>
      </w:r>
      <w:r>
        <w:rPr>
          <w:sz w:val="21"/>
          <w:szCs w:val="21"/>
        </w:rPr>
        <w:t>专用项</w:t>
      </w:r>
      <w:r>
        <w:rPr>
          <w:sz w:val="21"/>
          <w:szCs w:val="21"/>
        </w:rPr>
        <w:fldChar w:fldCharType="end"/>
      </w:r>
      <w:r>
        <w:rPr>
          <w:rFonts w:hint="eastAsia"/>
          <w:sz w:val="21"/>
          <w:szCs w:val="21"/>
        </w:rPr>
        <w:t>评价包括以下内容：</w:t>
      </w:r>
      <w:bookmarkEnd w:id="592"/>
      <w:r>
        <w:rPr>
          <w:color w:val="FF0000"/>
          <w:sz w:val="21"/>
          <w:szCs w:val="21"/>
        </w:rPr>
        <w:t xml:space="preserve"> </w:t>
      </w:r>
    </w:p>
    <w:p w14:paraId="1964509E">
      <w:pPr>
        <w:widowControl w:val="0"/>
        <w:adjustRightInd w:val="0"/>
        <w:snapToGrid w:val="0"/>
        <w:ind w:firstLine="420" w:firstLineChars="200"/>
        <w:outlineLvl w:val="0"/>
        <w:rPr>
          <w:rFonts w:hint="eastAsia"/>
          <w:sz w:val="21"/>
          <w:szCs w:val="21"/>
        </w:rPr>
      </w:pPr>
      <w:bookmarkStart w:id="593" w:name="_Toc28430"/>
      <w:bookmarkStart w:id="594" w:name="_Toc3743"/>
      <w:r>
        <w:rPr>
          <w:sz w:val="21"/>
          <w:szCs w:val="21"/>
        </w:rPr>
        <w:t>1  变电</w:t>
      </w:r>
      <w:r>
        <w:rPr>
          <w:rFonts w:hint="eastAsia"/>
          <w:sz w:val="21"/>
          <w:szCs w:val="21"/>
        </w:rPr>
        <w:t>（换流）</w:t>
      </w:r>
      <w:r>
        <w:rPr>
          <w:sz w:val="21"/>
          <w:szCs w:val="21"/>
        </w:rPr>
        <w:t>站</w:t>
      </w:r>
      <w:bookmarkEnd w:id="593"/>
      <w:bookmarkEnd w:id="594"/>
    </w:p>
    <w:p w14:paraId="387572AC">
      <w:pPr>
        <w:widowControl w:val="0"/>
        <w:adjustRightInd w:val="0"/>
        <w:snapToGrid w:val="0"/>
        <w:ind w:firstLine="420" w:firstLineChars="200"/>
        <w:rPr>
          <w:rFonts w:hint="eastAsia"/>
          <w:sz w:val="21"/>
          <w:szCs w:val="21"/>
        </w:rPr>
      </w:pPr>
      <w:r>
        <w:rPr>
          <w:rFonts w:hint="eastAsia"/>
          <w:sz w:val="21"/>
          <w:szCs w:val="21"/>
        </w:rPr>
        <w:t>变电站</w:t>
      </w:r>
      <w:r>
        <w:rPr>
          <w:sz w:val="21"/>
          <w:szCs w:val="21"/>
        </w:rPr>
        <w:t>土石方工程开挖前应进行挖、填方的平衡计算，减少挖填方量、弃土量和土方购置量；余土应调配使用、就近消纳并取得综合利用协议。</w:t>
      </w:r>
      <w:r>
        <w:rPr>
          <w:rFonts w:hint="eastAsia"/>
          <w:sz w:val="21"/>
          <w:szCs w:val="21"/>
        </w:rPr>
        <w:t>应对表土进行剥离与保护，分类堆放，堆土底部进行铺垫，表层进行苫盖。</w:t>
      </w:r>
    </w:p>
    <w:p w14:paraId="0CBD0FF2">
      <w:pPr>
        <w:widowControl w:val="0"/>
        <w:adjustRightInd w:val="0"/>
        <w:snapToGrid w:val="0"/>
        <w:ind w:firstLine="420" w:firstLineChars="200"/>
        <w:outlineLvl w:val="0"/>
        <w:rPr>
          <w:rFonts w:hint="eastAsia"/>
          <w:sz w:val="21"/>
          <w:szCs w:val="21"/>
        </w:rPr>
      </w:pPr>
      <w:bookmarkStart w:id="595" w:name="_Toc1898"/>
      <w:bookmarkStart w:id="596" w:name="_Toc27150"/>
      <w:r>
        <w:rPr>
          <w:sz w:val="21"/>
          <w:szCs w:val="21"/>
        </w:rPr>
        <w:t>2  架空</w:t>
      </w:r>
      <w:r>
        <w:rPr>
          <w:rFonts w:hint="eastAsia"/>
          <w:sz w:val="21"/>
          <w:szCs w:val="21"/>
        </w:rPr>
        <w:t>输电</w:t>
      </w:r>
      <w:r>
        <w:rPr>
          <w:sz w:val="21"/>
          <w:szCs w:val="21"/>
        </w:rPr>
        <w:t>线路</w:t>
      </w:r>
      <w:bookmarkEnd w:id="595"/>
      <w:bookmarkEnd w:id="596"/>
    </w:p>
    <w:p w14:paraId="4C197A20">
      <w:pPr>
        <w:widowControl w:val="0"/>
        <w:adjustRightInd w:val="0"/>
        <w:snapToGrid w:val="0"/>
        <w:ind w:firstLine="420" w:firstLineChars="200"/>
        <w:rPr>
          <w:rFonts w:hint="eastAsia"/>
          <w:sz w:val="21"/>
          <w:szCs w:val="21"/>
        </w:rPr>
      </w:pPr>
      <w:r>
        <w:rPr>
          <w:sz w:val="21"/>
          <w:szCs w:val="21"/>
        </w:rPr>
        <w:t>1</w:t>
      </w:r>
      <w:r>
        <w:rPr>
          <w:rFonts w:hint="eastAsia"/>
          <w:sz w:val="21"/>
          <w:szCs w:val="21"/>
        </w:rPr>
        <w:t>）</w:t>
      </w:r>
      <w:r>
        <w:rPr>
          <w:sz w:val="21"/>
          <w:szCs w:val="21"/>
        </w:rPr>
        <w:t>平地地形以及适合机械化施工的山地、丘陵，宜全面应用机械化装备开展运输和施工；无运输通道的山地、丘陵宜采用标准金属索道运输装备和物料，减少临时用地占用和树木砍伐；无法应用索道时，应结合巡线道路等，合理修筑施工便道。</w:t>
      </w:r>
    </w:p>
    <w:p w14:paraId="086EF4D8">
      <w:pPr>
        <w:widowControl w:val="0"/>
        <w:adjustRightInd w:val="0"/>
        <w:snapToGrid w:val="0"/>
        <w:ind w:firstLine="420" w:firstLineChars="200"/>
        <w:rPr>
          <w:rFonts w:hint="eastAsia"/>
          <w:sz w:val="21"/>
          <w:szCs w:val="21"/>
        </w:rPr>
      </w:pPr>
      <w:r>
        <w:rPr>
          <w:sz w:val="21"/>
          <w:szCs w:val="21"/>
        </w:rPr>
        <w:t>2</w:t>
      </w:r>
      <w:r>
        <w:rPr>
          <w:rFonts w:hint="eastAsia"/>
          <w:sz w:val="21"/>
          <w:szCs w:val="21"/>
        </w:rPr>
        <w:t>）</w:t>
      </w:r>
      <w:r>
        <w:rPr>
          <w:sz w:val="21"/>
          <w:szCs w:val="21"/>
        </w:rPr>
        <w:t>塔基区、施工道路土石方施工先进行表土剥离，土石方工程进行平衡计算并取得综合利用协议，基础回填时先填生土后填熟土</w:t>
      </w:r>
      <w:r>
        <w:rPr>
          <w:rFonts w:hint="eastAsia"/>
          <w:sz w:val="21"/>
          <w:szCs w:val="21"/>
        </w:rPr>
        <w:t>；</w:t>
      </w:r>
      <w:r>
        <w:rPr>
          <w:sz w:val="21"/>
          <w:szCs w:val="21"/>
        </w:rPr>
        <w:t>灌注桩基础在水田施工时考虑泥浆池的复耕处理问题，杆塔组立阶段尽量利用基础阶段临时占地</w:t>
      </w:r>
      <w:r>
        <w:rPr>
          <w:rFonts w:hint="eastAsia"/>
          <w:sz w:val="21"/>
          <w:szCs w:val="21"/>
        </w:rPr>
        <w:t>。</w:t>
      </w:r>
    </w:p>
    <w:p w14:paraId="23B3C66E">
      <w:pPr>
        <w:widowControl w:val="0"/>
        <w:adjustRightInd w:val="0"/>
        <w:snapToGrid w:val="0"/>
        <w:ind w:firstLine="420" w:firstLineChars="200"/>
        <w:outlineLvl w:val="1"/>
        <w:rPr>
          <w:rFonts w:hint="eastAsia"/>
          <w:sz w:val="21"/>
          <w:szCs w:val="21"/>
        </w:rPr>
      </w:pPr>
      <w:bookmarkStart w:id="597" w:name="_Toc28545"/>
      <w:bookmarkStart w:id="598" w:name="_Toc20798"/>
      <w:r>
        <w:rPr>
          <w:rFonts w:hint="eastAsia"/>
          <w:sz w:val="21"/>
          <w:szCs w:val="21"/>
        </w:rPr>
        <w:t>3</w:t>
      </w:r>
      <w:r>
        <w:rPr>
          <w:sz w:val="21"/>
          <w:szCs w:val="21"/>
        </w:rPr>
        <w:t>）杆塔组立阶段应利用基础阶段临时占地，少增或不增临时占地。</w:t>
      </w:r>
      <w:bookmarkEnd w:id="597"/>
      <w:bookmarkEnd w:id="598"/>
    </w:p>
    <w:p w14:paraId="42D03A22">
      <w:pPr>
        <w:widowControl w:val="0"/>
        <w:adjustRightInd w:val="0"/>
        <w:snapToGrid w:val="0"/>
        <w:ind w:firstLine="420" w:firstLineChars="200"/>
        <w:rPr>
          <w:rFonts w:hint="eastAsia"/>
          <w:sz w:val="21"/>
          <w:szCs w:val="21"/>
        </w:rPr>
      </w:pPr>
      <w:r>
        <w:rPr>
          <w:rFonts w:hint="eastAsia"/>
          <w:sz w:val="21"/>
          <w:szCs w:val="21"/>
        </w:rPr>
        <w:t>4</w:t>
      </w:r>
      <w:r>
        <w:rPr>
          <w:sz w:val="21"/>
          <w:szCs w:val="21"/>
        </w:rPr>
        <w:t>）鼓励采用履带、轮胎式起重机等机械设备进行杆塔组立，减少地锚拉线造成的土地开挖，最大限度减少对土地的扰动。</w:t>
      </w:r>
    </w:p>
    <w:p w14:paraId="495311D4">
      <w:pPr>
        <w:widowControl w:val="0"/>
        <w:adjustRightInd w:val="0"/>
        <w:snapToGrid w:val="0"/>
        <w:ind w:firstLine="420" w:firstLineChars="200"/>
        <w:outlineLvl w:val="0"/>
        <w:rPr>
          <w:rFonts w:hint="eastAsia"/>
          <w:sz w:val="21"/>
          <w:szCs w:val="21"/>
        </w:rPr>
      </w:pPr>
      <w:bookmarkStart w:id="599" w:name="_Toc15403"/>
      <w:bookmarkStart w:id="600" w:name="_Toc20713"/>
      <w:r>
        <w:rPr>
          <w:sz w:val="21"/>
          <w:szCs w:val="21"/>
        </w:rPr>
        <w:t>3  电缆</w:t>
      </w:r>
      <w:r>
        <w:rPr>
          <w:rFonts w:hint="eastAsia"/>
          <w:sz w:val="21"/>
          <w:szCs w:val="21"/>
        </w:rPr>
        <w:t>线路</w:t>
      </w:r>
      <w:bookmarkEnd w:id="599"/>
      <w:bookmarkEnd w:id="600"/>
    </w:p>
    <w:p w14:paraId="12DFC5F0">
      <w:pPr>
        <w:widowControl w:val="0"/>
        <w:adjustRightInd w:val="0"/>
        <w:snapToGrid w:val="0"/>
        <w:ind w:firstLine="630" w:firstLineChars="300"/>
        <w:rPr>
          <w:rFonts w:hint="eastAsia"/>
          <w:sz w:val="21"/>
          <w:szCs w:val="21"/>
        </w:rPr>
      </w:pPr>
      <w:r>
        <w:rPr>
          <w:sz w:val="21"/>
          <w:szCs w:val="21"/>
        </w:rPr>
        <w:t>1）应统筹安排电缆隧道（管廊）施工、电缆敷设施工场地以及物料运输路径，减少施工和运输便道对临时用地的占用。</w:t>
      </w:r>
    </w:p>
    <w:p w14:paraId="2DB94C73">
      <w:pPr>
        <w:widowControl w:val="0"/>
        <w:adjustRightInd w:val="0"/>
        <w:snapToGrid w:val="0"/>
        <w:ind w:firstLine="630" w:firstLineChars="300"/>
        <w:rPr>
          <w:rFonts w:hint="eastAsia"/>
          <w:sz w:val="21"/>
          <w:szCs w:val="21"/>
        </w:rPr>
      </w:pPr>
      <w:r>
        <w:rPr>
          <w:sz w:val="21"/>
          <w:szCs w:val="21"/>
        </w:rPr>
        <w:t>2）</w:t>
      </w:r>
      <w:r>
        <w:rPr>
          <w:rFonts w:hint="eastAsia"/>
          <w:sz w:val="21"/>
          <w:szCs w:val="21"/>
        </w:rPr>
        <w:t>电缆隧道</w:t>
      </w:r>
      <w:r>
        <w:rPr>
          <w:sz w:val="21"/>
          <w:szCs w:val="21"/>
        </w:rPr>
        <w:t>开挖前应进行开挖、填方的平衡计算，余土应调配使用、就近消纳。开挖扰动区域应对表土进行剥离。土石方堆放时下铺彩条布，做到生熟土分开，并做防护坎，减少水土流失。基础回填时，应先回填生土，后回填熟土，并进行地貌复原。</w:t>
      </w:r>
    </w:p>
    <w:p w14:paraId="38B69D76">
      <w:pPr>
        <w:widowControl w:val="0"/>
        <w:adjustRightInd w:val="0"/>
        <w:snapToGrid w:val="0"/>
        <w:ind w:firstLine="420" w:firstLineChars="200"/>
        <w:outlineLvl w:val="0"/>
        <w:rPr>
          <w:rFonts w:hint="eastAsia"/>
          <w:sz w:val="21"/>
          <w:szCs w:val="21"/>
        </w:rPr>
      </w:pPr>
      <w:bookmarkStart w:id="601" w:name="_Toc15891"/>
      <w:bookmarkStart w:id="602" w:name="_Toc3370"/>
      <w:r>
        <w:rPr>
          <w:sz w:val="21"/>
          <w:szCs w:val="21"/>
        </w:rPr>
        <w:t xml:space="preserve">4  </w:t>
      </w:r>
      <w:r>
        <w:rPr>
          <w:rFonts w:hint="eastAsia"/>
          <w:sz w:val="21"/>
          <w:szCs w:val="21"/>
        </w:rPr>
        <w:t>海底电缆线路</w:t>
      </w:r>
      <w:bookmarkEnd w:id="601"/>
      <w:bookmarkEnd w:id="602"/>
    </w:p>
    <w:p w14:paraId="50C38EDC">
      <w:pPr>
        <w:widowControl w:val="0"/>
        <w:adjustRightInd w:val="0"/>
        <w:snapToGrid w:val="0"/>
        <w:ind w:firstLine="420" w:firstLineChars="200"/>
        <w:rPr>
          <w:rFonts w:hint="eastAsia"/>
          <w:sz w:val="21"/>
          <w:szCs w:val="21"/>
        </w:rPr>
      </w:pPr>
      <w:r>
        <w:rPr>
          <w:sz w:val="21"/>
          <w:szCs w:val="21"/>
        </w:rPr>
        <w:t>应统筹安排电缆隧道（管廊）施工、电缆敷设施工场地以及物料运输路径，减少施工和运输便道对临时用地的占用</w:t>
      </w:r>
      <w:r>
        <w:rPr>
          <w:rFonts w:hint="eastAsia"/>
          <w:sz w:val="21"/>
          <w:szCs w:val="21"/>
        </w:rPr>
        <w:t>。</w:t>
      </w:r>
    </w:p>
    <w:p w14:paraId="794C6356">
      <w:pPr>
        <w:widowControl w:val="0"/>
        <w:adjustRightInd w:val="0"/>
        <w:snapToGrid w:val="0"/>
        <w:outlineLvl w:val="1"/>
        <w:rPr>
          <w:rFonts w:hint="eastAsia"/>
          <w:color w:val="FF0000"/>
          <w:sz w:val="21"/>
          <w:szCs w:val="21"/>
        </w:rPr>
      </w:pPr>
      <w:bookmarkStart w:id="603" w:name="_Toc23703"/>
      <w:bookmarkStart w:id="604" w:name="_Toc21968"/>
      <w:r>
        <w:rPr>
          <w:sz w:val="21"/>
          <w:szCs w:val="21"/>
        </w:rPr>
        <w:t>6.3.35  储能</w:t>
      </w:r>
      <w:r>
        <w:fldChar w:fldCharType="begin"/>
      </w:r>
      <w:r>
        <w:instrText xml:space="preserve"> HYPERLINK \l "_Toc162470929" </w:instrText>
      </w:r>
      <w:r>
        <w:fldChar w:fldCharType="separate"/>
      </w:r>
      <w:r>
        <w:rPr>
          <w:rFonts w:hint="eastAsia"/>
          <w:sz w:val="21"/>
          <w:szCs w:val="21"/>
        </w:rPr>
        <w:t>工程节约用地</w:t>
      </w:r>
      <w:r>
        <w:rPr>
          <w:sz w:val="21"/>
          <w:szCs w:val="21"/>
        </w:rPr>
        <w:t>专用项</w:t>
      </w:r>
      <w:r>
        <w:rPr>
          <w:sz w:val="21"/>
          <w:szCs w:val="21"/>
        </w:rPr>
        <w:fldChar w:fldCharType="end"/>
      </w:r>
      <w:r>
        <w:rPr>
          <w:rFonts w:hint="eastAsia"/>
          <w:sz w:val="21"/>
          <w:szCs w:val="21"/>
        </w:rPr>
        <w:t>评价包括以下内容：</w:t>
      </w:r>
      <w:bookmarkEnd w:id="603"/>
      <w:bookmarkEnd w:id="604"/>
      <w:r>
        <w:rPr>
          <w:color w:val="FF0000"/>
          <w:sz w:val="21"/>
          <w:szCs w:val="21"/>
        </w:rPr>
        <w:t xml:space="preserve"> </w:t>
      </w:r>
    </w:p>
    <w:p w14:paraId="028BDD25">
      <w:pPr>
        <w:widowControl w:val="0"/>
        <w:adjustRightInd w:val="0"/>
        <w:snapToGrid w:val="0"/>
        <w:ind w:firstLine="420" w:firstLineChars="200"/>
        <w:outlineLvl w:val="0"/>
        <w:rPr>
          <w:rFonts w:hint="eastAsia"/>
          <w:sz w:val="21"/>
          <w:szCs w:val="21"/>
        </w:rPr>
      </w:pPr>
      <w:bookmarkStart w:id="605" w:name="_Toc16515"/>
      <w:bookmarkStart w:id="606" w:name="_Toc13840"/>
      <w:r>
        <w:rPr>
          <w:sz w:val="21"/>
          <w:szCs w:val="21"/>
        </w:rPr>
        <w:t>1  电化学（锂电、液流、燃料电池、钠离子、铅酸、铅炭）储能</w:t>
      </w:r>
      <w:bookmarkEnd w:id="605"/>
      <w:bookmarkEnd w:id="606"/>
    </w:p>
    <w:p w14:paraId="4AAF9481">
      <w:pPr>
        <w:widowControl w:val="0"/>
        <w:adjustRightInd w:val="0"/>
        <w:snapToGrid w:val="0"/>
        <w:ind w:firstLine="630" w:firstLineChars="300"/>
        <w:rPr>
          <w:rFonts w:hint="eastAsia"/>
          <w:sz w:val="21"/>
          <w:szCs w:val="21"/>
        </w:rPr>
      </w:pPr>
      <w:r>
        <w:rPr>
          <w:rFonts w:hint="eastAsia"/>
          <w:sz w:val="21"/>
          <w:szCs w:val="21"/>
        </w:rPr>
        <w:t>电化学储能工程根据项目施工进度合理安排集装箱分时间段到达现场，减少设备占用施工用地。</w:t>
      </w:r>
    </w:p>
    <w:p w14:paraId="4CE0FE51">
      <w:pPr>
        <w:widowControl w:val="0"/>
        <w:adjustRightInd w:val="0"/>
        <w:snapToGrid w:val="0"/>
        <w:ind w:firstLine="420" w:firstLineChars="200"/>
        <w:outlineLvl w:val="0"/>
        <w:rPr>
          <w:rFonts w:hint="eastAsia"/>
          <w:sz w:val="21"/>
          <w:szCs w:val="21"/>
        </w:rPr>
      </w:pPr>
      <w:bookmarkStart w:id="607" w:name="_Toc4550"/>
      <w:bookmarkStart w:id="608" w:name="_Toc3945"/>
      <w:r>
        <w:rPr>
          <w:sz w:val="21"/>
          <w:szCs w:val="21"/>
        </w:rPr>
        <w:t>2  飞轮储能</w:t>
      </w:r>
      <w:bookmarkEnd w:id="607"/>
      <w:bookmarkEnd w:id="608"/>
    </w:p>
    <w:p w14:paraId="6E895804">
      <w:pPr>
        <w:widowControl w:val="0"/>
        <w:adjustRightInd w:val="0"/>
        <w:snapToGrid w:val="0"/>
        <w:ind w:firstLine="630" w:firstLineChars="300"/>
        <w:rPr>
          <w:rFonts w:hint="eastAsia"/>
          <w:sz w:val="21"/>
          <w:szCs w:val="21"/>
        </w:rPr>
      </w:pPr>
      <w:r>
        <w:rPr>
          <w:rFonts w:hint="eastAsia"/>
          <w:sz w:val="21"/>
          <w:szCs w:val="21"/>
        </w:rPr>
        <w:t>飞轮储能工程根据项目施工进度合理安排飞轮装置分时间段到达现场，减少设备占用施工用地。</w:t>
      </w:r>
    </w:p>
    <w:p w14:paraId="2602958E">
      <w:pPr>
        <w:widowControl w:val="0"/>
        <w:adjustRightInd w:val="0"/>
        <w:snapToGrid w:val="0"/>
        <w:ind w:firstLine="420" w:firstLineChars="200"/>
        <w:outlineLvl w:val="0"/>
        <w:rPr>
          <w:rFonts w:hint="eastAsia"/>
          <w:sz w:val="21"/>
          <w:szCs w:val="21"/>
        </w:rPr>
      </w:pPr>
      <w:bookmarkStart w:id="609" w:name="_Toc13463"/>
      <w:bookmarkStart w:id="610" w:name="_Toc23299"/>
      <w:r>
        <w:rPr>
          <w:sz w:val="21"/>
          <w:szCs w:val="21"/>
        </w:rPr>
        <w:t>3  压缩空气储能</w:t>
      </w:r>
      <w:bookmarkEnd w:id="609"/>
      <w:bookmarkEnd w:id="610"/>
    </w:p>
    <w:p w14:paraId="4C30250D">
      <w:pPr>
        <w:widowControl w:val="0"/>
        <w:adjustRightInd w:val="0"/>
        <w:snapToGrid w:val="0"/>
        <w:ind w:firstLine="630" w:firstLineChars="300"/>
        <w:rPr>
          <w:rFonts w:hint="eastAsia"/>
          <w:sz w:val="21"/>
          <w:szCs w:val="21"/>
        </w:rPr>
      </w:pPr>
      <w:r>
        <w:rPr>
          <w:rFonts w:hint="eastAsia"/>
          <w:sz w:val="21"/>
          <w:szCs w:val="21"/>
        </w:rPr>
        <w:t>压缩空气储能工程根据项目施工进度合理安排大型设备分时间段到达现场，减少设备占用施工用地。</w:t>
      </w:r>
    </w:p>
    <w:p w14:paraId="6E0A53F6">
      <w:pPr>
        <w:spacing w:before="120" w:beforeLines="50" w:after="240" w:afterLines="100"/>
        <w:jc w:val="center"/>
        <w:outlineLvl w:val="1"/>
        <w:rPr>
          <w:rFonts w:hint="eastAsia"/>
          <w:sz w:val="21"/>
          <w:szCs w:val="21"/>
        </w:rPr>
      </w:pPr>
      <w:bookmarkStart w:id="611" w:name="_Toc174141250"/>
      <w:bookmarkStart w:id="612" w:name="_Toc8008"/>
      <w:bookmarkStart w:id="613" w:name="_Toc24435"/>
      <w:r>
        <w:rPr>
          <w:sz w:val="21"/>
          <w:szCs w:val="21"/>
        </w:rPr>
        <w:t xml:space="preserve">6.4  </w:t>
      </w:r>
      <w:r>
        <w:rPr>
          <w:rFonts w:hint="eastAsia"/>
          <w:sz w:val="21"/>
          <w:szCs w:val="21"/>
        </w:rPr>
        <w:t>技术创新</w:t>
      </w:r>
      <w:bookmarkEnd w:id="611"/>
      <w:bookmarkEnd w:id="612"/>
      <w:bookmarkEnd w:id="613"/>
    </w:p>
    <w:p w14:paraId="1D440851">
      <w:pPr>
        <w:widowControl w:val="0"/>
        <w:adjustRightInd w:val="0"/>
        <w:snapToGrid w:val="0"/>
        <w:outlineLvl w:val="2"/>
        <w:rPr>
          <w:rFonts w:hint="eastAsia"/>
          <w:sz w:val="21"/>
          <w:szCs w:val="21"/>
        </w:rPr>
      </w:pPr>
      <w:bookmarkStart w:id="614" w:name="_Toc24823"/>
      <w:r>
        <w:rPr>
          <w:sz w:val="21"/>
          <w:szCs w:val="21"/>
        </w:rPr>
        <w:t xml:space="preserve">6.4.1  </w:t>
      </w:r>
      <w:r>
        <w:rPr>
          <w:rFonts w:hint="eastAsia"/>
          <w:sz w:val="21"/>
          <w:szCs w:val="21"/>
        </w:rPr>
        <w:t>绿色建造</w:t>
      </w:r>
      <w:r>
        <w:rPr>
          <w:sz w:val="21"/>
          <w:szCs w:val="21"/>
        </w:rPr>
        <w:t>科研管理</w:t>
      </w:r>
      <w:r>
        <w:rPr>
          <w:rFonts w:hint="eastAsia"/>
          <w:sz w:val="21"/>
          <w:szCs w:val="21"/>
        </w:rPr>
        <w:t>评价内容：</w:t>
      </w:r>
      <w:bookmarkEnd w:id="614"/>
    </w:p>
    <w:p w14:paraId="55FFE052">
      <w:pPr>
        <w:widowControl w:val="0"/>
        <w:adjustRightInd w:val="0"/>
        <w:snapToGrid w:val="0"/>
        <w:ind w:firstLine="420" w:firstLineChars="200"/>
        <w:rPr>
          <w:rFonts w:hint="eastAsia"/>
          <w:sz w:val="21"/>
          <w:szCs w:val="21"/>
        </w:rPr>
      </w:pPr>
      <w:r>
        <w:rPr>
          <w:sz w:val="21"/>
          <w:szCs w:val="21"/>
        </w:rPr>
        <w:t>1  制订绿色建造科研计划、实施、研究及推广应用的管理体系、制度和方法。</w:t>
      </w:r>
    </w:p>
    <w:p w14:paraId="544D7BE9">
      <w:pPr>
        <w:widowControl w:val="0"/>
        <w:adjustRightInd w:val="0"/>
        <w:snapToGrid w:val="0"/>
        <w:ind w:firstLine="420" w:firstLineChars="200"/>
        <w:rPr>
          <w:rFonts w:hint="eastAsia"/>
          <w:sz w:val="21"/>
          <w:szCs w:val="21"/>
        </w:rPr>
      </w:pPr>
      <w:r>
        <w:rPr>
          <w:sz w:val="21"/>
          <w:szCs w:val="21"/>
        </w:rPr>
        <w:t>2  应结合工程特点，立项开展有关绿色建造方面新技术、新工艺、新材料、新设备的开发和推广</w:t>
      </w:r>
      <w:r>
        <w:rPr>
          <w:rFonts w:hint="eastAsia"/>
          <w:sz w:val="21"/>
          <w:szCs w:val="21"/>
        </w:rPr>
        <w:t>应用的研究，形成具有自主知识产权的创新技术、新施工工艺、工法</w:t>
      </w:r>
      <w:r>
        <w:rPr>
          <w:sz w:val="21"/>
          <w:szCs w:val="21"/>
        </w:rPr>
        <w:t>。</w:t>
      </w:r>
    </w:p>
    <w:p w14:paraId="3B97767B">
      <w:pPr>
        <w:widowControl w:val="0"/>
        <w:adjustRightInd w:val="0"/>
        <w:snapToGrid w:val="0"/>
        <w:outlineLvl w:val="2"/>
        <w:rPr>
          <w:rFonts w:hint="eastAsia"/>
          <w:sz w:val="21"/>
          <w:szCs w:val="21"/>
        </w:rPr>
      </w:pPr>
      <w:bookmarkStart w:id="615" w:name="_Toc25878"/>
      <w:r>
        <w:rPr>
          <w:sz w:val="21"/>
          <w:szCs w:val="21"/>
        </w:rPr>
        <w:t xml:space="preserve">6.4.2  </w:t>
      </w:r>
      <w:r>
        <w:rPr>
          <w:rFonts w:hint="eastAsia"/>
          <w:sz w:val="21"/>
          <w:szCs w:val="21"/>
        </w:rPr>
        <w:t>绿色建造新技术应用评价内容：</w:t>
      </w:r>
      <w:bookmarkEnd w:id="615"/>
    </w:p>
    <w:p w14:paraId="3CA9288C">
      <w:pPr>
        <w:widowControl w:val="0"/>
        <w:adjustRightInd w:val="0"/>
        <w:snapToGrid w:val="0"/>
        <w:ind w:firstLine="420" w:firstLineChars="200"/>
        <w:rPr>
          <w:rFonts w:hint="eastAsia"/>
          <w:sz w:val="21"/>
          <w:szCs w:val="21"/>
        </w:rPr>
      </w:pPr>
      <w:r>
        <w:rPr>
          <w:sz w:val="21"/>
          <w:szCs w:val="21"/>
        </w:rPr>
        <w:t>1  通过采用“国家重点节能低碳技术推广目录”、“电力建设五新推广应用信息目录”、《建设部推广应用和限制禁止使用技术公告》(建设部第218号公告)中的推广应用技术和“全国建设行业科技成果推广项目”等先进适用技术；采用BIM技术以及“建筑业10项新技术”，实现与提高绿色建造过程施工的各项指标。</w:t>
      </w:r>
    </w:p>
    <w:p w14:paraId="408550DC">
      <w:pPr>
        <w:widowControl w:val="0"/>
        <w:adjustRightInd w:val="0"/>
        <w:snapToGrid w:val="0"/>
        <w:ind w:firstLine="420" w:firstLineChars="200"/>
        <w:outlineLvl w:val="0"/>
        <w:rPr>
          <w:rFonts w:hint="eastAsia"/>
          <w:sz w:val="21"/>
          <w:szCs w:val="21"/>
        </w:rPr>
      </w:pPr>
      <w:bookmarkStart w:id="616" w:name="_Toc20963"/>
      <w:bookmarkStart w:id="617" w:name="_Toc4567"/>
      <w:r>
        <w:rPr>
          <w:sz w:val="21"/>
          <w:szCs w:val="21"/>
        </w:rPr>
        <w:t>2  推广智慧工地建设与应用。</w:t>
      </w:r>
      <w:bookmarkEnd w:id="616"/>
      <w:bookmarkEnd w:id="617"/>
    </w:p>
    <w:p w14:paraId="557BE522">
      <w:pPr>
        <w:widowControl w:val="0"/>
        <w:adjustRightInd w:val="0"/>
        <w:snapToGrid w:val="0"/>
        <w:ind w:firstLine="630" w:firstLineChars="300"/>
        <w:rPr>
          <w:rFonts w:hint="eastAsia"/>
          <w:sz w:val="21"/>
          <w:szCs w:val="21"/>
        </w:rPr>
      </w:pPr>
      <w:r>
        <w:rPr>
          <w:sz w:val="21"/>
          <w:szCs w:val="21"/>
        </w:rPr>
        <w:t>1）通过“互联网+”技术</w:t>
      </w:r>
      <w:r>
        <w:rPr>
          <w:rFonts w:hint="eastAsia"/>
          <w:sz w:val="21"/>
          <w:szCs w:val="21"/>
        </w:rPr>
        <w:t>推广应用远程视频监控系统、远程能耗管理系统、劳务实名制网络管理系统、智能安全管控系统、物联网技术、施工机械</w:t>
      </w:r>
      <w:r>
        <w:rPr>
          <w:sz w:val="21"/>
          <w:szCs w:val="21"/>
        </w:rPr>
        <w:t>/机具远程安全监控系统、现场环境监测系统、污水排放检测系统、红外热成像防火检测报警系统等。</w:t>
      </w:r>
    </w:p>
    <w:p w14:paraId="0D1221B2">
      <w:pPr>
        <w:widowControl w:val="0"/>
        <w:adjustRightInd w:val="0"/>
        <w:snapToGrid w:val="0"/>
        <w:ind w:firstLine="630" w:firstLineChars="300"/>
        <w:rPr>
          <w:rFonts w:hint="eastAsia"/>
          <w:sz w:val="21"/>
          <w:szCs w:val="21"/>
        </w:rPr>
      </w:pPr>
      <w:r>
        <w:rPr>
          <w:sz w:val="21"/>
          <w:szCs w:val="21"/>
        </w:rPr>
        <w:t>2）通过BIM技术实现施工方案模拟与优化、优化场地布置、管线综合布置、关键工艺模拟等。</w:t>
      </w:r>
    </w:p>
    <w:p w14:paraId="0BA36310">
      <w:pPr>
        <w:widowControl w:val="0"/>
        <w:adjustRightInd w:val="0"/>
        <w:snapToGrid w:val="0"/>
        <w:ind w:firstLine="420" w:firstLineChars="200"/>
        <w:rPr>
          <w:rFonts w:hint="eastAsia"/>
          <w:sz w:val="21"/>
          <w:szCs w:val="21"/>
        </w:rPr>
      </w:pPr>
      <w:r>
        <w:rPr>
          <w:sz w:val="21"/>
          <w:szCs w:val="21"/>
        </w:rPr>
        <w:t>3  推广自主研发的专利技术，取得明显经济和社会效益。</w:t>
      </w:r>
    </w:p>
    <w:p w14:paraId="161C1589">
      <w:pPr>
        <w:widowControl w:val="0"/>
        <w:adjustRightInd w:val="0"/>
        <w:snapToGrid w:val="0"/>
        <w:ind w:firstLine="420" w:firstLineChars="200"/>
        <w:rPr>
          <w:rFonts w:hint="eastAsia"/>
          <w:sz w:val="21"/>
          <w:szCs w:val="21"/>
        </w:rPr>
      </w:pPr>
      <w:r>
        <w:rPr>
          <w:sz w:val="21"/>
          <w:szCs w:val="21"/>
        </w:rPr>
        <w:t>4  积极采用预制装配技术提升绿色建造施工水平。</w:t>
      </w:r>
    </w:p>
    <w:p w14:paraId="4E72EF80">
      <w:pPr>
        <w:widowControl w:val="0"/>
        <w:adjustRightInd w:val="0"/>
        <w:snapToGrid w:val="0"/>
        <w:outlineLvl w:val="1"/>
        <w:rPr>
          <w:rFonts w:hint="eastAsia"/>
          <w:sz w:val="21"/>
          <w:szCs w:val="21"/>
        </w:rPr>
      </w:pPr>
      <w:bookmarkStart w:id="618" w:name="_Toc25077"/>
      <w:bookmarkStart w:id="619" w:name="_Toc6975"/>
      <w:r>
        <w:rPr>
          <w:sz w:val="21"/>
          <w:szCs w:val="21"/>
        </w:rPr>
        <w:t xml:space="preserve">6.4.3  </w:t>
      </w:r>
      <w:r>
        <w:rPr>
          <w:rFonts w:hint="eastAsia"/>
          <w:sz w:val="21"/>
          <w:szCs w:val="21"/>
        </w:rPr>
        <w:t>绿色建造新成果评价内容：</w:t>
      </w:r>
      <w:bookmarkEnd w:id="618"/>
      <w:bookmarkEnd w:id="619"/>
    </w:p>
    <w:p w14:paraId="2A5AED53">
      <w:pPr>
        <w:widowControl w:val="0"/>
        <w:adjustRightInd w:val="0"/>
        <w:snapToGrid w:val="0"/>
        <w:ind w:firstLine="420" w:firstLineChars="200"/>
        <w:rPr>
          <w:rFonts w:hint="eastAsia"/>
          <w:sz w:val="21"/>
          <w:szCs w:val="21"/>
        </w:rPr>
      </w:pPr>
      <w:r>
        <w:rPr>
          <w:sz w:val="21"/>
          <w:szCs w:val="21"/>
        </w:rPr>
        <w:t>1  自主创新形成具有自主知识产权的专利、工法、论文、软件著作等成果，项目研究获得国家级、省部级科技奖项。</w:t>
      </w:r>
    </w:p>
    <w:p w14:paraId="7D4F4B3C">
      <w:pPr>
        <w:widowControl w:val="0"/>
        <w:adjustRightInd w:val="0"/>
        <w:snapToGrid w:val="0"/>
        <w:ind w:firstLine="420" w:firstLineChars="200"/>
        <w:rPr>
          <w:rFonts w:hint="eastAsia"/>
          <w:sz w:val="21"/>
          <w:szCs w:val="21"/>
        </w:rPr>
      </w:pPr>
      <w:r>
        <w:rPr>
          <w:sz w:val="21"/>
          <w:szCs w:val="21"/>
        </w:rPr>
        <w:t>2  积极采用装配式施工技术、信息化施工技术提升绿色建造施工技术水平。</w:t>
      </w:r>
      <w:r>
        <w:rPr>
          <w:rFonts w:hint="eastAsia"/>
          <w:sz w:val="21"/>
          <w:szCs w:val="21"/>
        </w:rPr>
        <w:t>以人为本，建造智能健康绿色建筑。不断革新传统工艺，提高绿色建造过程施工的各项指标</w:t>
      </w:r>
      <w:r>
        <w:rPr>
          <w:sz w:val="21"/>
          <w:szCs w:val="21"/>
        </w:rPr>
        <w:t>。</w:t>
      </w:r>
    </w:p>
    <w:p w14:paraId="660644F1">
      <w:pPr>
        <w:spacing w:before="120" w:beforeLines="50" w:after="240" w:afterLines="100"/>
        <w:ind w:firstLine="420" w:firstLineChars="200"/>
        <w:jc w:val="center"/>
        <w:outlineLvl w:val="2"/>
        <w:rPr>
          <w:rFonts w:hint="eastAsia"/>
          <w:sz w:val="21"/>
          <w:szCs w:val="21"/>
        </w:rPr>
      </w:pPr>
      <w:bookmarkStart w:id="620" w:name="_Toc174141251"/>
      <w:bookmarkStart w:id="621" w:name="_Toc10371"/>
      <w:r>
        <w:rPr>
          <w:sz w:val="21"/>
          <w:szCs w:val="21"/>
        </w:rPr>
        <w:t xml:space="preserve">6.5  </w:t>
      </w:r>
      <w:r>
        <w:rPr>
          <w:rFonts w:hint="eastAsia"/>
          <w:sz w:val="21"/>
          <w:szCs w:val="21"/>
        </w:rPr>
        <w:t>综合效益</w:t>
      </w:r>
      <w:bookmarkEnd w:id="620"/>
      <w:bookmarkEnd w:id="621"/>
    </w:p>
    <w:p w14:paraId="198FAD0A">
      <w:pPr>
        <w:widowControl w:val="0"/>
        <w:adjustRightInd w:val="0"/>
        <w:snapToGrid w:val="0"/>
        <w:rPr>
          <w:rFonts w:hint="eastAsia"/>
          <w:sz w:val="21"/>
          <w:szCs w:val="21"/>
        </w:rPr>
      </w:pPr>
      <w:bookmarkStart w:id="622" w:name="_Hlk173330886"/>
      <w:r>
        <w:rPr>
          <w:sz w:val="21"/>
          <w:szCs w:val="21"/>
        </w:rPr>
        <w:t>6.5.1  项目取得良好的经济效益。与同类同期工程相比较，在综合投资、建造成本、建造工期等方面有显著改进，并取得显著成效；重要经济技术指标处于领先水平。</w:t>
      </w:r>
    </w:p>
    <w:p w14:paraId="37EE2A28">
      <w:pPr>
        <w:widowControl w:val="0"/>
        <w:adjustRightInd w:val="0"/>
        <w:snapToGrid w:val="0"/>
        <w:rPr>
          <w:rFonts w:hint="eastAsia"/>
          <w:sz w:val="21"/>
          <w:szCs w:val="21"/>
        </w:rPr>
      </w:pPr>
      <w:r>
        <w:rPr>
          <w:sz w:val="21"/>
          <w:szCs w:val="21"/>
        </w:rPr>
        <w:t>6.5.2  项目取得良好的社会效益。推动行业科技进步、施工技术进步，对引领行业施工技术发展方向具有重要意义。</w:t>
      </w:r>
    </w:p>
    <w:p w14:paraId="46D40BFC">
      <w:pPr>
        <w:widowControl w:val="0"/>
        <w:adjustRightInd w:val="0"/>
        <w:snapToGrid w:val="0"/>
        <w:rPr>
          <w:rFonts w:hint="eastAsia"/>
          <w:sz w:val="21"/>
          <w:szCs w:val="21"/>
        </w:rPr>
      </w:pPr>
      <w:r>
        <w:rPr>
          <w:rFonts w:hint="eastAsia"/>
          <w:sz w:val="21"/>
          <w:szCs w:val="21"/>
        </w:rPr>
        <w:t xml:space="preserve">6.5.3  </w:t>
      </w:r>
      <w:r>
        <w:rPr>
          <w:sz w:val="21"/>
          <w:szCs w:val="21"/>
        </w:rPr>
        <w:t>项目取得良好的</w:t>
      </w:r>
      <w:r>
        <w:rPr>
          <w:rFonts w:hint="eastAsia"/>
          <w:sz w:val="21"/>
          <w:szCs w:val="21"/>
        </w:rPr>
        <w:t>环境</w:t>
      </w:r>
      <w:r>
        <w:rPr>
          <w:sz w:val="21"/>
          <w:szCs w:val="21"/>
        </w:rPr>
        <w:t>效益。</w:t>
      </w:r>
      <w:r>
        <w:rPr>
          <w:rFonts w:hint="eastAsia"/>
          <w:sz w:val="21"/>
          <w:szCs w:val="21"/>
        </w:rPr>
        <w:t>项目建设对</w:t>
      </w:r>
      <w:r>
        <w:rPr>
          <w:sz w:val="21"/>
          <w:szCs w:val="21"/>
        </w:rPr>
        <w:t>改善环境</w:t>
      </w:r>
      <w:r>
        <w:rPr>
          <w:rFonts w:hint="eastAsia"/>
          <w:sz w:val="21"/>
          <w:szCs w:val="21"/>
        </w:rPr>
        <w:t>起到积极作用，对</w:t>
      </w:r>
      <w:r>
        <w:rPr>
          <w:sz w:val="21"/>
          <w:szCs w:val="21"/>
        </w:rPr>
        <w:t>环境的污染</w:t>
      </w:r>
      <w:r>
        <w:rPr>
          <w:rFonts w:hint="eastAsia"/>
          <w:sz w:val="21"/>
          <w:szCs w:val="21"/>
        </w:rPr>
        <w:t>、</w:t>
      </w:r>
      <w:r>
        <w:rPr>
          <w:sz w:val="21"/>
          <w:szCs w:val="21"/>
        </w:rPr>
        <w:t>提高环境质量方面取得</w:t>
      </w:r>
      <w:r>
        <w:rPr>
          <w:rFonts w:hint="eastAsia"/>
          <w:sz w:val="21"/>
          <w:szCs w:val="21"/>
        </w:rPr>
        <w:t>一定</w:t>
      </w:r>
      <w:r>
        <w:rPr>
          <w:sz w:val="21"/>
          <w:szCs w:val="21"/>
        </w:rPr>
        <w:t>成果。</w:t>
      </w:r>
    </w:p>
    <w:p w14:paraId="4FDC9903">
      <w:pPr>
        <w:widowControl w:val="0"/>
        <w:adjustRightInd w:val="0"/>
        <w:snapToGrid w:val="0"/>
        <w:rPr>
          <w:rFonts w:hint="eastAsia"/>
          <w:sz w:val="21"/>
          <w:szCs w:val="21"/>
        </w:rPr>
      </w:pPr>
      <w:r>
        <w:rPr>
          <w:sz w:val="21"/>
          <w:szCs w:val="21"/>
        </w:rPr>
        <w:t>6.5.</w:t>
      </w:r>
      <w:r>
        <w:rPr>
          <w:rFonts w:hint="eastAsia"/>
          <w:sz w:val="21"/>
          <w:szCs w:val="21"/>
        </w:rPr>
        <w:t>4</w:t>
      </w:r>
      <w:r>
        <w:rPr>
          <w:sz w:val="21"/>
          <w:szCs w:val="21"/>
        </w:rPr>
        <w:t xml:space="preserve">  对后续工程的持续发展产生积极影响。项目施工技术能够衍生出一系列施工新工艺、新技术、新装置，为后续同类型工程施工提供借鉴和参考。</w:t>
      </w:r>
    </w:p>
    <w:p w14:paraId="5CE6F974">
      <w:pPr>
        <w:widowControl w:val="0"/>
        <w:adjustRightInd w:val="0"/>
        <w:snapToGrid w:val="0"/>
        <w:rPr>
          <w:rFonts w:hint="eastAsia"/>
          <w:sz w:val="21"/>
          <w:szCs w:val="21"/>
        </w:rPr>
      </w:pPr>
      <w:r>
        <w:rPr>
          <w:sz w:val="21"/>
          <w:szCs w:val="21"/>
        </w:rPr>
        <w:t>6.5.</w:t>
      </w:r>
      <w:r>
        <w:rPr>
          <w:rFonts w:hint="eastAsia"/>
          <w:sz w:val="21"/>
          <w:szCs w:val="21"/>
        </w:rPr>
        <w:t>5</w:t>
      </w:r>
      <w:r>
        <w:rPr>
          <w:sz w:val="21"/>
          <w:szCs w:val="21"/>
        </w:rPr>
        <w:t xml:space="preserve">  对团队建设和人才培养产生积极影响。</w:t>
      </w:r>
      <w:r>
        <w:rPr>
          <w:rFonts w:hint="eastAsia" w:cs="宋体"/>
          <w:kern w:val="0"/>
          <w:sz w:val="21"/>
          <w:szCs w:val="21"/>
        </w:rPr>
        <w:t>项目锻炼和培养了一批技术创新人才，形成了产学研相结合的研发团队，项目的人才培养计划与梯队建设，为企业持续发展提供人力支持与保障。</w:t>
      </w:r>
    </w:p>
    <w:p w14:paraId="23FCD087">
      <w:pPr>
        <w:widowControl w:val="0"/>
        <w:adjustRightInd w:val="0"/>
        <w:snapToGrid w:val="0"/>
        <w:rPr>
          <w:rFonts w:hint="eastAsia"/>
          <w:sz w:val="21"/>
          <w:szCs w:val="21"/>
        </w:rPr>
      </w:pPr>
      <w:r>
        <w:rPr>
          <w:sz w:val="21"/>
          <w:szCs w:val="21"/>
        </w:rPr>
        <w:t>6.5.</w:t>
      </w:r>
      <w:r>
        <w:rPr>
          <w:rFonts w:hint="eastAsia"/>
          <w:sz w:val="21"/>
          <w:szCs w:val="21"/>
        </w:rPr>
        <w:t>6</w:t>
      </w:r>
      <w:r>
        <w:rPr>
          <w:sz w:val="21"/>
          <w:szCs w:val="21"/>
        </w:rPr>
        <w:t xml:space="preserve">  对当地相关产业有辐射带动作用，对推动生态治理与战略性转型产业深度融合贡献巨大。</w:t>
      </w:r>
    </w:p>
    <w:bookmarkEnd w:id="622"/>
    <w:p w14:paraId="34D88869">
      <w:pPr>
        <w:widowControl w:val="0"/>
        <w:adjustRightInd w:val="0"/>
        <w:snapToGrid w:val="0"/>
        <w:jc w:val="left"/>
        <w:rPr>
          <w:rFonts w:hint="eastAsia"/>
          <w:sz w:val="21"/>
          <w:szCs w:val="21"/>
        </w:rPr>
      </w:pPr>
    </w:p>
    <w:p w14:paraId="71F5F4EA">
      <w:pPr>
        <w:widowControl w:val="0"/>
        <w:adjustRightInd w:val="0"/>
        <w:snapToGrid w:val="0"/>
        <w:jc w:val="left"/>
        <w:rPr>
          <w:rFonts w:hint="eastAsia"/>
          <w:sz w:val="21"/>
          <w:szCs w:val="21"/>
        </w:rPr>
      </w:pPr>
    </w:p>
    <w:p w14:paraId="03C1ADDF">
      <w:pPr>
        <w:widowControl w:val="0"/>
        <w:adjustRightInd w:val="0"/>
        <w:snapToGrid w:val="0"/>
        <w:jc w:val="left"/>
        <w:rPr>
          <w:rFonts w:hint="eastAsia"/>
          <w:sz w:val="21"/>
          <w:szCs w:val="21"/>
        </w:rPr>
      </w:pPr>
    </w:p>
    <w:p w14:paraId="3837F70A">
      <w:pPr>
        <w:widowControl w:val="0"/>
        <w:adjustRightInd w:val="0"/>
        <w:snapToGrid w:val="0"/>
        <w:jc w:val="left"/>
        <w:rPr>
          <w:rFonts w:hint="eastAsia"/>
          <w:sz w:val="21"/>
          <w:szCs w:val="21"/>
        </w:rPr>
      </w:pPr>
    </w:p>
    <w:p w14:paraId="560D08DB">
      <w:pPr>
        <w:widowControl w:val="0"/>
        <w:adjustRightInd w:val="0"/>
        <w:snapToGrid w:val="0"/>
        <w:jc w:val="left"/>
        <w:rPr>
          <w:rFonts w:hint="eastAsia"/>
          <w:sz w:val="21"/>
          <w:szCs w:val="21"/>
        </w:rPr>
      </w:pPr>
    </w:p>
    <w:p w14:paraId="4D19ABAD">
      <w:pPr>
        <w:widowControl w:val="0"/>
        <w:adjustRightInd w:val="0"/>
        <w:snapToGrid w:val="0"/>
        <w:jc w:val="left"/>
        <w:rPr>
          <w:rFonts w:hint="eastAsia"/>
          <w:sz w:val="21"/>
          <w:szCs w:val="21"/>
        </w:rPr>
      </w:pPr>
    </w:p>
    <w:p w14:paraId="6CDBD7D3">
      <w:pPr>
        <w:widowControl w:val="0"/>
        <w:adjustRightInd w:val="0"/>
        <w:snapToGrid w:val="0"/>
        <w:jc w:val="left"/>
        <w:rPr>
          <w:rFonts w:hint="eastAsia"/>
          <w:sz w:val="21"/>
          <w:szCs w:val="21"/>
        </w:rPr>
      </w:pPr>
    </w:p>
    <w:p w14:paraId="48F39A89">
      <w:pPr>
        <w:widowControl w:val="0"/>
        <w:adjustRightInd w:val="0"/>
        <w:snapToGrid w:val="0"/>
        <w:jc w:val="left"/>
        <w:rPr>
          <w:rFonts w:hint="eastAsia"/>
          <w:sz w:val="21"/>
          <w:szCs w:val="21"/>
        </w:rPr>
      </w:pPr>
    </w:p>
    <w:p w14:paraId="447C4E5D">
      <w:pPr>
        <w:widowControl w:val="0"/>
        <w:adjustRightInd w:val="0"/>
        <w:snapToGrid w:val="0"/>
        <w:jc w:val="left"/>
        <w:rPr>
          <w:rFonts w:hint="eastAsia"/>
          <w:sz w:val="21"/>
          <w:szCs w:val="21"/>
        </w:rPr>
      </w:pPr>
    </w:p>
    <w:p w14:paraId="6FD72265">
      <w:pPr>
        <w:widowControl w:val="0"/>
        <w:adjustRightInd w:val="0"/>
        <w:snapToGrid w:val="0"/>
        <w:jc w:val="left"/>
        <w:rPr>
          <w:rFonts w:hint="eastAsia"/>
          <w:sz w:val="21"/>
          <w:szCs w:val="21"/>
        </w:rPr>
      </w:pPr>
    </w:p>
    <w:p w14:paraId="2B4F6A03">
      <w:pPr>
        <w:widowControl w:val="0"/>
        <w:adjustRightInd w:val="0"/>
        <w:snapToGrid w:val="0"/>
        <w:jc w:val="left"/>
        <w:rPr>
          <w:rFonts w:hint="eastAsia"/>
          <w:sz w:val="21"/>
          <w:szCs w:val="21"/>
        </w:rPr>
      </w:pPr>
    </w:p>
    <w:p w14:paraId="20A2CF88">
      <w:pPr>
        <w:widowControl w:val="0"/>
        <w:adjustRightInd w:val="0"/>
        <w:snapToGrid w:val="0"/>
        <w:jc w:val="left"/>
        <w:rPr>
          <w:rFonts w:hint="eastAsia"/>
          <w:sz w:val="21"/>
          <w:szCs w:val="21"/>
        </w:rPr>
      </w:pPr>
    </w:p>
    <w:p w14:paraId="2100511A">
      <w:pPr>
        <w:widowControl w:val="0"/>
        <w:adjustRightInd w:val="0"/>
        <w:snapToGrid w:val="0"/>
        <w:jc w:val="left"/>
        <w:rPr>
          <w:rFonts w:hint="eastAsia"/>
          <w:sz w:val="21"/>
          <w:szCs w:val="21"/>
        </w:rPr>
      </w:pPr>
      <w:bookmarkStart w:id="623" w:name="_Toc174141252"/>
    </w:p>
    <w:p w14:paraId="24340ADE">
      <w:pPr>
        <w:widowControl w:val="0"/>
        <w:adjustRightInd w:val="0"/>
        <w:snapToGrid w:val="0"/>
        <w:jc w:val="left"/>
        <w:rPr>
          <w:rFonts w:hint="eastAsia"/>
          <w:sz w:val="21"/>
          <w:szCs w:val="21"/>
        </w:rPr>
      </w:pPr>
    </w:p>
    <w:p w14:paraId="7B91B7DE">
      <w:pPr>
        <w:widowControl w:val="0"/>
        <w:adjustRightInd w:val="0"/>
        <w:snapToGrid w:val="0"/>
        <w:jc w:val="left"/>
        <w:rPr>
          <w:rFonts w:hint="eastAsia"/>
          <w:sz w:val="21"/>
          <w:szCs w:val="21"/>
        </w:rPr>
      </w:pPr>
    </w:p>
    <w:p w14:paraId="2047BBF5">
      <w:pPr>
        <w:widowControl w:val="0"/>
        <w:adjustRightInd w:val="0"/>
        <w:snapToGrid w:val="0"/>
        <w:jc w:val="left"/>
        <w:rPr>
          <w:rFonts w:hint="eastAsia"/>
          <w:sz w:val="21"/>
          <w:szCs w:val="21"/>
        </w:rPr>
      </w:pPr>
    </w:p>
    <w:p w14:paraId="7B0266AA">
      <w:pPr>
        <w:spacing w:before="120" w:beforeLines="50" w:after="240" w:afterLines="100"/>
        <w:jc w:val="center"/>
        <w:outlineLvl w:val="0"/>
        <w:rPr>
          <w:rFonts w:hint="eastAsia"/>
          <w:sz w:val="21"/>
          <w:szCs w:val="21"/>
        </w:rPr>
      </w:pPr>
      <w:bookmarkStart w:id="624" w:name="_Toc16887"/>
      <w:bookmarkStart w:id="625" w:name="_Toc15932"/>
      <w:r>
        <w:rPr>
          <w:sz w:val="21"/>
          <w:szCs w:val="21"/>
        </w:rPr>
        <w:t xml:space="preserve">7  </w:t>
      </w:r>
      <w:r>
        <w:rPr>
          <w:rFonts w:hint="eastAsia"/>
          <w:sz w:val="21"/>
          <w:szCs w:val="21"/>
        </w:rPr>
        <w:t>绿色移交</w:t>
      </w:r>
      <w:bookmarkEnd w:id="623"/>
      <w:bookmarkEnd w:id="624"/>
      <w:bookmarkEnd w:id="625"/>
    </w:p>
    <w:p w14:paraId="26297E99">
      <w:pPr>
        <w:spacing w:before="120" w:beforeLines="50" w:after="240" w:afterLines="100"/>
        <w:jc w:val="center"/>
        <w:outlineLvl w:val="1"/>
        <w:rPr>
          <w:rFonts w:hint="eastAsia"/>
          <w:sz w:val="21"/>
          <w:szCs w:val="21"/>
        </w:rPr>
      </w:pPr>
      <w:bookmarkStart w:id="626" w:name="_Toc174141253"/>
      <w:bookmarkStart w:id="627" w:name="_Toc31215"/>
      <w:bookmarkStart w:id="628" w:name="_Toc29910"/>
      <w:r>
        <w:rPr>
          <w:rFonts w:hint="eastAsia"/>
          <w:sz w:val="21"/>
          <w:szCs w:val="21"/>
        </w:rPr>
        <w:t xml:space="preserve">7.1 </w:t>
      </w:r>
      <w:r>
        <w:rPr>
          <w:sz w:val="21"/>
          <w:szCs w:val="21"/>
        </w:rPr>
        <w:t xml:space="preserve"> </w:t>
      </w:r>
      <w:r>
        <w:rPr>
          <w:rFonts w:hint="eastAsia"/>
          <w:sz w:val="21"/>
          <w:szCs w:val="21"/>
        </w:rPr>
        <w:t>综合效能</w:t>
      </w:r>
      <w:bookmarkEnd w:id="626"/>
      <w:bookmarkEnd w:id="627"/>
      <w:bookmarkEnd w:id="628"/>
    </w:p>
    <w:p w14:paraId="20EA6A5B">
      <w:pPr>
        <w:widowControl w:val="0"/>
        <w:adjustRightInd w:val="0"/>
        <w:snapToGrid w:val="0"/>
        <w:rPr>
          <w:rFonts w:hint="eastAsia"/>
          <w:sz w:val="21"/>
          <w:szCs w:val="21"/>
        </w:rPr>
      </w:pPr>
      <w:r>
        <w:rPr>
          <w:sz w:val="21"/>
          <w:szCs w:val="21"/>
        </w:rPr>
        <w:t>7.1.</w:t>
      </w:r>
      <w:r>
        <w:rPr>
          <w:rFonts w:hint="eastAsia"/>
          <w:sz w:val="21"/>
          <w:szCs w:val="21"/>
        </w:rPr>
        <w:t xml:space="preserve">1 </w:t>
      </w:r>
      <w:r>
        <w:rPr>
          <w:sz w:val="21"/>
          <w:szCs w:val="21"/>
        </w:rPr>
        <w:t xml:space="preserve"> 保护环境、减少资源浪费；实现节能、环保、减排的目标。</w:t>
      </w:r>
    </w:p>
    <w:p w14:paraId="5BFEF66E">
      <w:pPr>
        <w:widowControl w:val="0"/>
        <w:adjustRightInd w:val="0"/>
        <w:snapToGrid w:val="0"/>
        <w:rPr>
          <w:rFonts w:hint="eastAsia"/>
          <w:sz w:val="21"/>
          <w:szCs w:val="21"/>
        </w:rPr>
      </w:pPr>
      <w:r>
        <w:rPr>
          <w:sz w:val="21"/>
          <w:szCs w:val="21"/>
        </w:rPr>
        <w:t>7.1.</w:t>
      </w:r>
      <w:r>
        <w:rPr>
          <w:rFonts w:hint="eastAsia"/>
          <w:sz w:val="21"/>
          <w:szCs w:val="21"/>
        </w:rPr>
        <w:t>2</w:t>
      </w:r>
      <w:r>
        <w:rPr>
          <w:sz w:val="21"/>
          <w:szCs w:val="21"/>
        </w:rPr>
        <w:t xml:space="preserve"> </w:t>
      </w:r>
      <w:r>
        <w:rPr>
          <w:rFonts w:hint="eastAsia"/>
          <w:sz w:val="21"/>
          <w:szCs w:val="21"/>
        </w:rPr>
        <w:t xml:space="preserve"> </w:t>
      </w:r>
      <w:r>
        <w:rPr>
          <w:sz w:val="21"/>
          <w:szCs w:val="21"/>
        </w:rPr>
        <w:t>结合项目单体设备用能、系统经济性指标、整体生产运行情况进行综合评价，</w:t>
      </w:r>
      <w:r>
        <w:rPr>
          <w:rFonts w:hint="eastAsia"/>
          <w:sz w:val="21"/>
          <w:szCs w:val="21"/>
        </w:rPr>
        <w:t>提供</w:t>
      </w:r>
      <w:r>
        <w:rPr>
          <w:sz w:val="21"/>
          <w:szCs w:val="21"/>
        </w:rPr>
        <w:t>综合评价分析报告。包括以下内容：</w:t>
      </w:r>
    </w:p>
    <w:p w14:paraId="5F40BDD7">
      <w:pPr>
        <w:widowControl w:val="0"/>
        <w:adjustRightInd w:val="0"/>
        <w:snapToGrid w:val="0"/>
        <w:ind w:firstLine="420" w:firstLineChars="200"/>
        <w:rPr>
          <w:rFonts w:hint="eastAsia"/>
          <w:sz w:val="21"/>
          <w:szCs w:val="21"/>
        </w:rPr>
      </w:pPr>
      <w:r>
        <w:rPr>
          <w:sz w:val="21"/>
          <w:szCs w:val="21"/>
        </w:rPr>
        <w:t>1</w:t>
      </w:r>
      <w:r>
        <w:rPr>
          <w:rFonts w:hint="eastAsia"/>
          <w:sz w:val="21"/>
          <w:szCs w:val="21"/>
        </w:rPr>
        <w:t xml:space="preserve"> </w:t>
      </w:r>
      <w:r>
        <w:rPr>
          <w:sz w:val="21"/>
          <w:szCs w:val="21"/>
        </w:rPr>
        <w:t xml:space="preserve"> 进行项目调试期间各类设备用能情况统计，形成设备用能分析报告。</w:t>
      </w:r>
    </w:p>
    <w:p w14:paraId="51BFBFD0">
      <w:pPr>
        <w:widowControl w:val="0"/>
        <w:adjustRightInd w:val="0"/>
        <w:snapToGrid w:val="0"/>
        <w:ind w:firstLine="420" w:firstLineChars="200"/>
        <w:rPr>
          <w:rFonts w:hint="eastAsia"/>
          <w:sz w:val="21"/>
          <w:szCs w:val="21"/>
        </w:rPr>
      </w:pPr>
      <w:r>
        <w:rPr>
          <w:sz w:val="21"/>
          <w:szCs w:val="21"/>
        </w:rPr>
        <w:t xml:space="preserve">2 </w:t>
      </w:r>
      <w:r>
        <w:rPr>
          <w:rFonts w:hint="eastAsia"/>
          <w:sz w:val="21"/>
          <w:szCs w:val="21"/>
        </w:rPr>
        <w:t xml:space="preserve"> </w:t>
      </w:r>
      <w:r>
        <w:rPr>
          <w:sz w:val="21"/>
          <w:szCs w:val="21"/>
        </w:rPr>
        <w:t>进行分系统冷、热态试验，分析各系统运行关键指标与设计值的偏差。</w:t>
      </w:r>
    </w:p>
    <w:p w14:paraId="442E7F2E">
      <w:pPr>
        <w:widowControl w:val="0"/>
        <w:adjustRightInd w:val="0"/>
        <w:snapToGrid w:val="0"/>
        <w:ind w:firstLine="420" w:firstLineChars="200"/>
        <w:rPr>
          <w:rFonts w:hint="eastAsia"/>
          <w:sz w:val="21"/>
          <w:szCs w:val="21"/>
        </w:rPr>
      </w:pPr>
      <w:r>
        <w:rPr>
          <w:sz w:val="21"/>
          <w:szCs w:val="21"/>
        </w:rPr>
        <w:t>3</w:t>
      </w:r>
      <w:r>
        <w:rPr>
          <w:rFonts w:hint="eastAsia"/>
          <w:sz w:val="21"/>
          <w:szCs w:val="21"/>
        </w:rPr>
        <w:t xml:space="preserve"> </w:t>
      </w:r>
      <w:r>
        <w:rPr>
          <w:sz w:val="21"/>
          <w:szCs w:val="21"/>
        </w:rPr>
        <w:t xml:space="preserve"> 进行项目投运整体性能试验，综合评价项目整体能效情况，形成整体分析评价报告。</w:t>
      </w:r>
    </w:p>
    <w:p w14:paraId="46D1E1C6">
      <w:pPr>
        <w:spacing w:before="120" w:beforeLines="50" w:after="240" w:afterLines="100"/>
        <w:jc w:val="center"/>
        <w:outlineLvl w:val="1"/>
        <w:rPr>
          <w:rFonts w:hint="eastAsia"/>
          <w:sz w:val="21"/>
          <w:szCs w:val="21"/>
        </w:rPr>
      </w:pPr>
      <w:bookmarkStart w:id="629" w:name="_Toc169276217"/>
      <w:bookmarkStart w:id="630" w:name="_Toc174141254"/>
      <w:bookmarkStart w:id="631" w:name="_Toc8704"/>
      <w:bookmarkStart w:id="632" w:name="_Toc6858"/>
      <w:r>
        <w:rPr>
          <w:rFonts w:hint="eastAsia"/>
          <w:sz w:val="21"/>
          <w:szCs w:val="21"/>
        </w:rPr>
        <w:t xml:space="preserve">7.2 </w:t>
      </w:r>
      <w:r>
        <w:rPr>
          <w:sz w:val="21"/>
          <w:szCs w:val="21"/>
        </w:rPr>
        <w:t xml:space="preserve"> </w:t>
      </w:r>
      <w:r>
        <w:rPr>
          <w:rFonts w:hint="eastAsia"/>
          <w:sz w:val="21"/>
          <w:szCs w:val="21"/>
        </w:rPr>
        <w:t>数字化移交</w:t>
      </w:r>
      <w:bookmarkEnd w:id="629"/>
      <w:bookmarkEnd w:id="630"/>
      <w:bookmarkEnd w:id="631"/>
      <w:bookmarkEnd w:id="632"/>
    </w:p>
    <w:p w14:paraId="7CCF4F81">
      <w:pPr>
        <w:widowControl w:val="0"/>
        <w:adjustRightInd w:val="0"/>
        <w:snapToGrid w:val="0"/>
        <w:outlineLvl w:val="2"/>
        <w:rPr>
          <w:rFonts w:hint="eastAsia"/>
          <w:sz w:val="21"/>
          <w:szCs w:val="21"/>
        </w:rPr>
      </w:pPr>
      <w:bookmarkStart w:id="633" w:name="_Toc25362"/>
      <w:r>
        <w:rPr>
          <w:sz w:val="21"/>
          <w:szCs w:val="21"/>
        </w:rPr>
        <w:t>7.2.1</w:t>
      </w:r>
      <w:r>
        <w:rPr>
          <w:rFonts w:hint="eastAsia"/>
          <w:sz w:val="21"/>
          <w:szCs w:val="21"/>
        </w:rPr>
        <w:t xml:space="preserve"> </w:t>
      </w:r>
      <w:r>
        <w:rPr>
          <w:sz w:val="21"/>
          <w:szCs w:val="21"/>
        </w:rPr>
        <w:t xml:space="preserve"> 数字化交付过程中数据传递应遵守相关保密规定。</w:t>
      </w:r>
      <w:bookmarkEnd w:id="633"/>
    </w:p>
    <w:p w14:paraId="3829FB41">
      <w:pPr>
        <w:widowControl w:val="0"/>
        <w:adjustRightInd w:val="0"/>
        <w:snapToGrid w:val="0"/>
        <w:rPr>
          <w:rFonts w:hint="eastAsia"/>
          <w:sz w:val="21"/>
          <w:szCs w:val="21"/>
        </w:rPr>
      </w:pPr>
      <w:r>
        <w:rPr>
          <w:sz w:val="21"/>
          <w:szCs w:val="21"/>
        </w:rPr>
        <w:t>7.2.2</w:t>
      </w:r>
      <w:r>
        <w:rPr>
          <w:rFonts w:hint="eastAsia"/>
          <w:sz w:val="21"/>
          <w:szCs w:val="21"/>
        </w:rPr>
        <w:t xml:space="preserve"> </w:t>
      </w:r>
      <w:r>
        <w:rPr>
          <w:sz w:val="21"/>
          <w:szCs w:val="21"/>
        </w:rPr>
        <w:t xml:space="preserve"> 数字化交付的内容及标准应执行工程所在地的相关规定。对有智慧城市信息系统接入要求的项目，应首先满足电力建设项目信息管理的要求。</w:t>
      </w:r>
    </w:p>
    <w:p w14:paraId="3D98BBF6">
      <w:pPr>
        <w:widowControl w:val="0"/>
        <w:adjustRightInd w:val="0"/>
        <w:snapToGrid w:val="0"/>
        <w:rPr>
          <w:rFonts w:hint="eastAsia"/>
          <w:sz w:val="21"/>
          <w:szCs w:val="21"/>
        </w:rPr>
      </w:pPr>
      <w:r>
        <w:rPr>
          <w:sz w:val="21"/>
          <w:szCs w:val="21"/>
        </w:rPr>
        <w:t>7.2.3</w:t>
      </w:r>
      <w:r>
        <w:rPr>
          <w:rFonts w:hint="eastAsia"/>
          <w:sz w:val="21"/>
          <w:szCs w:val="21"/>
        </w:rPr>
        <w:t xml:space="preserve"> </w:t>
      </w:r>
      <w:bookmarkStart w:id="634" w:name="OLE_LINK2"/>
      <w:r>
        <w:rPr>
          <w:sz w:val="21"/>
          <w:szCs w:val="21"/>
        </w:rPr>
        <w:t xml:space="preserve"> 电力建设工程信息模型应按照各系统单位工程进行划分组建</w:t>
      </w:r>
      <w:bookmarkEnd w:id="634"/>
      <w:r>
        <w:rPr>
          <w:sz w:val="21"/>
          <w:szCs w:val="21"/>
        </w:rPr>
        <w:t>，单位工程应包含主机、辅机、建筑、电气、暖通，以及生产生活废水污水、废气及烟尘、废弃物处理和排放等生产及配套、辅助系统分专业模型及综合模型文件。</w:t>
      </w:r>
    </w:p>
    <w:p w14:paraId="276FB3EB">
      <w:pPr>
        <w:widowControl w:val="0"/>
        <w:adjustRightInd w:val="0"/>
        <w:snapToGrid w:val="0"/>
        <w:rPr>
          <w:rFonts w:hint="eastAsia"/>
          <w:sz w:val="21"/>
          <w:szCs w:val="21"/>
        </w:rPr>
      </w:pPr>
      <w:r>
        <w:rPr>
          <w:sz w:val="21"/>
          <w:szCs w:val="21"/>
        </w:rPr>
        <w:t>7.2.4</w:t>
      </w:r>
      <w:r>
        <w:rPr>
          <w:rFonts w:hint="eastAsia"/>
          <w:sz w:val="21"/>
          <w:szCs w:val="21"/>
        </w:rPr>
        <w:t xml:space="preserve"> </w:t>
      </w:r>
      <w:r>
        <w:rPr>
          <w:sz w:val="21"/>
          <w:szCs w:val="21"/>
        </w:rPr>
        <w:t xml:space="preserve"> 根据电力建设工程设计行业标准要求，基于维护、保养、更换、质量追溯等需求，为设备设施建立相应编码，并确保编码唯一性、准确性。</w:t>
      </w:r>
    </w:p>
    <w:p w14:paraId="03561943">
      <w:pPr>
        <w:widowControl w:val="0"/>
        <w:adjustRightInd w:val="0"/>
        <w:snapToGrid w:val="0"/>
        <w:rPr>
          <w:rFonts w:hint="eastAsia"/>
          <w:sz w:val="21"/>
          <w:szCs w:val="21"/>
        </w:rPr>
      </w:pPr>
      <w:r>
        <w:rPr>
          <w:sz w:val="21"/>
          <w:szCs w:val="21"/>
        </w:rPr>
        <w:t>7.2.5</w:t>
      </w:r>
      <w:r>
        <w:rPr>
          <w:rFonts w:hint="eastAsia"/>
          <w:sz w:val="21"/>
          <w:szCs w:val="21"/>
        </w:rPr>
        <w:t xml:space="preserve"> </w:t>
      </w:r>
      <w:r>
        <w:rPr>
          <w:sz w:val="21"/>
          <w:szCs w:val="21"/>
        </w:rPr>
        <w:t xml:space="preserve"> 绿色建造项目应同时提供实体及数字化交付成果。数字化交付成果应保证与实体交付成果信息一致。</w:t>
      </w:r>
    </w:p>
    <w:p w14:paraId="1913DF7B">
      <w:pPr>
        <w:widowControl w:val="0"/>
        <w:adjustRightInd w:val="0"/>
        <w:snapToGrid w:val="0"/>
        <w:rPr>
          <w:rFonts w:hint="eastAsia"/>
          <w:sz w:val="21"/>
          <w:szCs w:val="21"/>
        </w:rPr>
      </w:pPr>
      <w:r>
        <w:rPr>
          <w:sz w:val="21"/>
          <w:szCs w:val="21"/>
        </w:rPr>
        <w:t>7.2.6</w:t>
      </w:r>
      <w:r>
        <w:rPr>
          <w:rFonts w:hint="eastAsia"/>
          <w:sz w:val="21"/>
          <w:szCs w:val="21"/>
        </w:rPr>
        <w:t xml:space="preserve"> </w:t>
      </w:r>
      <w:r>
        <w:rPr>
          <w:sz w:val="21"/>
          <w:szCs w:val="21"/>
        </w:rPr>
        <w:t xml:space="preserve"> 实现工程数据、逻辑模型、三维模型、图纸等有机关联；实现项目数字化孪生；实现基建数据与生产运营数据无缝对接。</w:t>
      </w:r>
    </w:p>
    <w:p w14:paraId="2A7137BE">
      <w:pPr>
        <w:spacing w:before="120" w:beforeLines="50" w:after="240" w:afterLines="100"/>
        <w:jc w:val="center"/>
        <w:outlineLvl w:val="1"/>
        <w:rPr>
          <w:rFonts w:hint="eastAsia"/>
          <w:sz w:val="21"/>
          <w:szCs w:val="21"/>
        </w:rPr>
      </w:pPr>
      <w:bookmarkStart w:id="635" w:name="_Toc169276218"/>
      <w:bookmarkStart w:id="636" w:name="_Toc174141255"/>
      <w:bookmarkStart w:id="637" w:name="_Toc14458"/>
      <w:bookmarkStart w:id="638" w:name="_Toc4695"/>
      <w:r>
        <w:rPr>
          <w:rFonts w:hint="eastAsia"/>
          <w:sz w:val="21"/>
          <w:szCs w:val="21"/>
        </w:rPr>
        <w:t xml:space="preserve">7.3 </w:t>
      </w:r>
      <w:r>
        <w:rPr>
          <w:sz w:val="21"/>
          <w:szCs w:val="21"/>
        </w:rPr>
        <w:t xml:space="preserve"> </w:t>
      </w:r>
      <w:r>
        <w:rPr>
          <w:rFonts w:hint="eastAsia"/>
          <w:sz w:val="21"/>
          <w:szCs w:val="21"/>
        </w:rPr>
        <w:t>绿色效果评估</w:t>
      </w:r>
      <w:bookmarkEnd w:id="635"/>
      <w:bookmarkEnd w:id="636"/>
      <w:bookmarkEnd w:id="637"/>
      <w:bookmarkEnd w:id="638"/>
    </w:p>
    <w:p w14:paraId="5474477E">
      <w:pPr>
        <w:widowControl w:val="0"/>
        <w:adjustRightInd w:val="0"/>
        <w:snapToGrid w:val="0"/>
        <w:rPr>
          <w:rFonts w:hint="eastAsia"/>
          <w:sz w:val="21"/>
          <w:szCs w:val="21"/>
        </w:rPr>
      </w:pPr>
      <w:r>
        <w:rPr>
          <w:sz w:val="21"/>
          <w:szCs w:val="21"/>
        </w:rPr>
        <w:t>7.</w:t>
      </w:r>
      <w:r>
        <w:rPr>
          <w:rFonts w:hint="eastAsia"/>
          <w:sz w:val="21"/>
          <w:szCs w:val="21"/>
        </w:rPr>
        <w:t>3</w:t>
      </w:r>
      <w:r>
        <w:rPr>
          <w:sz w:val="21"/>
          <w:szCs w:val="21"/>
        </w:rPr>
        <w:t>.1</w:t>
      </w:r>
      <w:r>
        <w:rPr>
          <w:rFonts w:hint="eastAsia"/>
          <w:sz w:val="21"/>
          <w:szCs w:val="21"/>
        </w:rPr>
        <w:t xml:space="preserve"> </w:t>
      </w:r>
      <w:r>
        <w:rPr>
          <w:sz w:val="21"/>
          <w:szCs w:val="21"/>
        </w:rPr>
        <w:t xml:space="preserve"> 移交后的场地能够保持良好状态并达到预期效果。场地清理、土壤改良、植被恢复、养护管理方面符合标准要求。</w:t>
      </w:r>
    </w:p>
    <w:p w14:paraId="0BE793F4">
      <w:pPr>
        <w:widowControl w:val="0"/>
        <w:adjustRightInd w:val="0"/>
        <w:snapToGrid w:val="0"/>
        <w:rPr>
          <w:rFonts w:hint="eastAsia"/>
          <w:sz w:val="21"/>
          <w:szCs w:val="21"/>
        </w:rPr>
      </w:pPr>
      <w:r>
        <w:rPr>
          <w:rFonts w:hint="eastAsia"/>
          <w:sz w:val="21"/>
          <w:szCs w:val="21"/>
        </w:rPr>
        <w:t xml:space="preserve">7.3.2 </w:t>
      </w:r>
      <w:r>
        <w:rPr>
          <w:sz w:val="21"/>
          <w:szCs w:val="21"/>
        </w:rPr>
        <w:t xml:space="preserve"> 分阶段</w:t>
      </w:r>
      <w:r>
        <w:rPr>
          <w:rFonts w:hint="eastAsia"/>
          <w:sz w:val="21"/>
          <w:szCs w:val="21"/>
        </w:rPr>
        <w:t>开展</w:t>
      </w:r>
      <w:r>
        <w:rPr>
          <w:sz w:val="21"/>
          <w:szCs w:val="21"/>
        </w:rPr>
        <w:t>绿色建造自评价</w:t>
      </w:r>
      <w:r>
        <w:rPr>
          <w:rFonts w:hint="eastAsia"/>
          <w:sz w:val="21"/>
          <w:szCs w:val="21"/>
        </w:rPr>
        <w:t>工作</w:t>
      </w:r>
      <w:r>
        <w:rPr>
          <w:sz w:val="21"/>
          <w:szCs w:val="21"/>
        </w:rPr>
        <w:t>，</w:t>
      </w:r>
      <w:r>
        <w:rPr>
          <w:rFonts w:hint="eastAsia"/>
          <w:sz w:val="21"/>
          <w:szCs w:val="21"/>
        </w:rPr>
        <w:t>提供</w:t>
      </w:r>
      <w:r>
        <w:rPr>
          <w:sz w:val="21"/>
          <w:szCs w:val="21"/>
        </w:rPr>
        <w:t>相关支撑性材料</w:t>
      </w:r>
      <w:r>
        <w:rPr>
          <w:rFonts w:hint="eastAsia"/>
          <w:sz w:val="21"/>
          <w:szCs w:val="21"/>
        </w:rPr>
        <w:t>。</w:t>
      </w:r>
      <w:r>
        <w:rPr>
          <w:sz w:val="21"/>
          <w:szCs w:val="21"/>
        </w:rPr>
        <w:t>包括以下内容</w:t>
      </w:r>
      <w:r>
        <w:rPr>
          <w:rFonts w:hint="eastAsia"/>
          <w:sz w:val="21"/>
          <w:szCs w:val="21"/>
        </w:rPr>
        <w:t>：</w:t>
      </w:r>
    </w:p>
    <w:p w14:paraId="4E23AFB0">
      <w:pPr>
        <w:widowControl w:val="0"/>
        <w:adjustRightInd w:val="0"/>
        <w:snapToGrid w:val="0"/>
        <w:ind w:firstLine="420" w:firstLineChars="200"/>
        <w:rPr>
          <w:rFonts w:hint="eastAsia"/>
          <w:sz w:val="21"/>
          <w:szCs w:val="21"/>
        </w:rPr>
      </w:pPr>
      <w:r>
        <w:rPr>
          <w:sz w:val="21"/>
          <w:szCs w:val="21"/>
        </w:rPr>
        <w:t>1</w:t>
      </w:r>
      <w:r>
        <w:rPr>
          <w:rFonts w:hint="eastAsia"/>
          <w:sz w:val="21"/>
          <w:szCs w:val="21"/>
        </w:rPr>
        <w:t xml:space="preserve"> </w:t>
      </w:r>
      <w:r>
        <w:rPr>
          <w:sz w:val="21"/>
          <w:szCs w:val="21"/>
        </w:rPr>
        <w:t xml:space="preserve"> 固体废弃物、污水、噪声、无组织排放、电磁辐射、空气质量等监测报告以及环境保护“三同时”证明材料。</w:t>
      </w:r>
    </w:p>
    <w:p w14:paraId="4A17C7AE">
      <w:pPr>
        <w:widowControl w:val="0"/>
        <w:adjustRightInd w:val="0"/>
        <w:snapToGrid w:val="0"/>
        <w:ind w:firstLine="420" w:firstLineChars="200"/>
        <w:rPr>
          <w:rFonts w:hint="eastAsia"/>
          <w:sz w:val="21"/>
          <w:szCs w:val="21"/>
        </w:rPr>
      </w:pPr>
      <w:r>
        <w:rPr>
          <w:sz w:val="21"/>
          <w:szCs w:val="21"/>
        </w:rPr>
        <w:t>2</w:t>
      </w:r>
      <w:r>
        <w:rPr>
          <w:rFonts w:hint="eastAsia"/>
          <w:sz w:val="21"/>
          <w:szCs w:val="21"/>
        </w:rPr>
        <w:t xml:space="preserve"> </w:t>
      </w:r>
      <w:r>
        <w:rPr>
          <w:sz w:val="21"/>
          <w:szCs w:val="21"/>
        </w:rPr>
        <w:t xml:space="preserve"> 碳排放分析、环保、水保验收等报告。     </w:t>
      </w:r>
    </w:p>
    <w:p w14:paraId="0D5448C3">
      <w:pPr>
        <w:widowControl w:val="0"/>
        <w:adjustRightInd w:val="0"/>
        <w:snapToGrid w:val="0"/>
        <w:ind w:firstLine="420" w:firstLineChars="200"/>
        <w:rPr>
          <w:rFonts w:hint="eastAsia"/>
          <w:sz w:val="21"/>
          <w:szCs w:val="21"/>
        </w:rPr>
      </w:pPr>
      <w:r>
        <w:rPr>
          <w:sz w:val="21"/>
          <w:szCs w:val="21"/>
        </w:rPr>
        <w:t>3</w:t>
      </w:r>
      <w:r>
        <w:rPr>
          <w:rFonts w:hint="eastAsia"/>
          <w:sz w:val="21"/>
          <w:szCs w:val="21"/>
        </w:rPr>
        <w:t xml:space="preserve"> </w:t>
      </w:r>
      <w:r>
        <w:rPr>
          <w:sz w:val="21"/>
          <w:szCs w:val="21"/>
        </w:rPr>
        <w:t xml:space="preserve"> 技术先进、资源节约、生态环保、科技创新等方面证明材料。</w:t>
      </w:r>
    </w:p>
    <w:p w14:paraId="75781F8D">
      <w:pPr>
        <w:widowControl w:val="0"/>
        <w:adjustRightInd w:val="0"/>
        <w:snapToGrid w:val="0"/>
        <w:rPr>
          <w:rFonts w:hint="eastAsia"/>
          <w:sz w:val="21"/>
          <w:szCs w:val="21"/>
        </w:rPr>
      </w:pPr>
      <w:r>
        <w:rPr>
          <w:sz w:val="21"/>
          <w:szCs w:val="21"/>
        </w:rPr>
        <w:t>7.3.</w:t>
      </w:r>
      <w:r>
        <w:rPr>
          <w:rFonts w:hint="eastAsia"/>
          <w:sz w:val="21"/>
          <w:szCs w:val="21"/>
        </w:rPr>
        <w:t xml:space="preserve">3 </w:t>
      </w:r>
      <w:r>
        <w:rPr>
          <w:sz w:val="21"/>
          <w:szCs w:val="21"/>
        </w:rPr>
        <w:t xml:space="preserve"> 进行项目绿色建造的效果评估并编制评估报告。效果评估可采用内部自评的形式，或委托具备评估能力的技术服务单位进行评估。</w:t>
      </w:r>
    </w:p>
    <w:p w14:paraId="1C5F65B4">
      <w:pPr>
        <w:widowControl w:val="0"/>
        <w:adjustRightInd w:val="0"/>
        <w:snapToGrid w:val="0"/>
        <w:rPr>
          <w:rFonts w:hint="eastAsia"/>
          <w:sz w:val="21"/>
          <w:szCs w:val="21"/>
        </w:rPr>
      </w:pPr>
      <w:r>
        <w:rPr>
          <w:sz w:val="21"/>
          <w:szCs w:val="21"/>
        </w:rPr>
        <w:t>7.3.</w:t>
      </w:r>
      <w:r>
        <w:rPr>
          <w:rFonts w:hint="eastAsia"/>
          <w:sz w:val="21"/>
          <w:szCs w:val="21"/>
        </w:rPr>
        <w:t xml:space="preserve">4 </w:t>
      </w:r>
      <w:r>
        <w:rPr>
          <w:sz w:val="21"/>
          <w:szCs w:val="21"/>
        </w:rPr>
        <w:t xml:space="preserve"> </w:t>
      </w:r>
      <w:r>
        <w:rPr>
          <w:rFonts w:hint="eastAsia"/>
          <w:sz w:val="21"/>
          <w:szCs w:val="21"/>
        </w:rPr>
        <w:t>效果评估</w:t>
      </w:r>
      <w:r>
        <w:rPr>
          <w:sz w:val="21"/>
          <w:szCs w:val="21"/>
        </w:rPr>
        <w:t>通过检查工程实体质量、核查工程项目文件，重点从工程绿色建造管控水平、技术先进性、资源节约效果、环境保护效果和综合效能指标等方面，对工程绿色建造的整体水平进行量化评分和综合评价。</w:t>
      </w:r>
    </w:p>
    <w:p w14:paraId="12CD5913">
      <w:pPr>
        <w:rPr>
          <w:rFonts w:hint="eastAsia"/>
        </w:rPr>
      </w:pPr>
    </w:p>
    <w:p w14:paraId="6ADEE798">
      <w:pPr>
        <w:rPr>
          <w:rFonts w:hint="eastAsia"/>
        </w:rPr>
      </w:pPr>
    </w:p>
    <w:p w14:paraId="0467AD2E">
      <w:pPr>
        <w:rPr>
          <w:rFonts w:hint="eastAsia"/>
        </w:rPr>
      </w:pPr>
    </w:p>
    <w:p w14:paraId="186B7409">
      <w:pPr>
        <w:rPr>
          <w:rFonts w:hint="eastAsia"/>
        </w:rPr>
      </w:pPr>
    </w:p>
    <w:p w14:paraId="6D4F4B31">
      <w:pPr>
        <w:rPr>
          <w:rFonts w:hint="eastAsia"/>
        </w:rPr>
      </w:pPr>
    </w:p>
    <w:p w14:paraId="16049369">
      <w:pPr>
        <w:rPr>
          <w:rFonts w:hint="eastAsia"/>
        </w:rPr>
      </w:pPr>
    </w:p>
    <w:p w14:paraId="4897D951">
      <w:pPr>
        <w:rPr>
          <w:rFonts w:hint="eastAsia"/>
        </w:rPr>
      </w:pPr>
    </w:p>
    <w:p w14:paraId="0478DEC8">
      <w:pPr>
        <w:rPr>
          <w:rFonts w:hint="eastAsia"/>
        </w:rPr>
      </w:pPr>
    </w:p>
    <w:p w14:paraId="2C0756C7">
      <w:pPr>
        <w:rPr>
          <w:rFonts w:hint="eastAsia"/>
        </w:rPr>
      </w:pPr>
    </w:p>
    <w:p w14:paraId="3098EC02">
      <w:pPr>
        <w:rPr>
          <w:rFonts w:hint="eastAsia"/>
        </w:rPr>
      </w:pPr>
    </w:p>
    <w:p w14:paraId="75A2C8CA">
      <w:pPr>
        <w:rPr>
          <w:rFonts w:hint="eastAsia"/>
        </w:rPr>
      </w:pPr>
    </w:p>
    <w:p w14:paraId="00FDD2D7">
      <w:pPr>
        <w:rPr>
          <w:rFonts w:hint="eastAsia"/>
        </w:rPr>
      </w:pPr>
    </w:p>
    <w:p w14:paraId="248E337C">
      <w:pPr>
        <w:rPr>
          <w:rFonts w:hint="eastAsia"/>
        </w:rPr>
      </w:pPr>
    </w:p>
    <w:p w14:paraId="7E59EA6B">
      <w:pPr>
        <w:rPr>
          <w:rFonts w:hint="eastAsia"/>
        </w:rPr>
      </w:pPr>
    </w:p>
    <w:p w14:paraId="5A83166C">
      <w:pPr>
        <w:rPr>
          <w:rFonts w:hint="eastAsia"/>
        </w:rPr>
      </w:pPr>
    </w:p>
    <w:p w14:paraId="72002617">
      <w:pPr>
        <w:widowControl w:val="0"/>
        <w:adjustRightInd w:val="0"/>
        <w:snapToGrid w:val="0"/>
        <w:jc w:val="left"/>
        <w:rPr>
          <w:rFonts w:hint="eastAsia"/>
          <w:sz w:val="21"/>
          <w:szCs w:val="21"/>
        </w:rPr>
      </w:pPr>
    </w:p>
    <w:p w14:paraId="0B77FE2D">
      <w:pPr>
        <w:widowControl w:val="0"/>
        <w:adjustRightInd w:val="0"/>
        <w:snapToGrid w:val="0"/>
        <w:jc w:val="left"/>
        <w:rPr>
          <w:rFonts w:hint="eastAsia"/>
          <w:sz w:val="21"/>
          <w:szCs w:val="21"/>
        </w:rPr>
        <w:sectPr>
          <w:pgSz w:w="9979" w:h="14181"/>
          <w:pgMar w:top="1418" w:right="1134" w:bottom="1134" w:left="1418" w:header="851" w:footer="992" w:gutter="0"/>
          <w:cols w:space="425" w:num="1"/>
          <w:docGrid w:linePitch="326" w:charSpace="0"/>
        </w:sectPr>
      </w:pPr>
    </w:p>
    <w:p w14:paraId="591F6086">
      <w:pPr>
        <w:spacing w:before="120" w:beforeLines="50" w:after="240" w:afterLines="100"/>
        <w:jc w:val="center"/>
        <w:outlineLvl w:val="0"/>
        <w:rPr>
          <w:rFonts w:hint="eastAsia"/>
          <w:sz w:val="21"/>
          <w:szCs w:val="21"/>
        </w:rPr>
      </w:pPr>
      <w:bookmarkStart w:id="639" w:name="_Toc24860"/>
      <w:bookmarkStart w:id="640" w:name="_Toc23394"/>
      <w:r>
        <w:rPr>
          <w:rFonts w:hint="eastAsia"/>
          <w:sz w:val="21"/>
          <w:szCs w:val="21"/>
        </w:rPr>
        <w:t>附</w:t>
      </w:r>
      <w:r>
        <w:rPr>
          <w:sz w:val="21"/>
          <w:szCs w:val="21"/>
        </w:rPr>
        <w:t>录</w:t>
      </w:r>
      <w:r>
        <w:rPr>
          <w:rFonts w:hint="eastAsia"/>
          <w:sz w:val="21"/>
          <w:szCs w:val="21"/>
        </w:rPr>
        <w:t>A</w:t>
      </w:r>
      <w:r>
        <w:rPr>
          <w:sz w:val="21"/>
          <w:szCs w:val="21"/>
        </w:rPr>
        <w:t xml:space="preserve">  </w:t>
      </w:r>
      <w:r>
        <w:rPr>
          <w:rFonts w:hint="eastAsia"/>
          <w:sz w:val="21"/>
          <w:szCs w:val="21"/>
        </w:rPr>
        <w:t>绿色策划评价表</w:t>
      </w:r>
      <w:bookmarkEnd w:id="639"/>
      <w:bookmarkEnd w:id="640"/>
    </w:p>
    <w:p w14:paraId="23C6EAEB">
      <w:pPr>
        <w:jc w:val="center"/>
        <w:rPr>
          <w:rFonts w:hint="eastAsia"/>
          <w:sz w:val="21"/>
          <w:szCs w:val="21"/>
        </w:rPr>
      </w:pPr>
      <w:r>
        <w:rPr>
          <w:rFonts w:hint="eastAsia"/>
          <w:sz w:val="21"/>
          <w:szCs w:val="21"/>
        </w:rPr>
        <w:t>表A</w:t>
      </w:r>
      <w:r>
        <w:rPr>
          <w:sz w:val="21"/>
          <w:szCs w:val="21"/>
        </w:rPr>
        <w:t xml:space="preserve">  </w:t>
      </w:r>
      <w:r>
        <w:rPr>
          <w:rFonts w:hint="eastAsia"/>
          <w:sz w:val="21"/>
          <w:szCs w:val="21"/>
        </w:rPr>
        <w:t>绿色策划评价表</w:t>
      </w:r>
    </w:p>
    <w:tbl>
      <w:tblPr>
        <w:tblStyle w:val="34"/>
        <w:tblW w:w="11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57" w:type="dxa"/>
          <w:bottom w:w="85" w:type="dxa"/>
          <w:right w:w="57" w:type="dxa"/>
        </w:tblCellMar>
      </w:tblPr>
      <w:tblGrid>
        <w:gridCol w:w="989"/>
        <w:gridCol w:w="4116"/>
        <w:gridCol w:w="4246"/>
        <w:gridCol w:w="1134"/>
        <w:gridCol w:w="1134"/>
      </w:tblGrid>
      <w:tr w14:paraId="30DAB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rPr>
          <w:tblHeader/>
        </w:trPr>
        <w:tc>
          <w:tcPr>
            <w:tcW w:w="989" w:type="dxa"/>
            <w:tcMar>
              <w:top w:w="85" w:type="dxa"/>
              <w:left w:w="113" w:type="dxa"/>
              <w:bottom w:w="85" w:type="dxa"/>
              <w:right w:w="113" w:type="dxa"/>
            </w:tcMar>
            <w:vAlign w:val="center"/>
          </w:tcPr>
          <w:p w14:paraId="212F04FA">
            <w:pPr>
              <w:adjustRightInd w:val="0"/>
              <w:snapToGrid w:val="0"/>
              <w:jc w:val="center"/>
              <w:rPr>
                <w:rFonts w:hint="eastAsia"/>
                <w:b/>
                <w:bCs/>
                <w:color w:val="000000"/>
                <w:sz w:val="21"/>
                <w:szCs w:val="21"/>
              </w:rPr>
            </w:pPr>
            <w:r>
              <w:rPr>
                <w:rFonts w:hint="eastAsia"/>
                <w:b/>
                <w:bCs/>
                <w:color w:val="000000"/>
                <w:sz w:val="21"/>
                <w:szCs w:val="21"/>
              </w:rPr>
              <w:t>序号</w:t>
            </w:r>
          </w:p>
        </w:tc>
        <w:tc>
          <w:tcPr>
            <w:tcW w:w="4116" w:type="dxa"/>
            <w:tcMar>
              <w:top w:w="85" w:type="dxa"/>
              <w:left w:w="113" w:type="dxa"/>
              <w:bottom w:w="85" w:type="dxa"/>
              <w:right w:w="113" w:type="dxa"/>
            </w:tcMar>
            <w:vAlign w:val="center"/>
          </w:tcPr>
          <w:p w14:paraId="23DEA8DD">
            <w:pPr>
              <w:adjustRightInd w:val="0"/>
              <w:snapToGrid w:val="0"/>
              <w:jc w:val="center"/>
              <w:rPr>
                <w:rFonts w:hint="eastAsia"/>
                <w:b/>
                <w:bCs/>
                <w:color w:val="000000"/>
                <w:sz w:val="21"/>
                <w:szCs w:val="21"/>
              </w:rPr>
            </w:pPr>
            <w:r>
              <w:rPr>
                <w:rFonts w:hint="eastAsia"/>
                <w:b/>
                <w:bCs/>
                <w:color w:val="000000"/>
                <w:sz w:val="21"/>
                <w:szCs w:val="21"/>
              </w:rPr>
              <w:t>评</w:t>
            </w:r>
            <w:r>
              <w:rPr>
                <w:b/>
                <w:bCs/>
                <w:color w:val="000000"/>
                <w:sz w:val="21"/>
                <w:szCs w:val="21"/>
              </w:rPr>
              <w:t>价内容</w:t>
            </w:r>
          </w:p>
        </w:tc>
        <w:tc>
          <w:tcPr>
            <w:tcW w:w="4246" w:type="dxa"/>
            <w:tcMar>
              <w:top w:w="85" w:type="dxa"/>
              <w:left w:w="113" w:type="dxa"/>
              <w:bottom w:w="85" w:type="dxa"/>
              <w:right w:w="113" w:type="dxa"/>
            </w:tcMar>
            <w:vAlign w:val="center"/>
          </w:tcPr>
          <w:p w14:paraId="3000E90C">
            <w:pPr>
              <w:topLinePunct/>
              <w:adjustRightInd w:val="0"/>
              <w:snapToGrid w:val="0"/>
              <w:spacing w:line="300" w:lineRule="auto"/>
              <w:jc w:val="center"/>
              <w:rPr>
                <w:rFonts w:hint="eastAsia"/>
                <w:b/>
                <w:bCs/>
                <w:color w:val="000000"/>
                <w:sz w:val="21"/>
                <w:szCs w:val="21"/>
              </w:rPr>
            </w:pPr>
            <w:r>
              <w:rPr>
                <w:rFonts w:hint="eastAsia"/>
                <w:b/>
                <w:bCs/>
                <w:color w:val="000000"/>
                <w:sz w:val="21"/>
                <w:szCs w:val="21"/>
              </w:rPr>
              <w:t>评分标准</w:t>
            </w:r>
          </w:p>
        </w:tc>
        <w:tc>
          <w:tcPr>
            <w:tcW w:w="1134" w:type="dxa"/>
            <w:tcMar>
              <w:top w:w="85" w:type="dxa"/>
              <w:left w:w="113" w:type="dxa"/>
              <w:bottom w:w="85" w:type="dxa"/>
              <w:right w:w="113" w:type="dxa"/>
            </w:tcMar>
            <w:vAlign w:val="center"/>
          </w:tcPr>
          <w:p w14:paraId="2DF94521">
            <w:pPr>
              <w:topLinePunct/>
              <w:adjustRightInd w:val="0"/>
              <w:snapToGrid w:val="0"/>
              <w:spacing w:line="300" w:lineRule="auto"/>
              <w:ind w:left="-57" w:right="-57"/>
              <w:jc w:val="center"/>
              <w:rPr>
                <w:rFonts w:hint="eastAsia"/>
                <w:b/>
                <w:bCs/>
                <w:color w:val="000000"/>
                <w:sz w:val="21"/>
                <w:szCs w:val="21"/>
              </w:rPr>
            </w:pPr>
            <w:r>
              <w:rPr>
                <w:rFonts w:hint="eastAsia"/>
                <w:b/>
                <w:bCs/>
                <w:color w:val="000000"/>
                <w:sz w:val="21"/>
                <w:szCs w:val="21"/>
              </w:rPr>
              <w:t>标准分</w:t>
            </w:r>
          </w:p>
        </w:tc>
        <w:tc>
          <w:tcPr>
            <w:tcW w:w="1134" w:type="dxa"/>
            <w:tcMar>
              <w:top w:w="85" w:type="dxa"/>
              <w:left w:w="113" w:type="dxa"/>
              <w:bottom w:w="85" w:type="dxa"/>
              <w:right w:w="113" w:type="dxa"/>
            </w:tcMar>
            <w:vAlign w:val="center"/>
          </w:tcPr>
          <w:p w14:paraId="4EDDDFAD">
            <w:pPr>
              <w:topLinePunct/>
              <w:adjustRightInd w:val="0"/>
              <w:snapToGrid w:val="0"/>
              <w:spacing w:line="300" w:lineRule="auto"/>
              <w:ind w:left="-57" w:right="-57"/>
              <w:jc w:val="center"/>
              <w:rPr>
                <w:rFonts w:hint="eastAsia"/>
                <w:b/>
                <w:bCs/>
                <w:color w:val="000000"/>
                <w:sz w:val="21"/>
                <w:szCs w:val="21"/>
              </w:rPr>
            </w:pPr>
            <w:r>
              <w:rPr>
                <w:rFonts w:hint="eastAsia"/>
                <w:b/>
                <w:bCs/>
                <w:color w:val="000000"/>
                <w:sz w:val="21"/>
                <w:szCs w:val="21"/>
              </w:rPr>
              <w:t>得分</w:t>
            </w:r>
          </w:p>
        </w:tc>
      </w:tr>
      <w:tr w14:paraId="4B9C6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89" w:type="dxa"/>
            <w:tcMar>
              <w:top w:w="85" w:type="dxa"/>
              <w:left w:w="113" w:type="dxa"/>
              <w:bottom w:w="85" w:type="dxa"/>
              <w:right w:w="113" w:type="dxa"/>
            </w:tcMar>
            <w:vAlign w:val="center"/>
          </w:tcPr>
          <w:p w14:paraId="52AF2B2C">
            <w:pPr>
              <w:topLinePunct/>
              <w:adjustRightInd w:val="0"/>
              <w:snapToGrid w:val="0"/>
              <w:spacing w:line="300" w:lineRule="auto"/>
              <w:jc w:val="center"/>
              <w:rPr>
                <w:rFonts w:hint="eastAsia" w:cs="Times New Roman"/>
                <w:b/>
                <w:bCs/>
                <w:sz w:val="21"/>
                <w:szCs w:val="21"/>
              </w:rPr>
            </w:pPr>
            <w:r>
              <w:rPr>
                <w:rFonts w:hint="eastAsia" w:cs="Times New Roman"/>
                <w:b/>
                <w:bCs/>
                <w:sz w:val="21"/>
                <w:szCs w:val="21"/>
              </w:rPr>
              <w:t>4</w:t>
            </w:r>
          </w:p>
        </w:tc>
        <w:tc>
          <w:tcPr>
            <w:tcW w:w="4116" w:type="dxa"/>
            <w:tcMar>
              <w:top w:w="85" w:type="dxa"/>
              <w:left w:w="113" w:type="dxa"/>
              <w:bottom w:w="85" w:type="dxa"/>
              <w:right w:w="113" w:type="dxa"/>
            </w:tcMar>
            <w:vAlign w:val="center"/>
          </w:tcPr>
          <w:p w14:paraId="25181373">
            <w:pPr>
              <w:topLinePunct/>
              <w:adjustRightInd w:val="0"/>
              <w:snapToGrid w:val="0"/>
              <w:spacing w:line="300" w:lineRule="auto"/>
              <w:ind w:left="-57" w:right="-57"/>
              <w:rPr>
                <w:rFonts w:hint="eastAsia" w:cs="宋体"/>
                <w:b/>
                <w:bCs/>
                <w:sz w:val="21"/>
                <w:szCs w:val="21"/>
                <w:lang w:bidi="ar"/>
              </w:rPr>
            </w:pPr>
            <w:r>
              <w:rPr>
                <w:rFonts w:hint="eastAsia" w:cs="宋体"/>
                <w:b/>
                <w:bCs/>
                <w:sz w:val="21"/>
                <w:szCs w:val="21"/>
                <w:lang w:bidi="ar"/>
              </w:rPr>
              <w:t>绿色策划</w:t>
            </w:r>
          </w:p>
        </w:tc>
        <w:tc>
          <w:tcPr>
            <w:tcW w:w="4246" w:type="dxa"/>
            <w:vAlign w:val="center"/>
          </w:tcPr>
          <w:p w14:paraId="27AEDBCD">
            <w:pPr>
              <w:topLinePunct/>
              <w:adjustRightInd w:val="0"/>
              <w:snapToGrid w:val="0"/>
              <w:spacing w:line="300" w:lineRule="auto"/>
              <w:ind w:left="-57" w:right="-57"/>
              <w:rPr>
                <w:rFonts w:hint="eastAsia" w:cs="宋体"/>
                <w:b/>
                <w:bCs/>
                <w:sz w:val="21"/>
                <w:szCs w:val="21"/>
                <w:lang w:bidi="ar"/>
              </w:rPr>
            </w:pPr>
          </w:p>
        </w:tc>
        <w:tc>
          <w:tcPr>
            <w:tcW w:w="1134" w:type="dxa"/>
            <w:vAlign w:val="center"/>
          </w:tcPr>
          <w:p w14:paraId="7A3303B6">
            <w:pPr>
              <w:topLinePunct/>
              <w:adjustRightInd w:val="0"/>
              <w:snapToGrid w:val="0"/>
              <w:spacing w:line="300" w:lineRule="auto"/>
              <w:ind w:left="-57" w:right="-57"/>
              <w:rPr>
                <w:rFonts w:hint="eastAsia" w:cs="宋体"/>
                <w:b/>
                <w:bCs/>
                <w:sz w:val="21"/>
                <w:szCs w:val="21"/>
                <w:lang w:bidi="ar"/>
              </w:rPr>
            </w:pPr>
          </w:p>
        </w:tc>
        <w:tc>
          <w:tcPr>
            <w:tcW w:w="1134" w:type="dxa"/>
            <w:vAlign w:val="center"/>
          </w:tcPr>
          <w:p w14:paraId="12225ED2">
            <w:pPr>
              <w:topLinePunct/>
              <w:adjustRightInd w:val="0"/>
              <w:snapToGrid w:val="0"/>
              <w:spacing w:line="300" w:lineRule="auto"/>
              <w:ind w:left="-57" w:right="-57"/>
              <w:rPr>
                <w:rFonts w:hint="eastAsia" w:cs="宋体"/>
                <w:b/>
                <w:bCs/>
                <w:sz w:val="21"/>
                <w:szCs w:val="21"/>
                <w:lang w:bidi="ar"/>
              </w:rPr>
            </w:pPr>
          </w:p>
        </w:tc>
      </w:tr>
      <w:tr w14:paraId="14DC6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89" w:type="dxa"/>
            <w:tcMar>
              <w:top w:w="85" w:type="dxa"/>
              <w:left w:w="113" w:type="dxa"/>
              <w:bottom w:w="85" w:type="dxa"/>
              <w:right w:w="113" w:type="dxa"/>
            </w:tcMar>
            <w:vAlign w:val="center"/>
          </w:tcPr>
          <w:p w14:paraId="496681F1">
            <w:pPr>
              <w:topLinePunct/>
              <w:adjustRightInd w:val="0"/>
              <w:snapToGrid w:val="0"/>
              <w:spacing w:line="300" w:lineRule="auto"/>
              <w:jc w:val="center"/>
              <w:rPr>
                <w:rFonts w:hint="eastAsia" w:cs="宋体"/>
                <w:b/>
                <w:bCs/>
                <w:sz w:val="21"/>
                <w:szCs w:val="21"/>
                <w:lang w:bidi="ar"/>
              </w:rPr>
            </w:pPr>
            <w:r>
              <w:rPr>
                <w:rFonts w:cs="Times New Roman"/>
                <w:b/>
                <w:bCs/>
                <w:sz w:val="21"/>
                <w:szCs w:val="21"/>
              </w:rPr>
              <w:t>4.1</w:t>
            </w:r>
          </w:p>
        </w:tc>
        <w:tc>
          <w:tcPr>
            <w:tcW w:w="4116" w:type="dxa"/>
            <w:tcMar>
              <w:top w:w="85" w:type="dxa"/>
              <w:left w:w="113" w:type="dxa"/>
              <w:bottom w:w="85" w:type="dxa"/>
              <w:right w:w="113" w:type="dxa"/>
            </w:tcMar>
            <w:vAlign w:val="center"/>
          </w:tcPr>
          <w:p w14:paraId="7C93CC25">
            <w:pPr>
              <w:topLinePunct/>
              <w:adjustRightInd w:val="0"/>
              <w:snapToGrid w:val="0"/>
              <w:spacing w:line="300" w:lineRule="auto"/>
              <w:ind w:left="-57" w:right="-57"/>
              <w:rPr>
                <w:rFonts w:hint="eastAsia" w:cs="宋体"/>
                <w:b/>
                <w:bCs/>
                <w:sz w:val="21"/>
                <w:szCs w:val="21"/>
              </w:rPr>
            </w:pPr>
            <w:r>
              <w:rPr>
                <w:rFonts w:hint="eastAsia" w:cs="宋体"/>
                <w:b/>
                <w:bCs/>
                <w:sz w:val="21"/>
                <w:szCs w:val="21"/>
                <w:lang w:bidi="ar"/>
              </w:rPr>
              <w:t>总体策划</w:t>
            </w:r>
          </w:p>
        </w:tc>
        <w:tc>
          <w:tcPr>
            <w:tcW w:w="4246" w:type="dxa"/>
            <w:vAlign w:val="center"/>
          </w:tcPr>
          <w:p w14:paraId="4D0BA03A">
            <w:pPr>
              <w:topLinePunct/>
              <w:adjustRightInd w:val="0"/>
              <w:snapToGrid w:val="0"/>
              <w:spacing w:line="300" w:lineRule="auto"/>
              <w:ind w:left="-57" w:right="-57"/>
              <w:rPr>
                <w:rFonts w:hint="eastAsia" w:cs="宋体"/>
                <w:b/>
                <w:bCs/>
                <w:sz w:val="21"/>
                <w:szCs w:val="21"/>
              </w:rPr>
            </w:pPr>
          </w:p>
        </w:tc>
        <w:tc>
          <w:tcPr>
            <w:tcW w:w="1134" w:type="dxa"/>
            <w:vAlign w:val="center"/>
          </w:tcPr>
          <w:p w14:paraId="520EA36A">
            <w:pPr>
              <w:topLinePunct/>
              <w:adjustRightInd w:val="0"/>
              <w:snapToGrid w:val="0"/>
              <w:spacing w:line="300" w:lineRule="auto"/>
              <w:ind w:left="-57" w:right="-57"/>
              <w:jc w:val="center"/>
              <w:rPr>
                <w:rFonts w:hint="eastAsia" w:cs="宋体"/>
                <w:b/>
                <w:bCs/>
                <w:sz w:val="21"/>
                <w:szCs w:val="21"/>
              </w:rPr>
            </w:pPr>
            <w:r>
              <w:rPr>
                <w:rFonts w:hint="eastAsia" w:cs="宋体"/>
                <w:b/>
                <w:bCs/>
                <w:sz w:val="21"/>
                <w:szCs w:val="21"/>
              </w:rPr>
              <w:t>20</w:t>
            </w:r>
          </w:p>
        </w:tc>
        <w:tc>
          <w:tcPr>
            <w:tcW w:w="1134" w:type="dxa"/>
            <w:vAlign w:val="center"/>
          </w:tcPr>
          <w:p w14:paraId="16A00B40">
            <w:pPr>
              <w:topLinePunct/>
              <w:adjustRightInd w:val="0"/>
              <w:snapToGrid w:val="0"/>
              <w:spacing w:line="300" w:lineRule="auto"/>
              <w:ind w:left="-57" w:right="-57"/>
              <w:rPr>
                <w:rFonts w:hint="eastAsia" w:cs="宋体"/>
                <w:b/>
                <w:bCs/>
                <w:sz w:val="21"/>
                <w:szCs w:val="21"/>
              </w:rPr>
            </w:pPr>
          </w:p>
        </w:tc>
      </w:tr>
      <w:tr w14:paraId="07301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89" w:type="dxa"/>
            <w:tcMar>
              <w:top w:w="85" w:type="dxa"/>
              <w:left w:w="113" w:type="dxa"/>
              <w:bottom w:w="85" w:type="dxa"/>
              <w:right w:w="113" w:type="dxa"/>
            </w:tcMar>
            <w:vAlign w:val="center"/>
          </w:tcPr>
          <w:p w14:paraId="663845DF">
            <w:pPr>
              <w:topLinePunct/>
              <w:adjustRightInd w:val="0"/>
              <w:snapToGrid w:val="0"/>
              <w:spacing w:line="300" w:lineRule="auto"/>
              <w:jc w:val="center"/>
              <w:rPr>
                <w:rFonts w:hint="eastAsia" w:cs="宋体"/>
                <w:sz w:val="21"/>
                <w:szCs w:val="21"/>
              </w:rPr>
            </w:pPr>
            <w:r>
              <w:rPr>
                <w:rFonts w:cs="Times New Roman"/>
                <w:sz w:val="21"/>
                <w:szCs w:val="21"/>
              </w:rPr>
              <w:t>4.1.1</w:t>
            </w:r>
          </w:p>
        </w:tc>
        <w:tc>
          <w:tcPr>
            <w:tcW w:w="4116" w:type="dxa"/>
            <w:tcMar>
              <w:top w:w="85" w:type="dxa"/>
              <w:left w:w="113" w:type="dxa"/>
              <w:bottom w:w="85" w:type="dxa"/>
              <w:right w:w="113" w:type="dxa"/>
            </w:tcMar>
            <w:vAlign w:val="center"/>
          </w:tcPr>
          <w:p w14:paraId="17DD7506">
            <w:pPr>
              <w:topLinePunct/>
              <w:adjustRightInd w:val="0"/>
              <w:snapToGrid w:val="0"/>
              <w:spacing w:line="300" w:lineRule="auto"/>
              <w:rPr>
                <w:rFonts w:hint="eastAsia" w:cs="宋体"/>
                <w:sz w:val="21"/>
                <w:szCs w:val="21"/>
              </w:rPr>
            </w:pPr>
            <w:r>
              <w:rPr>
                <w:rFonts w:hint="eastAsia" w:cs="Times New Roman"/>
                <w:sz w:val="21"/>
                <w:szCs w:val="21"/>
              </w:rPr>
              <w:t>绿色总体</w:t>
            </w:r>
            <w:r>
              <w:rPr>
                <w:rFonts w:cs="Times New Roman"/>
                <w:sz w:val="21"/>
                <w:szCs w:val="21"/>
              </w:rPr>
              <w:t>策划</w:t>
            </w:r>
            <w:r>
              <w:rPr>
                <w:rFonts w:hint="eastAsia" w:cs="Times New Roman"/>
                <w:sz w:val="21"/>
                <w:szCs w:val="21"/>
              </w:rPr>
              <w:t>评价应检查建设单位编制的绿色总体策划文件，</w:t>
            </w:r>
            <w:r>
              <w:rPr>
                <w:rFonts w:cs="Times New Roman"/>
                <w:sz w:val="21"/>
                <w:szCs w:val="21"/>
              </w:rPr>
              <w:t>应在可研批复后完成编制</w:t>
            </w:r>
            <w:r>
              <w:rPr>
                <w:rFonts w:hint="eastAsia" w:cs="Times New Roman"/>
                <w:sz w:val="21"/>
                <w:szCs w:val="21"/>
              </w:rPr>
              <w:t>。总</w:t>
            </w:r>
            <w:r>
              <w:rPr>
                <w:rFonts w:cs="Times New Roman"/>
                <w:sz w:val="21"/>
                <w:szCs w:val="21"/>
              </w:rPr>
              <w:t>体</w:t>
            </w:r>
            <w:r>
              <w:rPr>
                <w:rFonts w:hint="eastAsia" w:cs="Times New Roman"/>
                <w:sz w:val="21"/>
                <w:szCs w:val="21"/>
              </w:rPr>
              <w:t>策划文件应包括总体目标、分项目标、组织架构及职责分工、新技术应用及技术创新、主要控制指标、主要工作计划、实施和评价管理。</w:t>
            </w:r>
          </w:p>
        </w:tc>
        <w:tc>
          <w:tcPr>
            <w:tcW w:w="4246" w:type="dxa"/>
            <w:tcMar>
              <w:top w:w="85" w:type="dxa"/>
              <w:left w:w="113" w:type="dxa"/>
              <w:bottom w:w="85" w:type="dxa"/>
              <w:right w:w="113" w:type="dxa"/>
            </w:tcMar>
            <w:vAlign w:val="center"/>
          </w:tcPr>
          <w:p w14:paraId="25DF2812">
            <w:pPr>
              <w:topLinePunct/>
              <w:adjustRightInd w:val="0"/>
              <w:snapToGrid w:val="0"/>
              <w:spacing w:line="300" w:lineRule="auto"/>
              <w:rPr>
                <w:rFonts w:hint="eastAsia" w:cs="宋体"/>
                <w:sz w:val="21"/>
                <w:szCs w:val="21"/>
              </w:rPr>
            </w:pPr>
            <w:bookmarkStart w:id="641" w:name="sys1595084"/>
            <w:r>
              <w:rPr>
                <w:rFonts w:hint="eastAsia" w:cs="宋体"/>
                <w:sz w:val="21"/>
                <w:szCs w:val="21"/>
                <w:lang w:bidi="ar"/>
              </w:rPr>
              <w:t>未编制绿色建造策划文件，扣10分；未</w:t>
            </w:r>
            <w:r>
              <w:rPr>
                <w:rFonts w:hint="eastAsia" w:cs="宋体"/>
                <w:spacing w:val="-4"/>
                <w:sz w:val="21"/>
                <w:szCs w:val="21"/>
                <w:lang w:bidi="ar"/>
              </w:rPr>
              <w:t>按时间节点编制完成绿色策划文件，扣3分；内容缺项或针对性不强，每处扣1分</w:t>
            </w:r>
            <w:bookmarkEnd w:id="641"/>
            <w:r>
              <w:rPr>
                <w:rFonts w:hint="eastAsia" w:cs="宋体"/>
                <w:spacing w:val="-4"/>
                <w:sz w:val="21"/>
                <w:szCs w:val="21"/>
                <w:lang w:bidi="ar"/>
              </w:rPr>
              <w:t>。</w:t>
            </w:r>
          </w:p>
        </w:tc>
        <w:tc>
          <w:tcPr>
            <w:tcW w:w="1134" w:type="dxa"/>
            <w:tcMar>
              <w:top w:w="85" w:type="dxa"/>
              <w:left w:w="113" w:type="dxa"/>
              <w:bottom w:w="85" w:type="dxa"/>
              <w:right w:w="113" w:type="dxa"/>
            </w:tcMar>
            <w:vAlign w:val="center"/>
          </w:tcPr>
          <w:p w14:paraId="7D10F98D">
            <w:pPr>
              <w:topLinePunct/>
              <w:adjustRightInd w:val="0"/>
              <w:snapToGrid w:val="0"/>
              <w:spacing w:line="300" w:lineRule="auto"/>
              <w:ind w:left="-57" w:right="-57"/>
              <w:jc w:val="center"/>
              <w:rPr>
                <w:rFonts w:hint="eastAsia" w:cs="宋体"/>
                <w:sz w:val="21"/>
                <w:szCs w:val="21"/>
              </w:rPr>
            </w:pPr>
            <w:r>
              <w:rPr>
                <w:rFonts w:hint="eastAsia" w:cs="宋体"/>
                <w:sz w:val="21"/>
                <w:szCs w:val="21"/>
              </w:rPr>
              <w:t>10</w:t>
            </w:r>
          </w:p>
        </w:tc>
        <w:tc>
          <w:tcPr>
            <w:tcW w:w="1134" w:type="dxa"/>
            <w:tcMar>
              <w:top w:w="85" w:type="dxa"/>
              <w:left w:w="113" w:type="dxa"/>
              <w:bottom w:w="85" w:type="dxa"/>
              <w:right w:w="113" w:type="dxa"/>
            </w:tcMar>
            <w:vAlign w:val="center"/>
          </w:tcPr>
          <w:p w14:paraId="0F428D36">
            <w:pPr>
              <w:topLinePunct/>
              <w:adjustRightInd w:val="0"/>
              <w:snapToGrid w:val="0"/>
              <w:spacing w:line="300" w:lineRule="auto"/>
              <w:ind w:left="-57" w:right="-57"/>
              <w:jc w:val="center"/>
              <w:rPr>
                <w:rFonts w:hint="eastAsia" w:cs="宋体"/>
                <w:sz w:val="21"/>
                <w:szCs w:val="21"/>
              </w:rPr>
            </w:pPr>
          </w:p>
        </w:tc>
      </w:tr>
      <w:tr w14:paraId="41CCF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89" w:type="dxa"/>
            <w:tcMar>
              <w:top w:w="85" w:type="dxa"/>
              <w:left w:w="113" w:type="dxa"/>
              <w:bottom w:w="85" w:type="dxa"/>
              <w:right w:w="113" w:type="dxa"/>
            </w:tcMar>
            <w:vAlign w:val="center"/>
          </w:tcPr>
          <w:p w14:paraId="5AA940E7">
            <w:pPr>
              <w:topLinePunct/>
              <w:adjustRightInd w:val="0"/>
              <w:snapToGrid w:val="0"/>
              <w:spacing w:line="300" w:lineRule="auto"/>
              <w:jc w:val="center"/>
              <w:rPr>
                <w:rFonts w:hint="eastAsia" w:cs="宋体"/>
                <w:sz w:val="21"/>
                <w:szCs w:val="21"/>
                <w:lang w:bidi="ar"/>
              </w:rPr>
            </w:pPr>
            <w:r>
              <w:rPr>
                <w:rFonts w:cs="Times New Roman"/>
                <w:sz w:val="21"/>
                <w:szCs w:val="21"/>
              </w:rPr>
              <w:t>4.1.2</w:t>
            </w:r>
          </w:p>
        </w:tc>
        <w:tc>
          <w:tcPr>
            <w:tcW w:w="4116" w:type="dxa"/>
            <w:tcMar>
              <w:top w:w="85" w:type="dxa"/>
              <w:left w:w="113" w:type="dxa"/>
              <w:bottom w:w="85" w:type="dxa"/>
              <w:right w:w="113" w:type="dxa"/>
            </w:tcMar>
            <w:vAlign w:val="center"/>
          </w:tcPr>
          <w:p w14:paraId="2A2BCACA">
            <w:pPr>
              <w:topLinePunct/>
              <w:adjustRightInd w:val="0"/>
              <w:snapToGrid w:val="0"/>
              <w:spacing w:line="300" w:lineRule="auto"/>
              <w:rPr>
                <w:rFonts w:hint="eastAsia" w:cs="宋体"/>
                <w:sz w:val="21"/>
                <w:szCs w:val="21"/>
                <w:lang w:bidi="ar"/>
              </w:rPr>
            </w:pPr>
            <w:r>
              <w:rPr>
                <w:rFonts w:hint="eastAsia" w:cs="Times New Roman"/>
                <w:sz w:val="21"/>
                <w:szCs w:val="21"/>
              </w:rPr>
              <w:t>制定</w:t>
            </w:r>
            <w:r>
              <w:rPr>
                <w:rFonts w:cs="Times New Roman"/>
                <w:sz w:val="21"/>
                <w:szCs w:val="21"/>
              </w:rPr>
              <w:t>的</w:t>
            </w:r>
            <w:r>
              <w:rPr>
                <w:rFonts w:hint="eastAsia" w:cs="Times New Roman"/>
                <w:sz w:val="21"/>
                <w:szCs w:val="21"/>
              </w:rPr>
              <w:t>总体目标应符合国家、行业政策导向，结合各专业领域的具体特点和管理要求，明确电力行业绿色建造示范工程创建等目标。</w:t>
            </w:r>
          </w:p>
        </w:tc>
        <w:tc>
          <w:tcPr>
            <w:tcW w:w="4246" w:type="dxa"/>
            <w:tcMar>
              <w:top w:w="85" w:type="dxa"/>
              <w:left w:w="113" w:type="dxa"/>
              <w:bottom w:w="85" w:type="dxa"/>
              <w:right w:w="113" w:type="dxa"/>
            </w:tcMar>
            <w:vAlign w:val="center"/>
          </w:tcPr>
          <w:p w14:paraId="6D0F7E4C">
            <w:pPr>
              <w:topLinePunct/>
              <w:adjustRightInd w:val="0"/>
              <w:snapToGrid w:val="0"/>
              <w:spacing w:line="300" w:lineRule="auto"/>
              <w:rPr>
                <w:rFonts w:hint="eastAsia" w:cs="宋体"/>
                <w:sz w:val="21"/>
                <w:szCs w:val="21"/>
                <w:lang w:bidi="ar"/>
              </w:rPr>
            </w:pPr>
            <w:r>
              <w:rPr>
                <w:rFonts w:hint="eastAsia" w:cs="宋体"/>
                <w:sz w:val="21"/>
                <w:szCs w:val="21"/>
                <w:lang w:bidi="ar"/>
              </w:rPr>
              <w:t>未明确总体目标扣5分，总体目标未结合工程特点和管理要求扣3分。</w:t>
            </w:r>
          </w:p>
        </w:tc>
        <w:tc>
          <w:tcPr>
            <w:tcW w:w="1134" w:type="dxa"/>
            <w:tcMar>
              <w:top w:w="85" w:type="dxa"/>
              <w:left w:w="113" w:type="dxa"/>
              <w:bottom w:w="85" w:type="dxa"/>
              <w:right w:w="113" w:type="dxa"/>
            </w:tcMar>
            <w:vAlign w:val="center"/>
          </w:tcPr>
          <w:p w14:paraId="066D1E6D">
            <w:pPr>
              <w:topLinePunct/>
              <w:adjustRightInd w:val="0"/>
              <w:snapToGrid w:val="0"/>
              <w:spacing w:line="300" w:lineRule="auto"/>
              <w:ind w:left="-57" w:right="-57"/>
              <w:jc w:val="center"/>
              <w:rPr>
                <w:rFonts w:hint="eastAsia" w:cs="宋体"/>
                <w:sz w:val="21"/>
                <w:szCs w:val="21"/>
                <w:lang w:bidi="ar"/>
              </w:rPr>
            </w:pPr>
            <w:r>
              <w:rPr>
                <w:rFonts w:hint="eastAsia" w:cs="宋体"/>
                <w:sz w:val="21"/>
                <w:szCs w:val="21"/>
                <w:lang w:bidi="ar"/>
              </w:rPr>
              <w:t>5</w:t>
            </w:r>
          </w:p>
        </w:tc>
        <w:tc>
          <w:tcPr>
            <w:tcW w:w="1134" w:type="dxa"/>
            <w:tcMar>
              <w:top w:w="85" w:type="dxa"/>
              <w:left w:w="113" w:type="dxa"/>
              <w:bottom w:w="85" w:type="dxa"/>
              <w:right w:w="113" w:type="dxa"/>
            </w:tcMar>
            <w:vAlign w:val="center"/>
          </w:tcPr>
          <w:p w14:paraId="2334F5F8">
            <w:pPr>
              <w:topLinePunct/>
              <w:adjustRightInd w:val="0"/>
              <w:snapToGrid w:val="0"/>
              <w:spacing w:line="300" w:lineRule="auto"/>
              <w:ind w:left="-57" w:right="-57"/>
              <w:jc w:val="center"/>
              <w:rPr>
                <w:rFonts w:hint="eastAsia" w:cs="宋体"/>
                <w:sz w:val="21"/>
                <w:szCs w:val="21"/>
                <w:lang w:bidi="ar"/>
              </w:rPr>
            </w:pPr>
          </w:p>
        </w:tc>
      </w:tr>
      <w:tr w14:paraId="5020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89" w:type="dxa"/>
            <w:tcMar>
              <w:top w:w="85" w:type="dxa"/>
              <w:left w:w="113" w:type="dxa"/>
              <w:bottom w:w="85" w:type="dxa"/>
              <w:right w:w="113" w:type="dxa"/>
            </w:tcMar>
            <w:vAlign w:val="center"/>
          </w:tcPr>
          <w:p w14:paraId="6E6057BB">
            <w:pPr>
              <w:topLinePunct/>
              <w:adjustRightInd w:val="0"/>
              <w:snapToGrid w:val="0"/>
              <w:spacing w:line="300" w:lineRule="auto"/>
              <w:jc w:val="center"/>
              <w:rPr>
                <w:rFonts w:hint="eastAsia" w:cs="宋体"/>
                <w:sz w:val="21"/>
                <w:szCs w:val="21"/>
              </w:rPr>
            </w:pPr>
            <w:r>
              <w:rPr>
                <w:rFonts w:cs="Times New Roman"/>
                <w:sz w:val="21"/>
                <w:szCs w:val="21"/>
              </w:rPr>
              <w:t>4.1.3</w:t>
            </w:r>
          </w:p>
        </w:tc>
        <w:tc>
          <w:tcPr>
            <w:tcW w:w="4116" w:type="dxa"/>
            <w:tcMar>
              <w:top w:w="85" w:type="dxa"/>
              <w:left w:w="113" w:type="dxa"/>
              <w:bottom w:w="85" w:type="dxa"/>
              <w:right w:w="113" w:type="dxa"/>
            </w:tcMar>
            <w:vAlign w:val="center"/>
          </w:tcPr>
          <w:p w14:paraId="011291A1">
            <w:pPr>
              <w:jc w:val="left"/>
              <w:rPr>
                <w:rFonts w:hint="eastAsia" w:cs="Times New Roman"/>
                <w:sz w:val="21"/>
                <w:szCs w:val="21"/>
              </w:rPr>
            </w:pPr>
            <w:r>
              <w:rPr>
                <w:rFonts w:hint="eastAsia" w:cs="Times New Roman"/>
                <w:sz w:val="21"/>
                <w:szCs w:val="21"/>
              </w:rPr>
              <w:t>分项目标应明确建筑垃圾减量化、绿色材料应用、“四节一环保”、水土保持与水土流失防控等目标。分项目标应可量化、可操作。</w:t>
            </w:r>
          </w:p>
          <w:p w14:paraId="40698828">
            <w:pPr>
              <w:topLinePunct/>
              <w:adjustRightInd w:val="0"/>
              <w:snapToGrid w:val="0"/>
              <w:spacing w:line="300" w:lineRule="auto"/>
              <w:rPr>
                <w:rFonts w:hint="eastAsia" w:cs="宋体"/>
                <w:sz w:val="21"/>
                <w:szCs w:val="21"/>
              </w:rPr>
            </w:pPr>
          </w:p>
        </w:tc>
        <w:tc>
          <w:tcPr>
            <w:tcW w:w="4246" w:type="dxa"/>
            <w:tcMar>
              <w:top w:w="85" w:type="dxa"/>
              <w:left w:w="113" w:type="dxa"/>
              <w:bottom w:w="85" w:type="dxa"/>
              <w:right w:w="113" w:type="dxa"/>
            </w:tcMar>
            <w:vAlign w:val="center"/>
          </w:tcPr>
          <w:p w14:paraId="2B9948FD">
            <w:pPr>
              <w:topLinePunct/>
              <w:adjustRightInd w:val="0"/>
              <w:snapToGrid w:val="0"/>
              <w:spacing w:line="300" w:lineRule="auto"/>
              <w:rPr>
                <w:rFonts w:hint="eastAsia" w:cs="宋体"/>
                <w:sz w:val="21"/>
                <w:szCs w:val="21"/>
              </w:rPr>
            </w:pPr>
            <w:r>
              <w:rPr>
                <w:rFonts w:hint="eastAsia" w:cs="宋体"/>
                <w:sz w:val="21"/>
                <w:szCs w:val="21"/>
              </w:rPr>
              <w:t>分项目标有缺项，每处扣2分；分项目标未量化或操作性不强，每处扣1分。</w:t>
            </w:r>
          </w:p>
        </w:tc>
        <w:tc>
          <w:tcPr>
            <w:tcW w:w="1134" w:type="dxa"/>
            <w:tcMar>
              <w:top w:w="85" w:type="dxa"/>
              <w:left w:w="113" w:type="dxa"/>
              <w:bottom w:w="85" w:type="dxa"/>
              <w:right w:w="113" w:type="dxa"/>
            </w:tcMar>
            <w:vAlign w:val="center"/>
          </w:tcPr>
          <w:p w14:paraId="3291EAC7">
            <w:pPr>
              <w:topLinePunct/>
              <w:adjustRightInd w:val="0"/>
              <w:snapToGrid w:val="0"/>
              <w:spacing w:line="300" w:lineRule="auto"/>
              <w:ind w:left="-57" w:right="-57"/>
              <w:jc w:val="center"/>
              <w:rPr>
                <w:rFonts w:hint="eastAsia" w:cs="宋体"/>
                <w:sz w:val="21"/>
                <w:szCs w:val="21"/>
              </w:rPr>
            </w:pPr>
            <w:r>
              <w:rPr>
                <w:rFonts w:hint="eastAsia" w:cs="宋体"/>
                <w:sz w:val="21"/>
                <w:szCs w:val="21"/>
              </w:rPr>
              <w:t>5</w:t>
            </w:r>
          </w:p>
        </w:tc>
        <w:tc>
          <w:tcPr>
            <w:tcW w:w="1134" w:type="dxa"/>
            <w:tcMar>
              <w:top w:w="85" w:type="dxa"/>
              <w:left w:w="113" w:type="dxa"/>
              <w:bottom w:w="85" w:type="dxa"/>
              <w:right w:w="113" w:type="dxa"/>
            </w:tcMar>
            <w:vAlign w:val="center"/>
          </w:tcPr>
          <w:p w14:paraId="22E8981B">
            <w:pPr>
              <w:topLinePunct/>
              <w:adjustRightInd w:val="0"/>
              <w:snapToGrid w:val="0"/>
              <w:spacing w:line="300" w:lineRule="auto"/>
              <w:ind w:left="-57" w:right="-57"/>
              <w:jc w:val="center"/>
              <w:rPr>
                <w:rFonts w:hint="eastAsia" w:cs="宋体"/>
                <w:sz w:val="21"/>
                <w:szCs w:val="21"/>
              </w:rPr>
            </w:pPr>
          </w:p>
        </w:tc>
      </w:tr>
      <w:tr w14:paraId="5A5AF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89" w:type="dxa"/>
            <w:tcMar>
              <w:top w:w="85" w:type="dxa"/>
              <w:left w:w="113" w:type="dxa"/>
              <w:bottom w:w="85" w:type="dxa"/>
              <w:right w:w="113" w:type="dxa"/>
            </w:tcMar>
            <w:vAlign w:val="center"/>
          </w:tcPr>
          <w:p w14:paraId="7794C3B6">
            <w:pPr>
              <w:topLinePunct/>
              <w:adjustRightInd w:val="0"/>
              <w:snapToGrid w:val="0"/>
              <w:spacing w:line="300" w:lineRule="auto"/>
              <w:jc w:val="center"/>
              <w:rPr>
                <w:rFonts w:hint="eastAsia" w:cs="宋体"/>
                <w:b/>
                <w:bCs/>
                <w:sz w:val="21"/>
                <w:szCs w:val="21"/>
                <w:lang w:bidi="ar"/>
              </w:rPr>
            </w:pPr>
            <w:r>
              <w:rPr>
                <w:rFonts w:hint="eastAsia" w:cs="宋体"/>
                <w:b/>
                <w:bCs/>
                <w:sz w:val="21"/>
                <w:szCs w:val="21"/>
                <w:lang w:bidi="ar"/>
              </w:rPr>
              <w:t>4.2</w:t>
            </w:r>
          </w:p>
        </w:tc>
        <w:tc>
          <w:tcPr>
            <w:tcW w:w="4116" w:type="dxa"/>
            <w:tcMar>
              <w:top w:w="85" w:type="dxa"/>
              <w:left w:w="113" w:type="dxa"/>
              <w:bottom w:w="85" w:type="dxa"/>
              <w:right w:w="113" w:type="dxa"/>
            </w:tcMar>
            <w:vAlign w:val="center"/>
          </w:tcPr>
          <w:p w14:paraId="212516A7">
            <w:pPr>
              <w:topLinePunct/>
              <w:adjustRightInd w:val="0"/>
              <w:snapToGrid w:val="0"/>
              <w:spacing w:line="300" w:lineRule="auto"/>
              <w:ind w:left="-57" w:right="-57"/>
              <w:rPr>
                <w:rFonts w:hint="eastAsia" w:cs="宋体"/>
                <w:b/>
                <w:bCs/>
                <w:sz w:val="21"/>
                <w:szCs w:val="21"/>
              </w:rPr>
            </w:pPr>
            <w:r>
              <w:rPr>
                <w:rFonts w:hint="eastAsia" w:cs="宋体"/>
                <w:b/>
                <w:bCs/>
                <w:sz w:val="21"/>
                <w:szCs w:val="21"/>
                <w:lang w:bidi="ar"/>
              </w:rPr>
              <w:t>设计策划</w:t>
            </w:r>
          </w:p>
        </w:tc>
        <w:tc>
          <w:tcPr>
            <w:tcW w:w="4246" w:type="dxa"/>
            <w:vAlign w:val="center"/>
          </w:tcPr>
          <w:p w14:paraId="26E2D01F">
            <w:pPr>
              <w:topLinePunct/>
              <w:adjustRightInd w:val="0"/>
              <w:snapToGrid w:val="0"/>
              <w:spacing w:line="300" w:lineRule="auto"/>
              <w:ind w:left="-57" w:right="-57"/>
              <w:rPr>
                <w:rFonts w:hint="eastAsia" w:cs="宋体"/>
                <w:b/>
                <w:bCs/>
                <w:sz w:val="21"/>
                <w:szCs w:val="21"/>
              </w:rPr>
            </w:pPr>
          </w:p>
        </w:tc>
        <w:tc>
          <w:tcPr>
            <w:tcW w:w="1134" w:type="dxa"/>
            <w:vAlign w:val="center"/>
          </w:tcPr>
          <w:p w14:paraId="66570BBA">
            <w:pPr>
              <w:topLinePunct/>
              <w:adjustRightInd w:val="0"/>
              <w:snapToGrid w:val="0"/>
              <w:spacing w:line="300" w:lineRule="auto"/>
              <w:ind w:left="-57" w:right="-57"/>
              <w:jc w:val="center"/>
              <w:rPr>
                <w:rFonts w:hint="eastAsia" w:cs="宋体"/>
                <w:b/>
                <w:bCs/>
                <w:sz w:val="21"/>
                <w:szCs w:val="21"/>
              </w:rPr>
            </w:pPr>
            <w:r>
              <w:rPr>
                <w:rFonts w:hint="eastAsia" w:cs="宋体"/>
                <w:b/>
                <w:bCs/>
                <w:sz w:val="21"/>
                <w:szCs w:val="21"/>
              </w:rPr>
              <w:t>30</w:t>
            </w:r>
          </w:p>
        </w:tc>
        <w:tc>
          <w:tcPr>
            <w:tcW w:w="1134" w:type="dxa"/>
            <w:vAlign w:val="center"/>
          </w:tcPr>
          <w:p w14:paraId="3469CFF0">
            <w:pPr>
              <w:topLinePunct/>
              <w:adjustRightInd w:val="0"/>
              <w:snapToGrid w:val="0"/>
              <w:spacing w:line="300" w:lineRule="auto"/>
              <w:ind w:left="-57" w:right="-57"/>
              <w:rPr>
                <w:rFonts w:hint="eastAsia" w:cs="宋体"/>
                <w:b/>
                <w:bCs/>
                <w:sz w:val="21"/>
                <w:szCs w:val="21"/>
              </w:rPr>
            </w:pPr>
          </w:p>
        </w:tc>
      </w:tr>
      <w:tr w14:paraId="63D76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89" w:type="dxa"/>
            <w:tcMar>
              <w:top w:w="85" w:type="dxa"/>
              <w:left w:w="113" w:type="dxa"/>
              <w:bottom w:w="85" w:type="dxa"/>
              <w:right w:w="113" w:type="dxa"/>
            </w:tcMar>
            <w:vAlign w:val="center"/>
          </w:tcPr>
          <w:p w14:paraId="6FB0BDFB">
            <w:pPr>
              <w:topLinePunct/>
              <w:adjustRightInd w:val="0"/>
              <w:snapToGrid w:val="0"/>
              <w:spacing w:line="300" w:lineRule="auto"/>
              <w:jc w:val="center"/>
              <w:rPr>
                <w:rFonts w:hint="eastAsia" w:cs="宋体"/>
                <w:sz w:val="21"/>
                <w:szCs w:val="21"/>
              </w:rPr>
            </w:pPr>
            <w:r>
              <w:rPr>
                <w:rFonts w:cs="Times New Roman"/>
                <w:sz w:val="21"/>
                <w:szCs w:val="21"/>
              </w:rPr>
              <w:t>4.2.1</w:t>
            </w:r>
          </w:p>
        </w:tc>
        <w:tc>
          <w:tcPr>
            <w:tcW w:w="4116" w:type="dxa"/>
            <w:tcMar>
              <w:top w:w="85" w:type="dxa"/>
              <w:left w:w="113" w:type="dxa"/>
              <w:bottom w:w="85" w:type="dxa"/>
              <w:right w:w="113" w:type="dxa"/>
            </w:tcMar>
            <w:vAlign w:val="center"/>
          </w:tcPr>
          <w:p w14:paraId="6A753D51">
            <w:pPr>
              <w:topLinePunct/>
              <w:adjustRightInd w:val="0"/>
              <w:snapToGrid w:val="0"/>
              <w:spacing w:line="300" w:lineRule="auto"/>
              <w:rPr>
                <w:rFonts w:hint="eastAsia" w:cs="宋体"/>
                <w:sz w:val="21"/>
                <w:szCs w:val="21"/>
                <w:lang w:bidi="ar"/>
              </w:rPr>
            </w:pPr>
            <w:r>
              <w:rPr>
                <w:rFonts w:hint="eastAsia" w:cs="宋体"/>
                <w:sz w:val="21"/>
                <w:szCs w:val="21"/>
                <w:lang w:bidi="ar"/>
              </w:rPr>
              <w:t>设计策划评价应审查设计单位编制的绿色设计策划文件。应依据绿色总体策划文件，在初步设计阶段编制绿色设计策划文件，应包括前期调研、目标分析、技术经济可行性分析等内容</w:t>
            </w:r>
          </w:p>
        </w:tc>
        <w:tc>
          <w:tcPr>
            <w:tcW w:w="4246" w:type="dxa"/>
            <w:tcMar>
              <w:top w:w="85" w:type="dxa"/>
              <w:left w:w="113" w:type="dxa"/>
              <w:bottom w:w="85" w:type="dxa"/>
              <w:right w:w="113" w:type="dxa"/>
            </w:tcMar>
            <w:vAlign w:val="center"/>
          </w:tcPr>
          <w:p w14:paraId="2EBE4570">
            <w:pPr>
              <w:topLinePunct/>
              <w:adjustRightInd w:val="0"/>
              <w:snapToGrid w:val="0"/>
              <w:spacing w:line="300" w:lineRule="auto"/>
              <w:rPr>
                <w:rFonts w:hint="eastAsia" w:cs="宋体"/>
                <w:sz w:val="21"/>
                <w:szCs w:val="21"/>
                <w:lang w:bidi="ar"/>
              </w:rPr>
            </w:pPr>
            <w:r>
              <w:rPr>
                <w:rFonts w:hint="eastAsia" w:cs="宋体"/>
                <w:sz w:val="21"/>
                <w:szCs w:val="21"/>
                <w:lang w:bidi="ar"/>
              </w:rPr>
              <w:t>未编制绿色建造策划文件，扣12分；未按时间节点编制完成绿色策划文件，扣3分；内容不符或针对性不强，每处扣1分；相关内容缺失，每处扣2分；内容不符或针对性不强，每处扣1分。</w:t>
            </w:r>
          </w:p>
        </w:tc>
        <w:tc>
          <w:tcPr>
            <w:tcW w:w="1134" w:type="dxa"/>
            <w:tcMar>
              <w:top w:w="85" w:type="dxa"/>
              <w:left w:w="113" w:type="dxa"/>
              <w:bottom w:w="85" w:type="dxa"/>
              <w:right w:w="113" w:type="dxa"/>
            </w:tcMar>
            <w:vAlign w:val="center"/>
          </w:tcPr>
          <w:p w14:paraId="547A9A93">
            <w:pPr>
              <w:topLinePunct/>
              <w:adjustRightInd w:val="0"/>
              <w:snapToGrid w:val="0"/>
              <w:spacing w:line="300" w:lineRule="auto"/>
              <w:ind w:left="-57" w:right="-57"/>
              <w:jc w:val="center"/>
              <w:rPr>
                <w:rFonts w:hint="eastAsia" w:cs="宋体"/>
                <w:sz w:val="21"/>
                <w:szCs w:val="21"/>
                <w:lang w:bidi="ar"/>
              </w:rPr>
            </w:pPr>
            <w:r>
              <w:rPr>
                <w:rFonts w:hint="eastAsia" w:cs="宋体"/>
                <w:sz w:val="21"/>
                <w:szCs w:val="21"/>
                <w:lang w:bidi="ar"/>
              </w:rPr>
              <w:t>12</w:t>
            </w:r>
          </w:p>
        </w:tc>
        <w:tc>
          <w:tcPr>
            <w:tcW w:w="1134" w:type="dxa"/>
            <w:tcMar>
              <w:top w:w="85" w:type="dxa"/>
              <w:left w:w="113" w:type="dxa"/>
              <w:bottom w:w="85" w:type="dxa"/>
              <w:right w:w="113" w:type="dxa"/>
            </w:tcMar>
            <w:vAlign w:val="center"/>
          </w:tcPr>
          <w:p w14:paraId="7E88DEC7">
            <w:pPr>
              <w:topLinePunct/>
              <w:adjustRightInd w:val="0"/>
              <w:snapToGrid w:val="0"/>
              <w:spacing w:line="300" w:lineRule="auto"/>
              <w:ind w:left="-57" w:right="-57"/>
              <w:jc w:val="center"/>
              <w:rPr>
                <w:rFonts w:hint="eastAsia" w:cs="宋体"/>
                <w:sz w:val="21"/>
                <w:szCs w:val="21"/>
              </w:rPr>
            </w:pPr>
          </w:p>
        </w:tc>
      </w:tr>
      <w:tr w14:paraId="28C7A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89" w:type="dxa"/>
            <w:tcMar>
              <w:top w:w="85" w:type="dxa"/>
              <w:left w:w="113" w:type="dxa"/>
              <w:bottom w:w="85" w:type="dxa"/>
              <w:right w:w="113" w:type="dxa"/>
            </w:tcMar>
            <w:vAlign w:val="center"/>
          </w:tcPr>
          <w:p w14:paraId="5AD4E1B7">
            <w:pPr>
              <w:topLinePunct/>
              <w:adjustRightInd w:val="0"/>
              <w:snapToGrid w:val="0"/>
              <w:spacing w:line="300" w:lineRule="auto"/>
              <w:jc w:val="center"/>
              <w:rPr>
                <w:rFonts w:hint="eastAsia" w:cs="宋体"/>
                <w:sz w:val="21"/>
                <w:szCs w:val="21"/>
              </w:rPr>
            </w:pPr>
            <w:r>
              <w:rPr>
                <w:rFonts w:cs="Times New Roman"/>
                <w:sz w:val="21"/>
                <w:szCs w:val="21"/>
              </w:rPr>
              <w:t>4.2.2</w:t>
            </w:r>
          </w:p>
        </w:tc>
        <w:tc>
          <w:tcPr>
            <w:tcW w:w="4116" w:type="dxa"/>
            <w:tcMar>
              <w:top w:w="85" w:type="dxa"/>
              <w:left w:w="113" w:type="dxa"/>
              <w:bottom w:w="85" w:type="dxa"/>
              <w:right w:w="113" w:type="dxa"/>
            </w:tcMar>
            <w:vAlign w:val="center"/>
          </w:tcPr>
          <w:p w14:paraId="33E40B0A">
            <w:pPr>
              <w:topLinePunct/>
              <w:adjustRightInd w:val="0"/>
              <w:snapToGrid w:val="0"/>
              <w:spacing w:line="300" w:lineRule="auto"/>
              <w:rPr>
                <w:rFonts w:hint="eastAsia" w:cs="宋体"/>
                <w:sz w:val="21"/>
                <w:szCs w:val="21"/>
                <w:lang w:bidi="ar"/>
              </w:rPr>
            </w:pPr>
            <w:r>
              <w:rPr>
                <w:rFonts w:hint="eastAsia" w:cs="宋体"/>
                <w:sz w:val="21"/>
                <w:szCs w:val="21"/>
                <w:lang w:bidi="ar"/>
              </w:rPr>
              <w:t>前期调研应包括地理位置、生态环境、水土保持要求、气候环境、周边环境、地形地貌、道路交通、规划条件和地方性材料等，通过调研确定设计方案</w:t>
            </w:r>
          </w:p>
        </w:tc>
        <w:tc>
          <w:tcPr>
            <w:tcW w:w="4246" w:type="dxa"/>
            <w:tcMar>
              <w:top w:w="85" w:type="dxa"/>
              <w:left w:w="113" w:type="dxa"/>
              <w:bottom w:w="85" w:type="dxa"/>
              <w:right w:w="113" w:type="dxa"/>
            </w:tcMar>
            <w:vAlign w:val="center"/>
          </w:tcPr>
          <w:p w14:paraId="4E884524">
            <w:pPr>
              <w:topLinePunct/>
              <w:adjustRightInd w:val="0"/>
              <w:snapToGrid w:val="0"/>
              <w:spacing w:line="300" w:lineRule="auto"/>
              <w:rPr>
                <w:rFonts w:hint="eastAsia" w:cs="宋体"/>
                <w:sz w:val="21"/>
                <w:szCs w:val="21"/>
                <w:lang w:bidi="ar"/>
              </w:rPr>
            </w:pPr>
            <w:r>
              <w:rPr>
                <w:rFonts w:hint="eastAsia" w:cs="宋体"/>
                <w:sz w:val="21"/>
                <w:szCs w:val="21"/>
                <w:lang w:bidi="ar"/>
              </w:rPr>
              <w:t>前期调研不充分，存在内容缺失的，每处扣2分；内容不符或没有针对性，每处扣1分。</w:t>
            </w:r>
          </w:p>
        </w:tc>
        <w:tc>
          <w:tcPr>
            <w:tcW w:w="1134" w:type="dxa"/>
            <w:tcMar>
              <w:top w:w="85" w:type="dxa"/>
              <w:left w:w="113" w:type="dxa"/>
              <w:bottom w:w="85" w:type="dxa"/>
              <w:right w:w="113" w:type="dxa"/>
            </w:tcMar>
            <w:vAlign w:val="center"/>
          </w:tcPr>
          <w:p w14:paraId="5CD14CFE">
            <w:pPr>
              <w:topLinePunct/>
              <w:adjustRightInd w:val="0"/>
              <w:snapToGrid w:val="0"/>
              <w:spacing w:line="300" w:lineRule="auto"/>
              <w:ind w:left="-57" w:right="-57"/>
              <w:jc w:val="center"/>
              <w:rPr>
                <w:rFonts w:hint="eastAsia" w:cs="宋体"/>
                <w:sz w:val="21"/>
                <w:szCs w:val="21"/>
                <w:lang w:bidi="ar"/>
              </w:rPr>
            </w:pPr>
            <w:r>
              <w:rPr>
                <w:rFonts w:hint="eastAsia" w:cs="宋体"/>
                <w:sz w:val="21"/>
                <w:szCs w:val="21"/>
                <w:lang w:bidi="ar"/>
              </w:rPr>
              <w:t>6</w:t>
            </w:r>
          </w:p>
        </w:tc>
        <w:tc>
          <w:tcPr>
            <w:tcW w:w="1134" w:type="dxa"/>
            <w:tcMar>
              <w:top w:w="85" w:type="dxa"/>
              <w:left w:w="113" w:type="dxa"/>
              <w:bottom w:w="85" w:type="dxa"/>
              <w:right w:w="113" w:type="dxa"/>
            </w:tcMar>
            <w:vAlign w:val="center"/>
          </w:tcPr>
          <w:p w14:paraId="6483A116">
            <w:pPr>
              <w:topLinePunct/>
              <w:adjustRightInd w:val="0"/>
              <w:snapToGrid w:val="0"/>
              <w:spacing w:line="300" w:lineRule="auto"/>
              <w:ind w:left="-57" w:right="-57"/>
              <w:jc w:val="center"/>
              <w:rPr>
                <w:rFonts w:hint="eastAsia" w:cs="宋体"/>
                <w:sz w:val="21"/>
                <w:szCs w:val="21"/>
              </w:rPr>
            </w:pPr>
          </w:p>
        </w:tc>
      </w:tr>
      <w:tr w14:paraId="70AE0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89" w:type="dxa"/>
            <w:tcMar>
              <w:top w:w="85" w:type="dxa"/>
              <w:left w:w="113" w:type="dxa"/>
              <w:bottom w:w="85" w:type="dxa"/>
              <w:right w:w="113" w:type="dxa"/>
            </w:tcMar>
            <w:vAlign w:val="center"/>
          </w:tcPr>
          <w:p w14:paraId="0EC42B49">
            <w:pPr>
              <w:topLinePunct/>
              <w:adjustRightInd w:val="0"/>
              <w:snapToGrid w:val="0"/>
              <w:spacing w:line="300" w:lineRule="auto"/>
              <w:jc w:val="center"/>
              <w:rPr>
                <w:rFonts w:hint="eastAsia" w:cs="宋体"/>
                <w:sz w:val="21"/>
                <w:szCs w:val="21"/>
              </w:rPr>
            </w:pPr>
            <w:r>
              <w:rPr>
                <w:rFonts w:cs="Times New Roman"/>
                <w:sz w:val="21"/>
                <w:szCs w:val="21"/>
              </w:rPr>
              <w:t>4.2.3</w:t>
            </w:r>
          </w:p>
        </w:tc>
        <w:tc>
          <w:tcPr>
            <w:tcW w:w="4116" w:type="dxa"/>
            <w:tcMar>
              <w:top w:w="85" w:type="dxa"/>
              <w:left w:w="113" w:type="dxa"/>
              <w:bottom w:w="85" w:type="dxa"/>
              <w:right w:w="113" w:type="dxa"/>
            </w:tcMar>
            <w:vAlign w:val="center"/>
          </w:tcPr>
          <w:p w14:paraId="16BD4B2A">
            <w:pPr>
              <w:topLinePunct/>
              <w:adjustRightInd w:val="0"/>
              <w:snapToGrid w:val="0"/>
              <w:spacing w:line="240" w:lineRule="auto"/>
              <w:rPr>
                <w:rFonts w:hint="eastAsia" w:cs="宋体"/>
                <w:sz w:val="21"/>
                <w:szCs w:val="21"/>
                <w:lang w:bidi="ar"/>
              </w:rPr>
            </w:pPr>
            <w:r>
              <w:rPr>
                <w:rFonts w:hint="eastAsia" w:cs="宋体"/>
                <w:sz w:val="21"/>
                <w:szCs w:val="21"/>
                <w:lang w:bidi="ar"/>
              </w:rPr>
              <w:t>目标分析应包括工程自身特点和要求，需要达到现行国家评价标准和公司绿色建造指标评价的相应等级或得分，“四节一环保”目标、室内环境质量目标、水土保持目标、运行管理目标等</w:t>
            </w:r>
          </w:p>
        </w:tc>
        <w:tc>
          <w:tcPr>
            <w:tcW w:w="4246" w:type="dxa"/>
            <w:tcMar>
              <w:top w:w="85" w:type="dxa"/>
              <w:left w:w="113" w:type="dxa"/>
              <w:bottom w:w="85" w:type="dxa"/>
              <w:right w:w="113" w:type="dxa"/>
            </w:tcMar>
            <w:vAlign w:val="center"/>
          </w:tcPr>
          <w:p w14:paraId="76F95436">
            <w:pPr>
              <w:topLinePunct/>
              <w:adjustRightInd w:val="0"/>
              <w:snapToGrid w:val="0"/>
              <w:spacing w:line="300" w:lineRule="auto"/>
              <w:rPr>
                <w:rFonts w:hint="eastAsia" w:cs="宋体"/>
                <w:sz w:val="21"/>
                <w:szCs w:val="21"/>
                <w:lang w:bidi="ar"/>
              </w:rPr>
            </w:pPr>
            <w:r>
              <w:rPr>
                <w:rFonts w:hint="eastAsia" w:cs="宋体"/>
                <w:sz w:val="21"/>
                <w:szCs w:val="21"/>
                <w:lang w:bidi="ar"/>
              </w:rPr>
              <w:t>未见目标分析相关内容每处扣2分，内容不符或没有针对性，每处扣1分。</w:t>
            </w:r>
          </w:p>
        </w:tc>
        <w:tc>
          <w:tcPr>
            <w:tcW w:w="1134" w:type="dxa"/>
            <w:tcMar>
              <w:top w:w="85" w:type="dxa"/>
              <w:left w:w="113" w:type="dxa"/>
              <w:bottom w:w="85" w:type="dxa"/>
              <w:right w:w="113" w:type="dxa"/>
            </w:tcMar>
            <w:vAlign w:val="center"/>
          </w:tcPr>
          <w:p w14:paraId="5620802C">
            <w:pPr>
              <w:topLinePunct/>
              <w:adjustRightInd w:val="0"/>
              <w:snapToGrid w:val="0"/>
              <w:spacing w:line="300" w:lineRule="auto"/>
              <w:ind w:left="-57" w:right="-57"/>
              <w:jc w:val="center"/>
              <w:rPr>
                <w:rFonts w:hint="eastAsia" w:cs="宋体"/>
                <w:sz w:val="21"/>
                <w:szCs w:val="21"/>
                <w:lang w:bidi="ar"/>
              </w:rPr>
            </w:pPr>
            <w:r>
              <w:rPr>
                <w:rFonts w:hint="eastAsia" w:cs="宋体"/>
                <w:sz w:val="21"/>
                <w:szCs w:val="21"/>
                <w:lang w:bidi="ar"/>
              </w:rPr>
              <w:t>6</w:t>
            </w:r>
          </w:p>
        </w:tc>
        <w:tc>
          <w:tcPr>
            <w:tcW w:w="1134" w:type="dxa"/>
            <w:tcMar>
              <w:top w:w="85" w:type="dxa"/>
              <w:left w:w="113" w:type="dxa"/>
              <w:bottom w:w="85" w:type="dxa"/>
              <w:right w:w="113" w:type="dxa"/>
            </w:tcMar>
            <w:vAlign w:val="center"/>
          </w:tcPr>
          <w:p w14:paraId="37E1E8D5">
            <w:pPr>
              <w:topLinePunct/>
              <w:adjustRightInd w:val="0"/>
              <w:snapToGrid w:val="0"/>
              <w:spacing w:line="300" w:lineRule="auto"/>
              <w:ind w:left="-57" w:right="-57"/>
              <w:jc w:val="center"/>
              <w:rPr>
                <w:rFonts w:hint="eastAsia" w:cs="宋体"/>
                <w:sz w:val="21"/>
                <w:szCs w:val="21"/>
              </w:rPr>
            </w:pPr>
          </w:p>
        </w:tc>
      </w:tr>
      <w:tr w14:paraId="34E3C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89" w:type="dxa"/>
            <w:tcMar>
              <w:top w:w="85" w:type="dxa"/>
              <w:left w:w="113" w:type="dxa"/>
              <w:bottom w:w="85" w:type="dxa"/>
              <w:right w:w="113" w:type="dxa"/>
            </w:tcMar>
            <w:vAlign w:val="center"/>
          </w:tcPr>
          <w:p w14:paraId="602F8FA9">
            <w:pPr>
              <w:topLinePunct/>
              <w:adjustRightInd w:val="0"/>
              <w:snapToGrid w:val="0"/>
              <w:spacing w:line="300" w:lineRule="auto"/>
              <w:jc w:val="center"/>
              <w:rPr>
                <w:rFonts w:hint="eastAsia" w:cs="宋体"/>
                <w:sz w:val="21"/>
                <w:szCs w:val="21"/>
              </w:rPr>
            </w:pPr>
            <w:r>
              <w:rPr>
                <w:rFonts w:cs="Times New Roman"/>
                <w:sz w:val="21"/>
                <w:szCs w:val="21"/>
              </w:rPr>
              <w:t>4.2.4</w:t>
            </w:r>
          </w:p>
        </w:tc>
        <w:tc>
          <w:tcPr>
            <w:tcW w:w="4116" w:type="dxa"/>
            <w:tcMar>
              <w:top w:w="85" w:type="dxa"/>
              <w:left w:w="113" w:type="dxa"/>
              <w:bottom w:w="85" w:type="dxa"/>
              <w:right w:w="113" w:type="dxa"/>
            </w:tcMar>
            <w:vAlign w:val="center"/>
          </w:tcPr>
          <w:p w14:paraId="1BA73477">
            <w:pPr>
              <w:topLinePunct/>
              <w:adjustRightInd w:val="0"/>
              <w:snapToGrid w:val="0"/>
              <w:spacing w:line="300" w:lineRule="auto"/>
              <w:rPr>
                <w:rFonts w:hint="eastAsia" w:cs="宋体"/>
                <w:sz w:val="21"/>
                <w:szCs w:val="21"/>
                <w:lang w:bidi="ar"/>
              </w:rPr>
            </w:pPr>
            <w:r>
              <w:rPr>
                <w:rFonts w:hint="eastAsia" w:cs="宋体"/>
                <w:sz w:val="21"/>
                <w:szCs w:val="21"/>
                <w:lang w:bidi="ar"/>
              </w:rPr>
              <w:t>技术经济可行性分析应包括技术可行性分析、环境效益分析、风险评估、经济效益评估</w:t>
            </w:r>
          </w:p>
        </w:tc>
        <w:tc>
          <w:tcPr>
            <w:tcW w:w="4246" w:type="dxa"/>
            <w:tcMar>
              <w:top w:w="85" w:type="dxa"/>
              <w:left w:w="113" w:type="dxa"/>
              <w:bottom w:w="85" w:type="dxa"/>
              <w:right w:w="113" w:type="dxa"/>
            </w:tcMar>
            <w:vAlign w:val="center"/>
          </w:tcPr>
          <w:p w14:paraId="78948C8C">
            <w:pPr>
              <w:topLinePunct/>
              <w:adjustRightInd w:val="0"/>
              <w:snapToGrid w:val="0"/>
              <w:spacing w:line="300" w:lineRule="auto"/>
              <w:rPr>
                <w:rFonts w:hint="eastAsia" w:cs="宋体"/>
                <w:sz w:val="21"/>
                <w:szCs w:val="21"/>
                <w:lang w:bidi="ar"/>
              </w:rPr>
            </w:pPr>
            <w:r>
              <w:rPr>
                <w:rFonts w:hint="eastAsia" w:cs="宋体"/>
                <w:sz w:val="21"/>
                <w:szCs w:val="21"/>
                <w:lang w:bidi="ar"/>
              </w:rPr>
              <w:t>经济技术可行性分析存在内容缺失的，每处扣2分；内容不符或没有针对性，每处扣1分。</w:t>
            </w:r>
          </w:p>
        </w:tc>
        <w:tc>
          <w:tcPr>
            <w:tcW w:w="1134" w:type="dxa"/>
            <w:tcMar>
              <w:top w:w="85" w:type="dxa"/>
              <w:left w:w="113" w:type="dxa"/>
              <w:bottom w:w="85" w:type="dxa"/>
              <w:right w:w="113" w:type="dxa"/>
            </w:tcMar>
            <w:vAlign w:val="center"/>
          </w:tcPr>
          <w:p w14:paraId="75E0D676">
            <w:pPr>
              <w:topLinePunct/>
              <w:adjustRightInd w:val="0"/>
              <w:snapToGrid w:val="0"/>
              <w:spacing w:line="300" w:lineRule="auto"/>
              <w:ind w:left="-57" w:right="-57"/>
              <w:jc w:val="center"/>
              <w:rPr>
                <w:rFonts w:hint="eastAsia" w:cs="宋体"/>
                <w:sz w:val="21"/>
                <w:szCs w:val="21"/>
                <w:lang w:bidi="ar"/>
              </w:rPr>
            </w:pPr>
            <w:r>
              <w:rPr>
                <w:rFonts w:hint="eastAsia" w:cs="宋体"/>
                <w:sz w:val="21"/>
                <w:szCs w:val="21"/>
                <w:lang w:bidi="ar"/>
              </w:rPr>
              <w:t>6</w:t>
            </w:r>
          </w:p>
        </w:tc>
        <w:tc>
          <w:tcPr>
            <w:tcW w:w="1134" w:type="dxa"/>
            <w:tcMar>
              <w:top w:w="85" w:type="dxa"/>
              <w:left w:w="113" w:type="dxa"/>
              <w:bottom w:w="85" w:type="dxa"/>
              <w:right w:w="113" w:type="dxa"/>
            </w:tcMar>
            <w:vAlign w:val="center"/>
          </w:tcPr>
          <w:p w14:paraId="4D905398">
            <w:pPr>
              <w:topLinePunct/>
              <w:adjustRightInd w:val="0"/>
              <w:snapToGrid w:val="0"/>
              <w:spacing w:line="300" w:lineRule="auto"/>
              <w:ind w:left="-57" w:right="-57"/>
              <w:jc w:val="center"/>
              <w:rPr>
                <w:rFonts w:hint="eastAsia" w:cs="宋体"/>
                <w:sz w:val="21"/>
                <w:szCs w:val="21"/>
              </w:rPr>
            </w:pPr>
          </w:p>
        </w:tc>
      </w:tr>
      <w:tr w14:paraId="7DB4C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89" w:type="dxa"/>
            <w:tcMar>
              <w:top w:w="85" w:type="dxa"/>
              <w:left w:w="113" w:type="dxa"/>
              <w:bottom w:w="85" w:type="dxa"/>
              <w:right w:w="113" w:type="dxa"/>
            </w:tcMar>
            <w:vAlign w:val="center"/>
          </w:tcPr>
          <w:p w14:paraId="21ACB70E">
            <w:pPr>
              <w:adjustRightInd w:val="0"/>
              <w:spacing w:line="300" w:lineRule="auto"/>
              <w:jc w:val="center"/>
              <w:rPr>
                <w:rFonts w:hint="eastAsia" w:cs="宋体"/>
                <w:b/>
                <w:bCs/>
                <w:kern w:val="0"/>
                <w:sz w:val="21"/>
                <w:szCs w:val="21"/>
                <w:lang w:bidi="ar"/>
              </w:rPr>
            </w:pPr>
            <w:r>
              <w:rPr>
                <w:rFonts w:hint="eastAsia" w:cs="宋体"/>
                <w:b/>
                <w:bCs/>
                <w:kern w:val="0"/>
                <w:sz w:val="21"/>
                <w:szCs w:val="21"/>
                <w:lang w:bidi="ar"/>
              </w:rPr>
              <w:t>4.3</w:t>
            </w:r>
          </w:p>
        </w:tc>
        <w:tc>
          <w:tcPr>
            <w:tcW w:w="4116" w:type="dxa"/>
            <w:tcMar>
              <w:top w:w="85" w:type="dxa"/>
              <w:left w:w="113" w:type="dxa"/>
              <w:bottom w:w="85" w:type="dxa"/>
              <w:right w:w="113" w:type="dxa"/>
            </w:tcMar>
            <w:vAlign w:val="center"/>
          </w:tcPr>
          <w:p w14:paraId="79F751E6">
            <w:pPr>
              <w:topLinePunct/>
              <w:adjustRightInd w:val="0"/>
              <w:snapToGrid w:val="0"/>
              <w:spacing w:line="300" w:lineRule="auto"/>
              <w:ind w:left="-57" w:right="-57"/>
              <w:rPr>
                <w:rFonts w:hint="eastAsia" w:cs="宋体"/>
                <w:b/>
                <w:bCs/>
                <w:sz w:val="21"/>
                <w:szCs w:val="21"/>
              </w:rPr>
            </w:pPr>
            <w:r>
              <w:rPr>
                <w:rFonts w:hint="eastAsia" w:cs="宋体"/>
                <w:b/>
                <w:bCs/>
                <w:kern w:val="0"/>
                <w:sz w:val="21"/>
                <w:szCs w:val="21"/>
                <w:lang w:bidi="ar"/>
              </w:rPr>
              <w:t>施工策划</w:t>
            </w:r>
          </w:p>
        </w:tc>
        <w:tc>
          <w:tcPr>
            <w:tcW w:w="4246" w:type="dxa"/>
            <w:vAlign w:val="center"/>
          </w:tcPr>
          <w:p w14:paraId="200DDF24">
            <w:pPr>
              <w:topLinePunct/>
              <w:adjustRightInd w:val="0"/>
              <w:snapToGrid w:val="0"/>
              <w:spacing w:line="300" w:lineRule="auto"/>
              <w:ind w:left="-57" w:right="-57"/>
              <w:rPr>
                <w:rFonts w:hint="eastAsia" w:cs="宋体"/>
                <w:b/>
                <w:bCs/>
                <w:sz w:val="21"/>
                <w:szCs w:val="21"/>
              </w:rPr>
            </w:pPr>
          </w:p>
        </w:tc>
        <w:tc>
          <w:tcPr>
            <w:tcW w:w="1134" w:type="dxa"/>
            <w:vAlign w:val="center"/>
          </w:tcPr>
          <w:p w14:paraId="4F3621D9">
            <w:pPr>
              <w:topLinePunct/>
              <w:adjustRightInd w:val="0"/>
              <w:snapToGrid w:val="0"/>
              <w:spacing w:line="300" w:lineRule="auto"/>
              <w:ind w:left="-57" w:right="-57"/>
              <w:jc w:val="center"/>
              <w:rPr>
                <w:rFonts w:hint="eastAsia" w:cs="宋体"/>
                <w:b/>
                <w:bCs/>
                <w:sz w:val="21"/>
                <w:szCs w:val="21"/>
              </w:rPr>
            </w:pPr>
            <w:r>
              <w:rPr>
                <w:rFonts w:hint="eastAsia" w:cs="宋体"/>
                <w:b/>
                <w:bCs/>
                <w:sz w:val="21"/>
                <w:szCs w:val="21"/>
              </w:rPr>
              <w:t>40</w:t>
            </w:r>
          </w:p>
        </w:tc>
        <w:tc>
          <w:tcPr>
            <w:tcW w:w="1134" w:type="dxa"/>
            <w:vAlign w:val="center"/>
          </w:tcPr>
          <w:p w14:paraId="6ABD5D64">
            <w:pPr>
              <w:topLinePunct/>
              <w:adjustRightInd w:val="0"/>
              <w:snapToGrid w:val="0"/>
              <w:spacing w:line="300" w:lineRule="auto"/>
              <w:ind w:left="-57" w:right="-57"/>
              <w:rPr>
                <w:rFonts w:hint="eastAsia" w:cs="宋体"/>
                <w:b/>
                <w:bCs/>
                <w:sz w:val="21"/>
                <w:szCs w:val="21"/>
              </w:rPr>
            </w:pPr>
          </w:p>
        </w:tc>
      </w:tr>
      <w:tr w14:paraId="2B2E2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89" w:type="dxa"/>
            <w:tcMar>
              <w:top w:w="85" w:type="dxa"/>
              <w:left w:w="113" w:type="dxa"/>
              <w:bottom w:w="85" w:type="dxa"/>
              <w:right w:w="113" w:type="dxa"/>
            </w:tcMar>
            <w:vAlign w:val="center"/>
          </w:tcPr>
          <w:p w14:paraId="1AD70669">
            <w:pPr>
              <w:adjustRightInd w:val="0"/>
              <w:spacing w:line="300" w:lineRule="auto"/>
              <w:jc w:val="center"/>
              <w:rPr>
                <w:rFonts w:hint="eastAsia" w:cs="宋体"/>
                <w:sz w:val="21"/>
                <w:szCs w:val="21"/>
              </w:rPr>
            </w:pPr>
            <w:r>
              <w:rPr>
                <w:sz w:val="21"/>
                <w:szCs w:val="21"/>
              </w:rPr>
              <w:t>4.3.1</w:t>
            </w:r>
          </w:p>
        </w:tc>
        <w:tc>
          <w:tcPr>
            <w:tcW w:w="4116" w:type="dxa"/>
            <w:tcMar>
              <w:top w:w="85" w:type="dxa"/>
              <w:left w:w="113" w:type="dxa"/>
              <w:bottom w:w="85" w:type="dxa"/>
              <w:right w:w="113" w:type="dxa"/>
            </w:tcMar>
            <w:vAlign w:val="center"/>
          </w:tcPr>
          <w:p w14:paraId="461D9AA0">
            <w:pPr>
              <w:adjustRightInd w:val="0"/>
              <w:spacing w:line="300" w:lineRule="auto"/>
              <w:jc w:val="left"/>
              <w:rPr>
                <w:rFonts w:hint="eastAsia" w:cs="宋体"/>
                <w:sz w:val="21"/>
                <w:szCs w:val="21"/>
                <w:lang w:bidi="ar"/>
              </w:rPr>
            </w:pPr>
            <w:r>
              <w:rPr>
                <w:rFonts w:hint="eastAsia" w:cs="宋体"/>
                <w:sz w:val="21"/>
                <w:szCs w:val="21"/>
                <w:lang w:bidi="ar"/>
              </w:rPr>
              <w:t>绿色施工策划应检查施工单位编制绿色施工策划文件，应依据绿色总体策划文件、绿色设计策划在开工前完成，应包括绿色施工目标、影响因素分析和环境风险评估、组织架构及职责分工、相关管理制度及技术标准、“四节一环保”措施、水土保持与水土流失防控、新技术应用及施工技术创新等内容。</w:t>
            </w:r>
          </w:p>
        </w:tc>
        <w:tc>
          <w:tcPr>
            <w:tcW w:w="4246" w:type="dxa"/>
            <w:tcMar>
              <w:top w:w="85" w:type="dxa"/>
              <w:left w:w="113" w:type="dxa"/>
              <w:bottom w:w="85" w:type="dxa"/>
              <w:right w:w="113" w:type="dxa"/>
            </w:tcMar>
            <w:vAlign w:val="center"/>
          </w:tcPr>
          <w:p w14:paraId="78C1B39A">
            <w:pPr>
              <w:topLinePunct/>
              <w:adjustRightInd w:val="0"/>
              <w:snapToGrid w:val="0"/>
              <w:spacing w:line="300" w:lineRule="auto"/>
              <w:rPr>
                <w:rFonts w:hint="eastAsia" w:cs="宋体"/>
                <w:sz w:val="21"/>
                <w:szCs w:val="21"/>
                <w:lang w:bidi="ar"/>
              </w:rPr>
            </w:pPr>
            <w:r>
              <w:rPr>
                <w:rFonts w:hint="eastAsia" w:cs="宋体"/>
                <w:sz w:val="21"/>
                <w:szCs w:val="21"/>
                <w:lang w:bidi="ar"/>
              </w:rPr>
              <w:t>未编制施工策划，扣10 分；未按时间节点编制完成施工策划，扣 3分；内容不符或针对性不强，每处扣 1 分。未见组织架构及职责分工、“四节一环保”等相关内容，每处扣2分；内容不符或针对性不强，每处扣1 分。</w:t>
            </w:r>
          </w:p>
        </w:tc>
        <w:tc>
          <w:tcPr>
            <w:tcW w:w="1134" w:type="dxa"/>
            <w:tcMar>
              <w:top w:w="85" w:type="dxa"/>
              <w:left w:w="113" w:type="dxa"/>
              <w:bottom w:w="85" w:type="dxa"/>
              <w:right w:w="113" w:type="dxa"/>
            </w:tcMar>
            <w:vAlign w:val="center"/>
          </w:tcPr>
          <w:p w14:paraId="3A142616">
            <w:pPr>
              <w:topLinePunct/>
              <w:adjustRightInd w:val="0"/>
              <w:snapToGrid w:val="0"/>
              <w:spacing w:line="300" w:lineRule="auto"/>
              <w:ind w:left="-57" w:right="-57"/>
              <w:jc w:val="center"/>
              <w:rPr>
                <w:rFonts w:hint="eastAsia" w:cs="宋体"/>
                <w:sz w:val="21"/>
                <w:szCs w:val="21"/>
                <w:lang w:bidi="ar"/>
              </w:rPr>
            </w:pPr>
            <w:r>
              <w:rPr>
                <w:rFonts w:hint="eastAsia" w:cs="宋体"/>
                <w:sz w:val="21"/>
                <w:szCs w:val="21"/>
                <w:lang w:bidi="ar"/>
              </w:rPr>
              <w:t>10</w:t>
            </w:r>
          </w:p>
        </w:tc>
        <w:tc>
          <w:tcPr>
            <w:tcW w:w="1134" w:type="dxa"/>
            <w:tcMar>
              <w:top w:w="85" w:type="dxa"/>
              <w:left w:w="113" w:type="dxa"/>
              <w:bottom w:w="85" w:type="dxa"/>
              <w:right w:w="113" w:type="dxa"/>
            </w:tcMar>
            <w:vAlign w:val="center"/>
          </w:tcPr>
          <w:p w14:paraId="3205FFAC">
            <w:pPr>
              <w:topLinePunct/>
              <w:adjustRightInd w:val="0"/>
              <w:snapToGrid w:val="0"/>
              <w:spacing w:line="300" w:lineRule="auto"/>
              <w:ind w:left="-57" w:right="-57"/>
              <w:jc w:val="center"/>
              <w:rPr>
                <w:rFonts w:hint="eastAsia" w:cs="宋体"/>
                <w:sz w:val="21"/>
                <w:szCs w:val="21"/>
              </w:rPr>
            </w:pPr>
          </w:p>
        </w:tc>
      </w:tr>
      <w:tr w14:paraId="141F0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89" w:type="dxa"/>
            <w:tcMar>
              <w:top w:w="85" w:type="dxa"/>
              <w:left w:w="113" w:type="dxa"/>
              <w:bottom w:w="85" w:type="dxa"/>
              <w:right w:w="113" w:type="dxa"/>
            </w:tcMar>
            <w:vAlign w:val="center"/>
          </w:tcPr>
          <w:p w14:paraId="25E59AD7">
            <w:pPr>
              <w:topLinePunct/>
              <w:adjustRightInd w:val="0"/>
              <w:snapToGrid w:val="0"/>
              <w:spacing w:line="300" w:lineRule="auto"/>
              <w:jc w:val="center"/>
              <w:rPr>
                <w:rFonts w:hint="eastAsia" w:cs="宋体"/>
                <w:sz w:val="21"/>
                <w:szCs w:val="21"/>
              </w:rPr>
            </w:pPr>
            <w:r>
              <w:rPr>
                <w:sz w:val="21"/>
                <w:szCs w:val="21"/>
              </w:rPr>
              <w:t>4.3.2</w:t>
            </w:r>
          </w:p>
        </w:tc>
        <w:tc>
          <w:tcPr>
            <w:tcW w:w="4116" w:type="dxa"/>
            <w:tcMar>
              <w:top w:w="85" w:type="dxa"/>
              <w:left w:w="113" w:type="dxa"/>
              <w:bottom w:w="85" w:type="dxa"/>
              <w:right w:w="113" w:type="dxa"/>
            </w:tcMar>
            <w:vAlign w:val="center"/>
          </w:tcPr>
          <w:p w14:paraId="7471E6CB">
            <w:pPr>
              <w:adjustRightInd w:val="0"/>
              <w:spacing w:line="300" w:lineRule="auto"/>
              <w:jc w:val="left"/>
              <w:rPr>
                <w:rFonts w:hint="eastAsia" w:cs="宋体"/>
                <w:color w:val="000000"/>
                <w:kern w:val="0"/>
                <w:sz w:val="21"/>
                <w:szCs w:val="21"/>
                <w:lang w:bidi="ar"/>
              </w:rPr>
            </w:pPr>
            <w:r>
              <w:rPr>
                <w:rFonts w:hint="eastAsia"/>
                <w:sz w:val="21"/>
                <w:szCs w:val="21"/>
              </w:rPr>
              <w:t>绿色施工目标应包括节材与材料资源利用、建筑垃圾控制与循环利用、节水与水资源利用、节能与能源利用、节地与施工用地保护、环境保护与水土保持、经济效益与社会效益等方面目标。</w:t>
            </w:r>
          </w:p>
        </w:tc>
        <w:tc>
          <w:tcPr>
            <w:tcW w:w="4246" w:type="dxa"/>
            <w:tcMar>
              <w:top w:w="85" w:type="dxa"/>
              <w:left w:w="113" w:type="dxa"/>
              <w:bottom w:w="85" w:type="dxa"/>
              <w:right w:w="113" w:type="dxa"/>
            </w:tcMar>
            <w:vAlign w:val="center"/>
          </w:tcPr>
          <w:p w14:paraId="50AFFEE5">
            <w:pPr>
              <w:adjustRightInd w:val="0"/>
              <w:spacing w:line="300" w:lineRule="auto"/>
              <w:jc w:val="left"/>
              <w:rPr>
                <w:rFonts w:hint="eastAsia" w:cs="宋体"/>
                <w:color w:val="000000"/>
                <w:kern w:val="0"/>
                <w:sz w:val="21"/>
                <w:szCs w:val="21"/>
                <w:lang w:bidi="ar"/>
              </w:rPr>
            </w:pPr>
            <w:r>
              <w:rPr>
                <w:rFonts w:hint="eastAsia" w:cs="宋体"/>
                <w:color w:val="000000"/>
                <w:kern w:val="0"/>
                <w:sz w:val="21"/>
                <w:szCs w:val="21"/>
                <w:lang w:bidi="ar"/>
              </w:rPr>
              <w:t>未见相关绿色施工目标，每处扣2分；内容不符或针对性不强，每处扣1 分。</w:t>
            </w:r>
          </w:p>
        </w:tc>
        <w:tc>
          <w:tcPr>
            <w:tcW w:w="1134" w:type="dxa"/>
            <w:tcMar>
              <w:top w:w="85" w:type="dxa"/>
              <w:left w:w="113" w:type="dxa"/>
              <w:bottom w:w="85" w:type="dxa"/>
              <w:right w:w="113" w:type="dxa"/>
            </w:tcMar>
            <w:vAlign w:val="center"/>
          </w:tcPr>
          <w:p w14:paraId="0AD2687E">
            <w:pPr>
              <w:topLinePunct/>
              <w:adjustRightInd w:val="0"/>
              <w:snapToGrid w:val="0"/>
              <w:spacing w:line="300" w:lineRule="auto"/>
              <w:ind w:left="-57" w:right="-57"/>
              <w:jc w:val="center"/>
              <w:rPr>
                <w:rFonts w:hint="eastAsia" w:cs="宋体"/>
                <w:sz w:val="21"/>
                <w:szCs w:val="21"/>
                <w:lang w:bidi="ar"/>
              </w:rPr>
            </w:pPr>
            <w:r>
              <w:rPr>
                <w:rFonts w:hint="eastAsia" w:cs="宋体"/>
                <w:sz w:val="21"/>
                <w:szCs w:val="21"/>
                <w:lang w:bidi="ar"/>
              </w:rPr>
              <w:t>10</w:t>
            </w:r>
          </w:p>
        </w:tc>
        <w:tc>
          <w:tcPr>
            <w:tcW w:w="1134" w:type="dxa"/>
            <w:tcMar>
              <w:top w:w="85" w:type="dxa"/>
              <w:left w:w="113" w:type="dxa"/>
              <w:bottom w:w="85" w:type="dxa"/>
              <w:right w:w="113" w:type="dxa"/>
            </w:tcMar>
            <w:vAlign w:val="center"/>
          </w:tcPr>
          <w:p w14:paraId="44FF6052">
            <w:pPr>
              <w:topLinePunct/>
              <w:adjustRightInd w:val="0"/>
              <w:snapToGrid w:val="0"/>
              <w:spacing w:line="300" w:lineRule="auto"/>
              <w:ind w:left="-57" w:right="-57"/>
              <w:jc w:val="center"/>
              <w:rPr>
                <w:rFonts w:hint="eastAsia" w:cs="宋体"/>
                <w:sz w:val="21"/>
                <w:szCs w:val="21"/>
              </w:rPr>
            </w:pPr>
          </w:p>
        </w:tc>
      </w:tr>
      <w:tr w14:paraId="362C4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89" w:type="dxa"/>
            <w:tcMar>
              <w:top w:w="85" w:type="dxa"/>
              <w:left w:w="113" w:type="dxa"/>
              <w:bottom w:w="85" w:type="dxa"/>
              <w:right w:w="113" w:type="dxa"/>
            </w:tcMar>
            <w:vAlign w:val="center"/>
          </w:tcPr>
          <w:p w14:paraId="0633F9A5">
            <w:pPr>
              <w:topLinePunct/>
              <w:adjustRightInd w:val="0"/>
              <w:snapToGrid w:val="0"/>
              <w:spacing w:line="300" w:lineRule="auto"/>
              <w:jc w:val="center"/>
              <w:rPr>
                <w:rFonts w:hint="eastAsia" w:cs="宋体"/>
                <w:sz w:val="21"/>
                <w:szCs w:val="21"/>
              </w:rPr>
            </w:pPr>
            <w:r>
              <w:rPr>
                <w:sz w:val="21"/>
                <w:szCs w:val="21"/>
              </w:rPr>
              <w:t>4.3.3</w:t>
            </w:r>
          </w:p>
        </w:tc>
        <w:tc>
          <w:tcPr>
            <w:tcW w:w="4116" w:type="dxa"/>
            <w:tcMar>
              <w:top w:w="85" w:type="dxa"/>
              <w:left w:w="113" w:type="dxa"/>
              <w:bottom w:w="85" w:type="dxa"/>
              <w:right w:w="113" w:type="dxa"/>
            </w:tcMar>
            <w:vAlign w:val="center"/>
          </w:tcPr>
          <w:p w14:paraId="12FCE62B">
            <w:pPr>
              <w:adjustRightInd w:val="0"/>
              <w:spacing w:line="300" w:lineRule="auto"/>
              <w:jc w:val="left"/>
              <w:rPr>
                <w:rFonts w:hint="eastAsia" w:cs="宋体"/>
                <w:color w:val="000000"/>
                <w:kern w:val="0"/>
                <w:sz w:val="21"/>
                <w:szCs w:val="21"/>
                <w:lang w:bidi="ar"/>
              </w:rPr>
            </w:pPr>
            <w:r>
              <w:rPr>
                <w:rFonts w:hint="eastAsia" w:cs="宋体"/>
                <w:color w:val="000000"/>
                <w:kern w:val="0"/>
                <w:sz w:val="21"/>
                <w:szCs w:val="21"/>
                <w:lang w:bidi="ar"/>
              </w:rPr>
              <w:t>影响因素分析和环境风险评估应依据工程施工现场及周边环境、工程实际情况等影响因素分析和环境风险评估结果开展。对生态环境保护、资源节约与循环利用、碳排放降低、人力资源节约及职业健康安全等进行总体分析。</w:t>
            </w:r>
          </w:p>
        </w:tc>
        <w:tc>
          <w:tcPr>
            <w:tcW w:w="4246" w:type="dxa"/>
            <w:tcMar>
              <w:top w:w="85" w:type="dxa"/>
              <w:left w:w="113" w:type="dxa"/>
              <w:bottom w:w="85" w:type="dxa"/>
              <w:right w:w="113" w:type="dxa"/>
            </w:tcMar>
            <w:vAlign w:val="center"/>
          </w:tcPr>
          <w:p w14:paraId="0B16AE15">
            <w:pPr>
              <w:adjustRightInd w:val="0"/>
              <w:spacing w:line="300" w:lineRule="auto"/>
              <w:jc w:val="left"/>
              <w:rPr>
                <w:rFonts w:hint="eastAsia" w:cs="宋体"/>
                <w:color w:val="000000"/>
                <w:kern w:val="0"/>
                <w:sz w:val="21"/>
                <w:szCs w:val="21"/>
                <w:lang w:bidi="ar"/>
              </w:rPr>
            </w:pPr>
            <w:r>
              <w:rPr>
                <w:rFonts w:hint="eastAsia" w:cs="宋体"/>
                <w:color w:val="000000"/>
                <w:kern w:val="0"/>
                <w:sz w:val="21"/>
                <w:szCs w:val="21"/>
                <w:lang w:bidi="ar"/>
              </w:rPr>
              <w:t>未进行分析和环境风险评估，扣2分；未进行生态环境保护、资源节约与循环利用、碳排放降低、人力资源节约及职业健康安全等进行总体分析的扣3分。</w:t>
            </w:r>
          </w:p>
        </w:tc>
        <w:tc>
          <w:tcPr>
            <w:tcW w:w="1134" w:type="dxa"/>
            <w:tcMar>
              <w:top w:w="85" w:type="dxa"/>
              <w:left w:w="113" w:type="dxa"/>
              <w:bottom w:w="85" w:type="dxa"/>
              <w:right w:w="113" w:type="dxa"/>
            </w:tcMar>
            <w:vAlign w:val="center"/>
          </w:tcPr>
          <w:p w14:paraId="0021006C">
            <w:pPr>
              <w:topLinePunct/>
              <w:adjustRightInd w:val="0"/>
              <w:snapToGrid w:val="0"/>
              <w:spacing w:line="300" w:lineRule="auto"/>
              <w:ind w:left="-57" w:right="-57"/>
              <w:jc w:val="center"/>
              <w:rPr>
                <w:rFonts w:hint="eastAsia" w:cs="宋体"/>
                <w:sz w:val="21"/>
                <w:szCs w:val="21"/>
                <w:lang w:bidi="ar"/>
              </w:rPr>
            </w:pPr>
            <w:r>
              <w:rPr>
                <w:rFonts w:hint="eastAsia" w:cs="宋体"/>
                <w:sz w:val="21"/>
                <w:szCs w:val="21"/>
                <w:lang w:bidi="ar"/>
              </w:rPr>
              <w:t>10</w:t>
            </w:r>
          </w:p>
        </w:tc>
        <w:tc>
          <w:tcPr>
            <w:tcW w:w="1134" w:type="dxa"/>
            <w:tcMar>
              <w:top w:w="85" w:type="dxa"/>
              <w:left w:w="113" w:type="dxa"/>
              <w:bottom w:w="85" w:type="dxa"/>
              <w:right w:w="113" w:type="dxa"/>
            </w:tcMar>
            <w:vAlign w:val="center"/>
          </w:tcPr>
          <w:p w14:paraId="0D19E9D5">
            <w:pPr>
              <w:topLinePunct/>
              <w:adjustRightInd w:val="0"/>
              <w:snapToGrid w:val="0"/>
              <w:spacing w:line="300" w:lineRule="auto"/>
              <w:ind w:left="-57" w:right="-57"/>
              <w:jc w:val="center"/>
              <w:rPr>
                <w:rFonts w:hint="eastAsia" w:cs="宋体"/>
                <w:sz w:val="21"/>
                <w:szCs w:val="21"/>
              </w:rPr>
            </w:pPr>
          </w:p>
        </w:tc>
      </w:tr>
      <w:tr w14:paraId="238D0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89" w:type="dxa"/>
            <w:tcMar>
              <w:top w:w="85" w:type="dxa"/>
              <w:left w:w="113" w:type="dxa"/>
              <w:bottom w:w="85" w:type="dxa"/>
              <w:right w:w="113" w:type="dxa"/>
            </w:tcMar>
            <w:vAlign w:val="center"/>
          </w:tcPr>
          <w:p w14:paraId="5B7345C3">
            <w:pPr>
              <w:topLinePunct/>
              <w:adjustRightInd w:val="0"/>
              <w:snapToGrid w:val="0"/>
              <w:spacing w:line="300" w:lineRule="auto"/>
              <w:jc w:val="center"/>
              <w:rPr>
                <w:rFonts w:hint="eastAsia" w:cs="宋体"/>
                <w:sz w:val="21"/>
                <w:szCs w:val="21"/>
              </w:rPr>
            </w:pPr>
            <w:r>
              <w:rPr>
                <w:sz w:val="21"/>
                <w:szCs w:val="21"/>
              </w:rPr>
              <w:t>4.3.4</w:t>
            </w:r>
          </w:p>
        </w:tc>
        <w:tc>
          <w:tcPr>
            <w:tcW w:w="4116" w:type="dxa"/>
            <w:tcMar>
              <w:top w:w="85" w:type="dxa"/>
              <w:left w:w="113" w:type="dxa"/>
              <w:bottom w:w="85" w:type="dxa"/>
              <w:right w:w="113" w:type="dxa"/>
            </w:tcMar>
            <w:vAlign w:val="center"/>
          </w:tcPr>
          <w:p w14:paraId="70482793">
            <w:pPr>
              <w:adjustRightInd w:val="0"/>
              <w:spacing w:line="300" w:lineRule="auto"/>
              <w:jc w:val="left"/>
              <w:rPr>
                <w:rFonts w:hint="eastAsia" w:cs="宋体"/>
                <w:color w:val="000000"/>
                <w:kern w:val="0"/>
                <w:sz w:val="21"/>
                <w:szCs w:val="21"/>
                <w:lang w:bidi="ar"/>
              </w:rPr>
            </w:pPr>
            <w:r>
              <w:rPr>
                <w:rFonts w:hint="eastAsia" w:cs="宋体"/>
                <w:color w:val="000000"/>
                <w:kern w:val="0"/>
                <w:sz w:val="21"/>
                <w:szCs w:val="21"/>
                <w:lang w:bidi="ar"/>
              </w:rPr>
              <w:t>水土保持与水土流失防控应明确水土流失防治责任范围。</w:t>
            </w:r>
          </w:p>
        </w:tc>
        <w:tc>
          <w:tcPr>
            <w:tcW w:w="4246" w:type="dxa"/>
            <w:tcMar>
              <w:top w:w="85" w:type="dxa"/>
              <w:left w:w="113" w:type="dxa"/>
              <w:bottom w:w="85" w:type="dxa"/>
              <w:right w:w="113" w:type="dxa"/>
            </w:tcMar>
            <w:vAlign w:val="center"/>
          </w:tcPr>
          <w:p w14:paraId="1B231529">
            <w:pPr>
              <w:adjustRightInd w:val="0"/>
              <w:spacing w:line="300" w:lineRule="auto"/>
              <w:jc w:val="left"/>
              <w:rPr>
                <w:rFonts w:hint="eastAsia" w:cs="宋体"/>
                <w:color w:val="000000"/>
                <w:kern w:val="0"/>
                <w:sz w:val="21"/>
                <w:szCs w:val="21"/>
                <w:lang w:bidi="ar"/>
              </w:rPr>
            </w:pPr>
            <w:r>
              <w:rPr>
                <w:rFonts w:hint="eastAsia" w:cs="宋体"/>
                <w:color w:val="000000"/>
                <w:kern w:val="0"/>
                <w:sz w:val="21"/>
                <w:szCs w:val="21"/>
                <w:lang w:bidi="ar"/>
              </w:rPr>
              <w:t>未制定水土保持与水土流失防控应明确水土流失防治防控措施，扣5分；内容不符或针对性不强，每处扣1分。</w:t>
            </w:r>
          </w:p>
        </w:tc>
        <w:tc>
          <w:tcPr>
            <w:tcW w:w="1134" w:type="dxa"/>
            <w:tcMar>
              <w:top w:w="85" w:type="dxa"/>
              <w:left w:w="113" w:type="dxa"/>
              <w:bottom w:w="85" w:type="dxa"/>
              <w:right w:w="113" w:type="dxa"/>
            </w:tcMar>
            <w:vAlign w:val="center"/>
          </w:tcPr>
          <w:p w14:paraId="2BEF88F5">
            <w:pPr>
              <w:topLinePunct/>
              <w:adjustRightInd w:val="0"/>
              <w:snapToGrid w:val="0"/>
              <w:spacing w:line="300" w:lineRule="auto"/>
              <w:ind w:left="-57" w:right="-57"/>
              <w:jc w:val="center"/>
              <w:rPr>
                <w:rFonts w:hint="eastAsia" w:cs="宋体"/>
                <w:sz w:val="21"/>
                <w:szCs w:val="21"/>
                <w:lang w:bidi="ar"/>
              </w:rPr>
            </w:pPr>
            <w:r>
              <w:rPr>
                <w:rFonts w:hint="eastAsia" w:cs="宋体"/>
                <w:sz w:val="21"/>
                <w:szCs w:val="21"/>
                <w:lang w:bidi="ar"/>
              </w:rPr>
              <w:t>5</w:t>
            </w:r>
          </w:p>
        </w:tc>
        <w:tc>
          <w:tcPr>
            <w:tcW w:w="1134" w:type="dxa"/>
            <w:tcMar>
              <w:top w:w="85" w:type="dxa"/>
              <w:left w:w="113" w:type="dxa"/>
              <w:bottom w:w="85" w:type="dxa"/>
              <w:right w:w="113" w:type="dxa"/>
            </w:tcMar>
            <w:vAlign w:val="center"/>
          </w:tcPr>
          <w:p w14:paraId="1F65E849">
            <w:pPr>
              <w:topLinePunct/>
              <w:adjustRightInd w:val="0"/>
              <w:snapToGrid w:val="0"/>
              <w:spacing w:line="300" w:lineRule="auto"/>
              <w:ind w:left="-57" w:right="-57"/>
              <w:jc w:val="center"/>
              <w:rPr>
                <w:rFonts w:hint="eastAsia" w:cs="宋体"/>
                <w:sz w:val="21"/>
                <w:szCs w:val="21"/>
              </w:rPr>
            </w:pPr>
          </w:p>
        </w:tc>
      </w:tr>
      <w:tr w14:paraId="0E22B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89" w:type="dxa"/>
            <w:tcMar>
              <w:top w:w="85" w:type="dxa"/>
              <w:left w:w="113" w:type="dxa"/>
              <w:bottom w:w="85" w:type="dxa"/>
              <w:right w:w="113" w:type="dxa"/>
            </w:tcMar>
            <w:vAlign w:val="center"/>
          </w:tcPr>
          <w:p w14:paraId="73FAFCA1">
            <w:pPr>
              <w:topLinePunct/>
              <w:adjustRightInd w:val="0"/>
              <w:snapToGrid w:val="0"/>
              <w:spacing w:line="300" w:lineRule="auto"/>
              <w:jc w:val="center"/>
              <w:rPr>
                <w:rFonts w:hint="eastAsia" w:cs="宋体"/>
                <w:sz w:val="21"/>
                <w:szCs w:val="21"/>
              </w:rPr>
            </w:pPr>
            <w:r>
              <w:rPr>
                <w:sz w:val="21"/>
                <w:szCs w:val="21"/>
              </w:rPr>
              <w:t>4.3.5</w:t>
            </w:r>
          </w:p>
        </w:tc>
        <w:tc>
          <w:tcPr>
            <w:tcW w:w="4116" w:type="dxa"/>
            <w:tcMar>
              <w:top w:w="85" w:type="dxa"/>
              <w:left w:w="113" w:type="dxa"/>
              <w:bottom w:w="85" w:type="dxa"/>
              <w:right w:w="113" w:type="dxa"/>
            </w:tcMar>
            <w:vAlign w:val="center"/>
          </w:tcPr>
          <w:p w14:paraId="7EBA9B01">
            <w:pPr>
              <w:adjustRightInd w:val="0"/>
              <w:spacing w:line="300" w:lineRule="auto"/>
              <w:jc w:val="left"/>
              <w:rPr>
                <w:rFonts w:hint="eastAsia" w:cs="宋体"/>
                <w:color w:val="000000"/>
                <w:kern w:val="0"/>
                <w:sz w:val="21"/>
                <w:szCs w:val="21"/>
                <w:lang w:bidi="ar"/>
              </w:rPr>
            </w:pPr>
            <w:r>
              <w:rPr>
                <w:rFonts w:hint="eastAsia" w:cs="宋体"/>
                <w:color w:val="000000"/>
                <w:kern w:val="0"/>
                <w:sz w:val="21"/>
                <w:szCs w:val="21"/>
                <w:lang w:bidi="ar"/>
              </w:rPr>
              <w:t>新技术应用及施工技术创新应包括国家重点节能低碳节能技术应用、电力行业“五新”技术及电力建设低碳技术应用、建筑业10项新技术应用、绿色建造相关的科技进步、专利、QC成果、工法、标准编制、五小发明等创新成果计划等方面。</w:t>
            </w:r>
          </w:p>
        </w:tc>
        <w:tc>
          <w:tcPr>
            <w:tcW w:w="4246" w:type="dxa"/>
            <w:tcMar>
              <w:top w:w="85" w:type="dxa"/>
              <w:left w:w="113" w:type="dxa"/>
              <w:bottom w:w="85" w:type="dxa"/>
              <w:right w:w="113" w:type="dxa"/>
            </w:tcMar>
            <w:vAlign w:val="center"/>
          </w:tcPr>
          <w:p w14:paraId="57D97291">
            <w:pPr>
              <w:adjustRightInd w:val="0"/>
              <w:spacing w:line="300" w:lineRule="auto"/>
              <w:jc w:val="left"/>
              <w:rPr>
                <w:rFonts w:hint="eastAsia" w:cs="宋体"/>
                <w:color w:val="000000"/>
                <w:kern w:val="0"/>
                <w:sz w:val="21"/>
                <w:szCs w:val="21"/>
                <w:lang w:bidi="ar"/>
              </w:rPr>
            </w:pPr>
            <w:r>
              <w:rPr>
                <w:rFonts w:hint="eastAsia" w:cs="宋体"/>
                <w:color w:val="000000"/>
                <w:kern w:val="0"/>
                <w:sz w:val="21"/>
                <w:szCs w:val="21"/>
                <w:lang w:bidi="ar"/>
              </w:rPr>
              <w:t>无相关新技术应用策划扣5分；应用清单与总体策划不一致，每处扣 1 分。</w:t>
            </w:r>
          </w:p>
        </w:tc>
        <w:tc>
          <w:tcPr>
            <w:tcW w:w="1134" w:type="dxa"/>
            <w:tcMar>
              <w:top w:w="85" w:type="dxa"/>
              <w:left w:w="113" w:type="dxa"/>
              <w:bottom w:w="85" w:type="dxa"/>
              <w:right w:w="113" w:type="dxa"/>
            </w:tcMar>
            <w:vAlign w:val="center"/>
          </w:tcPr>
          <w:p w14:paraId="4C0D1298">
            <w:pPr>
              <w:topLinePunct/>
              <w:adjustRightInd w:val="0"/>
              <w:snapToGrid w:val="0"/>
              <w:spacing w:line="300" w:lineRule="auto"/>
              <w:ind w:left="-57" w:right="-57"/>
              <w:jc w:val="center"/>
              <w:rPr>
                <w:rFonts w:hint="eastAsia" w:cs="宋体"/>
                <w:sz w:val="21"/>
                <w:szCs w:val="21"/>
                <w:lang w:bidi="ar"/>
              </w:rPr>
            </w:pPr>
            <w:r>
              <w:rPr>
                <w:rFonts w:hint="eastAsia" w:cs="宋体"/>
                <w:sz w:val="21"/>
                <w:szCs w:val="21"/>
                <w:lang w:bidi="ar"/>
              </w:rPr>
              <w:t>5</w:t>
            </w:r>
          </w:p>
        </w:tc>
        <w:tc>
          <w:tcPr>
            <w:tcW w:w="1134" w:type="dxa"/>
            <w:tcMar>
              <w:top w:w="85" w:type="dxa"/>
              <w:left w:w="113" w:type="dxa"/>
              <w:bottom w:w="85" w:type="dxa"/>
              <w:right w:w="113" w:type="dxa"/>
            </w:tcMar>
            <w:vAlign w:val="center"/>
          </w:tcPr>
          <w:p w14:paraId="2C8F3CF8">
            <w:pPr>
              <w:topLinePunct/>
              <w:adjustRightInd w:val="0"/>
              <w:snapToGrid w:val="0"/>
              <w:spacing w:line="300" w:lineRule="auto"/>
              <w:ind w:left="-57" w:right="-57"/>
              <w:jc w:val="center"/>
              <w:rPr>
                <w:rFonts w:hint="eastAsia" w:cs="宋体"/>
                <w:sz w:val="21"/>
                <w:szCs w:val="21"/>
              </w:rPr>
            </w:pPr>
          </w:p>
        </w:tc>
      </w:tr>
      <w:tr w14:paraId="321AC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89" w:type="dxa"/>
            <w:tcMar>
              <w:top w:w="85" w:type="dxa"/>
              <w:left w:w="113" w:type="dxa"/>
              <w:bottom w:w="85" w:type="dxa"/>
              <w:right w:w="113" w:type="dxa"/>
            </w:tcMar>
            <w:vAlign w:val="center"/>
          </w:tcPr>
          <w:p w14:paraId="63F54A85">
            <w:pPr>
              <w:topLinePunct/>
              <w:adjustRightInd w:val="0"/>
              <w:snapToGrid w:val="0"/>
              <w:spacing w:line="300" w:lineRule="auto"/>
              <w:jc w:val="center"/>
              <w:rPr>
                <w:rFonts w:hint="eastAsia" w:cs="宋体"/>
                <w:b/>
                <w:bCs/>
                <w:sz w:val="21"/>
                <w:szCs w:val="21"/>
              </w:rPr>
            </w:pPr>
            <w:r>
              <w:rPr>
                <w:rFonts w:hint="eastAsia" w:cs="宋体"/>
                <w:b/>
                <w:bCs/>
                <w:sz w:val="21"/>
                <w:szCs w:val="21"/>
              </w:rPr>
              <w:t>4.4</w:t>
            </w:r>
          </w:p>
        </w:tc>
        <w:tc>
          <w:tcPr>
            <w:tcW w:w="4116" w:type="dxa"/>
            <w:tcMar>
              <w:top w:w="85" w:type="dxa"/>
              <w:left w:w="113" w:type="dxa"/>
              <w:bottom w:w="85" w:type="dxa"/>
              <w:right w:w="113" w:type="dxa"/>
            </w:tcMar>
            <w:vAlign w:val="center"/>
          </w:tcPr>
          <w:p w14:paraId="5438AB5A">
            <w:pPr>
              <w:topLinePunct/>
              <w:adjustRightInd w:val="0"/>
              <w:snapToGrid w:val="0"/>
              <w:spacing w:line="300" w:lineRule="auto"/>
              <w:ind w:left="-57" w:right="-57"/>
              <w:rPr>
                <w:rFonts w:hint="eastAsia" w:cs="宋体"/>
                <w:b/>
                <w:bCs/>
                <w:sz w:val="21"/>
                <w:szCs w:val="21"/>
              </w:rPr>
            </w:pPr>
            <w:r>
              <w:rPr>
                <w:rFonts w:hint="eastAsia" w:cs="宋体"/>
                <w:b/>
                <w:bCs/>
                <w:sz w:val="21"/>
                <w:szCs w:val="21"/>
              </w:rPr>
              <w:t>移交策划</w:t>
            </w:r>
          </w:p>
        </w:tc>
        <w:tc>
          <w:tcPr>
            <w:tcW w:w="4246" w:type="dxa"/>
            <w:vAlign w:val="center"/>
          </w:tcPr>
          <w:p w14:paraId="1D129023">
            <w:pPr>
              <w:topLinePunct/>
              <w:adjustRightInd w:val="0"/>
              <w:snapToGrid w:val="0"/>
              <w:spacing w:line="300" w:lineRule="auto"/>
              <w:ind w:left="-57" w:right="-57"/>
              <w:rPr>
                <w:rFonts w:hint="eastAsia" w:cs="宋体"/>
                <w:b/>
                <w:bCs/>
                <w:sz w:val="21"/>
                <w:szCs w:val="21"/>
              </w:rPr>
            </w:pPr>
          </w:p>
        </w:tc>
        <w:tc>
          <w:tcPr>
            <w:tcW w:w="1134" w:type="dxa"/>
            <w:vAlign w:val="center"/>
          </w:tcPr>
          <w:p w14:paraId="6C304C87">
            <w:pPr>
              <w:topLinePunct/>
              <w:adjustRightInd w:val="0"/>
              <w:snapToGrid w:val="0"/>
              <w:spacing w:line="300" w:lineRule="auto"/>
              <w:ind w:left="-57" w:right="-57"/>
              <w:jc w:val="center"/>
              <w:rPr>
                <w:rFonts w:hint="eastAsia" w:cs="宋体"/>
                <w:b/>
                <w:bCs/>
                <w:sz w:val="21"/>
                <w:szCs w:val="21"/>
              </w:rPr>
            </w:pPr>
            <w:r>
              <w:rPr>
                <w:rFonts w:hint="eastAsia" w:cs="宋体"/>
                <w:b/>
                <w:bCs/>
                <w:sz w:val="21"/>
                <w:szCs w:val="21"/>
              </w:rPr>
              <w:t>10</w:t>
            </w:r>
          </w:p>
        </w:tc>
        <w:tc>
          <w:tcPr>
            <w:tcW w:w="1134" w:type="dxa"/>
            <w:vAlign w:val="center"/>
          </w:tcPr>
          <w:p w14:paraId="13F4D1A1">
            <w:pPr>
              <w:topLinePunct/>
              <w:adjustRightInd w:val="0"/>
              <w:snapToGrid w:val="0"/>
              <w:spacing w:line="300" w:lineRule="auto"/>
              <w:ind w:left="-57" w:right="-57"/>
              <w:rPr>
                <w:rFonts w:hint="eastAsia" w:cs="宋体"/>
                <w:b/>
                <w:bCs/>
                <w:sz w:val="21"/>
                <w:szCs w:val="21"/>
              </w:rPr>
            </w:pPr>
          </w:p>
        </w:tc>
      </w:tr>
      <w:tr w14:paraId="445D7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89" w:type="dxa"/>
            <w:tcMar>
              <w:top w:w="85" w:type="dxa"/>
              <w:left w:w="113" w:type="dxa"/>
              <w:bottom w:w="85" w:type="dxa"/>
              <w:right w:w="113" w:type="dxa"/>
            </w:tcMar>
            <w:vAlign w:val="center"/>
          </w:tcPr>
          <w:p w14:paraId="485B0A8A">
            <w:pPr>
              <w:topLinePunct/>
              <w:adjustRightInd w:val="0"/>
              <w:snapToGrid w:val="0"/>
              <w:spacing w:line="300" w:lineRule="auto"/>
              <w:jc w:val="center"/>
              <w:rPr>
                <w:rFonts w:hint="eastAsia" w:cs="宋体"/>
                <w:sz w:val="21"/>
                <w:szCs w:val="21"/>
              </w:rPr>
            </w:pPr>
            <w:r>
              <w:rPr>
                <w:sz w:val="21"/>
                <w:szCs w:val="21"/>
              </w:rPr>
              <w:t xml:space="preserve">4.4.1  </w:t>
            </w:r>
          </w:p>
        </w:tc>
        <w:tc>
          <w:tcPr>
            <w:tcW w:w="4116" w:type="dxa"/>
            <w:tcMar>
              <w:top w:w="85" w:type="dxa"/>
              <w:left w:w="113" w:type="dxa"/>
              <w:bottom w:w="85" w:type="dxa"/>
              <w:right w:w="113" w:type="dxa"/>
            </w:tcMar>
            <w:vAlign w:val="center"/>
          </w:tcPr>
          <w:p w14:paraId="67B0289F">
            <w:pPr>
              <w:adjustRightInd w:val="0"/>
              <w:spacing w:line="300" w:lineRule="auto"/>
              <w:jc w:val="left"/>
              <w:rPr>
                <w:rFonts w:hint="eastAsia" w:cs="宋体"/>
                <w:color w:val="000000"/>
                <w:kern w:val="0"/>
                <w:sz w:val="21"/>
                <w:szCs w:val="21"/>
                <w:lang w:bidi="ar"/>
              </w:rPr>
            </w:pPr>
            <w:r>
              <w:rPr>
                <w:rFonts w:hint="eastAsia" w:cs="宋体"/>
                <w:color w:val="000000"/>
                <w:kern w:val="0"/>
                <w:sz w:val="21"/>
                <w:szCs w:val="21"/>
                <w:lang w:bidi="ar"/>
              </w:rPr>
              <w:t>绿色移交策划应检查建设单位编制的绿色移交策划文件，绿色移交策划应依据绿色总体策划、绿色设计策划、绿色施工策划在竣工前完成，应包括绿色专项验收成果、数字化移交清单、移交标准要求、移交责任主体、移交期限。</w:t>
            </w:r>
          </w:p>
        </w:tc>
        <w:tc>
          <w:tcPr>
            <w:tcW w:w="4246" w:type="dxa"/>
            <w:tcMar>
              <w:top w:w="85" w:type="dxa"/>
              <w:left w:w="113" w:type="dxa"/>
              <w:bottom w:w="85" w:type="dxa"/>
              <w:right w:w="113" w:type="dxa"/>
            </w:tcMar>
            <w:vAlign w:val="center"/>
          </w:tcPr>
          <w:p w14:paraId="6C134974">
            <w:pPr>
              <w:adjustRightInd w:val="0"/>
              <w:spacing w:line="300" w:lineRule="auto"/>
              <w:jc w:val="left"/>
              <w:rPr>
                <w:rFonts w:hint="eastAsia" w:cs="宋体"/>
                <w:color w:val="000000"/>
                <w:kern w:val="0"/>
                <w:sz w:val="21"/>
                <w:szCs w:val="21"/>
                <w:lang w:bidi="ar"/>
              </w:rPr>
            </w:pPr>
            <w:r>
              <w:rPr>
                <w:rFonts w:hint="eastAsia" w:cs="宋体"/>
                <w:color w:val="000000"/>
                <w:kern w:val="0"/>
                <w:sz w:val="21"/>
                <w:szCs w:val="21"/>
                <w:lang w:bidi="ar"/>
              </w:rPr>
              <w:t>未编制移交策划，扣4 分；未按时间节点编制完成施工策划，扣2分；内容不符或针对性不强，每处扣1分。</w:t>
            </w:r>
          </w:p>
        </w:tc>
        <w:tc>
          <w:tcPr>
            <w:tcW w:w="1134" w:type="dxa"/>
            <w:tcMar>
              <w:top w:w="85" w:type="dxa"/>
              <w:left w:w="113" w:type="dxa"/>
              <w:bottom w:w="85" w:type="dxa"/>
              <w:right w:w="113" w:type="dxa"/>
            </w:tcMar>
            <w:vAlign w:val="center"/>
          </w:tcPr>
          <w:p w14:paraId="3AF5E459">
            <w:pPr>
              <w:topLinePunct/>
              <w:adjustRightInd w:val="0"/>
              <w:snapToGrid w:val="0"/>
              <w:spacing w:line="300" w:lineRule="auto"/>
              <w:ind w:left="-57" w:right="-57"/>
              <w:jc w:val="center"/>
              <w:rPr>
                <w:rFonts w:hint="eastAsia" w:cs="宋体"/>
                <w:sz w:val="21"/>
                <w:szCs w:val="21"/>
                <w:lang w:bidi="ar"/>
              </w:rPr>
            </w:pPr>
            <w:r>
              <w:rPr>
                <w:rFonts w:hint="eastAsia" w:cs="宋体"/>
                <w:sz w:val="21"/>
                <w:szCs w:val="21"/>
                <w:lang w:bidi="ar"/>
              </w:rPr>
              <w:t>4</w:t>
            </w:r>
          </w:p>
        </w:tc>
        <w:tc>
          <w:tcPr>
            <w:tcW w:w="1134" w:type="dxa"/>
            <w:tcMar>
              <w:top w:w="85" w:type="dxa"/>
              <w:left w:w="113" w:type="dxa"/>
              <w:bottom w:w="85" w:type="dxa"/>
              <w:right w:w="113" w:type="dxa"/>
            </w:tcMar>
            <w:vAlign w:val="center"/>
          </w:tcPr>
          <w:p w14:paraId="0645F1E4">
            <w:pPr>
              <w:topLinePunct/>
              <w:adjustRightInd w:val="0"/>
              <w:snapToGrid w:val="0"/>
              <w:spacing w:line="300" w:lineRule="auto"/>
              <w:ind w:left="-57" w:right="-57"/>
              <w:jc w:val="center"/>
              <w:rPr>
                <w:rFonts w:hint="eastAsia" w:cs="宋体"/>
                <w:sz w:val="21"/>
                <w:szCs w:val="21"/>
              </w:rPr>
            </w:pPr>
          </w:p>
        </w:tc>
      </w:tr>
      <w:tr w14:paraId="10074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89" w:type="dxa"/>
            <w:tcMar>
              <w:top w:w="85" w:type="dxa"/>
              <w:left w:w="113" w:type="dxa"/>
              <w:bottom w:w="85" w:type="dxa"/>
              <w:right w:w="113" w:type="dxa"/>
            </w:tcMar>
            <w:vAlign w:val="center"/>
          </w:tcPr>
          <w:p w14:paraId="51996219">
            <w:pPr>
              <w:topLinePunct/>
              <w:adjustRightInd w:val="0"/>
              <w:snapToGrid w:val="0"/>
              <w:spacing w:line="300" w:lineRule="auto"/>
              <w:jc w:val="center"/>
              <w:rPr>
                <w:rFonts w:hint="eastAsia" w:cs="宋体"/>
                <w:sz w:val="21"/>
                <w:szCs w:val="21"/>
              </w:rPr>
            </w:pPr>
            <w:r>
              <w:rPr>
                <w:sz w:val="21"/>
                <w:szCs w:val="21"/>
              </w:rPr>
              <w:t xml:space="preserve">4.4.2  </w:t>
            </w:r>
          </w:p>
        </w:tc>
        <w:tc>
          <w:tcPr>
            <w:tcW w:w="4116" w:type="dxa"/>
            <w:tcMar>
              <w:top w:w="85" w:type="dxa"/>
              <w:left w:w="113" w:type="dxa"/>
              <w:bottom w:w="85" w:type="dxa"/>
              <w:right w:w="113" w:type="dxa"/>
            </w:tcMar>
            <w:vAlign w:val="center"/>
          </w:tcPr>
          <w:p w14:paraId="04553EFD">
            <w:pPr>
              <w:adjustRightInd w:val="0"/>
              <w:spacing w:line="300" w:lineRule="auto"/>
              <w:jc w:val="left"/>
              <w:rPr>
                <w:rFonts w:hint="eastAsia" w:cs="宋体"/>
                <w:color w:val="000000"/>
                <w:kern w:val="0"/>
                <w:sz w:val="21"/>
                <w:szCs w:val="21"/>
                <w:lang w:bidi="ar"/>
              </w:rPr>
            </w:pPr>
            <w:r>
              <w:rPr>
                <w:rFonts w:hint="eastAsia" w:cs="宋体"/>
                <w:color w:val="000000"/>
                <w:kern w:val="0"/>
                <w:sz w:val="21"/>
                <w:szCs w:val="21"/>
                <w:lang w:bidi="ar"/>
              </w:rPr>
              <w:t>绿色专项验收成果应包括绿色建筑实体、绿色建筑档案、设备设施资料、工程专项验收、绿色建造评估五个方面。</w:t>
            </w:r>
          </w:p>
        </w:tc>
        <w:tc>
          <w:tcPr>
            <w:tcW w:w="4246" w:type="dxa"/>
            <w:tcMar>
              <w:top w:w="85" w:type="dxa"/>
              <w:left w:w="113" w:type="dxa"/>
              <w:bottom w:w="85" w:type="dxa"/>
              <w:right w:w="113" w:type="dxa"/>
            </w:tcMar>
            <w:vAlign w:val="center"/>
          </w:tcPr>
          <w:p w14:paraId="555E2495">
            <w:pPr>
              <w:adjustRightInd w:val="0"/>
              <w:spacing w:line="300" w:lineRule="auto"/>
              <w:jc w:val="left"/>
              <w:rPr>
                <w:rFonts w:hint="eastAsia" w:cs="宋体"/>
                <w:color w:val="000000"/>
                <w:kern w:val="0"/>
                <w:sz w:val="21"/>
                <w:szCs w:val="21"/>
                <w:lang w:bidi="ar"/>
              </w:rPr>
            </w:pPr>
            <w:r>
              <w:rPr>
                <w:rFonts w:hint="eastAsia" w:cs="宋体"/>
                <w:color w:val="000000"/>
                <w:kern w:val="0"/>
                <w:sz w:val="21"/>
                <w:szCs w:val="21"/>
                <w:lang w:bidi="ar"/>
              </w:rPr>
              <w:t>未明确绿色建造专项验收成果，扣3 分；内容不符或针对性不强，每处扣 1 分</w:t>
            </w:r>
          </w:p>
        </w:tc>
        <w:tc>
          <w:tcPr>
            <w:tcW w:w="1134" w:type="dxa"/>
            <w:tcMar>
              <w:top w:w="85" w:type="dxa"/>
              <w:left w:w="113" w:type="dxa"/>
              <w:bottom w:w="85" w:type="dxa"/>
              <w:right w:w="113" w:type="dxa"/>
            </w:tcMar>
            <w:vAlign w:val="center"/>
          </w:tcPr>
          <w:p w14:paraId="17AE5C92">
            <w:pPr>
              <w:topLinePunct/>
              <w:adjustRightInd w:val="0"/>
              <w:snapToGrid w:val="0"/>
              <w:spacing w:line="300" w:lineRule="auto"/>
              <w:ind w:left="-57" w:right="-57"/>
              <w:jc w:val="center"/>
              <w:rPr>
                <w:rFonts w:hint="eastAsia" w:cs="宋体"/>
                <w:sz w:val="21"/>
                <w:szCs w:val="21"/>
                <w:lang w:bidi="ar"/>
              </w:rPr>
            </w:pPr>
            <w:r>
              <w:rPr>
                <w:rFonts w:hint="eastAsia" w:cs="宋体"/>
                <w:sz w:val="21"/>
                <w:szCs w:val="21"/>
                <w:lang w:bidi="ar"/>
              </w:rPr>
              <w:t>3</w:t>
            </w:r>
          </w:p>
        </w:tc>
        <w:tc>
          <w:tcPr>
            <w:tcW w:w="1134" w:type="dxa"/>
            <w:tcMar>
              <w:top w:w="85" w:type="dxa"/>
              <w:left w:w="113" w:type="dxa"/>
              <w:bottom w:w="85" w:type="dxa"/>
              <w:right w:w="113" w:type="dxa"/>
            </w:tcMar>
            <w:vAlign w:val="center"/>
          </w:tcPr>
          <w:p w14:paraId="17220ADC">
            <w:pPr>
              <w:topLinePunct/>
              <w:adjustRightInd w:val="0"/>
              <w:snapToGrid w:val="0"/>
              <w:spacing w:line="300" w:lineRule="auto"/>
              <w:ind w:left="-57" w:right="-57"/>
              <w:jc w:val="center"/>
              <w:rPr>
                <w:rFonts w:hint="eastAsia" w:cs="宋体"/>
                <w:sz w:val="21"/>
                <w:szCs w:val="21"/>
              </w:rPr>
            </w:pPr>
          </w:p>
        </w:tc>
      </w:tr>
      <w:tr w14:paraId="58CA0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89" w:type="dxa"/>
            <w:tcMar>
              <w:top w:w="85" w:type="dxa"/>
              <w:left w:w="113" w:type="dxa"/>
              <w:bottom w:w="85" w:type="dxa"/>
              <w:right w:w="113" w:type="dxa"/>
            </w:tcMar>
            <w:vAlign w:val="center"/>
          </w:tcPr>
          <w:p w14:paraId="02597D6E">
            <w:pPr>
              <w:topLinePunct/>
              <w:adjustRightInd w:val="0"/>
              <w:snapToGrid w:val="0"/>
              <w:spacing w:line="300" w:lineRule="auto"/>
              <w:jc w:val="center"/>
              <w:rPr>
                <w:rFonts w:hint="eastAsia" w:cs="宋体"/>
                <w:sz w:val="21"/>
                <w:szCs w:val="21"/>
              </w:rPr>
            </w:pPr>
            <w:r>
              <w:rPr>
                <w:sz w:val="21"/>
                <w:szCs w:val="21"/>
              </w:rPr>
              <w:t xml:space="preserve">4.4.3  </w:t>
            </w:r>
          </w:p>
        </w:tc>
        <w:tc>
          <w:tcPr>
            <w:tcW w:w="4116" w:type="dxa"/>
            <w:tcMar>
              <w:top w:w="85" w:type="dxa"/>
              <w:left w:w="113" w:type="dxa"/>
              <w:bottom w:w="85" w:type="dxa"/>
              <w:right w:w="113" w:type="dxa"/>
            </w:tcMar>
            <w:vAlign w:val="center"/>
          </w:tcPr>
          <w:p w14:paraId="3E2D9A29">
            <w:pPr>
              <w:adjustRightInd w:val="0"/>
              <w:spacing w:line="300" w:lineRule="auto"/>
              <w:jc w:val="left"/>
              <w:rPr>
                <w:rFonts w:hint="eastAsia" w:cs="宋体"/>
                <w:color w:val="000000"/>
                <w:kern w:val="0"/>
                <w:sz w:val="21"/>
                <w:szCs w:val="21"/>
                <w:lang w:bidi="ar"/>
              </w:rPr>
            </w:pPr>
            <w:r>
              <w:rPr>
                <w:rFonts w:hint="eastAsia" w:cs="宋体"/>
                <w:color w:val="000000"/>
                <w:kern w:val="0"/>
                <w:sz w:val="21"/>
                <w:szCs w:val="21"/>
                <w:lang w:bidi="ar"/>
              </w:rPr>
              <w:t>数字化移交成果清单应包括工程档案（包括竣工图纸）数字化电子文件。</w:t>
            </w:r>
          </w:p>
        </w:tc>
        <w:tc>
          <w:tcPr>
            <w:tcW w:w="4246" w:type="dxa"/>
            <w:tcMar>
              <w:top w:w="85" w:type="dxa"/>
              <w:left w:w="113" w:type="dxa"/>
              <w:bottom w:w="85" w:type="dxa"/>
              <w:right w:w="113" w:type="dxa"/>
            </w:tcMar>
            <w:vAlign w:val="center"/>
          </w:tcPr>
          <w:p w14:paraId="767FEF62">
            <w:pPr>
              <w:adjustRightInd w:val="0"/>
              <w:spacing w:line="300" w:lineRule="auto"/>
              <w:jc w:val="left"/>
              <w:rPr>
                <w:rFonts w:hint="eastAsia" w:cs="宋体"/>
                <w:color w:val="000000"/>
                <w:kern w:val="0"/>
                <w:sz w:val="21"/>
                <w:szCs w:val="21"/>
                <w:lang w:bidi="ar"/>
              </w:rPr>
            </w:pPr>
            <w:r>
              <w:rPr>
                <w:rFonts w:hint="eastAsia" w:cs="宋体"/>
                <w:color w:val="000000"/>
                <w:kern w:val="0"/>
                <w:sz w:val="21"/>
                <w:szCs w:val="21"/>
                <w:lang w:bidi="ar"/>
              </w:rPr>
              <w:t>未明确数字化移交清单、移交标准要求、移交责任主体、移交期限，每处扣 1 分。</w:t>
            </w:r>
          </w:p>
        </w:tc>
        <w:tc>
          <w:tcPr>
            <w:tcW w:w="1134" w:type="dxa"/>
            <w:tcMar>
              <w:top w:w="85" w:type="dxa"/>
              <w:left w:w="113" w:type="dxa"/>
              <w:bottom w:w="85" w:type="dxa"/>
              <w:right w:w="113" w:type="dxa"/>
            </w:tcMar>
            <w:vAlign w:val="center"/>
          </w:tcPr>
          <w:p w14:paraId="250F874D">
            <w:pPr>
              <w:topLinePunct/>
              <w:adjustRightInd w:val="0"/>
              <w:snapToGrid w:val="0"/>
              <w:spacing w:line="300" w:lineRule="auto"/>
              <w:ind w:left="-57" w:right="-57"/>
              <w:jc w:val="center"/>
              <w:rPr>
                <w:rFonts w:hint="eastAsia" w:cs="宋体"/>
                <w:sz w:val="21"/>
                <w:szCs w:val="21"/>
                <w:lang w:bidi="ar"/>
              </w:rPr>
            </w:pPr>
            <w:r>
              <w:rPr>
                <w:rFonts w:hint="eastAsia" w:cs="宋体"/>
                <w:sz w:val="21"/>
                <w:szCs w:val="21"/>
                <w:lang w:bidi="ar"/>
              </w:rPr>
              <w:t>3</w:t>
            </w:r>
          </w:p>
        </w:tc>
        <w:tc>
          <w:tcPr>
            <w:tcW w:w="1134" w:type="dxa"/>
            <w:tcMar>
              <w:top w:w="85" w:type="dxa"/>
              <w:left w:w="113" w:type="dxa"/>
              <w:bottom w:w="85" w:type="dxa"/>
              <w:right w:w="113" w:type="dxa"/>
            </w:tcMar>
            <w:vAlign w:val="center"/>
          </w:tcPr>
          <w:p w14:paraId="5FC662D2">
            <w:pPr>
              <w:topLinePunct/>
              <w:adjustRightInd w:val="0"/>
              <w:snapToGrid w:val="0"/>
              <w:spacing w:line="300" w:lineRule="auto"/>
              <w:ind w:left="-57" w:right="-57"/>
              <w:jc w:val="center"/>
              <w:rPr>
                <w:rFonts w:hint="eastAsia" w:cs="宋体"/>
                <w:sz w:val="21"/>
                <w:szCs w:val="21"/>
              </w:rPr>
            </w:pPr>
          </w:p>
        </w:tc>
      </w:tr>
      <w:tr w14:paraId="22E77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9351" w:type="dxa"/>
            <w:gridSpan w:val="3"/>
            <w:tcMar>
              <w:top w:w="85" w:type="dxa"/>
              <w:left w:w="113" w:type="dxa"/>
              <w:bottom w:w="85" w:type="dxa"/>
              <w:right w:w="113" w:type="dxa"/>
            </w:tcMar>
            <w:vAlign w:val="center"/>
          </w:tcPr>
          <w:p w14:paraId="599EEFAE">
            <w:pPr>
              <w:adjustRightInd w:val="0"/>
              <w:spacing w:line="300" w:lineRule="auto"/>
              <w:jc w:val="center"/>
              <w:rPr>
                <w:rFonts w:hint="eastAsia" w:cs="宋体"/>
                <w:color w:val="000000"/>
                <w:kern w:val="0"/>
                <w:sz w:val="21"/>
                <w:szCs w:val="21"/>
                <w:lang w:bidi="ar"/>
              </w:rPr>
            </w:pPr>
            <w:r>
              <w:rPr>
                <w:rFonts w:hint="eastAsia" w:cs="宋体"/>
                <w:color w:val="000000"/>
                <w:kern w:val="0"/>
                <w:sz w:val="21"/>
                <w:szCs w:val="21"/>
                <w:lang w:bidi="ar"/>
              </w:rPr>
              <w:t>合计</w:t>
            </w:r>
          </w:p>
        </w:tc>
        <w:tc>
          <w:tcPr>
            <w:tcW w:w="1134" w:type="dxa"/>
            <w:tcMar>
              <w:top w:w="85" w:type="dxa"/>
              <w:left w:w="113" w:type="dxa"/>
              <w:bottom w:w="85" w:type="dxa"/>
              <w:right w:w="113" w:type="dxa"/>
            </w:tcMar>
            <w:vAlign w:val="center"/>
          </w:tcPr>
          <w:p w14:paraId="415DC538">
            <w:pPr>
              <w:topLinePunct/>
              <w:adjustRightInd w:val="0"/>
              <w:snapToGrid w:val="0"/>
              <w:spacing w:line="300" w:lineRule="auto"/>
              <w:ind w:left="-57" w:right="-57"/>
              <w:jc w:val="center"/>
              <w:rPr>
                <w:rFonts w:hint="eastAsia" w:cs="宋体"/>
                <w:sz w:val="21"/>
                <w:szCs w:val="21"/>
                <w:lang w:bidi="ar"/>
              </w:rPr>
            </w:pPr>
            <w:r>
              <w:rPr>
                <w:rFonts w:hint="eastAsia" w:cs="宋体"/>
                <w:sz w:val="21"/>
                <w:szCs w:val="21"/>
                <w:lang w:bidi="ar"/>
              </w:rPr>
              <w:t>100</w:t>
            </w:r>
          </w:p>
        </w:tc>
        <w:tc>
          <w:tcPr>
            <w:tcW w:w="1134" w:type="dxa"/>
            <w:tcMar>
              <w:top w:w="85" w:type="dxa"/>
              <w:left w:w="113" w:type="dxa"/>
              <w:bottom w:w="85" w:type="dxa"/>
              <w:right w:w="113" w:type="dxa"/>
            </w:tcMar>
            <w:vAlign w:val="center"/>
          </w:tcPr>
          <w:p w14:paraId="4563DB79">
            <w:pPr>
              <w:topLinePunct/>
              <w:adjustRightInd w:val="0"/>
              <w:snapToGrid w:val="0"/>
              <w:spacing w:line="300" w:lineRule="auto"/>
              <w:ind w:left="-57" w:right="-57"/>
              <w:jc w:val="center"/>
              <w:rPr>
                <w:rFonts w:hint="eastAsia" w:cs="宋体"/>
                <w:sz w:val="21"/>
                <w:szCs w:val="21"/>
              </w:rPr>
            </w:pPr>
          </w:p>
        </w:tc>
      </w:tr>
      <w:tr w14:paraId="3F9D6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11619" w:type="dxa"/>
            <w:gridSpan w:val="5"/>
            <w:tcMar>
              <w:top w:w="85" w:type="dxa"/>
              <w:left w:w="113" w:type="dxa"/>
              <w:bottom w:w="85" w:type="dxa"/>
              <w:right w:w="113" w:type="dxa"/>
            </w:tcMar>
          </w:tcPr>
          <w:p w14:paraId="2554C1D9">
            <w:pPr>
              <w:topLinePunct/>
              <w:adjustRightInd w:val="0"/>
              <w:snapToGrid w:val="0"/>
              <w:spacing w:line="300" w:lineRule="auto"/>
              <w:ind w:left="-57" w:right="-57"/>
              <w:rPr>
                <w:rFonts w:hint="eastAsia" w:cs="宋体"/>
                <w:sz w:val="21"/>
                <w:szCs w:val="21"/>
              </w:rPr>
            </w:pPr>
            <w:r>
              <w:rPr>
                <w:rFonts w:hint="eastAsia" w:cs="宋体"/>
                <w:kern w:val="0"/>
                <w:sz w:val="21"/>
                <w:szCs w:val="21"/>
                <w:lang w:bidi="ar"/>
              </w:rPr>
              <w:t>评价结果实得分：</w:t>
            </w:r>
          </w:p>
        </w:tc>
      </w:tr>
      <w:tr w14:paraId="7B9E8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11619" w:type="dxa"/>
            <w:gridSpan w:val="5"/>
            <w:tcMar>
              <w:top w:w="85" w:type="dxa"/>
              <w:left w:w="113" w:type="dxa"/>
              <w:bottom w:w="85" w:type="dxa"/>
              <w:right w:w="113" w:type="dxa"/>
            </w:tcMar>
          </w:tcPr>
          <w:p w14:paraId="13965596">
            <w:pPr>
              <w:rPr>
                <w:rFonts w:hint="eastAsia" w:cs="宋体"/>
                <w:kern w:val="0"/>
                <w:sz w:val="21"/>
                <w:szCs w:val="21"/>
                <w:lang w:bidi="ar"/>
              </w:rPr>
            </w:pPr>
            <w:r>
              <w:rPr>
                <w:rFonts w:hint="eastAsia" w:cs="宋体"/>
                <w:kern w:val="0"/>
                <w:sz w:val="21"/>
                <w:szCs w:val="21"/>
                <w:lang w:bidi="ar"/>
              </w:rPr>
              <w:t>评价组成员：</w:t>
            </w:r>
          </w:p>
          <w:p w14:paraId="095E242D">
            <w:pPr>
              <w:topLinePunct/>
              <w:adjustRightInd w:val="0"/>
              <w:snapToGrid w:val="0"/>
              <w:spacing w:line="300" w:lineRule="auto"/>
              <w:ind w:left="-57" w:right="-57"/>
              <w:jc w:val="center"/>
              <w:rPr>
                <w:rFonts w:hint="eastAsia" w:cs="宋体"/>
                <w:sz w:val="21"/>
                <w:szCs w:val="21"/>
              </w:rPr>
            </w:pPr>
            <w:r>
              <w:rPr>
                <w:rFonts w:hint="eastAsia" w:cs="宋体"/>
                <w:kern w:val="0"/>
                <w:sz w:val="21"/>
                <w:szCs w:val="21"/>
                <w:lang w:bidi="ar"/>
              </w:rPr>
              <w:t xml:space="preserve">                                                                      评价日期：    年   月   日</w:t>
            </w:r>
          </w:p>
        </w:tc>
      </w:tr>
      <w:tr w14:paraId="0CF26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57" w:type="dxa"/>
            <w:bottom w:w="85" w:type="dxa"/>
            <w:right w:w="57" w:type="dxa"/>
          </w:tblCellMar>
        </w:tblPrEx>
        <w:tc>
          <w:tcPr>
            <w:tcW w:w="11619" w:type="dxa"/>
            <w:gridSpan w:val="5"/>
            <w:tcMar>
              <w:top w:w="85" w:type="dxa"/>
              <w:left w:w="113" w:type="dxa"/>
              <w:bottom w:w="85" w:type="dxa"/>
              <w:right w:w="113" w:type="dxa"/>
            </w:tcMar>
            <w:vAlign w:val="center"/>
          </w:tcPr>
          <w:p w14:paraId="0C9A74A7">
            <w:pPr>
              <w:textAlignment w:val="center"/>
              <w:rPr>
                <w:rFonts w:hint="eastAsia" w:cs="宋体"/>
                <w:kern w:val="0"/>
                <w:sz w:val="21"/>
                <w:szCs w:val="21"/>
                <w:lang w:bidi="ar"/>
              </w:rPr>
            </w:pPr>
            <w:r>
              <w:rPr>
                <w:rFonts w:hint="eastAsia" w:cs="宋体"/>
                <w:kern w:val="0"/>
                <w:sz w:val="21"/>
                <w:szCs w:val="21"/>
                <w:lang w:bidi="ar"/>
              </w:rPr>
              <w:t>注1：每个评价项目标准分扣完为止。</w:t>
            </w:r>
          </w:p>
          <w:p w14:paraId="1C79EFD4">
            <w:pPr>
              <w:textAlignment w:val="center"/>
              <w:rPr>
                <w:rFonts w:hint="eastAsia" w:cs="宋体"/>
                <w:kern w:val="0"/>
                <w:sz w:val="21"/>
                <w:szCs w:val="21"/>
                <w:lang w:bidi="ar"/>
              </w:rPr>
            </w:pPr>
            <w:r>
              <w:rPr>
                <w:rFonts w:hint="eastAsia" w:cs="宋体"/>
                <w:kern w:val="0"/>
                <w:sz w:val="21"/>
                <w:szCs w:val="21"/>
                <w:lang w:bidi="ar"/>
              </w:rPr>
              <w:t>注2：不涉及的评价项目标准分不计入总标准分，实得分</w:t>
            </w:r>
            <w:r>
              <w:rPr>
                <w:rFonts w:hint="eastAsia" w:cs="宋体"/>
                <w:kern w:val="0"/>
                <w:sz w:val="21"/>
                <w:szCs w:val="21"/>
                <w:vertAlign w:val="superscript"/>
                <w:lang w:bidi="ar"/>
              </w:rPr>
              <w:t xml:space="preserve"> </w:t>
            </w:r>
            <w:r>
              <w:rPr>
                <w:rFonts w:hint="eastAsia" w:cs="宋体"/>
                <w:kern w:val="0"/>
                <w:sz w:val="21"/>
                <w:szCs w:val="21"/>
                <w:lang w:bidi="ar"/>
              </w:rPr>
              <w:t>=</w:t>
            </w:r>
            <w:r>
              <w:rPr>
                <w:rFonts w:hint="eastAsia" w:cs="宋体"/>
                <w:kern w:val="0"/>
                <w:sz w:val="21"/>
                <w:szCs w:val="21"/>
                <w:vertAlign w:val="superscript"/>
                <w:lang w:bidi="ar"/>
              </w:rPr>
              <w:t xml:space="preserve"> </w:t>
            </w:r>
            <w:r>
              <w:rPr>
                <w:rFonts w:hint="eastAsia" w:cs="宋体"/>
                <w:kern w:val="0"/>
                <w:sz w:val="21"/>
                <w:szCs w:val="21"/>
                <w:lang w:bidi="ar"/>
              </w:rPr>
              <w:t>总得分/总标准分×100。</w:t>
            </w:r>
          </w:p>
        </w:tc>
      </w:tr>
    </w:tbl>
    <w:p w14:paraId="4A09E71F">
      <w:pPr>
        <w:rPr>
          <w:rFonts w:hint="eastAsia"/>
          <w:sz w:val="21"/>
          <w:szCs w:val="21"/>
        </w:rPr>
      </w:pPr>
    </w:p>
    <w:p w14:paraId="78F46A2C">
      <w:pPr>
        <w:widowControl w:val="0"/>
        <w:adjustRightInd w:val="0"/>
        <w:snapToGrid w:val="0"/>
        <w:jc w:val="left"/>
        <w:rPr>
          <w:rFonts w:hint="eastAsia"/>
          <w:sz w:val="21"/>
          <w:szCs w:val="21"/>
        </w:rPr>
      </w:pPr>
    </w:p>
    <w:p w14:paraId="539A18FD">
      <w:pPr>
        <w:widowControl w:val="0"/>
        <w:adjustRightInd w:val="0"/>
        <w:snapToGrid w:val="0"/>
        <w:jc w:val="left"/>
        <w:rPr>
          <w:rFonts w:hint="eastAsia"/>
          <w:sz w:val="21"/>
          <w:szCs w:val="21"/>
        </w:rPr>
      </w:pPr>
    </w:p>
    <w:p w14:paraId="59BD7741">
      <w:pPr>
        <w:widowControl w:val="0"/>
        <w:adjustRightInd w:val="0"/>
        <w:snapToGrid w:val="0"/>
        <w:jc w:val="left"/>
        <w:rPr>
          <w:rFonts w:hint="eastAsia"/>
          <w:sz w:val="21"/>
          <w:szCs w:val="21"/>
        </w:rPr>
      </w:pPr>
    </w:p>
    <w:p w14:paraId="5494CE2E">
      <w:pPr>
        <w:widowControl w:val="0"/>
        <w:adjustRightInd w:val="0"/>
        <w:snapToGrid w:val="0"/>
        <w:jc w:val="left"/>
        <w:rPr>
          <w:rFonts w:hint="eastAsia"/>
          <w:sz w:val="21"/>
          <w:szCs w:val="21"/>
        </w:rPr>
      </w:pPr>
    </w:p>
    <w:p w14:paraId="6BB6A52F">
      <w:pPr>
        <w:widowControl w:val="0"/>
        <w:adjustRightInd w:val="0"/>
        <w:snapToGrid w:val="0"/>
        <w:jc w:val="left"/>
        <w:rPr>
          <w:rFonts w:hint="eastAsia"/>
          <w:sz w:val="21"/>
          <w:szCs w:val="21"/>
        </w:rPr>
      </w:pPr>
    </w:p>
    <w:p w14:paraId="58EBDA2F">
      <w:pPr>
        <w:widowControl w:val="0"/>
        <w:adjustRightInd w:val="0"/>
        <w:snapToGrid w:val="0"/>
        <w:jc w:val="left"/>
        <w:rPr>
          <w:rFonts w:hint="eastAsia"/>
          <w:sz w:val="21"/>
          <w:szCs w:val="21"/>
        </w:rPr>
      </w:pPr>
    </w:p>
    <w:p w14:paraId="6B1E1C4E">
      <w:pPr>
        <w:widowControl w:val="0"/>
        <w:adjustRightInd w:val="0"/>
        <w:snapToGrid w:val="0"/>
        <w:jc w:val="left"/>
        <w:rPr>
          <w:rFonts w:hint="eastAsia"/>
          <w:sz w:val="21"/>
          <w:szCs w:val="21"/>
        </w:rPr>
      </w:pPr>
    </w:p>
    <w:p w14:paraId="7D30D75D">
      <w:pPr>
        <w:widowControl w:val="0"/>
        <w:adjustRightInd w:val="0"/>
        <w:snapToGrid w:val="0"/>
        <w:jc w:val="left"/>
        <w:rPr>
          <w:rFonts w:hint="eastAsia"/>
          <w:sz w:val="21"/>
          <w:szCs w:val="21"/>
        </w:rPr>
      </w:pPr>
    </w:p>
    <w:p w14:paraId="55C314E1">
      <w:pPr>
        <w:widowControl w:val="0"/>
        <w:adjustRightInd w:val="0"/>
        <w:snapToGrid w:val="0"/>
        <w:jc w:val="left"/>
        <w:rPr>
          <w:rFonts w:hint="eastAsia"/>
          <w:sz w:val="21"/>
          <w:szCs w:val="21"/>
        </w:rPr>
      </w:pPr>
    </w:p>
    <w:p w14:paraId="28A680A6">
      <w:pPr>
        <w:rPr>
          <w:rFonts w:hint="eastAsia"/>
          <w:sz w:val="21"/>
          <w:szCs w:val="21"/>
        </w:rPr>
      </w:pPr>
      <w:r>
        <w:rPr>
          <w:rFonts w:hint="eastAsia"/>
          <w:sz w:val="21"/>
          <w:szCs w:val="21"/>
        </w:rPr>
        <w:br w:type="page"/>
      </w:r>
    </w:p>
    <w:p w14:paraId="3804CC96">
      <w:pPr>
        <w:spacing w:before="120" w:beforeLines="50" w:after="240" w:afterLines="100"/>
        <w:jc w:val="center"/>
        <w:outlineLvl w:val="1"/>
        <w:rPr>
          <w:rFonts w:hint="eastAsia"/>
          <w:sz w:val="21"/>
          <w:szCs w:val="21"/>
        </w:rPr>
      </w:pPr>
      <w:bookmarkStart w:id="642" w:name="_Toc21657"/>
      <w:bookmarkStart w:id="643" w:name="_Toc27997"/>
      <w:r>
        <w:rPr>
          <w:rFonts w:hint="eastAsia"/>
          <w:sz w:val="21"/>
          <w:szCs w:val="21"/>
        </w:rPr>
        <w:t>附录B</w:t>
      </w:r>
      <w:r>
        <w:rPr>
          <w:sz w:val="21"/>
          <w:szCs w:val="21"/>
        </w:rPr>
        <w:t xml:space="preserve">  </w:t>
      </w:r>
      <w:r>
        <w:rPr>
          <w:rFonts w:hint="eastAsia"/>
          <w:sz w:val="21"/>
          <w:szCs w:val="21"/>
        </w:rPr>
        <w:t>绿色设计评价表</w:t>
      </w:r>
      <w:bookmarkEnd w:id="642"/>
      <w:bookmarkEnd w:id="643"/>
    </w:p>
    <w:p w14:paraId="2B296FF5">
      <w:pPr>
        <w:jc w:val="center"/>
        <w:rPr>
          <w:rFonts w:hint="eastAsia"/>
          <w:sz w:val="21"/>
          <w:szCs w:val="21"/>
        </w:rPr>
      </w:pPr>
      <w:r>
        <w:rPr>
          <w:rFonts w:hint="eastAsia"/>
          <w:sz w:val="21"/>
          <w:szCs w:val="21"/>
        </w:rPr>
        <w:t>表B</w:t>
      </w:r>
      <w:r>
        <w:rPr>
          <w:sz w:val="21"/>
          <w:szCs w:val="21"/>
        </w:rPr>
        <w:t xml:space="preserve"> </w:t>
      </w:r>
      <w:r>
        <w:rPr>
          <w:rFonts w:hint="eastAsia"/>
          <w:sz w:val="21"/>
          <w:szCs w:val="21"/>
        </w:rPr>
        <w:t>绿色设计评</w:t>
      </w:r>
      <w:r>
        <w:rPr>
          <w:sz w:val="21"/>
          <w:szCs w:val="21"/>
        </w:rPr>
        <w:t>价</w:t>
      </w:r>
      <w:r>
        <w:rPr>
          <w:rFonts w:hint="eastAsia"/>
          <w:sz w:val="21"/>
          <w:szCs w:val="21"/>
        </w:rPr>
        <w:t>表</w:t>
      </w:r>
    </w:p>
    <w:tbl>
      <w:tblPr>
        <w:tblStyle w:val="34"/>
        <w:tblpPr w:leftFromText="180" w:rightFromText="180" w:vertAnchor="text" w:tblpXSpec="center" w:tblpY="1"/>
        <w:tblOverlap w:val="never"/>
        <w:tblW w:w="5001"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
      <w:tblGrid>
        <w:gridCol w:w="857"/>
        <w:gridCol w:w="4160"/>
        <w:gridCol w:w="4444"/>
        <w:gridCol w:w="1137"/>
        <w:gridCol w:w="1147"/>
      </w:tblGrid>
      <w:tr w14:paraId="3EE54F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11" w:hRule="atLeast"/>
          <w:tblHeader/>
        </w:trPr>
        <w:tc>
          <w:tcPr>
            <w:tcW w:w="365" w:type="pct"/>
            <w:vAlign w:val="center"/>
          </w:tcPr>
          <w:p w14:paraId="6FB8DF32">
            <w:pPr>
              <w:adjustRightInd w:val="0"/>
              <w:snapToGrid w:val="0"/>
              <w:jc w:val="center"/>
              <w:rPr>
                <w:rFonts w:hint="eastAsia"/>
                <w:b/>
                <w:bCs/>
                <w:color w:val="000000"/>
                <w:sz w:val="21"/>
                <w:szCs w:val="21"/>
              </w:rPr>
            </w:pPr>
            <w:r>
              <w:rPr>
                <w:rFonts w:hint="eastAsia"/>
                <w:b/>
                <w:bCs/>
                <w:color w:val="000000"/>
                <w:sz w:val="21"/>
                <w:szCs w:val="21"/>
              </w:rPr>
              <w:t>序号</w:t>
            </w:r>
          </w:p>
        </w:tc>
        <w:tc>
          <w:tcPr>
            <w:tcW w:w="1771" w:type="pct"/>
            <w:vAlign w:val="center"/>
          </w:tcPr>
          <w:p w14:paraId="22576F29">
            <w:pPr>
              <w:adjustRightInd w:val="0"/>
              <w:snapToGrid w:val="0"/>
              <w:jc w:val="center"/>
              <w:rPr>
                <w:rFonts w:hint="eastAsia"/>
                <w:b/>
                <w:bCs/>
                <w:color w:val="000000"/>
                <w:sz w:val="21"/>
                <w:szCs w:val="21"/>
              </w:rPr>
            </w:pPr>
            <w:r>
              <w:rPr>
                <w:rFonts w:hint="eastAsia"/>
                <w:b/>
                <w:bCs/>
                <w:color w:val="000000"/>
                <w:sz w:val="21"/>
                <w:szCs w:val="21"/>
              </w:rPr>
              <w:t>评</w:t>
            </w:r>
            <w:r>
              <w:rPr>
                <w:b/>
                <w:bCs/>
                <w:color w:val="000000"/>
                <w:sz w:val="21"/>
                <w:szCs w:val="21"/>
              </w:rPr>
              <w:t>价内容</w:t>
            </w:r>
          </w:p>
        </w:tc>
        <w:tc>
          <w:tcPr>
            <w:tcW w:w="1892" w:type="pct"/>
            <w:vAlign w:val="center"/>
          </w:tcPr>
          <w:p w14:paraId="0F504440">
            <w:pPr>
              <w:adjustRightInd w:val="0"/>
              <w:snapToGrid w:val="0"/>
              <w:jc w:val="center"/>
              <w:rPr>
                <w:rFonts w:hint="eastAsia"/>
                <w:b/>
                <w:bCs/>
                <w:color w:val="000000"/>
                <w:sz w:val="21"/>
                <w:szCs w:val="21"/>
              </w:rPr>
            </w:pPr>
            <w:r>
              <w:rPr>
                <w:rFonts w:hint="eastAsia"/>
                <w:b/>
                <w:bCs/>
                <w:color w:val="000000"/>
                <w:sz w:val="21"/>
                <w:szCs w:val="21"/>
              </w:rPr>
              <w:t>评分标准</w:t>
            </w:r>
          </w:p>
        </w:tc>
        <w:tc>
          <w:tcPr>
            <w:tcW w:w="484" w:type="pct"/>
            <w:vAlign w:val="center"/>
          </w:tcPr>
          <w:p w14:paraId="15570240">
            <w:pPr>
              <w:adjustRightInd w:val="0"/>
              <w:snapToGrid w:val="0"/>
              <w:jc w:val="center"/>
              <w:rPr>
                <w:rFonts w:hint="eastAsia"/>
                <w:b/>
                <w:bCs/>
                <w:color w:val="000000"/>
                <w:sz w:val="21"/>
                <w:szCs w:val="21"/>
              </w:rPr>
            </w:pPr>
            <w:r>
              <w:rPr>
                <w:rFonts w:hint="eastAsia"/>
                <w:b/>
                <w:bCs/>
                <w:color w:val="000000"/>
                <w:sz w:val="21"/>
                <w:szCs w:val="21"/>
              </w:rPr>
              <w:t>标准分</w:t>
            </w:r>
          </w:p>
        </w:tc>
        <w:tc>
          <w:tcPr>
            <w:tcW w:w="488" w:type="pct"/>
            <w:vAlign w:val="center"/>
          </w:tcPr>
          <w:p w14:paraId="45FE112A">
            <w:pPr>
              <w:adjustRightInd w:val="0"/>
              <w:snapToGrid w:val="0"/>
              <w:jc w:val="center"/>
              <w:rPr>
                <w:rFonts w:hint="eastAsia"/>
                <w:b/>
                <w:bCs/>
                <w:color w:val="000000"/>
                <w:sz w:val="21"/>
                <w:szCs w:val="21"/>
              </w:rPr>
            </w:pPr>
            <w:r>
              <w:rPr>
                <w:rFonts w:hint="eastAsia"/>
                <w:b/>
                <w:bCs/>
                <w:color w:val="000000"/>
                <w:sz w:val="21"/>
                <w:szCs w:val="21"/>
              </w:rPr>
              <w:t>实</w:t>
            </w:r>
            <w:r>
              <w:rPr>
                <w:b/>
                <w:bCs/>
                <w:color w:val="000000"/>
                <w:sz w:val="21"/>
                <w:szCs w:val="21"/>
              </w:rPr>
              <w:t>得分</w:t>
            </w:r>
          </w:p>
        </w:tc>
      </w:tr>
      <w:tr w14:paraId="54FEB8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E323EC2">
            <w:pPr>
              <w:adjustRightInd w:val="0"/>
              <w:snapToGrid w:val="0"/>
              <w:jc w:val="center"/>
              <w:rPr>
                <w:rFonts w:hint="eastAsia"/>
                <w:b/>
                <w:bCs/>
                <w:color w:val="000000"/>
                <w:sz w:val="21"/>
                <w:szCs w:val="21"/>
              </w:rPr>
            </w:pPr>
            <w:r>
              <w:rPr>
                <w:rFonts w:hint="eastAsia"/>
                <w:b/>
                <w:bCs/>
                <w:color w:val="000000"/>
                <w:sz w:val="21"/>
                <w:szCs w:val="21"/>
              </w:rPr>
              <w:t>5</w:t>
            </w:r>
          </w:p>
        </w:tc>
        <w:tc>
          <w:tcPr>
            <w:tcW w:w="1771" w:type="pct"/>
            <w:vAlign w:val="center"/>
          </w:tcPr>
          <w:p w14:paraId="689EA4E4">
            <w:pPr>
              <w:spacing w:line="320" w:lineRule="exact"/>
              <w:rPr>
                <w:rFonts w:hint="eastAsia"/>
                <w:b/>
                <w:bCs/>
                <w:color w:val="000000"/>
                <w:sz w:val="21"/>
                <w:szCs w:val="21"/>
              </w:rPr>
            </w:pPr>
            <w:r>
              <w:rPr>
                <w:rFonts w:hint="eastAsia"/>
                <w:b/>
                <w:bCs/>
                <w:color w:val="000000"/>
                <w:sz w:val="21"/>
                <w:szCs w:val="21"/>
              </w:rPr>
              <w:t>绿色</w:t>
            </w:r>
            <w:r>
              <w:rPr>
                <w:b/>
                <w:bCs/>
                <w:color w:val="000000"/>
                <w:sz w:val="21"/>
                <w:szCs w:val="21"/>
              </w:rPr>
              <w:t>设计</w:t>
            </w:r>
          </w:p>
        </w:tc>
        <w:tc>
          <w:tcPr>
            <w:tcW w:w="1892" w:type="pct"/>
            <w:vAlign w:val="center"/>
          </w:tcPr>
          <w:p w14:paraId="2928A7F4">
            <w:pPr>
              <w:adjustRightInd w:val="0"/>
              <w:snapToGrid w:val="0"/>
              <w:rPr>
                <w:rFonts w:hint="eastAsia"/>
                <w:color w:val="000000"/>
                <w:sz w:val="21"/>
                <w:szCs w:val="21"/>
              </w:rPr>
            </w:pPr>
          </w:p>
        </w:tc>
        <w:tc>
          <w:tcPr>
            <w:tcW w:w="484" w:type="pct"/>
            <w:vAlign w:val="center"/>
          </w:tcPr>
          <w:p w14:paraId="17C00F6A">
            <w:pPr>
              <w:adjustRightInd w:val="0"/>
              <w:snapToGrid w:val="0"/>
              <w:jc w:val="center"/>
              <w:rPr>
                <w:rFonts w:hint="eastAsia"/>
                <w:color w:val="000000"/>
                <w:sz w:val="21"/>
                <w:szCs w:val="21"/>
              </w:rPr>
            </w:pPr>
          </w:p>
        </w:tc>
        <w:tc>
          <w:tcPr>
            <w:tcW w:w="488" w:type="pct"/>
            <w:vAlign w:val="center"/>
          </w:tcPr>
          <w:p w14:paraId="3E1C0BD5">
            <w:pPr>
              <w:adjustRightInd w:val="0"/>
              <w:snapToGrid w:val="0"/>
              <w:jc w:val="center"/>
              <w:rPr>
                <w:rFonts w:hint="eastAsia"/>
                <w:color w:val="000000"/>
                <w:sz w:val="21"/>
                <w:szCs w:val="21"/>
              </w:rPr>
            </w:pPr>
          </w:p>
        </w:tc>
      </w:tr>
      <w:tr w14:paraId="175659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AF15E94">
            <w:pPr>
              <w:adjustRightInd w:val="0"/>
              <w:snapToGrid w:val="0"/>
              <w:jc w:val="center"/>
              <w:rPr>
                <w:rFonts w:hint="eastAsia"/>
                <w:b/>
                <w:bCs/>
                <w:color w:val="000000"/>
                <w:sz w:val="21"/>
                <w:szCs w:val="21"/>
              </w:rPr>
            </w:pPr>
            <w:r>
              <w:rPr>
                <w:rFonts w:hint="eastAsia"/>
                <w:b/>
                <w:bCs/>
                <w:color w:val="000000"/>
                <w:sz w:val="21"/>
                <w:szCs w:val="21"/>
              </w:rPr>
              <w:t>5.1</w:t>
            </w:r>
          </w:p>
        </w:tc>
        <w:tc>
          <w:tcPr>
            <w:tcW w:w="1771" w:type="pct"/>
            <w:vAlign w:val="center"/>
          </w:tcPr>
          <w:p w14:paraId="28C6303B">
            <w:pPr>
              <w:spacing w:line="320" w:lineRule="exact"/>
              <w:rPr>
                <w:rFonts w:hint="eastAsia"/>
                <w:b/>
                <w:bCs/>
                <w:color w:val="000000"/>
                <w:sz w:val="21"/>
                <w:szCs w:val="21"/>
              </w:rPr>
            </w:pPr>
            <w:r>
              <w:rPr>
                <w:rFonts w:hint="eastAsia"/>
                <w:b/>
                <w:bCs/>
                <w:color w:val="000000"/>
                <w:sz w:val="21"/>
                <w:szCs w:val="21"/>
              </w:rPr>
              <w:t>火力发电（含核电常规岛）工程</w:t>
            </w:r>
          </w:p>
        </w:tc>
        <w:tc>
          <w:tcPr>
            <w:tcW w:w="1892" w:type="pct"/>
            <w:vAlign w:val="center"/>
          </w:tcPr>
          <w:p w14:paraId="56350074">
            <w:pPr>
              <w:adjustRightInd w:val="0"/>
              <w:snapToGrid w:val="0"/>
              <w:rPr>
                <w:rFonts w:hint="eastAsia"/>
                <w:color w:val="000000"/>
                <w:sz w:val="21"/>
                <w:szCs w:val="21"/>
              </w:rPr>
            </w:pPr>
          </w:p>
        </w:tc>
        <w:tc>
          <w:tcPr>
            <w:tcW w:w="484" w:type="pct"/>
            <w:vAlign w:val="center"/>
          </w:tcPr>
          <w:p w14:paraId="4A5F44BF">
            <w:pPr>
              <w:adjustRightInd w:val="0"/>
              <w:snapToGrid w:val="0"/>
              <w:jc w:val="center"/>
              <w:rPr>
                <w:rFonts w:hint="eastAsia"/>
                <w:color w:val="000000"/>
                <w:sz w:val="21"/>
                <w:szCs w:val="21"/>
              </w:rPr>
            </w:pPr>
          </w:p>
        </w:tc>
        <w:tc>
          <w:tcPr>
            <w:tcW w:w="488" w:type="pct"/>
            <w:vAlign w:val="center"/>
          </w:tcPr>
          <w:p w14:paraId="43DD2EB9">
            <w:pPr>
              <w:adjustRightInd w:val="0"/>
              <w:snapToGrid w:val="0"/>
              <w:jc w:val="center"/>
              <w:rPr>
                <w:rFonts w:hint="eastAsia"/>
                <w:color w:val="000000"/>
                <w:sz w:val="21"/>
                <w:szCs w:val="21"/>
              </w:rPr>
            </w:pPr>
          </w:p>
        </w:tc>
      </w:tr>
      <w:tr w14:paraId="70434B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6A72739">
            <w:pPr>
              <w:adjustRightInd w:val="0"/>
              <w:snapToGrid w:val="0"/>
              <w:jc w:val="center"/>
              <w:rPr>
                <w:rFonts w:hint="eastAsia"/>
                <w:color w:val="000000"/>
                <w:sz w:val="21"/>
                <w:szCs w:val="21"/>
              </w:rPr>
            </w:pPr>
            <w:r>
              <w:rPr>
                <w:rFonts w:hint="eastAsia"/>
                <w:b/>
                <w:bCs/>
                <w:color w:val="000000"/>
                <w:sz w:val="21"/>
                <w:szCs w:val="21"/>
              </w:rPr>
              <w:t>5.1.1</w:t>
            </w:r>
          </w:p>
        </w:tc>
        <w:tc>
          <w:tcPr>
            <w:tcW w:w="1771" w:type="pct"/>
            <w:vAlign w:val="center"/>
          </w:tcPr>
          <w:p w14:paraId="3598B1CA">
            <w:pPr>
              <w:spacing w:line="320" w:lineRule="exact"/>
              <w:rPr>
                <w:rFonts w:hint="eastAsia"/>
                <w:sz w:val="21"/>
                <w:szCs w:val="21"/>
              </w:rPr>
            </w:pPr>
            <w:r>
              <w:rPr>
                <w:rFonts w:hint="eastAsia"/>
                <w:b/>
                <w:bCs/>
                <w:color w:val="000000"/>
                <w:sz w:val="21"/>
                <w:szCs w:val="21"/>
              </w:rPr>
              <w:t>技术先进</w:t>
            </w:r>
          </w:p>
        </w:tc>
        <w:tc>
          <w:tcPr>
            <w:tcW w:w="1892" w:type="pct"/>
            <w:vAlign w:val="center"/>
          </w:tcPr>
          <w:p w14:paraId="3DE9646E">
            <w:pPr>
              <w:adjustRightInd w:val="0"/>
              <w:snapToGrid w:val="0"/>
              <w:rPr>
                <w:rFonts w:hint="eastAsia"/>
                <w:color w:val="000000"/>
                <w:sz w:val="21"/>
                <w:szCs w:val="21"/>
              </w:rPr>
            </w:pPr>
          </w:p>
        </w:tc>
        <w:tc>
          <w:tcPr>
            <w:tcW w:w="484" w:type="pct"/>
            <w:vAlign w:val="center"/>
          </w:tcPr>
          <w:p w14:paraId="3DBEA5D4">
            <w:pPr>
              <w:adjustRightInd w:val="0"/>
              <w:snapToGrid w:val="0"/>
              <w:jc w:val="center"/>
              <w:rPr>
                <w:rFonts w:hint="eastAsia"/>
                <w:color w:val="000000"/>
                <w:sz w:val="21"/>
                <w:szCs w:val="21"/>
              </w:rPr>
            </w:pPr>
            <w:r>
              <w:rPr>
                <w:rFonts w:hint="eastAsia"/>
                <w:color w:val="000000"/>
                <w:sz w:val="21"/>
                <w:szCs w:val="21"/>
              </w:rPr>
              <w:t>30</w:t>
            </w:r>
          </w:p>
        </w:tc>
        <w:tc>
          <w:tcPr>
            <w:tcW w:w="488" w:type="pct"/>
            <w:vAlign w:val="center"/>
          </w:tcPr>
          <w:p w14:paraId="55EC95FF">
            <w:pPr>
              <w:adjustRightInd w:val="0"/>
              <w:snapToGrid w:val="0"/>
              <w:jc w:val="center"/>
              <w:rPr>
                <w:rFonts w:hint="eastAsia"/>
                <w:color w:val="000000"/>
                <w:sz w:val="21"/>
                <w:szCs w:val="21"/>
              </w:rPr>
            </w:pPr>
          </w:p>
        </w:tc>
      </w:tr>
      <w:tr w14:paraId="78E2CA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0B919DB">
            <w:pPr>
              <w:adjustRightInd w:val="0"/>
              <w:snapToGrid w:val="0"/>
              <w:jc w:val="center"/>
              <w:rPr>
                <w:rFonts w:hint="eastAsia"/>
                <w:color w:val="000000"/>
                <w:sz w:val="21"/>
                <w:szCs w:val="21"/>
              </w:rPr>
            </w:pPr>
            <w:r>
              <w:rPr>
                <w:sz w:val="21"/>
                <w:szCs w:val="21"/>
              </w:rPr>
              <w:t>1</w:t>
            </w:r>
          </w:p>
        </w:tc>
        <w:tc>
          <w:tcPr>
            <w:tcW w:w="1771" w:type="pct"/>
            <w:vAlign w:val="center"/>
          </w:tcPr>
          <w:p w14:paraId="3821D394">
            <w:pPr>
              <w:spacing w:line="320" w:lineRule="exact"/>
              <w:rPr>
                <w:rFonts w:hint="eastAsia"/>
                <w:color w:val="000000"/>
                <w:sz w:val="21"/>
                <w:szCs w:val="21"/>
                <w:lang w:val="en-GB"/>
              </w:rPr>
            </w:pPr>
            <w:r>
              <w:rPr>
                <w:rFonts w:hint="eastAsia"/>
                <w:sz w:val="21"/>
                <w:szCs w:val="21"/>
              </w:rPr>
              <w:t>电厂总体设计科学合理，积极采用新技术、新工艺，电厂全寿命周期的技术经济性好。</w:t>
            </w:r>
          </w:p>
        </w:tc>
        <w:tc>
          <w:tcPr>
            <w:tcW w:w="1892" w:type="pct"/>
            <w:vAlign w:val="center"/>
          </w:tcPr>
          <w:p w14:paraId="04BEB9A0">
            <w:pPr>
              <w:adjustRightInd w:val="0"/>
              <w:snapToGrid w:val="0"/>
              <w:rPr>
                <w:rFonts w:hint="eastAsia"/>
                <w:color w:val="000000"/>
                <w:sz w:val="21"/>
                <w:szCs w:val="21"/>
              </w:rPr>
            </w:pPr>
            <w:r>
              <w:rPr>
                <w:color w:val="000000"/>
                <w:sz w:val="21"/>
                <w:szCs w:val="21"/>
              </w:rPr>
              <w:t>电厂总体设计科学，总体规划、总平面布置、竖向布置、地下设施布置合理得</w:t>
            </w:r>
            <w:r>
              <w:rPr>
                <w:rFonts w:hint="eastAsia"/>
                <w:color w:val="000000"/>
                <w:sz w:val="21"/>
                <w:szCs w:val="21"/>
              </w:rPr>
              <w:t>1分，积极采用五新技术得1</w:t>
            </w:r>
            <w:r>
              <w:rPr>
                <w:color w:val="000000"/>
                <w:sz w:val="21"/>
                <w:szCs w:val="21"/>
              </w:rPr>
              <w:t>分，考虑全寿命周期技术经济性最佳得</w:t>
            </w:r>
            <w:r>
              <w:rPr>
                <w:rFonts w:hint="eastAsia"/>
                <w:color w:val="000000"/>
                <w:sz w:val="21"/>
                <w:szCs w:val="21"/>
              </w:rPr>
              <w:t>1分</w:t>
            </w:r>
            <w:r>
              <w:rPr>
                <w:color w:val="000000"/>
                <w:sz w:val="21"/>
                <w:szCs w:val="21"/>
              </w:rPr>
              <w:t>。综合评判各项，酌情给予分值。</w:t>
            </w:r>
          </w:p>
        </w:tc>
        <w:tc>
          <w:tcPr>
            <w:tcW w:w="484" w:type="pct"/>
            <w:vAlign w:val="center"/>
          </w:tcPr>
          <w:p w14:paraId="23E3CEF9">
            <w:pPr>
              <w:adjustRightInd w:val="0"/>
              <w:snapToGrid w:val="0"/>
              <w:jc w:val="center"/>
              <w:rPr>
                <w:rFonts w:hint="eastAsia"/>
                <w:color w:val="000000"/>
                <w:sz w:val="21"/>
                <w:szCs w:val="21"/>
              </w:rPr>
            </w:pPr>
            <w:r>
              <w:rPr>
                <w:color w:val="000000"/>
                <w:sz w:val="21"/>
                <w:szCs w:val="21"/>
              </w:rPr>
              <w:t>3</w:t>
            </w:r>
          </w:p>
        </w:tc>
        <w:tc>
          <w:tcPr>
            <w:tcW w:w="488" w:type="pct"/>
            <w:vAlign w:val="center"/>
          </w:tcPr>
          <w:p w14:paraId="7587E17F">
            <w:pPr>
              <w:adjustRightInd w:val="0"/>
              <w:snapToGrid w:val="0"/>
              <w:jc w:val="center"/>
              <w:rPr>
                <w:rFonts w:hint="eastAsia"/>
                <w:color w:val="000000"/>
                <w:sz w:val="21"/>
                <w:szCs w:val="21"/>
              </w:rPr>
            </w:pPr>
          </w:p>
        </w:tc>
      </w:tr>
      <w:tr w14:paraId="150C22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F7CE38F">
            <w:pPr>
              <w:adjustRightInd w:val="0"/>
              <w:snapToGrid w:val="0"/>
              <w:jc w:val="center"/>
              <w:rPr>
                <w:rFonts w:hint="eastAsia"/>
                <w:color w:val="000000"/>
                <w:sz w:val="21"/>
                <w:szCs w:val="21"/>
              </w:rPr>
            </w:pPr>
            <w:r>
              <w:rPr>
                <w:sz w:val="21"/>
                <w:szCs w:val="21"/>
              </w:rPr>
              <w:t>2</w:t>
            </w:r>
          </w:p>
        </w:tc>
        <w:tc>
          <w:tcPr>
            <w:tcW w:w="1771" w:type="pct"/>
            <w:vAlign w:val="center"/>
          </w:tcPr>
          <w:p w14:paraId="6532B9B1">
            <w:pPr>
              <w:spacing w:line="320" w:lineRule="exact"/>
              <w:rPr>
                <w:rFonts w:hint="eastAsia"/>
                <w:color w:val="000000"/>
                <w:sz w:val="21"/>
                <w:szCs w:val="21"/>
                <w:lang w:val="en-GB"/>
              </w:rPr>
            </w:pPr>
            <w:r>
              <w:rPr>
                <w:rFonts w:hint="eastAsia"/>
                <w:sz w:val="21"/>
                <w:szCs w:val="21"/>
              </w:rPr>
              <w:t>工艺系统及主要设备选型、关键参数、控制逻辑等拟定科学、先进</w:t>
            </w:r>
            <w:r>
              <w:rPr>
                <w:sz w:val="21"/>
                <w:szCs w:val="21"/>
              </w:rPr>
              <w:t>,节能高效。</w:t>
            </w:r>
          </w:p>
        </w:tc>
        <w:tc>
          <w:tcPr>
            <w:tcW w:w="1892" w:type="pct"/>
            <w:vAlign w:val="center"/>
          </w:tcPr>
          <w:p w14:paraId="660AA5D9">
            <w:pPr>
              <w:adjustRightInd w:val="0"/>
              <w:snapToGrid w:val="0"/>
              <w:rPr>
                <w:rFonts w:hint="eastAsia"/>
                <w:color w:val="000000"/>
                <w:sz w:val="21"/>
                <w:szCs w:val="21"/>
              </w:rPr>
            </w:pPr>
            <w:r>
              <w:rPr>
                <w:rFonts w:hint="eastAsia"/>
                <w:sz w:val="21"/>
                <w:szCs w:val="21"/>
              </w:rPr>
              <w:t>工艺系统选择科学、先进得1分，主要设备选型先进</w:t>
            </w:r>
            <w:r>
              <w:rPr>
                <w:sz w:val="21"/>
                <w:szCs w:val="21"/>
              </w:rPr>
              <w:t>、节能高效得1</w:t>
            </w:r>
            <w:r>
              <w:rPr>
                <w:rFonts w:hint="eastAsia"/>
                <w:sz w:val="21"/>
                <w:szCs w:val="21"/>
              </w:rPr>
              <w:t>分，控制逻辑科学合理得1分。</w:t>
            </w:r>
            <w:r>
              <w:rPr>
                <w:color w:val="000000"/>
                <w:sz w:val="21"/>
                <w:szCs w:val="21"/>
              </w:rPr>
              <w:t>综合评判各项，酌情给予分值。</w:t>
            </w:r>
          </w:p>
        </w:tc>
        <w:tc>
          <w:tcPr>
            <w:tcW w:w="484" w:type="pct"/>
            <w:vAlign w:val="center"/>
          </w:tcPr>
          <w:p w14:paraId="41895AE9">
            <w:pPr>
              <w:adjustRightInd w:val="0"/>
              <w:snapToGrid w:val="0"/>
              <w:jc w:val="center"/>
              <w:rPr>
                <w:rFonts w:hint="eastAsia"/>
                <w:color w:val="000000"/>
                <w:sz w:val="21"/>
                <w:szCs w:val="21"/>
              </w:rPr>
            </w:pPr>
            <w:r>
              <w:rPr>
                <w:color w:val="000000"/>
                <w:sz w:val="21"/>
                <w:szCs w:val="21"/>
              </w:rPr>
              <w:t>3</w:t>
            </w:r>
          </w:p>
        </w:tc>
        <w:tc>
          <w:tcPr>
            <w:tcW w:w="488" w:type="pct"/>
            <w:vAlign w:val="center"/>
          </w:tcPr>
          <w:p w14:paraId="4D7177C2">
            <w:pPr>
              <w:adjustRightInd w:val="0"/>
              <w:snapToGrid w:val="0"/>
              <w:jc w:val="center"/>
              <w:rPr>
                <w:rFonts w:hint="eastAsia"/>
                <w:color w:val="000000"/>
                <w:sz w:val="21"/>
                <w:szCs w:val="21"/>
              </w:rPr>
            </w:pPr>
          </w:p>
        </w:tc>
      </w:tr>
      <w:tr w14:paraId="4DD9A5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D952861">
            <w:pPr>
              <w:adjustRightInd w:val="0"/>
              <w:snapToGrid w:val="0"/>
              <w:jc w:val="center"/>
              <w:rPr>
                <w:rFonts w:hint="eastAsia"/>
                <w:color w:val="000000"/>
                <w:sz w:val="21"/>
                <w:szCs w:val="21"/>
              </w:rPr>
            </w:pPr>
            <w:r>
              <w:rPr>
                <w:rFonts w:hint="eastAsia"/>
                <w:sz w:val="21"/>
                <w:szCs w:val="21"/>
              </w:rPr>
              <w:t>3</w:t>
            </w:r>
          </w:p>
        </w:tc>
        <w:tc>
          <w:tcPr>
            <w:tcW w:w="1771" w:type="pct"/>
            <w:vAlign w:val="center"/>
          </w:tcPr>
          <w:p w14:paraId="2E3ABF78">
            <w:pPr>
              <w:spacing w:line="320" w:lineRule="exact"/>
              <w:rPr>
                <w:rFonts w:hint="eastAsia"/>
                <w:color w:val="000000"/>
                <w:sz w:val="21"/>
                <w:szCs w:val="21"/>
                <w:lang w:val="en-GB"/>
              </w:rPr>
            </w:pPr>
            <w:r>
              <w:rPr>
                <w:rFonts w:hint="eastAsia"/>
                <w:sz w:val="21"/>
                <w:szCs w:val="21"/>
              </w:rPr>
              <w:t>各工艺系统设备与管线布置合理，工艺流程顺畅，检修维护空间适度。</w:t>
            </w:r>
          </w:p>
        </w:tc>
        <w:tc>
          <w:tcPr>
            <w:tcW w:w="1892" w:type="pct"/>
            <w:vAlign w:val="center"/>
          </w:tcPr>
          <w:p w14:paraId="1ED03B35">
            <w:pPr>
              <w:adjustRightInd w:val="0"/>
              <w:snapToGrid w:val="0"/>
              <w:rPr>
                <w:rFonts w:hint="eastAsia"/>
                <w:color w:val="000000"/>
                <w:sz w:val="21"/>
                <w:szCs w:val="21"/>
              </w:rPr>
            </w:pPr>
            <w:r>
              <w:rPr>
                <w:rFonts w:hint="eastAsia"/>
                <w:sz w:val="21"/>
                <w:szCs w:val="21"/>
              </w:rPr>
              <w:t>设备与管线布置满足工艺流程，管线交叉处理合理，整齐美观得1分，满足检修维护要求得</w:t>
            </w:r>
            <w:r>
              <w:rPr>
                <w:sz w:val="21"/>
                <w:szCs w:val="21"/>
              </w:rPr>
              <w:t>1</w:t>
            </w:r>
            <w:r>
              <w:rPr>
                <w:rFonts w:hint="eastAsia"/>
                <w:sz w:val="21"/>
                <w:szCs w:val="21"/>
              </w:rPr>
              <w:t>分。</w:t>
            </w:r>
            <w:r>
              <w:rPr>
                <w:color w:val="000000"/>
                <w:sz w:val="21"/>
                <w:szCs w:val="21"/>
              </w:rPr>
              <w:t>综合评判各项，酌情给予分值。</w:t>
            </w:r>
          </w:p>
        </w:tc>
        <w:tc>
          <w:tcPr>
            <w:tcW w:w="484" w:type="pct"/>
            <w:vAlign w:val="center"/>
          </w:tcPr>
          <w:p w14:paraId="357C2736">
            <w:pPr>
              <w:adjustRightInd w:val="0"/>
              <w:snapToGrid w:val="0"/>
              <w:jc w:val="center"/>
              <w:rPr>
                <w:rFonts w:hint="eastAsia"/>
                <w:color w:val="000000"/>
                <w:sz w:val="21"/>
                <w:szCs w:val="21"/>
              </w:rPr>
            </w:pPr>
            <w:r>
              <w:rPr>
                <w:color w:val="000000"/>
                <w:sz w:val="21"/>
                <w:szCs w:val="21"/>
              </w:rPr>
              <w:t>2</w:t>
            </w:r>
          </w:p>
        </w:tc>
        <w:tc>
          <w:tcPr>
            <w:tcW w:w="488" w:type="pct"/>
            <w:vAlign w:val="center"/>
          </w:tcPr>
          <w:p w14:paraId="76F91CFA">
            <w:pPr>
              <w:adjustRightInd w:val="0"/>
              <w:snapToGrid w:val="0"/>
              <w:jc w:val="center"/>
              <w:rPr>
                <w:rFonts w:hint="eastAsia"/>
                <w:color w:val="000000"/>
                <w:sz w:val="21"/>
                <w:szCs w:val="21"/>
              </w:rPr>
            </w:pPr>
          </w:p>
        </w:tc>
      </w:tr>
      <w:tr w14:paraId="497B9B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1A62B0C">
            <w:pPr>
              <w:adjustRightInd w:val="0"/>
              <w:snapToGrid w:val="0"/>
              <w:jc w:val="center"/>
              <w:rPr>
                <w:rFonts w:hint="eastAsia"/>
                <w:color w:val="000000"/>
                <w:sz w:val="21"/>
                <w:szCs w:val="21"/>
              </w:rPr>
            </w:pPr>
            <w:r>
              <w:rPr>
                <w:rFonts w:hint="eastAsia"/>
                <w:sz w:val="21"/>
                <w:szCs w:val="21"/>
              </w:rPr>
              <w:t>4</w:t>
            </w:r>
          </w:p>
        </w:tc>
        <w:tc>
          <w:tcPr>
            <w:tcW w:w="1771" w:type="pct"/>
            <w:vAlign w:val="center"/>
          </w:tcPr>
          <w:p w14:paraId="4ECE432D">
            <w:pPr>
              <w:spacing w:line="320" w:lineRule="exact"/>
              <w:rPr>
                <w:rFonts w:hint="eastAsia"/>
                <w:color w:val="000000"/>
                <w:sz w:val="21"/>
                <w:szCs w:val="21"/>
                <w:lang w:val="en-GB"/>
              </w:rPr>
            </w:pPr>
            <w:r>
              <w:rPr>
                <w:sz w:val="21"/>
                <w:szCs w:val="21"/>
              </w:rPr>
              <w:t>辅机</w:t>
            </w:r>
            <w:r>
              <w:rPr>
                <w:rFonts w:hint="eastAsia"/>
                <w:sz w:val="21"/>
                <w:szCs w:val="21"/>
              </w:rPr>
              <w:t>设备备用、裕量选取合理，保证高效运行。</w:t>
            </w:r>
          </w:p>
        </w:tc>
        <w:tc>
          <w:tcPr>
            <w:tcW w:w="1892" w:type="pct"/>
            <w:vAlign w:val="center"/>
          </w:tcPr>
          <w:p w14:paraId="59F3EAB1">
            <w:pPr>
              <w:adjustRightInd w:val="0"/>
              <w:snapToGrid w:val="0"/>
              <w:rPr>
                <w:rFonts w:hint="eastAsia"/>
                <w:color w:val="000000"/>
                <w:sz w:val="21"/>
                <w:szCs w:val="21"/>
              </w:rPr>
            </w:pPr>
            <w:r>
              <w:rPr>
                <w:sz w:val="21"/>
                <w:szCs w:val="21"/>
              </w:rPr>
              <w:t>辅机</w:t>
            </w:r>
            <w:r>
              <w:rPr>
                <w:rFonts w:hint="eastAsia"/>
                <w:sz w:val="21"/>
                <w:szCs w:val="21"/>
              </w:rPr>
              <w:t>设备备用、裕量选取合理</w:t>
            </w:r>
            <w:r>
              <w:rPr>
                <w:sz w:val="21"/>
                <w:szCs w:val="21"/>
              </w:rPr>
              <w:t>得</w:t>
            </w:r>
            <w:r>
              <w:rPr>
                <w:rFonts w:hint="eastAsia"/>
                <w:sz w:val="21"/>
                <w:szCs w:val="21"/>
              </w:rPr>
              <w:t>1分。</w:t>
            </w:r>
            <w:r>
              <w:rPr>
                <w:color w:val="000000"/>
                <w:sz w:val="21"/>
                <w:szCs w:val="21"/>
              </w:rPr>
              <w:t>综合评判各项，酌情给予分值。</w:t>
            </w:r>
          </w:p>
        </w:tc>
        <w:tc>
          <w:tcPr>
            <w:tcW w:w="484" w:type="pct"/>
            <w:vAlign w:val="center"/>
          </w:tcPr>
          <w:p w14:paraId="7D7F5DDE">
            <w:pPr>
              <w:adjustRightInd w:val="0"/>
              <w:snapToGrid w:val="0"/>
              <w:jc w:val="center"/>
              <w:rPr>
                <w:rFonts w:hint="eastAsia"/>
                <w:color w:val="000000"/>
                <w:sz w:val="21"/>
                <w:szCs w:val="21"/>
              </w:rPr>
            </w:pPr>
            <w:r>
              <w:rPr>
                <w:color w:val="000000"/>
                <w:sz w:val="21"/>
                <w:szCs w:val="21"/>
              </w:rPr>
              <w:t>1</w:t>
            </w:r>
          </w:p>
        </w:tc>
        <w:tc>
          <w:tcPr>
            <w:tcW w:w="488" w:type="pct"/>
            <w:vAlign w:val="center"/>
          </w:tcPr>
          <w:p w14:paraId="1A40F820">
            <w:pPr>
              <w:adjustRightInd w:val="0"/>
              <w:snapToGrid w:val="0"/>
              <w:jc w:val="center"/>
              <w:rPr>
                <w:rFonts w:hint="eastAsia"/>
                <w:color w:val="000000"/>
                <w:sz w:val="21"/>
                <w:szCs w:val="21"/>
              </w:rPr>
            </w:pPr>
          </w:p>
        </w:tc>
      </w:tr>
      <w:tr w14:paraId="60973E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6074A9E">
            <w:pPr>
              <w:adjustRightInd w:val="0"/>
              <w:snapToGrid w:val="0"/>
              <w:jc w:val="center"/>
              <w:rPr>
                <w:rFonts w:hint="eastAsia"/>
                <w:color w:val="000000"/>
                <w:sz w:val="21"/>
                <w:szCs w:val="21"/>
              </w:rPr>
            </w:pPr>
            <w:r>
              <w:rPr>
                <w:rFonts w:hint="eastAsia"/>
                <w:sz w:val="21"/>
                <w:szCs w:val="21"/>
              </w:rPr>
              <w:t>5</w:t>
            </w:r>
          </w:p>
        </w:tc>
        <w:tc>
          <w:tcPr>
            <w:tcW w:w="1771" w:type="pct"/>
            <w:vAlign w:val="center"/>
          </w:tcPr>
          <w:p w14:paraId="00C65FF3">
            <w:pPr>
              <w:spacing w:line="320" w:lineRule="exact"/>
              <w:rPr>
                <w:rFonts w:hint="eastAsia"/>
                <w:color w:val="000000"/>
                <w:sz w:val="21"/>
                <w:szCs w:val="21"/>
                <w:lang w:val="en-GB"/>
              </w:rPr>
            </w:pPr>
            <w:r>
              <w:rPr>
                <w:rFonts w:hint="eastAsia"/>
                <w:sz w:val="21"/>
                <w:szCs w:val="21"/>
              </w:rPr>
              <w:t>电厂乏汽、烟气余热回收利用技术路线先进，高效节能减碳。</w:t>
            </w:r>
          </w:p>
        </w:tc>
        <w:tc>
          <w:tcPr>
            <w:tcW w:w="1892" w:type="pct"/>
            <w:vAlign w:val="center"/>
          </w:tcPr>
          <w:p w14:paraId="555BAADE">
            <w:pPr>
              <w:adjustRightInd w:val="0"/>
              <w:snapToGrid w:val="0"/>
              <w:rPr>
                <w:rFonts w:hint="eastAsia"/>
                <w:color w:val="000000"/>
                <w:sz w:val="21"/>
                <w:szCs w:val="21"/>
              </w:rPr>
            </w:pPr>
            <w:r>
              <w:rPr>
                <w:sz w:val="21"/>
                <w:szCs w:val="21"/>
              </w:rPr>
              <w:t>锅炉尾部余热回收利用得</w:t>
            </w:r>
            <w:r>
              <w:rPr>
                <w:rFonts w:hint="eastAsia"/>
                <w:sz w:val="21"/>
                <w:szCs w:val="21"/>
              </w:rPr>
              <w:t>1分，脱硫吸收塔后烟气余热回收利用得0</w:t>
            </w:r>
            <w:r>
              <w:rPr>
                <w:sz w:val="21"/>
                <w:szCs w:val="21"/>
              </w:rPr>
              <w:t>.5分，</w:t>
            </w:r>
            <w:r>
              <w:rPr>
                <w:rFonts w:hint="eastAsia"/>
                <w:sz w:val="21"/>
                <w:szCs w:val="21"/>
              </w:rPr>
              <w:t>循环水提热回收利用得0</w:t>
            </w:r>
            <w:r>
              <w:rPr>
                <w:sz w:val="21"/>
                <w:szCs w:val="21"/>
              </w:rPr>
              <w:t>.5分。</w:t>
            </w:r>
            <w:r>
              <w:rPr>
                <w:color w:val="000000"/>
                <w:sz w:val="21"/>
                <w:szCs w:val="21"/>
              </w:rPr>
              <w:t>综合评判各项，酌情给予分值。</w:t>
            </w:r>
          </w:p>
        </w:tc>
        <w:tc>
          <w:tcPr>
            <w:tcW w:w="484" w:type="pct"/>
            <w:vAlign w:val="center"/>
          </w:tcPr>
          <w:p w14:paraId="38B6EC54">
            <w:pPr>
              <w:adjustRightInd w:val="0"/>
              <w:snapToGrid w:val="0"/>
              <w:jc w:val="center"/>
              <w:rPr>
                <w:rFonts w:hint="eastAsia"/>
                <w:color w:val="000000"/>
                <w:sz w:val="21"/>
                <w:szCs w:val="21"/>
              </w:rPr>
            </w:pPr>
            <w:r>
              <w:rPr>
                <w:color w:val="000000"/>
                <w:sz w:val="21"/>
                <w:szCs w:val="21"/>
              </w:rPr>
              <w:t>2</w:t>
            </w:r>
          </w:p>
        </w:tc>
        <w:tc>
          <w:tcPr>
            <w:tcW w:w="488" w:type="pct"/>
            <w:vAlign w:val="center"/>
          </w:tcPr>
          <w:p w14:paraId="5C95241C">
            <w:pPr>
              <w:adjustRightInd w:val="0"/>
              <w:snapToGrid w:val="0"/>
              <w:jc w:val="center"/>
              <w:rPr>
                <w:rFonts w:hint="eastAsia"/>
                <w:color w:val="000000"/>
                <w:sz w:val="21"/>
                <w:szCs w:val="21"/>
              </w:rPr>
            </w:pPr>
          </w:p>
        </w:tc>
      </w:tr>
      <w:tr w14:paraId="7AA098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5570F5A">
            <w:pPr>
              <w:adjustRightInd w:val="0"/>
              <w:snapToGrid w:val="0"/>
              <w:jc w:val="center"/>
              <w:rPr>
                <w:rFonts w:hint="eastAsia"/>
                <w:color w:val="000000"/>
                <w:sz w:val="21"/>
                <w:szCs w:val="21"/>
              </w:rPr>
            </w:pPr>
            <w:r>
              <w:rPr>
                <w:sz w:val="21"/>
                <w:szCs w:val="21"/>
              </w:rPr>
              <w:t>6</w:t>
            </w:r>
          </w:p>
        </w:tc>
        <w:tc>
          <w:tcPr>
            <w:tcW w:w="1771" w:type="pct"/>
            <w:vAlign w:val="center"/>
          </w:tcPr>
          <w:p w14:paraId="17F4BB13">
            <w:pPr>
              <w:spacing w:line="320" w:lineRule="exact"/>
              <w:rPr>
                <w:rFonts w:hint="eastAsia"/>
                <w:color w:val="000000"/>
                <w:sz w:val="21"/>
                <w:szCs w:val="21"/>
                <w:lang w:val="en-GB"/>
              </w:rPr>
            </w:pPr>
            <w:r>
              <w:rPr>
                <w:sz w:val="21"/>
                <w:szCs w:val="21"/>
              </w:rPr>
              <w:t>电厂主接线方案安全可靠、技术先进。高压厂用电系统配置合理，依托三维设计进行电缆敷设、桥架布置，节省工程量；采用智慧照明系统。</w:t>
            </w:r>
          </w:p>
        </w:tc>
        <w:tc>
          <w:tcPr>
            <w:tcW w:w="1892" w:type="pct"/>
            <w:vAlign w:val="center"/>
          </w:tcPr>
          <w:p w14:paraId="22B99767">
            <w:pPr>
              <w:adjustRightInd w:val="0"/>
              <w:snapToGrid w:val="0"/>
              <w:rPr>
                <w:rFonts w:hint="eastAsia"/>
                <w:color w:val="000000"/>
                <w:sz w:val="21"/>
                <w:szCs w:val="21"/>
              </w:rPr>
            </w:pPr>
            <w:r>
              <w:rPr>
                <w:sz w:val="21"/>
                <w:szCs w:val="21"/>
              </w:rPr>
              <w:t>电厂主接线方案安全可靠、技术先进得</w:t>
            </w:r>
            <w:r>
              <w:rPr>
                <w:rFonts w:hint="eastAsia"/>
                <w:sz w:val="21"/>
                <w:szCs w:val="21"/>
              </w:rPr>
              <w:t>1分</w:t>
            </w:r>
            <w:r>
              <w:rPr>
                <w:sz w:val="21"/>
                <w:szCs w:val="21"/>
              </w:rPr>
              <w:t>。高压厂用电系统配置合理得</w:t>
            </w:r>
            <w:r>
              <w:rPr>
                <w:rFonts w:hint="eastAsia"/>
                <w:sz w:val="21"/>
                <w:szCs w:val="21"/>
              </w:rPr>
              <w:t>1分</w:t>
            </w:r>
            <w:r>
              <w:rPr>
                <w:sz w:val="21"/>
                <w:szCs w:val="21"/>
              </w:rPr>
              <w:t>，依托三维设计进行电缆敷设、桥架布置，节省工程量，得</w:t>
            </w:r>
            <w:r>
              <w:rPr>
                <w:rFonts w:hint="eastAsia"/>
                <w:sz w:val="21"/>
                <w:szCs w:val="21"/>
              </w:rPr>
              <w:t>0</w:t>
            </w:r>
            <w:r>
              <w:rPr>
                <w:sz w:val="21"/>
                <w:szCs w:val="21"/>
              </w:rPr>
              <w:t>.5分，采用智慧照明系统得</w:t>
            </w:r>
            <w:r>
              <w:rPr>
                <w:rFonts w:hint="eastAsia"/>
                <w:sz w:val="21"/>
                <w:szCs w:val="21"/>
              </w:rPr>
              <w:t>0，5分</w:t>
            </w:r>
            <w:r>
              <w:rPr>
                <w:sz w:val="21"/>
                <w:szCs w:val="21"/>
              </w:rPr>
              <w:t>。</w:t>
            </w:r>
            <w:r>
              <w:rPr>
                <w:color w:val="000000"/>
                <w:sz w:val="21"/>
                <w:szCs w:val="21"/>
              </w:rPr>
              <w:t>综合评判各项，酌情给予分值。</w:t>
            </w:r>
          </w:p>
        </w:tc>
        <w:tc>
          <w:tcPr>
            <w:tcW w:w="484" w:type="pct"/>
            <w:vAlign w:val="center"/>
          </w:tcPr>
          <w:p w14:paraId="44F2198B">
            <w:pPr>
              <w:adjustRightInd w:val="0"/>
              <w:snapToGrid w:val="0"/>
              <w:jc w:val="center"/>
              <w:rPr>
                <w:rFonts w:hint="eastAsia"/>
                <w:color w:val="000000"/>
                <w:sz w:val="21"/>
                <w:szCs w:val="21"/>
              </w:rPr>
            </w:pPr>
            <w:r>
              <w:rPr>
                <w:color w:val="000000"/>
                <w:sz w:val="21"/>
                <w:szCs w:val="21"/>
              </w:rPr>
              <w:t>3</w:t>
            </w:r>
          </w:p>
        </w:tc>
        <w:tc>
          <w:tcPr>
            <w:tcW w:w="488" w:type="pct"/>
            <w:vAlign w:val="center"/>
          </w:tcPr>
          <w:p w14:paraId="16CABC25">
            <w:pPr>
              <w:adjustRightInd w:val="0"/>
              <w:snapToGrid w:val="0"/>
              <w:jc w:val="center"/>
              <w:rPr>
                <w:rFonts w:hint="eastAsia"/>
                <w:color w:val="000000"/>
                <w:sz w:val="21"/>
                <w:szCs w:val="21"/>
              </w:rPr>
            </w:pPr>
          </w:p>
        </w:tc>
      </w:tr>
      <w:tr w14:paraId="0E2F56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E00B3E4">
            <w:pPr>
              <w:adjustRightInd w:val="0"/>
              <w:snapToGrid w:val="0"/>
              <w:jc w:val="center"/>
              <w:rPr>
                <w:rFonts w:hint="eastAsia"/>
                <w:color w:val="000000"/>
                <w:sz w:val="21"/>
                <w:szCs w:val="21"/>
              </w:rPr>
            </w:pPr>
            <w:r>
              <w:rPr>
                <w:sz w:val="21"/>
                <w:szCs w:val="21"/>
              </w:rPr>
              <w:t>7</w:t>
            </w:r>
          </w:p>
        </w:tc>
        <w:tc>
          <w:tcPr>
            <w:tcW w:w="1771" w:type="pct"/>
            <w:vAlign w:val="center"/>
          </w:tcPr>
          <w:p w14:paraId="7C0228E3">
            <w:pPr>
              <w:spacing w:line="320" w:lineRule="exact"/>
              <w:rPr>
                <w:rFonts w:hint="eastAsia"/>
                <w:color w:val="000000"/>
                <w:sz w:val="21"/>
                <w:szCs w:val="21"/>
                <w:lang w:val="en-GB"/>
              </w:rPr>
            </w:pPr>
            <w:r>
              <w:rPr>
                <w:rFonts w:hint="eastAsia"/>
                <w:sz w:val="21"/>
                <w:szCs w:val="21"/>
              </w:rPr>
              <w:t>热工自动化控制水平、控制方式、软硬件设计水平先进，技术领先。</w:t>
            </w:r>
          </w:p>
        </w:tc>
        <w:tc>
          <w:tcPr>
            <w:tcW w:w="1892" w:type="pct"/>
            <w:vAlign w:val="center"/>
          </w:tcPr>
          <w:p w14:paraId="79E77E6D">
            <w:pPr>
              <w:adjustRightInd w:val="0"/>
              <w:snapToGrid w:val="0"/>
              <w:rPr>
                <w:rFonts w:hint="eastAsia"/>
                <w:color w:val="000000"/>
                <w:sz w:val="21"/>
                <w:szCs w:val="21"/>
              </w:rPr>
            </w:pPr>
            <w:r>
              <w:rPr>
                <w:rFonts w:hint="eastAsia"/>
                <w:sz w:val="21"/>
                <w:szCs w:val="21"/>
              </w:rPr>
              <w:t>热工自动化控制水平、控制方式先进、技术领先得1分，软硬件设计水平先进得1分。</w:t>
            </w:r>
            <w:r>
              <w:rPr>
                <w:color w:val="000000"/>
                <w:sz w:val="21"/>
                <w:szCs w:val="21"/>
              </w:rPr>
              <w:t>综合评判各项，酌情给予分值。</w:t>
            </w:r>
          </w:p>
        </w:tc>
        <w:tc>
          <w:tcPr>
            <w:tcW w:w="484" w:type="pct"/>
            <w:vAlign w:val="center"/>
          </w:tcPr>
          <w:p w14:paraId="40EA2671">
            <w:pPr>
              <w:adjustRightInd w:val="0"/>
              <w:snapToGrid w:val="0"/>
              <w:jc w:val="center"/>
              <w:rPr>
                <w:rFonts w:hint="eastAsia"/>
                <w:color w:val="000000"/>
                <w:sz w:val="21"/>
                <w:szCs w:val="21"/>
              </w:rPr>
            </w:pPr>
            <w:r>
              <w:rPr>
                <w:color w:val="000000"/>
                <w:sz w:val="21"/>
                <w:szCs w:val="21"/>
              </w:rPr>
              <w:t>2</w:t>
            </w:r>
          </w:p>
        </w:tc>
        <w:tc>
          <w:tcPr>
            <w:tcW w:w="488" w:type="pct"/>
            <w:vAlign w:val="center"/>
          </w:tcPr>
          <w:p w14:paraId="71D186DA">
            <w:pPr>
              <w:adjustRightInd w:val="0"/>
              <w:snapToGrid w:val="0"/>
              <w:jc w:val="center"/>
              <w:rPr>
                <w:rFonts w:hint="eastAsia"/>
                <w:color w:val="000000"/>
                <w:sz w:val="21"/>
                <w:szCs w:val="21"/>
              </w:rPr>
            </w:pPr>
          </w:p>
        </w:tc>
      </w:tr>
      <w:tr w14:paraId="14975C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909D54A">
            <w:pPr>
              <w:adjustRightInd w:val="0"/>
              <w:snapToGrid w:val="0"/>
              <w:jc w:val="center"/>
              <w:rPr>
                <w:rFonts w:hint="eastAsia"/>
                <w:color w:val="000000"/>
                <w:sz w:val="21"/>
                <w:szCs w:val="21"/>
              </w:rPr>
            </w:pPr>
            <w:r>
              <w:rPr>
                <w:sz w:val="21"/>
                <w:szCs w:val="21"/>
              </w:rPr>
              <w:t>8</w:t>
            </w:r>
          </w:p>
        </w:tc>
        <w:tc>
          <w:tcPr>
            <w:tcW w:w="1771" w:type="pct"/>
            <w:vAlign w:val="center"/>
          </w:tcPr>
          <w:p w14:paraId="194842AA">
            <w:pPr>
              <w:spacing w:line="320" w:lineRule="exact"/>
              <w:rPr>
                <w:rFonts w:hint="eastAsia"/>
                <w:color w:val="000000"/>
                <w:sz w:val="21"/>
                <w:szCs w:val="21"/>
                <w:lang w:val="en-GB"/>
              </w:rPr>
            </w:pPr>
            <w:r>
              <w:rPr>
                <w:rFonts w:hint="eastAsia"/>
                <w:sz w:val="21"/>
                <w:szCs w:val="21"/>
              </w:rPr>
              <w:t>采用先进通信与信息技术、计算机网络技术和智能控制技术等量化融合技术，具有较高的智慧化水平。</w:t>
            </w:r>
          </w:p>
        </w:tc>
        <w:tc>
          <w:tcPr>
            <w:tcW w:w="1892" w:type="pct"/>
            <w:vAlign w:val="center"/>
          </w:tcPr>
          <w:p w14:paraId="043231E1">
            <w:pPr>
              <w:adjustRightInd w:val="0"/>
              <w:snapToGrid w:val="0"/>
              <w:rPr>
                <w:rFonts w:hint="eastAsia"/>
                <w:color w:val="000000"/>
                <w:sz w:val="21"/>
                <w:szCs w:val="21"/>
              </w:rPr>
            </w:pPr>
            <w:r>
              <w:rPr>
                <w:rFonts w:cs="宋体"/>
                <w:snapToGrid w:val="0"/>
                <w:sz w:val="21"/>
                <w:szCs w:val="21"/>
              </w:rPr>
              <w:t>智慧电厂</w:t>
            </w:r>
            <w:r>
              <w:rPr>
                <w:rFonts w:hint="eastAsia" w:cs="宋体"/>
                <w:snapToGrid w:val="0"/>
                <w:sz w:val="21"/>
                <w:szCs w:val="21"/>
              </w:rPr>
              <w:t>规划设计及建设须遵循整体规划、分步实施的基本要求，通常包括：智慧工程管控系统、智慧电厂基础设施、数字孪生及全厂可视化中心、智能设备全生命周期管理中心、智能生产管理中心、智慧经营及供应链管理中心、智慧安全及风险防范中心、智慧办公及决策支持中心、智能控制系统应用。</w:t>
            </w:r>
            <w:r>
              <w:rPr>
                <w:rFonts w:cs="宋体"/>
                <w:snapToGrid w:val="0"/>
                <w:sz w:val="21"/>
                <w:szCs w:val="21"/>
              </w:rPr>
              <w:t>根据以上各项综合评判电厂的</w:t>
            </w:r>
            <w:r>
              <w:rPr>
                <w:rFonts w:hint="eastAsia"/>
                <w:sz w:val="21"/>
                <w:szCs w:val="21"/>
              </w:rPr>
              <w:t>智慧化水平</w:t>
            </w:r>
            <w:r>
              <w:rPr>
                <w:color w:val="000000"/>
                <w:sz w:val="21"/>
                <w:szCs w:val="21"/>
              </w:rPr>
              <w:t>，酌情给予分值。</w:t>
            </w:r>
          </w:p>
        </w:tc>
        <w:tc>
          <w:tcPr>
            <w:tcW w:w="484" w:type="pct"/>
            <w:vAlign w:val="center"/>
          </w:tcPr>
          <w:p w14:paraId="14B0281B">
            <w:pPr>
              <w:adjustRightInd w:val="0"/>
              <w:snapToGrid w:val="0"/>
              <w:jc w:val="center"/>
              <w:rPr>
                <w:rFonts w:hint="eastAsia"/>
                <w:color w:val="000000"/>
                <w:sz w:val="21"/>
                <w:szCs w:val="21"/>
              </w:rPr>
            </w:pPr>
            <w:r>
              <w:rPr>
                <w:color w:val="000000"/>
                <w:sz w:val="21"/>
                <w:szCs w:val="21"/>
              </w:rPr>
              <w:t>2</w:t>
            </w:r>
          </w:p>
        </w:tc>
        <w:tc>
          <w:tcPr>
            <w:tcW w:w="488" w:type="pct"/>
            <w:vAlign w:val="center"/>
          </w:tcPr>
          <w:p w14:paraId="44FF6375">
            <w:pPr>
              <w:adjustRightInd w:val="0"/>
              <w:snapToGrid w:val="0"/>
              <w:jc w:val="center"/>
              <w:rPr>
                <w:rFonts w:hint="eastAsia"/>
                <w:color w:val="000000"/>
                <w:sz w:val="21"/>
                <w:szCs w:val="21"/>
              </w:rPr>
            </w:pPr>
          </w:p>
        </w:tc>
      </w:tr>
      <w:tr w14:paraId="5E6688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DC6F115">
            <w:pPr>
              <w:adjustRightInd w:val="0"/>
              <w:snapToGrid w:val="0"/>
              <w:jc w:val="center"/>
              <w:rPr>
                <w:rFonts w:hint="eastAsia"/>
                <w:color w:val="000000"/>
                <w:sz w:val="21"/>
                <w:szCs w:val="21"/>
              </w:rPr>
            </w:pPr>
            <w:r>
              <w:rPr>
                <w:sz w:val="21"/>
                <w:szCs w:val="21"/>
              </w:rPr>
              <w:t>9</w:t>
            </w:r>
          </w:p>
        </w:tc>
        <w:tc>
          <w:tcPr>
            <w:tcW w:w="1771" w:type="pct"/>
            <w:vAlign w:val="center"/>
          </w:tcPr>
          <w:p w14:paraId="241B7445">
            <w:pPr>
              <w:spacing w:line="320" w:lineRule="exact"/>
              <w:rPr>
                <w:rFonts w:hint="eastAsia"/>
                <w:color w:val="000000"/>
                <w:sz w:val="21"/>
                <w:szCs w:val="21"/>
                <w:lang w:val="en-GB"/>
              </w:rPr>
            </w:pPr>
            <w:r>
              <w:rPr>
                <w:sz w:val="21"/>
                <w:szCs w:val="21"/>
              </w:rPr>
              <w:t>重要主辅机设备、关键材料、热工自动化控制系统国产化率高。</w:t>
            </w:r>
          </w:p>
        </w:tc>
        <w:tc>
          <w:tcPr>
            <w:tcW w:w="1892" w:type="pct"/>
            <w:vAlign w:val="center"/>
          </w:tcPr>
          <w:p w14:paraId="4C48330A">
            <w:pPr>
              <w:adjustRightInd w:val="0"/>
              <w:snapToGrid w:val="0"/>
              <w:rPr>
                <w:rFonts w:hint="eastAsia"/>
                <w:color w:val="000000"/>
                <w:sz w:val="21"/>
                <w:szCs w:val="21"/>
              </w:rPr>
            </w:pPr>
            <w:r>
              <w:rPr>
                <w:sz w:val="21"/>
                <w:szCs w:val="21"/>
              </w:rPr>
              <w:t>重要设备均采用国产化设备得</w:t>
            </w:r>
            <w:r>
              <w:rPr>
                <w:rFonts w:hint="eastAsia"/>
                <w:sz w:val="21"/>
                <w:szCs w:val="21"/>
              </w:rPr>
              <w:t>0</w:t>
            </w:r>
            <w:r>
              <w:rPr>
                <w:sz w:val="21"/>
                <w:szCs w:val="21"/>
              </w:rPr>
              <w:t>.5分，四（六）大管道国产化得</w:t>
            </w:r>
            <w:r>
              <w:rPr>
                <w:rFonts w:hint="eastAsia"/>
                <w:sz w:val="21"/>
                <w:szCs w:val="21"/>
              </w:rPr>
              <w:t>0</w:t>
            </w:r>
            <w:r>
              <w:rPr>
                <w:sz w:val="21"/>
                <w:szCs w:val="21"/>
              </w:rPr>
              <w:t>.5分，热工自动化控制系统（DCS）国产化</w:t>
            </w:r>
            <w:r>
              <w:rPr>
                <w:rFonts w:hint="eastAsia"/>
                <w:sz w:val="21"/>
                <w:szCs w:val="21"/>
              </w:rPr>
              <w:t>0</w:t>
            </w:r>
            <w:r>
              <w:rPr>
                <w:sz w:val="21"/>
                <w:szCs w:val="21"/>
              </w:rPr>
              <w:t>.4分。</w:t>
            </w:r>
            <w:r>
              <w:rPr>
                <w:color w:val="000000"/>
                <w:sz w:val="21"/>
                <w:szCs w:val="21"/>
              </w:rPr>
              <w:t>综合评判各项，酌情给予分值。</w:t>
            </w:r>
          </w:p>
        </w:tc>
        <w:tc>
          <w:tcPr>
            <w:tcW w:w="484" w:type="pct"/>
            <w:vAlign w:val="center"/>
          </w:tcPr>
          <w:p w14:paraId="08DAD469">
            <w:pPr>
              <w:adjustRightInd w:val="0"/>
              <w:snapToGrid w:val="0"/>
              <w:jc w:val="center"/>
              <w:rPr>
                <w:rFonts w:hint="eastAsia"/>
                <w:color w:val="000000"/>
                <w:sz w:val="21"/>
                <w:szCs w:val="21"/>
              </w:rPr>
            </w:pPr>
            <w:r>
              <w:rPr>
                <w:color w:val="000000"/>
                <w:sz w:val="21"/>
                <w:szCs w:val="21"/>
              </w:rPr>
              <w:t>1.5</w:t>
            </w:r>
          </w:p>
        </w:tc>
        <w:tc>
          <w:tcPr>
            <w:tcW w:w="488" w:type="pct"/>
            <w:vAlign w:val="center"/>
          </w:tcPr>
          <w:p w14:paraId="4E138873">
            <w:pPr>
              <w:adjustRightInd w:val="0"/>
              <w:snapToGrid w:val="0"/>
              <w:jc w:val="center"/>
              <w:rPr>
                <w:rFonts w:hint="eastAsia"/>
                <w:color w:val="000000"/>
                <w:sz w:val="21"/>
                <w:szCs w:val="21"/>
              </w:rPr>
            </w:pPr>
          </w:p>
        </w:tc>
      </w:tr>
      <w:tr w14:paraId="0BBC83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E8EB552">
            <w:pPr>
              <w:adjustRightInd w:val="0"/>
              <w:snapToGrid w:val="0"/>
              <w:jc w:val="center"/>
              <w:rPr>
                <w:rFonts w:hint="eastAsia"/>
                <w:color w:val="000000"/>
                <w:sz w:val="21"/>
                <w:szCs w:val="21"/>
              </w:rPr>
            </w:pPr>
            <w:r>
              <w:rPr>
                <w:sz w:val="21"/>
                <w:szCs w:val="21"/>
              </w:rPr>
              <w:t>10</w:t>
            </w:r>
          </w:p>
        </w:tc>
        <w:tc>
          <w:tcPr>
            <w:tcW w:w="1771" w:type="pct"/>
            <w:vAlign w:val="center"/>
          </w:tcPr>
          <w:p w14:paraId="63CECE13">
            <w:pPr>
              <w:spacing w:line="320" w:lineRule="exact"/>
              <w:rPr>
                <w:rFonts w:hint="eastAsia"/>
                <w:color w:val="000000"/>
                <w:sz w:val="21"/>
                <w:szCs w:val="21"/>
                <w:lang w:val="en-GB"/>
              </w:rPr>
            </w:pPr>
            <w:r>
              <w:rPr>
                <w:rFonts w:hint="eastAsia"/>
                <w:sz w:val="21"/>
                <w:szCs w:val="21"/>
              </w:rPr>
              <w:t>环保技术路线、工艺系统先进合理，工程投运后取得良好效果。</w:t>
            </w:r>
          </w:p>
        </w:tc>
        <w:tc>
          <w:tcPr>
            <w:tcW w:w="1892" w:type="pct"/>
            <w:vAlign w:val="center"/>
          </w:tcPr>
          <w:p w14:paraId="0FC48D17">
            <w:pPr>
              <w:adjustRightInd w:val="0"/>
              <w:snapToGrid w:val="0"/>
              <w:rPr>
                <w:rFonts w:hint="eastAsia"/>
                <w:color w:val="000000"/>
                <w:sz w:val="21"/>
                <w:szCs w:val="21"/>
              </w:rPr>
            </w:pPr>
            <w:r>
              <w:rPr>
                <w:sz w:val="21"/>
                <w:szCs w:val="21"/>
              </w:rPr>
              <w:t>脱硫工艺系统技术先进合理</w:t>
            </w:r>
            <w:r>
              <w:rPr>
                <w:rFonts w:hint="eastAsia"/>
                <w:sz w:val="21"/>
                <w:szCs w:val="21"/>
              </w:rPr>
              <w:t>0</w:t>
            </w:r>
            <w:r>
              <w:rPr>
                <w:sz w:val="21"/>
                <w:szCs w:val="21"/>
              </w:rPr>
              <w:t>.5分，脱硝工艺系统技术先进合理得</w:t>
            </w:r>
            <w:r>
              <w:rPr>
                <w:rFonts w:hint="eastAsia"/>
                <w:sz w:val="21"/>
                <w:szCs w:val="21"/>
              </w:rPr>
              <w:t>0</w:t>
            </w:r>
            <w:r>
              <w:rPr>
                <w:sz w:val="21"/>
                <w:szCs w:val="21"/>
              </w:rPr>
              <w:t>.5分，工程投运后达到或优于设计值得</w:t>
            </w:r>
            <w:r>
              <w:rPr>
                <w:rFonts w:hint="eastAsia"/>
                <w:sz w:val="21"/>
                <w:szCs w:val="21"/>
              </w:rPr>
              <w:t>0</w:t>
            </w:r>
            <w:r>
              <w:rPr>
                <w:sz w:val="21"/>
                <w:szCs w:val="21"/>
              </w:rPr>
              <w:t>.5分。</w:t>
            </w:r>
            <w:r>
              <w:rPr>
                <w:color w:val="000000"/>
                <w:sz w:val="21"/>
                <w:szCs w:val="21"/>
              </w:rPr>
              <w:t>综合评判各项，酌情给予分值。</w:t>
            </w:r>
          </w:p>
        </w:tc>
        <w:tc>
          <w:tcPr>
            <w:tcW w:w="484" w:type="pct"/>
            <w:vAlign w:val="center"/>
          </w:tcPr>
          <w:p w14:paraId="02656B33">
            <w:pPr>
              <w:adjustRightInd w:val="0"/>
              <w:snapToGrid w:val="0"/>
              <w:jc w:val="center"/>
              <w:rPr>
                <w:rFonts w:hint="eastAsia"/>
                <w:color w:val="000000"/>
                <w:sz w:val="21"/>
                <w:szCs w:val="21"/>
              </w:rPr>
            </w:pPr>
            <w:r>
              <w:rPr>
                <w:color w:val="000000"/>
                <w:sz w:val="21"/>
                <w:szCs w:val="21"/>
              </w:rPr>
              <w:t>1.5</w:t>
            </w:r>
          </w:p>
        </w:tc>
        <w:tc>
          <w:tcPr>
            <w:tcW w:w="488" w:type="pct"/>
            <w:vAlign w:val="center"/>
          </w:tcPr>
          <w:p w14:paraId="07CE2DB7">
            <w:pPr>
              <w:adjustRightInd w:val="0"/>
              <w:snapToGrid w:val="0"/>
              <w:jc w:val="center"/>
              <w:rPr>
                <w:rFonts w:hint="eastAsia"/>
                <w:color w:val="000000"/>
                <w:sz w:val="21"/>
                <w:szCs w:val="21"/>
              </w:rPr>
            </w:pPr>
          </w:p>
        </w:tc>
      </w:tr>
      <w:tr w14:paraId="68BB3A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9FD4636">
            <w:pPr>
              <w:adjustRightInd w:val="0"/>
              <w:snapToGrid w:val="0"/>
              <w:jc w:val="center"/>
              <w:rPr>
                <w:rFonts w:hint="eastAsia"/>
                <w:color w:val="000000"/>
                <w:sz w:val="21"/>
                <w:szCs w:val="21"/>
              </w:rPr>
            </w:pPr>
            <w:r>
              <w:rPr>
                <w:sz w:val="21"/>
                <w:szCs w:val="21"/>
              </w:rPr>
              <w:t>11</w:t>
            </w:r>
          </w:p>
        </w:tc>
        <w:tc>
          <w:tcPr>
            <w:tcW w:w="1771" w:type="pct"/>
            <w:vAlign w:val="center"/>
          </w:tcPr>
          <w:p w14:paraId="647B59CA">
            <w:pPr>
              <w:spacing w:line="320" w:lineRule="exact"/>
              <w:rPr>
                <w:rFonts w:hint="eastAsia"/>
                <w:color w:val="000000"/>
                <w:sz w:val="21"/>
                <w:szCs w:val="21"/>
                <w:lang w:val="en-GB"/>
              </w:rPr>
            </w:pPr>
            <w:r>
              <w:rPr>
                <w:rFonts w:hint="eastAsia"/>
                <w:sz w:val="21"/>
                <w:szCs w:val="21"/>
              </w:rPr>
              <w:t>各项技术性能指标先进，国内同类机组领先水平。</w:t>
            </w:r>
          </w:p>
        </w:tc>
        <w:tc>
          <w:tcPr>
            <w:tcW w:w="1892" w:type="pct"/>
            <w:vAlign w:val="center"/>
          </w:tcPr>
          <w:p w14:paraId="6B307AF7">
            <w:pPr>
              <w:adjustRightInd w:val="0"/>
              <w:snapToGrid w:val="0"/>
              <w:rPr>
                <w:rFonts w:hint="eastAsia"/>
                <w:color w:val="000000"/>
                <w:sz w:val="21"/>
                <w:szCs w:val="21"/>
              </w:rPr>
            </w:pPr>
            <w:r>
              <w:rPr>
                <w:sz w:val="21"/>
                <w:szCs w:val="21"/>
              </w:rPr>
              <w:t>供电煤耗、厂用电率、耗水指标与</w:t>
            </w:r>
            <w:r>
              <w:rPr>
                <w:rFonts w:hint="eastAsia"/>
                <w:sz w:val="21"/>
                <w:szCs w:val="21"/>
                <w:lang w:val="en-GB"/>
              </w:rPr>
              <w:t>中国电力企业联合会编制的同时期《</w:t>
            </w:r>
            <w:r>
              <w:rPr>
                <w:sz w:val="21"/>
                <w:szCs w:val="21"/>
                <w:lang w:val="en-GB"/>
              </w:rPr>
              <w:t>电力行业火电机组能效水平对标报告</w:t>
            </w:r>
            <w:r>
              <w:rPr>
                <w:rFonts w:hint="eastAsia"/>
                <w:sz w:val="21"/>
                <w:szCs w:val="21"/>
                <w:lang w:val="en-GB"/>
              </w:rPr>
              <w:t>》对标数据进行比对，判别指标的先进性。等于或优于对标数据得3分，低于对标数据5</w:t>
            </w:r>
            <w:r>
              <w:rPr>
                <w:sz w:val="21"/>
                <w:szCs w:val="21"/>
                <w:lang w:val="en-GB"/>
              </w:rPr>
              <w:t>%得</w:t>
            </w:r>
            <w:r>
              <w:rPr>
                <w:rFonts w:hint="eastAsia"/>
                <w:sz w:val="21"/>
                <w:szCs w:val="21"/>
                <w:lang w:val="en-GB"/>
              </w:rPr>
              <w:t>2</w:t>
            </w:r>
            <w:r>
              <w:rPr>
                <w:sz w:val="21"/>
                <w:szCs w:val="21"/>
                <w:lang w:val="en-GB"/>
              </w:rPr>
              <w:t>.5分，低于对标数据</w:t>
            </w:r>
            <w:r>
              <w:rPr>
                <w:rFonts w:hint="eastAsia"/>
                <w:sz w:val="21"/>
                <w:szCs w:val="21"/>
                <w:lang w:val="en-GB"/>
              </w:rPr>
              <w:t>1</w:t>
            </w:r>
            <w:r>
              <w:rPr>
                <w:sz w:val="21"/>
                <w:szCs w:val="21"/>
                <w:lang w:val="en-GB"/>
              </w:rPr>
              <w:t>0%得</w:t>
            </w:r>
            <w:r>
              <w:rPr>
                <w:rFonts w:hint="eastAsia"/>
                <w:sz w:val="21"/>
                <w:szCs w:val="21"/>
                <w:lang w:val="en-GB"/>
              </w:rPr>
              <w:t>2分，低于对标数据1</w:t>
            </w:r>
            <w:r>
              <w:rPr>
                <w:sz w:val="21"/>
                <w:szCs w:val="21"/>
                <w:lang w:val="en-GB"/>
              </w:rPr>
              <w:t>0%以下得</w:t>
            </w:r>
            <w:r>
              <w:rPr>
                <w:rFonts w:hint="eastAsia"/>
                <w:sz w:val="21"/>
                <w:szCs w:val="21"/>
                <w:lang w:val="en-GB"/>
              </w:rPr>
              <w:t>1</w:t>
            </w:r>
            <w:r>
              <w:rPr>
                <w:sz w:val="21"/>
                <w:szCs w:val="21"/>
                <w:lang w:val="en-GB"/>
              </w:rPr>
              <w:t>.5分。</w:t>
            </w:r>
          </w:p>
        </w:tc>
        <w:tc>
          <w:tcPr>
            <w:tcW w:w="484" w:type="pct"/>
            <w:vAlign w:val="center"/>
          </w:tcPr>
          <w:p w14:paraId="3DEA34BD">
            <w:pPr>
              <w:adjustRightInd w:val="0"/>
              <w:snapToGrid w:val="0"/>
              <w:jc w:val="center"/>
              <w:rPr>
                <w:rFonts w:hint="eastAsia"/>
                <w:color w:val="000000"/>
                <w:sz w:val="21"/>
                <w:szCs w:val="21"/>
              </w:rPr>
            </w:pPr>
            <w:r>
              <w:rPr>
                <w:color w:val="000000"/>
                <w:sz w:val="21"/>
                <w:szCs w:val="21"/>
              </w:rPr>
              <w:t>3</w:t>
            </w:r>
          </w:p>
        </w:tc>
        <w:tc>
          <w:tcPr>
            <w:tcW w:w="488" w:type="pct"/>
            <w:vAlign w:val="center"/>
          </w:tcPr>
          <w:p w14:paraId="5CF61CC9">
            <w:pPr>
              <w:adjustRightInd w:val="0"/>
              <w:snapToGrid w:val="0"/>
              <w:jc w:val="center"/>
              <w:rPr>
                <w:rFonts w:hint="eastAsia"/>
                <w:color w:val="000000"/>
                <w:sz w:val="21"/>
                <w:szCs w:val="21"/>
              </w:rPr>
            </w:pPr>
          </w:p>
        </w:tc>
      </w:tr>
      <w:tr w14:paraId="3F41CF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1D1D771">
            <w:pPr>
              <w:adjustRightInd w:val="0"/>
              <w:snapToGrid w:val="0"/>
              <w:jc w:val="center"/>
              <w:rPr>
                <w:rFonts w:hint="eastAsia"/>
                <w:color w:val="000000"/>
                <w:sz w:val="21"/>
                <w:szCs w:val="21"/>
              </w:rPr>
            </w:pPr>
            <w:r>
              <w:rPr>
                <w:sz w:val="21"/>
                <w:szCs w:val="21"/>
              </w:rPr>
              <w:t>12</w:t>
            </w:r>
          </w:p>
        </w:tc>
        <w:tc>
          <w:tcPr>
            <w:tcW w:w="1771" w:type="pct"/>
            <w:vAlign w:val="center"/>
          </w:tcPr>
          <w:p w14:paraId="1A42EF5B">
            <w:pPr>
              <w:spacing w:line="320" w:lineRule="exact"/>
              <w:rPr>
                <w:rFonts w:hint="eastAsia"/>
                <w:color w:val="000000"/>
                <w:sz w:val="21"/>
                <w:szCs w:val="21"/>
                <w:lang w:val="en-GB"/>
              </w:rPr>
            </w:pPr>
            <w:r>
              <w:rPr>
                <w:sz w:val="21"/>
                <w:szCs w:val="21"/>
              </w:rPr>
              <w:t>推行标准化、工业化智能建造，达到或优于国家、地方行业部门要求。</w:t>
            </w:r>
          </w:p>
        </w:tc>
        <w:tc>
          <w:tcPr>
            <w:tcW w:w="1892" w:type="pct"/>
            <w:vAlign w:val="center"/>
          </w:tcPr>
          <w:p w14:paraId="14E53FB7">
            <w:pPr>
              <w:adjustRightInd w:val="0"/>
              <w:snapToGrid w:val="0"/>
              <w:rPr>
                <w:rFonts w:hint="eastAsia"/>
                <w:color w:val="000000"/>
                <w:sz w:val="21"/>
                <w:szCs w:val="21"/>
              </w:rPr>
            </w:pPr>
            <w:r>
              <w:rPr>
                <w:sz w:val="21"/>
                <w:szCs w:val="21"/>
              </w:rPr>
              <w:t>标准化、工业化智能建造达到或优于国家、地方行业部门要求得</w:t>
            </w:r>
            <w:r>
              <w:rPr>
                <w:rFonts w:hint="eastAsia"/>
                <w:sz w:val="21"/>
                <w:szCs w:val="21"/>
              </w:rPr>
              <w:t>1分</w:t>
            </w:r>
            <w:r>
              <w:rPr>
                <w:sz w:val="21"/>
                <w:szCs w:val="21"/>
              </w:rPr>
              <w:t>。</w:t>
            </w:r>
            <w:r>
              <w:rPr>
                <w:color w:val="000000"/>
                <w:sz w:val="21"/>
                <w:szCs w:val="21"/>
              </w:rPr>
              <w:t>综合评判各项，酌情给予分值。</w:t>
            </w:r>
          </w:p>
        </w:tc>
        <w:tc>
          <w:tcPr>
            <w:tcW w:w="484" w:type="pct"/>
            <w:vAlign w:val="center"/>
          </w:tcPr>
          <w:p w14:paraId="39CA1829">
            <w:pPr>
              <w:adjustRightInd w:val="0"/>
              <w:snapToGrid w:val="0"/>
              <w:jc w:val="center"/>
              <w:rPr>
                <w:rFonts w:hint="eastAsia"/>
                <w:color w:val="000000"/>
                <w:sz w:val="21"/>
                <w:szCs w:val="21"/>
              </w:rPr>
            </w:pPr>
            <w:r>
              <w:rPr>
                <w:color w:val="000000"/>
                <w:sz w:val="21"/>
                <w:szCs w:val="21"/>
              </w:rPr>
              <w:t>1</w:t>
            </w:r>
          </w:p>
        </w:tc>
        <w:tc>
          <w:tcPr>
            <w:tcW w:w="488" w:type="pct"/>
            <w:vAlign w:val="center"/>
          </w:tcPr>
          <w:p w14:paraId="190DBE14">
            <w:pPr>
              <w:adjustRightInd w:val="0"/>
              <w:snapToGrid w:val="0"/>
              <w:jc w:val="center"/>
              <w:rPr>
                <w:rFonts w:hint="eastAsia"/>
                <w:color w:val="000000"/>
                <w:sz w:val="21"/>
                <w:szCs w:val="21"/>
              </w:rPr>
            </w:pPr>
          </w:p>
        </w:tc>
      </w:tr>
      <w:tr w14:paraId="597461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ABA5BC4">
            <w:pPr>
              <w:adjustRightInd w:val="0"/>
              <w:snapToGrid w:val="0"/>
              <w:jc w:val="center"/>
              <w:rPr>
                <w:rFonts w:hint="eastAsia"/>
                <w:color w:val="000000"/>
                <w:sz w:val="21"/>
                <w:szCs w:val="21"/>
              </w:rPr>
            </w:pPr>
            <w:r>
              <w:rPr>
                <w:sz w:val="21"/>
                <w:szCs w:val="21"/>
              </w:rPr>
              <w:t>13</w:t>
            </w:r>
          </w:p>
        </w:tc>
        <w:tc>
          <w:tcPr>
            <w:tcW w:w="1771" w:type="pct"/>
            <w:vAlign w:val="center"/>
          </w:tcPr>
          <w:p w14:paraId="3A5F6125">
            <w:pPr>
              <w:spacing w:line="320" w:lineRule="exact"/>
              <w:rPr>
                <w:rFonts w:hint="eastAsia"/>
                <w:color w:val="000000"/>
                <w:sz w:val="21"/>
                <w:szCs w:val="21"/>
                <w:lang w:val="en-GB"/>
              </w:rPr>
            </w:pPr>
            <w:r>
              <w:rPr>
                <w:sz w:val="21"/>
                <w:szCs w:val="21"/>
              </w:rPr>
              <w:t>设计</w:t>
            </w:r>
            <w:r>
              <w:rPr>
                <w:rFonts w:hint="eastAsia"/>
                <w:sz w:val="21"/>
                <w:szCs w:val="21"/>
              </w:rPr>
              <w:t>手段</w:t>
            </w:r>
            <w:r>
              <w:rPr>
                <w:sz w:val="21"/>
                <w:szCs w:val="21"/>
              </w:rPr>
              <w:t>先进，创新设计流程，为绿色施工创造条件，并取得良好效果。</w:t>
            </w:r>
          </w:p>
        </w:tc>
        <w:tc>
          <w:tcPr>
            <w:tcW w:w="1892" w:type="pct"/>
            <w:vAlign w:val="center"/>
          </w:tcPr>
          <w:p w14:paraId="781E9457">
            <w:pPr>
              <w:adjustRightInd w:val="0"/>
              <w:snapToGrid w:val="0"/>
              <w:rPr>
                <w:rFonts w:hint="eastAsia"/>
                <w:color w:val="000000"/>
                <w:sz w:val="21"/>
                <w:szCs w:val="21"/>
              </w:rPr>
            </w:pPr>
            <w:r>
              <w:rPr>
                <w:sz w:val="21"/>
                <w:szCs w:val="21"/>
              </w:rPr>
              <w:t>通过先进设计</w:t>
            </w:r>
            <w:r>
              <w:rPr>
                <w:rFonts w:hint="eastAsia"/>
                <w:sz w:val="21"/>
                <w:szCs w:val="21"/>
              </w:rPr>
              <w:t>手段</w:t>
            </w:r>
            <w:r>
              <w:rPr>
                <w:sz w:val="21"/>
                <w:szCs w:val="21"/>
              </w:rPr>
              <w:t>，创新设计流程，为绿色施工创造条件，并取得良好效果得</w:t>
            </w:r>
            <w:r>
              <w:rPr>
                <w:rFonts w:hint="eastAsia"/>
                <w:sz w:val="21"/>
                <w:szCs w:val="21"/>
              </w:rPr>
              <w:t>1分，</w:t>
            </w:r>
            <w:r>
              <w:rPr>
                <w:color w:val="000000"/>
                <w:sz w:val="21"/>
                <w:szCs w:val="21"/>
              </w:rPr>
              <w:t>综合评判各项，酌情给予分值。</w:t>
            </w:r>
          </w:p>
        </w:tc>
        <w:tc>
          <w:tcPr>
            <w:tcW w:w="484" w:type="pct"/>
            <w:vAlign w:val="center"/>
          </w:tcPr>
          <w:p w14:paraId="482DCDE2">
            <w:pPr>
              <w:adjustRightInd w:val="0"/>
              <w:snapToGrid w:val="0"/>
              <w:jc w:val="center"/>
              <w:rPr>
                <w:rFonts w:hint="eastAsia"/>
                <w:color w:val="000000"/>
                <w:sz w:val="21"/>
                <w:szCs w:val="21"/>
              </w:rPr>
            </w:pPr>
            <w:r>
              <w:rPr>
                <w:color w:val="000000"/>
                <w:sz w:val="21"/>
                <w:szCs w:val="21"/>
              </w:rPr>
              <w:t>1</w:t>
            </w:r>
          </w:p>
        </w:tc>
        <w:tc>
          <w:tcPr>
            <w:tcW w:w="488" w:type="pct"/>
            <w:vAlign w:val="center"/>
          </w:tcPr>
          <w:p w14:paraId="20402FBE">
            <w:pPr>
              <w:adjustRightInd w:val="0"/>
              <w:snapToGrid w:val="0"/>
              <w:jc w:val="center"/>
              <w:rPr>
                <w:rFonts w:hint="eastAsia"/>
                <w:color w:val="000000"/>
                <w:sz w:val="21"/>
                <w:szCs w:val="21"/>
              </w:rPr>
            </w:pPr>
          </w:p>
        </w:tc>
      </w:tr>
      <w:tr w14:paraId="2ED3C1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0C548D8">
            <w:pPr>
              <w:adjustRightInd w:val="0"/>
              <w:snapToGrid w:val="0"/>
              <w:jc w:val="center"/>
              <w:rPr>
                <w:rFonts w:hint="eastAsia"/>
                <w:color w:val="000000"/>
                <w:sz w:val="21"/>
                <w:szCs w:val="21"/>
              </w:rPr>
            </w:pPr>
            <w:r>
              <w:rPr>
                <w:sz w:val="21"/>
                <w:szCs w:val="21"/>
              </w:rPr>
              <w:t>1</w:t>
            </w:r>
            <w:r>
              <w:rPr>
                <w:rFonts w:hint="eastAsia"/>
                <w:sz w:val="21"/>
                <w:szCs w:val="21"/>
              </w:rPr>
              <w:t>4</w:t>
            </w:r>
          </w:p>
        </w:tc>
        <w:tc>
          <w:tcPr>
            <w:tcW w:w="1771" w:type="pct"/>
            <w:vAlign w:val="center"/>
          </w:tcPr>
          <w:p w14:paraId="0B887511">
            <w:pPr>
              <w:spacing w:line="320" w:lineRule="exact"/>
              <w:rPr>
                <w:rFonts w:hint="eastAsia"/>
                <w:color w:val="000000"/>
                <w:sz w:val="21"/>
                <w:szCs w:val="21"/>
                <w:lang w:val="en-GB"/>
              </w:rPr>
            </w:pPr>
            <w:r>
              <w:rPr>
                <w:rFonts w:hint="eastAsia"/>
                <w:sz w:val="21"/>
                <w:szCs w:val="21"/>
              </w:rPr>
              <w:t>建筑物</w:t>
            </w:r>
            <w:r>
              <w:rPr>
                <w:sz w:val="21"/>
                <w:szCs w:val="21"/>
              </w:rPr>
              <w:t>地基处理</w:t>
            </w:r>
            <w:r>
              <w:rPr>
                <w:rFonts w:hint="eastAsia"/>
                <w:sz w:val="21"/>
                <w:szCs w:val="21"/>
              </w:rPr>
              <w:t>方案合理经济</w:t>
            </w:r>
            <w:r>
              <w:rPr>
                <w:sz w:val="21"/>
                <w:szCs w:val="21"/>
              </w:rPr>
              <w:t>、建筑结构体系科学，具有先进性、前瞻性，引领行业先进水平。</w:t>
            </w:r>
          </w:p>
        </w:tc>
        <w:tc>
          <w:tcPr>
            <w:tcW w:w="1892" w:type="pct"/>
            <w:vAlign w:val="center"/>
          </w:tcPr>
          <w:p w14:paraId="0CFFC48D">
            <w:pPr>
              <w:adjustRightInd w:val="0"/>
              <w:snapToGrid w:val="0"/>
              <w:rPr>
                <w:rFonts w:hint="eastAsia"/>
                <w:color w:val="000000"/>
                <w:sz w:val="21"/>
                <w:szCs w:val="21"/>
              </w:rPr>
            </w:pPr>
            <w:r>
              <w:rPr>
                <w:sz w:val="21"/>
                <w:szCs w:val="21"/>
              </w:rPr>
              <w:t>主要建（构）筑物地基处理方案合理经济得</w:t>
            </w:r>
            <w:r>
              <w:rPr>
                <w:rFonts w:hint="eastAsia"/>
                <w:sz w:val="21"/>
                <w:szCs w:val="21"/>
              </w:rPr>
              <w:t>1分，</w:t>
            </w:r>
            <w:r>
              <w:rPr>
                <w:sz w:val="21"/>
                <w:szCs w:val="21"/>
              </w:rPr>
              <w:t>主要建（构）筑物建筑结构体系科学，具有先进性得</w:t>
            </w:r>
            <w:r>
              <w:rPr>
                <w:rFonts w:hint="eastAsia"/>
                <w:sz w:val="21"/>
                <w:szCs w:val="21"/>
              </w:rPr>
              <w:t>1分，全厂建筑、景观设计新颖，引领行业先进水平得1分。</w:t>
            </w:r>
            <w:r>
              <w:rPr>
                <w:color w:val="000000"/>
                <w:sz w:val="21"/>
                <w:szCs w:val="21"/>
              </w:rPr>
              <w:t>综合评判各项，酌情给予分值。</w:t>
            </w:r>
          </w:p>
        </w:tc>
        <w:tc>
          <w:tcPr>
            <w:tcW w:w="484" w:type="pct"/>
            <w:vAlign w:val="center"/>
          </w:tcPr>
          <w:p w14:paraId="4B24119D">
            <w:pPr>
              <w:adjustRightInd w:val="0"/>
              <w:snapToGrid w:val="0"/>
              <w:jc w:val="center"/>
              <w:rPr>
                <w:rFonts w:hint="eastAsia"/>
                <w:color w:val="000000"/>
                <w:sz w:val="21"/>
                <w:szCs w:val="21"/>
              </w:rPr>
            </w:pPr>
            <w:r>
              <w:rPr>
                <w:color w:val="000000"/>
                <w:sz w:val="21"/>
                <w:szCs w:val="21"/>
              </w:rPr>
              <w:t>3</w:t>
            </w:r>
          </w:p>
        </w:tc>
        <w:tc>
          <w:tcPr>
            <w:tcW w:w="488" w:type="pct"/>
            <w:vAlign w:val="center"/>
          </w:tcPr>
          <w:p w14:paraId="41C49D4F">
            <w:pPr>
              <w:adjustRightInd w:val="0"/>
              <w:snapToGrid w:val="0"/>
              <w:jc w:val="center"/>
              <w:rPr>
                <w:rFonts w:hint="eastAsia"/>
                <w:color w:val="000000"/>
                <w:sz w:val="21"/>
                <w:szCs w:val="21"/>
              </w:rPr>
            </w:pPr>
          </w:p>
        </w:tc>
      </w:tr>
      <w:tr w14:paraId="1D7516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CAF873B">
            <w:pPr>
              <w:adjustRightInd w:val="0"/>
              <w:snapToGrid w:val="0"/>
              <w:jc w:val="center"/>
              <w:rPr>
                <w:rFonts w:hint="eastAsia"/>
                <w:color w:val="000000"/>
                <w:sz w:val="21"/>
                <w:szCs w:val="21"/>
              </w:rPr>
            </w:pPr>
            <w:r>
              <w:rPr>
                <w:sz w:val="21"/>
                <w:szCs w:val="21"/>
              </w:rPr>
              <w:t>1</w:t>
            </w:r>
            <w:r>
              <w:rPr>
                <w:rFonts w:hint="eastAsia"/>
                <w:sz w:val="21"/>
                <w:szCs w:val="21"/>
              </w:rPr>
              <w:t>5</w:t>
            </w:r>
          </w:p>
        </w:tc>
        <w:tc>
          <w:tcPr>
            <w:tcW w:w="1771" w:type="pct"/>
            <w:vAlign w:val="center"/>
          </w:tcPr>
          <w:p w14:paraId="44E38ABF">
            <w:pPr>
              <w:spacing w:line="320" w:lineRule="exact"/>
              <w:rPr>
                <w:rFonts w:hint="eastAsia"/>
                <w:color w:val="000000"/>
                <w:sz w:val="21"/>
                <w:szCs w:val="21"/>
                <w:lang w:val="en-GB"/>
              </w:rPr>
            </w:pPr>
            <w:r>
              <w:rPr>
                <w:rFonts w:hint="eastAsia"/>
                <w:sz w:val="21"/>
                <w:szCs w:val="21"/>
              </w:rPr>
              <w:t>燃煤发电厂适应新型电力系统对火力发电机组可靠性、灵活性要求，工艺系统先进，设备配置水平高，技术出力调节能力满足</w:t>
            </w:r>
            <w:r>
              <w:rPr>
                <w:sz w:val="21"/>
                <w:szCs w:val="21"/>
              </w:rPr>
              <w:t>20%-100%额定出力</w:t>
            </w:r>
            <w:r>
              <w:rPr>
                <w:rFonts w:hint="eastAsia"/>
                <w:sz w:val="21"/>
                <w:szCs w:val="21"/>
              </w:rPr>
              <w:t>；热电联产机组实现热电解耦，技术出力调节能力满足</w:t>
            </w:r>
            <w:r>
              <w:rPr>
                <w:sz w:val="21"/>
                <w:szCs w:val="21"/>
              </w:rPr>
              <w:t>30%-100%额定出力。</w:t>
            </w:r>
          </w:p>
        </w:tc>
        <w:tc>
          <w:tcPr>
            <w:tcW w:w="1892" w:type="pct"/>
            <w:vAlign w:val="center"/>
          </w:tcPr>
          <w:p w14:paraId="684E9095">
            <w:pPr>
              <w:adjustRightInd w:val="0"/>
              <w:snapToGrid w:val="0"/>
              <w:rPr>
                <w:rFonts w:hint="eastAsia"/>
                <w:color w:val="000000"/>
                <w:sz w:val="21"/>
                <w:szCs w:val="21"/>
              </w:rPr>
            </w:pPr>
            <w:r>
              <w:rPr>
                <w:sz w:val="21"/>
                <w:szCs w:val="21"/>
              </w:rPr>
              <w:t>满足该项要求得1</w:t>
            </w:r>
            <w:r>
              <w:rPr>
                <w:rFonts w:hint="eastAsia"/>
                <w:sz w:val="21"/>
                <w:szCs w:val="21"/>
              </w:rPr>
              <w:t>分，不满足0分</w:t>
            </w:r>
          </w:p>
        </w:tc>
        <w:tc>
          <w:tcPr>
            <w:tcW w:w="484" w:type="pct"/>
            <w:vAlign w:val="center"/>
          </w:tcPr>
          <w:p w14:paraId="290DA41C">
            <w:pPr>
              <w:adjustRightInd w:val="0"/>
              <w:snapToGrid w:val="0"/>
              <w:jc w:val="center"/>
              <w:rPr>
                <w:rFonts w:hint="eastAsia"/>
                <w:color w:val="000000"/>
                <w:sz w:val="21"/>
                <w:szCs w:val="21"/>
              </w:rPr>
            </w:pPr>
            <w:r>
              <w:rPr>
                <w:color w:val="000000"/>
                <w:sz w:val="21"/>
                <w:szCs w:val="21"/>
              </w:rPr>
              <w:t>1</w:t>
            </w:r>
          </w:p>
        </w:tc>
        <w:tc>
          <w:tcPr>
            <w:tcW w:w="488" w:type="pct"/>
            <w:vAlign w:val="center"/>
          </w:tcPr>
          <w:p w14:paraId="0B5D82F1">
            <w:pPr>
              <w:adjustRightInd w:val="0"/>
              <w:snapToGrid w:val="0"/>
              <w:jc w:val="center"/>
              <w:rPr>
                <w:rFonts w:hint="eastAsia"/>
                <w:color w:val="000000"/>
                <w:sz w:val="21"/>
                <w:szCs w:val="21"/>
              </w:rPr>
            </w:pPr>
          </w:p>
        </w:tc>
      </w:tr>
      <w:tr w14:paraId="65BD24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FFDE8A7">
            <w:pPr>
              <w:adjustRightInd w:val="0"/>
              <w:snapToGrid w:val="0"/>
              <w:jc w:val="center"/>
              <w:rPr>
                <w:rFonts w:hint="eastAsia"/>
                <w:color w:val="000000"/>
                <w:sz w:val="21"/>
                <w:szCs w:val="21"/>
              </w:rPr>
            </w:pPr>
            <w:r>
              <w:rPr>
                <w:rFonts w:hint="eastAsia"/>
                <w:sz w:val="21"/>
                <w:szCs w:val="21"/>
              </w:rPr>
              <w:t>16</w:t>
            </w:r>
          </w:p>
        </w:tc>
        <w:tc>
          <w:tcPr>
            <w:tcW w:w="1771" w:type="pct"/>
            <w:vAlign w:val="center"/>
          </w:tcPr>
          <w:p w14:paraId="3AD324FC">
            <w:pPr>
              <w:spacing w:line="320" w:lineRule="exact"/>
              <w:rPr>
                <w:rFonts w:hint="eastAsia"/>
                <w:color w:val="000000"/>
                <w:sz w:val="21"/>
                <w:szCs w:val="21"/>
                <w:lang w:val="en-GB"/>
              </w:rPr>
            </w:pPr>
            <w:r>
              <w:rPr>
                <w:rFonts w:hint="eastAsia"/>
                <w:sz w:val="21"/>
                <w:szCs w:val="21"/>
              </w:rPr>
              <w:t>核电常规岛废水进行脱氮处理，满足生态环保要求排放。</w:t>
            </w:r>
          </w:p>
        </w:tc>
        <w:tc>
          <w:tcPr>
            <w:tcW w:w="1892" w:type="pct"/>
            <w:vAlign w:val="center"/>
          </w:tcPr>
          <w:p w14:paraId="513EBAFA">
            <w:pPr>
              <w:adjustRightInd w:val="0"/>
              <w:snapToGrid w:val="0"/>
              <w:rPr>
                <w:rFonts w:hint="eastAsia"/>
                <w:color w:val="000000"/>
                <w:sz w:val="21"/>
                <w:szCs w:val="21"/>
              </w:rPr>
            </w:pPr>
            <w:r>
              <w:rPr>
                <w:sz w:val="21"/>
                <w:szCs w:val="21"/>
              </w:rPr>
              <w:t>满足该项要求得1</w:t>
            </w:r>
            <w:r>
              <w:rPr>
                <w:rFonts w:hint="eastAsia"/>
                <w:sz w:val="21"/>
                <w:szCs w:val="21"/>
              </w:rPr>
              <w:t>分，不满足0分</w:t>
            </w:r>
          </w:p>
        </w:tc>
        <w:tc>
          <w:tcPr>
            <w:tcW w:w="484" w:type="pct"/>
            <w:vAlign w:val="center"/>
          </w:tcPr>
          <w:p w14:paraId="6E97E415">
            <w:pPr>
              <w:adjustRightInd w:val="0"/>
              <w:snapToGrid w:val="0"/>
              <w:jc w:val="center"/>
              <w:rPr>
                <w:rFonts w:hint="eastAsia"/>
                <w:color w:val="000000"/>
                <w:sz w:val="21"/>
                <w:szCs w:val="21"/>
              </w:rPr>
            </w:pPr>
            <w:r>
              <w:rPr>
                <w:color w:val="000000"/>
                <w:sz w:val="21"/>
                <w:szCs w:val="21"/>
              </w:rPr>
              <w:t>1</w:t>
            </w:r>
          </w:p>
        </w:tc>
        <w:tc>
          <w:tcPr>
            <w:tcW w:w="488" w:type="pct"/>
            <w:vAlign w:val="center"/>
          </w:tcPr>
          <w:p w14:paraId="5415DC9C">
            <w:pPr>
              <w:adjustRightInd w:val="0"/>
              <w:snapToGrid w:val="0"/>
              <w:jc w:val="center"/>
              <w:rPr>
                <w:rFonts w:hint="eastAsia"/>
                <w:color w:val="000000"/>
                <w:sz w:val="21"/>
                <w:szCs w:val="21"/>
              </w:rPr>
            </w:pPr>
          </w:p>
        </w:tc>
      </w:tr>
      <w:tr w14:paraId="0D168A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43084A0">
            <w:pPr>
              <w:adjustRightInd w:val="0"/>
              <w:snapToGrid w:val="0"/>
              <w:jc w:val="center"/>
              <w:rPr>
                <w:rFonts w:hint="eastAsia"/>
                <w:color w:val="000000"/>
                <w:sz w:val="21"/>
                <w:szCs w:val="21"/>
              </w:rPr>
            </w:pPr>
            <w:r>
              <w:rPr>
                <w:sz w:val="21"/>
                <w:szCs w:val="21"/>
              </w:rPr>
              <w:t>1</w:t>
            </w:r>
            <w:r>
              <w:rPr>
                <w:rFonts w:hint="eastAsia"/>
                <w:sz w:val="21"/>
                <w:szCs w:val="21"/>
              </w:rPr>
              <w:t>7</w:t>
            </w:r>
          </w:p>
        </w:tc>
        <w:tc>
          <w:tcPr>
            <w:tcW w:w="1771" w:type="pct"/>
            <w:vAlign w:val="center"/>
          </w:tcPr>
          <w:p w14:paraId="745CBF92">
            <w:pPr>
              <w:spacing w:line="320" w:lineRule="exact"/>
              <w:rPr>
                <w:rFonts w:hint="eastAsia"/>
                <w:color w:val="000000"/>
                <w:sz w:val="21"/>
                <w:szCs w:val="21"/>
              </w:rPr>
            </w:pPr>
            <w:r>
              <w:rPr>
                <w:rFonts w:hint="eastAsia"/>
                <w:sz w:val="21"/>
                <w:szCs w:val="21"/>
              </w:rPr>
              <w:t>燃气蒸汽联合循环电厂科学划分爆炸危险区域，合理采取相应措施，确保防爆安全；合理按级选用防爆电气设备，保证安全运行。</w:t>
            </w:r>
          </w:p>
        </w:tc>
        <w:tc>
          <w:tcPr>
            <w:tcW w:w="1892" w:type="pct"/>
            <w:vAlign w:val="center"/>
          </w:tcPr>
          <w:p w14:paraId="252E2EE4">
            <w:pPr>
              <w:adjustRightInd w:val="0"/>
              <w:snapToGrid w:val="0"/>
              <w:rPr>
                <w:rFonts w:hint="eastAsia"/>
                <w:color w:val="000000"/>
                <w:sz w:val="21"/>
                <w:szCs w:val="21"/>
              </w:rPr>
            </w:pPr>
            <w:r>
              <w:rPr>
                <w:sz w:val="21"/>
                <w:szCs w:val="21"/>
              </w:rPr>
              <w:t>满足该项要求得1</w:t>
            </w:r>
            <w:r>
              <w:rPr>
                <w:rFonts w:hint="eastAsia"/>
                <w:sz w:val="21"/>
                <w:szCs w:val="21"/>
              </w:rPr>
              <w:t>分，不满足0分</w:t>
            </w:r>
          </w:p>
        </w:tc>
        <w:tc>
          <w:tcPr>
            <w:tcW w:w="484" w:type="pct"/>
            <w:vAlign w:val="center"/>
          </w:tcPr>
          <w:p w14:paraId="77C99533">
            <w:pPr>
              <w:adjustRightInd w:val="0"/>
              <w:snapToGrid w:val="0"/>
              <w:jc w:val="center"/>
              <w:rPr>
                <w:rFonts w:hint="eastAsia"/>
                <w:color w:val="000000"/>
                <w:sz w:val="21"/>
                <w:szCs w:val="21"/>
              </w:rPr>
            </w:pPr>
            <w:r>
              <w:rPr>
                <w:color w:val="000000"/>
                <w:sz w:val="21"/>
                <w:szCs w:val="21"/>
              </w:rPr>
              <w:t>1</w:t>
            </w:r>
          </w:p>
        </w:tc>
        <w:tc>
          <w:tcPr>
            <w:tcW w:w="488" w:type="pct"/>
            <w:vAlign w:val="center"/>
          </w:tcPr>
          <w:p w14:paraId="0B6DC476">
            <w:pPr>
              <w:adjustRightInd w:val="0"/>
              <w:snapToGrid w:val="0"/>
              <w:jc w:val="center"/>
              <w:rPr>
                <w:rFonts w:hint="eastAsia"/>
                <w:color w:val="000000"/>
                <w:sz w:val="21"/>
                <w:szCs w:val="21"/>
              </w:rPr>
            </w:pPr>
          </w:p>
        </w:tc>
      </w:tr>
      <w:tr w14:paraId="74951F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4DD934D">
            <w:pPr>
              <w:adjustRightInd w:val="0"/>
              <w:snapToGrid w:val="0"/>
              <w:jc w:val="center"/>
              <w:rPr>
                <w:rFonts w:hint="eastAsia"/>
                <w:color w:val="000000"/>
                <w:sz w:val="21"/>
                <w:szCs w:val="21"/>
              </w:rPr>
            </w:pPr>
            <w:r>
              <w:rPr>
                <w:rFonts w:hint="eastAsia"/>
                <w:sz w:val="21"/>
                <w:szCs w:val="21"/>
              </w:rPr>
              <w:t>18</w:t>
            </w:r>
          </w:p>
        </w:tc>
        <w:tc>
          <w:tcPr>
            <w:tcW w:w="1771" w:type="pct"/>
            <w:vAlign w:val="center"/>
          </w:tcPr>
          <w:p w14:paraId="3368B096">
            <w:pPr>
              <w:spacing w:line="320" w:lineRule="exact"/>
              <w:rPr>
                <w:rFonts w:hint="eastAsia"/>
                <w:color w:val="000000"/>
                <w:sz w:val="21"/>
                <w:szCs w:val="21"/>
              </w:rPr>
            </w:pPr>
            <w:r>
              <w:rPr>
                <w:rFonts w:hint="eastAsia"/>
                <w:sz w:val="21"/>
                <w:szCs w:val="21"/>
              </w:rPr>
              <w:t>垃圾发电厂环保工艺系统科学先进、成熟可靠，有效控制二噁英等有害气体对环境影响。</w:t>
            </w:r>
          </w:p>
        </w:tc>
        <w:tc>
          <w:tcPr>
            <w:tcW w:w="1892" w:type="pct"/>
            <w:vAlign w:val="center"/>
          </w:tcPr>
          <w:p w14:paraId="524B4C7F">
            <w:pPr>
              <w:adjustRightInd w:val="0"/>
              <w:snapToGrid w:val="0"/>
              <w:rPr>
                <w:rFonts w:hint="eastAsia"/>
                <w:color w:val="000000"/>
                <w:sz w:val="21"/>
                <w:szCs w:val="21"/>
              </w:rPr>
            </w:pPr>
            <w:r>
              <w:rPr>
                <w:sz w:val="21"/>
                <w:szCs w:val="21"/>
              </w:rPr>
              <w:t>满足该项要求得1</w:t>
            </w:r>
            <w:r>
              <w:rPr>
                <w:rFonts w:hint="eastAsia"/>
                <w:sz w:val="21"/>
                <w:szCs w:val="21"/>
              </w:rPr>
              <w:t>分，不满足0分</w:t>
            </w:r>
          </w:p>
        </w:tc>
        <w:tc>
          <w:tcPr>
            <w:tcW w:w="484" w:type="pct"/>
            <w:vAlign w:val="center"/>
          </w:tcPr>
          <w:p w14:paraId="2DC29475">
            <w:pPr>
              <w:adjustRightInd w:val="0"/>
              <w:snapToGrid w:val="0"/>
              <w:jc w:val="center"/>
              <w:rPr>
                <w:rFonts w:hint="eastAsia"/>
                <w:color w:val="000000"/>
                <w:sz w:val="21"/>
                <w:szCs w:val="21"/>
              </w:rPr>
            </w:pPr>
            <w:r>
              <w:rPr>
                <w:color w:val="000000"/>
                <w:sz w:val="21"/>
                <w:szCs w:val="21"/>
              </w:rPr>
              <w:t>1</w:t>
            </w:r>
          </w:p>
        </w:tc>
        <w:tc>
          <w:tcPr>
            <w:tcW w:w="488" w:type="pct"/>
            <w:vAlign w:val="center"/>
          </w:tcPr>
          <w:p w14:paraId="1CC60AB2">
            <w:pPr>
              <w:adjustRightInd w:val="0"/>
              <w:snapToGrid w:val="0"/>
              <w:jc w:val="center"/>
              <w:rPr>
                <w:rFonts w:hint="eastAsia"/>
                <w:color w:val="000000"/>
                <w:sz w:val="21"/>
                <w:szCs w:val="21"/>
              </w:rPr>
            </w:pPr>
          </w:p>
        </w:tc>
      </w:tr>
      <w:tr w14:paraId="6E6E45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7E0FE51">
            <w:pPr>
              <w:adjustRightInd w:val="0"/>
              <w:snapToGrid w:val="0"/>
              <w:jc w:val="center"/>
              <w:rPr>
                <w:rFonts w:hint="eastAsia"/>
                <w:color w:val="000000"/>
                <w:sz w:val="21"/>
                <w:szCs w:val="21"/>
              </w:rPr>
            </w:pPr>
            <w:r>
              <w:rPr>
                <w:rFonts w:hint="eastAsia"/>
                <w:sz w:val="21"/>
                <w:szCs w:val="21"/>
              </w:rPr>
              <w:t>19</w:t>
            </w:r>
          </w:p>
        </w:tc>
        <w:tc>
          <w:tcPr>
            <w:tcW w:w="1771" w:type="pct"/>
            <w:vAlign w:val="center"/>
          </w:tcPr>
          <w:p w14:paraId="2D892080">
            <w:pPr>
              <w:spacing w:line="320" w:lineRule="exact"/>
              <w:rPr>
                <w:rFonts w:hint="eastAsia"/>
                <w:color w:val="000000"/>
                <w:sz w:val="21"/>
                <w:szCs w:val="21"/>
              </w:rPr>
            </w:pPr>
            <w:r>
              <w:rPr>
                <w:sz w:val="21"/>
                <w:szCs w:val="21"/>
              </w:rPr>
              <w:t>生物质电厂物料输送系统技术先进，满足</w:t>
            </w:r>
            <w:r>
              <w:rPr>
                <w:rFonts w:hint="eastAsia"/>
                <w:sz w:val="21"/>
                <w:szCs w:val="21"/>
              </w:rPr>
              <w:t>电厂安全、稳定运行</w:t>
            </w:r>
            <w:r>
              <w:rPr>
                <w:sz w:val="21"/>
                <w:szCs w:val="21"/>
              </w:rPr>
              <w:t>。</w:t>
            </w:r>
          </w:p>
        </w:tc>
        <w:tc>
          <w:tcPr>
            <w:tcW w:w="1892" w:type="pct"/>
            <w:vAlign w:val="center"/>
          </w:tcPr>
          <w:p w14:paraId="00B09563">
            <w:pPr>
              <w:adjustRightInd w:val="0"/>
              <w:snapToGrid w:val="0"/>
              <w:rPr>
                <w:rFonts w:hint="eastAsia"/>
                <w:color w:val="000000"/>
                <w:sz w:val="21"/>
                <w:szCs w:val="21"/>
              </w:rPr>
            </w:pPr>
            <w:r>
              <w:rPr>
                <w:sz w:val="21"/>
                <w:szCs w:val="21"/>
              </w:rPr>
              <w:t>满足该项要求得1</w:t>
            </w:r>
            <w:r>
              <w:rPr>
                <w:rFonts w:hint="eastAsia"/>
                <w:sz w:val="21"/>
                <w:szCs w:val="21"/>
              </w:rPr>
              <w:t>分。</w:t>
            </w:r>
            <w:r>
              <w:rPr>
                <w:color w:val="000000"/>
                <w:sz w:val="21"/>
                <w:szCs w:val="21"/>
              </w:rPr>
              <w:t>综合评判</w:t>
            </w:r>
            <w:r>
              <w:rPr>
                <w:sz w:val="21"/>
                <w:szCs w:val="21"/>
              </w:rPr>
              <w:t>物料输送系统技术水平</w:t>
            </w:r>
            <w:r>
              <w:rPr>
                <w:color w:val="000000"/>
                <w:sz w:val="21"/>
                <w:szCs w:val="21"/>
              </w:rPr>
              <w:t>，酌情给予分值。</w:t>
            </w:r>
          </w:p>
        </w:tc>
        <w:tc>
          <w:tcPr>
            <w:tcW w:w="484" w:type="pct"/>
            <w:vAlign w:val="center"/>
          </w:tcPr>
          <w:p w14:paraId="115FA400">
            <w:pPr>
              <w:adjustRightInd w:val="0"/>
              <w:snapToGrid w:val="0"/>
              <w:jc w:val="center"/>
              <w:rPr>
                <w:rFonts w:hint="eastAsia"/>
                <w:color w:val="000000"/>
                <w:sz w:val="21"/>
                <w:szCs w:val="21"/>
              </w:rPr>
            </w:pPr>
            <w:r>
              <w:rPr>
                <w:color w:val="000000"/>
                <w:sz w:val="21"/>
                <w:szCs w:val="21"/>
              </w:rPr>
              <w:t>1</w:t>
            </w:r>
          </w:p>
        </w:tc>
        <w:tc>
          <w:tcPr>
            <w:tcW w:w="488" w:type="pct"/>
            <w:vAlign w:val="center"/>
          </w:tcPr>
          <w:p w14:paraId="1D234DD9">
            <w:pPr>
              <w:adjustRightInd w:val="0"/>
              <w:snapToGrid w:val="0"/>
              <w:jc w:val="center"/>
              <w:rPr>
                <w:rFonts w:hint="eastAsia"/>
                <w:color w:val="000000"/>
                <w:sz w:val="21"/>
                <w:szCs w:val="21"/>
              </w:rPr>
            </w:pPr>
          </w:p>
        </w:tc>
      </w:tr>
      <w:tr w14:paraId="2459BE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76D2285">
            <w:pPr>
              <w:adjustRightInd w:val="0"/>
              <w:snapToGrid w:val="0"/>
              <w:jc w:val="center"/>
              <w:rPr>
                <w:rFonts w:hint="eastAsia"/>
                <w:color w:val="000000"/>
                <w:sz w:val="21"/>
                <w:szCs w:val="21"/>
              </w:rPr>
            </w:pPr>
            <w:r>
              <w:rPr>
                <w:rFonts w:hint="eastAsia"/>
                <w:b/>
                <w:bCs/>
                <w:color w:val="000000"/>
                <w:sz w:val="21"/>
                <w:szCs w:val="21"/>
              </w:rPr>
              <w:t>5.1.2</w:t>
            </w:r>
          </w:p>
        </w:tc>
        <w:tc>
          <w:tcPr>
            <w:tcW w:w="1771" w:type="pct"/>
            <w:vAlign w:val="center"/>
          </w:tcPr>
          <w:p w14:paraId="50D21079">
            <w:pPr>
              <w:spacing w:line="320" w:lineRule="exact"/>
              <w:rPr>
                <w:rFonts w:hint="eastAsia"/>
                <w:sz w:val="21"/>
                <w:szCs w:val="21"/>
              </w:rPr>
            </w:pPr>
            <w:r>
              <w:rPr>
                <w:rFonts w:hint="eastAsia"/>
                <w:b/>
                <w:bCs/>
                <w:color w:val="000000"/>
                <w:sz w:val="21"/>
                <w:szCs w:val="21"/>
              </w:rPr>
              <w:t>资源节约</w:t>
            </w:r>
          </w:p>
        </w:tc>
        <w:tc>
          <w:tcPr>
            <w:tcW w:w="1892" w:type="pct"/>
            <w:vAlign w:val="center"/>
          </w:tcPr>
          <w:p w14:paraId="25CEC8BA">
            <w:pPr>
              <w:adjustRightInd w:val="0"/>
              <w:snapToGrid w:val="0"/>
              <w:rPr>
                <w:rFonts w:hint="eastAsia"/>
                <w:color w:val="000000"/>
                <w:sz w:val="21"/>
                <w:szCs w:val="21"/>
              </w:rPr>
            </w:pPr>
          </w:p>
        </w:tc>
        <w:tc>
          <w:tcPr>
            <w:tcW w:w="484" w:type="pct"/>
            <w:vAlign w:val="center"/>
          </w:tcPr>
          <w:p w14:paraId="08F74816">
            <w:pPr>
              <w:adjustRightInd w:val="0"/>
              <w:snapToGrid w:val="0"/>
              <w:jc w:val="center"/>
              <w:rPr>
                <w:rFonts w:hint="eastAsia"/>
                <w:color w:val="000000"/>
                <w:sz w:val="21"/>
                <w:szCs w:val="21"/>
              </w:rPr>
            </w:pPr>
            <w:r>
              <w:rPr>
                <w:rFonts w:hint="eastAsia"/>
                <w:color w:val="000000"/>
                <w:sz w:val="21"/>
                <w:szCs w:val="21"/>
              </w:rPr>
              <w:t>15</w:t>
            </w:r>
          </w:p>
        </w:tc>
        <w:tc>
          <w:tcPr>
            <w:tcW w:w="488" w:type="pct"/>
            <w:vAlign w:val="center"/>
          </w:tcPr>
          <w:p w14:paraId="11953688">
            <w:pPr>
              <w:adjustRightInd w:val="0"/>
              <w:snapToGrid w:val="0"/>
              <w:jc w:val="center"/>
              <w:rPr>
                <w:rFonts w:hint="eastAsia"/>
                <w:color w:val="000000"/>
                <w:sz w:val="21"/>
                <w:szCs w:val="21"/>
              </w:rPr>
            </w:pPr>
          </w:p>
        </w:tc>
      </w:tr>
      <w:tr w14:paraId="35A937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1E5461E">
            <w:pPr>
              <w:adjustRightInd w:val="0"/>
              <w:snapToGrid w:val="0"/>
              <w:jc w:val="center"/>
              <w:rPr>
                <w:rFonts w:hint="eastAsia"/>
                <w:color w:val="000000"/>
                <w:sz w:val="21"/>
                <w:szCs w:val="21"/>
              </w:rPr>
            </w:pPr>
            <w:r>
              <w:rPr>
                <w:sz w:val="21"/>
                <w:szCs w:val="21"/>
              </w:rPr>
              <w:t>1</w:t>
            </w:r>
          </w:p>
        </w:tc>
        <w:tc>
          <w:tcPr>
            <w:tcW w:w="1771" w:type="pct"/>
            <w:vAlign w:val="center"/>
          </w:tcPr>
          <w:p w14:paraId="73BFB9B2">
            <w:pPr>
              <w:spacing w:line="320" w:lineRule="exact"/>
              <w:rPr>
                <w:rFonts w:hint="eastAsia"/>
                <w:color w:val="000000"/>
                <w:sz w:val="21"/>
                <w:szCs w:val="21"/>
              </w:rPr>
            </w:pPr>
            <w:r>
              <w:rPr>
                <w:rFonts w:hint="eastAsia"/>
                <w:sz w:val="21"/>
                <w:szCs w:val="21"/>
              </w:rPr>
              <w:t>厂址选择符合国土空间规划，全厂总体规划布局合理，不占用基本农田，利用未利用土地和建设用地。</w:t>
            </w:r>
          </w:p>
        </w:tc>
        <w:tc>
          <w:tcPr>
            <w:tcW w:w="1892" w:type="pct"/>
            <w:vAlign w:val="center"/>
          </w:tcPr>
          <w:p w14:paraId="1D43E8D6">
            <w:pPr>
              <w:adjustRightInd w:val="0"/>
              <w:snapToGrid w:val="0"/>
              <w:rPr>
                <w:rFonts w:hint="eastAsia"/>
                <w:color w:val="000000"/>
                <w:sz w:val="21"/>
                <w:szCs w:val="21"/>
              </w:rPr>
            </w:pPr>
            <w:r>
              <w:rPr>
                <w:rFonts w:hint="eastAsia"/>
                <w:sz w:val="21"/>
                <w:szCs w:val="21"/>
              </w:rPr>
              <w:t>厂址位置符合国土空间规划得0</w:t>
            </w:r>
            <w:r>
              <w:rPr>
                <w:sz w:val="21"/>
                <w:szCs w:val="21"/>
              </w:rPr>
              <w:t>.25分</w:t>
            </w:r>
            <w:r>
              <w:rPr>
                <w:rFonts w:hint="eastAsia"/>
                <w:sz w:val="21"/>
                <w:szCs w:val="21"/>
              </w:rPr>
              <w:t>，全厂总体规划布局合理，不占用基本农田，利用未利用土地和建设用地得0</w:t>
            </w:r>
            <w:r>
              <w:rPr>
                <w:sz w:val="21"/>
                <w:szCs w:val="21"/>
              </w:rPr>
              <w:t>.25分。</w:t>
            </w:r>
          </w:p>
        </w:tc>
        <w:tc>
          <w:tcPr>
            <w:tcW w:w="484" w:type="pct"/>
            <w:vAlign w:val="center"/>
          </w:tcPr>
          <w:p w14:paraId="5148274B">
            <w:pPr>
              <w:adjustRightInd w:val="0"/>
              <w:snapToGrid w:val="0"/>
              <w:jc w:val="center"/>
              <w:rPr>
                <w:rFonts w:hint="eastAsia"/>
                <w:color w:val="000000"/>
                <w:sz w:val="21"/>
                <w:szCs w:val="21"/>
              </w:rPr>
            </w:pPr>
            <w:r>
              <w:rPr>
                <w:rFonts w:hint="eastAsia"/>
                <w:color w:val="000000"/>
                <w:sz w:val="21"/>
                <w:szCs w:val="21"/>
              </w:rPr>
              <w:t>0</w:t>
            </w:r>
            <w:r>
              <w:rPr>
                <w:color w:val="000000"/>
                <w:sz w:val="21"/>
                <w:szCs w:val="21"/>
              </w:rPr>
              <w:t>.5</w:t>
            </w:r>
          </w:p>
        </w:tc>
        <w:tc>
          <w:tcPr>
            <w:tcW w:w="488" w:type="pct"/>
            <w:vAlign w:val="center"/>
          </w:tcPr>
          <w:p w14:paraId="58184202">
            <w:pPr>
              <w:adjustRightInd w:val="0"/>
              <w:snapToGrid w:val="0"/>
              <w:jc w:val="center"/>
              <w:rPr>
                <w:rFonts w:hint="eastAsia"/>
                <w:color w:val="000000"/>
                <w:sz w:val="21"/>
                <w:szCs w:val="21"/>
              </w:rPr>
            </w:pPr>
          </w:p>
        </w:tc>
      </w:tr>
      <w:tr w14:paraId="32CF8A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7CE4442">
            <w:pPr>
              <w:adjustRightInd w:val="0"/>
              <w:snapToGrid w:val="0"/>
              <w:jc w:val="center"/>
              <w:rPr>
                <w:rFonts w:hint="eastAsia"/>
                <w:color w:val="000000"/>
                <w:sz w:val="21"/>
                <w:szCs w:val="21"/>
              </w:rPr>
            </w:pPr>
            <w:r>
              <w:rPr>
                <w:sz w:val="21"/>
                <w:szCs w:val="21"/>
              </w:rPr>
              <w:t>2</w:t>
            </w:r>
          </w:p>
        </w:tc>
        <w:tc>
          <w:tcPr>
            <w:tcW w:w="1771" w:type="pct"/>
            <w:vAlign w:val="center"/>
          </w:tcPr>
          <w:p w14:paraId="7F1D65D3">
            <w:pPr>
              <w:spacing w:line="320" w:lineRule="exact"/>
              <w:rPr>
                <w:rFonts w:hint="eastAsia"/>
                <w:color w:val="000000"/>
                <w:sz w:val="21"/>
                <w:szCs w:val="21"/>
              </w:rPr>
            </w:pPr>
            <w:r>
              <w:rPr>
                <w:rFonts w:hint="eastAsia"/>
                <w:sz w:val="21"/>
                <w:szCs w:val="21"/>
              </w:rPr>
              <w:t>厂区总平面布置紧凑，功能分区科学，用地指标先进，土地利用率高。</w:t>
            </w:r>
          </w:p>
        </w:tc>
        <w:tc>
          <w:tcPr>
            <w:tcW w:w="1892" w:type="pct"/>
            <w:vAlign w:val="center"/>
          </w:tcPr>
          <w:p w14:paraId="25D8454B">
            <w:pPr>
              <w:adjustRightInd w:val="0"/>
              <w:snapToGrid w:val="0"/>
              <w:rPr>
                <w:rFonts w:hint="eastAsia"/>
                <w:color w:val="000000"/>
                <w:sz w:val="21"/>
                <w:szCs w:val="21"/>
              </w:rPr>
            </w:pPr>
            <w:r>
              <w:rPr>
                <w:rFonts w:hint="eastAsia"/>
                <w:sz w:val="21"/>
                <w:szCs w:val="21"/>
              </w:rPr>
              <w:t>厂区总平面布置紧凑，功能分区科学合理得0</w:t>
            </w:r>
            <w:r>
              <w:rPr>
                <w:sz w:val="21"/>
                <w:szCs w:val="21"/>
              </w:rPr>
              <w:t>.5分</w:t>
            </w:r>
            <w:r>
              <w:rPr>
                <w:rFonts w:hint="eastAsia"/>
                <w:sz w:val="21"/>
                <w:szCs w:val="21"/>
              </w:rPr>
              <w:t>，厂区用地指标先进，低于行业、地方用地指标规定值，土地利用率高得0</w:t>
            </w:r>
            <w:r>
              <w:rPr>
                <w:sz w:val="21"/>
                <w:szCs w:val="21"/>
              </w:rPr>
              <w:t>.5分</w:t>
            </w:r>
            <w:r>
              <w:rPr>
                <w:rFonts w:hint="eastAsia"/>
                <w:sz w:val="21"/>
                <w:szCs w:val="21"/>
              </w:rPr>
              <w:t>。</w:t>
            </w:r>
            <w:r>
              <w:rPr>
                <w:color w:val="000000"/>
                <w:sz w:val="21"/>
                <w:szCs w:val="21"/>
              </w:rPr>
              <w:t>综合评判各项，酌情给予分值。</w:t>
            </w:r>
          </w:p>
        </w:tc>
        <w:tc>
          <w:tcPr>
            <w:tcW w:w="484" w:type="pct"/>
            <w:vAlign w:val="center"/>
          </w:tcPr>
          <w:p w14:paraId="74E7089D">
            <w:pPr>
              <w:adjustRightInd w:val="0"/>
              <w:snapToGrid w:val="0"/>
              <w:jc w:val="center"/>
              <w:rPr>
                <w:rFonts w:hint="eastAsia"/>
                <w:color w:val="000000"/>
                <w:sz w:val="21"/>
                <w:szCs w:val="21"/>
              </w:rPr>
            </w:pPr>
            <w:r>
              <w:rPr>
                <w:color w:val="000000"/>
                <w:sz w:val="21"/>
                <w:szCs w:val="21"/>
              </w:rPr>
              <w:t>1.0</w:t>
            </w:r>
          </w:p>
        </w:tc>
        <w:tc>
          <w:tcPr>
            <w:tcW w:w="488" w:type="pct"/>
            <w:vAlign w:val="center"/>
          </w:tcPr>
          <w:p w14:paraId="5E425BFB">
            <w:pPr>
              <w:adjustRightInd w:val="0"/>
              <w:snapToGrid w:val="0"/>
              <w:jc w:val="center"/>
              <w:rPr>
                <w:rFonts w:hint="eastAsia"/>
                <w:color w:val="000000"/>
                <w:sz w:val="21"/>
                <w:szCs w:val="21"/>
              </w:rPr>
            </w:pPr>
          </w:p>
        </w:tc>
      </w:tr>
      <w:tr w14:paraId="14A6E7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EF65E9C">
            <w:pPr>
              <w:adjustRightInd w:val="0"/>
              <w:snapToGrid w:val="0"/>
              <w:jc w:val="center"/>
              <w:rPr>
                <w:rFonts w:hint="eastAsia"/>
                <w:color w:val="000000"/>
                <w:sz w:val="21"/>
                <w:szCs w:val="21"/>
              </w:rPr>
            </w:pPr>
            <w:r>
              <w:rPr>
                <w:sz w:val="21"/>
                <w:szCs w:val="21"/>
              </w:rPr>
              <w:t>3</w:t>
            </w:r>
          </w:p>
        </w:tc>
        <w:tc>
          <w:tcPr>
            <w:tcW w:w="1771" w:type="pct"/>
            <w:vAlign w:val="center"/>
          </w:tcPr>
          <w:p w14:paraId="2C985F77">
            <w:pPr>
              <w:spacing w:line="320" w:lineRule="exact"/>
              <w:rPr>
                <w:rFonts w:hint="eastAsia"/>
                <w:color w:val="000000"/>
                <w:sz w:val="21"/>
                <w:szCs w:val="21"/>
              </w:rPr>
            </w:pPr>
            <w:r>
              <w:rPr>
                <w:sz w:val="21"/>
                <w:szCs w:val="21"/>
              </w:rPr>
              <w:t>采用节约</w:t>
            </w:r>
            <w:r>
              <w:rPr>
                <w:rFonts w:hint="eastAsia"/>
                <w:sz w:val="21"/>
                <w:szCs w:val="21"/>
              </w:rPr>
              <w:t>用</w:t>
            </w:r>
            <w:r>
              <w:rPr>
                <w:sz w:val="21"/>
                <w:szCs w:val="21"/>
              </w:rPr>
              <w:t>地的新</w:t>
            </w:r>
            <w:r>
              <w:rPr>
                <w:rFonts w:hint="eastAsia"/>
                <w:sz w:val="21"/>
                <w:szCs w:val="21"/>
              </w:rPr>
              <w:t>技术、新</w:t>
            </w:r>
            <w:r>
              <w:rPr>
                <w:sz w:val="21"/>
                <w:szCs w:val="21"/>
              </w:rPr>
              <w:t>工艺，优化工艺系统，合理压缩各车间用地面积。</w:t>
            </w:r>
          </w:p>
        </w:tc>
        <w:tc>
          <w:tcPr>
            <w:tcW w:w="1892" w:type="pct"/>
            <w:vAlign w:val="center"/>
          </w:tcPr>
          <w:p w14:paraId="6C931512">
            <w:pPr>
              <w:adjustRightInd w:val="0"/>
              <w:snapToGrid w:val="0"/>
              <w:rPr>
                <w:rFonts w:hint="eastAsia"/>
                <w:color w:val="000000"/>
                <w:sz w:val="21"/>
                <w:szCs w:val="21"/>
              </w:rPr>
            </w:pPr>
            <w:r>
              <w:rPr>
                <w:sz w:val="21"/>
                <w:szCs w:val="21"/>
              </w:rPr>
              <w:t>采用节约</w:t>
            </w:r>
            <w:r>
              <w:rPr>
                <w:rFonts w:hint="eastAsia"/>
                <w:sz w:val="21"/>
                <w:szCs w:val="21"/>
              </w:rPr>
              <w:t>用</w:t>
            </w:r>
            <w:r>
              <w:rPr>
                <w:sz w:val="21"/>
                <w:szCs w:val="21"/>
              </w:rPr>
              <w:t>地的新</w:t>
            </w:r>
            <w:r>
              <w:rPr>
                <w:rFonts w:hint="eastAsia"/>
                <w:sz w:val="21"/>
                <w:szCs w:val="21"/>
              </w:rPr>
              <w:t>技术、新</w:t>
            </w:r>
            <w:r>
              <w:rPr>
                <w:sz w:val="21"/>
                <w:szCs w:val="21"/>
              </w:rPr>
              <w:t>工艺得</w:t>
            </w:r>
            <w:r>
              <w:rPr>
                <w:rFonts w:hint="eastAsia"/>
                <w:sz w:val="21"/>
                <w:szCs w:val="21"/>
              </w:rPr>
              <w:t>0</w:t>
            </w:r>
            <w:r>
              <w:rPr>
                <w:sz w:val="21"/>
                <w:szCs w:val="21"/>
              </w:rPr>
              <w:t>.4分；优化工艺系统，合理压缩各车间用地面积得</w:t>
            </w:r>
            <w:r>
              <w:rPr>
                <w:rFonts w:hint="eastAsia"/>
                <w:sz w:val="21"/>
                <w:szCs w:val="21"/>
              </w:rPr>
              <w:t>0</w:t>
            </w:r>
            <w:r>
              <w:rPr>
                <w:sz w:val="21"/>
                <w:szCs w:val="21"/>
              </w:rPr>
              <w:t>.4分。</w:t>
            </w:r>
            <w:r>
              <w:rPr>
                <w:color w:val="000000"/>
                <w:sz w:val="21"/>
                <w:szCs w:val="21"/>
              </w:rPr>
              <w:t>综合评判各项，酌情给予分值。</w:t>
            </w:r>
          </w:p>
        </w:tc>
        <w:tc>
          <w:tcPr>
            <w:tcW w:w="484" w:type="pct"/>
            <w:vAlign w:val="center"/>
          </w:tcPr>
          <w:p w14:paraId="619C4042">
            <w:pPr>
              <w:adjustRightInd w:val="0"/>
              <w:snapToGrid w:val="0"/>
              <w:jc w:val="center"/>
              <w:rPr>
                <w:rFonts w:hint="eastAsia"/>
                <w:color w:val="000000"/>
                <w:sz w:val="21"/>
                <w:szCs w:val="21"/>
              </w:rPr>
            </w:pPr>
            <w:r>
              <w:rPr>
                <w:color w:val="000000"/>
                <w:sz w:val="21"/>
                <w:szCs w:val="21"/>
              </w:rPr>
              <w:t>0.8</w:t>
            </w:r>
          </w:p>
        </w:tc>
        <w:tc>
          <w:tcPr>
            <w:tcW w:w="488" w:type="pct"/>
            <w:vAlign w:val="center"/>
          </w:tcPr>
          <w:p w14:paraId="425A1365">
            <w:pPr>
              <w:adjustRightInd w:val="0"/>
              <w:snapToGrid w:val="0"/>
              <w:jc w:val="center"/>
              <w:rPr>
                <w:rFonts w:hint="eastAsia"/>
                <w:color w:val="000000"/>
                <w:sz w:val="21"/>
                <w:szCs w:val="21"/>
              </w:rPr>
            </w:pPr>
          </w:p>
        </w:tc>
      </w:tr>
      <w:tr w14:paraId="63C808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206437B">
            <w:pPr>
              <w:adjustRightInd w:val="0"/>
              <w:snapToGrid w:val="0"/>
              <w:jc w:val="center"/>
              <w:rPr>
                <w:rFonts w:hint="eastAsia"/>
                <w:color w:val="000000"/>
                <w:sz w:val="21"/>
                <w:szCs w:val="21"/>
              </w:rPr>
            </w:pPr>
            <w:r>
              <w:rPr>
                <w:sz w:val="21"/>
                <w:szCs w:val="21"/>
              </w:rPr>
              <w:t>4</w:t>
            </w:r>
          </w:p>
        </w:tc>
        <w:tc>
          <w:tcPr>
            <w:tcW w:w="1771" w:type="pct"/>
            <w:vAlign w:val="center"/>
          </w:tcPr>
          <w:p w14:paraId="2557B315">
            <w:pPr>
              <w:spacing w:line="320" w:lineRule="exact"/>
              <w:rPr>
                <w:rFonts w:hint="eastAsia"/>
                <w:color w:val="000000"/>
                <w:sz w:val="21"/>
                <w:szCs w:val="21"/>
              </w:rPr>
            </w:pPr>
            <w:r>
              <w:rPr>
                <w:sz w:val="21"/>
                <w:szCs w:val="21"/>
              </w:rPr>
              <w:t>建筑物布置简约、集约，扩大联合。性质和功能相同或相近的建（构）筑物采用联合建筑，永久建筑和临时建筑结合，节约用地。</w:t>
            </w:r>
          </w:p>
        </w:tc>
        <w:tc>
          <w:tcPr>
            <w:tcW w:w="1892" w:type="pct"/>
            <w:vAlign w:val="center"/>
          </w:tcPr>
          <w:p w14:paraId="307DE799">
            <w:pPr>
              <w:adjustRightInd w:val="0"/>
              <w:snapToGrid w:val="0"/>
              <w:rPr>
                <w:rFonts w:hint="eastAsia"/>
                <w:color w:val="000000"/>
                <w:sz w:val="21"/>
                <w:szCs w:val="21"/>
              </w:rPr>
            </w:pPr>
            <w:r>
              <w:rPr>
                <w:sz w:val="21"/>
                <w:szCs w:val="21"/>
              </w:rPr>
              <w:t>建筑物布置简约、集约，性质和功能相同或相近的建（构）筑物采用联合建筑得</w:t>
            </w:r>
            <w:r>
              <w:rPr>
                <w:rFonts w:hint="eastAsia"/>
                <w:sz w:val="21"/>
                <w:szCs w:val="21"/>
              </w:rPr>
              <w:t>0</w:t>
            </w:r>
            <w:r>
              <w:rPr>
                <w:sz w:val="21"/>
                <w:szCs w:val="21"/>
              </w:rPr>
              <w:t>.4分，永久建筑和临时建筑结合得</w:t>
            </w:r>
            <w:r>
              <w:rPr>
                <w:rFonts w:hint="eastAsia"/>
                <w:sz w:val="21"/>
                <w:szCs w:val="21"/>
              </w:rPr>
              <w:t>0</w:t>
            </w:r>
            <w:r>
              <w:rPr>
                <w:sz w:val="21"/>
                <w:szCs w:val="21"/>
              </w:rPr>
              <w:t>.3分。</w:t>
            </w:r>
            <w:r>
              <w:rPr>
                <w:color w:val="000000"/>
                <w:sz w:val="21"/>
                <w:szCs w:val="21"/>
              </w:rPr>
              <w:t>综合评判各项，酌情给予分值。</w:t>
            </w:r>
          </w:p>
        </w:tc>
        <w:tc>
          <w:tcPr>
            <w:tcW w:w="484" w:type="pct"/>
            <w:vAlign w:val="center"/>
          </w:tcPr>
          <w:p w14:paraId="692AB08C">
            <w:pPr>
              <w:adjustRightInd w:val="0"/>
              <w:snapToGrid w:val="0"/>
              <w:jc w:val="center"/>
              <w:rPr>
                <w:rFonts w:hint="eastAsia"/>
                <w:color w:val="000000"/>
                <w:sz w:val="21"/>
                <w:szCs w:val="21"/>
              </w:rPr>
            </w:pPr>
            <w:r>
              <w:rPr>
                <w:rFonts w:hint="eastAsia"/>
                <w:color w:val="000000"/>
                <w:sz w:val="21"/>
                <w:szCs w:val="21"/>
              </w:rPr>
              <w:t>0</w:t>
            </w:r>
            <w:r>
              <w:rPr>
                <w:color w:val="000000"/>
                <w:sz w:val="21"/>
                <w:szCs w:val="21"/>
              </w:rPr>
              <w:t>.7</w:t>
            </w:r>
          </w:p>
        </w:tc>
        <w:tc>
          <w:tcPr>
            <w:tcW w:w="488" w:type="pct"/>
            <w:vAlign w:val="center"/>
          </w:tcPr>
          <w:p w14:paraId="25C3CE24">
            <w:pPr>
              <w:adjustRightInd w:val="0"/>
              <w:snapToGrid w:val="0"/>
              <w:jc w:val="center"/>
              <w:rPr>
                <w:rFonts w:hint="eastAsia"/>
                <w:color w:val="000000"/>
                <w:sz w:val="21"/>
                <w:szCs w:val="21"/>
              </w:rPr>
            </w:pPr>
          </w:p>
        </w:tc>
      </w:tr>
      <w:tr w14:paraId="52E9A9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BF742A5">
            <w:pPr>
              <w:adjustRightInd w:val="0"/>
              <w:snapToGrid w:val="0"/>
              <w:jc w:val="center"/>
              <w:rPr>
                <w:rFonts w:hint="eastAsia"/>
                <w:color w:val="000000"/>
                <w:sz w:val="21"/>
                <w:szCs w:val="21"/>
              </w:rPr>
            </w:pPr>
            <w:r>
              <w:rPr>
                <w:sz w:val="21"/>
                <w:szCs w:val="21"/>
              </w:rPr>
              <w:t>5</w:t>
            </w:r>
          </w:p>
        </w:tc>
        <w:tc>
          <w:tcPr>
            <w:tcW w:w="1771" w:type="pct"/>
            <w:vAlign w:val="center"/>
          </w:tcPr>
          <w:p w14:paraId="27C464A6">
            <w:pPr>
              <w:spacing w:line="320" w:lineRule="exact"/>
              <w:rPr>
                <w:rFonts w:hint="eastAsia"/>
                <w:color w:val="000000"/>
                <w:sz w:val="21"/>
                <w:szCs w:val="21"/>
              </w:rPr>
            </w:pPr>
            <w:r>
              <w:rPr>
                <w:sz w:val="21"/>
                <w:szCs w:val="21"/>
              </w:rPr>
              <w:t>合理控制道路、广场及管线用地。</w:t>
            </w:r>
          </w:p>
        </w:tc>
        <w:tc>
          <w:tcPr>
            <w:tcW w:w="1892" w:type="pct"/>
            <w:vAlign w:val="center"/>
          </w:tcPr>
          <w:p w14:paraId="3455EA54">
            <w:pPr>
              <w:adjustRightInd w:val="0"/>
              <w:snapToGrid w:val="0"/>
              <w:rPr>
                <w:rFonts w:hint="eastAsia"/>
                <w:color w:val="000000"/>
                <w:sz w:val="21"/>
                <w:szCs w:val="21"/>
              </w:rPr>
            </w:pPr>
            <w:r>
              <w:rPr>
                <w:color w:val="000000"/>
                <w:sz w:val="21"/>
                <w:szCs w:val="21"/>
              </w:rPr>
              <w:t>道路、广场用地面积控制在规范、规定要求范围内得</w:t>
            </w:r>
            <w:r>
              <w:rPr>
                <w:rFonts w:hint="eastAsia"/>
                <w:color w:val="000000"/>
                <w:sz w:val="21"/>
                <w:szCs w:val="21"/>
              </w:rPr>
              <w:t>0</w:t>
            </w:r>
            <w:r>
              <w:rPr>
                <w:color w:val="000000"/>
                <w:sz w:val="21"/>
                <w:szCs w:val="21"/>
              </w:rPr>
              <w:t>.3分，管线采用综合管架敷设或集中统一布置得</w:t>
            </w:r>
            <w:r>
              <w:rPr>
                <w:rFonts w:hint="eastAsia"/>
                <w:color w:val="000000"/>
                <w:sz w:val="21"/>
                <w:szCs w:val="21"/>
              </w:rPr>
              <w:t>0</w:t>
            </w:r>
            <w:r>
              <w:rPr>
                <w:color w:val="000000"/>
                <w:sz w:val="21"/>
                <w:szCs w:val="21"/>
              </w:rPr>
              <w:t>.2分。综合评判各项，酌情给予分值。</w:t>
            </w:r>
          </w:p>
        </w:tc>
        <w:tc>
          <w:tcPr>
            <w:tcW w:w="484" w:type="pct"/>
            <w:vAlign w:val="center"/>
          </w:tcPr>
          <w:p w14:paraId="5F0B70EE">
            <w:pPr>
              <w:adjustRightInd w:val="0"/>
              <w:snapToGrid w:val="0"/>
              <w:jc w:val="center"/>
              <w:rPr>
                <w:rFonts w:hint="eastAsia"/>
                <w:color w:val="000000"/>
                <w:sz w:val="21"/>
                <w:szCs w:val="21"/>
              </w:rPr>
            </w:pPr>
            <w:r>
              <w:rPr>
                <w:rFonts w:hint="eastAsia"/>
                <w:color w:val="000000"/>
                <w:sz w:val="21"/>
                <w:szCs w:val="21"/>
              </w:rPr>
              <w:t>0</w:t>
            </w:r>
            <w:r>
              <w:rPr>
                <w:color w:val="000000"/>
                <w:sz w:val="21"/>
                <w:szCs w:val="21"/>
              </w:rPr>
              <w:t>.5</w:t>
            </w:r>
          </w:p>
        </w:tc>
        <w:tc>
          <w:tcPr>
            <w:tcW w:w="488" w:type="pct"/>
            <w:vAlign w:val="center"/>
          </w:tcPr>
          <w:p w14:paraId="54F84130">
            <w:pPr>
              <w:adjustRightInd w:val="0"/>
              <w:snapToGrid w:val="0"/>
              <w:jc w:val="center"/>
              <w:rPr>
                <w:rFonts w:hint="eastAsia"/>
                <w:color w:val="000000"/>
                <w:sz w:val="21"/>
                <w:szCs w:val="21"/>
              </w:rPr>
            </w:pPr>
          </w:p>
        </w:tc>
      </w:tr>
      <w:tr w14:paraId="547869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9149B86">
            <w:pPr>
              <w:adjustRightInd w:val="0"/>
              <w:snapToGrid w:val="0"/>
              <w:jc w:val="center"/>
              <w:rPr>
                <w:rFonts w:hint="eastAsia"/>
                <w:color w:val="000000"/>
                <w:sz w:val="21"/>
                <w:szCs w:val="21"/>
              </w:rPr>
            </w:pPr>
            <w:r>
              <w:rPr>
                <w:sz w:val="21"/>
                <w:szCs w:val="21"/>
              </w:rPr>
              <w:t>6</w:t>
            </w:r>
          </w:p>
        </w:tc>
        <w:tc>
          <w:tcPr>
            <w:tcW w:w="1771" w:type="pct"/>
            <w:vAlign w:val="center"/>
          </w:tcPr>
          <w:p w14:paraId="569F4BFB">
            <w:pPr>
              <w:spacing w:line="320" w:lineRule="exact"/>
              <w:rPr>
                <w:rFonts w:hint="eastAsia"/>
                <w:color w:val="000000"/>
                <w:sz w:val="21"/>
                <w:szCs w:val="21"/>
              </w:rPr>
            </w:pPr>
            <w:r>
              <w:rPr>
                <w:rFonts w:hint="eastAsia"/>
                <w:sz w:val="21"/>
                <w:szCs w:val="21"/>
              </w:rPr>
              <w:t>改扩建项目充分利用和改造既有设施和建筑，充分利用厂区内空地，减少新增用地。</w:t>
            </w:r>
          </w:p>
        </w:tc>
        <w:tc>
          <w:tcPr>
            <w:tcW w:w="1892" w:type="pct"/>
            <w:vAlign w:val="center"/>
          </w:tcPr>
          <w:p w14:paraId="3832B007">
            <w:pPr>
              <w:adjustRightInd w:val="0"/>
              <w:snapToGrid w:val="0"/>
              <w:rPr>
                <w:rFonts w:hint="eastAsia"/>
                <w:color w:val="000000"/>
                <w:sz w:val="21"/>
                <w:szCs w:val="21"/>
              </w:rPr>
            </w:pPr>
            <w:r>
              <w:rPr>
                <w:rFonts w:hint="eastAsia"/>
                <w:sz w:val="21"/>
                <w:szCs w:val="21"/>
              </w:rPr>
              <w:t>改扩建项目充分利用和改造既有设施和建筑，充分利用厂区内空地得0</w:t>
            </w:r>
            <w:r>
              <w:rPr>
                <w:sz w:val="21"/>
                <w:szCs w:val="21"/>
              </w:rPr>
              <w:t>.5分，</w:t>
            </w:r>
            <w:r>
              <w:rPr>
                <w:color w:val="000000"/>
                <w:sz w:val="21"/>
                <w:szCs w:val="21"/>
              </w:rPr>
              <w:t>综合评判各项，酌情给予分值。</w:t>
            </w:r>
          </w:p>
        </w:tc>
        <w:tc>
          <w:tcPr>
            <w:tcW w:w="484" w:type="pct"/>
            <w:vAlign w:val="center"/>
          </w:tcPr>
          <w:p w14:paraId="0B97E033">
            <w:pPr>
              <w:adjustRightInd w:val="0"/>
              <w:snapToGrid w:val="0"/>
              <w:jc w:val="center"/>
              <w:rPr>
                <w:rFonts w:hint="eastAsia"/>
                <w:color w:val="000000"/>
                <w:sz w:val="21"/>
                <w:szCs w:val="21"/>
              </w:rPr>
            </w:pPr>
            <w:r>
              <w:rPr>
                <w:rFonts w:hint="eastAsia"/>
                <w:color w:val="000000"/>
                <w:sz w:val="21"/>
                <w:szCs w:val="21"/>
              </w:rPr>
              <w:t>0</w:t>
            </w:r>
            <w:r>
              <w:rPr>
                <w:color w:val="000000"/>
                <w:sz w:val="21"/>
                <w:szCs w:val="21"/>
              </w:rPr>
              <w:t>.5</w:t>
            </w:r>
          </w:p>
        </w:tc>
        <w:tc>
          <w:tcPr>
            <w:tcW w:w="488" w:type="pct"/>
            <w:vAlign w:val="center"/>
          </w:tcPr>
          <w:p w14:paraId="5C80CE55">
            <w:pPr>
              <w:adjustRightInd w:val="0"/>
              <w:snapToGrid w:val="0"/>
              <w:jc w:val="center"/>
              <w:rPr>
                <w:rFonts w:hint="eastAsia"/>
                <w:color w:val="000000"/>
                <w:sz w:val="21"/>
                <w:szCs w:val="21"/>
              </w:rPr>
            </w:pPr>
          </w:p>
        </w:tc>
      </w:tr>
      <w:tr w14:paraId="3306DF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A740614">
            <w:pPr>
              <w:adjustRightInd w:val="0"/>
              <w:snapToGrid w:val="0"/>
              <w:jc w:val="center"/>
              <w:rPr>
                <w:rFonts w:hint="eastAsia"/>
                <w:color w:val="000000"/>
                <w:sz w:val="21"/>
                <w:szCs w:val="21"/>
              </w:rPr>
            </w:pPr>
            <w:r>
              <w:rPr>
                <w:rFonts w:hint="eastAsia"/>
                <w:sz w:val="21"/>
                <w:szCs w:val="21"/>
              </w:rPr>
              <w:t>7</w:t>
            </w:r>
          </w:p>
        </w:tc>
        <w:tc>
          <w:tcPr>
            <w:tcW w:w="1771" w:type="pct"/>
            <w:vAlign w:val="center"/>
          </w:tcPr>
          <w:p w14:paraId="4019F80B">
            <w:pPr>
              <w:spacing w:line="320" w:lineRule="exact"/>
              <w:rPr>
                <w:rFonts w:hint="eastAsia"/>
                <w:color w:val="000000"/>
                <w:sz w:val="21"/>
                <w:szCs w:val="21"/>
              </w:rPr>
            </w:pPr>
            <w:r>
              <w:rPr>
                <w:rFonts w:hint="eastAsia"/>
                <w:sz w:val="21"/>
                <w:szCs w:val="21"/>
              </w:rPr>
              <w:t>厂区用地指标优于国家、行业、地方规定的项目用地指标值。</w:t>
            </w:r>
          </w:p>
        </w:tc>
        <w:tc>
          <w:tcPr>
            <w:tcW w:w="1892" w:type="pct"/>
            <w:vAlign w:val="center"/>
          </w:tcPr>
          <w:p w14:paraId="3F4DA27A">
            <w:pPr>
              <w:adjustRightInd w:val="0"/>
              <w:snapToGrid w:val="0"/>
              <w:rPr>
                <w:rFonts w:hint="eastAsia"/>
                <w:color w:val="000000"/>
                <w:sz w:val="21"/>
                <w:szCs w:val="21"/>
              </w:rPr>
            </w:pPr>
            <w:r>
              <w:rPr>
                <w:rFonts w:hint="eastAsia"/>
                <w:sz w:val="21"/>
                <w:szCs w:val="21"/>
              </w:rPr>
              <w:t>厂区用地指标优于国家、行业、地方规定的项目用地指标值得1</w:t>
            </w:r>
            <w:r>
              <w:rPr>
                <w:sz w:val="21"/>
                <w:szCs w:val="21"/>
              </w:rPr>
              <w:t>.0分，</w:t>
            </w:r>
            <w:r>
              <w:rPr>
                <w:rFonts w:hint="eastAsia"/>
                <w:sz w:val="21"/>
                <w:szCs w:val="21"/>
                <w:lang w:val="en-GB"/>
              </w:rPr>
              <w:t>高于</w:t>
            </w:r>
            <w:r>
              <w:rPr>
                <w:rFonts w:hint="eastAsia"/>
                <w:sz w:val="21"/>
                <w:szCs w:val="21"/>
              </w:rPr>
              <w:t>指标值</w:t>
            </w:r>
            <w:r>
              <w:rPr>
                <w:sz w:val="21"/>
                <w:szCs w:val="21"/>
                <w:lang w:val="en-GB"/>
              </w:rPr>
              <w:t>3%以内得0.5分，高于指标值3%以上得</w:t>
            </w:r>
            <w:r>
              <w:rPr>
                <w:rFonts w:hint="eastAsia"/>
                <w:sz w:val="21"/>
                <w:szCs w:val="21"/>
                <w:lang w:val="en-GB"/>
              </w:rPr>
              <w:t>0分</w:t>
            </w:r>
            <w:r>
              <w:rPr>
                <w:sz w:val="21"/>
                <w:szCs w:val="21"/>
                <w:lang w:val="en-GB"/>
              </w:rPr>
              <w:t>。</w:t>
            </w:r>
          </w:p>
        </w:tc>
        <w:tc>
          <w:tcPr>
            <w:tcW w:w="484" w:type="pct"/>
            <w:vAlign w:val="center"/>
          </w:tcPr>
          <w:p w14:paraId="205EEC0D">
            <w:pPr>
              <w:adjustRightInd w:val="0"/>
              <w:snapToGrid w:val="0"/>
              <w:jc w:val="center"/>
              <w:rPr>
                <w:rFonts w:hint="eastAsia"/>
                <w:color w:val="000000"/>
                <w:sz w:val="21"/>
                <w:szCs w:val="21"/>
              </w:rPr>
            </w:pPr>
            <w:r>
              <w:rPr>
                <w:color w:val="000000"/>
                <w:sz w:val="21"/>
                <w:szCs w:val="21"/>
              </w:rPr>
              <w:t>1.0</w:t>
            </w:r>
          </w:p>
        </w:tc>
        <w:tc>
          <w:tcPr>
            <w:tcW w:w="488" w:type="pct"/>
            <w:vAlign w:val="center"/>
          </w:tcPr>
          <w:p w14:paraId="74927E5E">
            <w:pPr>
              <w:adjustRightInd w:val="0"/>
              <w:snapToGrid w:val="0"/>
              <w:jc w:val="center"/>
              <w:rPr>
                <w:rFonts w:hint="eastAsia"/>
                <w:color w:val="000000"/>
                <w:sz w:val="21"/>
                <w:szCs w:val="21"/>
              </w:rPr>
            </w:pPr>
          </w:p>
        </w:tc>
      </w:tr>
      <w:tr w14:paraId="2A9279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9BBD4F5">
            <w:pPr>
              <w:adjustRightInd w:val="0"/>
              <w:snapToGrid w:val="0"/>
              <w:jc w:val="center"/>
              <w:rPr>
                <w:rFonts w:hint="eastAsia"/>
                <w:color w:val="000000"/>
                <w:sz w:val="21"/>
                <w:szCs w:val="21"/>
              </w:rPr>
            </w:pPr>
            <w:r>
              <w:rPr>
                <w:rFonts w:hint="eastAsia"/>
                <w:sz w:val="21"/>
                <w:szCs w:val="21"/>
              </w:rPr>
              <w:t>8</w:t>
            </w:r>
          </w:p>
        </w:tc>
        <w:tc>
          <w:tcPr>
            <w:tcW w:w="1771" w:type="pct"/>
            <w:vAlign w:val="center"/>
          </w:tcPr>
          <w:p w14:paraId="25E58A94">
            <w:pPr>
              <w:spacing w:line="320" w:lineRule="exact"/>
              <w:rPr>
                <w:rFonts w:hint="eastAsia"/>
                <w:color w:val="000000"/>
                <w:sz w:val="21"/>
                <w:szCs w:val="21"/>
              </w:rPr>
            </w:pPr>
            <w:r>
              <w:rPr>
                <w:rFonts w:hint="eastAsia"/>
                <w:sz w:val="21"/>
                <w:szCs w:val="21"/>
              </w:rPr>
              <w:t>选用高效节能设备，先进的用能工艺，减少能源在输送、分配及生产工序等环节产生过程消耗，提高能源利用效率。</w:t>
            </w:r>
          </w:p>
        </w:tc>
        <w:tc>
          <w:tcPr>
            <w:tcW w:w="1892" w:type="pct"/>
            <w:vAlign w:val="center"/>
          </w:tcPr>
          <w:p w14:paraId="720225DB">
            <w:pPr>
              <w:adjustRightInd w:val="0"/>
              <w:snapToGrid w:val="0"/>
              <w:rPr>
                <w:rFonts w:hint="eastAsia"/>
                <w:color w:val="000000"/>
                <w:sz w:val="21"/>
                <w:szCs w:val="21"/>
              </w:rPr>
            </w:pPr>
            <w:r>
              <w:rPr>
                <w:rFonts w:hint="eastAsia"/>
                <w:sz w:val="21"/>
                <w:szCs w:val="21"/>
              </w:rPr>
              <w:t>选用高效节能设备，能效等级达到1级得0</w:t>
            </w:r>
            <w:r>
              <w:rPr>
                <w:sz w:val="21"/>
                <w:szCs w:val="21"/>
              </w:rPr>
              <w:t>.5分</w:t>
            </w:r>
            <w:r>
              <w:rPr>
                <w:rFonts w:hint="eastAsia"/>
                <w:sz w:val="21"/>
                <w:szCs w:val="21"/>
              </w:rPr>
              <w:t>，选用先进的用能工艺得0</w:t>
            </w:r>
            <w:r>
              <w:rPr>
                <w:sz w:val="21"/>
                <w:szCs w:val="21"/>
              </w:rPr>
              <w:t>.5分。</w:t>
            </w:r>
            <w:r>
              <w:rPr>
                <w:color w:val="000000"/>
                <w:sz w:val="21"/>
                <w:szCs w:val="21"/>
              </w:rPr>
              <w:t>综合评判各项，酌情给予分值。</w:t>
            </w:r>
          </w:p>
        </w:tc>
        <w:tc>
          <w:tcPr>
            <w:tcW w:w="484" w:type="pct"/>
            <w:vAlign w:val="center"/>
          </w:tcPr>
          <w:p w14:paraId="57733772">
            <w:pPr>
              <w:adjustRightInd w:val="0"/>
              <w:snapToGrid w:val="0"/>
              <w:jc w:val="center"/>
              <w:rPr>
                <w:rFonts w:hint="eastAsia"/>
                <w:color w:val="000000"/>
                <w:sz w:val="21"/>
                <w:szCs w:val="21"/>
              </w:rPr>
            </w:pPr>
            <w:r>
              <w:rPr>
                <w:rFonts w:hint="eastAsia"/>
                <w:color w:val="000000"/>
                <w:sz w:val="21"/>
                <w:szCs w:val="21"/>
              </w:rPr>
              <w:t>1</w:t>
            </w:r>
            <w:r>
              <w:rPr>
                <w:color w:val="000000"/>
                <w:sz w:val="21"/>
                <w:szCs w:val="21"/>
              </w:rPr>
              <w:t>.0</w:t>
            </w:r>
          </w:p>
        </w:tc>
        <w:tc>
          <w:tcPr>
            <w:tcW w:w="488" w:type="pct"/>
            <w:vAlign w:val="center"/>
          </w:tcPr>
          <w:p w14:paraId="7A22F809">
            <w:pPr>
              <w:adjustRightInd w:val="0"/>
              <w:snapToGrid w:val="0"/>
              <w:jc w:val="center"/>
              <w:rPr>
                <w:rFonts w:hint="eastAsia"/>
                <w:color w:val="000000"/>
                <w:sz w:val="21"/>
                <w:szCs w:val="21"/>
              </w:rPr>
            </w:pPr>
          </w:p>
        </w:tc>
      </w:tr>
      <w:tr w14:paraId="20EEAD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04B92F1">
            <w:pPr>
              <w:adjustRightInd w:val="0"/>
              <w:snapToGrid w:val="0"/>
              <w:jc w:val="center"/>
              <w:rPr>
                <w:rFonts w:hint="eastAsia"/>
                <w:color w:val="000000"/>
                <w:sz w:val="21"/>
                <w:szCs w:val="21"/>
              </w:rPr>
            </w:pPr>
            <w:r>
              <w:rPr>
                <w:rFonts w:hint="eastAsia"/>
                <w:sz w:val="21"/>
                <w:szCs w:val="21"/>
              </w:rPr>
              <w:t>9</w:t>
            </w:r>
          </w:p>
        </w:tc>
        <w:tc>
          <w:tcPr>
            <w:tcW w:w="1771" w:type="pct"/>
            <w:vAlign w:val="center"/>
          </w:tcPr>
          <w:p w14:paraId="7E50FBEB">
            <w:pPr>
              <w:spacing w:line="320" w:lineRule="exact"/>
              <w:rPr>
                <w:rFonts w:hint="eastAsia"/>
                <w:color w:val="000000"/>
                <w:sz w:val="21"/>
                <w:szCs w:val="21"/>
              </w:rPr>
            </w:pPr>
            <w:r>
              <w:rPr>
                <w:sz w:val="21"/>
                <w:szCs w:val="21"/>
              </w:rPr>
              <w:t>设备、</w:t>
            </w:r>
            <w:r>
              <w:rPr>
                <w:rFonts w:hint="eastAsia"/>
                <w:sz w:val="21"/>
                <w:szCs w:val="21"/>
              </w:rPr>
              <w:t>管道</w:t>
            </w:r>
            <w:r>
              <w:rPr>
                <w:sz w:val="21"/>
                <w:szCs w:val="21"/>
              </w:rPr>
              <w:t xml:space="preserve">布置合理、紧凑，减少各种介质的能量损失。 </w:t>
            </w:r>
          </w:p>
        </w:tc>
        <w:tc>
          <w:tcPr>
            <w:tcW w:w="1892" w:type="pct"/>
            <w:vAlign w:val="center"/>
          </w:tcPr>
          <w:p w14:paraId="03DD5472">
            <w:pPr>
              <w:adjustRightInd w:val="0"/>
              <w:snapToGrid w:val="0"/>
              <w:rPr>
                <w:rFonts w:hint="eastAsia"/>
                <w:color w:val="000000"/>
                <w:sz w:val="21"/>
                <w:szCs w:val="21"/>
              </w:rPr>
            </w:pPr>
            <w:r>
              <w:rPr>
                <w:sz w:val="21"/>
                <w:szCs w:val="21"/>
              </w:rPr>
              <w:t>设备、</w:t>
            </w:r>
            <w:r>
              <w:rPr>
                <w:rFonts w:hint="eastAsia"/>
                <w:sz w:val="21"/>
                <w:szCs w:val="21"/>
              </w:rPr>
              <w:t>管道</w:t>
            </w:r>
            <w:r>
              <w:rPr>
                <w:sz w:val="21"/>
                <w:szCs w:val="21"/>
              </w:rPr>
              <w:t>布置合理、紧凑，符合工艺流程得</w:t>
            </w:r>
            <w:r>
              <w:rPr>
                <w:rFonts w:hint="eastAsia"/>
                <w:sz w:val="21"/>
                <w:szCs w:val="21"/>
              </w:rPr>
              <w:t>0</w:t>
            </w:r>
            <w:r>
              <w:rPr>
                <w:sz w:val="21"/>
                <w:szCs w:val="21"/>
              </w:rPr>
              <w:t>.5分，</w:t>
            </w:r>
            <w:r>
              <w:rPr>
                <w:color w:val="000000"/>
                <w:sz w:val="21"/>
                <w:szCs w:val="21"/>
              </w:rPr>
              <w:t>综合评判布置方案，酌情给予分值。</w:t>
            </w:r>
          </w:p>
        </w:tc>
        <w:tc>
          <w:tcPr>
            <w:tcW w:w="484" w:type="pct"/>
            <w:vAlign w:val="center"/>
          </w:tcPr>
          <w:p w14:paraId="5CFD4672">
            <w:pPr>
              <w:adjustRightInd w:val="0"/>
              <w:snapToGrid w:val="0"/>
              <w:jc w:val="center"/>
              <w:rPr>
                <w:rFonts w:hint="eastAsia"/>
                <w:color w:val="000000"/>
                <w:sz w:val="21"/>
                <w:szCs w:val="21"/>
              </w:rPr>
            </w:pPr>
            <w:r>
              <w:rPr>
                <w:rFonts w:hint="eastAsia"/>
                <w:color w:val="000000"/>
                <w:sz w:val="21"/>
                <w:szCs w:val="21"/>
              </w:rPr>
              <w:t>0</w:t>
            </w:r>
            <w:r>
              <w:rPr>
                <w:color w:val="000000"/>
                <w:sz w:val="21"/>
                <w:szCs w:val="21"/>
              </w:rPr>
              <w:t>.5</w:t>
            </w:r>
          </w:p>
        </w:tc>
        <w:tc>
          <w:tcPr>
            <w:tcW w:w="488" w:type="pct"/>
            <w:vAlign w:val="center"/>
          </w:tcPr>
          <w:p w14:paraId="7B84639E">
            <w:pPr>
              <w:adjustRightInd w:val="0"/>
              <w:snapToGrid w:val="0"/>
              <w:jc w:val="center"/>
              <w:rPr>
                <w:rFonts w:hint="eastAsia"/>
                <w:color w:val="000000"/>
                <w:sz w:val="21"/>
                <w:szCs w:val="21"/>
              </w:rPr>
            </w:pPr>
          </w:p>
        </w:tc>
      </w:tr>
      <w:tr w14:paraId="194630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F7AEAB0">
            <w:pPr>
              <w:adjustRightInd w:val="0"/>
              <w:snapToGrid w:val="0"/>
              <w:jc w:val="center"/>
              <w:rPr>
                <w:rFonts w:hint="eastAsia"/>
                <w:color w:val="000000"/>
                <w:sz w:val="21"/>
                <w:szCs w:val="21"/>
              </w:rPr>
            </w:pPr>
            <w:r>
              <w:rPr>
                <w:sz w:val="21"/>
                <w:szCs w:val="21"/>
              </w:rPr>
              <w:t>1</w:t>
            </w:r>
            <w:r>
              <w:rPr>
                <w:rFonts w:hint="eastAsia"/>
                <w:sz w:val="21"/>
                <w:szCs w:val="21"/>
              </w:rPr>
              <w:t>0</w:t>
            </w:r>
          </w:p>
        </w:tc>
        <w:tc>
          <w:tcPr>
            <w:tcW w:w="1771" w:type="pct"/>
            <w:vAlign w:val="center"/>
          </w:tcPr>
          <w:p w14:paraId="298A56FA">
            <w:pPr>
              <w:spacing w:line="320" w:lineRule="exact"/>
              <w:rPr>
                <w:rFonts w:hint="eastAsia"/>
                <w:color w:val="000000"/>
                <w:sz w:val="21"/>
                <w:szCs w:val="21"/>
              </w:rPr>
            </w:pPr>
            <w:r>
              <w:rPr>
                <w:sz w:val="21"/>
                <w:szCs w:val="21"/>
              </w:rPr>
              <w:t>节能管理措施到位，配备完善的能源计量仪表。</w:t>
            </w:r>
          </w:p>
        </w:tc>
        <w:tc>
          <w:tcPr>
            <w:tcW w:w="1892" w:type="pct"/>
            <w:vAlign w:val="center"/>
          </w:tcPr>
          <w:p w14:paraId="3B37842C">
            <w:pPr>
              <w:adjustRightInd w:val="0"/>
              <w:snapToGrid w:val="0"/>
              <w:rPr>
                <w:rFonts w:hint="eastAsia"/>
                <w:color w:val="000000"/>
                <w:sz w:val="21"/>
                <w:szCs w:val="21"/>
              </w:rPr>
            </w:pPr>
            <w:r>
              <w:rPr>
                <w:sz w:val="21"/>
                <w:szCs w:val="21"/>
              </w:rPr>
              <w:t>节能管理措施齐全得</w:t>
            </w:r>
            <w:r>
              <w:rPr>
                <w:rFonts w:hint="eastAsia"/>
                <w:sz w:val="21"/>
                <w:szCs w:val="21"/>
              </w:rPr>
              <w:t>0</w:t>
            </w:r>
            <w:r>
              <w:rPr>
                <w:sz w:val="21"/>
                <w:szCs w:val="21"/>
              </w:rPr>
              <w:t>.2分，配备完善的能源计量仪表得</w:t>
            </w:r>
            <w:r>
              <w:rPr>
                <w:rFonts w:hint="eastAsia"/>
                <w:sz w:val="21"/>
                <w:szCs w:val="21"/>
              </w:rPr>
              <w:t>0</w:t>
            </w:r>
            <w:r>
              <w:rPr>
                <w:sz w:val="21"/>
                <w:szCs w:val="21"/>
              </w:rPr>
              <w:t>.3分。</w:t>
            </w:r>
            <w:r>
              <w:rPr>
                <w:color w:val="000000"/>
                <w:sz w:val="21"/>
                <w:szCs w:val="21"/>
              </w:rPr>
              <w:t>综合评判各项，酌情给予分值。</w:t>
            </w:r>
          </w:p>
        </w:tc>
        <w:tc>
          <w:tcPr>
            <w:tcW w:w="484" w:type="pct"/>
            <w:vAlign w:val="center"/>
          </w:tcPr>
          <w:p w14:paraId="5BD64D2C">
            <w:pPr>
              <w:adjustRightInd w:val="0"/>
              <w:snapToGrid w:val="0"/>
              <w:jc w:val="center"/>
              <w:rPr>
                <w:rFonts w:hint="eastAsia"/>
                <w:color w:val="000000"/>
                <w:sz w:val="21"/>
                <w:szCs w:val="21"/>
              </w:rPr>
            </w:pPr>
            <w:r>
              <w:rPr>
                <w:rFonts w:hint="eastAsia"/>
                <w:color w:val="000000"/>
                <w:sz w:val="21"/>
                <w:szCs w:val="21"/>
              </w:rPr>
              <w:t>0</w:t>
            </w:r>
            <w:r>
              <w:rPr>
                <w:color w:val="000000"/>
                <w:sz w:val="21"/>
                <w:szCs w:val="21"/>
              </w:rPr>
              <w:t>.5</w:t>
            </w:r>
          </w:p>
        </w:tc>
        <w:tc>
          <w:tcPr>
            <w:tcW w:w="488" w:type="pct"/>
            <w:vAlign w:val="center"/>
          </w:tcPr>
          <w:p w14:paraId="475B6BDF">
            <w:pPr>
              <w:adjustRightInd w:val="0"/>
              <w:snapToGrid w:val="0"/>
              <w:jc w:val="center"/>
              <w:rPr>
                <w:rFonts w:hint="eastAsia"/>
                <w:color w:val="000000"/>
                <w:sz w:val="21"/>
                <w:szCs w:val="21"/>
              </w:rPr>
            </w:pPr>
          </w:p>
        </w:tc>
      </w:tr>
      <w:tr w14:paraId="39C282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4BFFE03">
            <w:pPr>
              <w:adjustRightInd w:val="0"/>
              <w:snapToGrid w:val="0"/>
              <w:jc w:val="center"/>
              <w:rPr>
                <w:rFonts w:hint="eastAsia"/>
                <w:color w:val="000000"/>
                <w:sz w:val="21"/>
                <w:szCs w:val="21"/>
              </w:rPr>
            </w:pPr>
            <w:r>
              <w:rPr>
                <w:sz w:val="21"/>
                <w:szCs w:val="21"/>
              </w:rPr>
              <w:t>1</w:t>
            </w:r>
            <w:r>
              <w:rPr>
                <w:rFonts w:hint="eastAsia"/>
                <w:sz w:val="21"/>
                <w:szCs w:val="21"/>
              </w:rPr>
              <w:t>1</w:t>
            </w:r>
          </w:p>
        </w:tc>
        <w:tc>
          <w:tcPr>
            <w:tcW w:w="1771" w:type="pct"/>
            <w:vAlign w:val="center"/>
          </w:tcPr>
          <w:p w14:paraId="44808C8F">
            <w:pPr>
              <w:spacing w:line="320" w:lineRule="exact"/>
              <w:rPr>
                <w:rFonts w:hint="eastAsia"/>
                <w:color w:val="000000"/>
                <w:sz w:val="21"/>
                <w:szCs w:val="21"/>
              </w:rPr>
            </w:pPr>
            <w:r>
              <w:rPr>
                <w:sz w:val="21"/>
                <w:szCs w:val="21"/>
              </w:rPr>
              <w:t>选用节能建筑材料，统筹考虑工程耐久性</w:t>
            </w:r>
            <w:r>
              <w:rPr>
                <w:rFonts w:hint="eastAsia"/>
                <w:sz w:val="21"/>
                <w:szCs w:val="21"/>
              </w:rPr>
              <w:t>和</w:t>
            </w:r>
            <w:r>
              <w:rPr>
                <w:sz w:val="21"/>
                <w:szCs w:val="21"/>
              </w:rPr>
              <w:t>可持续性，采用高强度、高性能、高耐久性和</w:t>
            </w:r>
            <w:r>
              <w:rPr>
                <w:rFonts w:hint="eastAsia"/>
                <w:sz w:val="21"/>
                <w:szCs w:val="21"/>
              </w:rPr>
              <w:t>可循环材料以及先进适用技术体系。</w:t>
            </w:r>
          </w:p>
        </w:tc>
        <w:tc>
          <w:tcPr>
            <w:tcW w:w="1892" w:type="pct"/>
            <w:vAlign w:val="center"/>
          </w:tcPr>
          <w:p w14:paraId="129D3121">
            <w:pPr>
              <w:adjustRightInd w:val="0"/>
              <w:snapToGrid w:val="0"/>
              <w:rPr>
                <w:rFonts w:hint="eastAsia"/>
                <w:color w:val="000000"/>
                <w:sz w:val="21"/>
                <w:szCs w:val="21"/>
              </w:rPr>
            </w:pPr>
            <w:r>
              <w:rPr>
                <w:sz w:val="21"/>
                <w:szCs w:val="21"/>
              </w:rPr>
              <w:t>选用节能建筑材料得</w:t>
            </w:r>
            <w:r>
              <w:rPr>
                <w:rFonts w:hint="eastAsia"/>
                <w:sz w:val="21"/>
                <w:szCs w:val="21"/>
              </w:rPr>
              <w:t>0</w:t>
            </w:r>
            <w:r>
              <w:rPr>
                <w:sz w:val="21"/>
                <w:szCs w:val="21"/>
              </w:rPr>
              <w:t>.2分，采用高强度、高性能、高耐久性和</w:t>
            </w:r>
            <w:r>
              <w:rPr>
                <w:rFonts w:hint="eastAsia"/>
                <w:sz w:val="21"/>
                <w:szCs w:val="21"/>
              </w:rPr>
              <w:t>可循环材料以及先进适用技术体系得0</w:t>
            </w:r>
            <w:r>
              <w:rPr>
                <w:sz w:val="21"/>
                <w:szCs w:val="21"/>
              </w:rPr>
              <w:t>.3分</w:t>
            </w:r>
            <w:r>
              <w:rPr>
                <w:rFonts w:hint="eastAsia"/>
                <w:sz w:val="21"/>
                <w:szCs w:val="21"/>
              </w:rPr>
              <w:t>。</w:t>
            </w:r>
            <w:r>
              <w:rPr>
                <w:color w:val="000000"/>
                <w:sz w:val="21"/>
                <w:szCs w:val="21"/>
              </w:rPr>
              <w:t>综合评判各项，酌情给予分值。</w:t>
            </w:r>
          </w:p>
        </w:tc>
        <w:tc>
          <w:tcPr>
            <w:tcW w:w="484" w:type="pct"/>
            <w:vAlign w:val="center"/>
          </w:tcPr>
          <w:p w14:paraId="33727709">
            <w:pPr>
              <w:adjustRightInd w:val="0"/>
              <w:snapToGrid w:val="0"/>
              <w:jc w:val="center"/>
              <w:rPr>
                <w:rFonts w:hint="eastAsia"/>
                <w:color w:val="000000"/>
                <w:sz w:val="21"/>
                <w:szCs w:val="21"/>
              </w:rPr>
            </w:pPr>
            <w:r>
              <w:rPr>
                <w:rFonts w:hint="eastAsia"/>
                <w:color w:val="000000"/>
                <w:sz w:val="21"/>
                <w:szCs w:val="21"/>
              </w:rPr>
              <w:t>0</w:t>
            </w:r>
            <w:r>
              <w:rPr>
                <w:color w:val="000000"/>
                <w:sz w:val="21"/>
                <w:szCs w:val="21"/>
              </w:rPr>
              <w:t>.5</w:t>
            </w:r>
          </w:p>
        </w:tc>
        <w:tc>
          <w:tcPr>
            <w:tcW w:w="488" w:type="pct"/>
            <w:vAlign w:val="center"/>
          </w:tcPr>
          <w:p w14:paraId="494D6903">
            <w:pPr>
              <w:adjustRightInd w:val="0"/>
              <w:snapToGrid w:val="0"/>
              <w:jc w:val="center"/>
              <w:rPr>
                <w:rFonts w:hint="eastAsia"/>
                <w:color w:val="000000"/>
                <w:sz w:val="21"/>
                <w:szCs w:val="21"/>
              </w:rPr>
            </w:pPr>
          </w:p>
        </w:tc>
      </w:tr>
      <w:tr w14:paraId="4A6154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61A8C4A">
            <w:pPr>
              <w:adjustRightInd w:val="0"/>
              <w:snapToGrid w:val="0"/>
              <w:jc w:val="center"/>
              <w:rPr>
                <w:rFonts w:hint="eastAsia"/>
                <w:color w:val="000000"/>
                <w:sz w:val="21"/>
                <w:szCs w:val="21"/>
              </w:rPr>
            </w:pPr>
            <w:r>
              <w:rPr>
                <w:sz w:val="21"/>
                <w:szCs w:val="21"/>
              </w:rPr>
              <w:t>1</w:t>
            </w:r>
            <w:r>
              <w:rPr>
                <w:rFonts w:hint="eastAsia"/>
                <w:sz w:val="21"/>
                <w:szCs w:val="21"/>
              </w:rPr>
              <w:t>2</w:t>
            </w:r>
          </w:p>
        </w:tc>
        <w:tc>
          <w:tcPr>
            <w:tcW w:w="1771" w:type="pct"/>
            <w:vAlign w:val="center"/>
          </w:tcPr>
          <w:p w14:paraId="7384F45B">
            <w:pPr>
              <w:spacing w:line="320" w:lineRule="exact"/>
              <w:rPr>
                <w:rFonts w:hint="eastAsia"/>
                <w:color w:val="000000"/>
                <w:sz w:val="21"/>
                <w:szCs w:val="21"/>
              </w:rPr>
            </w:pPr>
            <w:r>
              <w:rPr>
                <w:rFonts w:hint="eastAsia"/>
                <w:sz w:val="21"/>
                <w:szCs w:val="21"/>
              </w:rPr>
              <w:t>建筑热工（屋面、楼面、围护结构）、建筑采光及通风设计合理，建筑节能降耗措施先进。</w:t>
            </w:r>
            <w:r>
              <w:rPr>
                <w:sz w:val="21"/>
                <w:szCs w:val="21"/>
              </w:rPr>
              <w:t xml:space="preserve"> </w:t>
            </w:r>
          </w:p>
        </w:tc>
        <w:tc>
          <w:tcPr>
            <w:tcW w:w="1892" w:type="pct"/>
            <w:vAlign w:val="center"/>
          </w:tcPr>
          <w:p w14:paraId="4E9F4277">
            <w:pPr>
              <w:adjustRightInd w:val="0"/>
              <w:snapToGrid w:val="0"/>
              <w:rPr>
                <w:rFonts w:hint="eastAsia"/>
                <w:color w:val="000000"/>
                <w:sz w:val="21"/>
                <w:szCs w:val="21"/>
              </w:rPr>
            </w:pPr>
            <w:r>
              <w:rPr>
                <w:rFonts w:hint="eastAsia"/>
                <w:sz w:val="21"/>
                <w:szCs w:val="21"/>
              </w:rPr>
              <w:t>建筑热工（屋面、楼面、围护结构）设计合理得0</w:t>
            </w:r>
            <w:r>
              <w:rPr>
                <w:sz w:val="21"/>
                <w:szCs w:val="21"/>
              </w:rPr>
              <w:t>.3分</w:t>
            </w:r>
            <w:r>
              <w:rPr>
                <w:rFonts w:hint="eastAsia"/>
                <w:sz w:val="21"/>
                <w:szCs w:val="21"/>
              </w:rPr>
              <w:t>、建筑采光及通风设计合理得0</w:t>
            </w:r>
            <w:r>
              <w:rPr>
                <w:sz w:val="21"/>
                <w:szCs w:val="21"/>
              </w:rPr>
              <w:t>.2分。</w:t>
            </w:r>
            <w:r>
              <w:rPr>
                <w:color w:val="000000"/>
                <w:sz w:val="21"/>
                <w:szCs w:val="21"/>
              </w:rPr>
              <w:t>综合评判各项，酌情给予分值。</w:t>
            </w:r>
          </w:p>
        </w:tc>
        <w:tc>
          <w:tcPr>
            <w:tcW w:w="484" w:type="pct"/>
            <w:vAlign w:val="center"/>
          </w:tcPr>
          <w:p w14:paraId="4EC5AF5D">
            <w:pPr>
              <w:adjustRightInd w:val="0"/>
              <w:snapToGrid w:val="0"/>
              <w:jc w:val="center"/>
              <w:rPr>
                <w:rFonts w:hint="eastAsia"/>
                <w:color w:val="000000"/>
                <w:sz w:val="21"/>
                <w:szCs w:val="21"/>
              </w:rPr>
            </w:pPr>
            <w:r>
              <w:rPr>
                <w:rFonts w:hint="eastAsia"/>
                <w:color w:val="000000"/>
                <w:sz w:val="21"/>
                <w:szCs w:val="21"/>
              </w:rPr>
              <w:t>0</w:t>
            </w:r>
            <w:r>
              <w:rPr>
                <w:color w:val="000000"/>
                <w:sz w:val="21"/>
                <w:szCs w:val="21"/>
              </w:rPr>
              <w:t>.5</w:t>
            </w:r>
          </w:p>
        </w:tc>
        <w:tc>
          <w:tcPr>
            <w:tcW w:w="488" w:type="pct"/>
            <w:vAlign w:val="center"/>
          </w:tcPr>
          <w:p w14:paraId="10E55E5A">
            <w:pPr>
              <w:adjustRightInd w:val="0"/>
              <w:snapToGrid w:val="0"/>
              <w:jc w:val="center"/>
              <w:rPr>
                <w:rFonts w:hint="eastAsia"/>
                <w:color w:val="000000"/>
                <w:sz w:val="21"/>
                <w:szCs w:val="21"/>
              </w:rPr>
            </w:pPr>
          </w:p>
        </w:tc>
      </w:tr>
      <w:tr w14:paraId="0F4B838C">
        <w:tblPrEx>
          <w:tblCellMar>
            <w:top w:w="0" w:type="dxa"/>
            <w:left w:w="57" w:type="dxa"/>
            <w:bottom w:w="0" w:type="dxa"/>
            <w:right w:w="57" w:type="dxa"/>
          </w:tblCellMar>
        </w:tblPrEx>
        <w:trPr>
          <w:trHeight w:val="454" w:hRule="atLeast"/>
        </w:trPr>
        <w:tc>
          <w:tcPr>
            <w:tcW w:w="365" w:type="pct"/>
            <w:vAlign w:val="center"/>
          </w:tcPr>
          <w:p w14:paraId="12FFE9FD">
            <w:pPr>
              <w:adjustRightInd w:val="0"/>
              <w:snapToGrid w:val="0"/>
              <w:jc w:val="center"/>
              <w:rPr>
                <w:rFonts w:hint="eastAsia"/>
                <w:color w:val="000000"/>
                <w:sz w:val="21"/>
                <w:szCs w:val="21"/>
              </w:rPr>
            </w:pPr>
            <w:r>
              <w:rPr>
                <w:sz w:val="21"/>
                <w:szCs w:val="21"/>
              </w:rPr>
              <w:t>1</w:t>
            </w:r>
            <w:r>
              <w:rPr>
                <w:rFonts w:hint="eastAsia"/>
                <w:sz w:val="21"/>
                <w:szCs w:val="21"/>
              </w:rPr>
              <w:t>3</w:t>
            </w:r>
          </w:p>
        </w:tc>
        <w:tc>
          <w:tcPr>
            <w:tcW w:w="1771" w:type="pct"/>
            <w:vAlign w:val="center"/>
          </w:tcPr>
          <w:p w14:paraId="7EC03F63">
            <w:pPr>
              <w:spacing w:line="320" w:lineRule="exact"/>
              <w:rPr>
                <w:rFonts w:hint="eastAsia"/>
                <w:color w:val="000000"/>
                <w:sz w:val="21"/>
                <w:szCs w:val="21"/>
              </w:rPr>
            </w:pPr>
            <w:r>
              <w:rPr>
                <w:rFonts w:hint="eastAsia"/>
                <w:sz w:val="21"/>
                <w:szCs w:val="21"/>
              </w:rPr>
              <w:t>电厂公共建筑采用装配式技术，生产建筑积极采用工厂化预制构件。</w:t>
            </w:r>
          </w:p>
        </w:tc>
        <w:tc>
          <w:tcPr>
            <w:tcW w:w="1892" w:type="pct"/>
            <w:vAlign w:val="center"/>
          </w:tcPr>
          <w:p w14:paraId="304CA6D0">
            <w:pPr>
              <w:adjustRightInd w:val="0"/>
              <w:snapToGrid w:val="0"/>
              <w:rPr>
                <w:rFonts w:hint="eastAsia"/>
                <w:color w:val="000000"/>
                <w:sz w:val="21"/>
                <w:szCs w:val="21"/>
              </w:rPr>
            </w:pPr>
            <w:r>
              <w:rPr>
                <w:rFonts w:hint="eastAsia"/>
                <w:sz w:val="21"/>
                <w:szCs w:val="21"/>
              </w:rPr>
              <w:t>电厂公共建筑采用装配式技术得0</w:t>
            </w:r>
            <w:r>
              <w:rPr>
                <w:sz w:val="21"/>
                <w:szCs w:val="21"/>
              </w:rPr>
              <w:t>.3分</w:t>
            </w:r>
            <w:r>
              <w:rPr>
                <w:rFonts w:hint="eastAsia"/>
                <w:sz w:val="21"/>
                <w:szCs w:val="21"/>
              </w:rPr>
              <w:t>，生产建筑积极采用工厂化预制构件得0</w:t>
            </w:r>
            <w:r>
              <w:rPr>
                <w:sz w:val="21"/>
                <w:szCs w:val="21"/>
              </w:rPr>
              <w:t>.2分</w:t>
            </w:r>
            <w:r>
              <w:rPr>
                <w:rFonts w:hint="eastAsia"/>
                <w:sz w:val="21"/>
                <w:szCs w:val="21"/>
              </w:rPr>
              <w:t>。</w:t>
            </w:r>
            <w:r>
              <w:rPr>
                <w:color w:val="000000"/>
                <w:sz w:val="21"/>
                <w:szCs w:val="21"/>
              </w:rPr>
              <w:t>综合评判各项，酌情给予分值。</w:t>
            </w:r>
          </w:p>
        </w:tc>
        <w:tc>
          <w:tcPr>
            <w:tcW w:w="484" w:type="pct"/>
            <w:vAlign w:val="center"/>
          </w:tcPr>
          <w:p w14:paraId="07A83822">
            <w:pPr>
              <w:adjustRightInd w:val="0"/>
              <w:snapToGrid w:val="0"/>
              <w:jc w:val="center"/>
              <w:rPr>
                <w:rFonts w:hint="eastAsia"/>
                <w:color w:val="000000"/>
                <w:sz w:val="21"/>
                <w:szCs w:val="21"/>
              </w:rPr>
            </w:pPr>
            <w:r>
              <w:rPr>
                <w:rFonts w:hint="eastAsia"/>
                <w:color w:val="000000"/>
                <w:sz w:val="21"/>
                <w:szCs w:val="21"/>
              </w:rPr>
              <w:t>0</w:t>
            </w:r>
            <w:r>
              <w:rPr>
                <w:color w:val="000000"/>
                <w:sz w:val="21"/>
                <w:szCs w:val="21"/>
              </w:rPr>
              <w:t>.5</w:t>
            </w:r>
          </w:p>
        </w:tc>
        <w:tc>
          <w:tcPr>
            <w:tcW w:w="488" w:type="pct"/>
            <w:vAlign w:val="center"/>
          </w:tcPr>
          <w:p w14:paraId="5B7E172A">
            <w:pPr>
              <w:adjustRightInd w:val="0"/>
              <w:snapToGrid w:val="0"/>
              <w:jc w:val="center"/>
              <w:rPr>
                <w:rFonts w:hint="eastAsia"/>
                <w:color w:val="000000"/>
                <w:sz w:val="21"/>
                <w:szCs w:val="21"/>
              </w:rPr>
            </w:pPr>
          </w:p>
        </w:tc>
      </w:tr>
      <w:tr w14:paraId="758E15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F024ACE">
            <w:pPr>
              <w:adjustRightInd w:val="0"/>
              <w:snapToGrid w:val="0"/>
              <w:jc w:val="center"/>
              <w:rPr>
                <w:rFonts w:hint="eastAsia"/>
                <w:color w:val="000000"/>
                <w:sz w:val="21"/>
                <w:szCs w:val="21"/>
              </w:rPr>
            </w:pPr>
            <w:r>
              <w:rPr>
                <w:sz w:val="21"/>
                <w:szCs w:val="21"/>
              </w:rPr>
              <w:t>1</w:t>
            </w:r>
            <w:r>
              <w:rPr>
                <w:rFonts w:hint="eastAsia"/>
                <w:sz w:val="21"/>
                <w:szCs w:val="21"/>
              </w:rPr>
              <w:t>4</w:t>
            </w:r>
          </w:p>
        </w:tc>
        <w:tc>
          <w:tcPr>
            <w:tcW w:w="1771" w:type="pct"/>
            <w:vAlign w:val="center"/>
          </w:tcPr>
          <w:p w14:paraId="75FC9C78">
            <w:pPr>
              <w:spacing w:line="320" w:lineRule="exact"/>
              <w:rPr>
                <w:rFonts w:hint="eastAsia"/>
                <w:color w:val="000000"/>
                <w:sz w:val="21"/>
                <w:szCs w:val="21"/>
              </w:rPr>
            </w:pPr>
            <w:r>
              <w:rPr>
                <w:rFonts w:hint="eastAsia"/>
                <w:sz w:val="21"/>
                <w:szCs w:val="21"/>
              </w:rPr>
              <w:t>清洁能源积极嵌入建筑技术应用。</w:t>
            </w:r>
          </w:p>
        </w:tc>
        <w:tc>
          <w:tcPr>
            <w:tcW w:w="1892" w:type="pct"/>
            <w:vAlign w:val="center"/>
          </w:tcPr>
          <w:p w14:paraId="770BAD6A">
            <w:pPr>
              <w:adjustRightInd w:val="0"/>
              <w:snapToGrid w:val="0"/>
              <w:rPr>
                <w:rFonts w:hint="eastAsia"/>
                <w:color w:val="000000"/>
                <w:sz w:val="21"/>
                <w:szCs w:val="21"/>
              </w:rPr>
            </w:pPr>
            <w:r>
              <w:rPr>
                <w:rFonts w:hint="eastAsia"/>
                <w:sz w:val="21"/>
                <w:szCs w:val="21"/>
              </w:rPr>
              <w:t>采用清洁能源嵌入建筑技术应用且节能效果练好得1</w:t>
            </w:r>
            <w:r>
              <w:rPr>
                <w:sz w:val="21"/>
                <w:szCs w:val="21"/>
              </w:rPr>
              <w:t>.0分，不采用得</w:t>
            </w:r>
            <w:r>
              <w:rPr>
                <w:rFonts w:hint="eastAsia"/>
                <w:sz w:val="21"/>
                <w:szCs w:val="21"/>
              </w:rPr>
              <w:t>0分。</w:t>
            </w:r>
          </w:p>
        </w:tc>
        <w:tc>
          <w:tcPr>
            <w:tcW w:w="484" w:type="pct"/>
            <w:vAlign w:val="center"/>
          </w:tcPr>
          <w:p w14:paraId="1608A53C">
            <w:pPr>
              <w:adjustRightInd w:val="0"/>
              <w:snapToGrid w:val="0"/>
              <w:jc w:val="center"/>
              <w:rPr>
                <w:rFonts w:hint="eastAsia"/>
                <w:color w:val="000000"/>
                <w:sz w:val="21"/>
                <w:szCs w:val="21"/>
              </w:rPr>
            </w:pPr>
            <w:r>
              <w:rPr>
                <w:color w:val="000000"/>
                <w:sz w:val="21"/>
                <w:szCs w:val="21"/>
              </w:rPr>
              <w:t>1.0</w:t>
            </w:r>
          </w:p>
        </w:tc>
        <w:tc>
          <w:tcPr>
            <w:tcW w:w="488" w:type="pct"/>
            <w:vAlign w:val="center"/>
          </w:tcPr>
          <w:p w14:paraId="64B7ADA9">
            <w:pPr>
              <w:adjustRightInd w:val="0"/>
              <w:snapToGrid w:val="0"/>
              <w:jc w:val="center"/>
              <w:rPr>
                <w:rFonts w:hint="eastAsia"/>
                <w:color w:val="000000"/>
                <w:sz w:val="21"/>
                <w:szCs w:val="21"/>
              </w:rPr>
            </w:pPr>
          </w:p>
        </w:tc>
      </w:tr>
      <w:tr w14:paraId="39039A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6D98337">
            <w:pPr>
              <w:adjustRightInd w:val="0"/>
              <w:snapToGrid w:val="0"/>
              <w:jc w:val="center"/>
              <w:rPr>
                <w:rFonts w:hint="eastAsia"/>
                <w:color w:val="000000"/>
                <w:sz w:val="21"/>
                <w:szCs w:val="21"/>
              </w:rPr>
            </w:pPr>
            <w:r>
              <w:rPr>
                <w:sz w:val="21"/>
                <w:szCs w:val="21"/>
              </w:rPr>
              <w:t>1</w:t>
            </w:r>
            <w:r>
              <w:rPr>
                <w:rFonts w:hint="eastAsia"/>
                <w:sz w:val="21"/>
                <w:szCs w:val="21"/>
              </w:rPr>
              <w:t>5</w:t>
            </w:r>
          </w:p>
        </w:tc>
        <w:tc>
          <w:tcPr>
            <w:tcW w:w="1771" w:type="pct"/>
            <w:vAlign w:val="center"/>
          </w:tcPr>
          <w:p w14:paraId="418BB5DD">
            <w:pPr>
              <w:spacing w:line="320" w:lineRule="exact"/>
              <w:rPr>
                <w:rFonts w:hint="eastAsia"/>
                <w:color w:val="000000"/>
                <w:sz w:val="21"/>
                <w:szCs w:val="21"/>
              </w:rPr>
            </w:pPr>
            <w:r>
              <w:rPr>
                <w:rFonts w:hint="eastAsia"/>
                <w:sz w:val="21"/>
                <w:szCs w:val="21"/>
              </w:rPr>
              <w:t>全厂采用新型节能照明系统，智能控制。</w:t>
            </w:r>
          </w:p>
        </w:tc>
        <w:tc>
          <w:tcPr>
            <w:tcW w:w="1892" w:type="pct"/>
            <w:vAlign w:val="center"/>
          </w:tcPr>
          <w:p w14:paraId="27CCB3CE">
            <w:pPr>
              <w:adjustRightInd w:val="0"/>
              <w:snapToGrid w:val="0"/>
              <w:rPr>
                <w:rFonts w:hint="eastAsia"/>
                <w:color w:val="000000"/>
                <w:sz w:val="21"/>
                <w:szCs w:val="21"/>
              </w:rPr>
            </w:pPr>
            <w:r>
              <w:rPr>
                <w:rFonts w:hint="eastAsia"/>
                <w:sz w:val="21"/>
                <w:szCs w:val="21"/>
              </w:rPr>
              <w:t>全厂采用新型节能照明系统得0</w:t>
            </w:r>
            <w:r>
              <w:rPr>
                <w:sz w:val="21"/>
                <w:szCs w:val="21"/>
              </w:rPr>
              <w:t>.2分</w:t>
            </w:r>
            <w:r>
              <w:rPr>
                <w:rFonts w:hint="eastAsia"/>
                <w:sz w:val="21"/>
                <w:szCs w:val="21"/>
              </w:rPr>
              <w:t>，采用智能控制得0</w:t>
            </w:r>
            <w:r>
              <w:rPr>
                <w:sz w:val="21"/>
                <w:szCs w:val="21"/>
              </w:rPr>
              <w:t>.3分</w:t>
            </w:r>
            <w:r>
              <w:rPr>
                <w:rFonts w:hint="eastAsia"/>
                <w:sz w:val="21"/>
                <w:szCs w:val="21"/>
              </w:rPr>
              <w:t>。</w:t>
            </w:r>
            <w:r>
              <w:rPr>
                <w:color w:val="000000"/>
                <w:sz w:val="21"/>
                <w:szCs w:val="21"/>
              </w:rPr>
              <w:t>综合评判各项，酌情给予分值。</w:t>
            </w:r>
          </w:p>
        </w:tc>
        <w:tc>
          <w:tcPr>
            <w:tcW w:w="484" w:type="pct"/>
            <w:vAlign w:val="center"/>
          </w:tcPr>
          <w:p w14:paraId="731ABB7A">
            <w:pPr>
              <w:adjustRightInd w:val="0"/>
              <w:snapToGrid w:val="0"/>
              <w:jc w:val="center"/>
              <w:rPr>
                <w:rFonts w:hint="eastAsia"/>
                <w:color w:val="000000"/>
                <w:sz w:val="21"/>
                <w:szCs w:val="21"/>
              </w:rPr>
            </w:pPr>
            <w:r>
              <w:rPr>
                <w:rFonts w:hint="eastAsia"/>
                <w:color w:val="000000"/>
                <w:sz w:val="21"/>
                <w:szCs w:val="21"/>
              </w:rPr>
              <w:t>0</w:t>
            </w:r>
            <w:r>
              <w:rPr>
                <w:color w:val="000000"/>
                <w:sz w:val="21"/>
                <w:szCs w:val="21"/>
              </w:rPr>
              <w:t>.5</w:t>
            </w:r>
          </w:p>
        </w:tc>
        <w:tc>
          <w:tcPr>
            <w:tcW w:w="488" w:type="pct"/>
            <w:vAlign w:val="center"/>
          </w:tcPr>
          <w:p w14:paraId="639728C3">
            <w:pPr>
              <w:adjustRightInd w:val="0"/>
              <w:snapToGrid w:val="0"/>
              <w:jc w:val="center"/>
              <w:rPr>
                <w:rFonts w:hint="eastAsia"/>
                <w:color w:val="000000"/>
                <w:sz w:val="21"/>
                <w:szCs w:val="21"/>
              </w:rPr>
            </w:pPr>
          </w:p>
        </w:tc>
      </w:tr>
      <w:tr w14:paraId="1B9663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A5D565D">
            <w:pPr>
              <w:adjustRightInd w:val="0"/>
              <w:snapToGrid w:val="0"/>
              <w:jc w:val="center"/>
              <w:rPr>
                <w:rFonts w:hint="eastAsia"/>
                <w:color w:val="000000"/>
                <w:sz w:val="21"/>
                <w:szCs w:val="21"/>
              </w:rPr>
            </w:pPr>
            <w:r>
              <w:rPr>
                <w:sz w:val="21"/>
                <w:szCs w:val="21"/>
              </w:rPr>
              <w:t>1</w:t>
            </w:r>
            <w:r>
              <w:rPr>
                <w:rFonts w:hint="eastAsia"/>
                <w:sz w:val="21"/>
                <w:szCs w:val="21"/>
              </w:rPr>
              <w:t>6</w:t>
            </w:r>
          </w:p>
        </w:tc>
        <w:tc>
          <w:tcPr>
            <w:tcW w:w="1771" w:type="pct"/>
            <w:vAlign w:val="center"/>
          </w:tcPr>
          <w:p w14:paraId="49C71D0E">
            <w:pPr>
              <w:spacing w:line="320" w:lineRule="exact"/>
              <w:rPr>
                <w:rFonts w:hint="eastAsia"/>
                <w:color w:val="000000"/>
                <w:sz w:val="21"/>
                <w:szCs w:val="21"/>
              </w:rPr>
            </w:pPr>
            <w:r>
              <w:rPr>
                <w:sz w:val="21"/>
                <w:szCs w:val="21"/>
              </w:rPr>
              <w:t>电厂发电热效率（TMCR</w:t>
            </w:r>
            <w:r>
              <w:rPr>
                <w:rFonts w:hint="eastAsia"/>
                <w:sz w:val="21"/>
                <w:szCs w:val="21"/>
              </w:rPr>
              <w:t>工况）、发电标准煤耗（</w:t>
            </w:r>
            <w:r>
              <w:rPr>
                <w:sz w:val="21"/>
                <w:szCs w:val="21"/>
              </w:rPr>
              <w:t xml:space="preserve">TMCR </w:t>
            </w:r>
            <w:r>
              <w:rPr>
                <w:rFonts w:hint="eastAsia"/>
                <w:sz w:val="21"/>
                <w:szCs w:val="21"/>
              </w:rPr>
              <w:t>工况）、厂用电率（含脱硫脱硝）等能耗指标达到国内同类机组先进水平。</w:t>
            </w:r>
            <w:r>
              <w:rPr>
                <w:sz w:val="21"/>
                <w:szCs w:val="21"/>
              </w:rPr>
              <w:t xml:space="preserve"> </w:t>
            </w:r>
          </w:p>
        </w:tc>
        <w:tc>
          <w:tcPr>
            <w:tcW w:w="1892" w:type="pct"/>
            <w:vAlign w:val="center"/>
          </w:tcPr>
          <w:p w14:paraId="76B271CE">
            <w:pPr>
              <w:adjustRightInd w:val="0"/>
              <w:snapToGrid w:val="0"/>
              <w:rPr>
                <w:rFonts w:hint="eastAsia"/>
                <w:color w:val="000000"/>
                <w:sz w:val="21"/>
                <w:szCs w:val="21"/>
              </w:rPr>
            </w:pPr>
            <w:r>
              <w:rPr>
                <w:color w:val="000000"/>
                <w:sz w:val="21"/>
                <w:szCs w:val="21"/>
              </w:rPr>
              <w:t>该项指标</w:t>
            </w:r>
            <w:r>
              <w:rPr>
                <w:rFonts w:hint="eastAsia"/>
                <w:color w:val="000000"/>
                <w:sz w:val="21"/>
                <w:szCs w:val="21"/>
              </w:rPr>
              <w:t>5</w:t>
            </w:r>
            <w:r>
              <w:rPr>
                <w:color w:val="000000"/>
                <w:sz w:val="21"/>
                <w:szCs w:val="21"/>
              </w:rPr>
              <w:t>.1.1技术先进性已计分值，不累计计算</w:t>
            </w:r>
          </w:p>
        </w:tc>
        <w:tc>
          <w:tcPr>
            <w:tcW w:w="484" w:type="pct"/>
            <w:vAlign w:val="center"/>
          </w:tcPr>
          <w:p w14:paraId="36C4F63B">
            <w:pPr>
              <w:adjustRightInd w:val="0"/>
              <w:snapToGrid w:val="0"/>
              <w:jc w:val="center"/>
              <w:rPr>
                <w:rFonts w:hint="eastAsia"/>
                <w:color w:val="000000"/>
                <w:sz w:val="21"/>
                <w:szCs w:val="21"/>
              </w:rPr>
            </w:pPr>
          </w:p>
        </w:tc>
        <w:tc>
          <w:tcPr>
            <w:tcW w:w="488" w:type="pct"/>
            <w:vAlign w:val="center"/>
          </w:tcPr>
          <w:p w14:paraId="3D26FBCB">
            <w:pPr>
              <w:adjustRightInd w:val="0"/>
              <w:snapToGrid w:val="0"/>
              <w:jc w:val="center"/>
              <w:rPr>
                <w:rFonts w:hint="eastAsia"/>
                <w:color w:val="000000"/>
                <w:sz w:val="21"/>
                <w:szCs w:val="21"/>
              </w:rPr>
            </w:pPr>
          </w:p>
        </w:tc>
      </w:tr>
      <w:tr w14:paraId="08EF68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37CAD42">
            <w:pPr>
              <w:adjustRightInd w:val="0"/>
              <w:snapToGrid w:val="0"/>
              <w:jc w:val="center"/>
              <w:rPr>
                <w:rFonts w:hint="eastAsia"/>
                <w:color w:val="000000"/>
                <w:sz w:val="21"/>
                <w:szCs w:val="21"/>
              </w:rPr>
            </w:pPr>
            <w:r>
              <w:rPr>
                <w:rFonts w:hint="eastAsia"/>
                <w:sz w:val="21"/>
                <w:szCs w:val="21"/>
              </w:rPr>
              <w:t>17</w:t>
            </w:r>
          </w:p>
        </w:tc>
        <w:tc>
          <w:tcPr>
            <w:tcW w:w="1771" w:type="pct"/>
            <w:vAlign w:val="center"/>
          </w:tcPr>
          <w:p w14:paraId="110FC340">
            <w:pPr>
              <w:spacing w:line="320" w:lineRule="exact"/>
              <w:rPr>
                <w:rFonts w:hint="eastAsia"/>
                <w:color w:val="000000"/>
                <w:sz w:val="21"/>
                <w:szCs w:val="21"/>
              </w:rPr>
            </w:pPr>
            <w:r>
              <w:rPr>
                <w:sz w:val="21"/>
                <w:szCs w:val="21"/>
              </w:rPr>
              <w:t xml:space="preserve">优先采用城市污水处理厂中水、矿井疏干水、海水水源，减少地表水用量。 </w:t>
            </w:r>
          </w:p>
        </w:tc>
        <w:tc>
          <w:tcPr>
            <w:tcW w:w="1892" w:type="pct"/>
            <w:vAlign w:val="center"/>
          </w:tcPr>
          <w:p w14:paraId="24C234E9">
            <w:pPr>
              <w:adjustRightInd w:val="0"/>
              <w:snapToGrid w:val="0"/>
              <w:rPr>
                <w:rFonts w:hint="eastAsia"/>
                <w:color w:val="000000"/>
                <w:sz w:val="21"/>
                <w:szCs w:val="21"/>
              </w:rPr>
            </w:pPr>
            <w:r>
              <w:rPr>
                <w:sz w:val="21"/>
                <w:szCs w:val="21"/>
              </w:rPr>
              <w:t>冷却水源采用城市污水处理厂中水、矿井疏干水或海水水源得</w:t>
            </w:r>
            <w:r>
              <w:rPr>
                <w:rFonts w:hint="eastAsia"/>
                <w:sz w:val="21"/>
                <w:szCs w:val="21"/>
              </w:rPr>
              <w:t>0</w:t>
            </w:r>
            <w:r>
              <w:rPr>
                <w:sz w:val="21"/>
                <w:szCs w:val="21"/>
              </w:rPr>
              <w:t>.5分，采用地表水扣减</w:t>
            </w:r>
            <w:r>
              <w:rPr>
                <w:rFonts w:hint="eastAsia"/>
                <w:sz w:val="21"/>
                <w:szCs w:val="21"/>
              </w:rPr>
              <w:t>0</w:t>
            </w:r>
            <w:r>
              <w:rPr>
                <w:sz w:val="21"/>
                <w:szCs w:val="21"/>
              </w:rPr>
              <w:t>.3分，采用地下水</w:t>
            </w:r>
            <w:r>
              <w:rPr>
                <w:rFonts w:hint="eastAsia"/>
                <w:sz w:val="21"/>
                <w:szCs w:val="21"/>
              </w:rPr>
              <w:t>0分。</w:t>
            </w:r>
          </w:p>
        </w:tc>
        <w:tc>
          <w:tcPr>
            <w:tcW w:w="484" w:type="pct"/>
            <w:vAlign w:val="center"/>
          </w:tcPr>
          <w:p w14:paraId="49748D22">
            <w:pPr>
              <w:adjustRightInd w:val="0"/>
              <w:snapToGrid w:val="0"/>
              <w:jc w:val="center"/>
              <w:rPr>
                <w:rFonts w:hint="eastAsia"/>
                <w:color w:val="000000"/>
                <w:sz w:val="21"/>
                <w:szCs w:val="21"/>
              </w:rPr>
            </w:pPr>
            <w:r>
              <w:rPr>
                <w:rFonts w:hint="eastAsia"/>
                <w:color w:val="000000"/>
                <w:sz w:val="21"/>
                <w:szCs w:val="21"/>
              </w:rPr>
              <w:t>0</w:t>
            </w:r>
            <w:r>
              <w:rPr>
                <w:color w:val="000000"/>
                <w:sz w:val="21"/>
                <w:szCs w:val="21"/>
              </w:rPr>
              <w:t>.5</w:t>
            </w:r>
          </w:p>
        </w:tc>
        <w:tc>
          <w:tcPr>
            <w:tcW w:w="488" w:type="pct"/>
            <w:vAlign w:val="center"/>
          </w:tcPr>
          <w:p w14:paraId="17573DED">
            <w:pPr>
              <w:adjustRightInd w:val="0"/>
              <w:snapToGrid w:val="0"/>
              <w:jc w:val="center"/>
              <w:rPr>
                <w:rFonts w:hint="eastAsia"/>
                <w:color w:val="000000"/>
                <w:sz w:val="21"/>
                <w:szCs w:val="21"/>
              </w:rPr>
            </w:pPr>
          </w:p>
        </w:tc>
      </w:tr>
      <w:tr w14:paraId="6CAC2E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37B0C03">
            <w:pPr>
              <w:adjustRightInd w:val="0"/>
              <w:snapToGrid w:val="0"/>
              <w:jc w:val="center"/>
              <w:rPr>
                <w:rFonts w:hint="eastAsia"/>
                <w:color w:val="000000"/>
                <w:sz w:val="21"/>
                <w:szCs w:val="21"/>
              </w:rPr>
            </w:pPr>
            <w:r>
              <w:rPr>
                <w:rFonts w:hint="eastAsia"/>
                <w:sz w:val="21"/>
                <w:szCs w:val="21"/>
              </w:rPr>
              <w:t>18</w:t>
            </w:r>
          </w:p>
        </w:tc>
        <w:tc>
          <w:tcPr>
            <w:tcW w:w="1771" w:type="pct"/>
            <w:vAlign w:val="center"/>
          </w:tcPr>
          <w:p w14:paraId="0288AE41">
            <w:pPr>
              <w:spacing w:line="320" w:lineRule="exact"/>
              <w:rPr>
                <w:rFonts w:hint="eastAsia"/>
                <w:color w:val="000000"/>
                <w:sz w:val="21"/>
                <w:szCs w:val="21"/>
              </w:rPr>
            </w:pPr>
            <w:r>
              <w:rPr>
                <w:rFonts w:hint="eastAsia"/>
                <w:sz w:val="21"/>
                <w:szCs w:val="21"/>
              </w:rPr>
              <w:t>水务管理智能化，工艺技术路线先进，提高水的重复利用率，节约用水。</w:t>
            </w:r>
            <w:r>
              <w:rPr>
                <w:sz w:val="21"/>
                <w:szCs w:val="21"/>
              </w:rPr>
              <w:t xml:space="preserve"> </w:t>
            </w:r>
          </w:p>
        </w:tc>
        <w:tc>
          <w:tcPr>
            <w:tcW w:w="1892" w:type="pct"/>
            <w:vAlign w:val="center"/>
          </w:tcPr>
          <w:p w14:paraId="50919AF3">
            <w:pPr>
              <w:adjustRightInd w:val="0"/>
              <w:snapToGrid w:val="0"/>
              <w:rPr>
                <w:rFonts w:hint="eastAsia"/>
                <w:color w:val="000000"/>
                <w:sz w:val="21"/>
                <w:szCs w:val="21"/>
              </w:rPr>
            </w:pPr>
            <w:r>
              <w:rPr>
                <w:rFonts w:hint="eastAsia"/>
                <w:sz w:val="21"/>
                <w:szCs w:val="21"/>
              </w:rPr>
              <w:t>水务管理智能化得0</w:t>
            </w:r>
            <w:r>
              <w:rPr>
                <w:sz w:val="21"/>
                <w:szCs w:val="21"/>
              </w:rPr>
              <w:t>.3分</w:t>
            </w:r>
            <w:r>
              <w:rPr>
                <w:rFonts w:hint="eastAsia"/>
                <w:sz w:val="21"/>
                <w:szCs w:val="21"/>
              </w:rPr>
              <w:t>，工艺技术路线先进得0</w:t>
            </w:r>
            <w:r>
              <w:rPr>
                <w:sz w:val="21"/>
                <w:szCs w:val="21"/>
              </w:rPr>
              <w:t>.2分</w:t>
            </w:r>
            <w:r>
              <w:rPr>
                <w:rFonts w:hint="eastAsia"/>
                <w:sz w:val="21"/>
                <w:szCs w:val="21"/>
              </w:rPr>
              <w:t>，</w:t>
            </w:r>
            <w:r>
              <w:rPr>
                <w:color w:val="000000"/>
                <w:sz w:val="21"/>
                <w:szCs w:val="21"/>
              </w:rPr>
              <w:t>综合评判各项，酌情给予分值。</w:t>
            </w:r>
          </w:p>
        </w:tc>
        <w:tc>
          <w:tcPr>
            <w:tcW w:w="484" w:type="pct"/>
            <w:vAlign w:val="center"/>
          </w:tcPr>
          <w:p w14:paraId="7CF243FA">
            <w:pPr>
              <w:adjustRightInd w:val="0"/>
              <w:snapToGrid w:val="0"/>
              <w:jc w:val="center"/>
              <w:rPr>
                <w:rFonts w:hint="eastAsia"/>
                <w:color w:val="000000"/>
                <w:sz w:val="21"/>
                <w:szCs w:val="21"/>
              </w:rPr>
            </w:pPr>
            <w:r>
              <w:rPr>
                <w:rFonts w:hint="eastAsia"/>
                <w:color w:val="000000"/>
                <w:sz w:val="21"/>
                <w:szCs w:val="21"/>
              </w:rPr>
              <w:t>0</w:t>
            </w:r>
            <w:r>
              <w:rPr>
                <w:color w:val="000000"/>
                <w:sz w:val="21"/>
                <w:szCs w:val="21"/>
              </w:rPr>
              <w:t>.5</w:t>
            </w:r>
          </w:p>
        </w:tc>
        <w:tc>
          <w:tcPr>
            <w:tcW w:w="488" w:type="pct"/>
            <w:vAlign w:val="center"/>
          </w:tcPr>
          <w:p w14:paraId="7526CDA5">
            <w:pPr>
              <w:adjustRightInd w:val="0"/>
              <w:snapToGrid w:val="0"/>
              <w:jc w:val="center"/>
              <w:rPr>
                <w:rFonts w:hint="eastAsia"/>
                <w:color w:val="000000"/>
                <w:sz w:val="21"/>
                <w:szCs w:val="21"/>
              </w:rPr>
            </w:pPr>
          </w:p>
        </w:tc>
      </w:tr>
      <w:tr w14:paraId="369527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4866BF3">
            <w:pPr>
              <w:adjustRightInd w:val="0"/>
              <w:snapToGrid w:val="0"/>
              <w:jc w:val="center"/>
              <w:rPr>
                <w:rFonts w:hint="eastAsia"/>
                <w:color w:val="000000"/>
                <w:sz w:val="21"/>
                <w:szCs w:val="21"/>
              </w:rPr>
            </w:pPr>
            <w:r>
              <w:rPr>
                <w:rFonts w:hint="eastAsia"/>
                <w:sz w:val="21"/>
                <w:szCs w:val="21"/>
              </w:rPr>
              <w:t>19</w:t>
            </w:r>
          </w:p>
        </w:tc>
        <w:tc>
          <w:tcPr>
            <w:tcW w:w="1771" w:type="pct"/>
            <w:vAlign w:val="center"/>
          </w:tcPr>
          <w:p w14:paraId="53E8146E">
            <w:pPr>
              <w:spacing w:line="320" w:lineRule="exact"/>
              <w:rPr>
                <w:rFonts w:hint="eastAsia"/>
                <w:color w:val="000000"/>
                <w:sz w:val="21"/>
                <w:szCs w:val="21"/>
              </w:rPr>
            </w:pPr>
            <w:r>
              <w:rPr>
                <w:rFonts w:hint="eastAsia"/>
                <w:sz w:val="21"/>
                <w:szCs w:val="21"/>
              </w:rPr>
              <w:t>污水、废水排放处理方案环保先进，所有污水、废水全部回用，实现全厂废水零排放。</w:t>
            </w:r>
          </w:p>
        </w:tc>
        <w:tc>
          <w:tcPr>
            <w:tcW w:w="1892" w:type="pct"/>
            <w:vAlign w:val="center"/>
          </w:tcPr>
          <w:p w14:paraId="0964A0EC">
            <w:pPr>
              <w:adjustRightInd w:val="0"/>
              <w:snapToGrid w:val="0"/>
              <w:rPr>
                <w:rFonts w:hint="eastAsia"/>
                <w:color w:val="000000"/>
                <w:sz w:val="21"/>
                <w:szCs w:val="21"/>
              </w:rPr>
            </w:pPr>
            <w:r>
              <w:rPr>
                <w:rFonts w:hint="eastAsia"/>
                <w:sz w:val="21"/>
                <w:szCs w:val="21"/>
              </w:rPr>
              <w:t>污水、废水排放处理方案先进得0，5分，所有污水、废水全部回用，实现全厂废水零排放得0</w:t>
            </w:r>
            <w:r>
              <w:rPr>
                <w:sz w:val="21"/>
                <w:szCs w:val="21"/>
              </w:rPr>
              <w:t>.5分。</w:t>
            </w:r>
            <w:r>
              <w:rPr>
                <w:color w:val="000000"/>
                <w:sz w:val="21"/>
                <w:szCs w:val="21"/>
              </w:rPr>
              <w:t>综合评判各项，酌情给予分值。</w:t>
            </w:r>
          </w:p>
        </w:tc>
        <w:tc>
          <w:tcPr>
            <w:tcW w:w="484" w:type="pct"/>
            <w:vAlign w:val="center"/>
          </w:tcPr>
          <w:p w14:paraId="747E32DB">
            <w:pPr>
              <w:adjustRightInd w:val="0"/>
              <w:snapToGrid w:val="0"/>
              <w:jc w:val="center"/>
              <w:rPr>
                <w:rFonts w:hint="eastAsia"/>
                <w:color w:val="000000"/>
                <w:sz w:val="21"/>
                <w:szCs w:val="21"/>
              </w:rPr>
            </w:pPr>
            <w:r>
              <w:rPr>
                <w:rFonts w:hint="eastAsia"/>
                <w:color w:val="000000"/>
                <w:sz w:val="21"/>
                <w:szCs w:val="21"/>
              </w:rPr>
              <w:t>1</w:t>
            </w:r>
            <w:r>
              <w:rPr>
                <w:color w:val="000000"/>
                <w:sz w:val="21"/>
                <w:szCs w:val="21"/>
              </w:rPr>
              <w:t>.0</w:t>
            </w:r>
          </w:p>
        </w:tc>
        <w:tc>
          <w:tcPr>
            <w:tcW w:w="488" w:type="pct"/>
            <w:vAlign w:val="center"/>
          </w:tcPr>
          <w:p w14:paraId="2871F372">
            <w:pPr>
              <w:adjustRightInd w:val="0"/>
              <w:snapToGrid w:val="0"/>
              <w:jc w:val="center"/>
              <w:rPr>
                <w:rFonts w:hint="eastAsia"/>
                <w:color w:val="000000"/>
                <w:sz w:val="21"/>
                <w:szCs w:val="21"/>
              </w:rPr>
            </w:pPr>
          </w:p>
        </w:tc>
      </w:tr>
      <w:tr w14:paraId="68AF06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327461E">
            <w:pPr>
              <w:adjustRightInd w:val="0"/>
              <w:snapToGrid w:val="0"/>
              <w:jc w:val="center"/>
              <w:rPr>
                <w:rFonts w:hint="eastAsia"/>
                <w:color w:val="000000"/>
                <w:sz w:val="21"/>
                <w:szCs w:val="21"/>
              </w:rPr>
            </w:pPr>
            <w:r>
              <w:rPr>
                <w:sz w:val="21"/>
                <w:szCs w:val="21"/>
              </w:rPr>
              <w:t>2</w:t>
            </w:r>
            <w:r>
              <w:rPr>
                <w:rFonts w:hint="eastAsia"/>
                <w:sz w:val="21"/>
                <w:szCs w:val="21"/>
              </w:rPr>
              <w:t>0</w:t>
            </w:r>
          </w:p>
        </w:tc>
        <w:tc>
          <w:tcPr>
            <w:tcW w:w="1771" w:type="pct"/>
            <w:vAlign w:val="center"/>
          </w:tcPr>
          <w:p w14:paraId="64B9B7E6">
            <w:pPr>
              <w:spacing w:line="320" w:lineRule="exact"/>
              <w:rPr>
                <w:rFonts w:hint="eastAsia"/>
                <w:color w:val="000000"/>
                <w:sz w:val="21"/>
                <w:szCs w:val="21"/>
              </w:rPr>
            </w:pPr>
            <w:r>
              <w:rPr>
                <w:sz w:val="21"/>
                <w:szCs w:val="21"/>
              </w:rPr>
              <w:t>选用节水管材、器具、设备，配置水量计量、监测装置。</w:t>
            </w:r>
          </w:p>
        </w:tc>
        <w:tc>
          <w:tcPr>
            <w:tcW w:w="1892" w:type="pct"/>
            <w:vAlign w:val="center"/>
          </w:tcPr>
          <w:p w14:paraId="43D0EBF0">
            <w:pPr>
              <w:adjustRightInd w:val="0"/>
              <w:snapToGrid w:val="0"/>
              <w:rPr>
                <w:rFonts w:hint="eastAsia"/>
                <w:color w:val="000000"/>
                <w:sz w:val="21"/>
                <w:szCs w:val="21"/>
              </w:rPr>
            </w:pPr>
            <w:r>
              <w:rPr>
                <w:sz w:val="21"/>
                <w:szCs w:val="21"/>
              </w:rPr>
              <w:t>选用节水管材、器具、设备得</w:t>
            </w:r>
            <w:r>
              <w:rPr>
                <w:rFonts w:hint="eastAsia"/>
                <w:sz w:val="21"/>
                <w:szCs w:val="21"/>
              </w:rPr>
              <w:t>0</w:t>
            </w:r>
            <w:r>
              <w:rPr>
                <w:sz w:val="21"/>
                <w:szCs w:val="21"/>
              </w:rPr>
              <w:t>.2分，配置水量计量、监测装置得</w:t>
            </w:r>
            <w:r>
              <w:rPr>
                <w:rFonts w:hint="eastAsia"/>
                <w:sz w:val="21"/>
                <w:szCs w:val="21"/>
              </w:rPr>
              <w:t>0</w:t>
            </w:r>
            <w:r>
              <w:rPr>
                <w:sz w:val="21"/>
                <w:szCs w:val="21"/>
              </w:rPr>
              <w:t>.3分。</w:t>
            </w:r>
            <w:r>
              <w:rPr>
                <w:color w:val="000000"/>
                <w:sz w:val="21"/>
                <w:szCs w:val="21"/>
              </w:rPr>
              <w:t>综合评判各项，酌情给予分值。</w:t>
            </w:r>
          </w:p>
        </w:tc>
        <w:tc>
          <w:tcPr>
            <w:tcW w:w="484" w:type="pct"/>
            <w:vAlign w:val="center"/>
          </w:tcPr>
          <w:p w14:paraId="40F839EB">
            <w:pPr>
              <w:adjustRightInd w:val="0"/>
              <w:snapToGrid w:val="0"/>
              <w:jc w:val="center"/>
              <w:rPr>
                <w:rFonts w:hint="eastAsia"/>
                <w:color w:val="000000"/>
                <w:sz w:val="21"/>
                <w:szCs w:val="21"/>
              </w:rPr>
            </w:pPr>
            <w:r>
              <w:rPr>
                <w:rFonts w:hint="eastAsia"/>
                <w:color w:val="000000"/>
                <w:sz w:val="21"/>
                <w:szCs w:val="21"/>
              </w:rPr>
              <w:t>0</w:t>
            </w:r>
            <w:r>
              <w:rPr>
                <w:color w:val="000000"/>
                <w:sz w:val="21"/>
                <w:szCs w:val="21"/>
              </w:rPr>
              <w:t>.5</w:t>
            </w:r>
          </w:p>
        </w:tc>
        <w:tc>
          <w:tcPr>
            <w:tcW w:w="488" w:type="pct"/>
            <w:vAlign w:val="center"/>
          </w:tcPr>
          <w:p w14:paraId="0DD2BD26">
            <w:pPr>
              <w:adjustRightInd w:val="0"/>
              <w:snapToGrid w:val="0"/>
              <w:jc w:val="center"/>
              <w:rPr>
                <w:rFonts w:hint="eastAsia"/>
                <w:color w:val="000000"/>
                <w:sz w:val="21"/>
                <w:szCs w:val="21"/>
              </w:rPr>
            </w:pPr>
          </w:p>
        </w:tc>
      </w:tr>
      <w:tr w14:paraId="4DFC5E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DA9FE81">
            <w:pPr>
              <w:adjustRightInd w:val="0"/>
              <w:snapToGrid w:val="0"/>
              <w:jc w:val="center"/>
              <w:rPr>
                <w:rFonts w:hint="eastAsia"/>
                <w:color w:val="000000"/>
                <w:sz w:val="21"/>
                <w:szCs w:val="21"/>
              </w:rPr>
            </w:pPr>
            <w:r>
              <w:rPr>
                <w:sz w:val="21"/>
                <w:szCs w:val="21"/>
              </w:rPr>
              <w:t>2</w:t>
            </w:r>
            <w:r>
              <w:rPr>
                <w:rFonts w:hint="eastAsia"/>
                <w:sz w:val="21"/>
                <w:szCs w:val="21"/>
              </w:rPr>
              <w:t>1</w:t>
            </w:r>
          </w:p>
        </w:tc>
        <w:tc>
          <w:tcPr>
            <w:tcW w:w="1771" w:type="pct"/>
            <w:vAlign w:val="center"/>
          </w:tcPr>
          <w:p w14:paraId="1D95621F">
            <w:pPr>
              <w:spacing w:line="320" w:lineRule="exact"/>
              <w:rPr>
                <w:rFonts w:hint="eastAsia"/>
                <w:color w:val="000000"/>
                <w:sz w:val="21"/>
                <w:szCs w:val="21"/>
              </w:rPr>
            </w:pPr>
            <w:r>
              <w:rPr>
                <w:sz w:val="21"/>
                <w:szCs w:val="21"/>
              </w:rPr>
              <w:t>全厂设计</w:t>
            </w:r>
            <w:r>
              <w:rPr>
                <w:rFonts w:hint="eastAsia"/>
                <w:sz w:val="21"/>
                <w:szCs w:val="21"/>
              </w:rPr>
              <w:t>耗水指标先进，达到国内先进水平。</w:t>
            </w:r>
            <w:r>
              <w:rPr>
                <w:sz w:val="21"/>
                <w:szCs w:val="21"/>
              </w:rPr>
              <w:t xml:space="preserve"> </w:t>
            </w:r>
          </w:p>
        </w:tc>
        <w:tc>
          <w:tcPr>
            <w:tcW w:w="1892" w:type="pct"/>
            <w:vAlign w:val="center"/>
          </w:tcPr>
          <w:p w14:paraId="06E20F24">
            <w:pPr>
              <w:adjustRightInd w:val="0"/>
              <w:snapToGrid w:val="0"/>
              <w:rPr>
                <w:rFonts w:hint="eastAsia"/>
                <w:color w:val="000000"/>
                <w:sz w:val="21"/>
                <w:szCs w:val="21"/>
              </w:rPr>
            </w:pPr>
            <w:r>
              <w:rPr>
                <w:color w:val="000000"/>
                <w:sz w:val="21"/>
                <w:szCs w:val="21"/>
              </w:rPr>
              <w:t>该项指标</w:t>
            </w:r>
            <w:r>
              <w:rPr>
                <w:rFonts w:hint="eastAsia"/>
                <w:color w:val="000000"/>
                <w:sz w:val="21"/>
                <w:szCs w:val="21"/>
              </w:rPr>
              <w:t>5</w:t>
            </w:r>
            <w:r>
              <w:rPr>
                <w:color w:val="000000"/>
                <w:sz w:val="21"/>
                <w:szCs w:val="21"/>
              </w:rPr>
              <w:t>.1.1技术先进性已计分值，不累计计算</w:t>
            </w:r>
          </w:p>
        </w:tc>
        <w:tc>
          <w:tcPr>
            <w:tcW w:w="484" w:type="pct"/>
            <w:vAlign w:val="center"/>
          </w:tcPr>
          <w:p w14:paraId="296B7D52">
            <w:pPr>
              <w:adjustRightInd w:val="0"/>
              <w:snapToGrid w:val="0"/>
              <w:jc w:val="center"/>
              <w:rPr>
                <w:rFonts w:hint="eastAsia"/>
                <w:color w:val="000000"/>
                <w:sz w:val="21"/>
                <w:szCs w:val="21"/>
              </w:rPr>
            </w:pPr>
          </w:p>
        </w:tc>
        <w:tc>
          <w:tcPr>
            <w:tcW w:w="488" w:type="pct"/>
            <w:vAlign w:val="center"/>
          </w:tcPr>
          <w:p w14:paraId="1BB370D5">
            <w:pPr>
              <w:adjustRightInd w:val="0"/>
              <w:snapToGrid w:val="0"/>
              <w:jc w:val="center"/>
              <w:rPr>
                <w:rFonts w:hint="eastAsia"/>
                <w:color w:val="000000"/>
                <w:sz w:val="21"/>
                <w:szCs w:val="21"/>
              </w:rPr>
            </w:pPr>
          </w:p>
        </w:tc>
      </w:tr>
      <w:tr w14:paraId="59D8CB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5B45ED9">
            <w:pPr>
              <w:adjustRightInd w:val="0"/>
              <w:snapToGrid w:val="0"/>
              <w:jc w:val="center"/>
              <w:rPr>
                <w:rFonts w:hint="eastAsia"/>
                <w:color w:val="000000"/>
                <w:sz w:val="21"/>
                <w:szCs w:val="21"/>
              </w:rPr>
            </w:pPr>
            <w:r>
              <w:rPr>
                <w:rFonts w:hint="eastAsia"/>
                <w:sz w:val="21"/>
                <w:szCs w:val="21"/>
              </w:rPr>
              <w:t>22</w:t>
            </w:r>
          </w:p>
        </w:tc>
        <w:tc>
          <w:tcPr>
            <w:tcW w:w="1771" w:type="pct"/>
            <w:vAlign w:val="center"/>
          </w:tcPr>
          <w:p w14:paraId="53A78784">
            <w:pPr>
              <w:spacing w:line="320" w:lineRule="exact"/>
              <w:rPr>
                <w:rFonts w:hint="eastAsia"/>
                <w:color w:val="000000"/>
                <w:sz w:val="21"/>
                <w:szCs w:val="21"/>
              </w:rPr>
            </w:pPr>
            <w:r>
              <w:rPr>
                <w:rFonts w:hint="eastAsia"/>
                <w:sz w:val="21"/>
                <w:szCs w:val="21"/>
              </w:rPr>
              <w:t>电厂雨水控制及利用（收集回用、土壤入渗、调蓄排放）专项设计，效果显著。</w:t>
            </w:r>
          </w:p>
        </w:tc>
        <w:tc>
          <w:tcPr>
            <w:tcW w:w="1892" w:type="pct"/>
            <w:vAlign w:val="center"/>
          </w:tcPr>
          <w:p w14:paraId="5D06C73E">
            <w:pPr>
              <w:adjustRightInd w:val="0"/>
              <w:snapToGrid w:val="0"/>
              <w:rPr>
                <w:rFonts w:hint="eastAsia"/>
                <w:color w:val="000000"/>
                <w:sz w:val="21"/>
                <w:szCs w:val="21"/>
              </w:rPr>
            </w:pPr>
            <w:r>
              <w:rPr>
                <w:rFonts w:hint="eastAsia"/>
                <w:sz w:val="21"/>
                <w:szCs w:val="21"/>
              </w:rPr>
              <w:t>设置雨水收集回用设施得0</w:t>
            </w:r>
            <w:r>
              <w:rPr>
                <w:sz w:val="21"/>
                <w:szCs w:val="21"/>
              </w:rPr>
              <w:t>.2分，进行</w:t>
            </w:r>
            <w:r>
              <w:rPr>
                <w:rFonts w:hint="eastAsia"/>
                <w:sz w:val="21"/>
                <w:szCs w:val="21"/>
              </w:rPr>
              <w:t>土壤入渗、调蓄排放专项设计效果显著得0</w:t>
            </w:r>
            <w:r>
              <w:rPr>
                <w:sz w:val="21"/>
                <w:szCs w:val="21"/>
              </w:rPr>
              <w:t>.3分</w:t>
            </w:r>
            <w:r>
              <w:rPr>
                <w:rFonts w:hint="eastAsia"/>
                <w:sz w:val="21"/>
                <w:szCs w:val="21"/>
              </w:rPr>
              <w:t>。</w:t>
            </w:r>
            <w:r>
              <w:rPr>
                <w:color w:val="000000"/>
                <w:sz w:val="21"/>
                <w:szCs w:val="21"/>
              </w:rPr>
              <w:t>综合评判各项，酌情给予分值。</w:t>
            </w:r>
          </w:p>
        </w:tc>
        <w:tc>
          <w:tcPr>
            <w:tcW w:w="484" w:type="pct"/>
            <w:vAlign w:val="center"/>
          </w:tcPr>
          <w:p w14:paraId="68166BC4">
            <w:pPr>
              <w:adjustRightInd w:val="0"/>
              <w:snapToGrid w:val="0"/>
              <w:jc w:val="center"/>
              <w:rPr>
                <w:rFonts w:hint="eastAsia"/>
                <w:color w:val="000000"/>
                <w:sz w:val="21"/>
                <w:szCs w:val="21"/>
              </w:rPr>
            </w:pPr>
            <w:r>
              <w:rPr>
                <w:rFonts w:hint="eastAsia"/>
                <w:color w:val="000000"/>
                <w:sz w:val="21"/>
                <w:szCs w:val="21"/>
              </w:rPr>
              <w:t>0</w:t>
            </w:r>
            <w:r>
              <w:rPr>
                <w:color w:val="000000"/>
                <w:sz w:val="21"/>
                <w:szCs w:val="21"/>
              </w:rPr>
              <w:t>.5</w:t>
            </w:r>
          </w:p>
        </w:tc>
        <w:tc>
          <w:tcPr>
            <w:tcW w:w="488" w:type="pct"/>
            <w:vAlign w:val="center"/>
          </w:tcPr>
          <w:p w14:paraId="3F311AAA">
            <w:pPr>
              <w:adjustRightInd w:val="0"/>
              <w:snapToGrid w:val="0"/>
              <w:jc w:val="center"/>
              <w:rPr>
                <w:rFonts w:hint="eastAsia"/>
                <w:color w:val="000000"/>
                <w:sz w:val="21"/>
                <w:szCs w:val="21"/>
              </w:rPr>
            </w:pPr>
          </w:p>
        </w:tc>
      </w:tr>
      <w:tr w14:paraId="3E593F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CF606AE">
            <w:pPr>
              <w:adjustRightInd w:val="0"/>
              <w:snapToGrid w:val="0"/>
              <w:jc w:val="center"/>
              <w:rPr>
                <w:rFonts w:hint="eastAsia"/>
                <w:color w:val="000000"/>
                <w:sz w:val="21"/>
                <w:szCs w:val="21"/>
              </w:rPr>
            </w:pPr>
            <w:r>
              <w:rPr>
                <w:sz w:val="21"/>
                <w:szCs w:val="21"/>
              </w:rPr>
              <w:t>2</w:t>
            </w:r>
            <w:r>
              <w:rPr>
                <w:rFonts w:hint="eastAsia"/>
                <w:sz w:val="21"/>
                <w:szCs w:val="21"/>
              </w:rPr>
              <w:t>3</w:t>
            </w:r>
          </w:p>
        </w:tc>
        <w:tc>
          <w:tcPr>
            <w:tcW w:w="1771" w:type="pct"/>
            <w:vAlign w:val="center"/>
          </w:tcPr>
          <w:p w14:paraId="356B42EA">
            <w:pPr>
              <w:spacing w:line="320" w:lineRule="exact"/>
              <w:rPr>
                <w:rFonts w:hint="eastAsia"/>
                <w:color w:val="000000"/>
                <w:sz w:val="21"/>
                <w:szCs w:val="21"/>
              </w:rPr>
            </w:pPr>
            <w:r>
              <w:rPr>
                <w:rFonts w:hint="eastAsia"/>
                <w:sz w:val="21"/>
                <w:szCs w:val="21"/>
              </w:rPr>
              <w:t>燃煤电厂褐煤提水方案先进，作为生产水源。</w:t>
            </w:r>
          </w:p>
        </w:tc>
        <w:tc>
          <w:tcPr>
            <w:tcW w:w="1892" w:type="pct"/>
            <w:vAlign w:val="center"/>
          </w:tcPr>
          <w:p w14:paraId="6EF2CEAA">
            <w:pPr>
              <w:adjustRightInd w:val="0"/>
              <w:snapToGrid w:val="0"/>
              <w:rPr>
                <w:rFonts w:hint="eastAsia"/>
                <w:color w:val="000000"/>
                <w:sz w:val="21"/>
                <w:szCs w:val="21"/>
              </w:rPr>
            </w:pPr>
            <w:r>
              <w:rPr>
                <w:rFonts w:hint="eastAsia"/>
                <w:sz w:val="21"/>
                <w:szCs w:val="21"/>
              </w:rPr>
              <w:t>燃煤电厂褐煤提水方案先进得0</w:t>
            </w:r>
            <w:r>
              <w:rPr>
                <w:sz w:val="21"/>
                <w:szCs w:val="21"/>
              </w:rPr>
              <w:t>.5分，不考虑得</w:t>
            </w:r>
            <w:r>
              <w:rPr>
                <w:rFonts w:hint="eastAsia"/>
                <w:sz w:val="21"/>
                <w:szCs w:val="21"/>
              </w:rPr>
              <w:t>0分。</w:t>
            </w:r>
          </w:p>
        </w:tc>
        <w:tc>
          <w:tcPr>
            <w:tcW w:w="484" w:type="pct"/>
            <w:vAlign w:val="center"/>
          </w:tcPr>
          <w:p w14:paraId="73EF50C8">
            <w:pPr>
              <w:adjustRightInd w:val="0"/>
              <w:snapToGrid w:val="0"/>
              <w:jc w:val="center"/>
              <w:rPr>
                <w:rFonts w:hint="eastAsia"/>
                <w:color w:val="000000"/>
                <w:sz w:val="21"/>
                <w:szCs w:val="21"/>
              </w:rPr>
            </w:pPr>
            <w:r>
              <w:rPr>
                <w:rFonts w:hint="eastAsia"/>
                <w:color w:val="000000"/>
                <w:sz w:val="21"/>
                <w:szCs w:val="21"/>
              </w:rPr>
              <w:t>0</w:t>
            </w:r>
            <w:r>
              <w:rPr>
                <w:color w:val="000000"/>
                <w:sz w:val="21"/>
                <w:szCs w:val="21"/>
              </w:rPr>
              <w:t>.5</w:t>
            </w:r>
          </w:p>
        </w:tc>
        <w:tc>
          <w:tcPr>
            <w:tcW w:w="488" w:type="pct"/>
            <w:vAlign w:val="center"/>
          </w:tcPr>
          <w:p w14:paraId="3EFB00C4">
            <w:pPr>
              <w:adjustRightInd w:val="0"/>
              <w:snapToGrid w:val="0"/>
              <w:jc w:val="center"/>
              <w:rPr>
                <w:rFonts w:hint="eastAsia"/>
                <w:color w:val="000000"/>
                <w:sz w:val="21"/>
                <w:szCs w:val="21"/>
              </w:rPr>
            </w:pPr>
          </w:p>
        </w:tc>
      </w:tr>
      <w:tr w14:paraId="5ED0E1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0EB214B">
            <w:pPr>
              <w:adjustRightInd w:val="0"/>
              <w:snapToGrid w:val="0"/>
              <w:jc w:val="center"/>
              <w:rPr>
                <w:rFonts w:hint="eastAsia"/>
                <w:color w:val="000000"/>
                <w:sz w:val="21"/>
                <w:szCs w:val="21"/>
              </w:rPr>
            </w:pPr>
            <w:r>
              <w:rPr>
                <w:rFonts w:hint="eastAsia"/>
                <w:sz w:val="21"/>
                <w:szCs w:val="21"/>
              </w:rPr>
              <w:t>24</w:t>
            </w:r>
          </w:p>
        </w:tc>
        <w:tc>
          <w:tcPr>
            <w:tcW w:w="1771" w:type="pct"/>
            <w:vAlign w:val="center"/>
          </w:tcPr>
          <w:p w14:paraId="5768DBE3">
            <w:pPr>
              <w:spacing w:line="320" w:lineRule="exact"/>
              <w:rPr>
                <w:rFonts w:hint="eastAsia"/>
                <w:color w:val="000000"/>
                <w:sz w:val="21"/>
                <w:szCs w:val="21"/>
              </w:rPr>
            </w:pPr>
            <w:r>
              <w:rPr>
                <w:rFonts w:hint="eastAsia"/>
                <w:sz w:val="21"/>
                <w:szCs w:val="21"/>
              </w:rPr>
              <w:t>建筑物布置方案紧凑，采用合理的结构形式和材料，节省钢材、水泥等原材料。</w:t>
            </w:r>
          </w:p>
        </w:tc>
        <w:tc>
          <w:tcPr>
            <w:tcW w:w="1892" w:type="pct"/>
            <w:vAlign w:val="center"/>
          </w:tcPr>
          <w:p w14:paraId="6CC882A8">
            <w:pPr>
              <w:adjustRightInd w:val="0"/>
              <w:snapToGrid w:val="0"/>
              <w:rPr>
                <w:rFonts w:hint="eastAsia"/>
                <w:color w:val="000000"/>
                <w:sz w:val="21"/>
                <w:szCs w:val="21"/>
              </w:rPr>
            </w:pPr>
            <w:r>
              <w:rPr>
                <w:rFonts w:hint="eastAsia"/>
                <w:sz w:val="21"/>
                <w:szCs w:val="21"/>
              </w:rPr>
              <w:t>建筑物布置方案紧凑，采用合理的结构形式和材料得0</w:t>
            </w:r>
            <w:r>
              <w:rPr>
                <w:sz w:val="21"/>
                <w:szCs w:val="21"/>
              </w:rPr>
              <w:t>.5分</w:t>
            </w:r>
            <w:r>
              <w:rPr>
                <w:rFonts w:hint="eastAsia"/>
                <w:sz w:val="21"/>
                <w:szCs w:val="21"/>
              </w:rPr>
              <w:t>。</w:t>
            </w:r>
            <w:r>
              <w:rPr>
                <w:color w:val="000000"/>
                <w:sz w:val="21"/>
                <w:szCs w:val="21"/>
              </w:rPr>
              <w:t>综合评判各项，酌情给予分值。</w:t>
            </w:r>
          </w:p>
        </w:tc>
        <w:tc>
          <w:tcPr>
            <w:tcW w:w="484" w:type="pct"/>
            <w:vAlign w:val="center"/>
          </w:tcPr>
          <w:p w14:paraId="6349619D">
            <w:pPr>
              <w:adjustRightInd w:val="0"/>
              <w:snapToGrid w:val="0"/>
              <w:jc w:val="center"/>
              <w:rPr>
                <w:rFonts w:hint="eastAsia"/>
                <w:color w:val="000000"/>
                <w:sz w:val="21"/>
                <w:szCs w:val="21"/>
              </w:rPr>
            </w:pPr>
            <w:r>
              <w:rPr>
                <w:rFonts w:hint="eastAsia"/>
                <w:color w:val="000000"/>
                <w:sz w:val="21"/>
                <w:szCs w:val="21"/>
              </w:rPr>
              <w:t>0</w:t>
            </w:r>
            <w:r>
              <w:rPr>
                <w:color w:val="000000"/>
                <w:sz w:val="21"/>
                <w:szCs w:val="21"/>
              </w:rPr>
              <w:t>.5</w:t>
            </w:r>
          </w:p>
        </w:tc>
        <w:tc>
          <w:tcPr>
            <w:tcW w:w="488" w:type="pct"/>
            <w:vAlign w:val="center"/>
          </w:tcPr>
          <w:p w14:paraId="1132A42C">
            <w:pPr>
              <w:adjustRightInd w:val="0"/>
              <w:snapToGrid w:val="0"/>
              <w:jc w:val="center"/>
              <w:rPr>
                <w:rFonts w:hint="eastAsia"/>
                <w:color w:val="000000"/>
                <w:sz w:val="21"/>
                <w:szCs w:val="21"/>
              </w:rPr>
            </w:pPr>
          </w:p>
        </w:tc>
      </w:tr>
      <w:tr w14:paraId="413A68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E5BA091">
            <w:pPr>
              <w:adjustRightInd w:val="0"/>
              <w:snapToGrid w:val="0"/>
              <w:jc w:val="center"/>
              <w:rPr>
                <w:rFonts w:hint="eastAsia"/>
                <w:color w:val="000000"/>
                <w:sz w:val="21"/>
                <w:szCs w:val="21"/>
              </w:rPr>
            </w:pPr>
            <w:r>
              <w:rPr>
                <w:rFonts w:hint="eastAsia"/>
                <w:sz w:val="21"/>
                <w:szCs w:val="21"/>
              </w:rPr>
              <w:t>25</w:t>
            </w:r>
          </w:p>
        </w:tc>
        <w:tc>
          <w:tcPr>
            <w:tcW w:w="1771" w:type="pct"/>
            <w:vAlign w:val="center"/>
          </w:tcPr>
          <w:p w14:paraId="6C2BA201">
            <w:pPr>
              <w:spacing w:line="320" w:lineRule="exact"/>
              <w:rPr>
                <w:rFonts w:hint="eastAsia"/>
                <w:color w:val="000000"/>
                <w:sz w:val="21"/>
                <w:szCs w:val="21"/>
              </w:rPr>
            </w:pPr>
            <w:r>
              <w:rPr>
                <w:rFonts w:hint="eastAsia"/>
                <w:sz w:val="21"/>
                <w:szCs w:val="21"/>
              </w:rPr>
              <w:t>钢材、水泥和电缆等消耗量省，同比达到国内先进水平。</w:t>
            </w:r>
          </w:p>
        </w:tc>
        <w:tc>
          <w:tcPr>
            <w:tcW w:w="1892" w:type="pct"/>
            <w:vAlign w:val="center"/>
          </w:tcPr>
          <w:p w14:paraId="60F2FD91">
            <w:pPr>
              <w:adjustRightInd w:val="0"/>
              <w:snapToGrid w:val="0"/>
              <w:rPr>
                <w:rFonts w:hint="eastAsia"/>
                <w:color w:val="000000"/>
                <w:sz w:val="21"/>
                <w:szCs w:val="21"/>
              </w:rPr>
            </w:pPr>
            <w:r>
              <w:rPr>
                <w:color w:val="000000"/>
                <w:sz w:val="21"/>
                <w:szCs w:val="21"/>
              </w:rPr>
              <w:t>根据参评同类型机组工程的</w:t>
            </w:r>
            <w:r>
              <w:rPr>
                <w:rFonts w:hint="eastAsia"/>
                <w:sz w:val="21"/>
                <w:szCs w:val="21"/>
              </w:rPr>
              <w:t>钢材、水泥和电缆等消耗量综合评判，分级得分。</w:t>
            </w:r>
          </w:p>
        </w:tc>
        <w:tc>
          <w:tcPr>
            <w:tcW w:w="484" w:type="pct"/>
            <w:vAlign w:val="center"/>
          </w:tcPr>
          <w:p w14:paraId="64F69198">
            <w:pPr>
              <w:adjustRightInd w:val="0"/>
              <w:snapToGrid w:val="0"/>
              <w:jc w:val="center"/>
              <w:rPr>
                <w:rFonts w:hint="eastAsia"/>
                <w:color w:val="000000"/>
                <w:sz w:val="21"/>
                <w:szCs w:val="21"/>
              </w:rPr>
            </w:pPr>
            <w:r>
              <w:rPr>
                <w:rFonts w:hint="eastAsia"/>
                <w:color w:val="000000"/>
                <w:sz w:val="21"/>
                <w:szCs w:val="21"/>
              </w:rPr>
              <w:t>1</w:t>
            </w:r>
            <w:r>
              <w:rPr>
                <w:color w:val="000000"/>
                <w:sz w:val="21"/>
                <w:szCs w:val="21"/>
              </w:rPr>
              <w:t>.0</w:t>
            </w:r>
          </w:p>
        </w:tc>
        <w:tc>
          <w:tcPr>
            <w:tcW w:w="488" w:type="pct"/>
            <w:vAlign w:val="center"/>
          </w:tcPr>
          <w:p w14:paraId="623C5FF7">
            <w:pPr>
              <w:adjustRightInd w:val="0"/>
              <w:snapToGrid w:val="0"/>
              <w:jc w:val="center"/>
              <w:rPr>
                <w:rFonts w:hint="eastAsia"/>
                <w:color w:val="000000"/>
                <w:sz w:val="21"/>
                <w:szCs w:val="21"/>
              </w:rPr>
            </w:pPr>
          </w:p>
        </w:tc>
      </w:tr>
      <w:tr w14:paraId="78B140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8BCC584">
            <w:pPr>
              <w:adjustRightInd w:val="0"/>
              <w:snapToGrid w:val="0"/>
              <w:jc w:val="center"/>
              <w:rPr>
                <w:rFonts w:hint="eastAsia"/>
                <w:color w:val="000000"/>
                <w:sz w:val="21"/>
                <w:szCs w:val="21"/>
              </w:rPr>
            </w:pPr>
            <w:r>
              <w:rPr>
                <w:rFonts w:hint="eastAsia"/>
                <w:b/>
                <w:bCs/>
                <w:color w:val="000000"/>
                <w:sz w:val="21"/>
                <w:szCs w:val="21"/>
              </w:rPr>
              <w:t>5.1.3</w:t>
            </w:r>
          </w:p>
        </w:tc>
        <w:tc>
          <w:tcPr>
            <w:tcW w:w="1771" w:type="pct"/>
            <w:vAlign w:val="center"/>
          </w:tcPr>
          <w:p w14:paraId="7CF25A5A">
            <w:pPr>
              <w:spacing w:line="320" w:lineRule="exact"/>
              <w:rPr>
                <w:rFonts w:hint="eastAsia"/>
                <w:sz w:val="21"/>
                <w:szCs w:val="21"/>
              </w:rPr>
            </w:pPr>
            <w:r>
              <w:rPr>
                <w:rFonts w:hint="eastAsia"/>
                <w:b/>
                <w:bCs/>
                <w:color w:val="000000"/>
                <w:sz w:val="21"/>
                <w:szCs w:val="21"/>
              </w:rPr>
              <w:t>生态环保</w:t>
            </w:r>
          </w:p>
        </w:tc>
        <w:tc>
          <w:tcPr>
            <w:tcW w:w="1892" w:type="pct"/>
            <w:vAlign w:val="center"/>
          </w:tcPr>
          <w:p w14:paraId="78812335">
            <w:pPr>
              <w:adjustRightInd w:val="0"/>
              <w:snapToGrid w:val="0"/>
              <w:rPr>
                <w:rFonts w:hint="eastAsia"/>
                <w:color w:val="000000"/>
                <w:sz w:val="21"/>
                <w:szCs w:val="21"/>
              </w:rPr>
            </w:pPr>
          </w:p>
        </w:tc>
        <w:tc>
          <w:tcPr>
            <w:tcW w:w="484" w:type="pct"/>
            <w:vAlign w:val="center"/>
          </w:tcPr>
          <w:p w14:paraId="0D30937B">
            <w:pPr>
              <w:adjustRightInd w:val="0"/>
              <w:snapToGrid w:val="0"/>
              <w:jc w:val="center"/>
              <w:rPr>
                <w:rFonts w:hint="eastAsia"/>
                <w:color w:val="000000"/>
                <w:sz w:val="21"/>
                <w:szCs w:val="21"/>
              </w:rPr>
            </w:pPr>
            <w:r>
              <w:rPr>
                <w:rFonts w:hint="eastAsia"/>
                <w:color w:val="000000"/>
                <w:sz w:val="21"/>
                <w:szCs w:val="21"/>
              </w:rPr>
              <w:t>15</w:t>
            </w:r>
          </w:p>
        </w:tc>
        <w:tc>
          <w:tcPr>
            <w:tcW w:w="488" w:type="pct"/>
            <w:vAlign w:val="center"/>
          </w:tcPr>
          <w:p w14:paraId="1B968677">
            <w:pPr>
              <w:adjustRightInd w:val="0"/>
              <w:snapToGrid w:val="0"/>
              <w:jc w:val="center"/>
              <w:rPr>
                <w:rFonts w:hint="eastAsia"/>
                <w:color w:val="000000"/>
                <w:sz w:val="21"/>
                <w:szCs w:val="21"/>
              </w:rPr>
            </w:pPr>
          </w:p>
        </w:tc>
      </w:tr>
      <w:tr w14:paraId="2F899A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2F99F00">
            <w:pPr>
              <w:adjustRightInd w:val="0"/>
              <w:snapToGrid w:val="0"/>
              <w:jc w:val="center"/>
              <w:rPr>
                <w:rFonts w:hint="eastAsia"/>
                <w:color w:val="000000"/>
                <w:sz w:val="21"/>
                <w:szCs w:val="21"/>
              </w:rPr>
            </w:pPr>
            <w:r>
              <w:rPr>
                <w:sz w:val="21"/>
                <w:szCs w:val="21"/>
              </w:rPr>
              <w:t>1</w:t>
            </w:r>
          </w:p>
        </w:tc>
        <w:tc>
          <w:tcPr>
            <w:tcW w:w="1771" w:type="pct"/>
            <w:vAlign w:val="center"/>
          </w:tcPr>
          <w:p w14:paraId="7D55AA2C">
            <w:pPr>
              <w:spacing w:line="320" w:lineRule="exact"/>
              <w:rPr>
                <w:rFonts w:hint="eastAsia"/>
                <w:color w:val="000000"/>
                <w:sz w:val="21"/>
                <w:szCs w:val="21"/>
              </w:rPr>
            </w:pPr>
            <w:r>
              <w:rPr>
                <w:rFonts w:hint="eastAsia"/>
                <w:sz w:val="21"/>
                <w:szCs w:val="21"/>
              </w:rPr>
              <w:t>践行“两山”理论，体现人与自然和谐共生的可持续发展理念。</w:t>
            </w:r>
          </w:p>
        </w:tc>
        <w:tc>
          <w:tcPr>
            <w:tcW w:w="1892" w:type="pct"/>
            <w:vAlign w:val="center"/>
          </w:tcPr>
          <w:p w14:paraId="5A6E5EC2">
            <w:pPr>
              <w:adjustRightInd w:val="0"/>
              <w:snapToGrid w:val="0"/>
              <w:rPr>
                <w:rFonts w:hint="eastAsia"/>
                <w:color w:val="000000"/>
                <w:sz w:val="21"/>
                <w:szCs w:val="21"/>
              </w:rPr>
            </w:pPr>
            <w:r>
              <w:rPr>
                <w:sz w:val="21"/>
                <w:szCs w:val="21"/>
              </w:rPr>
              <w:t>设计充分考虑</w:t>
            </w:r>
            <w:r>
              <w:rPr>
                <w:rFonts w:hint="eastAsia"/>
                <w:sz w:val="21"/>
                <w:szCs w:val="21"/>
              </w:rPr>
              <w:t>人与自然和谐共生的可持续发展理念，得1</w:t>
            </w:r>
            <w:r>
              <w:rPr>
                <w:sz w:val="21"/>
                <w:szCs w:val="21"/>
              </w:rPr>
              <w:t>.5分。考虑不充分</w:t>
            </w:r>
            <w:r>
              <w:rPr>
                <w:color w:val="000000"/>
                <w:sz w:val="21"/>
                <w:szCs w:val="21"/>
              </w:rPr>
              <w:t>酌情扣减分数。</w:t>
            </w:r>
          </w:p>
        </w:tc>
        <w:tc>
          <w:tcPr>
            <w:tcW w:w="484" w:type="pct"/>
            <w:vAlign w:val="center"/>
          </w:tcPr>
          <w:p w14:paraId="57360D38">
            <w:pPr>
              <w:adjustRightInd w:val="0"/>
              <w:snapToGrid w:val="0"/>
              <w:jc w:val="center"/>
              <w:rPr>
                <w:rFonts w:hint="eastAsia"/>
                <w:color w:val="000000"/>
                <w:sz w:val="21"/>
                <w:szCs w:val="21"/>
              </w:rPr>
            </w:pPr>
            <w:r>
              <w:rPr>
                <w:sz w:val="21"/>
                <w:szCs w:val="21"/>
              </w:rPr>
              <w:t>1.5</w:t>
            </w:r>
          </w:p>
        </w:tc>
        <w:tc>
          <w:tcPr>
            <w:tcW w:w="488" w:type="pct"/>
            <w:vAlign w:val="center"/>
          </w:tcPr>
          <w:p w14:paraId="4FA607E4">
            <w:pPr>
              <w:adjustRightInd w:val="0"/>
              <w:snapToGrid w:val="0"/>
              <w:jc w:val="center"/>
              <w:rPr>
                <w:rFonts w:hint="eastAsia"/>
                <w:color w:val="000000"/>
                <w:sz w:val="21"/>
                <w:szCs w:val="21"/>
              </w:rPr>
            </w:pPr>
          </w:p>
        </w:tc>
      </w:tr>
      <w:tr w14:paraId="1AFC97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D089165">
            <w:pPr>
              <w:adjustRightInd w:val="0"/>
              <w:snapToGrid w:val="0"/>
              <w:jc w:val="center"/>
              <w:rPr>
                <w:rFonts w:hint="eastAsia"/>
                <w:color w:val="000000"/>
                <w:sz w:val="21"/>
                <w:szCs w:val="21"/>
              </w:rPr>
            </w:pPr>
            <w:r>
              <w:rPr>
                <w:sz w:val="21"/>
                <w:szCs w:val="21"/>
              </w:rPr>
              <w:t>2</w:t>
            </w:r>
          </w:p>
        </w:tc>
        <w:tc>
          <w:tcPr>
            <w:tcW w:w="1771" w:type="pct"/>
            <w:vAlign w:val="center"/>
          </w:tcPr>
          <w:p w14:paraId="5CBEA4BC">
            <w:pPr>
              <w:spacing w:line="320" w:lineRule="exact"/>
              <w:rPr>
                <w:rFonts w:hint="eastAsia"/>
                <w:color w:val="000000"/>
                <w:sz w:val="21"/>
                <w:szCs w:val="21"/>
              </w:rPr>
            </w:pPr>
            <w:r>
              <w:rPr>
                <w:rFonts w:hint="eastAsia"/>
                <w:sz w:val="21"/>
                <w:szCs w:val="21"/>
              </w:rPr>
              <w:t>电厂总体布置因地制宜，与生态环境、周边环境和谐统一。</w:t>
            </w:r>
          </w:p>
        </w:tc>
        <w:tc>
          <w:tcPr>
            <w:tcW w:w="1892" w:type="pct"/>
            <w:vAlign w:val="center"/>
          </w:tcPr>
          <w:p w14:paraId="18C2A05C">
            <w:pPr>
              <w:adjustRightInd w:val="0"/>
              <w:snapToGrid w:val="0"/>
              <w:rPr>
                <w:rFonts w:hint="eastAsia"/>
                <w:color w:val="000000"/>
                <w:sz w:val="21"/>
                <w:szCs w:val="21"/>
              </w:rPr>
            </w:pPr>
            <w:r>
              <w:rPr>
                <w:rFonts w:hint="eastAsia"/>
                <w:sz w:val="21"/>
                <w:szCs w:val="21"/>
              </w:rPr>
              <w:t>电厂总体布置因地制宜，与生态环境、周边环境和谐统一，得3</w:t>
            </w:r>
            <w:r>
              <w:rPr>
                <w:sz w:val="21"/>
                <w:szCs w:val="21"/>
              </w:rPr>
              <w:t>.0分，</w:t>
            </w:r>
            <w:r>
              <w:rPr>
                <w:color w:val="000000"/>
                <w:sz w:val="21"/>
                <w:szCs w:val="21"/>
              </w:rPr>
              <w:t>综合评判各项，酌情给予分值。</w:t>
            </w:r>
          </w:p>
        </w:tc>
        <w:tc>
          <w:tcPr>
            <w:tcW w:w="484" w:type="pct"/>
            <w:vAlign w:val="center"/>
          </w:tcPr>
          <w:p w14:paraId="7D8E97A6">
            <w:pPr>
              <w:adjustRightInd w:val="0"/>
              <w:snapToGrid w:val="0"/>
              <w:jc w:val="center"/>
              <w:rPr>
                <w:rFonts w:hint="eastAsia"/>
                <w:color w:val="000000"/>
                <w:sz w:val="21"/>
                <w:szCs w:val="21"/>
              </w:rPr>
            </w:pPr>
            <w:r>
              <w:rPr>
                <w:sz w:val="21"/>
                <w:szCs w:val="21"/>
              </w:rPr>
              <w:t>3.0</w:t>
            </w:r>
          </w:p>
        </w:tc>
        <w:tc>
          <w:tcPr>
            <w:tcW w:w="488" w:type="pct"/>
            <w:vAlign w:val="center"/>
          </w:tcPr>
          <w:p w14:paraId="625CBE47">
            <w:pPr>
              <w:adjustRightInd w:val="0"/>
              <w:snapToGrid w:val="0"/>
              <w:jc w:val="center"/>
              <w:rPr>
                <w:rFonts w:hint="eastAsia"/>
                <w:color w:val="000000"/>
                <w:sz w:val="21"/>
                <w:szCs w:val="21"/>
              </w:rPr>
            </w:pPr>
          </w:p>
        </w:tc>
      </w:tr>
      <w:tr w14:paraId="75ACAB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73E0DE6">
            <w:pPr>
              <w:adjustRightInd w:val="0"/>
              <w:snapToGrid w:val="0"/>
              <w:jc w:val="center"/>
              <w:rPr>
                <w:rFonts w:hint="eastAsia"/>
                <w:color w:val="000000"/>
                <w:sz w:val="21"/>
                <w:szCs w:val="21"/>
              </w:rPr>
            </w:pPr>
            <w:r>
              <w:rPr>
                <w:sz w:val="21"/>
                <w:szCs w:val="21"/>
              </w:rPr>
              <w:t>3</w:t>
            </w:r>
          </w:p>
        </w:tc>
        <w:tc>
          <w:tcPr>
            <w:tcW w:w="1771" w:type="pct"/>
            <w:vAlign w:val="center"/>
          </w:tcPr>
          <w:p w14:paraId="52A80CA4">
            <w:pPr>
              <w:spacing w:line="320" w:lineRule="exact"/>
              <w:rPr>
                <w:rFonts w:hint="eastAsia"/>
                <w:color w:val="000000"/>
                <w:sz w:val="21"/>
                <w:szCs w:val="21"/>
              </w:rPr>
            </w:pPr>
            <w:r>
              <w:rPr>
                <w:rFonts w:hint="eastAsia"/>
                <w:sz w:val="21"/>
                <w:szCs w:val="21"/>
              </w:rPr>
              <w:t>全厂</w:t>
            </w:r>
            <w:r>
              <w:rPr>
                <w:sz w:val="21"/>
                <w:szCs w:val="21"/>
              </w:rPr>
              <w:t>建筑</w:t>
            </w:r>
            <w:r>
              <w:rPr>
                <w:rFonts w:hint="eastAsia"/>
                <w:sz w:val="21"/>
                <w:szCs w:val="21"/>
              </w:rPr>
              <w:t>、色彩及景观一体化</w:t>
            </w:r>
            <w:r>
              <w:rPr>
                <w:sz w:val="21"/>
                <w:szCs w:val="21"/>
              </w:rPr>
              <w:t>设计，与</w:t>
            </w:r>
            <w:r>
              <w:rPr>
                <w:rFonts w:hint="eastAsia"/>
                <w:sz w:val="21"/>
                <w:szCs w:val="21"/>
              </w:rPr>
              <w:t>周边环境及国土空间规划</w:t>
            </w:r>
            <w:r>
              <w:rPr>
                <w:sz w:val="21"/>
                <w:szCs w:val="21"/>
              </w:rPr>
              <w:t>的协调性</w:t>
            </w:r>
            <w:r>
              <w:rPr>
                <w:rFonts w:hint="eastAsia"/>
                <w:sz w:val="21"/>
                <w:szCs w:val="21"/>
              </w:rPr>
              <w:t>好</w:t>
            </w:r>
            <w:r>
              <w:rPr>
                <w:sz w:val="21"/>
                <w:szCs w:val="21"/>
              </w:rPr>
              <w:t>，全厂</w:t>
            </w:r>
            <w:r>
              <w:rPr>
                <w:rFonts w:hint="eastAsia"/>
                <w:sz w:val="21"/>
                <w:szCs w:val="21"/>
              </w:rPr>
              <w:t>绿地</w:t>
            </w:r>
            <w:r>
              <w:rPr>
                <w:sz w:val="21"/>
                <w:szCs w:val="21"/>
              </w:rPr>
              <w:t>率</w:t>
            </w:r>
            <w:r>
              <w:rPr>
                <w:rFonts w:hint="eastAsia"/>
                <w:sz w:val="21"/>
                <w:szCs w:val="21"/>
              </w:rPr>
              <w:t>指标先进。</w:t>
            </w:r>
          </w:p>
        </w:tc>
        <w:tc>
          <w:tcPr>
            <w:tcW w:w="1892" w:type="pct"/>
            <w:vAlign w:val="center"/>
          </w:tcPr>
          <w:p w14:paraId="13F9D27D">
            <w:pPr>
              <w:adjustRightInd w:val="0"/>
              <w:snapToGrid w:val="0"/>
              <w:rPr>
                <w:rFonts w:hint="eastAsia"/>
                <w:color w:val="000000"/>
                <w:sz w:val="21"/>
                <w:szCs w:val="21"/>
              </w:rPr>
            </w:pPr>
            <w:r>
              <w:rPr>
                <w:rFonts w:hint="eastAsia"/>
                <w:sz w:val="21"/>
                <w:szCs w:val="21"/>
              </w:rPr>
              <w:t>全厂</w:t>
            </w:r>
            <w:r>
              <w:rPr>
                <w:sz w:val="21"/>
                <w:szCs w:val="21"/>
              </w:rPr>
              <w:t>建筑</w:t>
            </w:r>
            <w:r>
              <w:rPr>
                <w:rFonts w:hint="eastAsia"/>
                <w:sz w:val="21"/>
                <w:szCs w:val="21"/>
              </w:rPr>
              <w:t>、色彩及景观一体化</w:t>
            </w:r>
            <w:r>
              <w:rPr>
                <w:sz w:val="21"/>
                <w:szCs w:val="21"/>
              </w:rPr>
              <w:t>设计，效果好得1.0分，与</w:t>
            </w:r>
            <w:r>
              <w:rPr>
                <w:rFonts w:hint="eastAsia"/>
                <w:sz w:val="21"/>
                <w:szCs w:val="21"/>
              </w:rPr>
              <w:t>周边环境及国土空间规划</w:t>
            </w:r>
            <w:r>
              <w:rPr>
                <w:sz w:val="21"/>
                <w:szCs w:val="21"/>
              </w:rPr>
              <w:t>的协调性</w:t>
            </w:r>
            <w:r>
              <w:rPr>
                <w:rFonts w:hint="eastAsia"/>
                <w:sz w:val="21"/>
                <w:szCs w:val="21"/>
              </w:rPr>
              <w:t>好得1</w:t>
            </w:r>
            <w:r>
              <w:rPr>
                <w:sz w:val="21"/>
                <w:szCs w:val="21"/>
              </w:rPr>
              <w:t>.0分，全厂</w:t>
            </w:r>
            <w:r>
              <w:rPr>
                <w:rFonts w:hint="eastAsia"/>
                <w:sz w:val="21"/>
                <w:szCs w:val="21"/>
              </w:rPr>
              <w:t>绿地</w:t>
            </w:r>
            <w:r>
              <w:rPr>
                <w:sz w:val="21"/>
                <w:szCs w:val="21"/>
              </w:rPr>
              <w:t>率</w:t>
            </w:r>
            <w:r>
              <w:rPr>
                <w:rFonts w:hint="eastAsia"/>
                <w:sz w:val="21"/>
                <w:szCs w:val="21"/>
              </w:rPr>
              <w:t>指标先进得0</w:t>
            </w:r>
            <w:r>
              <w:rPr>
                <w:sz w:val="21"/>
                <w:szCs w:val="21"/>
              </w:rPr>
              <w:t>.5分</w:t>
            </w:r>
            <w:r>
              <w:rPr>
                <w:rFonts w:hint="eastAsia"/>
                <w:sz w:val="21"/>
                <w:szCs w:val="21"/>
              </w:rPr>
              <w:t>。</w:t>
            </w:r>
            <w:r>
              <w:rPr>
                <w:color w:val="000000"/>
                <w:sz w:val="21"/>
                <w:szCs w:val="21"/>
              </w:rPr>
              <w:t>综合评判各项，酌情给予分值。</w:t>
            </w:r>
          </w:p>
        </w:tc>
        <w:tc>
          <w:tcPr>
            <w:tcW w:w="484" w:type="pct"/>
            <w:vAlign w:val="center"/>
          </w:tcPr>
          <w:p w14:paraId="720CAFE4">
            <w:pPr>
              <w:adjustRightInd w:val="0"/>
              <w:snapToGrid w:val="0"/>
              <w:jc w:val="center"/>
              <w:rPr>
                <w:rFonts w:hint="eastAsia"/>
                <w:color w:val="000000"/>
                <w:sz w:val="21"/>
                <w:szCs w:val="21"/>
              </w:rPr>
            </w:pPr>
            <w:r>
              <w:rPr>
                <w:sz w:val="21"/>
                <w:szCs w:val="21"/>
              </w:rPr>
              <w:t>2.5</w:t>
            </w:r>
          </w:p>
        </w:tc>
        <w:tc>
          <w:tcPr>
            <w:tcW w:w="488" w:type="pct"/>
            <w:vAlign w:val="center"/>
          </w:tcPr>
          <w:p w14:paraId="6BC4BDA7">
            <w:pPr>
              <w:adjustRightInd w:val="0"/>
              <w:snapToGrid w:val="0"/>
              <w:jc w:val="center"/>
              <w:rPr>
                <w:rFonts w:hint="eastAsia"/>
                <w:color w:val="000000"/>
                <w:sz w:val="21"/>
                <w:szCs w:val="21"/>
              </w:rPr>
            </w:pPr>
          </w:p>
        </w:tc>
      </w:tr>
      <w:tr w14:paraId="732D30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C375784">
            <w:pPr>
              <w:adjustRightInd w:val="0"/>
              <w:snapToGrid w:val="0"/>
              <w:jc w:val="center"/>
              <w:rPr>
                <w:rFonts w:hint="eastAsia"/>
                <w:color w:val="000000"/>
                <w:sz w:val="21"/>
                <w:szCs w:val="21"/>
              </w:rPr>
            </w:pPr>
            <w:r>
              <w:rPr>
                <w:sz w:val="21"/>
                <w:szCs w:val="21"/>
              </w:rPr>
              <w:t>4</w:t>
            </w:r>
          </w:p>
        </w:tc>
        <w:tc>
          <w:tcPr>
            <w:tcW w:w="1771" w:type="pct"/>
            <w:vAlign w:val="center"/>
          </w:tcPr>
          <w:p w14:paraId="72255477">
            <w:pPr>
              <w:spacing w:line="320" w:lineRule="exact"/>
              <w:rPr>
                <w:rFonts w:hint="eastAsia"/>
                <w:color w:val="000000"/>
                <w:sz w:val="21"/>
                <w:szCs w:val="21"/>
              </w:rPr>
            </w:pPr>
            <w:r>
              <w:rPr>
                <w:rFonts w:hint="eastAsia"/>
                <w:sz w:val="21"/>
                <w:szCs w:val="21"/>
              </w:rPr>
              <w:t>厂区竖向布置方案合理，挖、填土石方量省，实现土石方量自身平衡，减少对水土保持、生态环境的影响。</w:t>
            </w:r>
          </w:p>
        </w:tc>
        <w:tc>
          <w:tcPr>
            <w:tcW w:w="1892" w:type="pct"/>
            <w:vAlign w:val="center"/>
          </w:tcPr>
          <w:p w14:paraId="1D2660A1">
            <w:pPr>
              <w:adjustRightInd w:val="0"/>
              <w:snapToGrid w:val="0"/>
              <w:rPr>
                <w:rFonts w:hint="eastAsia"/>
                <w:color w:val="000000"/>
                <w:sz w:val="21"/>
                <w:szCs w:val="21"/>
              </w:rPr>
            </w:pPr>
            <w:r>
              <w:rPr>
                <w:rFonts w:hint="eastAsia"/>
                <w:sz w:val="21"/>
                <w:szCs w:val="21"/>
              </w:rPr>
              <w:t>厂区竖向布置方案合理得1分，挖、填土石方量省实现土石方量自身平衡得1分。</w:t>
            </w:r>
            <w:r>
              <w:rPr>
                <w:color w:val="000000"/>
                <w:sz w:val="21"/>
                <w:szCs w:val="21"/>
              </w:rPr>
              <w:t>综合评判各项，酌情给予分值。</w:t>
            </w:r>
          </w:p>
        </w:tc>
        <w:tc>
          <w:tcPr>
            <w:tcW w:w="484" w:type="pct"/>
            <w:vAlign w:val="center"/>
          </w:tcPr>
          <w:p w14:paraId="6455BCA7">
            <w:pPr>
              <w:adjustRightInd w:val="0"/>
              <w:snapToGrid w:val="0"/>
              <w:jc w:val="center"/>
              <w:rPr>
                <w:rFonts w:hint="eastAsia"/>
                <w:color w:val="000000"/>
                <w:sz w:val="21"/>
                <w:szCs w:val="21"/>
              </w:rPr>
            </w:pPr>
            <w:r>
              <w:rPr>
                <w:sz w:val="21"/>
                <w:szCs w:val="21"/>
              </w:rPr>
              <w:t>2.0</w:t>
            </w:r>
          </w:p>
        </w:tc>
        <w:tc>
          <w:tcPr>
            <w:tcW w:w="488" w:type="pct"/>
            <w:vAlign w:val="center"/>
          </w:tcPr>
          <w:p w14:paraId="48334D66">
            <w:pPr>
              <w:adjustRightInd w:val="0"/>
              <w:snapToGrid w:val="0"/>
              <w:jc w:val="center"/>
              <w:rPr>
                <w:rFonts w:hint="eastAsia"/>
                <w:color w:val="000000"/>
                <w:sz w:val="21"/>
                <w:szCs w:val="21"/>
              </w:rPr>
            </w:pPr>
          </w:p>
        </w:tc>
      </w:tr>
      <w:tr w14:paraId="5BC07B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79C0EF2">
            <w:pPr>
              <w:adjustRightInd w:val="0"/>
              <w:snapToGrid w:val="0"/>
              <w:jc w:val="center"/>
              <w:rPr>
                <w:rFonts w:hint="eastAsia"/>
                <w:color w:val="000000"/>
                <w:sz w:val="21"/>
                <w:szCs w:val="21"/>
              </w:rPr>
            </w:pPr>
            <w:r>
              <w:rPr>
                <w:sz w:val="21"/>
                <w:szCs w:val="21"/>
              </w:rPr>
              <w:t>5</w:t>
            </w:r>
          </w:p>
        </w:tc>
        <w:tc>
          <w:tcPr>
            <w:tcW w:w="1771" w:type="pct"/>
            <w:vAlign w:val="center"/>
          </w:tcPr>
          <w:p w14:paraId="28F63328">
            <w:pPr>
              <w:spacing w:line="320" w:lineRule="exact"/>
              <w:rPr>
                <w:rFonts w:hint="eastAsia"/>
                <w:color w:val="000000"/>
                <w:sz w:val="21"/>
                <w:szCs w:val="21"/>
              </w:rPr>
            </w:pPr>
            <w:r>
              <w:rPr>
                <w:rFonts w:hint="eastAsia"/>
                <w:sz w:val="21"/>
                <w:szCs w:val="21"/>
              </w:rPr>
              <w:t>环境保护各项技术路线先进。烟尘处理方案、脱硫处理方案、脱硝处理方案、废水处理方案、灰渣处置及综合利用、噪声防护措施等科学合理，</w:t>
            </w:r>
            <w:r>
              <w:rPr>
                <w:sz w:val="21"/>
                <w:szCs w:val="21"/>
              </w:rPr>
              <w:t xml:space="preserve"> </w:t>
            </w:r>
            <w:r>
              <w:rPr>
                <w:rFonts w:hint="eastAsia"/>
                <w:sz w:val="21"/>
                <w:szCs w:val="21"/>
              </w:rPr>
              <w:t>技术成熟，运行效果好。</w:t>
            </w:r>
          </w:p>
        </w:tc>
        <w:tc>
          <w:tcPr>
            <w:tcW w:w="1892" w:type="pct"/>
            <w:vAlign w:val="center"/>
          </w:tcPr>
          <w:p w14:paraId="081545D3">
            <w:pPr>
              <w:adjustRightInd w:val="0"/>
              <w:snapToGrid w:val="0"/>
              <w:rPr>
                <w:rFonts w:hint="eastAsia"/>
                <w:color w:val="000000"/>
                <w:sz w:val="21"/>
                <w:szCs w:val="21"/>
              </w:rPr>
            </w:pPr>
            <w:r>
              <w:rPr>
                <w:rFonts w:hint="eastAsia"/>
                <w:sz w:val="21"/>
                <w:szCs w:val="21"/>
              </w:rPr>
              <w:t>烟尘处理方案、脱硫处理方案、脱硝处理方案、废水处理方案、灰渣处置及综合利用、噪声防护措施各得</w:t>
            </w:r>
            <w:r>
              <w:rPr>
                <w:sz w:val="21"/>
                <w:szCs w:val="21"/>
              </w:rPr>
              <w:t>0.5分。</w:t>
            </w:r>
            <w:r>
              <w:rPr>
                <w:color w:val="000000"/>
                <w:sz w:val="21"/>
                <w:szCs w:val="21"/>
              </w:rPr>
              <w:t>综合评判各项，酌情给予分值。</w:t>
            </w:r>
          </w:p>
        </w:tc>
        <w:tc>
          <w:tcPr>
            <w:tcW w:w="484" w:type="pct"/>
            <w:vAlign w:val="center"/>
          </w:tcPr>
          <w:p w14:paraId="33245D49">
            <w:pPr>
              <w:adjustRightInd w:val="0"/>
              <w:snapToGrid w:val="0"/>
              <w:jc w:val="center"/>
              <w:rPr>
                <w:rFonts w:hint="eastAsia"/>
                <w:color w:val="000000"/>
                <w:sz w:val="21"/>
                <w:szCs w:val="21"/>
              </w:rPr>
            </w:pPr>
            <w:r>
              <w:rPr>
                <w:sz w:val="21"/>
                <w:szCs w:val="21"/>
              </w:rPr>
              <w:t>3.0</w:t>
            </w:r>
          </w:p>
        </w:tc>
        <w:tc>
          <w:tcPr>
            <w:tcW w:w="488" w:type="pct"/>
            <w:vAlign w:val="center"/>
          </w:tcPr>
          <w:p w14:paraId="151B84C0">
            <w:pPr>
              <w:adjustRightInd w:val="0"/>
              <w:snapToGrid w:val="0"/>
              <w:jc w:val="center"/>
              <w:rPr>
                <w:rFonts w:hint="eastAsia"/>
                <w:color w:val="000000"/>
                <w:sz w:val="21"/>
                <w:szCs w:val="21"/>
              </w:rPr>
            </w:pPr>
          </w:p>
        </w:tc>
      </w:tr>
      <w:tr w14:paraId="05647B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247836F">
            <w:pPr>
              <w:adjustRightInd w:val="0"/>
              <w:snapToGrid w:val="0"/>
              <w:jc w:val="center"/>
              <w:rPr>
                <w:rFonts w:hint="eastAsia"/>
                <w:color w:val="000000"/>
                <w:sz w:val="21"/>
                <w:szCs w:val="21"/>
              </w:rPr>
            </w:pPr>
            <w:r>
              <w:rPr>
                <w:sz w:val="21"/>
                <w:szCs w:val="21"/>
              </w:rPr>
              <w:t>6</w:t>
            </w:r>
          </w:p>
        </w:tc>
        <w:tc>
          <w:tcPr>
            <w:tcW w:w="1771" w:type="pct"/>
            <w:vAlign w:val="center"/>
          </w:tcPr>
          <w:p w14:paraId="0C89E4DC">
            <w:pPr>
              <w:spacing w:line="320" w:lineRule="exact"/>
              <w:rPr>
                <w:rFonts w:hint="eastAsia"/>
                <w:color w:val="000000"/>
                <w:sz w:val="21"/>
                <w:szCs w:val="21"/>
              </w:rPr>
            </w:pPr>
            <w:r>
              <w:rPr>
                <w:sz w:val="21"/>
                <w:szCs w:val="21"/>
              </w:rPr>
              <w:t xml:space="preserve">工程尘、硫、氮、水、气、声、渣、灰全过程、全要素、全链条全面环保达标，排放标准满足国家及当地超低排放要求。 </w:t>
            </w:r>
          </w:p>
        </w:tc>
        <w:tc>
          <w:tcPr>
            <w:tcW w:w="1892" w:type="pct"/>
            <w:vAlign w:val="center"/>
          </w:tcPr>
          <w:p w14:paraId="211D93DC">
            <w:pPr>
              <w:adjustRightInd w:val="0"/>
              <w:snapToGrid w:val="0"/>
              <w:rPr>
                <w:rFonts w:hint="eastAsia"/>
                <w:color w:val="000000"/>
                <w:sz w:val="21"/>
                <w:szCs w:val="21"/>
              </w:rPr>
            </w:pPr>
            <w:r>
              <w:rPr>
                <w:sz w:val="21"/>
                <w:szCs w:val="21"/>
              </w:rPr>
              <w:t>烟尘、二氧化硫、氮氧化物、废水、废气、噪音、灰渣排放达到环保要求，得</w:t>
            </w:r>
            <w:r>
              <w:rPr>
                <w:rFonts w:hint="eastAsia"/>
                <w:sz w:val="21"/>
                <w:szCs w:val="21"/>
              </w:rPr>
              <w:t>3分，有1项未达标扣减1分，扣减至0分为止。</w:t>
            </w:r>
          </w:p>
        </w:tc>
        <w:tc>
          <w:tcPr>
            <w:tcW w:w="484" w:type="pct"/>
            <w:vAlign w:val="center"/>
          </w:tcPr>
          <w:p w14:paraId="06BE116B">
            <w:pPr>
              <w:adjustRightInd w:val="0"/>
              <w:snapToGrid w:val="0"/>
              <w:jc w:val="center"/>
              <w:rPr>
                <w:rFonts w:hint="eastAsia"/>
                <w:color w:val="000000"/>
                <w:sz w:val="21"/>
                <w:szCs w:val="21"/>
              </w:rPr>
            </w:pPr>
            <w:r>
              <w:rPr>
                <w:sz w:val="21"/>
                <w:szCs w:val="21"/>
              </w:rPr>
              <w:t>3.0</w:t>
            </w:r>
          </w:p>
        </w:tc>
        <w:tc>
          <w:tcPr>
            <w:tcW w:w="488" w:type="pct"/>
            <w:vAlign w:val="center"/>
          </w:tcPr>
          <w:p w14:paraId="44AEEA6F">
            <w:pPr>
              <w:adjustRightInd w:val="0"/>
              <w:snapToGrid w:val="0"/>
              <w:jc w:val="center"/>
              <w:rPr>
                <w:rFonts w:hint="eastAsia"/>
                <w:color w:val="000000"/>
                <w:sz w:val="21"/>
                <w:szCs w:val="21"/>
              </w:rPr>
            </w:pPr>
          </w:p>
        </w:tc>
      </w:tr>
      <w:tr w14:paraId="0BAE85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AD47834">
            <w:pPr>
              <w:adjustRightInd w:val="0"/>
              <w:snapToGrid w:val="0"/>
              <w:jc w:val="center"/>
              <w:rPr>
                <w:rFonts w:hint="eastAsia"/>
                <w:color w:val="000000"/>
                <w:sz w:val="21"/>
                <w:szCs w:val="21"/>
              </w:rPr>
            </w:pPr>
            <w:r>
              <w:rPr>
                <w:rFonts w:hint="eastAsia"/>
                <w:b/>
                <w:bCs/>
                <w:color w:val="000000"/>
                <w:sz w:val="21"/>
                <w:szCs w:val="21"/>
              </w:rPr>
              <w:t>5.1.4</w:t>
            </w:r>
          </w:p>
        </w:tc>
        <w:tc>
          <w:tcPr>
            <w:tcW w:w="1771" w:type="pct"/>
            <w:vAlign w:val="center"/>
          </w:tcPr>
          <w:p w14:paraId="44144D37">
            <w:pPr>
              <w:spacing w:line="320" w:lineRule="exact"/>
              <w:rPr>
                <w:rFonts w:hint="eastAsia"/>
                <w:sz w:val="21"/>
                <w:szCs w:val="21"/>
              </w:rPr>
            </w:pPr>
            <w:r>
              <w:rPr>
                <w:rFonts w:hint="eastAsia"/>
                <w:b/>
                <w:bCs/>
                <w:color w:val="000000"/>
                <w:sz w:val="21"/>
                <w:szCs w:val="21"/>
              </w:rPr>
              <w:t>综合效益</w:t>
            </w:r>
          </w:p>
        </w:tc>
        <w:tc>
          <w:tcPr>
            <w:tcW w:w="1892" w:type="pct"/>
            <w:vAlign w:val="center"/>
          </w:tcPr>
          <w:p w14:paraId="59E3073A">
            <w:pPr>
              <w:adjustRightInd w:val="0"/>
              <w:snapToGrid w:val="0"/>
              <w:rPr>
                <w:rFonts w:hint="eastAsia"/>
                <w:color w:val="000000"/>
                <w:sz w:val="21"/>
                <w:szCs w:val="21"/>
              </w:rPr>
            </w:pPr>
          </w:p>
        </w:tc>
        <w:tc>
          <w:tcPr>
            <w:tcW w:w="484" w:type="pct"/>
            <w:vAlign w:val="center"/>
          </w:tcPr>
          <w:p w14:paraId="75992A83">
            <w:pPr>
              <w:adjustRightInd w:val="0"/>
              <w:snapToGrid w:val="0"/>
              <w:jc w:val="center"/>
              <w:rPr>
                <w:rFonts w:hint="eastAsia"/>
                <w:color w:val="000000"/>
                <w:sz w:val="21"/>
                <w:szCs w:val="21"/>
              </w:rPr>
            </w:pPr>
            <w:r>
              <w:rPr>
                <w:rFonts w:hint="eastAsia"/>
                <w:color w:val="000000"/>
                <w:sz w:val="21"/>
                <w:szCs w:val="21"/>
              </w:rPr>
              <w:t>20</w:t>
            </w:r>
          </w:p>
        </w:tc>
        <w:tc>
          <w:tcPr>
            <w:tcW w:w="488" w:type="pct"/>
            <w:vAlign w:val="center"/>
          </w:tcPr>
          <w:p w14:paraId="1000D9C1">
            <w:pPr>
              <w:adjustRightInd w:val="0"/>
              <w:snapToGrid w:val="0"/>
              <w:jc w:val="center"/>
              <w:rPr>
                <w:rFonts w:hint="eastAsia"/>
                <w:color w:val="000000"/>
                <w:sz w:val="21"/>
                <w:szCs w:val="21"/>
              </w:rPr>
            </w:pPr>
          </w:p>
        </w:tc>
      </w:tr>
      <w:tr w14:paraId="09B19E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150B8C8">
            <w:pPr>
              <w:adjustRightInd w:val="0"/>
              <w:snapToGrid w:val="0"/>
              <w:jc w:val="center"/>
              <w:rPr>
                <w:rFonts w:hint="eastAsia"/>
                <w:color w:val="000000"/>
                <w:sz w:val="21"/>
                <w:szCs w:val="21"/>
              </w:rPr>
            </w:pPr>
            <w:r>
              <w:rPr>
                <w:sz w:val="21"/>
                <w:szCs w:val="21"/>
              </w:rPr>
              <w:t>1</w:t>
            </w:r>
          </w:p>
        </w:tc>
        <w:tc>
          <w:tcPr>
            <w:tcW w:w="1771" w:type="pct"/>
            <w:vAlign w:val="center"/>
          </w:tcPr>
          <w:p w14:paraId="50CDB549">
            <w:pPr>
              <w:spacing w:line="320" w:lineRule="exact"/>
              <w:rPr>
                <w:rFonts w:hint="eastAsia"/>
                <w:color w:val="000000"/>
                <w:sz w:val="21"/>
                <w:szCs w:val="21"/>
              </w:rPr>
            </w:pPr>
            <w:r>
              <w:rPr>
                <w:rFonts w:hint="eastAsia"/>
                <w:sz w:val="21"/>
                <w:szCs w:val="21"/>
              </w:rPr>
              <w:t>经济效益好，</w:t>
            </w:r>
            <w:r>
              <w:rPr>
                <w:sz w:val="21"/>
                <w:szCs w:val="21"/>
              </w:rPr>
              <w:t xml:space="preserve">投资回报率高。与同类同期工程相比较，综合投资省，重要经济技术指标处于领先水平。 </w:t>
            </w:r>
          </w:p>
        </w:tc>
        <w:tc>
          <w:tcPr>
            <w:tcW w:w="1892" w:type="pct"/>
            <w:vAlign w:val="center"/>
          </w:tcPr>
          <w:p w14:paraId="7EB0892F">
            <w:pPr>
              <w:adjustRightInd w:val="0"/>
              <w:snapToGrid w:val="0"/>
              <w:rPr>
                <w:rFonts w:hint="eastAsia"/>
                <w:color w:val="000000"/>
                <w:sz w:val="21"/>
                <w:szCs w:val="21"/>
              </w:rPr>
            </w:pPr>
            <w:r>
              <w:rPr>
                <w:sz w:val="21"/>
                <w:szCs w:val="21"/>
              </w:rPr>
              <w:t>重点考核综合投资及资本金内部收益率指标，综合投资省、资本金内部收益率18%及以上得</w:t>
            </w:r>
            <w:r>
              <w:rPr>
                <w:rFonts w:hint="eastAsia"/>
                <w:sz w:val="21"/>
                <w:szCs w:val="21"/>
              </w:rPr>
              <w:t>1</w:t>
            </w:r>
            <w:r>
              <w:rPr>
                <w:sz w:val="21"/>
                <w:szCs w:val="21"/>
              </w:rPr>
              <w:t>0分，综合投资较省、资本金内部收益率</w:t>
            </w:r>
            <w:r>
              <w:rPr>
                <w:rFonts w:hint="eastAsia"/>
                <w:sz w:val="21"/>
                <w:szCs w:val="21"/>
              </w:rPr>
              <w:t>2</w:t>
            </w:r>
            <w:r>
              <w:rPr>
                <w:sz w:val="21"/>
                <w:szCs w:val="21"/>
              </w:rPr>
              <w:t>0%及以上得</w:t>
            </w:r>
            <w:r>
              <w:rPr>
                <w:rFonts w:hint="eastAsia"/>
                <w:sz w:val="21"/>
                <w:szCs w:val="21"/>
              </w:rPr>
              <w:t>1</w:t>
            </w:r>
            <w:r>
              <w:rPr>
                <w:sz w:val="21"/>
                <w:szCs w:val="21"/>
              </w:rPr>
              <w:t>5%（含</w:t>
            </w:r>
            <w:r>
              <w:rPr>
                <w:rFonts w:hint="eastAsia"/>
                <w:sz w:val="21"/>
                <w:szCs w:val="21"/>
              </w:rPr>
              <w:t>1</w:t>
            </w:r>
            <w:r>
              <w:rPr>
                <w:sz w:val="21"/>
                <w:szCs w:val="21"/>
              </w:rPr>
              <w:t>5%）-</w:t>
            </w:r>
            <w:r>
              <w:rPr>
                <w:rFonts w:hint="eastAsia"/>
                <w:sz w:val="21"/>
                <w:szCs w:val="21"/>
              </w:rPr>
              <w:t>2</w:t>
            </w:r>
            <w:r>
              <w:rPr>
                <w:sz w:val="21"/>
                <w:szCs w:val="21"/>
              </w:rPr>
              <w:t>0%得8.5</w:t>
            </w:r>
            <w:r>
              <w:rPr>
                <w:rFonts w:hint="eastAsia"/>
                <w:sz w:val="21"/>
                <w:szCs w:val="21"/>
              </w:rPr>
              <w:t>分，1</w:t>
            </w:r>
            <w:r>
              <w:rPr>
                <w:sz w:val="21"/>
                <w:szCs w:val="21"/>
              </w:rPr>
              <w:t>0%（含</w:t>
            </w:r>
            <w:r>
              <w:rPr>
                <w:rFonts w:hint="eastAsia"/>
                <w:sz w:val="21"/>
                <w:szCs w:val="21"/>
              </w:rPr>
              <w:t>1</w:t>
            </w:r>
            <w:r>
              <w:rPr>
                <w:sz w:val="21"/>
                <w:szCs w:val="21"/>
              </w:rPr>
              <w:t>0%）-15%得7</w:t>
            </w:r>
            <w:r>
              <w:rPr>
                <w:rFonts w:hint="eastAsia"/>
                <w:sz w:val="21"/>
                <w:szCs w:val="21"/>
              </w:rPr>
              <w:t>分</w:t>
            </w:r>
            <w:r>
              <w:rPr>
                <w:sz w:val="21"/>
                <w:szCs w:val="21"/>
              </w:rPr>
              <w:t>。</w:t>
            </w:r>
          </w:p>
        </w:tc>
        <w:tc>
          <w:tcPr>
            <w:tcW w:w="484" w:type="pct"/>
            <w:vAlign w:val="center"/>
          </w:tcPr>
          <w:p w14:paraId="558BBDD8">
            <w:pPr>
              <w:adjustRightInd w:val="0"/>
              <w:snapToGrid w:val="0"/>
              <w:jc w:val="center"/>
              <w:rPr>
                <w:rFonts w:hint="eastAsia"/>
                <w:color w:val="000000"/>
                <w:sz w:val="21"/>
                <w:szCs w:val="21"/>
              </w:rPr>
            </w:pPr>
            <w:r>
              <w:rPr>
                <w:rFonts w:hint="eastAsia"/>
                <w:color w:val="000000"/>
                <w:sz w:val="21"/>
                <w:szCs w:val="21"/>
              </w:rPr>
              <w:t>1</w:t>
            </w:r>
            <w:r>
              <w:rPr>
                <w:color w:val="000000"/>
                <w:sz w:val="21"/>
                <w:szCs w:val="21"/>
              </w:rPr>
              <w:t>0</w:t>
            </w:r>
          </w:p>
        </w:tc>
        <w:tc>
          <w:tcPr>
            <w:tcW w:w="488" w:type="pct"/>
            <w:vAlign w:val="center"/>
          </w:tcPr>
          <w:p w14:paraId="6CFEE55A">
            <w:pPr>
              <w:adjustRightInd w:val="0"/>
              <w:snapToGrid w:val="0"/>
              <w:jc w:val="center"/>
              <w:rPr>
                <w:rFonts w:hint="eastAsia"/>
                <w:color w:val="000000"/>
                <w:sz w:val="21"/>
                <w:szCs w:val="21"/>
              </w:rPr>
            </w:pPr>
          </w:p>
        </w:tc>
      </w:tr>
      <w:tr w14:paraId="1CC724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E161CFE">
            <w:pPr>
              <w:adjustRightInd w:val="0"/>
              <w:snapToGrid w:val="0"/>
              <w:jc w:val="center"/>
              <w:rPr>
                <w:rFonts w:hint="eastAsia"/>
                <w:color w:val="000000"/>
                <w:sz w:val="21"/>
                <w:szCs w:val="21"/>
              </w:rPr>
            </w:pPr>
            <w:r>
              <w:rPr>
                <w:rFonts w:hint="eastAsia"/>
                <w:sz w:val="21"/>
                <w:szCs w:val="21"/>
              </w:rPr>
              <w:t>2</w:t>
            </w:r>
          </w:p>
        </w:tc>
        <w:tc>
          <w:tcPr>
            <w:tcW w:w="1771" w:type="pct"/>
            <w:vAlign w:val="center"/>
          </w:tcPr>
          <w:p w14:paraId="31634518">
            <w:pPr>
              <w:spacing w:line="320" w:lineRule="exact"/>
              <w:rPr>
                <w:rFonts w:hint="eastAsia"/>
                <w:color w:val="000000"/>
                <w:sz w:val="21"/>
                <w:szCs w:val="21"/>
              </w:rPr>
            </w:pPr>
            <w:r>
              <w:rPr>
                <w:sz w:val="21"/>
                <w:szCs w:val="21"/>
              </w:rPr>
              <w:t>对当地财政税收贡献大，助力地方经济，实现可持续发展。</w:t>
            </w:r>
          </w:p>
        </w:tc>
        <w:tc>
          <w:tcPr>
            <w:tcW w:w="1892" w:type="pct"/>
            <w:vAlign w:val="center"/>
          </w:tcPr>
          <w:p w14:paraId="485E7745">
            <w:pPr>
              <w:adjustRightInd w:val="0"/>
              <w:snapToGrid w:val="0"/>
              <w:rPr>
                <w:rFonts w:hint="eastAsia"/>
                <w:color w:val="000000"/>
                <w:sz w:val="21"/>
                <w:szCs w:val="21"/>
              </w:rPr>
            </w:pPr>
            <w:r>
              <w:rPr>
                <w:sz w:val="21"/>
                <w:szCs w:val="21"/>
              </w:rPr>
              <w:t>参评项目对当地财政税收贡献综合统计，</w:t>
            </w:r>
            <w:r>
              <w:rPr>
                <w:color w:val="000000"/>
                <w:sz w:val="21"/>
                <w:szCs w:val="21"/>
              </w:rPr>
              <w:t>综合评判，酌情给予分值。</w:t>
            </w:r>
          </w:p>
        </w:tc>
        <w:tc>
          <w:tcPr>
            <w:tcW w:w="484" w:type="pct"/>
            <w:vAlign w:val="center"/>
          </w:tcPr>
          <w:p w14:paraId="6B126BD4">
            <w:pPr>
              <w:adjustRightInd w:val="0"/>
              <w:snapToGrid w:val="0"/>
              <w:jc w:val="center"/>
              <w:rPr>
                <w:rFonts w:hint="eastAsia"/>
                <w:color w:val="000000"/>
                <w:sz w:val="21"/>
                <w:szCs w:val="21"/>
              </w:rPr>
            </w:pPr>
            <w:r>
              <w:rPr>
                <w:color w:val="000000"/>
                <w:sz w:val="21"/>
                <w:szCs w:val="21"/>
              </w:rPr>
              <w:t>10</w:t>
            </w:r>
          </w:p>
        </w:tc>
        <w:tc>
          <w:tcPr>
            <w:tcW w:w="488" w:type="pct"/>
            <w:vAlign w:val="center"/>
          </w:tcPr>
          <w:p w14:paraId="3CBF9515">
            <w:pPr>
              <w:adjustRightInd w:val="0"/>
              <w:snapToGrid w:val="0"/>
              <w:jc w:val="center"/>
              <w:rPr>
                <w:rFonts w:hint="eastAsia"/>
                <w:color w:val="000000"/>
                <w:sz w:val="21"/>
                <w:szCs w:val="21"/>
              </w:rPr>
            </w:pPr>
          </w:p>
        </w:tc>
      </w:tr>
      <w:tr w14:paraId="4E0F1B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EC526CD">
            <w:pPr>
              <w:adjustRightInd w:val="0"/>
              <w:snapToGrid w:val="0"/>
              <w:jc w:val="center"/>
              <w:rPr>
                <w:rFonts w:hint="eastAsia"/>
                <w:color w:val="000000"/>
                <w:sz w:val="21"/>
                <w:szCs w:val="21"/>
              </w:rPr>
            </w:pPr>
            <w:r>
              <w:rPr>
                <w:rFonts w:hint="eastAsia"/>
                <w:sz w:val="21"/>
                <w:szCs w:val="21"/>
              </w:rPr>
              <w:t>3</w:t>
            </w:r>
          </w:p>
        </w:tc>
        <w:tc>
          <w:tcPr>
            <w:tcW w:w="1771" w:type="pct"/>
            <w:vAlign w:val="center"/>
          </w:tcPr>
          <w:p w14:paraId="0C6E51A1">
            <w:pPr>
              <w:spacing w:line="320" w:lineRule="exact"/>
              <w:rPr>
                <w:rFonts w:hint="eastAsia"/>
                <w:color w:val="000000"/>
                <w:sz w:val="21"/>
                <w:szCs w:val="21"/>
              </w:rPr>
            </w:pPr>
            <w:r>
              <w:rPr>
                <w:sz w:val="21"/>
                <w:szCs w:val="21"/>
              </w:rPr>
              <w:t>项目</w:t>
            </w:r>
            <w:r>
              <w:rPr>
                <w:rFonts w:hint="eastAsia"/>
                <w:sz w:val="21"/>
                <w:szCs w:val="21"/>
              </w:rPr>
              <w:t>在资源节约、生态环保等方面亮点突出，</w:t>
            </w:r>
            <w:r>
              <w:rPr>
                <w:sz w:val="21"/>
                <w:szCs w:val="21"/>
              </w:rPr>
              <w:t>推动生态治理与战略性转型产业深度融合</w:t>
            </w:r>
            <w:r>
              <w:rPr>
                <w:rFonts w:hint="eastAsia"/>
                <w:sz w:val="21"/>
                <w:szCs w:val="21"/>
              </w:rPr>
              <w:t>，社会满意度较高。</w:t>
            </w:r>
          </w:p>
        </w:tc>
        <w:tc>
          <w:tcPr>
            <w:tcW w:w="1892" w:type="pct"/>
            <w:vAlign w:val="center"/>
          </w:tcPr>
          <w:p w14:paraId="7F3E4814">
            <w:pPr>
              <w:adjustRightInd w:val="0"/>
              <w:snapToGrid w:val="0"/>
              <w:rPr>
                <w:rFonts w:hint="eastAsia"/>
                <w:color w:val="000000"/>
                <w:sz w:val="21"/>
                <w:szCs w:val="21"/>
              </w:rPr>
            </w:pPr>
            <w:r>
              <w:rPr>
                <w:rFonts w:hint="eastAsia"/>
                <w:sz w:val="21"/>
                <w:szCs w:val="21"/>
              </w:rPr>
              <w:t>在资源节约、生态环保等方面亮点突出，</w:t>
            </w:r>
            <w:r>
              <w:rPr>
                <w:sz w:val="21"/>
                <w:szCs w:val="21"/>
              </w:rPr>
              <w:t>推动生态治理与战略性转型产业深度融合，环保及社会效益突出，得</w:t>
            </w:r>
            <w:r>
              <w:rPr>
                <w:rFonts w:hint="eastAsia"/>
                <w:sz w:val="21"/>
                <w:szCs w:val="21"/>
              </w:rPr>
              <w:t>1</w:t>
            </w:r>
            <w:r>
              <w:rPr>
                <w:sz w:val="21"/>
                <w:szCs w:val="21"/>
              </w:rPr>
              <w:t>0分。</w:t>
            </w:r>
            <w:r>
              <w:rPr>
                <w:color w:val="000000"/>
                <w:sz w:val="21"/>
                <w:szCs w:val="21"/>
              </w:rPr>
              <w:t>综合评判各项，酌情给予分值。</w:t>
            </w:r>
          </w:p>
        </w:tc>
        <w:tc>
          <w:tcPr>
            <w:tcW w:w="484" w:type="pct"/>
            <w:vAlign w:val="center"/>
          </w:tcPr>
          <w:p w14:paraId="1360291F">
            <w:pPr>
              <w:adjustRightInd w:val="0"/>
              <w:snapToGrid w:val="0"/>
              <w:jc w:val="center"/>
              <w:rPr>
                <w:rFonts w:hint="eastAsia"/>
                <w:color w:val="000000"/>
                <w:sz w:val="21"/>
                <w:szCs w:val="21"/>
              </w:rPr>
            </w:pPr>
            <w:r>
              <w:rPr>
                <w:color w:val="000000"/>
                <w:sz w:val="21"/>
                <w:szCs w:val="21"/>
              </w:rPr>
              <w:t>10</w:t>
            </w:r>
          </w:p>
        </w:tc>
        <w:tc>
          <w:tcPr>
            <w:tcW w:w="488" w:type="pct"/>
            <w:vAlign w:val="center"/>
          </w:tcPr>
          <w:p w14:paraId="6B16357E">
            <w:pPr>
              <w:adjustRightInd w:val="0"/>
              <w:snapToGrid w:val="0"/>
              <w:jc w:val="center"/>
              <w:rPr>
                <w:rFonts w:hint="eastAsia"/>
                <w:color w:val="000000"/>
                <w:sz w:val="21"/>
                <w:szCs w:val="21"/>
              </w:rPr>
            </w:pPr>
          </w:p>
        </w:tc>
      </w:tr>
      <w:tr w14:paraId="629443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4A10F4C">
            <w:pPr>
              <w:adjustRightInd w:val="0"/>
              <w:snapToGrid w:val="0"/>
              <w:jc w:val="center"/>
              <w:rPr>
                <w:rFonts w:hint="eastAsia"/>
                <w:color w:val="000000"/>
                <w:sz w:val="21"/>
                <w:szCs w:val="21"/>
              </w:rPr>
            </w:pPr>
            <w:r>
              <w:rPr>
                <w:rFonts w:hint="eastAsia"/>
                <w:b/>
                <w:bCs/>
                <w:color w:val="000000"/>
                <w:sz w:val="21"/>
                <w:szCs w:val="21"/>
              </w:rPr>
              <w:t>5.1.5</w:t>
            </w:r>
          </w:p>
        </w:tc>
        <w:tc>
          <w:tcPr>
            <w:tcW w:w="1771" w:type="pct"/>
            <w:vAlign w:val="center"/>
          </w:tcPr>
          <w:p w14:paraId="21D4A1FD">
            <w:pPr>
              <w:spacing w:line="320" w:lineRule="exact"/>
              <w:rPr>
                <w:rFonts w:hint="eastAsia"/>
                <w:sz w:val="21"/>
                <w:szCs w:val="21"/>
              </w:rPr>
            </w:pPr>
            <w:r>
              <w:rPr>
                <w:rFonts w:hint="eastAsia"/>
                <w:b/>
                <w:bCs/>
                <w:color w:val="000000"/>
                <w:sz w:val="21"/>
                <w:szCs w:val="21"/>
              </w:rPr>
              <w:t>科技创新</w:t>
            </w:r>
          </w:p>
        </w:tc>
        <w:tc>
          <w:tcPr>
            <w:tcW w:w="1892" w:type="pct"/>
            <w:vAlign w:val="center"/>
          </w:tcPr>
          <w:p w14:paraId="75573668">
            <w:pPr>
              <w:adjustRightInd w:val="0"/>
              <w:snapToGrid w:val="0"/>
              <w:rPr>
                <w:rFonts w:hint="eastAsia"/>
                <w:color w:val="000000"/>
                <w:sz w:val="21"/>
                <w:szCs w:val="21"/>
              </w:rPr>
            </w:pPr>
          </w:p>
        </w:tc>
        <w:tc>
          <w:tcPr>
            <w:tcW w:w="484" w:type="pct"/>
            <w:vAlign w:val="center"/>
          </w:tcPr>
          <w:p w14:paraId="2DCF2945">
            <w:pPr>
              <w:adjustRightInd w:val="0"/>
              <w:snapToGrid w:val="0"/>
              <w:jc w:val="center"/>
              <w:rPr>
                <w:rFonts w:hint="eastAsia"/>
                <w:color w:val="000000"/>
                <w:sz w:val="21"/>
                <w:szCs w:val="21"/>
              </w:rPr>
            </w:pPr>
            <w:r>
              <w:rPr>
                <w:rFonts w:hint="eastAsia"/>
                <w:color w:val="000000"/>
                <w:sz w:val="21"/>
                <w:szCs w:val="21"/>
              </w:rPr>
              <w:t>20</w:t>
            </w:r>
          </w:p>
        </w:tc>
        <w:tc>
          <w:tcPr>
            <w:tcW w:w="488" w:type="pct"/>
            <w:vAlign w:val="center"/>
          </w:tcPr>
          <w:p w14:paraId="7F6F0EB5">
            <w:pPr>
              <w:adjustRightInd w:val="0"/>
              <w:snapToGrid w:val="0"/>
              <w:jc w:val="center"/>
              <w:rPr>
                <w:rFonts w:hint="eastAsia"/>
                <w:color w:val="000000"/>
                <w:sz w:val="21"/>
                <w:szCs w:val="21"/>
              </w:rPr>
            </w:pPr>
          </w:p>
        </w:tc>
      </w:tr>
      <w:tr w14:paraId="2353DF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CE952AD">
            <w:pPr>
              <w:adjustRightInd w:val="0"/>
              <w:snapToGrid w:val="0"/>
              <w:jc w:val="center"/>
              <w:rPr>
                <w:rFonts w:hint="eastAsia"/>
                <w:color w:val="000000"/>
                <w:sz w:val="21"/>
                <w:szCs w:val="21"/>
              </w:rPr>
            </w:pPr>
            <w:r>
              <w:rPr>
                <w:sz w:val="21"/>
                <w:szCs w:val="21"/>
              </w:rPr>
              <w:t>1</w:t>
            </w:r>
          </w:p>
        </w:tc>
        <w:tc>
          <w:tcPr>
            <w:tcW w:w="1771" w:type="pct"/>
            <w:vAlign w:val="center"/>
          </w:tcPr>
          <w:p w14:paraId="4E159568">
            <w:pPr>
              <w:spacing w:line="320" w:lineRule="exact"/>
              <w:rPr>
                <w:rFonts w:hint="eastAsia"/>
                <w:color w:val="000000"/>
                <w:sz w:val="21"/>
                <w:szCs w:val="21"/>
              </w:rPr>
            </w:pPr>
            <w:r>
              <w:rPr>
                <w:rFonts w:hint="eastAsia"/>
                <w:sz w:val="21"/>
                <w:szCs w:val="21"/>
              </w:rPr>
              <w:t>积极采用新技术、新工艺、新流程、新材料、新装备、新产品等技术创新成果，供电标煤耗和厂用电率等指标先进，领先国内同类型机组。</w:t>
            </w:r>
          </w:p>
        </w:tc>
        <w:tc>
          <w:tcPr>
            <w:tcW w:w="1892" w:type="pct"/>
            <w:vAlign w:val="center"/>
          </w:tcPr>
          <w:p w14:paraId="2D11999D">
            <w:pPr>
              <w:adjustRightInd w:val="0"/>
              <w:snapToGrid w:val="0"/>
              <w:rPr>
                <w:rFonts w:hint="eastAsia"/>
                <w:color w:val="000000"/>
                <w:sz w:val="21"/>
                <w:szCs w:val="21"/>
              </w:rPr>
            </w:pPr>
            <w:r>
              <w:rPr>
                <w:rFonts w:hint="eastAsia"/>
                <w:sz w:val="21"/>
                <w:szCs w:val="21"/>
              </w:rPr>
              <w:t>采用新技术、新工艺、新流程、新材料、新装备、新产品等技术创新成果得3分，供电标煤耗和厂用电率等指标先进得2分。</w:t>
            </w:r>
            <w:r>
              <w:rPr>
                <w:color w:val="000000"/>
                <w:sz w:val="21"/>
                <w:szCs w:val="21"/>
              </w:rPr>
              <w:t>综合评判各项，酌情给予分值。</w:t>
            </w:r>
          </w:p>
        </w:tc>
        <w:tc>
          <w:tcPr>
            <w:tcW w:w="484" w:type="pct"/>
            <w:vAlign w:val="center"/>
          </w:tcPr>
          <w:p w14:paraId="173EE5EB">
            <w:pPr>
              <w:adjustRightInd w:val="0"/>
              <w:snapToGrid w:val="0"/>
              <w:jc w:val="center"/>
              <w:rPr>
                <w:rFonts w:hint="eastAsia"/>
                <w:color w:val="000000"/>
                <w:sz w:val="21"/>
                <w:szCs w:val="21"/>
              </w:rPr>
            </w:pPr>
            <w:r>
              <w:rPr>
                <w:color w:val="000000"/>
                <w:sz w:val="21"/>
                <w:szCs w:val="21"/>
              </w:rPr>
              <w:t>5</w:t>
            </w:r>
          </w:p>
        </w:tc>
        <w:tc>
          <w:tcPr>
            <w:tcW w:w="488" w:type="pct"/>
            <w:vAlign w:val="center"/>
          </w:tcPr>
          <w:p w14:paraId="63071F97">
            <w:pPr>
              <w:adjustRightInd w:val="0"/>
              <w:snapToGrid w:val="0"/>
              <w:jc w:val="center"/>
              <w:rPr>
                <w:rFonts w:hint="eastAsia"/>
                <w:color w:val="000000"/>
                <w:sz w:val="21"/>
                <w:szCs w:val="21"/>
              </w:rPr>
            </w:pPr>
          </w:p>
        </w:tc>
      </w:tr>
      <w:tr w14:paraId="01AD33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3A04DC9">
            <w:pPr>
              <w:adjustRightInd w:val="0"/>
              <w:snapToGrid w:val="0"/>
              <w:jc w:val="center"/>
              <w:rPr>
                <w:rFonts w:hint="eastAsia"/>
                <w:color w:val="000000"/>
                <w:sz w:val="21"/>
                <w:szCs w:val="21"/>
              </w:rPr>
            </w:pPr>
            <w:r>
              <w:rPr>
                <w:sz w:val="21"/>
                <w:szCs w:val="21"/>
              </w:rPr>
              <w:t>2</w:t>
            </w:r>
          </w:p>
        </w:tc>
        <w:tc>
          <w:tcPr>
            <w:tcW w:w="1771" w:type="pct"/>
            <w:vAlign w:val="center"/>
          </w:tcPr>
          <w:p w14:paraId="17D4F8FB">
            <w:pPr>
              <w:spacing w:line="320" w:lineRule="exact"/>
              <w:rPr>
                <w:rFonts w:hint="eastAsia"/>
                <w:color w:val="000000"/>
                <w:sz w:val="21"/>
                <w:szCs w:val="21"/>
              </w:rPr>
            </w:pPr>
            <w:r>
              <w:rPr>
                <w:sz w:val="21"/>
                <w:szCs w:val="21"/>
              </w:rPr>
              <w:t xml:space="preserve">依托本工程取得的创新成果（课题、专利、专有技术、奖项、竞赛活动成果、国家示范试点、参编标准、期刊论文等），填补国内空白或处于国内领先水平。 </w:t>
            </w:r>
          </w:p>
        </w:tc>
        <w:tc>
          <w:tcPr>
            <w:tcW w:w="1892" w:type="pct"/>
            <w:vAlign w:val="center"/>
          </w:tcPr>
          <w:p w14:paraId="60606A4E">
            <w:pPr>
              <w:adjustRightInd w:val="0"/>
              <w:snapToGrid w:val="0"/>
              <w:rPr>
                <w:rFonts w:hint="eastAsia"/>
                <w:color w:val="000000"/>
                <w:sz w:val="21"/>
                <w:szCs w:val="21"/>
              </w:rPr>
            </w:pPr>
            <w:r>
              <w:rPr>
                <w:sz w:val="21"/>
                <w:szCs w:val="21"/>
              </w:rPr>
              <w:t>依托本工程获得省部级及以上科技进步一等奖</w:t>
            </w:r>
            <w:r>
              <w:rPr>
                <w:rFonts w:hint="eastAsia"/>
                <w:sz w:val="21"/>
                <w:szCs w:val="21"/>
              </w:rPr>
              <w:t>2项及以上得1</w:t>
            </w:r>
            <w:r>
              <w:rPr>
                <w:sz w:val="21"/>
                <w:szCs w:val="21"/>
              </w:rPr>
              <w:t>0分，获得省部级及以上科技进步一等奖1</w:t>
            </w:r>
            <w:r>
              <w:rPr>
                <w:rFonts w:hint="eastAsia"/>
                <w:sz w:val="21"/>
                <w:szCs w:val="21"/>
              </w:rPr>
              <w:t>项得</w:t>
            </w:r>
            <w:r>
              <w:rPr>
                <w:sz w:val="21"/>
                <w:szCs w:val="21"/>
              </w:rPr>
              <w:t>6分，获得其他奖项，根据成果的获奖等级及数量</w:t>
            </w:r>
            <w:r>
              <w:rPr>
                <w:color w:val="000000"/>
                <w:sz w:val="21"/>
                <w:szCs w:val="21"/>
              </w:rPr>
              <w:t>综合评判，酌情给予分值，但不应高于</w:t>
            </w:r>
            <w:r>
              <w:rPr>
                <w:rFonts w:hint="eastAsia"/>
                <w:color w:val="000000"/>
                <w:sz w:val="21"/>
                <w:szCs w:val="21"/>
              </w:rPr>
              <w:t>6分</w:t>
            </w:r>
            <w:r>
              <w:rPr>
                <w:color w:val="000000"/>
                <w:sz w:val="21"/>
                <w:szCs w:val="21"/>
              </w:rPr>
              <w:t>。</w:t>
            </w:r>
          </w:p>
        </w:tc>
        <w:tc>
          <w:tcPr>
            <w:tcW w:w="484" w:type="pct"/>
            <w:vAlign w:val="center"/>
          </w:tcPr>
          <w:p w14:paraId="6DDB2A38">
            <w:pPr>
              <w:adjustRightInd w:val="0"/>
              <w:snapToGrid w:val="0"/>
              <w:jc w:val="center"/>
              <w:rPr>
                <w:rFonts w:hint="eastAsia"/>
                <w:color w:val="000000"/>
                <w:sz w:val="21"/>
                <w:szCs w:val="21"/>
              </w:rPr>
            </w:pPr>
            <w:r>
              <w:rPr>
                <w:rFonts w:hint="eastAsia"/>
                <w:color w:val="000000"/>
                <w:sz w:val="21"/>
                <w:szCs w:val="21"/>
              </w:rPr>
              <w:t>1</w:t>
            </w:r>
            <w:r>
              <w:rPr>
                <w:color w:val="000000"/>
                <w:sz w:val="21"/>
                <w:szCs w:val="21"/>
              </w:rPr>
              <w:t>0</w:t>
            </w:r>
          </w:p>
        </w:tc>
        <w:tc>
          <w:tcPr>
            <w:tcW w:w="488" w:type="pct"/>
            <w:vAlign w:val="center"/>
          </w:tcPr>
          <w:p w14:paraId="0BEF982A">
            <w:pPr>
              <w:adjustRightInd w:val="0"/>
              <w:snapToGrid w:val="0"/>
              <w:jc w:val="center"/>
              <w:rPr>
                <w:rFonts w:hint="eastAsia"/>
                <w:color w:val="000000"/>
                <w:sz w:val="21"/>
                <w:szCs w:val="21"/>
              </w:rPr>
            </w:pPr>
          </w:p>
        </w:tc>
      </w:tr>
      <w:tr w14:paraId="1ED548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C9B21A8">
            <w:pPr>
              <w:adjustRightInd w:val="0"/>
              <w:snapToGrid w:val="0"/>
              <w:jc w:val="center"/>
              <w:rPr>
                <w:rFonts w:hint="eastAsia"/>
                <w:color w:val="000000"/>
                <w:sz w:val="21"/>
                <w:szCs w:val="21"/>
              </w:rPr>
            </w:pPr>
            <w:r>
              <w:rPr>
                <w:sz w:val="21"/>
                <w:szCs w:val="21"/>
              </w:rPr>
              <w:t>3</w:t>
            </w:r>
          </w:p>
        </w:tc>
        <w:tc>
          <w:tcPr>
            <w:tcW w:w="1771" w:type="pct"/>
            <w:vAlign w:val="center"/>
          </w:tcPr>
          <w:p w14:paraId="16671F4D">
            <w:pPr>
              <w:spacing w:line="320" w:lineRule="exact"/>
              <w:rPr>
                <w:rFonts w:hint="eastAsia"/>
                <w:color w:val="000000"/>
                <w:sz w:val="21"/>
                <w:szCs w:val="21"/>
              </w:rPr>
            </w:pPr>
            <w:r>
              <w:rPr>
                <w:sz w:val="21"/>
                <w:szCs w:val="21"/>
              </w:rPr>
              <w:t>先进的降碳、生态固碳措施</w:t>
            </w:r>
            <w:r>
              <w:rPr>
                <w:rFonts w:hint="eastAsia"/>
                <w:sz w:val="21"/>
                <w:szCs w:val="21"/>
              </w:rPr>
              <w:t>，对工程</w:t>
            </w:r>
            <w:r>
              <w:rPr>
                <w:sz w:val="21"/>
                <w:szCs w:val="21"/>
              </w:rPr>
              <w:t>碳排放量进行定量</w:t>
            </w:r>
            <w:r>
              <w:rPr>
                <w:rFonts w:hint="eastAsia"/>
                <w:sz w:val="21"/>
                <w:szCs w:val="21"/>
              </w:rPr>
              <w:t>计算</w:t>
            </w:r>
            <w:r>
              <w:rPr>
                <w:sz w:val="21"/>
                <w:szCs w:val="21"/>
              </w:rPr>
              <w:t>分析</w:t>
            </w:r>
            <w:r>
              <w:rPr>
                <w:rFonts w:hint="eastAsia"/>
                <w:sz w:val="21"/>
                <w:szCs w:val="21"/>
              </w:rPr>
              <w:t>，有效减少对生态环境的影响。</w:t>
            </w:r>
          </w:p>
        </w:tc>
        <w:tc>
          <w:tcPr>
            <w:tcW w:w="1892" w:type="pct"/>
            <w:vAlign w:val="center"/>
          </w:tcPr>
          <w:p w14:paraId="0D287B5B">
            <w:pPr>
              <w:adjustRightInd w:val="0"/>
              <w:snapToGrid w:val="0"/>
              <w:rPr>
                <w:rFonts w:hint="eastAsia"/>
                <w:color w:val="000000"/>
                <w:sz w:val="21"/>
                <w:szCs w:val="21"/>
              </w:rPr>
            </w:pPr>
            <w:r>
              <w:rPr>
                <w:sz w:val="21"/>
                <w:szCs w:val="21"/>
              </w:rPr>
              <w:t>先进的降碳（CCUS）技术、生态固碳措施得2分，</w:t>
            </w:r>
            <w:r>
              <w:rPr>
                <w:rFonts w:hint="eastAsia"/>
                <w:sz w:val="21"/>
                <w:szCs w:val="21"/>
              </w:rPr>
              <w:t>工程</w:t>
            </w:r>
            <w:r>
              <w:rPr>
                <w:sz w:val="21"/>
                <w:szCs w:val="21"/>
              </w:rPr>
              <w:t>碳排放量进行定量</w:t>
            </w:r>
            <w:r>
              <w:rPr>
                <w:rFonts w:hint="eastAsia"/>
                <w:sz w:val="21"/>
                <w:szCs w:val="21"/>
              </w:rPr>
              <w:t>计算</w:t>
            </w:r>
            <w:r>
              <w:rPr>
                <w:sz w:val="21"/>
                <w:szCs w:val="21"/>
              </w:rPr>
              <w:t>分析得</w:t>
            </w:r>
            <w:r>
              <w:rPr>
                <w:rFonts w:hint="eastAsia"/>
                <w:sz w:val="21"/>
                <w:szCs w:val="21"/>
              </w:rPr>
              <w:t>1分。</w:t>
            </w:r>
            <w:r>
              <w:rPr>
                <w:color w:val="000000"/>
                <w:sz w:val="21"/>
                <w:szCs w:val="21"/>
              </w:rPr>
              <w:t>综合评判各项，酌情给予分值。</w:t>
            </w:r>
          </w:p>
        </w:tc>
        <w:tc>
          <w:tcPr>
            <w:tcW w:w="484" w:type="pct"/>
            <w:vAlign w:val="center"/>
          </w:tcPr>
          <w:p w14:paraId="6511163E">
            <w:pPr>
              <w:adjustRightInd w:val="0"/>
              <w:snapToGrid w:val="0"/>
              <w:jc w:val="center"/>
              <w:rPr>
                <w:rFonts w:hint="eastAsia"/>
                <w:color w:val="000000"/>
                <w:sz w:val="21"/>
                <w:szCs w:val="21"/>
              </w:rPr>
            </w:pPr>
            <w:r>
              <w:rPr>
                <w:color w:val="000000"/>
                <w:sz w:val="21"/>
                <w:szCs w:val="21"/>
              </w:rPr>
              <w:t>3</w:t>
            </w:r>
          </w:p>
        </w:tc>
        <w:tc>
          <w:tcPr>
            <w:tcW w:w="488" w:type="pct"/>
            <w:vAlign w:val="center"/>
          </w:tcPr>
          <w:p w14:paraId="5B8F2D9A">
            <w:pPr>
              <w:adjustRightInd w:val="0"/>
              <w:snapToGrid w:val="0"/>
              <w:jc w:val="center"/>
              <w:rPr>
                <w:rFonts w:hint="eastAsia"/>
                <w:color w:val="000000"/>
                <w:sz w:val="21"/>
                <w:szCs w:val="21"/>
              </w:rPr>
            </w:pPr>
          </w:p>
        </w:tc>
      </w:tr>
      <w:tr w14:paraId="1D90A4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73A3C7D">
            <w:pPr>
              <w:adjustRightInd w:val="0"/>
              <w:snapToGrid w:val="0"/>
              <w:jc w:val="center"/>
              <w:rPr>
                <w:rFonts w:hint="eastAsia"/>
                <w:color w:val="000000"/>
                <w:sz w:val="21"/>
                <w:szCs w:val="21"/>
              </w:rPr>
            </w:pPr>
            <w:r>
              <w:rPr>
                <w:rFonts w:hint="eastAsia"/>
                <w:sz w:val="21"/>
                <w:szCs w:val="21"/>
              </w:rPr>
              <w:t>4</w:t>
            </w:r>
          </w:p>
        </w:tc>
        <w:tc>
          <w:tcPr>
            <w:tcW w:w="1771" w:type="pct"/>
            <w:vAlign w:val="center"/>
          </w:tcPr>
          <w:p w14:paraId="102F8DD6">
            <w:pPr>
              <w:spacing w:line="320" w:lineRule="exact"/>
              <w:rPr>
                <w:rFonts w:hint="eastAsia"/>
                <w:color w:val="000000"/>
                <w:sz w:val="21"/>
                <w:szCs w:val="21"/>
              </w:rPr>
            </w:pPr>
            <w:r>
              <w:rPr>
                <w:rFonts w:hint="eastAsia"/>
                <w:sz w:val="21"/>
                <w:szCs w:val="21"/>
              </w:rPr>
              <w:t>适应新型电力系统要求的先进技术，如宽负荷调峰能力、热电解耦技术、储能技术等。</w:t>
            </w:r>
          </w:p>
        </w:tc>
        <w:tc>
          <w:tcPr>
            <w:tcW w:w="1892" w:type="pct"/>
            <w:vAlign w:val="center"/>
          </w:tcPr>
          <w:p w14:paraId="0B60F920">
            <w:pPr>
              <w:adjustRightInd w:val="0"/>
              <w:snapToGrid w:val="0"/>
              <w:rPr>
                <w:rFonts w:hint="eastAsia"/>
                <w:color w:val="000000"/>
                <w:sz w:val="21"/>
                <w:szCs w:val="21"/>
              </w:rPr>
            </w:pPr>
            <w:r>
              <w:rPr>
                <w:rFonts w:hint="eastAsia"/>
                <w:sz w:val="21"/>
                <w:szCs w:val="21"/>
              </w:rPr>
              <w:t>发电为主机组技术出力调节能力低于</w:t>
            </w:r>
            <w:r>
              <w:rPr>
                <w:sz w:val="21"/>
                <w:szCs w:val="21"/>
              </w:rPr>
              <w:t>20%额定出力</w:t>
            </w:r>
            <w:r>
              <w:rPr>
                <w:rFonts w:hint="eastAsia"/>
                <w:sz w:val="21"/>
                <w:szCs w:val="21"/>
              </w:rPr>
              <w:t>，热电联产机组实现热电解耦，技术出力调节能力低于</w:t>
            </w:r>
            <w:r>
              <w:rPr>
                <w:sz w:val="21"/>
                <w:szCs w:val="21"/>
              </w:rPr>
              <w:t>30%额定出力得</w:t>
            </w:r>
            <w:r>
              <w:rPr>
                <w:rFonts w:hint="eastAsia"/>
                <w:sz w:val="21"/>
                <w:szCs w:val="21"/>
              </w:rPr>
              <w:t>1分；配置新型储能技术得1分</w:t>
            </w:r>
            <w:r>
              <w:rPr>
                <w:sz w:val="21"/>
                <w:szCs w:val="21"/>
              </w:rPr>
              <w:t>。</w:t>
            </w:r>
            <w:r>
              <w:rPr>
                <w:color w:val="000000"/>
                <w:sz w:val="21"/>
                <w:szCs w:val="21"/>
              </w:rPr>
              <w:t>综合评判各项，酌情给予分值。</w:t>
            </w:r>
          </w:p>
        </w:tc>
        <w:tc>
          <w:tcPr>
            <w:tcW w:w="484" w:type="pct"/>
            <w:vAlign w:val="center"/>
          </w:tcPr>
          <w:p w14:paraId="224204D0">
            <w:pPr>
              <w:adjustRightInd w:val="0"/>
              <w:snapToGrid w:val="0"/>
              <w:jc w:val="center"/>
              <w:rPr>
                <w:rFonts w:hint="eastAsia"/>
                <w:color w:val="000000"/>
                <w:sz w:val="21"/>
                <w:szCs w:val="21"/>
              </w:rPr>
            </w:pPr>
            <w:r>
              <w:rPr>
                <w:color w:val="000000"/>
                <w:sz w:val="21"/>
                <w:szCs w:val="21"/>
              </w:rPr>
              <w:t>2</w:t>
            </w:r>
          </w:p>
        </w:tc>
        <w:tc>
          <w:tcPr>
            <w:tcW w:w="488" w:type="pct"/>
            <w:vAlign w:val="center"/>
          </w:tcPr>
          <w:p w14:paraId="59BF5E47">
            <w:pPr>
              <w:adjustRightInd w:val="0"/>
              <w:snapToGrid w:val="0"/>
              <w:jc w:val="center"/>
              <w:rPr>
                <w:rFonts w:hint="eastAsia"/>
                <w:color w:val="000000"/>
                <w:sz w:val="21"/>
                <w:szCs w:val="21"/>
              </w:rPr>
            </w:pPr>
          </w:p>
        </w:tc>
      </w:tr>
      <w:tr w14:paraId="5B7165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1132D53">
            <w:pPr>
              <w:adjustRightInd w:val="0"/>
              <w:snapToGrid w:val="0"/>
              <w:jc w:val="center"/>
              <w:rPr>
                <w:rFonts w:hint="eastAsia"/>
                <w:sz w:val="21"/>
                <w:szCs w:val="21"/>
              </w:rPr>
            </w:pPr>
            <w:r>
              <w:rPr>
                <w:rFonts w:hint="eastAsia"/>
                <w:b/>
                <w:bCs/>
                <w:color w:val="000000"/>
                <w:sz w:val="21"/>
                <w:szCs w:val="21"/>
              </w:rPr>
              <w:t>5.2</w:t>
            </w:r>
          </w:p>
        </w:tc>
        <w:tc>
          <w:tcPr>
            <w:tcW w:w="1771" w:type="pct"/>
            <w:vAlign w:val="center"/>
          </w:tcPr>
          <w:p w14:paraId="67BEA935">
            <w:pPr>
              <w:spacing w:line="320" w:lineRule="exact"/>
              <w:rPr>
                <w:rFonts w:hint="eastAsia"/>
                <w:sz w:val="21"/>
                <w:szCs w:val="21"/>
                <w:lang w:val="en-GB"/>
              </w:rPr>
            </w:pPr>
            <w:r>
              <w:rPr>
                <w:rFonts w:hint="eastAsia"/>
                <w:b/>
                <w:bCs/>
                <w:color w:val="000000"/>
                <w:sz w:val="21"/>
                <w:szCs w:val="21"/>
              </w:rPr>
              <w:t>水力发</w:t>
            </w:r>
            <w:r>
              <w:rPr>
                <w:b/>
                <w:bCs/>
                <w:color w:val="000000"/>
                <w:sz w:val="21"/>
                <w:szCs w:val="21"/>
              </w:rPr>
              <w:t>电</w:t>
            </w:r>
            <w:r>
              <w:rPr>
                <w:rFonts w:hint="eastAsia"/>
                <w:b/>
                <w:bCs/>
                <w:color w:val="000000"/>
                <w:sz w:val="21"/>
                <w:szCs w:val="21"/>
              </w:rPr>
              <w:t>（含抽水蓄能）工程</w:t>
            </w:r>
          </w:p>
        </w:tc>
        <w:tc>
          <w:tcPr>
            <w:tcW w:w="1892" w:type="pct"/>
            <w:vAlign w:val="center"/>
          </w:tcPr>
          <w:p w14:paraId="186E5137">
            <w:pPr>
              <w:adjustRightInd w:val="0"/>
              <w:snapToGrid w:val="0"/>
              <w:rPr>
                <w:rFonts w:hint="eastAsia"/>
                <w:sz w:val="21"/>
                <w:szCs w:val="21"/>
              </w:rPr>
            </w:pPr>
          </w:p>
        </w:tc>
        <w:tc>
          <w:tcPr>
            <w:tcW w:w="484" w:type="pct"/>
            <w:vAlign w:val="center"/>
          </w:tcPr>
          <w:p w14:paraId="5B2E613A">
            <w:pPr>
              <w:adjustRightInd w:val="0"/>
              <w:snapToGrid w:val="0"/>
              <w:jc w:val="center"/>
              <w:rPr>
                <w:rFonts w:hint="eastAsia"/>
                <w:sz w:val="21"/>
                <w:szCs w:val="21"/>
              </w:rPr>
            </w:pPr>
          </w:p>
        </w:tc>
        <w:tc>
          <w:tcPr>
            <w:tcW w:w="488" w:type="pct"/>
            <w:vAlign w:val="center"/>
          </w:tcPr>
          <w:p w14:paraId="1D54DB65">
            <w:pPr>
              <w:adjustRightInd w:val="0"/>
              <w:snapToGrid w:val="0"/>
              <w:jc w:val="center"/>
              <w:rPr>
                <w:rFonts w:hint="eastAsia"/>
                <w:color w:val="000000"/>
                <w:sz w:val="21"/>
                <w:szCs w:val="21"/>
              </w:rPr>
            </w:pPr>
          </w:p>
        </w:tc>
      </w:tr>
      <w:tr w14:paraId="6D011A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8571364">
            <w:pPr>
              <w:adjustRightInd w:val="0"/>
              <w:snapToGrid w:val="0"/>
              <w:jc w:val="center"/>
              <w:rPr>
                <w:rFonts w:hint="eastAsia"/>
                <w:sz w:val="21"/>
                <w:szCs w:val="21"/>
              </w:rPr>
            </w:pPr>
            <w:r>
              <w:rPr>
                <w:rFonts w:hint="eastAsia"/>
                <w:b/>
                <w:bCs/>
                <w:sz w:val="21"/>
                <w:szCs w:val="21"/>
              </w:rPr>
              <w:t>5.</w:t>
            </w:r>
            <w:r>
              <w:rPr>
                <w:b/>
                <w:bCs/>
                <w:sz w:val="21"/>
                <w:szCs w:val="21"/>
              </w:rPr>
              <w:t>2</w:t>
            </w:r>
            <w:r>
              <w:rPr>
                <w:rFonts w:hint="eastAsia"/>
                <w:b/>
                <w:bCs/>
                <w:sz w:val="21"/>
                <w:szCs w:val="21"/>
              </w:rPr>
              <w:t>.1</w:t>
            </w:r>
          </w:p>
        </w:tc>
        <w:tc>
          <w:tcPr>
            <w:tcW w:w="1771" w:type="pct"/>
            <w:vAlign w:val="center"/>
          </w:tcPr>
          <w:p w14:paraId="2F8F9FDF">
            <w:pPr>
              <w:spacing w:line="320" w:lineRule="exact"/>
              <w:rPr>
                <w:rFonts w:hint="eastAsia"/>
                <w:sz w:val="21"/>
                <w:szCs w:val="21"/>
                <w:lang w:val="en-GB"/>
              </w:rPr>
            </w:pPr>
            <w:r>
              <w:rPr>
                <w:rFonts w:hint="eastAsia"/>
                <w:b/>
                <w:bCs/>
                <w:sz w:val="21"/>
                <w:szCs w:val="21"/>
              </w:rPr>
              <w:t>技术先进</w:t>
            </w:r>
          </w:p>
        </w:tc>
        <w:tc>
          <w:tcPr>
            <w:tcW w:w="1892" w:type="pct"/>
            <w:vAlign w:val="center"/>
          </w:tcPr>
          <w:p w14:paraId="33F4FEDC">
            <w:pPr>
              <w:adjustRightInd w:val="0"/>
              <w:snapToGrid w:val="0"/>
              <w:rPr>
                <w:rFonts w:hint="eastAsia"/>
                <w:sz w:val="21"/>
                <w:szCs w:val="21"/>
              </w:rPr>
            </w:pPr>
          </w:p>
        </w:tc>
        <w:tc>
          <w:tcPr>
            <w:tcW w:w="484" w:type="pct"/>
            <w:vAlign w:val="center"/>
          </w:tcPr>
          <w:p w14:paraId="58E21763">
            <w:pPr>
              <w:adjustRightInd w:val="0"/>
              <w:snapToGrid w:val="0"/>
              <w:jc w:val="center"/>
              <w:rPr>
                <w:rFonts w:hint="eastAsia"/>
                <w:sz w:val="21"/>
                <w:szCs w:val="21"/>
              </w:rPr>
            </w:pPr>
            <w:r>
              <w:rPr>
                <w:b/>
                <w:sz w:val="21"/>
                <w:szCs w:val="21"/>
              </w:rPr>
              <w:t>30</w:t>
            </w:r>
          </w:p>
        </w:tc>
        <w:tc>
          <w:tcPr>
            <w:tcW w:w="488" w:type="pct"/>
            <w:vAlign w:val="center"/>
          </w:tcPr>
          <w:p w14:paraId="74A80628">
            <w:pPr>
              <w:adjustRightInd w:val="0"/>
              <w:snapToGrid w:val="0"/>
              <w:jc w:val="center"/>
              <w:rPr>
                <w:rFonts w:hint="eastAsia"/>
                <w:color w:val="000000"/>
                <w:sz w:val="21"/>
                <w:szCs w:val="21"/>
              </w:rPr>
            </w:pPr>
          </w:p>
        </w:tc>
      </w:tr>
      <w:tr w14:paraId="376239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E637965">
            <w:pPr>
              <w:adjustRightInd w:val="0"/>
              <w:snapToGrid w:val="0"/>
              <w:jc w:val="center"/>
              <w:rPr>
                <w:rFonts w:hint="eastAsia"/>
                <w:sz w:val="21"/>
                <w:szCs w:val="21"/>
              </w:rPr>
            </w:pPr>
            <w:r>
              <w:rPr>
                <w:rFonts w:hint="eastAsia"/>
                <w:sz w:val="21"/>
                <w:szCs w:val="21"/>
              </w:rPr>
              <w:t>1</w:t>
            </w:r>
          </w:p>
        </w:tc>
        <w:tc>
          <w:tcPr>
            <w:tcW w:w="1771" w:type="pct"/>
            <w:vAlign w:val="center"/>
          </w:tcPr>
          <w:p w14:paraId="2934F521">
            <w:pPr>
              <w:spacing w:line="320" w:lineRule="exact"/>
              <w:rPr>
                <w:rFonts w:hint="eastAsia"/>
                <w:sz w:val="21"/>
                <w:szCs w:val="21"/>
                <w:lang w:val="en-GB"/>
              </w:rPr>
            </w:pPr>
            <w:r>
              <w:rPr>
                <w:rFonts w:hint="eastAsia"/>
                <w:sz w:val="21"/>
                <w:szCs w:val="21"/>
              </w:rPr>
              <w:t>水电站总体设计科学合理，积极采用新技术，电站全寿命周期的技术经济性最佳。</w:t>
            </w:r>
          </w:p>
        </w:tc>
        <w:tc>
          <w:tcPr>
            <w:tcW w:w="1892" w:type="pct"/>
            <w:vMerge w:val="restart"/>
            <w:vAlign w:val="center"/>
          </w:tcPr>
          <w:p w14:paraId="6FACB9DE">
            <w:pPr>
              <w:jc w:val="left"/>
              <w:rPr>
                <w:rFonts w:hint="eastAsia"/>
                <w:sz w:val="21"/>
                <w:szCs w:val="21"/>
              </w:rPr>
            </w:pPr>
            <w:r>
              <w:rPr>
                <w:rFonts w:hint="eastAsia"/>
                <w:sz w:val="21"/>
                <w:szCs w:val="21"/>
              </w:rPr>
              <w:t>每项子目实得分根据实际情况按照标准分乘以相应系数进行评分：</w:t>
            </w:r>
          </w:p>
          <w:p w14:paraId="50637368">
            <w:pPr>
              <w:jc w:val="left"/>
              <w:rPr>
                <w:rFonts w:hint="eastAsia"/>
                <w:sz w:val="21"/>
                <w:szCs w:val="21"/>
              </w:rPr>
            </w:pPr>
            <w:r>
              <w:rPr>
                <w:rFonts w:hint="eastAsia"/>
                <w:sz w:val="21"/>
                <w:szCs w:val="21"/>
              </w:rPr>
              <w:t>1、设计指标满足评价内容要求，系数为1；</w:t>
            </w:r>
          </w:p>
          <w:p w14:paraId="124F3D11">
            <w:pPr>
              <w:jc w:val="left"/>
              <w:rPr>
                <w:rFonts w:hint="eastAsia" w:cs="宋体"/>
                <w:color w:val="000000"/>
                <w:sz w:val="21"/>
                <w:szCs w:val="21"/>
              </w:rPr>
            </w:pPr>
            <w:r>
              <w:rPr>
                <w:rFonts w:hint="eastAsia"/>
                <w:sz w:val="21"/>
                <w:szCs w:val="21"/>
              </w:rPr>
              <w:t>2、设计指标基本满足评价内容要求，系数按照0.5~0.9酌情选取；</w:t>
            </w:r>
          </w:p>
          <w:p w14:paraId="04E67851">
            <w:pPr>
              <w:adjustRightInd w:val="0"/>
              <w:snapToGrid w:val="0"/>
              <w:rPr>
                <w:rFonts w:hint="eastAsia"/>
                <w:sz w:val="21"/>
                <w:szCs w:val="21"/>
              </w:rPr>
            </w:pPr>
            <w:r>
              <w:rPr>
                <w:rFonts w:hint="eastAsia"/>
                <w:sz w:val="21"/>
                <w:szCs w:val="21"/>
              </w:rPr>
              <w:t>3、设计指标不满足评价内容要求，得0分。</w:t>
            </w:r>
          </w:p>
        </w:tc>
        <w:tc>
          <w:tcPr>
            <w:tcW w:w="484" w:type="pct"/>
            <w:vAlign w:val="center"/>
          </w:tcPr>
          <w:p w14:paraId="18A26550">
            <w:pPr>
              <w:adjustRightInd w:val="0"/>
              <w:snapToGrid w:val="0"/>
              <w:jc w:val="center"/>
              <w:rPr>
                <w:rFonts w:hint="eastAsia"/>
                <w:sz w:val="21"/>
                <w:szCs w:val="21"/>
              </w:rPr>
            </w:pPr>
            <w:r>
              <w:rPr>
                <w:sz w:val="21"/>
                <w:szCs w:val="21"/>
              </w:rPr>
              <w:t>1.5</w:t>
            </w:r>
          </w:p>
        </w:tc>
        <w:tc>
          <w:tcPr>
            <w:tcW w:w="488" w:type="pct"/>
            <w:vAlign w:val="center"/>
          </w:tcPr>
          <w:p w14:paraId="29157625">
            <w:pPr>
              <w:adjustRightInd w:val="0"/>
              <w:snapToGrid w:val="0"/>
              <w:jc w:val="center"/>
              <w:rPr>
                <w:rFonts w:hint="eastAsia"/>
                <w:color w:val="000000"/>
                <w:sz w:val="21"/>
                <w:szCs w:val="21"/>
              </w:rPr>
            </w:pPr>
          </w:p>
        </w:tc>
      </w:tr>
      <w:tr w14:paraId="52A185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E3AC428">
            <w:pPr>
              <w:adjustRightInd w:val="0"/>
              <w:snapToGrid w:val="0"/>
              <w:jc w:val="center"/>
              <w:rPr>
                <w:rFonts w:hint="eastAsia"/>
                <w:sz w:val="21"/>
                <w:szCs w:val="21"/>
              </w:rPr>
            </w:pPr>
            <w:r>
              <w:rPr>
                <w:rFonts w:hint="eastAsia"/>
                <w:sz w:val="21"/>
                <w:szCs w:val="21"/>
              </w:rPr>
              <w:t>2</w:t>
            </w:r>
          </w:p>
        </w:tc>
        <w:tc>
          <w:tcPr>
            <w:tcW w:w="1771" w:type="pct"/>
            <w:vAlign w:val="center"/>
          </w:tcPr>
          <w:p w14:paraId="3F841B0E">
            <w:pPr>
              <w:spacing w:line="320" w:lineRule="exact"/>
              <w:rPr>
                <w:rFonts w:hint="eastAsia"/>
                <w:sz w:val="21"/>
                <w:szCs w:val="21"/>
                <w:lang w:val="en-GB"/>
              </w:rPr>
            </w:pPr>
            <w:r>
              <w:rPr>
                <w:rFonts w:hint="eastAsia"/>
                <w:sz w:val="21"/>
                <w:szCs w:val="21"/>
              </w:rPr>
              <w:t>建筑物勘察方法合理，对水库区及各建筑物区地质条件评价清楚，分析全面。</w:t>
            </w:r>
          </w:p>
        </w:tc>
        <w:tc>
          <w:tcPr>
            <w:tcW w:w="1892" w:type="pct"/>
            <w:vMerge w:val="continue"/>
            <w:vAlign w:val="center"/>
          </w:tcPr>
          <w:p w14:paraId="4A0ED0D6">
            <w:pPr>
              <w:adjustRightInd w:val="0"/>
              <w:snapToGrid w:val="0"/>
              <w:rPr>
                <w:rFonts w:hint="eastAsia"/>
                <w:sz w:val="21"/>
                <w:szCs w:val="21"/>
              </w:rPr>
            </w:pPr>
          </w:p>
        </w:tc>
        <w:tc>
          <w:tcPr>
            <w:tcW w:w="484" w:type="pct"/>
            <w:vAlign w:val="center"/>
          </w:tcPr>
          <w:p w14:paraId="356E7909">
            <w:pPr>
              <w:adjustRightInd w:val="0"/>
              <w:snapToGrid w:val="0"/>
              <w:jc w:val="center"/>
              <w:rPr>
                <w:rFonts w:hint="eastAsia"/>
                <w:sz w:val="21"/>
                <w:szCs w:val="21"/>
              </w:rPr>
            </w:pPr>
            <w:r>
              <w:rPr>
                <w:sz w:val="21"/>
                <w:szCs w:val="21"/>
              </w:rPr>
              <w:t>1.5</w:t>
            </w:r>
          </w:p>
        </w:tc>
        <w:tc>
          <w:tcPr>
            <w:tcW w:w="488" w:type="pct"/>
            <w:vAlign w:val="center"/>
          </w:tcPr>
          <w:p w14:paraId="6A261932">
            <w:pPr>
              <w:adjustRightInd w:val="0"/>
              <w:snapToGrid w:val="0"/>
              <w:jc w:val="center"/>
              <w:rPr>
                <w:rFonts w:hint="eastAsia"/>
                <w:color w:val="000000"/>
                <w:sz w:val="21"/>
                <w:szCs w:val="21"/>
              </w:rPr>
            </w:pPr>
          </w:p>
        </w:tc>
      </w:tr>
      <w:tr w14:paraId="0642B0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98E669E">
            <w:pPr>
              <w:adjustRightInd w:val="0"/>
              <w:snapToGrid w:val="0"/>
              <w:jc w:val="center"/>
              <w:rPr>
                <w:rFonts w:hint="eastAsia"/>
                <w:sz w:val="21"/>
                <w:szCs w:val="21"/>
              </w:rPr>
            </w:pPr>
            <w:r>
              <w:rPr>
                <w:rFonts w:hint="eastAsia"/>
                <w:sz w:val="21"/>
                <w:szCs w:val="21"/>
              </w:rPr>
              <w:t>3</w:t>
            </w:r>
          </w:p>
        </w:tc>
        <w:tc>
          <w:tcPr>
            <w:tcW w:w="1771" w:type="pct"/>
            <w:vAlign w:val="center"/>
          </w:tcPr>
          <w:p w14:paraId="07038BCD">
            <w:pPr>
              <w:spacing w:line="320" w:lineRule="exact"/>
              <w:rPr>
                <w:rFonts w:hint="eastAsia"/>
                <w:sz w:val="21"/>
                <w:szCs w:val="21"/>
                <w:lang w:val="en-GB"/>
              </w:rPr>
            </w:pPr>
            <w:r>
              <w:rPr>
                <w:rFonts w:hint="eastAsia"/>
                <w:sz w:val="21"/>
                <w:szCs w:val="21"/>
              </w:rPr>
              <w:t>岩土物理力学参数合理，确定依据可靠。</w:t>
            </w:r>
          </w:p>
        </w:tc>
        <w:tc>
          <w:tcPr>
            <w:tcW w:w="1892" w:type="pct"/>
            <w:vMerge w:val="continue"/>
            <w:vAlign w:val="center"/>
          </w:tcPr>
          <w:p w14:paraId="2E16E721">
            <w:pPr>
              <w:adjustRightInd w:val="0"/>
              <w:snapToGrid w:val="0"/>
              <w:rPr>
                <w:rFonts w:hint="eastAsia"/>
                <w:sz w:val="21"/>
                <w:szCs w:val="21"/>
              </w:rPr>
            </w:pPr>
          </w:p>
        </w:tc>
        <w:tc>
          <w:tcPr>
            <w:tcW w:w="484" w:type="pct"/>
            <w:vAlign w:val="center"/>
          </w:tcPr>
          <w:p w14:paraId="3FADA48C">
            <w:pPr>
              <w:adjustRightInd w:val="0"/>
              <w:snapToGrid w:val="0"/>
              <w:jc w:val="center"/>
              <w:rPr>
                <w:rFonts w:hint="eastAsia"/>
                <w:sz w:val="21"/>
                <w:szCs w:val="21"/>
              </w:rPr>
            </w:pPr>
            <w:r>
              <w:rPr>
                <w:sz w:val="21"/>
                <w:szCs w:val="21"/>
              </w:rPr>
              <w:t>1.5</w:t>
            </w:r>
          </w:p>
        </w:tc>
        <w:tc>
          <w:tcPr>
            <w:tcW w:w="488" w:type="pct"/>
            <w:vAlign w:val="center"/>
          </w:tcPr>
          <w:p w14:paraId="038E543F">
            <w:pPr>
              <w:adjustRightInd w:val="0"/>
              <w:snapToGrid w:val="0"/>
              <w:jc w:val="center"/>
              <w:rPr>
                <w:rFonts w:hint="eastAsia"/>
                <w:color w:val="000000"/>
                <w:sz w:val="21"/>
                <w:szCs w:val="21"/>
              </w:rPr>
            </w:pPr>
          </w:p>
        </w:tc>
      </w:tr>
      <w:tr w14:paraId="0FB978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766FC44">
            <w:pPr>
              <w:adjustRightInd w:val="0"/>
              <w:snapToGrid w:val="0"/>
              <w:jc w:val="center"/>
              <w:rPr>
                <w:rFonts w:hint="eastAsia"/>
                <w:sz w:val="21"/>
                <w:szCs w:val="21"/>
              </w:rPr>
            </w:pPr>
            <w:r>
              <w:rPr>
                <w:rFonts w:hint="eastAsia"/>
                <w:sz w:val="21"/>
                <w:szCs w:val="21"/>
              </w:rPr>
              <w:t>4</w:t>
            </w:r>
          </w:p>
        </w:tc>
        <w:tc>
          <w:tcPr>
            <w:tcW w:w="1771" w:type="pct"/>
            <w:vAlign w:val="center"/>
          </w:tcPr>
          <w:p w14:paraId="54E897BD">
            <w:pPr>
              <w:spacing w:line="320" w:lineRule="exact"/>
              <w:rPr>
                <w:rFonts w:hint="eastAsia"/>
                <w:sz w:val="21"/>
                <w:szCs w:val="21"/>
                <w:lang w:val="en-GB"/>
              </w:rPr>
            </w:pPr>
            <w:r>
              <w:rPr>
                <w:rFonts w:hint="eastAsia"/>
                <w:sz w:val="21"/>
                <w:szCs w:val="21"/>
              </w:rPr>
              <w:t>枢纽总布置方案先进，主要建筑物集中集约，为绿色建造创造条件。</w:t>
            </w:r>
          </w:p>
        </w:tc>
        <w:tc>
          <w:tcPr>
            <w:tcW w:w="1892" w:type="pct"/>
            <w:vMerge w:val="continue"/>
            <w:vAlign w:val="center"/>
          </w:tcPr>
          <w:p w14:paraId="7A122218">
            <w:pPr>
              <w:adjustRightInd w:val="0"/>
              <w:snapToGrid w:val="0"/>
              <w:rPr>
                <w:rFonts w:hint="eastAsia"/>
                <w:sz w:val="21"/>
                <w:szCs w:val="21"/>
              </w:rPr>
            </w:pPr>
          </w:p>
        </w:tc>
        <w:tc>
          <w:tcPr>
            <w:tcW w:w="484" w:type="pct"/>
            <w:vAlign w:val="center"/>
          </w:tcPr>
          <w:p w14:paraId="24B2FD43">
            <w:pPr>
              <w:adjustRightInd w:val="0"/>
              <w:snapToGrid w:val="0"/>
              <w:jc w:val="center"/>
              <w:rPr>
                <w:rFonts w:hint="eastAsia"/>
                <w:sz w:val="21"/>
                <w:szCs w:val="21"/>
              </w:rPr>
            </w:pPr>
            <w:r>
              <w:rPr>
                <w:sz w:val="21"/>
                <w:szCs w:val="21"/>
              </w:rPr>
              <w:t>1.5</w:t>
            </w:r>
          </w:p>
        </w:tc>
        <w:tc>
          <w:tcPr>
            <w:tcW w:w="488" w:type="pct"/>
            <w:vAlign w:val="center"/>
          </w:tcPr>
          <w:p w14:paraId="01AAC7A3">
            <w:pPr>
              <w:adjustRightInd w:val="0"/>
              <w:snapToGrid w:val="0"/>
              <w:jc w:val="center"/>
              <w:rPr>
                <w:rFonts w:hint="eastAsia"/>
                <w:color w:val="000000"/>
                <w:sz w:val="21"/>
                <w:szCs w:val="21"/>
              </w:rPr>
            </w:pPr>
          </w:p>
        </w:tc>
      </w:tr>
      <w:tr w14:paraId="679E7E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9620015">
            <w:pPr>
              <w:adjustRightInd w:val="0"/>
              <w:snapToGrid w:val="0"/>
              <w:jc w:val="center"/>
              <w:rPr>
                <w:rFonts w:hint="eastAsia"/>
                <w:sz w:val="21"/>
                <w:szCs w:val="21"/>
              </w:rPr>
            </w:pPr>
            <w:r>
              <w:rPr>
                <w:rFonts w:hint="eastAsia"/>
                <w:sz w:val="21"/>
                <w:szCs w:val="21"/>
              </w:rPr>
              <w:t>5</w:t>
            </w:r>
          </w:p>
        </w:tc>
        <w:tc>
          <w:tcPr>
            <w:tcW w:w="1771" w:type="pct"/>
            <w:vAlign w:val="center"/>
          </w:tcPr>
          <w:p w14:paraId="1FAA1580">
            <w:pPr>
              <w:spacing w:line="320" w:lineRule="exact"/>
              <w:rPr>
                <w:rFonts w:hint="eastAsia"/>
                <w:sz w:val="21"/>
                <w:szCs w:val="21"/>
                <w:lang w:val="en-GB"/>
              </w:rPr>
            </w:pPr>
            <w:r>
              <w:rPr>
                <w:rFonts w:hint="eastAsia"/>
                <w:sz w:val="21"/>
                <w:szCs w:val="21"/>
              </w:rPr>
              <w:t>施工总布置方案设计先进，临时建筑物布置紧凑，施工道路设置合理，施工用地重复使用率高。</w:t>
            </w:r>
          </w:p>
        </w:tc>
        <w:tc>
          <w:tcPr>
            <w:tcW w:w="1892" w:type="pct"/>
            <w:vMerge w:val="continue"/>
            <w:vAlign w:val="center"/>
          </w:tcPr>
          <w:p w14:paraId="5B078A3E">
            <w:pPr>
              <w:adjustRightInd w:val="0"/>
              <w:snapToGrid w:val="0"/>
              <w:rPr>
                <w:rFonts w:hint="eastAsia"/>
                <w:sz w:val="21"/>
                <w:szCs w:val="21"/>
              </w:rPr>
            </w:pPr>
          </w:p>
        </w:tc>
        <w:tc>
          <w:tcPr>
            <w:tcW w:w="484" w:type="pct"/>
            <w:vAlign w:val="center"/>
          </w:tcPr>
          <w:p w14:paraId="4B4F55F2">
            <w:pPr>
              <w:adjustRightInd w:val="0"/>
              <w:snapToGrid w:val="0"/>
              <w:jc w:val="center"/>
              <w:rPr>
                <w:rFonts w:hint="eastAsia"/>
                <w:sz w:val="21"/>
                <w:szCs w:val="21"/>
              </w:rPr>
            </w:pPr>
            <w:r>
              <w:rPr>
                <w:sz w:val="21"/>
                <w:szCs w:val="21"/>
              </w:rPr>
              <w:t>1.5</w:t>
            </w:r>
          </w:p>
        </w:tc>
        <w:tc>
          <w:tcPr>
            <w:tcW w:w="488" w:type="pct"/>
            <w:vAlign w:val="center"/>
          </w:tcPr>
          <w:p w14:paraId="3DA1148F">
            <w:pPr>
              <w:adjustRightInd w:val="0"/>
              <w:snapToGrid w:val="0"/>
              <w:jc w:val="center"/>
              <w:rPr>
                <w:rFonts w:hint="eastAsia"/>
                <w:color w:val="000000"/>
                <w:sz w:val="21"/>
                <w:szCs w:val="21"/>
              </w:rPr>
            </w:pPr>
          </w:p>
        </w:tc>
      </w:tr>
      <w:tr w14:paraId="331432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65A6D98">
            <w:pPr>
              <w:adjustRightInd w:val="0"/>
              <w:snapToGrid w:val="0"/>
              <w:jc w:val="center"/>
              <w:rPr>
                <w:rFonts w:hint="eastAsia"/>
                <w:sz w:val="21"/>
                <w:szCs w:val="21"/>
              </w:rPr>
            </w:pPr>
            <w:r>
              <w:rPr>
                <w:rFonts w:hint="eastAsia"/>
                <w:sz w:val="21"/>
                <w:szCs w:val="21"/>
              </w:rPr>
              <w:t>6</w:t>
            </w:r>
          </w:p>
        </w:tc>
        <w:tc>
          <w:tcPr>
            <w:tcW w:w="1771" w:type="pct"/>
            <w:vAlign w:val="center"/>
          </w:tcPr>
          <w:p w14:paraId="162B2861">
            <w:pPr>
              <w:spacing w:line="320" w:lineRule="exact"/>
              <w:rPr>
                <w:rFonts w:hint="eastAsia"/>
                <w:sz w:val="21"/>
                <w:szCs w:val="21"/>
                <w:lang w:val="en-GB"/>
              </w:rPr>
            </w:pPr>
            <w:r>
              <w:rPr>
                <w:rFonts w:hint="eastAsia"/>
                <w:sz w:val="21"/>
                <w:szCs w:val="21"/>
              </w:rPr>
              <w:t>各建筑物的选址、线路、轴线和型式经多方案综合比较确定。</w:t>
            </w:r>
          </w:p>
        </w:tc>
        <w:tc>
          <w:tcPr>
            <w:tcW w:w="1892" w:type="pct"/>
            <w:vMerge w:val="continue"/>
            <w:vAlign w:val="center"/>
          </w:tcPr>
          <w:p w14:paraId="10B8C1A5">
            <w:pPr>
              <w:adjustRightInd w:val="0"/>
              <w:snapToGrid w:val="0"/>
              <w:rPr>
                <w:rFonts w:hint="eastAsia"/>
                <w:sz w:val="21"/>
                <w:szCs w:val="21"/>
              </w:rPr>
            </w:pPr>
          </w:p>
        </w:tc>
        <w:tc>
          <w:tcPr>
            <w:tcW w:w="484" w:type="pct"/>
            <w:vAlign w:val="center"/>
          </w:tcPr>
          <w:p w14:paraId="1AE99775">
            <w:pPr>
              <w:adjustRightInd w:val="0"/>
              <w:snapToGrid w:val="0"/>
              <w:jc w:val="center"/>
              <w:rPr>
                <w:rFonts w:hint="eastAsia"/>
                <w:sz w:val="21"/>
                <w:szCs w:val="21"/>
              </w:rPr>
            </w:pPr>
            <w:r>
              <w:rPr>
                <w:sz w:val="21"/>
                <w:szCs w:val="21"/>
              </w:rPr>
              <w:t>1.5</w:t>
            </w:r>
          </w:p>
        </w:tc>
        <w:tc>
          <w:tcPr>
            <w:tcW w:w="488" w:type="pct"/>
            <w:vAlign w:val="center"/>
          </w:tcPr>
          <w:p w14:paraId="0E64260B">
            <w:pPr>
              <w:adjustRightInd w:val="0"/>
              <w:snapToGrid w:val="0"/>
              <w:jc w:val="center"/>
              <w:rPr>
                <w:rFonts w:hint="eastAsia"/>
                <w:color w:val="000000"/>
                <w:sz w:val="21"/>
                <w:szCs w:val="21"/>
              </w:rPr>
            </w:pPr>
          </w:p>
        </w:tc>
      </w:tr>
      <w:tr w14:paraId="0B0C4A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8F00AF9">
            <w:pPr>
              <w:adjustRightInd w:val="0"/>
              <w:snapToGrid w:val="0"/>
              <w:jc w:val="center"/>
              <w:rPr>
                <w:rFonts w:hint="eastAsia"/>
                <w:sz w:val="21"/>
                <w:szCs w:val="21"/>
              </w:rPr>
            </w:pPr>
            <w:r>
              <w:rPr>
                <w:rFonts w:hint="eastAsia"/>
                <w:sz w:val="21"/>
                <w:szCs w:val="21"/>
              </w:rPr>
              <w:t>7</w:t>
            </w:r>
          </w:p>
        </w:tc>
        <w:tc>
          <w:tcPr>
            <w:tcW w:w="1771" w:type="pct"/>
            <w:vAlign w:val="center"/>
          </w:tcPr>
          <w:p w14:paraId="1BE1BF43">
            <w:pPr>
              <w:spacing w:line="320" w:lineRule="exact"/>
              <w:rPr>
                <w:rFonts w:hint="eastAsia"/>
                <w:sz w:val="21"/>
                <w:szCs w:val="21"/>
                <w:lang w:val="en-GB"/>
              </w:rPr>
            </w:pPr>
            <w:r>
              <w:rPr>
                <w:rFonts w:hint="eastAsia"/>
                <w:sz w:val="21"/>
                <w:szCs w:val="21"/>
              </w:rPr>
              <w:t>边坡和地下洞室开挖支护参数合理，安全稳定，土石方平衡良好。</w:t>
            </w:r>
          </w:p>
        </w:tc>
        <w:tc>
          <w:tcPr>
            <w:tcW w:w="1892" w:type="pct"/>
            <w:vMerge w:val="continue"/>
            <w:vAlign w:val="center"/>
          </w:tcPr>
          <w:p w14:paraId="3E7327C9">
            <w:pPr>
              <w:adjustRightInd w:val="0"/>
              <w:snapToGrid w:val="0"/>
              <w:rPr>
                <w:rFonts w:hint="eastAsia"/>
                <w:sz w:val="21"/>
                <w:szCs w:val="21"/>
              </w:rPr>
            </w:pPr>
          </w:p>
        </w:tc>
        <w:tc>
          <w:tcPr>
            <w:tcW w:w="484" w:type="pct"/>
            <w:vAlign w:val="center"/>
          </w:tcPr>
          <w:p w14:paraId="62CA1792">
            <w:pPr>
              <w:adjustRightInd w:val="0"/>
              <w:snapToGrid w:val="0"/>
              <w:jc w:val="center"/>
              <w:rPr>
                <w:rFonts w:hint="eastAsia"/>
                <w:sz w:val="21"/>
                <w:szCs w:val="21"/>
              </w:rPr>
            </w:pPr>
            <w:r>
              <w:rPr>
                <w:sz w:val="21"/>
                <w:szCs w:val="21"/>
              </w:rPr>
              <w:t>1.5</w:t>
            </w:r>
          </w:p>
        </w:tc>
        <w:tc>
          <w:tcPr>
            <w:tcW w:w="488" w:type="pct"/>
            <w:vAlign w:val="center"/>
          </w:tcPr>
          <w:p w14:paraId="7DF715CD">
            <w:pPr>
              <w:adjustRightInd w:val="0"/>
              <w:snapToGrid w:val="0"/>
              <w:jc w:val="center"/>
              <w:rPr>
                <w:rFonts w:hint="eastAsia"/>
                <w:color w:val="000000"/>
                <w:sz w:val="21"/>
                <w:szCs w:val="21"/>
              </w:rPr>
            </w:pPr>
          </w:p>
        </w:tc>
      </w:tr>
      <w:tr w14:paraId="65CBFD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1946DB7">
            <w:pPr>
              <w:adjustRightInd w:val="0"/>
              <w:snapToGrid w:val="0"/>
              <w:jc w:val="center"/>
              <w:rPr>
                <w:rFonts w:hint="eastAsia"/>
                <w:sz w:val="21"/>
                <w:szCs w:val="21"/>
              </w:rPr>
            </w:pPr>
            <w:r>
              <w:rPr>
                <w:rFonts w:hint="eastAsia"/>
                <w:sz w:val="21"/>
                <w:szCs w:val="21"/>
              </w:rPr>
              <w:t>8</w:t>
            </w:r>
          </w:p>
        </w:tc>
        <w:tc>
          <w:tcPr>
            <w:tcW w:w="1771" w:type="pct"/>
            <w:vAlign w:val="center"/>
          </w:tcPr>
          <w:p w14:paraId="664200A9">
            <w:pPr>
              <w:spacing w:line="320" w:lineRule="exact"/>
              <w:rPr>
                <w:rFonts w:hint="eastAsia"/>
                <w:sz w:val="21"/>
                <w:szCs w:val="21"/>
                <w:lang w:val="en-GB"/>
              </w:rPr>
            </w:pPr>
            <w:r>
              <w:rPr>
                <w:rFonts w:hint="eastAsia"/>
                <w:sz w:val="21"/>
                <w:szCs w:val="21"/>
              </w:rPr>
              <w:t>坝基、厂房等主要建筑物基础处理方案合适，处理效果良好。</w:t>
            </w:r>
          </w:p>
        </w:tc>
        <w:tc>
          <w:tcPr>
            <w:tcW w:w="1892" w:type="pct"/>
            <w:vMerge w:val="continue"/>
            <w:vAlign w:val="center"/>
          </w:tcPr>
          <w:p w14:paraId="0D2044EA">
            <w:pPr>
              <w:adjustRightInd w:val="0"/>
              <w:snapToGrid w:val="0"/>
              <w:rPr>
                <w:rFonts w:hint="eastAsia"/>
                <w:sz w:val="21"/>
                <w:szCs w:val="21"/>
              </w:rPr>
            </w:pPr>
          </w:p>
        </w:tc>
        <w:tc>
          <w:tcPr>
            <w:tcW w:w="484" w:type="pct"/>
            <w:vAlign w:val="center"/>
          </w:tcPr>
          <w:p w14:paraId="2A007F9A">
            <w:pPr>
              <w:adjustRightInd w:val="0"/>
              <w:snapToGrid w:val="0"/>
              <w:jc w:val="center"/>
              <w:rPr>
                <w:rFonts w:hint="eastAsia"/>
                <w:sz w:val="21"/>
                <w:szCs w:val="21"/>
              </w:rPr>
            </w:pPr>
            <w:r>
              <w:rPr>
                <w:sz w:val="21"/>
                <w:szCs w:val="21"/>
              </w:rPr>
              <w:t>1.5</w:t>
            </w:r>
          </w:p>
        </w:tc>
        <w:tc>
          <w:tcPr>
            <w:tcW w:w="488" w:type="pct"/>
            <w:vAlign w:val="center"/>
          </w:tcPr>
          <w:p w14:paraId="702C126E">
            <w:pPr>
              <w:adjustRightInd w:val="0"/>
              <w:snapToGrid w:val="0"/>
              <w:jc w:val="center"/>
              <w:rPr>
                <w:rFonts w:hint="eastAsia"/>
                <w:color w:val="000000"/>
                <w:sz w:val="21"/>
                <w:szCs w:val="21"/>
              </w:rPr>
            </w:pPr>
          </w:p>
        </w:tc>
      </w:tr>
      <w:tr w14:paraId="1DDADB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DD63949">
            <w:pPr>
              <w:adjustRightInd w:val="0"/>
              <w:snapToGrid w:val="0"/>
              <w:jc w:val="center"/>
              <w:rPr>
                <w:rFonts w:hint="eastAsia"/>
                <w:sz w:val="21"/>
                <w:szCs w:val="21"/>
              </w:rPr>
            </w:pPr>
            <w:r>
              <w:rPr>
                <w:rFonts w:hint="eastAsia"/>
                <w:sz w:val="21"/>
                <w:szCs w:val="21"/>
              </w:rPr>
              <w:t>9</w:t>
            </w:r>
          </w:p>
        </w:tc>
        <w:tc>
          <w:tcPr>
            <w:tcW w:w="1771" w:type="pct"/>
            <w:vAlign w:val="center"/>
          </w:tcPr>
          <w:p w14:paraId="7E607BFC">
            <w:pPr>
              <w:spacing w:line="320" w:lineRule="exact"/>
              <w:rPr>
                <w:rFonts w:hint="eastAsia"/>
                <w:sz w:val="21"/>
                <w:szCs w:val="21"/>
                <w:lang w:val="en-GB"/>
              </w:rPr>
            </w:pPr>
            <w:r>
              <w:rPr>
                <w:rFonts w:hint="eastAsia"/>
                <w:sz w:val="21"/>
                <w:szCs w:val="21"/>
              </w:rPr>
              <w:t>大坝及泄洪消能建筑物设计先进，安全系数合理，泄流能力满足要求，消能效果好、雾化轻。</w:t>
            </w:r>
          </w:p>
        </w:tc>
        <w:tc>
          <w:tcPr>
            <w:tcW w:w="1892" w:type="pct"/>
            <w:vMerge w:val="continue"/>
            <w:vAlign w:val="center"/>
          </w:tcPr>
          <w:p w14:paraId="568163EA">
            <w:pPr>
              <w:adjustRightInd w:val="0"/>
              <w:snapToGrid w:val="0"/>
              <w:rPr>
                <w:rFonts w:hint="eastAsia"/>
                <w:sz w:val="21"/>
                <w:szCs w:val="21"/>
              </w:rPr>
            </w:pPr>
          </w:p>
        </w:tc>
        <w:tc>
          <w:tcPr>
            <w:tcW w:w="484" w:type="pct"/>
            <w:vAlign w:val="center"/>
          </w:tcPr>
          <w:p w14:paraId="3CE2DB1B">
            <w:pPr>
              <w:adjustRightInd w:val="0"/>
              <w:snapToGrid w:val="0"/>
              <w:jc w:val="center"/>
              <w:rPr>
                <w:rFonts w:hint="eastAsia"/>
                <w:sz w:val="21"/>
                <w:szCs w:val="21"/>
              </w:rPr>
            </w:pPr>
            <w:r>
              <w:rPr>
                <w:sz w:val="21"/>
                <w:szCs w:val="21"/>
              </w:rPr>
              <w:t>1.5</w:t>
            </w:r>
          </w:p>
        </w:tc>
        <w:tc>
          <w:tcPr>
            <w:tcW w:w="488" w:type="pct"/>
            <w:vAlign w:val="center"/>
          </w:tcPr>
          <w:p w14:paraId="65FC5F24">
            <w:pPr>
              <w:adjustRightInd w:val="0"/>
              <w:snapToGrid w:val="0"/>
              <w:jc w:val="center"/>
              <w:rPr>
                <w:rFonts w:hint="eastAsia"/>
                <w:color w:val="000000"/>
                <w:sz w:val="21"/>
                <w:szCs w:val="21"/>
              </w:rPr>
            </w:pPr>
          </w:p>
        </w:tc>
      </w:tr>
      <w:tr w14:paraId="655E6C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013FA96">
            <w:pPr>
              <w:adjustRightInd w:val="0"/>
              <w:snapToGrid w:val="0"/>
              <w:jc w:val="center"/>
              <w:rPr>
                <w:rFonts w:hint="eastAsia"/>
                <w:sz w:val="21"/>
                <w:szCs w:val="21"/>
              </w:rPr>
            </w:pPr>
            <w:r>
              <w:rPr>
                <w:sz w:val="21"/>
                <w:szCs w:val="21"/>
              </w:rPr>
              <w:t>10</w:t>
            </w:r>
          </w:p>
        </w:tc>
        <w:tc>
          <w:tcPr>
            <w:tcW w:w="1771" w:type="pct"/>
            <w:vAlign w:val="center"/>
          </w:tcPr>
          <w:p w14:paraId="498148A6">
            <w:pPr>
              <w:spacing w:line="320" w:lineRule="exact"/>
              <w:rPr>
                <w:rFonts w:hint="eastAsia"/>
                <w:sz w:val="21"/>
                <w:szCs w:val="21"/>
                <w:lang w:val="en-GB"/>
              </w:rPr>
            </w:pPr>
            <w:r>
              <w:rPr>
                <w:rFonts w:hint="eastAsia"/>
                <w:sz w:val="21"/>
                <w:szCs w:val="21"/>
              </w:rPr>
              <w:t>主厂房、副厂房、主变室等建筑面积合理，输水系统建筑物设计指标先进，水力过渡过程各项指标满足调节保证要求。</w:t>
            </w:r>
          </w:p>
        </w:tc>
        <w:tc>
          <w:tcPr>
            <w:tcW w:w="1892" w:type="pct"/>
            <w:vMerge w:val="continue"/>
            <w:vAlign w:val="center"/>
          </w:tcPr>
          <w:p w14:paraId="7FCCE164">
            <w:pPr>
              <w:adjustRightInd w:val="0"/>
              <w:snapToGrid w:val="0"/>
              <w:rPr>
                <w:rFonts w:hint="eastAsia"/>
                <w:sz w:val="21"/>
                <w:szCs w:val="21"/>
              </w:rPr>
            </w:pPr>
          </w:p>
        </w:tc>
        <w:tc>
          <w:tcPr>
            <w:tcW w:w="484" w:type="pct"/>
            <w:vAlign w:val="center"/>
          </w:tcPr>
          <w:p w14:paraId="71EFB867">
            <w:pPr>
              <w:adjustRightInd w:val="0"/>
              <w:snapToGrid w:val="0"/>
              <w:jc w:val="center"/>
              <w:rPr>
                <w:rFonts w:hint="eastAsia"/>
                <w:sz w:val="21"/>
                <w:szCs w:val="21"/>
              </w:rPr>
            </w:pPr>
            <w:r>
              <w:rPr>
                <w:sz w:val="21"/>
                <w:szCs w:val="21"/>
              </w:rPr>
              <w:t>1.5</w:t>
            </w:r>
          </w:p>
        </w:tc>
        <w:tc>
          <w:tcPr>
            <w:tcW w:w="488" w:type="pct"/>
            <w:vAlign w:val="center"/>
          </w:tcPr>
          <w:p w14:paraId="14824A05">
            <w:pPr>
              <w:adjustRightInd w:val="0"/>
              <w:snapToGrid w:val="0"/>
              <w:jc w:val="center"/>
              <w:rPr>
                <w:rFonts w:hint="eastAsia"/>
                <w:color w:val="000000"/>
                <w:sz w:val="21"/>
                <w:szCs w:val="21"/>
              </w:rPr>
            </w:pPr>
          </w:p>
        </w:tc>
      </w:tr>
      <w:tr w14:paraId="6390CC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2704815">
            <w:pPr>
              <w:adjustRightInd w:val="0"/>
              <w:snapToGrid w:val="0"/>
              <w:jc w:val="center"/>
              <w:rPr>
                <w:rFonts w:hint="eastAsia"/>
                <w:sz w:val="21"/>
                <w:szCs w:val="21"/>
              </w:rPr>
            </w:pPr>
            <w:r>
              <w:rPr>
                <w:rFonts w:hint="eastAsia"/>
                <w:sz w:val="21"/>
                <w:szCs w:val="21"/>
              </w:rPr>
              <w:t>1</w:t>
            </w:r>
            <w:r>
              <w:rPr>
                <w:sz w:val="21"/>
                <w:szCs w:val="21"/>
              </w:rPr>
              <w:t>1</w:t>
            </w:r>
          </w:p>
        </w:tc>
        <w:tc>
          <w:tcPr>
            <w:tcW w:w="1771" w:type="pct"/>
            <w:vAlign w:val="center"/>
          </w:tcPr>
          <w:p w14:paraId="588A4A15">
            <w:pPr>
              <w:spacing w:line="320" w:lineRule="exact"/>
              <w:rPr>
                <w:rFonts w:hint="eastAsia"/>
                <w:sz w:val="21"/>
                <w:szCs w:val="21"/>
                <w:lang w:val="en-GB"/>
              </w:rPr>
            </w:pPr>
            <w:r>
              <w:rPr>
                <w:sz w:val="21"/>
                <w:szCs w:val="21"/>
              </w:rPr>
              <w:t>渗控设计方案先进，渗控效果良好。</w:t>
            </w:r>
          </w:p>
        </w:tc>
        <w:tc>
          <w:tcPr>
            <w:tcW w:w="1892" w:type="pct"/>
            <w:vMerge w:val="continue"/>
            <w:vAlign w:val="center"/>
          </w:tcPr>
          <w:p w14:paraId="4C48FC97">
            <w:pPr>
              <w:adjustRightInd w:val="0"/>
              <w:snapToGrid w:val="0"/>
              <w:rPr>
                <w:rFonts w:hint="eastAsia"/>
                <w:sz w:val="21"/>
                <w:szCs w:val="21"/>
              </w:rPr>
            </w:pPr>
          </w:p>
        </w:tc>
        <w:tc>
          <w:tcPr>
            <w:tcW w:w="484" w:type="pct"/>
            <w:vAlign w:val="center"/>
          </w:tcPr>
          <w:p w14:paraId="270F1B74">
            <w:pPr>
              <w:adjustRightInd w:val="0"/>
              <w:snapToGrid w:val="0"/>
              <w:jc w:val="center"/>
              <w:rPr>
                <w:rFonts w:hint="eastAsia"/>
                <w:sz w:val="21"/>
                <w:szCs w:val="21"/>
              </w:rPr>
            </w:pPr>
            <w:r>
              <w:rPr>
                <w:sz w:val="21"/>
                <w:szCs w:val="21"/>
              </w:rPr>
              <w:t>1.5</w:t>
            </w:r>
          </w:p>
        </w:tc>
        <w:tc>
          <w:tcPr>
            <w:tcW w:w="488" w:type="pct"/>
            <w:vAlign w:val="center"/>
          </w:tcPr>
          <w:p w14:paraId="099CE884">
            <w:pPr>
              <w:adjustRightInd w:val="0"/>
              <w:snapToGrid w:val="0"/>
              <w:jc w:val="center"/>
              <w:rPr>
                <w:rFonts w:hint="eastAsia"/>
                <w:color w:val="000000"/>
                <w:sz w:val="21"/>
                <w:szCs w:val="21"/>
              </w:rPr>
            </w:pPr>
          </w:p>
        </w:tc>
      </w:tr>
      <w:tr w14:paraId="6A8AD0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4FC353E">
            <w:pPr>
              <w:adjustRightInd w:val="0"/>
              <w:snapToGrid w:val="0"/>
              <w:jc w:val="center"/>
              <w:rPr>
                <w:rFonts w:hint="eastAsia"/>
                <w:sz w:val="21"/>
                <w:szCs w:val="21"/>
              </w:rPr>
            </w:pPr>
            <w:r>
              <w:rPr>
                <w:rFonts w:hint="eastAsia"/>
                <w:sz w:val="21"/>
                <w:szCs w:val="21"/>
              </w:rPr>
              <w:t>1</w:t>
            </w:r>
            <w:r>
              <w:rPr>
                <w:sz w:val="21"/>
                <w:szCs w:val="21"/>
              </w:rPr>
              <w:t>2</w:t>
            </w:r>
          </w:p>
        </w:tc>
        <w:tc>
          <w:tcPr>
            <w:tcW w:w="1771" w:type="pct"/>
            <w:vAlign w:val="center"/>
          </w:tcPr>
          <w:p w14:paraId="1A936D3C">
            <w:pPr>
              <w:spacing w:line="320" w:lineRule="exact"/>
              <w:rPr>
                <w:rFonts w:hint="eastAsia"/>
                <w:sz w:val="21"/>
                <w:szCs w:val="21"/>
                <w:lang w:val="en-GB"/>
              </w:rPr>
            </w:pPr>
            <w:r>
              <w:rPr>
                <w:sz w:val="21"/>
                <w:szCs w:val="21"/>
              </w:rPr>
              <w:t>闸门形式选择合适，安全系数合理</w:t>
            </w:r>
            <w:r>
              <w:rPr>
                <w:rFonts w:hint="eastAsia"/>
                <w:sz w:val="21"/>
                <w:szCs w:val="21"/>
              </w:rPr>
              <w:t>，用钢量指标先进；</w:t>
            </w:r>
            <w:r>
              <w:rPr>
                <w:sz w:val="21"/>
                <w:szCs w:val="21"/>
              </w:rPr>
              <w:t>启闭机设计方案合理，功率选择合适。</w:t>
            </w:r>
          </w:p>
        </w:tc>
        <w:tc>
          <w:tcPr>
            <w:tcW w:w="1892" w:type="pct"/>
            <w:vMerge w:val="continue"/>
            <w:vAlign w:val="center"/>
          </w:tcPr>
          <w:p w14:paraId="24D244E1">
            <w:pPr>
              <w:adjustRightInd w:val="0"/>
              <w:snapToGrid w:val="0"/>
              <w:rPr>
                <w:rFonts w:hint="eastAsia"/>
                <w:sz w:val="21"/>
                <w:szCs w:val="21"/>
              </w:rPr>
            </w:pPr>
          </w:p>
        </w:tc>
        <w:tc>
          <w:tcPr>
            <w:tcW w:w="484" w:type="pct"/>
            <w:vAlign w:val="center"/>
          </w:tcPr>
          <w:p w14:paraId="31A93A6A">
            <w:pPr>
              <w:adjustRightInd w:val="0"/>
              <w:snapToGrid w:val="0"/>
              <w:jc w:val="center"/>
              <w:rPr>
                <w:rFonts w:hint="eastAsia"/>
                <w:sz w:val="21"/>
                <w:szCs w:val="21"/>
              </w:rPr>
            </w:pPr>
            <w:r>
              <w:rPr>
                <w:sz w:val="21"/>
                <w:szCs w:val="21"/>
              </w:rPr>
              <w:t>1.5</w:t>
            </w:r>
          </w:p>
        </w:tc>
        <w:tc>
          <w:tcPr>
            <w:tcW w:w="488" w:type="pct"/>
            <w:vAlign w:val="center"/>
          </w:tcPr>
          <w:p w14:paraId="4432C3B5">
            <w:pPr>
              <w:adjustRightInd w:val="0"/>
              <w:snapToGrid w:val="0"/>
              <w:jc w:val="center"/>
              <w:rPr>
                <w:rFonts w:hint="eastAsia"/>
                <w:color w:val="000000"/>
                <w:sz w:val="21"/>
                <w:szCs w:val="21"/>
              </w:rPr>
            </w:pPr>
          </w:p>
        </w:tc>
      </w:tr>
      <w:tr w14:paraId="6A96A6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A688947">
            <w:pPr>
              <w:adjustRightInd w:val="0"/>
              <w:snapToGrid w:val="0"/>
              <w:jc w:val="center"/>
              <w:rPr>
                <w:rFonts w:hint="eastAsia"/>
                <w:sz w:val="21"/>
                <w:szCs w:val="21"/>
              </w:rPr>
            </w:pPr>
            <w:r>
              <w:rPr>
                <w:rFonts w:hint="eastAsia"/>
                <w:sz w:val="21"/>
                <w:szCs w:val="21"/>
              </w:rPr>
              <w:t>1</w:t>
            </w:r>
            <w:r>
              <w:rPr>
                <w:sz w:val="21"/>
                <w:szCs w:val="21"/>
              </w:rPr>
              <w:t>3</w:t>
            </w:r>
          </w:p>
        </w:tc>
        <w:tc>
          <w:tcPr>
            <w:tcW w:w="1771" w:type="pct"/>
            <w:vAlign w:val="center"/>
          </w:tcPr>
          <w:p w14:paraId="47674E8C">
            <w:pPr>
              <w:spacing w:line="320" w:lineRule="exact"/>
              <w:rPr>
                <w:rFonts w:hint="eastAsia"/>
                <w:sz w:val="21"/>
                <w:szCs w:val="21"/>
                <w:lang w:val="en-GB"/>
              </w:rPr>
            </w:pPr>
            <w:r>
              <w:rPr>
                <w:rFonts w:hint="eastAsia"/>
                <w:sz w:val="21"/>
                <w:szCs w:val="21"/>
              </w:rPr>
              <w:t>压力钢管设计先进，钢管线路选择应综合考虑地形地质，优选高强度等级钢材。</w:t>
            </w:r>
          </w:p>
        </w:tc>
        <w:tc>
          <w:tcPr>
            <w:tcW w:w="1892" w:type="pct"/>
            <w:vMerge w:val="continue"/>
            <w:vAlign w:val="center"/>
          </w:tcPr>
          <w:p w14:paraId="613D1DF5">
            <w:pPr>
              <w:adjustRightInd w:val="0"/>
              <w:snapToGrid w:val="0"/>
              <w:rPr>
                <w:rFonts w:hint="eastAsia"/>
                <w:sz w:val="21"/>
                <w:szCs w:val="21"/>
              </w:rPr>
            </w:pPr>
          </w:p>
        </w:tc>
        <w:tc>
          <w:tcPr>
            <w:tcW w:w="484" w:type="pct"/>
            <w:vAlign w:val="center"/>
          </w:tcPr>
          <w:p w14:paraId="00B33CB0">
            <w:pPr>
              <w:adjustRightInd w:val="0"/>
              <w:snapToGrid w:val="0"/>
              <w:jc w:val="center"/>
              <w:rPr>
                <w:rFonts w:hint="eastAsia"/>
                <w:sz w:val="21"/>
                <w:szCs w:val="21"/>
              </w:rPr>
            </w:pPr>
            <w:r>
              <w:rPr>
                <w:sz w:val="21"/>
                <w:szCs w:val="21"/>
              </w:rPr>
              <w:t>1.5</w:t>
            </w:r>
          </w:p>
        </w:tc>
        <w:tc>
          <w:tcPr>
            <w:tcW w:w="488" w:type="pct"/>
            <w:vAlign w:val="center"/>
          </w:tcPr>
          <w:p w14:paraId="772BE900">
            <w:pPr>
              <w:adjustRightInd w:val="0"/>
              <w:snapToGrid w:val="0"/>
              <w:jc w:val="center"/>
              <w:rPr>
                <w:rFonts w:hint="eastAsia"/>
                <w:color w:val="000000"/>
                <w:sz w:val="21"/>
                <w:szCs w:val="21"/>
              </w:rPr>
            </w:pPr>
          </w:p>
        </w:tc>
      </w:tr>
      <w:tr w14:paraId="6ED5EC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08336A5">
            <w:pPr>
              <w:adjustRightInd w:val="0"/>
              <w:snapToGrid w:val="0"/>
              <w:jc w:val="center"/>
              <w:rPr>
                <w:rFonts w:hint="eastAsia"/>
                <w:sz w:val="21"/>
                <w:szCs w:val="21"/>
              </w:rPr>
            </w:pPr>
            <w:r>
              <w:rPr>
                <w:rFonts w:hint="eastAsia"/>
                <w:sz w:val="21"/>
                <w:szCs w:val="21"/>
              </w:rPr>
              <w:t>1</w:t>
            </w:r>
            <w:r>
              <w:rPr>
                <w:sz w:val="21"/>
                <w:szCs w:val="21"/>
              </w:rPr>
              <w:t>4</w:t>
            </w:r>
          </w:p>
        </w:tc>
        <w:tc>
          <w:tcPr>
            <w:tcW w:w="1771" w:type="pct"/>
            <w:vAlign w:val="center"/>
          </w:tcPr>
          <w:p w14:paraId="34D42EB6">
            <w:pPr>
              <w:spacing w:line="320" w:lineRule="exact"/>
              <w:rPr>
                <w:rFonts w:hint="eastAsia"/>
                <w:sz w:val="21"/>
                <w:szCs w:val="21"/>
                <w:lang w:val="en-GB"/>
              </w:rPr>
            </w:pPr>
            <w:r>
              <w:rPr>
                <w:sz w:val="21"/>
                <w:szCs w:val="21"/>
              </w:rPr>
              <w:t xml:space="preserve">电厂主接线、运行方式设计安全可靠、技术先进。 </w:t>
            </w:r>
          </w:p>
        </w:tc>
        <w:tc>
          <w:tcPr>
            <w:tcW w:w="1892" w:type="pct"/>
            <w:vMerge w:val="continue"/>
            <w:vAlign w:val="center"/>
          </w:tcPr>
          <w:p w14:paraId="4B10BCA1">
            <w:pPr>
              <w:adjustRightInd w:val="0"/>
              <w:snapToGrid w:val="0"/>
              <w:rPr>
                <w:rFonts w:hint="eastAsia"/>
                <w:sz w:val="21"/>
                <w:szCs w:val="21"/>
              </w:rPr>
            </w:pPr>
          </w:p>
        </w:tc>
        <w:tc>
          <w:tcPr>
            <w:tcW w:w="484" w:type="pct"/>
            <w:vAlign w:val="center"/>
          </w:tcPr>
          <w:p w14:paraId="5C215563">
            <w:pPr>
              <w:adjustRightInd w:val="0"/>
              <w:snapToGrid w:val="0"/>
              <w:jc w:val="center"/>
              <w:rPr>
                <w:rFonts w:hint="eastAsia"/>
                <w:sz w:val="21"/>
                <w:szCs w:val="21"/>
              </w:rPr>
            </w:pPr>
            <w:r>
              <w:rPr>
                <w:sz w:val="21"/>
                <w:szCs w:val="21"/>
              </w:rPr>
              <w:t>1.5</w:t>
            </w:r>
          </w:p>
        </w:tc>
        <w:tc>
          <w:tcPr>
            <w:tcW w:w="488" w:type="pct"/>
            <w:vAlign w:val="center"/>
          </w:tcPr>
          <w:p w14:paraId="05D59C32">
            <w:pPr>
              <w:adjustRightInd w:val="0"/>
              <w:snapToGrid w:val="0"/>
              <w:jc w:val="center"/>
              <w:rPr>
                <w:rFonts w:hint="eastAsia"/>
                <w:color w:val="000000"/>
                <w:sz w:val="21"/>
                <w:szCs w:val="21"/>
              </w:rPr>
            </w:pPr>
          </w:p>
        </w:tc>
      </w:tr>
      <w:tr w14:paraId="391423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FEC3400">
            <w:pPr>
              <w:adjustRightInd w:val="0"/>
              <w:snapToGrid w:val="0"/>
              <w:jc w:val="center"/>
              <w:rPr>
                <w:rFonts w:hint="eastAsia"/>
                <w:sz w:val="21"/>
                <w:szCs w:val="21"/>
              </w:rPr>
            </w:pPr>
            <w:r>
              <w:rPr>
                <w:rFonts w:hint="eastAsia"/>
                <w:sz w:val="21"/>
                <w:szCs w:val="21"/>
              </w:rPr>
              <w:t>1</w:t>
            </w:r>
            <w:r>
              <w:rPr>
                <w:sz w:val="21"/>
                <w:szCs w:val="21"/>
              </w:rPr>
              <w:t>5</w:t>
            </w:r>
          </w:p>
        </w:tc>
        <w:tc>
          <w:tcPr>
            <w:tcW w:w="1771" w:type="pct"/>
            <w:vAlign w:val="center"/>
          </w:tcPr>
          <w:p w14:paraId="43939E85">
            <w:pPr>
              <w:spacing w:line="320" w:lineRule="exact"/>
              <w:rPr>
                <w:rFonts w:hint="eastAsia"/>
                <w:sz w:val="21"/>
                <w:szCs w:val="21"/>
                <w:lang w:val="en-GB"/>
              </w:rPr>
            </w:pPr>
            <w:r>
              <w:rPr>
                <w:sz w:val="21"/>
                <w:szCs w:val="21"/>
              </w:rPr>
              <w:t>主要</w:t>
            </w:r>
            <w:r>
              <w:rPr>
                <w:rFonts w:hint="eastAsia"/>
                <w:sz w:val="21"/>
                <w:szCs w:val="21"/>
              </w:rPr>
              <w:t>电气设备选型合理先进，运行可靠，便于施工和维修。</w:t>
            </w:r>
          </w:p>
        </w:tc>
        <w:tc>
          <w:tcPr>
            <w:tcW w:w="1892" w:type="pct"/>
            <w:vMerge w:val="continue"/>
            <w:vAlign w:val="center"/>
          </w:tcPr>
          <w:p w14:paraId="113528D7">
            <w:pPr>
              <w:adjustRightInd w:val="0"/>
              <w:snapToGrid w:val="0"/>
              <w:rPr>
                <w:rFonts w:hint="eastAsia"/>
                <w:sz w:val="21"/>
                <w:szCs w:val="21"/>
              </w:rPr>
            </w:pPr>
          </w:p>
        </w:tc>
        <w:tc>
          <w:tcPr>
            <w:tcW w:w="484" w:type="pct"/>
            <w:vAlign w:val="center"/>
          </w:tcPr>
          <w:p w14:paraId="3F6C6F63">
            <w:pPr>
              <w:adjustRightInd w:val="0"/>
              <w:snapToGrid w:val="0"/>
              <w:jc w:val="center"/>
              <w:rPr>
                <w:rFonts w:hint="eastAsia"/>
                <w:sz w:val="21"/>
                <w:szCs w:val="21"/>
              </w:rPr>
            </w:pPr>
            <w:r>
              <w:rPr>
                <w:sz w:val="21"/>
                <w:szCs w:val="21"/>
              </w:rPr>
              <w:t>1.5</w:t>
            </w:r>
          </w:p>
        </w:tc>
        <w:tc>
          <w:tcPr>
            <w:tcW w:w="488" w:type="pct"/>
            <w:vAlign w:val="center"/>
          </w:tcPr>
          <w:p w14:paraId="3DF9F40B">
            <w:pPr>
              <w:adjustRightInd w:val="0"/>
              <w:snapToGrid w:val="0"/>
              <w:jc w:val="center"/>
              <w:rPr>
                <w:rFonts w:hint="eastAsia"/>
                <w:color w:val="000000"/>
                <w:sz w:val="21"/>
                <w:szCs w:val="21"/>
              </w:rPr>
            </w:pPr>
          </w:p>
        </w:tc>
      </w:tr>
      <w:tr w14:paraId="383FE8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4B55A28">
            <w:pPr>
              <w:adjustRightInd w:val="0"/>
              <w:snapToGrid w:val="0"/>
              <w:jc w:val="center"/>
              <w:rPr>
                <w:rFonts w:hint="eastAsia"/>
                <w:sz w:val="21"/>
                <w:szCs w:val="21"/>
              </w:rPr>
            </w:pPr>
            <w:r>
              <w:rPr>
                <w:rFonts w:hint="eastAsia"/>
                <w:sz w:val="21"/>
                <w:szCs w:val="21"/>
              </w:rPr>
              <w:t>1</w:t>
            </w:r>
            <w:r>
              <w:rPr>
                <w:sz w:val="21"/>
                <w:szCs w:val="21"/>
              </w:rPr>
              <w:t>6</w:t>
            </w:r>
          </w:p>
        </w:tc>
        <w:tc>
          <w:tcPr>
            <w:tcW w:w="1771" w:type="pct"/>
            <w:vAlign w:val="center"/>
          </w:tcPr>
          <w:p w14:paraId="4C5081AE">
            <w:pPr>
              <w:spacing w:line="320" w:lineRule="exact"/>
              <w:rPr>
                <w:rFonts w:hint="eastAsia"/>
                <w:sz w:val="21"/>
                <w:szCs w:val="21"/>
                <w:lang w:val="en-GB"/>
              </w:rPr>
            </w:pPr>
            <w:r>
              <w:rPr>
                <w:sz w:val="21"/>
                <w:szCs w:val="21"/>
              </w:rPr>
              <w:t xml:space="preserve">自动化控制水平和软硬件设计水平先进，技术领先，获得良好效果。 </w:t>
            </w:r>
          </w:p>
        </w:tc>
        <w:tc>
          <w:tcPr>
            <w:tcW w:w="1892" w:type="pct"/>
            <w:vMerge w:val="continue"/>
            <w:vAlign w:val="center"/>
          </w:tcPr>
          <w:p w14:paraId="478BBF2F">
            <w:pPr>
              <w:adjustRightInd w:val="0"/>
              <w:snapToGrid w:val="0"/>
              <w:rPr>
                <w:rFonts w:hint="eastAsia"/>
                <w:sz w:val="21"/>
                <w:szCs w:val="21"/>
              </w:rPr>
            </w:pPr>
          </w:p>
        </w:tc>
        <w:tc>
          <w:tcPr>
            <w:tcW w:w="484" w:type="pct"/>
            <w:vAlign w:val="center"/>
          </w:tcPr>
          <w:p w14:paraId="57325925">
            <w:pPr>
              <w:adjustRightInd w:val="0"/>
              <w:snapToGrid w:val="0"/>
              <w:jc w:val="center"/>
              <w:rPr>
                <w:rFonts w:hint="eastAsia"/>
                <w:sz w:val="21"/>
                <w:szCs w:val="21"/>
              </w:rPr>
            </w:pPr>
            <w:r>
              <w:rPr>
                <w:sz w:val="21"/>
                <w:szCs w:val="21"/>
              </w:rPr>
              <w:t>1.5</w:t>
            </w:r>
          </w:p>
        </w:tc>
        <w:tc>
          <w:tcPr>
            <w:tcW w:w="488" w:type="pct"/>
            <w:vAlign w:val="center"/>
          </w:tcPr>
          <w:p w14:paraId="4192CFEF">
            <w:pPr>
              <w:adjustRightInd w:val="0"/>
              <w:snapToGrid w:val="0"/>
              <w:jc w:val="center"/>
              <w:rPr>
                <w:rFonts w:hint="eastAsia"/>
                <w:color w:val="000000"/>
                <w:sz w:val="21"/>
                <w:szCs w:val="21"/>
              </w:rPr>
            </w:pPr>
          </w:p>
        </w:tc>
      </w:tr>
      <w:tr w14:paraId="6B27E4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6C581CF">
            <w:pPr>
              <w:adjustRightInd w:val="0"/>
              <w:snapToGrid w:val="0"/>
              <w:jc w:val="center"/>
              <w:rPr>
                <w:rFonts w:hint="eastAsia"/>
                <w:sz w:val="21"/>
                <w:szCs w:val="21"/>
              </w:rPr>
            </w:pPr>
            <w:r>
              <w:rPr>
                <w:rFonts w:hint="eastAsia"/>
                <w:sz w:val="21"/>
                <w:szCs w:val="21"/>
              </w:rPr>
              <w:t>1</w:t>
            </w:r>
            <w:r>
              <w:rPr>
                <w:sz w:val="21"/>
                <w:szCs w:val="21"/>
              </w:rPr>
              <w:t>7</w:t>
            </w:r>
          </w:p>
        </w:tc>
        <w:tc>
          <w:tcPr>
            <w:tcW w:w="1771" w:type="pct"/>
            <w:vAlign w:val="center"/>
          </w:tcPr>
          <w:p w14:paraId="6211A99B">
            <w:pPr>
              <w:spacing w:line="320" w:lineRule="exact"/>
              <w:rPr>
                <w:rFonts w:hint="eastAsia"/>
                <w:sz w:val="21"/>
                <w:szCs w:val="21"/>
                <w:lang w:val="en-GB"/>
              </w:rPr>
            </w:pPr>
            <w:r>
              <w:rPr>
                <w:rFonts w:hint="eastAsia"/>
                <w:sz w:val="21"/>
                <w:szCs w:val="21"/>
              </w:rPr>
              <w:t>重要工艺系统设备与管线布置合理，工艺流程顺畅，检修维护空间适度。</w:t>
            </w:r>
          </w:p>
        </w:tc>
        <w:tc>
          <w:tcPr>
            <w:tcW w:w="1892" w:type="pct"/>
            <w:vMerge w:val="continue"/>
            <w:vAlign w:val="center"/>
          </w:tcPr>
          <w:p w14:paraId="5AA47D1E">
            <w:pPr>
              <w:adjustRightInd w:val="0"/>
              <w:snapToGrid w:val="0"/>
              <w:rPr>
                <w:rFonts w:hint="eastAsia"/>
                <w:sz w:val="21"/>
                <w:szCs w:val="21"/>
              </w:rPr>
            </w:pPr>
          </w:p>
        </w:tc>
        <w:tc>
          <w:tcPr>
            <w:tcW w:w="484" w:type="pct"/>
            <w:vAlign w:val="center"/>
          </w:tcPr>
          <w:p w14:paraId="7360D19F">
            <w:pPr>
              <w:adjustRightInd w:val="0"/>
              <w:snapToGrid w:val="0"/>
              <w:jc w:val="center"/>
              <w:rPr>
                <w:rFonts w:hint="eastAsia"/>
                <w:sz w:val="21"/>
                <w:szCs w:val="21"/>
              </w:rPr>
            </w:pPr>
            <w:r>
              <w:rPr>
                <w:sz w:val="21"/>
                <w:szCs w:val="21"/>
              </w:rPr>
              <w:t>1.5</w:t>
            </w:r>
          </w:p>
        </w:tc>
        <w:tc>
          <w:tcPr>
            <w:tcW w:w="488" w:type="pct"/>
            <w:vAlign w:val="center"/>
          </w:tcPr>
          <w:p w14:paraId="6456A5EA">
            <w:pPr>
              <w:adjustRightInd w:val="0"/>
              <w:snapToGrid w:val="0"/>
              <w:jc w:val="center"/>
              <w:rPr>
                <w:rFonts w:hint="eastAsia"/>
                <w:color w:val="000000"/>
                <w:sz w:val="21"/>
                <w:szCs w:val="21"/>
              </w:rPr>
            </w:pPr>
          </w:p>
        </w:tc>
      </w:tr>
      <w:tr w14:paraId="12B6E0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46BD704">
            <w:pPr>
              <w:adjustRightInd w:val="0"/>
              <w:snapToGrid w:val="0"/>
              <w:jc w:val="center"/>
              <w:rPr>
                <w:rFonts w:hint="eastAsia"/>
                <w:sz w:val="21"/>
                <w:szCs w:val="21"/>
              </w:rPr>
            </w:pPr>
            <w:r>
              <w:rPr>
                <w:rFonts w:hint="eastAsia"/>
                <w:sz w:val="21"/>
                <w:szCs w:val="21"/>
              </w:rPr>
              <w:t>1</w:t>
            </w:r>
            <w:r>
              <w:rPr>
                <w:sz w:val="21"/>
                <w:szCs w:val="21"/>
              </w:rPr>
              <w:t>8</w:t>
            </w:r>
          </w:p>
        </w:tc>
        <w:tc>
          <w:tcPr>
            <w:tcW w:w="1771" w:type="pct"/>
            <w:vAlign w:val="center"/>
          </w:tcPr>
          <w:p w14:paraId="6824B328">
            <w:pPr>
              <w:spacing w:line="320" w:lineRule="exact"/>
              <w:rPr>
                <w:rFonts w:hint="eastAsia"/>
                <w:sz w:val="21"/>
                <w:szCs w:val="21"/>
                <w:lang w:val="en-GB"/>
              </w:rPr>
            </w:pPr>
            <w:r>
              <w:rPr>
                <w:rFonts w:hint="eastAsia"/>
                <w:sz w:val="21"/>
                <w:szCs w:val="21"/>
              </w:rPr>
              <w:t>采用三维数字化正向设计方法，多专业协同设计，提高设计精细化水平</w:t>
            </w:r>
            <w:r>
              <w:rPr>
                <w:sz w:val="21"/>
                <w:szCs w:val="21"/>
              </w:rPr>
              <w:t>。</w:t>
            </w:r>
          </w:p>
        </w:tc>
        <w:tc>
          <w:tcPr>
            <w:tcW w:w="1892" w:type="pct"/>
            <w:vMerge w:val="continue"/>
            <w:vAlign w:val="center"/>
          </w:tcPr>
          <w:p w14:paraId="62F9E55D">
            <w:pPr>
              <w:adjustRightInd w:val="0"/>
              <w:snapToGrid w:val="0"/>
              <w:rPr>
                <w:rFonts w:hint="eastAsia"/>
                <w:sz w:val="21"/>
                <w:szCs w:val="21"/>
              </w:rPr>
            </w:pPr>
          </w:p>
        </w:tc>
        <w:tc>
          <w:tcPr>
            <w:tcW w:w="484" w:type="pct"/>
            <w:vAlign w:val="center"/>
          </w:tcPr>
          <w:p w14:paraId="27E106D7">
            <w:pPr>
              <w:adjustRightInd w:val="0"/>
              <w:snapToGrid w:val="0"/>
              <w:jc w:val="center"/>
              <w:rPr>
                <w:rFonts w:hint="eastAsia"/>
                <w:sz w:val="21"/>
                <w:szCs w:val="21"/>
              </w:rPr>
            </w:pPr>
            <w:r>
              <w:rPr>
                <w:sz w:val="21"/>
                <w:szCs w:val="21"/>
              </w:rPr>
              <w:t>1.5</w:t>
            </w:r>
          </w:p>
        </w:tc>
        <w:tc>
          <w:tcPr>
            <w:tcW w:w="488" w:type="pct"/>
            <w:vAlign w:val="center"/>
          </w:tcPr>
          <w:p w14:paraId="7ED028B7">
            <w:pPr>
              <w:adjustRightInd w:val="0"/>
              <w:snapToGrid w:val="0"/>
              <w:jc w:val="center"/>
              <w:rPr>
                <w:rFonts w:hint="eastAsia"/>
                <w:color w:val="000000"/>
                <w:sz w:val="21"/>
                <w:szCs w:val="21"/>
              </w:rPr>
            </w:pPr>
          </w:p>
        </w:tc>
      </w:tr>
      <w:tr w14:paraId="5AC5B4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CD631C8">
            <w:pPr>
              <w:adjustRightInd w:val="0"/>
              <w:snapToGrid w:val="0"/>
              <w:jc w:val="center"/>
              <w:rPr>
                <w:rFonts w:hint="eastAsia"/>
                <w:sz w:val="21"/>
                <w:szCs w:val="21"/>
              </w:rPr>
            </w:pPr>
            <w:r>
              <w:rPr>
                <w:rFonts w:hint="eastAsia"/>
                <w:sz w:val="21"/>
                <w:szCs w:val="21"/>
              </w:rPr>
              <w:t>1</w:t>
            </w:r>
            <w:r>
              <w:rPr>
                <w:sz w:val="21"/>
                <w:szCs w:val="21"/>
              </w:rPr>
              <w:t>9</w:t>
            </w:r>
          </w:p>
        </w:tc>
        <w:tc>
          <w:tcPr>
            <w:tcW w:w="1771" w:type="pct"/>
            <w:vAlign w:val="center"/>
          </w:tcPr>
          <w:p w14:paraId="10406C79">
            <w:pPr>
              <w:spacing w:line="320" w:lineRule="exact"/>
              <w:rPr>
                <w:rFonts w:hint="eastAsia"/>
                <w:sz w:val="21"/>
                <w:szCs w:val="21"/>
                <w:lang w:val="en-GB"/>
              </w:rPr>
            </w:pPr>
            <w:r>
              <w:rPr>
                <w:rFonts w:hint="eastAsia"/>
                <w:sz w:val="21"/>
                <w:szCs w:val="21"/>
              </w:rPr>
              <w:t>采用智能仿真、智能温控、智能灌浆、智能振捣、智能碾压等先进技术，提高工程智能化建设水平。</w:t>
            </w:r>
          </w:p>
        </w:tc>
        <w:tc>
          <w:tcPr>
            <w:tcW w:w="1892" w:type="pct"/>
            <w:vMerge w:val="continue"/>
            <w:vAlign w:val="center"/>
          </w:tcPr>
          <w:p w14:paraId="128E14E2">
            <w:pPr>
              <w:adjustRightInd w:val="0"/>
              <w:snapToGrid w:val="0"/>
              <w:rPr>
                <w:rFonts w:hint="eastAsia"/>
                <w:sz w:val="21"/>
                <w:szCs w:val="21"/>
              </w:rPr>
            </w:pPr>
          </w:p>
        </w:tc>
        <w:tc>
          <w:tcPr>
            <w:tcW w:w="484" w:type="pct"/>
            <w:vAlign w:val="center"/>
          </w:tcPr>
          <w:p w14:paraId="6FC3DB0B">
            <w:pPr>
              <w:adjustRightInd w:val="0"/>
              <w:snapToGrid w:val="0"/>
              <w:jc w:val="center"/>
              <w:rPr>
                <w:rFonts w:hint="eastAsia"/>
                <w:sz w:val="21"/>
                <w:szCs w:val="21"/>
              </w:rPr>
            </w:pPr>
            <w:r>
              <w:rPr>
                <w:sz w:val="21"/>
                <w:szCs w:val="21"/>
              </w:rPr>
              <w:t>1.5</w:t>
            </w:r>
          </w:p>
        </w:tc>
        <w:tc>
          <w:tcPr>
            <w:tcW w:w="488" w:type="pct"/>
            <w:vAlign w:val="center"/>
          </w:tcPr>
          <w:p w14:paraId="47B736FF">
            <w:pPr>
              <w:adjustRightInd w:val="0"/>
              <w:snapToGrid w:val="0"/>
              <w:jc w:val="center"/>
              <w:rPr>
                <w:rFonts w:hint="eastAsia"/>
                <w:color w:val="000000"/>
                <w:sz w:val="21"/>
                <w:szCs w:val="21"/>
              </w:rPr>
            </w:pPr>
          </w:p>
        </w:tc>
      </w:tr>
      <w:tr w14:paraId="11BB8E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D9DC629">
            <w:pPr>
              <w:adjustRightInd w:val="0"/>
              <w:snapToGrid w:val="0"/>
              <w:jc w:val="center"/>
              <w:rPr>
                <w:rFonts w:hint="eastAsia"/>
                <w:sz w:val="21"/>
                <w:szCs w:val="21"/>
              </w:rPr>
            </w:pPr>
            <w:r>
              <w:rPr>
                <w:rFonts w:hint="eastAsia"/>
                <w:sz w:val="21"/>
                <w:szCs w:val="21"/>
              </w:rPr>
              <w:t>2</w:t>
            </w:r>
            <w:r>
              <w:rPr>
                <w:sz w:val="21"/>
                <w:szCs w:val="21"/>
              </w:rPr>
              <w:t>0</w:t>
            </w:r>
          </w:p>
        </w:tc>
        <w:tc>
          <w:tcPr>
            <w:tcW w:w="1771" w:type="pct"/>
            <w:vAlign w:val="center"/>
          </w:tcPr>
          <w:p w14:paraId="58C80C5A">
            <w:pPr>
              <w:spacing w:line="320" w:lineRule="exact"/>
              <w:rPr>
                <w:rFonts w:hint="eastAsia"/>
                <w:sz w:val="21"/>
                <w:szCs w:val="21"/>
                <w:lang w:val="en-GB"/>
              </w:rPr>
            </w:pPr>
            <w:r>
              <w:rPr>
                <w:rFonts w:hint="eastAsia"/>
                <w:sz w:val="21"/>
                <w:szCs w:val="21"/>
              </w:rPr>
              <w:t>各项技术性能指标先进，国内同类工程领先水平。</w:t>
            </w:r>
          </w:p>
        </w:tc>
        <w:tc>
          <w:tcPr>
            <w:tcW w:w="1892" w:type="pct"/>
            <w:vMerge w:val="continue"/>
            <w:vAlign w:val="center"/>
          </w:tcPr>
          <w:p w14:paraId="0D8EC379">
            <w:pPr>
              <w:adjustRightInd w:val="0"/>
              <w:snapToGrid w:val="0"/>
              <w:rPr>
                <w:rFonts w:hint="eastAsia"/>
                <w:sz w:val="21"/>
                <w:szCs w:val="21"/>
              </w:rPr>
            </w:pPr>
          </w:p>
        </w:tc>
        <w:tc>
          <w:tcPr>
            <w:tcW w:w="484" w:type="pct"/>
            <w:vAlign w:val="center"/>
          </w:tcPr>
          <w:p w14:paraId="38EDA637">
            <w:pPr>
              <w:adjustRightInd w:val="0"/>
              <w:snapToGrid w:val="0"/>
              <w:jc w:val="center"/>
              <w:rPr>
                <w:rFonts w:hint="eastAsia"/>
                <w:sz w:val="21"/>
                <w:szCs w:val="21"/>
              </w:rPr>
            </w:pPr>
            <w:r>
              <w:rPr>
                <w:sz w:val="21"/>
                <w:szCs w:val="21"/>
              </w:rPr>
              <w:t>1.5</w:t>
            </w:r>
          </w:p>
        </w:tc>
        <w:tc>
          <w:tcPr>
            <w:tcW w:w="488" w:type="pct"/>
            <w:vAlign w:val="center"/>
          </w:tcPr>
          <w:p w14:paraId="100E5ABC">
            <w:pPr>
              <w:adjustRightInd w:val="0"/>
              <w:snapToGrid w:val="0"/>
              <w:jc w:val="center"/>
              <w:rPr>
                <w:rFonts w:hint="eastAsia"/>
                <w:color w:val="000000"/>
                <w:sz w:val="21"/>
                <w:szCs w:val="21"/>
              </w:rPr>
            </w:pPr>
          </w:p>
        </w:tc>
      </w:tr>
      <w:tr w14:paraId="427A5D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34750F0">
            <w:pPr>
              <w:adjustRightInd w:val="0"/>
              <w:snapToGrid w:val="0"/>
              <w:jc w:val="center"/>
              <w:rPr>
                <w:rFonts w:hint="eastAsia"/>
                <w:sz w:val="21"/>
                <w:szCs w:val="21"/>
              </w:rPr>
            </w:pPr>
            <w:r>
              <w:rPr>
                <w:rFonts w:hint="eastAsia"/>
                <w:b/>
                <w:bCs/>
                <w:sz w:val="21"/>
                <w:szCs w:val="21"/>
              </w:rPr>
              <w:t>5.</w:t>
            </w:r>
            <w:r>
              <w:rPr>
                <w:b/>
                <w:bCs/>
                <w:sz w:val="21"/>
                <w:szCs w:val="21"/>
              </w:rPr>
              <w:t>2</w:t>
            </w:r>
            <w:r>
              <w:rPr>
                <w:rFonts w:hint="eastAsia"/>
                <w:b/>
                <w:bCs/>
                <w:sz w:val="21"/>
                <w:szCs w:val="21"/>
              </w:rPr>
              <w:t>.2</w:t>
            </w:r>
          </w:p>
        </w:tc>
        <w:tc>
          <w:tcPr>
            <w:tcW w:w="1771" w:type="pct"/>
            <w:vAlign w:val="center"/>
          </w:tcPr>
          <w:p w14:paraId="41F8EAB1">
            <w:pPr>
              <w:spacing w:line="320" w:lineRule="exact"/>
              <w:rPr>
                <w:rFonts w:hint="eastAsia"/>
                <w:sz w:val="21"/>
                <w:szCs w:val="21"/>
                <w:lang w:val="en-GB"/>
              </w:rPr>
            </w:pPr>
            <w:r>
              <w:rPr>
                <w:rFonts w:hint="eastAsia"/>
                <w:b/>
                <w:bCs/>
                <w:sz w:val="21"/>
                <w:szCs w:val="21"/>
              </w:rPr>
              <w:t>资源节约</w:t>
            </w:r>
          </w:p>
        </w:tc>
        <w:tc>
          <w:tcPr>
            <w:tcW w:w="1892" w:type="pct"/>
            <w:vAlign w:val="center"/>
          </w:tcPr>
          <w:p w14:paraId="05506A89">
            <w:pPr>
              <w:adjustRightInd w:val="0"/>
              <w:snapToGrid w:val="0"/>
              <w:rPr>
                <w:rFonts w:hint="eastAsia"/>
                <w:sz w:val="21"/>
                <w:szCs w:val="21"/>
              </w:rPr>
            </w:pPr>
          </w:p>
        </w:tc>
        <w:tc>
          <w:tcPr>
            <w:tcW w:w="484" w:type="pct"/>
            <w:vAlign w:val="center"/>
          </w:tcPr>
          <w:p w14:paraId="7913C243">
            <w:pPr>
              <w:adjustRightInd w:val="0"/>
              <w:snapToGrid w:val="0"/>
              <w:jc w:val="center"/>
              <w:rPr>
                <w:rFonts w:hint="eastAsia"/>
                <w:sz w:val="21"/>
                <w:szCs w:val="21"/>
              </w:rPr>
            </w:pPr>
            <w:r>
              <w:rPr>
                <w:rFonts w:hint="eastAsia"/>
                <w:sz w:val="21"/>
                <w:szCs w:val="21"/>
              </w:rPr>
              <w:t>15</w:t>
            </w:r>
          </w:p>
        </w:tc>
        <w:tc>
          <w:tcPr>
            <w:tcW w:w="488" w:type="pct"/>
            <w:vAlign w:val="center"/>
          </w:tcPr>
          <w:p w14:paraId="061082E6">
            <w:pPr>
              <w:adjustRightInd w:val="0"/>
              <w:snapToGrid w:val="0"/>
              <w:jc w:val="center"/>
              <w:rPr>
                <w:rFonts w:hint="eastAsia"/>
                <w:color w:val="000000"/>
                <w:sz w:val="21"/>
                <w:szCs w:val="21"/>
              </w:rPr>
            </w:pPr>
          </w:p>
        </w:tc>
      </w:tr>
      <w:tr w14:paraId="57487F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B520349">
            <w:pPr>
              <w:adjustRightInd w:val="0"/>
              <w:snapToGrid w:val="0"/>
              <w:jc w:val="center"/>
              <w:rPr>
                <w:rFonts w:hint="eastAsia"/>
                <w:sz w:val="21"/>
                <w:szCs w:val="21"/>
              </w:rPr>
            </w:pPr>
            <w:r>
              <w:rPr>
                <w:rFonts w:hint="eastAsia"/>
                <w:sz w:val="21"/>
                <w:szCs w:val="21"/>
              </w:rPr>
              <w:t>1</w:t>
            </w:r>
          </w:p>
        </w:tc>
        <w:tc>
          <w:tcPr>
            <w:tcW w:w="1771" w:type="pct"/>
            <w:vAlign w:val="center"/>
          </w:tcPr>
          <w:p w14:paraId="4454EFBF">
            <w:pPr>
              <w:spacing w:line="320" w:lineRule="exact"/>
              <w:rPr>
                <w:rFonts w:hint="eastAsia"/>
                <w:sz w:val="21"/>
                <w:szCs w:val="21"/>
                <w:lang w:val="en-GB"/>
              </w:rPr>
            </w:pPr>
            <w:r>
              <w:rPr>
                <w:rFonts w:hint="eastAsia"/>
                <w:sz w:val="21"/>
                <w:szCs w:val="21"/>
              </w:rPr>
              <w:t>建筑物选址遵循合理利用土地，切实保护耕地、林地和自然保护区的原则，避免大量征地拆迁，减少永久建筑物占地面积。</w:t>
            </w:r>
          </w:p>
        </w:tc>
        <w:tc>
          <w:tcPr>
            <w:tcW w:w="1892" w:type="pct"/>
            <w:vMerge w:val="restart"/>
            <w:vAlign w:val="center"/>
          </w:tcPr>
          <w:p w14:paraId="097E3F57">
            <w:pPr>
              <w:jc w:val="left"/>
              <w:rPr>
                <w:rFonts w:hint="eastAsia"/>
                <w:sz w:val="21"/>
                <w:szCs w:val="21"/>
              </w:rPr>
            </w:pPr>
            <w:r>
              <w:rPr>
                <w:rFonts w:hint="eastAsia"/>
                <w:sz w:val="21"/>
                <w:szCs w:val="21"/>
              </w:rPr>
              <w:t>每项子目实得分根据实际情况按照标准分乘以相应系数进行评分：</w:t>
            </w:r>
          </w:p>
          <w:p w14:paraId="4B50B4FC">
            <w:pPr>
              <w:jc w:val="left"/>
              <w:rPr>
                <w:rFonts w:hint="eastAsia"/>
                <w:sz w:val="21"/>
                <w:szCs w:val="21"/>
              </w:rPr>
            </w:pPr>
            <w:r>
              <w:rPr>
                <w:rFonts w:hint="eastAsia"/>
                <w:sz w:val="21"/>
                <w:szCs w:val="21"/>
              </w:rPr>
              <w:t>1、设计指标满足评价内容要求，系数为1；</w:t>
            </w:r>
          </w:p>
          <w:p w14:paraId="723C1337">
            <w:pPr>
              <w:jc w:val="left"/>
              <w:rPr>
                <w:rFonts w:hint="eastAsia" w:cs="宋体"/>
                <w:color w:val="000000"/>
                <w:sz w:val="21"/>
                <w:szCs w:val="21"/>
              </w:rPr>
            </w:pPr>
            <w:r>
              <w:rPr>
                <w:rFonts w:hint="eastAsia"/>
                <w:sz w:val="21"/>
                <w:szCs w:val="21"/>
              </w:rPr>
              <w:t>2、设计指标基本满足评价内容要求，系数按照0.5~0.9酌情选取；</w:t>
            </w:r>
          </w:p>
          <w:p w14:paraId="05BA25DC">
            <w:pPr>
              <w:adjustRightInd w:val="0"/>
              <w:snapToGrid w:val="0"/>
              <w:rPr>
                <w:rFonts w:hint="eastAsia"/>
                <w:sz w:val="21"/>
                <w:szCs w:val="21"/>
              </w:rPr>
            </w:pPr>
            <w:r>
              <w:rPr>
                <w:rFonts w:hint="eastAsia"/>
                <w:sz w:val="21"/>
                <w:szCs w:val="21"/>
              </w:rPr>
              <w:t>3、设计指标不满足评价内容要求，得0分。</w:t>
            </w:r>
          </w:p>
        </w:tc>
        <w:tc>
          <w:tcPr>
            <w:tcW w:w="484" w:type="pct"/>
            <w:vAlign w:val="center"/>
          </w:tcPr>
          <w:p w14:paraId="514B2C95">
            <w:pPr>
              <w:adjustRightInd w:val="0"/>
              <w:snapToGrid w:val="0"/>
              <w:jc w:val="center"/>
              <w:rPr>
                <w:rFonts w:hint="eastAsia"/>
                <w:sz w:val="21"/>
                <w:szCs w:val="21"/>
              </w:rPr>
            </w:pPr>
            <w:r>
              <w:rPr>
                <w:sz w:val="21"/>
                <w:szCs w:val="21"/>
              </w:rPr>
              <w:t>1.2</w:t>
            </w:r>
          </w:p>
        </w:tc>
        <w:tc>
          <w:tcPr>
            <w:tcW w:w="488" w:type="pct"/>
            <w:vAlign w:val="center"/>
          </w:tcPr>
          <w:p w14:paraId="4BFA2ACB">
            <w:pPr>
              <w:adjustRightInd w:val="0"/>
              <w:snapToGrid w:val="0"/>
              <w:jc w:val="center"/>
              <w:rPr>
                <w:rFonts w:hint="eastAsia"/>
                <w:color w:val="000000"/>
                <w:sz w:val="21"/>
                <w:szCs w:val="21"/>
              </w:rPr>
            </w:pPr>
          </w:p>
        </w:tc>
      </w:tr>
      <w:tr w14:paraId="361594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34A2565">
            <w:pPr>
              <w:adjustRightInd w:val="0"/>
              <w:snapToGrid w:val="0"/>
              <w:jc w:val="center"/>
              <w:rPr>
                <w:rFonts w:hint="eastAsia"/>
                <w:sz w:val="21"/>
                <w:szCs w:val="21"/>
              </w:rPr>
            </w:pPr>
            <w:r>
              <w:rPr>
                <w:rFonts w:hint="eastAsia"/>
                <w:sz w:val="21"/>
                <w:szCs w:val="21"/>
              </w:rPr>
              <w:t>2</w:t>
            </w:r>
          </w:p>
        </w:tc>
        <w:tc>
          <w:tcPr>
            <w:tcW w:w="1771" w:type="pct"/>
            <w:vAlign w:val="center"/>
          </w:tcPr>
          <w:p w14:paraId="1E893FAD">
            <w:pPr>
              <w:spacing w:line="320" w:lineRule="exact"/>
              <w:rPr>
                <w:rFonts w:hint="eastAsia"/>
                <w:sz w:val="21"/>
                <w:szCs w:val="21"/>
                <w:lang w:val="en-GB"/>
              </w:rPr>
            </w:pPr>
            <w:r>
              <w:rPr>
                <w:rFonts w:hint="eastAsia"/>
                <w:sz w:val="21"/>
                <w:szCs w:val="21"/>
              </w:rPr>
              <w:t>建筑物集中布置，施工总布置紧凑，永久建筑和临时建筑紧密结合，道路设置合理，节约用地，提高土地利用率。</w:t>
            </w:r>
          </w:p>
        </w:tc>
        <w:tc>
          <w:tcPr>
            <w:tcW w:w="1892" w:type="pct"/>
            <w:vMerge w:val="continue"/>
            <w:vAlign w:val="center"/>
          </w:tcPr>
          <w:p w14:paraId="125C9B3B">
            <w:pPr>
              <w:adjustRightInd w:val="0"/>
              <w:snapToGrid w:val="0"/>
              <w:rPr>
                <w:rFonts w:hint="eastAsia"/>
                <w:sz w:val="21"/>
                <w:szCs w:val="21"/>
              </w:rPr>
            </w:pPr>
          </w:p>
        </w:tc>
        <w:tc>
          <w:tcPr>
            <w:tcW w:w="484" w:type="pct"/>
            <w:vAlign w:val="center"/>
          </w:tcPr>
          <w:p w14:paraId="05BBCF93">
            <w:pPr>
              <w:adjustRightInd w:val="0"/>
              <w:snapToGrid w:val="0"/>
              <w:jc w:val="center"/>
              <w:rPr>
                <w:rFonts w:hint="eastAsia"/>
                <w:sz w:val="21"/>
                <w:szCs w:val="21"/>
              </w:rPr>
            </w:pPr>
            <w:r>
              <w:rPr>
                <w:sz w:val="21"/>
                <w:szCs w:val="21"/>
              </w:rPr>
              <w:t>1.2</w:t>
            </w:r>
          </w:p>
        </w:tc>
        <w:tc>
          <w:tcPr>
            <w:tcW w:w="488" w:type="pct"/>
            <w:vAlign w:val="center"/>
          </w:tcPr>
          <w:p w14:paraId="1116E32B">
            <w:pPr>
              <w:adjustRightInd w:val="0"/>
              <w:snapToGrid w:val="0"/>
              <w:jc w:val="center"/>
              <w:rPr>
                <w:rFonts w:hint="eastAsia"/>
                <w:color w:val="000000"/>
                <w:sz w:val="21"/>
                <w:szCs w:val="21"/>
              </w:rPr>
            </w:pPr>
          </w:p>
        </w:tc>
      </w:tr>
      <w:tr w14:paraId="6344D8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4FE492B">
            <w:pPr>
              <w:adjustRightInd w:val="0"/>
              <w:snapToGrid w:val="0"/>
              <w:jc w:val="center"/>
              <w:rPr>
                <w:rFonts w:hint="eastAsia"/>
                <w:sz w:val="21"/>
                <w:szCs w:val="21"/>
              </w:rPr>
            </w:pPr>
            <w:r>
              <w:rPr>
                <w:rFonts w:hint="eastAsia"/>
                <w:sz w:val="21"/>
                <w:szCs w:val="21"/>
              </w:rPr>
              <w:t>3</w:t>
            </w:r>
          </w:p>
        </w:tc>
        <w:tc>
          <w:tcPr>
            <w:tcW w:w="1771" w:type="pct"/>
            <w:vAlign w:val="center"/>
          </w:tcPr>
          <w:p w14:paraId="5A49DBFF">
            <w:pPr>
              <w:spacing w:line="320" w:lineRule="exact"/>
              <w:rPr>
                <w:rFonts w:hint="eastAsia"/>
                <w:sz w:val="21"/>
                <w:szCs w:val="21"/>
                <w:lang w:val="en-GB"/>
              </w:rPr>
            </w:pPr>
            <w:r>
              <w:rPr>
                <w:rFonts w:hint="eastAsia"/>
                <w:sz w:val="21"/>
                <w:szCs w:val="21"/>
              </w:rPr>
              <w:t>采用合理的水土保持方案，加强土地资源保护，减少水土流失。</w:t>
            </w:r>
            <w:r>
              <w:rPr>
                <w:sz w:val="21"/>
                <w:szCs w:val="21"/>
              </w:rPr>
              <w:t xml:space="preserve"> </w:t>
            </w:r>
          </w:p>
        </w:tc>
        <w:tc>
          <w:tcPr>
            <w:tcW w:w="1892" w:type="pct"/>
            <w:vMerge w:val="continue"/>
            <w:vAlign w:val="center"/>
          </w:tcPr>
          <w:p w14:paraId="5E89BCB2">
            <w:pPr>
              <w:adjustRightInd w:val="0"/>
              <w:snapToGrid w:val="0"/>
              <w:rPr>
                <w:rFonts w:hint="eastAsia"/>
                <w:sz w:val="21"/>
                <w:szCs w:val="21"/>
              </w:rPr>
            </w:pPr>
          </w:p>
        </w:tc>
        <w:tc>
          <w:tcPr>
            <w:tcW w:w="484" w:type="pct"/>
            <w:vAlign w:val="center"/>
          </w:tcPr>
          <w:p w14:paraId="6518EA8E">
            <w:pPr>
              <w:adjustRightInd w:val="0"/>
              <w:snapToGrid w:val="0"/>
              <w:jc w:val="center"/>
              <w:rPr>
                <w:rFonts w:hint="eastAsia"/>
                <w:sz w:val="21"/>
                <w:szCs w:val="21"/>
              </w:rPr>
            </w:pPr>
            <w:r>
              <w:rPr>
                <w:sz w:val="21"/>
                <w:szCs w:val="21"/>
              </w:rPr>
              <w:t>1.1</w:t>
            </w:r>
          </w:p>
        </w:tc>
        <w:tc>
          <w:tcPr>
            <w:tcW w:w="488" w:type="pct"/>
            <w:vAlign w:val="center"/>
          </w:tcPr>
          <w:p w14:paraId="07EB2706">
            <w:pPr>
              <w:adjustRightInd w:val="0"/>
              <w:snapToGrid w:val="0"/>
              <w:jc w:val="center"/>
              <w:rPr>
                <w:rFonts w:hint="eastAsia"/>
                <w:color w:val="000000"/>
                <w:sz w:val="21"/>
                <w:szCs w:val="21"/>
              </w:rPr>
            </w:pPr>
          </w:p>
        </w:tc>
      </w:tr>
      <w:tr w14:paraId="4E9924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321B135">
            <w:pPr>
              <w:adjustRightInd w:val="0"/>
              <w:snapToGrid w:val="0"/>
              <w:jc w:val="center"/>
              <w:rPr>
                <w:rFonts w:hint="eastAsia"/>
                <w:sz w:val="21"/>
                <w:szCs w:val="21"/>
              </w:rPr>
            </w:pPr>
            <w:r>
              <w:rPr>
                <w:rFonts w:hint="eastAsia"/>
                <w:sz w:val="21"/>
                <w:szCs w:val="21"/>
              </w:rPr>
              <w:t>4</w:t>
            </w:r>
          </w:p>
        </w:tc>
        <w:tc>
          <w:tcPr>
            <w:tcW w:w="1771" w:type="pct"/>
            <w:vAlign w:val="center"/>
          </w:tcPr>
          <w:p w14:paraId="1E981E77">
            <w:pPr>
              <w:spacing w:line="320" w:lineRule="exact"/>
              <w:rPr>
                <w:rFonts w:hint="eastAsia"/>
                <w:sz w:val="21"/>
                <w:szCs w:val="21"/>
                <w:lang w:val="en-GB"/>
              </w:rPr>
            </w:pPr>
            <w:r>
              <w:rPr>
                <w:rFonts w:hint="eastAsia"/>
                <w:sz w:val="21"/>
                <w:szCs w:val="21"/>
              </w:rPr>
              <w:t>采用先进的水轮发电机组，发电效率达到国内同类机组先进水平。</w:t>
            </w:r>
          </w:p>
        </w:tc>
        <w:tc>
          <w:tcPr>
            <w:tcW w:w="1892" w:type="pct"/>
            <w:vMerge w:val="continue"/>
            <w:vAlign w:val="center"/>
          </w:tcPr>
          <w:p w14:paraId="4CD57766">
            <w:pPr>
              <w:adjustRightInd w:val="0"/>
              <w:snapToGrid w:val="0"/>
              <w:rPr>
                <w:rFonts w:hint="eastAsia"/>
                <w:sz w:val="21"/>
                <w:szCs w:val="21"/>
              </w:rPr>
            </w:pPr>
          </w:p>
        </w:tc>
        <w:tc>
          <w:tcPr>
            <w:tcW w:w="484" w:type="pct"/>
            <w:vAlign w:val="center"/>
          </w:tcPr>
          <w:p w14:paraId="3452586D">
            <w:pPr>
              <w:adjustRightInd w:val="0"/>
              <w:snapToGrid w:val="0"/>
              <w:jc w:val="center"/>
              <w:rPr>
                <w:rFonts w:hint="eastAsia"/>
                <w:sz w:val="21"/>
                <w:szCs w:val="21"/>
              </w:rPr>
            </w:pPr>
            <w:r>
              <w:rPr>
                <w:sz w:val="21"/>
                <w:szCs w:val="21"/>
              </w:rPr>
              <w:t>1</w:t>
            </w:r>
          </w:p>
        </w:tc>
        <w:tc>
          <w:tcPr>
            <w:tcW w:w="488" w:type="pct"/>
            <w:vAlign w:val="center"/>
          </w:tcPr>
          <w:p w14:paraId="5617154E">
            <w:pPr>
              <w:adjustRightInd w:val="0"/>
              <w:snapToGrid w:val="0"/>
              <w:jc w:val="center"/>
              <w:rPr>
                <w:rFonts w:hint="eastAsia"/>
                <w:color w:val="000000"/>
                <w:sz w:val="21"/>
                <w:szCs w:val="21"/>
              </w:rPr>
            </w:pPr>
          </w:p>
        </w:tc>
      </w:tr>
      <w:tr w14:paraId="423082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4201A45">
            <w:pPr>
              <w:adjustRightInd w:val="0"/>
              <w:snapToGrid w:val="0"/>
              <w:jc w:val="center"/>
              <w:rPr>
                <w:rFonts w:hint="eastAsia"/>
                <w:sz w:val="21"/>
                <w:szCs w:val="21"/>
              </w:rPr>
            </w:pPr>
            <w:r>
              <w:rPr>
                <w:rFonts w:hint="eastAsia"/>
                <w:sz w:val="21"/>
                <w:szCs w:val="21"/>
              </w:rPr>
              <w:t>5</w:t>
            </w:r>
          </w:p>
        </w:tc>
        <w:tc>
          <w:tcPr>
            <w:tcW w:w="1771" w:type="pct"/>
            <w:vAlign w:val="center"/>
          </w:tcPr>
          <w:p w14:paraId="3E9CAFB8">
            <w:pPr>
              <w:spacing w:line="320" w:lineRule="exact"/>
              <w:rPr>
                <w:rFonts w:hint="eastAsia"/>
                <w:sz w:val="21"/>
                <w:szCs w:val="21"/>
                <w:lang w:val="en-GB"/>
              </w:rPr>
            </w:pPr>
            <w:r>
              <w:rPr>
                <w:rFonts w:hint="eastAsia"/>
                <w:sz w:val="21"/>
                <w:szCs w:val="21"/>
              </w:rPr>
              <w:t>选用功耗低、能耗小、效率高的机电设备。</w:t>
            </w:r>
          </w:p>
        </w:tc>
        <w:tc>
          <w:tcPr>
            <w:tcW w:w="1892" w:type="pct"/>
            <w:vMerge w:val="continue"/>
            <w:vAlign w:val="center"/>
          </w:tcPr>
          <w:p w14:paraId="1C0DF9D7">
            <w:pPr>
              <w:adjustRightInd w:val="0"/>
              <w:snapToGrid w:val="0"/>
              <w:rPr>
                <w:rFonts w:hint="eastAsia"/>
                <w:sz w:val="21"/>
                <w:szCs w:val="21"/>
              </w:rPr>
            </w:pPr>
          </w:p>
        </w:tc>
        <w:tc>
          <w:tcPr>
            <w:tcW w:w="484" w:type="pct"/>
            <w:vAlign w:val="center"/>
          </w:tcPr>
          <w:p w14:paraId="5F367855">
            <w:pPr>
              <w:adjustRightInd w:val="0"/>
              <w:snapToGrid w:val="0"/>
              <w:jc w:val="center"/>
              <w:rPr>
                <w:rFonts w:hint="eastAsia"/>
                <w:sz w:val="21"/>
                <w:szCs w:val="21"/>
              </w:rPr>
            </w:pPr>
            <w:r>
              <w:rPr>
                <w:sz w:val="21"/>
                <w:szCs w:val="21"/>
              </w:rPr>
              <w:t>0.6</w:t>
            </w:r>
          </w:p>
        </w:tc>
        <w:tc>
          <w:tcPr>
            <w:tcW w:w="488" w:type="pct"/>
            <w:vAlign w:val="center"/>
          </w:tcPr>
          <w:p w14:paraId="47B33CCE">
            <w:pPr>
              <w:adjustRightInd w:val="0"/>
              <w:snapToGrid w:val="0"/>
              <w:jc w:val="center"/>
              <w:rPr>
                <w:rFonts w:hint="eastAsia"/>
                <w:color w:val="000000"/>
                <w:sz w:val="21"/>
                <w:szCs w:val="21"/>
              </w:rPr>
            </w:pPr>
          </w:p>
        </w:tc>
      </w:tr>
      <w:tr w14:paraId="7A90C8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9FFD6C9">
            <w:pPr>
              <w:adjustRightInd w:val="0"/>
              <w:snapToGrid w:val="0"/>
              <w:jc w:val="center"/>
              <w:rPr>
                <w:rFonts w:hint="eastAsia"/>
                <w:sz w:val="21"/>
                <w:szCs w:val="21"/>
              </w:rPr>
            </w:pPr>
            <w:r>
              <w:rPr>
                <w:rFonts w:hint="eastAsia"/>
                <w:sz w:val="21"/>
                <w:szCs w:val="21"/>
              </w:rPr>
              <w:t>6</w:t>
            </w:r>
          </w:p>
        </w:tc>
        <w:tc>
          <w:tcPr>
            <w:tcW w:w="1771" w:type="pct"/>
            <w:vAlign w:val="center"/>
          </w:tcPr>
          <w:p w14:paraId="46DFCB50">
            <w:pPr>
              <w:spacing w:line="320" w:lineRule="exact"/>
              <w:rPr>
                <w:rFonts w:hint="eastAsia"/>
                <w:sz w:val="21"/>
                <w:szCs w:val="21"/>
                <w:lang w:val="en-GB"/>
              </w:rPr>
            </w:pPr>
            <w:r>
              <w:rPr>
                <w:rFonts w:hint="eastAsia"/>
                <w:sz w:val="21"/>
                <w:szCs w:val="21"/>
              </w:rPr>
              <w:t>采用能耗低、效率高的施工设备，精细化施工。</w:t>
            </w:r>
          </w:p>
        </w:tc>
        <w:tc>
          <w:tcPr>
            <w:tcW w:w="1892" w:type="pct"/>
            <w:vMerge w:val="continue"/>
            <w:vAlign w:val="center"/>
          </w:tcPr>
          <w:p w14:paraId="1287A44A">
            <w:pPr>
              <w:adjustRightInd w:val="0"/>
              <w:snapToGrid w:val="0"/>
              <w:rPr>
                <w:rFonts w:hint="eastAsia"/>
                <w:sz w:val="21"/>
                <w:szCs w:val="21"/>
              </w:rPr>
            </w:pPr>
          </w:p>
        </w:tc>
        <w:tc>
          <w:tcPr>
            <w:tcW w:w="484" w:type="pct"/>
            <w:vAlign w:val="center"/>
          </w:tcPr>
          <w:p w14:paraId="78B677C2">
            <w:pPr>
              <w:adjustRightInd w:val="0"/>
              <w:snapToGrid w:val="0"/>
              <w:jc w:val="center"/>
              <w:rPr>
                <w:rFonts w:hint="eastAsia"/>
                <w:sz w:val="21"/>
                <w:szCs w:val="21"/>
              </w:rPr>
            </w:pPr>
            <w:r>
              <w:rPr>
                <w:sz w:val="21"/>
                <w:szCs w:val="21"/>
              </w:rPr>
              <w:t>0.6</w:t>
            </w:r>
          </w:p>
        </w:tc>
        <w:tc>
          <w:tcPr>
            <w:tcW w:w="488" w:type="pct"/>
            <w:vAlign w:val="center"/>
          </w:tcPr>
          <w:p w14:paraId="0B1D3541">
            <w:pPr>
              <w:adjustRightInd w:val="0"/>
              <w:snapToGrid w:val="0"/>
              <w:jc w:val="center"/>
              <w:rPr>
                <w:rFonts w:hint="eastAsia"/>
                <w:color w:val="000000"/>
                <w:sz w:val="21"/>
                <w:szCs w:val="21"/>
              </w:rPr>
            </w:pPr>
          </w:p>
        </w:tc>
      </w:tr>
      <w:tr w14:paraId="6871A9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F5A0802">
            <w:pPr>
              <w:adjustRightInd w:val="0"/>
              <w:snapToGrid w:val="0"/>
              <w:jc w:val="center"/>
              <w:rPr>
                <w:rFonts w:hint="eastAsia"/>
                <w:sz w:val="21"/>
                <w:szCs w:val="21"/>
              </w:rPr>
            </w:pPr>
            <w:r>
              <w:rPr>
                <w:rFonts w:hint="eastAsia"/>
                <w:sz w:val="21"/>
                <w:szCs w:val="21"/>
              </w:rPr>
              <w:t>7</w:t>
            </w:r>
          </w:p>
        </w:tc>
        <w:tc>
          <w:tcPr>
            <w:tcW w:w="1771" w:type="pct"/>
            <w:vAlign w:val="center"/>
          </w:tcPr>
          <w:p w14:paraId="5BF1F7C9">
            <w:pPr>
              <w:spacing w:line="320" w:lineRule="exact"/>
              <w:rPr>
                <w:rFonts w:hint="eastAsia"/>
                <w:sz w:val="21"/>
                <w:szCs w:val="21"/>
                <w:lang w:val="en-GB"/>
              </w:rPr>
            </w:pPr>
            <w:r>
              <w:rPr>
                <w:rFonts w:hint="eastAsia"/>
                <w:sz w:val="21"/>
                <w:szCs w:val="21"/>
              </w:rPr>
              <w:t>合理利用高处水源，优先采用自然通风和天然采光。</w:t>
            </w:r>
          </w:p>
        </w:tc>
        <w:tc>
          <w:tcPr>
            <w:tcW w:w="1892" w:type="pct"/>
            <w:vMerge w:val="continue"/>
            <w:vAlign w:val="center"/>
          </w:tcPr>
          <w:p w14:paraId="6CBBC9A9">
            <w:pPr>
              <w:adjustRightInd w:val="0"/>
              <w:snapToGrid w:val="0"/>
              <w:rPr>
                <w:rFonts w:hint="eastAsia"/>
                <w:sz w:val="21"/>
                <w:szCs w:val="21"/>
              </w:rPr>
            </w:pPr>
          </w:p>
        </w:tc>
        <w:tc>
          <w:tcPr>
            <w:tcW w:w="484" w:type="pct"/>
            <w:vAlign w:val="center"/>
          </w:tcPr>
          <w:p w14:paraId="7B344AF5">
            <w:pPr>
              <w:adjustRightInd w:val="0"/>
              <w:snapToGrid w:val="0"/>
              <w:jc w:val="center"/>
              <w:rPr>
                <w:rFonts w:hint="eastAsia"/>
                <w:sz w:val="21"/>
                <w:szCs w:val="21"/>
              </w:rPr>
            </w:pPr>
            <w:r>
              <w:rPr>
                <w:sz w:val="21"/>
                <w:szCs w:val="21"/>
              </w:rPr>
              <w:t>0.6</w:t>
            </w:r>
          </w:p>
        </w:tc>
        <w:tc>
          <w:tcPr>
            <w:tcW w:w="488" w:type="pct"/>
            <w:vAlign w:val="center"/>
          </w:tcPr>
          <w:p w14:paraId="202C8EDE">
            <w:pPr>
              <w:adjustRightInd w:val="0"/>
              <w:snapToGrid w:val="0"/>
              <w:jc w:val="center"/>
              <w:rPr>
                <w:rFonts w:hint="eastAsia"/>
                <w:color w:val="000000"/>
                <w:sz w:val="21"/>
                <w:szCs w:val="21"/>
              </w:rPr>
            </w:pPr>
          </w:p>
        </w:tc>
      </w:tr>
      <w:tr w14:paraId="604E00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B8DC372">
            <w:pPr>
              <w:adjustRightInd w:val="0"/>
              <w:snapToGrid w:val="0"/>
              <w:jc w:val="center"/>
              <w:rPr>
                <w:rFonts w:hint="eastAsia"/>
                <w:sz w:val="21"/>
                <w:szCs w:val="21"/>
              </w:rPr>
            </w:pPr>
            <w:r>
              <w:rPr>
                <w:rFonts w:hint="eastAsia"/>
                <w:sz w:val="21"/>
                <w:szCs w:val="21"/>
              </w:rPr>
              <w:t>8</w:t>
            </w:r>
          </w:p>
        </w:tc>
        <w:tc>
          <w:tcPr>
            <w:tcW w:w="1771" w:type="pct"/>
            <w:vAlign w:val="center"/>
          </w:tcPr>
          <w:p w14:paraId="388FCF8C">
            <w:pPr>
              <w:spacing w:line="320" w:lineRule="exact"/>
              <w:rPr>
                <w:rFonts w:hint="eastAsia"/>
                <w:sz w:val="21"/>
                <w:szCs w:val="21"/>
                <w:lang w:val="en-GB"/>
              </w:rPr>
            </w:pPr>
            <w:r>
              <w:rPr>
                <w:rFonts w:hint="eastAsia"/>
                <w:sz w:val="21"/>
                <w:szCs w:val="21"/>
              </w:rPr>
              <w:t>厂区和道路照明、营地生活用水加热等合理利用太阳能资源。</w:t>
            </w:r>
          </w:p>
        </w:tc>
        <w:tc>
          <w:tcPr>
            <w:tcW w:w="1892" w:type="pct"/>
            <w:vMerge w:val="continue"/>
            <w:vAlign w:val="center"/>
          </w:tcPr>
          <w:p w14:paraId="0019ED54">
            <w:pPr>
              <w:adjustRightInd w:val="0"/>
              <w:snapToGrid w:val="0"/>
              <w:rPr>
                <w:rFonts w:hint="eastAsia"/>
                <w:sz w:val="21"/>
                <w:szCs w:val="21"/>
              </w:rPr>
            </w:pPr>
          </w:p>
        </w:tc>
        <w:tc>
          <w:tcPr>
            <w:tcW w:w="484" w:type="pct"/>
            <w:vAlign w:val="center"/>
          </w:tcPr>
          <w:p w14:paraId="7DB25D38">
            <w:pPr>
              <w:adjustRightInd w:val="0"/>
              <w:snapToGrid w:val="0"/>
              <w:jc w:val="center"/>
              <w:rPr>
                <w:rFonts w:hint="eastAsia"/>
                <w:sz w:val="21"/>
                <w:szCs w:val="21"/>
              </w:rPr>
            </w:pPr>
            <w:r>
              <w:rPr>
                <w:sz w:val="21"/>
                <w:szCs w:val="21"/>
              </w:rPr>
              <w:t>0.6</w:t>
            </w:r>
          </w:p>
        </w:tc>
        <w:tc>
          <w:tcPr>
            <w:tcW w:w="488" w:type="pct"/>
            <w:vAlign w:val="center"/>
          </w:tcPr>
          <w:p w14:paraId="3EAF25E8">
            <w:pPr>
              <w:adjustRightInd w:val="0"/>
              <w:snapToGrid w:val="0"/>
              <w:jc w:val="center"/>
              <w:rPr>
                <w:rFonts w:hint="eastAsia"/>
                <w:color w:val="000000"/>
                <w:sz w:val="21"/>
                <w:szCs w:val="21"/>
              </w:rPr>
            </w:pPr>
          </w:p>
        </w:tc>
      </w:tr>
      <w:tr w14:paraId="52F394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B738348">
            <w:pPr>
              <w:adjustRightInd w:val="0"/>
              <w:snapToGrid w:val="0"/>
              <w:jc w:val="center"/>
              <w:rPr>
                <w:rFonts w:hint="eastAsia"/>
                <w:sz w:val="21"/>
                <w:szCs w:val="21"/>
              </w:rPr>
            </w:pPr>
            <w:r>
              <w:rPr>
                <w:rFonts w:hint="eastAsia"/>
                <w:sz w:val="21"/>
                <w:szCs w:val="21"/>
              </w:rPr>
              <w:t>9</w:t>
            </w:r>
          </w:p>
        </w:tc>
        <w:tc>
          <w:tcPr>
            <w:tcW w:w="1771" w:type="pct"/>
            <w:vAlign w:val="center"/>
          </w:tcPr>
          <w:p w14:paraId="09803CA6">
            <w:pPr>
              <w:spacing w:line="320" w:lineRule="exact"/>
              <w:rPr>
                <w:rFonts w:hint="eastAsia"/>
                <w:sz w:val="21"/>
                <w:szCs w:val="21"/>
                <w:lang w:val="en-GB"/>
              </w:rPr>
            </w:pPr>
            <w:r>
              <w:rPr>
                <w:rFonts w:hint="eastAsia"/>
                <w:sz w:val="21"/>
                <w:szCs w:val="21"/>
              </w:rPr>
              <w:t>选用节能建材，提高建筑物围护结构的保温隔热性能，采用由高效保温材料制成的复合墙体和屋面及密封保温隔热性能好的门窗。</w:t>
            </w:r>
            <w:r>
              <w:rPr>
                <w:sz w:val="21"/>
                <w:szCs w:val="21"/>
              </w:rPr>
              <w:t xml:space="preserve"> </w:t>
            </w:r>
          </w:p>
        </w:tc>
        <w:tc>
          <w:tcPr>
            <w:tcW w:w="1892" w:type="pct"/>
            <w:vMerge w:val="continue"/>
            <w:vAlign w:val="center"/>
          </w:tcPr>
          <w:p w14:paraId="17A35777">
            <w:pPr>
              <w:adjustRightInd w:val="0"/>
              <w:snapToGrid w:val="0"/>
              <w:rPr>
                <w:rFonts w:hint="eastAsia"/>
                <w:sz w:val="21"/>
                <w:szCs w:val="21"/>
              </w:rPr>
            </w:pPr>
          </w:p>
        </w:tc>
        <w:tc>
          <w:tcPr>
            <w:tcW w:w="484" w:type="pct"/>
            <w:vAlign w:val="center"/>
          </w:tcPr>
          <w:p w14:paraId="705F3BAE">
            <w:pPr>
              <w:adjustRightInd w:val="0"/>
              <w:snapToGrid w:val="0"/>
              <w:jc w:val="center"/>
              <w:rPr>
                <w:rFonts w:hint="eastAsia"/>
                <w:sz w:val="21"/>
                <w:szCs w:val="21"/>
              </w:rPr>
            </w:pPr>
            <w:r>
              <w:rPr>
                <w:sz w:val="21"/>
                <w:szCs w:val="21"/>
              </w:rPr>
              <w:t>0.6</w:t>
            </w:r>
          </w:p>
        </w:tc>
        <w:tc>
          <w:tcPr>
            <w:tcW w:w="488" w:type="pct"/>
            <w:vAlign w:val="center"/>
          </w:tcPr>
          <w:p w14:paraId="10817F0B">
            <w:pPr>
              <w:adjustRightInd w:val="0"/>
              <w:snapToGrid w:val="0"/>
              <w:jc w:val="center"/>
              <w:rPr>
                <w:rFonts w:hint="eastAsia"/>
                <w:color w:val="000000"/>
                <w:sz w:val="21"/>
                <w:szCs w:val="21"/>
              </w:rPr>
            </w:pPr>
          </w:p>
        </w:tc>
      </w:tr>
      <w:tr w14:paraId="1F36B0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58756C3">
            <w:pPr>
              <w:adjustRightInd w:val="0"/>
              <w:snapToGrid w:val="0"/>
              <w:jc w:val="center"/>
              <w:rPr>
                <w:rFonts w:hint="eastAsia"/>
                <w:sz w:val="21"/>
                <w:szCs w:val="21"/>
              </w:rPr>
            </w:pPr>
            <w:r>
              <w:rPr>
                <w:sz w:val="21"/>
                <w:szCs w:val="21"/>
              </w:rPr>
              <w:t>10</w:t>
            </w:r>
          </w:p>
        </w:tc>
        <w:tc>
          <w:tcPr>
            <w:tcW w:w="1771" w:type="pct"/>
            <w:vAlign w:val="center"/>
          </w:tcPr>
          <w:p w14:paraId="14185255">
            <w:pPr>
              <w:spacing w:line="320" w:lineRule="exact"/>
              <w:rPr>
                <w:rFonts w:hint="eastAsia"/>
                <w:sz w:val="21"/>
                <w:szCs w:val="21"/>
                <w:lang w:val="en-GB"/>
              </w:rPr>
            </w:pPr>
            <w:r>
              <w:rPr>
                <w:sz w:val="21"/>
                <w:szCs w:val="21"/>
              </w:rPr>
              <w:t>提高水资源的重复利用率，做到一水多用</w:t>
            </w:r>
            <w:r>
              <w:rPr>
                <w:rFonts w:hint="eastAsia"/>
                <w:sz w:val="21"/>
                <w:szCs w:val="21"/>
              </w:rPr>
              <w:t>、</w:t>
            </w:r>
            <w:r>
              <w:rPr>
                <w:sz w:val="21"/>
                <w:szCs w:val="21"/>
              </w:rPr>
              <w:t>中水及雨水回用。</w:t>
            </w:r>
          </w:p>
        </w:tc>
        <w:tc>
          <w:tcPr>
            <w:tcW w:w="1892" w:type="pct"/>
            <w:vMerge w:val="continue"/>
            <w:vAlign w:val="center"/>
          </w:tcPr>
          <w:p w14:paraId="041B320B">
            <w:pPr>
              <w:adjustRightInd w:val="0"/>
              <w:snapToGrid w:val="0"/>
              <w:rPr>
                <w:rFonts w:hint="eastAsia"/>
                <w:sz w:val="21"/>
                <w:szCs w:val="21"/>
              </w:rPr>
            </w:pPr>
          </w:p>
        </w:tc>
        <w:tc>
          <w:tcPr>
            <w:tcW w:w="484" w:type="pct"/>
            <w:vAlign w:val="center"/>
          </w:tcPr>
          <w:p w14:paraId="225B7516">
            <w:pPr>
              <w:adjustRightInd w:val="0"/>
              <w:snapToGrid w:val="0"/>
              <w:jc w:val="center"/>
              <w:rPr>
                <w:rFonts w:hint="eastAsia"/>
                <w:sz w:val="21"/>
                <w:szCs w:val="21"/>
              </w:rPr>
            </w:pPr>
            <w:r>
              <w:rPr>
                <w:sz w:val="21"/>
                <w:szCs w:val="21"/>
              </w:rPr>
              <w:t>1.2</w:t>
            </w:r>
          </w:p>
        </w:tc>
        <w:tc>
          <w:tcPr>
            <w:tcW w:w="488" w:type="pct"/>
            <w:vAlign w:val="center"/>
          </w:tcPr>
          <w:p w14:paraId="29A7A376">
            <w:pPr>
              <w:adjustRightInd w:val="0"/>
              <w:snapToGrid w:val="0"/>
              <w:jc w:val="center"/>
              <w:rPr>
                <w:rFonts w:hint="eastAsia"/>
                <w:color w:val="000000"/>
                <w:sz w:val="21"/>
                <w:szCs w:val="21"/>
              </w:rPr>
            </w:pPr>
          </w:p>
        </w:tc>
      </w:tr>
      <w:tr w14:paraId="56EB32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02C2E09">
            <w:pPr>
              <w:adjustRightInd w:val="0"/>
              <w:snapToGrid w:val="0"/>
              <w:jc w:val="center"/>
              <w:rPr>
                <w:rFonts w:hint="eastAsia"/>
                <w:sz w:val="21"/>
                <w:szCs w:val="21"/>
              </w:rPr>
            </w:pPr>
            <w:r>
              <w:rPr>
                <w:rFonts w:hint="eastAsia"/>
                <w:sz w:val="21"/>
                <w:szCs w:val="21"/>
              </w:rPr>
              <w:t>1</w:t>
            </w:r>
            <w:r>
              <w:rPr>
                <w:sz w:val="21"/>
                <w:szCs w:val="21"/>
              </w:rPr>
              <w:t>1</w:t>
            </w:r>
          </w:p>
        </w:tc>
        <w:tc>
          <w:tcPr>
            <w:tcW w:w="1771" w:type="pct"/>
            <w:vAlign w:val="center"/>
          </w:tcPr>
          <w:p w14:paraId="09EECCA4">
            <w:pPr>
              <w:spacing w:line="320" w:lineRule="exact"/>
              <w:rPr>
                <w:rFonts w:hint="eastAsia"/>
                <w:sz w:val="21"/>
                <w:szCs w:val="21"/>
                <w:lang w:val="en-GB"/>
              </w:rPr>
            </w:pPr>
            <w:r>
              <w:rPr>
                <w:sz w:val="21"/>
                <w:szCs w:val="21"/>
              </w:rPr>
              <w:t>污废水</w:t>
            </w:r>
            <w:r>
              <w:rPr>
                <w:rFonts w:hint="eastAsia"/>
                <w:sz w:val="21"/>
                <w:szCs w:val="21"/>
              </w:rPr>
              <w:t>（油）</w:t>
            </w:r>
            <w:r>
              <w:rPr>
                <w:sz w:val="21"/>
                <w:szCs w:val="21"/>
              </w:rPr>
              <w:t>处理环保先进</w:t>
            </w:r>
            <w:r>
              <w:rPr>
                <w:rFonts w:hint="eastAsia"/>
                <w:sz w:val="21"/>
                <w:szCs w:val="21"/>
              </w:rPr>
              <w:t>，</w:t>
            </w:r>
            <w:r>
              <w:rPr>
                <w:sz w:val="21"/>
                <w:szCs w:val="21"/>
              </w:rPr>
              <w:t>所有污废水全部回用。</w:t>
            </w:r>
          </w:p>
        </w:tc>
        <w:tc>
          <w:tcPr>
            <w:tcW w:w="1892" w:type="pct"/>
            <w:vMerge w:val="continue"/>
            <w:vAlign w:val="center"/>
          </w:tcPr>
          <w:p w14:paraId="292D59FD">
            <w:pPr>
              <w:adjustRightInd w:val="0"/>
              <w:snapToGrid w:val="0"/>
              <w:rPr>
                <w:rFonts w:hint="eastAsia"/>
                <w:sz w:val="21"/>
                <w:szCs w:val="21"/>
              </w:rPr>
            </w:pPr>
          </w:p>
        </w:tc>
        <w:tc>
          <w:tcPr>
            <w:tcW w:w="484" w:type="pct"/>
            <w:vAlign w:val="center"/>
          </w:tcPr>
          <w:p w14:paraId="4BE21168">
            <w:pPr>
              <w:adjustRightInd w:val="0"/>
              <w:snapToGrid w:val="0"/>
              <w:jc w:val="center"/>
              <w:rPr>
                <w:rFonts w:hint="eastAsia"/>
                <w:sz w:val="21"/>
                <w:szCs w:val="21"/>
              </w:rPr>
            </w:pPr>
            <w:r>
              <w:rPr>
                <w:sz w:val="21"/>
                <w:szCs w:val="21"/>
              </w:rPr>
              <w:t>1.2</w:t>
            </w:r>
          </w:p>
        </w:tc>
        <w:tc>
          <w:tcPr>
            <w:tcW w:w="488" w:type="pct"/>
            <w:vAlign w:val="center"/>
          </w:tcPr>
          <w:p w14:paraId="3AC29C19">
            <w:pPr>
              <w:adjustRightInd w:val="0"/>
              <w:snapToGrid w:val="0"/>
              <w:jc w:val="center"/>
              <w:rPr>
                <w:rFonts w:hint="eastAsia"/>
                <w:color w:val="000000"/>
                <w:sz w:val="21"/>
                <w:szCs w:val="21"/>
              </w:rPr>
            </w:pPr>
          </w:p>
        </w:tc>
      </w:tr>
      <w:tr w14:paraId="734E73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7F7037B">
            <w:pPr>
              <w:adjustRightInd w:val="0"/>
              <w:snapToGrid w:val="0"/>
              <w:jc w:val="center"/>
              <w:rPr>
                <w:rFonts w:hint="eastAsia"/>
                <w:sz w:val="21"/>
                <w:szCs w:val="21"/>
              </w:rPr>
            </w:pPr>
            <w:r>
              <w:rPr>
                <w:rFonts w:hint="eastAsia"/>
                <w:sz w:val="21"/>
                <w:szCs w:val="21"/>
              </w:rPr>
              <w:t>1</w:t>
            </w:r>
            <w:r>
              <w:rPr>
                <w:sz w:val="21"/>
                <w:szCs w:val="21"/>
              </w:rPr>
              <w:t>2</w:t>
            </w:r>
          </w:p>
        </w:tc>
        <w:tc>
          <w:tcPr>
            <w:tcW w:w="1771" w:type="pct"/>
            <w:vAlign w:val="center"/>
          </w:tcPr>
          <w:p w14:paraId="7A4D5148">
            <w:pPr>
              <w:spacing w:line="320" w:lineRule="exact"/>
              <w:rPr>
                <w:rFonts w:hint="eastAsia"/>
                <w:sz w:val="21"/>
                <w:szCs w:val="21"/>
                <w:lang w:val="en-GB"/>
              </w:rPr>
            </w:pPr>
            <w:r>
              <w:rPr>
                <w:rFonts w:hint="eastAsia"/>
                <w:sz w:val="21"/>
                <w:szCs w:val="21"/>
              </w:rPr>
              <w:t>采用节水系统、节水器具和设备，提高用水效率</w:t>
            </w:r>
            <w:r>
              <w:rPr>
                <w:sz w:val="21"/>
                <w:szCs w:val="21"/>
              </w:rPr>
              <w:t>。</w:t>
            </w:r>
          </w:p>
        </w:tc>
        <w:tc>
          <w:tcPr>
            <w:tcW w:w="1892" w:type="pct"/>
            <w:vMerge w:val="continue"/>
            <w:vAlign w:val="center"/>
          </w:tcPr>
          <w:p w14:paraId="033441ED">
            <w:pPr>
              <w:adjustRightInd w:val="0"/>
              <w:snapToGrid w:val="0"/>
              <w:rPr>
                <w:rFonts w:hint="eastAsia"/>
                <w:sz w:val="21"/>
                <w:szCs w:val="21"/>
              </w:rPr>
            </w:pPr>
          </w:p>
        </w:tc>
        <w:tc>
          <w:tcPr>
            <w:tcW w:w="484" w:type="pct"/>
            <w:vAlign w:val="center"/>
          </w:tcPr>
          <w:p w14:paraId="06D1E3DD">
            <w:pPr>
              <w:adjustRightInd w:val="0"/>
              <w:snapToGrid w:val="0"/>
              <w:jc w:val="center"/>
              <w:rPr>
                <w:rFonts w:hint="eastAsia"/>
                <w:sz w:val="21"/>
                <w:szCs w:val="21"/>
              </w:rPr>
            </w:pPr>
            <w:r>
              <w:rPr>
                <w:sz w:val="21"/>
                <w:szCs w:val="21"/>
              </w:rPr>
              <w:t>1.1</w:t>
            </w:r>
          </w:p>
        </w:tc>
        <w:tc>
          <w:tcPr>
            <w:tcW w:w="488" w:type="pct"/>
            <w:vAlign w:val="center"/>
          </w:tcPr>
          <w:p w14:paraId="3D1F42B2">
            <w:pPr>
              <w:adjustRightInd w:val="0"/>
              <w:snapToGrid w:val="0"/>
              <w:jc w:val="center"/>
              <w:rPr>
                <w:rFonts w:hint="eastAsia"/>
                <w:color w:val="000000"/>
                <w:sz w:val="21"/>
                <w:szCs w:val="21"/>
              </w:rPr>
            </w:pPr>
          </w:p>
        </w:tc>
      </w:tr>
      <w:tr w14:paraId="3779F1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3C4401F">
            <w:pPr>
              <w:adjustRightInd w:val="0"/>
              <w:snapToGrid w:val="0"/>
              <w:jc w:val="center"/>
              <w:rPr>
                <w:rFonts w:hint="eastAsia"/>
                <w:sz w:val="21"/>
                <w:szCs w:val="21"/>
              </w:rPr>
            </w:pPr>
            <w:r>
              <w:rPr>
                <w:rFonts w:hint="eastAsia"/>
                <w:sz w:val="21"/>
                <w:szCs w:val="21"/>
              </w:rPr>
              <w:t>1</w:t>
            </w:r>
            <w:r>
              <w:rPr>
                <w:sz w:val="21"/>
                <w:szCs w:val="21"/>
              </w:rPr>
              <w:t>3</w:t>
            </w:r>
          </w:p>
        </w:tc>
        <w:tc>
          <w:tcPr>
            <w:tcW w:w="1771" w:type="pct"/>
            <w:vAlign w:val="center"/>
          </w:tcPr>
          <w:p w14:paraId="3ADCBA4E">
            <w:pPr>
              <w:rPr>
                <w:rFonts w:hint="eastAsia"/>
                <w:sz w:val="21"/>
                <w:szCs w:val="21"/>
              </w:rPr>
            </w:pPr>
            <w:r>
              <w:rPr>
                <w:rFonts w:hint="eastAsia"/>
                <w:sz w:val="21"/>
                <w:szCs w:val="21"/>
              </w:rPr>
              <w:t>对主要建筑物设计方案进行优化比选，减少建筑物荷重，节省水泥、钢材、砂石等原材料用量。</w:t>
            </w:r>
          </w:p>
        </w:tc>
        <w:tc>
          <w:tcPr>
            <w:tcW w:w="1892" w:type="pct"/>
            <w:vMerge w:val="continue"/>
            <w:vAlign w:val="center"/>
          </w:tcPr>
          <w:p w14:paraId="40E42265">
            <w:pPr>
              <w:rPr>
                <w:rFonts w:hint="eastAsia"/>
                <w:sz w:val="21"/>
                <w:szCs w:val="21"/>
              </w:rPr>
            </w:pPr>
          </w:p>
        </w:tc>
        <w:tc>
          <w:tcPr>
            <w:tcW w:w="484" w:type="pct"/>
            <w:vAlign w:val="center"/>
          </w:tcPr>
          <w:p w14:paraId="0B08514A">
            <w:pPr>
              <w:jc w:val="center"/>
              <w:rPr>
                <w:rFonts w:hint="eastAsia"/>
                <w:sz w:val="21"/>
                <w:szCs w:val="21"/>
              </w:rPr>
            </w:pPr>
            <w:r>
              <w:rPr>
                <w:sz w:val="21"/>
                <w:szCs w:val="21"/>
              </w:rPr>
              <w:t>1</w:t>
            </w:r>
          </w:p>
        </w:tc>
        <w:tc>
          <w:tcPr>
            <w:tcW w:w="488" w:type="pct"/>
            <w:vAlign w:val="center"/>
          </w:tcPr>
          <w:p w14:paraId="59233A21">
            <w:pPr>
              <w:adjustRightInd w:val="0"/>
              <w:snapToGrid w:val="0"/>
              <w:jc w:val="center"/>
              <w:rPr>
                <w:rFonts w:hint="eastAsia"/>
                <w:color w:val="000000"/>
                <w:sz w:val="21"/>
                <w:szCs w:val="21"/>
              </w:rPr>
            </w:pPr>
          </w:p>
        </w:tc>
      </w:tr>
      <w:tr w14:paraId="4E9F92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90" w:hRule="atLeast"/>
        </w:trPr>
        <w:tc>
          <w:tcPr>
            <w:tcW w:w="365" w:type="pct"/>
            <w:vAlign w:val="center"/>
          </w:tcPr>
          <w:p w14:paraId="5C2B3E10">
            <w:pPr>
              <w:adjustRightInd w:val="0"/>
              <w:snapToGrid w:val="0"/>
              <w:jc w:val="center"/>
              <w:rPr>
                <w:rFonts w:hint="eastAsia"/>
                <w:sz w:val="21"/>
                <w:szCs w:val="21"/>
              </w:rPr>
            </w:pPr>
            <w:r>
              <w:rPr>
                <w:rFonts w:hint="eastAsia"/>
                <w:sz w:val="21"/>
                <w:szCs w:val="21"/>
              </w:rPr>
              <w:t>1</w:t>
            </w:r>
            <w:r>
              <w:rPr>
                <w:sz w:val="21"/>
                <w:szCs w:val="21"/>
              </w:rPr>
              <w:t>4</w:t>
            </w:r>
          </w:p>
        </w:tc>
        <w:tc>
          <w:tcPr>
            <w:tcW w:w="1771" w:type="pct"/>
            <w:vAlign w:val="center"/>
          </w:tcPr>
          <w:p w14:paraId="01F8C7E7">
            <w:pPr>
              <w:rPr>
                <w:rFonts w:hint="eastAsia"/>
                <w:sz w:val="21"/>
                <w:szCs w:val="21"/>
              </w:rPr>
            </w:pPr>
            <w:r>
              <w:rPr>
                <w:rFonts w:hint="eastAsia"/>
                <w:sz w:val="21"/>
                <w:szCs w:val="21"/>
              </w:rPr>
              <w:t>采用高性能混凝土、高强度钢材、高性能建筑制品或新技术材料。</w:t>
            </w:r>
          </w:p>
        </w:tc>
        <w:tc>
          <w:tcPr>
            <w:tcW w:w="1892" w:type="pct"/>
            <w:vMerge w:val="continue"/>
            <w:vAlign w:val="center"/>
          </w:tcPr>
          <w:p w14:paraId="4019A576">
            <w:pPr>
              <w:rPr>
                <w:rFonts w:hint="eastAsia"/>
                <w:sz w:val="21"/>
                <w:szCs w:val="21"/>
              </w:rPr>
            </w:pPr>
          </w:p>
        </w:tc>
        <w:tc>
          <w:tcPr>
            <w:tcW w:w="484" w:type="pct"/>
            <w:vAlign w:val="center"/>
          </w:tcPr>
          <w:p w14:paraId="32ED70B8">
            <w:pPr>
              <w:jc w:val="center"/>
              <w:rPr>
                <w:rFonts w:hint="eastAsia"/>
                <w:sz w:val="21"/>
                <w:szCs w:val="21"/>
              </w:rPr>
            </w:pPr>
            <w:r>
              <w:rPr>
                <w:sz w:val="21"/>
                <w:szCs w:val="21"/>
              </w:rPr>
              <w:t>1</w:t>
            </w:r>
          </w:p>
        </w:tc>
        <w:tc>
          <w:tcPr>
            <w:tcW w:w="488" w:type="pct"/>
            <w:vAlign w:val="center"/>
          </w:tcPr>
          <w:p w14:paraId="5A0A0CF2">
            <w:pPr>
              <w:adjustRightInd w:val="0"/>
              <w:snapToGrid w:val="0"/>
              <w:jc w:val="center"/>
              <w:rPr>
                <w:rFonts w:hint="eastAsia"/>
                <w:color w:val="000000"/>
                <w:sz w:val="21"/>
                <w:szCs w:val="21"/>
              </w:rPr>
            </w:pPr>
          </w:p>
        </w:tc>
      </w:tr>
      <w:tr w14:paraId="2742AE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AC0683C">
            <w:pPr>
              <w:adjustRightInd w:val="0"/>
              <w:snapToGrid w:val="0"/>
              <w:jc w:val="center"/>
              <w:rPr>
                <w:rFonts w:hint="eastAsia"/>
                <w:sz w:val="21"/>
                <w:szCs w:val="21"/>
              </w:rPr>
            </w:pPr>
            <w:r>
              <w:rPr>
                <w:rFonts w:hint="eastAsia"/>
                <w:sz w:val="21"/>
                <w:szCs w:val="21"/>
              </w:rPr>
              <w:t>1</w:t>
            </w:r>
            <w:r>
              <w:rPr>
                <w:sz w:val="21"/>
                <w:szCs w:val="21"/>
              </w:rPr>
              <w:t>5</w:t>
            </w:r>
          </w:p>
        </w:tc>
        <w:tc>
          <w:tcPr>
            <w:tcW w:w="1771" w:type="pct"/>
            <w:vAlign w:val="center"/>
          </w:tcPr>
          <w:p w14:paraId="226BB870">
            <w:pPr>
              <w:rPr>
                <w:rFonts w:hint="eastAsia"/>
                <w:sz w:val="21"/>
                <w:szCs w:val="21"/>
              </w:rPr>
            </w:pPr>
            <w:r>
              <w:rPr>
                <w:sz w:val="21"/>
                <w:szCs w:val="21"/>
              </w:rPr>
              <w:t>围堰</w:t>
            </w:r>
            <w:r>
              <w:rPr>
                <w:rFonts w:hint="eastAsia"/>
                <w:sz w:val="21"/>
                <w:szCs w:val="21"/>
              </w:rPr>
              <w:t>、土石坝、混凝土骨料等充分使用开挖渣料。</w:t>
            </w:r>
          </w:p>
        </w:tc>
        <w:tc>
          <w:tcPr>
            <w:tcW w:w="1892" w:type="pct"/>
            <w:vMerge w:val="continue"/>
            <w:vAlign w:val="center"/>
          </w:tcPr>
          <w:p w14:paraId="198F7715">
            <w:pPr>
              <w:adjustRightInd w:val="0"/>
              <w:snapToGrid w:val="0"/>
              <w:rPr>
                <w:rFonts w:hint="eastAsia"/>
                <w:sz w:val="21"/>
                <w:szCs w:val="21"/>
              </w:rPr>
            </w:pPr>
          </w:p>
        </w:tc>
        <w:tc>
          <w:tcPr>
            <w:tcW w:w="484" w:type="pct"/>
            <w:vAlign w:val="center"/>
          </w:tcPr>
          <w:p w14:paraId="2FD824AA">
            <w:pPr>
              <w:adjustRightInd w:val="0"/>
              <w:snapToGrid w:val="0"/>
              <w:jc w:val="center"/>
              <w:rPr>
                <w:rFonts w:hint="eastAsia"/>
                <w:sz w:val="21"/>
                <w:szCs w:val="21"/>
              </w:rPr>
            </w:pPr>
            <w:r>
              <w:rPr>
                <w:sz w:val="21"/>
                <w:szCs w:val="21"/>
              </w:rPr>
              <w:t>1</w:t>
            </w:r>
          </w:p>
        </w:tc>
        <w:tc>
          <w:tcPr>
            <w:tcW w:w="488" w:type="pct"/>
            <w:vAlign w:val="center"/>
          </w:tcPr>
          <w:p w14:paraId="120364E7">
            <w:pPr>
              <w:adjustRightInd w:val="0"/>
              <w:snapToGrid w:val="0"/>
              <w:jc w:val="center"/>
              <w:rPr>
                <w:rFonts w:hint="eastAsia"/>
                <w:color w:val="000000"/>
                <w:sz w:val="21"/>
                <w:szCs w:val="21"/>
              </w:rPr>
            </w:pPr>
          </w:p>
        </w:tc>
      </w:tr>
      <w:tr w14:paraId="0EC1FC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43CF4F0">
            <w:pPr>
              <w:adjustRightInd w:val="0"/>
              <w:snapToGrid w:val="0"/>
              <w:jc w:val="center"/>
              <w:rPr>
                <w:rFonts w:hint="eastAsia"/>
                <w:sz w:val="21"/>
                <w:szCs w:val="21"/>
              </w:rPr>
            </w:pPr>
            <w:r>
              <w:rPr>
                <w:rFonts w:hint="eastAsia"/>
                <w:sz w:val="21"/>
                <w:szCs w:val="21"/>
              </w:rPr>
              <w:t>1</w:t>
            </w:r>
            <w:r>
              <w:rPr>
                <w:sz w:val="21"/>
                <w:szCs w:val="21"/>
              </w:rPr>
              <w:t>6</w:t>
            </w:r>
          </w:p>
        </w:tc>
        <w:tc>
          <w:tcPr>
            <w:tcW w:w="1771" w:type="pct"/>
            <w:vAlign w:val="center"/>
          </w:tcPr>
          <w:p w14:paraId="718D8249">
            <w:pPr>
              <w:rPr>
                <w:rFonts w:hint="eastAsia"/>
                <w:sz w:val="21"/>
                <w:szCs w:val="21"/>
              </w:rPr>
            </w:pPr>
            <w:r>
              <w:rPr>
                <w:rFonts w:hint="eastAsia"/>
                <w:sz w:val="21"/>
                <w:szCs w:val="21"/>
              </w:rPr>
              <w:t>采用精细化设计技术，合理布置管线与电缆，节约用量。</w:t>
            </w:r>
          </w:p>
        </w:tc>
        <w:tc>
          <w:tcPr>
            <w:tcW w:w="1892" w:type="pct"/>
            <w:vMerge w:val="continue"/>
            <w:vAlign w:val="center"/>
          </w:tcPr>
          <w:p w14:paraId="5CCC2853">
            <w:pPr>
              <w:adjustRightInd w:val="0"/>
              <w:snapToGrid w:val="0"/>
              <w:rPr>
                <w:rFonts w:hint="eastAsia"/>
                <w:sz w:val="21"/>
                <w:szCs w:val="21"/>
              </w:rPr>
            </w:pPr>
          </w:p>
        </w:tc>
        <w:tc>
          <w:tcPr>
            <w:tcW w:w="484" w:type="pct"/>
            <w:vAlign w:val="center"/>
          </w:tcPr>
          <w:p w14:paraId="1F33D118">
            <w:pPr>
              <w:adjustRightInd w:val="0"/>
              <w:snapToGrid w:val="0"/>
              <w:jc w:val="center"/>
              <w:rPr>
                <w:rFonts w:hint="eastAsia"/>
                <w:color w:val="000000"/>
                <w:sz w:val="21"/>
                <w:szCs w:val="21"/>
              </w:rPr>
            </w:pPr>
            <w:r>
              <w:rPr>
                <w:sz w:val="21"/>
                <w:szCs w:val="21"/>
              </w:rPr>
              <w:t>1</w:t>
            </w:r>
          </w:p>
        </w:tc>
        <w:tc>
          <w:tcPr>
            <w:tcW w:w="488" w:type="pct"/>
            <w:vAlign w:val="center"/>
          </w:tcPr>
          <w:p w14:paraId="21E95080">
            <w:pPr>
              <w:adjustRightInd w:val="0"/>
              <w:snapToGrid w:val="0"/>
              <w:jc w:val="center"/>
              <w:rPr>
                <w:rFonts w:hint="eastAsia"/>
                <w:color w:val="000000"/>
                <w:sz w:val="21"/>
                <w:szCs w:val="21"/>
              </w:rPr>
            </w:pPr>
          </w:p>
        </w:tc>
      </w:tr>
      <w:tr w14:paraId="65C35F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3050321">
            <w:pPr>
              <w:adjustRightInd w:val="0"/>
              <w:snapToGrid w:val="0"/>
              <w:jc w:val="center"/>
              <w:rPr>
                <w:rFonts w:hint="eastAsia"/>
                <w:sz w:val="21"/>
                <w:szCs w:val="21"/>
              </w:rPr>
            </w:pPr>
            <w:r>
              <w:rPr>
                <w:rFonts w:hint="eastAsia"/>
                <w:b/>
                <w:bCs/>
                <w:sz w:val="21"/>
                <w:szCs w:val="21"/>
              </w:rPr>
              <w:t>5.</w:t>
            </w:r>
            <w:r>
              <w:rPr>
                <w:b/>
                <w:bCs/>
                <w:sz w:val="21"/>
                <w:szCs w:val="21"/>
              </w:rPr>
              <w:t>2</w:t>
            </w:r>
            <w:r>
              <w:rPr>
                <w:rFonts w:hint="eastAsia"/>
                <w:b/>
                <w:bCs/>
                <w:sz w:val="21"/>
                <w:szCs w:val="21"/>
              </w:rPr>
              <w:t>.3</w:t>
            </w:r>
          </w:p>
        </w:tc>
        <w:tc>
          <w:tcPr>
            <w:tcW w:w="1771" w:type="pct"/>
            <w:vAlign w:val="center"/>
          </w:tcPr>
          <w:p w14:paraId="3255D8A3">
            <w:pPr>
              <w:rPr>
                <w:rFonts w:hint="eastAsia"/>
                <w:sz w:val="21"/>
                <w:szCs w:val="21"/>
              </w:rPr>
            </w:pPr>
            <w:r>
              <w:rPr>
                <w:rFonts w:hint="eastAsia"/>
                <w:b/>
                <w:bCs/>
                <w:sz w:val="21"/>
                <w:szCs w:val="21"/>
              </w:rPr>
              <w:t>生态环保</w:t>
            </w:r>
          </w:p>
        </w:tc>
        <w:tc>
          <w:tcPr>
            <w:tcW w:w="1892" w:type="pct"/>
            <w:vAlign w:val="center"/>
          </w:tcPr>
          <w:p w14:paraId="2264C247">
            <w:pPr>
              <w:adjustRightInd w:val="0"/>
              <w:snapToGrid w:val="0"/>
              <w:rPr>
                <w:rFonts w:hint="eastAsia"/>
                <w:sz w:val="21"/>
                <w:szCs w:val="21"/>
              </w:rPr>
            </w:pPr>
          </w:p>
        </w:tc>
        <w:tc>
          <w:tcPr>
            <w:tcW w:w="484" w:type="pct"/>
            <w:vAlign w:val="center"/>
          </w:tcPr>
          <w:p w14:paraId="0E7DE833">
            <w:pPr>
              <w:adjustRightInd w:val="0"/>
              <w:snapToGrid w:val="0"/>
              <w:jc w:val="center"/>
              <w:rPr>
                <w:rFonts w:hint="eastAsia"/>
                <w:color w:val="000000"/>
                <w:sz w:val="21"/>
                <w:szCs w:val="21"/>
              </w:rPr>
            </w:pPr>
            <w:r>
              <w:rPr>
                <w:rFonts w:hint="eastAsia"/>
                <w:color w:val="000000"/>
                <w:sz w:val="21"/>
                <w:szCs w:val="21"/>
              </w:rPr>
              <w:t>15</w:t>
            </w:r>
          </w:p>
        </w:tc>
        <w:tc>
          <w:tcPr>
            <w:tcW w:w="488" w:type="pct"/>
            <w:vAlign w:val="center"/>
          </w:tcPr>
          <w:p w14:paraId="0F41AE2B">
            <w:pPr>
              <w:adjustRightInd w:val="0"/>
              <w:snapToGrid w:val="0"/>
              <w:jc w:val="center"/>
              <w:rPr>
                <w:rFonts w:hint="eastAsia"/>
                <w:color w:val="000000"/>
                <w:sz w:val="21"/>
                <w:szCs w:val="21"/>
              </w:rPr>
            </w:pPr>
          </w:p>
        </w:tc>
      </w:tr>
      <w:tr w14:paraId="18934B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33717FF">
            <w:pPr>
              <w:adjustRightInd w:val="0"/>
              <w:snapToGrid w:val="0"/>
              <w:jc w:val="center"/>
              <w:rPr>
                <w:rFonts w:hint="eastAsia"/>
                <w:sz w:val="21"/>
                <w:szCs w:val="21"/>
              </w:rPr>
            </w:pPr>
          </w:p>
        </w:tc>
        <w:tc>
          <w:tcPr>
            <w:tcW w:w="1771" w:type="pct"/>
            <w:vAlign w:val="center"/>
          </w:tcPr>
          <w:p w14:paraId="43A059F1">
            <w:pPr>
              <w:rPr>
                <w:rFonts w:hint="eastAsia"/>
                <w:sz w:val="21"/>
                <w:szCs w:val="21"/>
              </w:rPr>
            </w:pPr>
            <w:r>
              <w:rPr>
                <w:sz w:val="21"/>
                <w:szCs w:val="21"/>
              </w:rPr>
              <w:t xml:space="preserve">1 </w:t>
            </w:r>
            <w:r>
              <w:rPr>
                <w:rFonts w:hint="eastAsia"/>
                <w:sz w:val="21"/>
                <w:szCs w:val="21"/>
              </w:rPr>
              <w:t>践行“两山”理论，体现人与自然和谐共生的可持续发展理念。</w:t>
            </w:r>
          </w:p>
        </w:tc>
        <w:tc>
          <w:tcPr>
            <w:tcW w:w="1892" w:type="pct"/>
            <w:vMerge w:val="restart"/>
            <w:vAlign w:val="center"/>
          </w:tcPr>
          <w:p w14:paraId="79A75740">
            <w:pPr>
              <w:adjustRightInd w:val="0"/>
              <w:snapToGrid w:val="0"/>
              <w:jc w:val="center"/>
              <w:rPr>
                <w:rFonts w:hint="eastAsia"/>
                <w:sz w:val="21"/>
                <w:szCs w:val="21"/>
              </w:rPr>
            </w:pPr>
            <w:r>
              <w:rPr>
                <w:rFonts w:hint="eastAsia"/>
                <w:sz w:val="21"/>
                <w:szCs w:val="21"/>
              </w:rPr>
              <w:t>每项子目实得分根据实际情况按照标准分乘以相应系数进行评分：</w:t>
            </w:r>
          </w:p>
          <w:p w14:paraId="23CB3740">
            <w:pPr>
              <w:adjustRightInd w:val="0"/>
              <w:snapToGrid w:val="0"/>
              <w:jc w:val="center"/>
              <w:rPr>
                <w:rFonts w:hint="eastAsia"/>
                <w:sz w:val="21"/>
                <w:szCs w:val="21"/>
              </w:rPr>
            </w:pPr>
            <w:r>
              <w:rPr>
                <w:rFonts w:hint="eastAsia"/>
                <w:sz w:val="21"/>
                <w:szCs w:val="21"/>
              </w:rPr>
              <w:t>1、设计指标满足评价内容要求，系数为1；</w:t>
            </w:r>
          </w:p>
          <w:p w14:paraId="4613559C">
            <w:pPr>
              <w:adjustRightInd w:val="0"/>
              <w:snapToGrid w:val="0"/>
              <w:jc w:val="center"/>
              <w:rPr>
                <w:rFonts w:hint="eastAsia"/>
                <w:sz w:val="21"/>
                <w:szCs w:val="21"/>
              </w:rPr>
            </w:pPr>
            <w:r>
              <w:rPr>
                <w:rFonts w:hint="eastAsia"/>
                <w:sz w:val="21"/>
                <w:szCs w:val="21"/>
              </w:rPr>
              <w:t>2、设计指标基本满足评价内容要求，系数按照0.5~0.9酌情选取；</w:t>
            </w:r>
          </w:p>
          <w:p w14:paraId="6EC826D3">
            <w:pPr>
              <w:adjustRightInd w:val="0"/>
              <w:snapToGrid w:val="0"/>
              <w:rPr>
                <w:rFonts w:hint="eastAsia"/>
                <w:sz w:val="21"/>
                <w:szCs w:val="21"/>
              </w:rPr>
            </w:pPr>
            <w:r>
              <w:rPr>
                <w:rFonts w:hint="eastAsia"/>
                <w:sz w:val="21"/>
                <w:szCs w:val="21"/>
              </w:rPr>
              <w:t>3、设计指标不满足评价内容要求，得0分。</w:t>
            </w:r>
          </w:p>
        </w:tc>
        <w:tc>
          <w:tcPr>
            <w:tcW w:w="484" w:type="pct"/>
            <w:vAlign w:val="center"/>
          </w:tcPr>
          <w:p w14:paraId="0F864EBD">
            <w:pPr>
              <w:adjustRightInd w:val="0"/>
              <w:snapToGrid w:val="0"/>
              <w:jc w:val="center"/>
              <w:rPr>
                <w:rFonts w:hint="eastAsia"/>
                <w:color w:val="000000"/>
                <w:sz w:val="21"/>
                <w:szCs w:val="21"/>
              </w:rPr>
            </w:pPr>
            <w:r>
              <w:rPr>
                <w:sz w:val="21"/>
                <w:szCs w:val="21"/>
              </w:rPr>
              <w:t>2</w:t>
            </w:r>
          </w:p>
        </w:tc>
        <w:tc>
          <w:tcPr>
            <w:tcW w:w="488" w:type="pct"/>
            <w:vAlign w:val="center"/>
          </w:tcPr>
          <w:p w14:paraId="2E87534C">
            <w:pPr>
              <w:adjustRightInd w:val="0"/>
              <w:snapToGrid w:val="0"/>
              <w:jc w:val="center"/>
              <w:rPr>
                <w:rFonts w:hint="eastAsia"/>
                <w:color w:val="000000"/>
                <w:sz w:val="21"/>
                <w:szCs w:val="21"/>
              </w:rPr>
            </w:pPr>
          </w:p>
        </w:tc>
      </w:tr>
      <w:tr w14:paraId="03BFD4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5C9EC41">
            <w:pPr>
              <w:adjustRightInd w:val="0"/>
              <w:snapToGrid w:val="0"/>
              <w:jc w:val="center"/>
              <w:rPr>
                <w:rFonts w:hint="eastAsia"/>
                <w:sz w:val="21"/>
                <w:szCs w:val="21"/>
              </w:rPr>
            </w:pPr>
          </w:p>
        </w:tc>
        <w:tc>
          <w:tcPr>
            <w:tcW w:w="1771" w:type="pct"/>
            <w:vAlign w:val="center"/>
          </w:tcPr>
          <w:p w14:paraId="0E79685C">
            <w:pPr>
              <w:rPr>
                <w:rFonts w:hint="eastAsia"/>
                <w:sz w:val="21"/>
                <w:szCs w:val="21"/>
              </w:rPr>
            </w:pPr>
            <w:r>
              <w:rPr>
                <w:sz w:val="21"/>
                <w:szCs w:val="21"/>
              </w:rPr>
              <w:t>2</w:t>
            </w:r>
            <w:r>
              <w:rPr>
                <w:rFonts w:hint="eastAsia"/>
                <w:sz w:val="21"/>
                <w:szCs w:val="21"/>
              </w:rPr>
              <w:t>电站总体设计科学，因地制宜，与周边生态环境和谐统一。</w:t>
            </w:r>
          </w:p>
        </w:tc>
        <w:tc>
          <w:tcPr>
            <w:tcW w:w="1892" w:type="pct"/>
            <w:vMerge w:val="continue"/>
            <w:vAlign w:val="center"/>
          </w:tcPr>
          <w:p w14:paraId="62A556BB">
            <w:pPr>
              <w:adjustRightInd w:val="0"/>
              <w:snapToGrid w:val="0"/>
              <w:rPr>
                <w:rFonts w:hint="eastAsia"/>
                <w:sz w:val="21"/>
                <w:szCs w:val="21"/>
              </w:rPr>
            </w:pPr>
          </w:p>
        </w:tc>
        <w:tc>
          <w:tcPr>
            <w:tcW w:w="484" w:type="pct"/>
            <w:vAlign w:val="center"/>
          </w:tcPr>
          <w:p w14:paraId="7BFD1E72">
            <w:pPr>
              <w:adjustRightInd w:val="0"/>
              <w:snapToGrid w:val="0"/>
              <w:jc w:val="center"/>
              <w:rPr>
                <w:rFonts w:hint="eastAsia"/>
                <w:color w:val="000000"/>
                <w:sz w:val="21"/>
                <w:szCs w:val="21"/>
              </w:rPr>
            </w:pPr>
            <w:r>
              <w:rPr>
                <w:sz w:val="21"/>
                <w:szCs w:val="21"/>
              </w:rPr>
              <w:t>2</w:t>
            </w:r>
          </w:p>
        </w:tc>
        <w:tc>
          <w:tcPr>
            <w:tcW w:w="488" w:type="pct"/>
            <w:vAlign w:val="center"/>
          </w:tcPr>
          <w:p w14:paraId="3885E570">
            <w:pPr>
              <w:adjustRightInd w:val="0"/>
              <w:snapToGrid w:val="0"/>
              <w:jc w:val="center"/>
              <w:rPr>
                <w:rFonts w:hint="eastAsia"/>
                <w:color w:val="000000"/>
                <w:sz w:val="21"/>
                <w:szCs w:val="21"/>
              </w:rPr>
            </w:pPr>
          </w:p>
        </w:tc>
      </w:tr>
      <w:tr w14:paraId="26D4B2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1453229">
            <w:pPr>
              <w:adjustRightInd w:val="0"/>
              <w:snapToGrid w:val="0"/>
              <w:jc w:val="center"/>
              <w:rPr>
                <w:rFonts w:hint="eastAsia"/>
                <w:sz w:val="21"/>
                <w:szCs w:val="21"/>
              </w:rPr>
            </w:pPr>
          </w:p>
        </w:tc>
        <w:tc>
          <w:tcPr>
            <w:tcW w:w="1771" w:type="pct"/>
            <w:vAlign w:val="center"/>
          </w:tcPr>
          <w:p w14:paraId="06A24390">
            <w:pPr>
              <w:rPr>
                <w:rFonts w:hint="eastAsia"/>
                <w:sz w:val="21"/>
                <w:szCs w:val="21"/>
              </w:rPr>
            </w:pPr>
            <w:r>
              <w:rPr>
                <w:sz w:val="21"/>
                <w:szCs w:val="21"/>
              </w:rPr>
              <w:t xml:space="preserve">3 </w:t>
            </w:r>
            <w:r>
              <w:rPr>
                <w:rFonts w:hint="eastAsia"/>
                <w:sz w:val="21"/>
                <w:szCs w:val="21"/>
              </w:rPr>
              <w:t>扬尘控制方案先进合理，控制效果良好。</w:t>
            </w:r>
          </w:p>
        </w:tc>
        <w:tc>
          <w:tcPr>
            <w:tcW w:w="1892" w:type="pct"/>
            <w:vMerge w:val="continue"/>
            <w:vAlign w:val="center"/>
          </w:tcPr>
          <w:p w14:paraId="1A0697BF">
            <w:pPr>
              <w:adjustRightInd w:val="0"/>
              <w:snapToGrid w:val="0"/>
              <w:rPr>
                <w:rFonts w:hint="eastAsia"/>
                <w:sz w:val="21"/>
                <w:szCs w:val="21"/>
              </w:rPr>
            </w:pPr>
          </w:p>
        </w:tc>
        <w:tc>
          <w:tcPr>
            <w:tcW w:w="484" w:type="pct"/>
            <w:vAlign w:val="center"/>
          </w:tcPr>
          <w:p w14:paraId="09F84937">
            <w:pPr>
              <w:adjustRightInd w:val="0"/>
              <w:snapToGrid w:val="0"/>
              <w:jc w:val="center"/>
              <w:rPr>
                <w:rFonts w:hint="eastAsia"/>
                <w:color w:val="000000"/>
                <w:sz w:val="21"/>
                <w:szCs w:val="21"/>
              </w:rPr>
            </w:pPr>
            <w:r>
              <w:rPr>
                <w:sz w:val="21"/>
                <w:szCs w:val="21"/>
              </w:rPr>
              <w:t>1</w:t>
            </w:r>
          </w:p>
        </w:tc>
        <w:tc>
          <w:tcPr>
            <w:tcW w:w="488" w:type="pct"/>
            <w:vAlign w:val="center"/>
          </w:tcPr>
          <w:p w14:paraId="151D79C2">
            <w:pPr>
              <w:adjustRightInd w:val="0"/>
              <w:snapToGrid w:val="0"/>
              <w:jc w:val="center"/>
              <w:rPr>
                <w:rFonts w:hint="eastAsia"/>
                <w:color w:val="000000"/>
                <w:sz w:val="21"/>
                <w:szCs w:val="21"/>
              </w:rPr>
            </w:pPr>
          </w:p>
        </w:tc>
      </w:tr>
      <w:tr w14:paraId="796122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8D022ED">
            <w:pPr>
              <w:adjustRightInd w:val="0"/>
              <w:snapToGrid w:val="0"/>
              <w:jc w:val="center"/>
              <w:rPr>
                <w:rFonts w:hint="eastAsia"/>
                <w:sz w:val="21"/>
                <w:szCs w:val="21"/>
              </w:rPr>
            </w:pPr>
          </w:p>
        </w:tc>
        <w:tc>
          <w:tcPr>
            <w:tcW w:w="1771" w:type="pct"/>
            <w:vAlign w:val="center"/>
          </w:tcPr>
          <w:p w14:paraId="73D8BCCE">
            <w:pPr>
              <w:rPr>
                <w:rFonts w:hint="eastAsia"/>
                <w:sz w:val="21"/>
                <w:szCs w:val="21"/>
              </w:rPr>
            </w:pPr>
            <w:r>
              <w:rPr>
                <w:sz w:val="21"/>
                <w:szCs w:val="21"/>
              </w:rPr>
              <w:t xml:space="preserve">4 </w:t>
            </w:r>
            <w:r>
              <w:rPr>
                <w:rFonts w:hint="eastAsia"/>
                <w:sz w:val="21"/>
                <w:szCs w:val="21"/>
              </w:rPr>
              <w:t>采用低噪声机械设备，噪声及振动控制方案合理，效果良好。</w:t>
            </w:r>
          </w:p>
        </w:tc>
        <w:tc>
          <w:tcPr>
            <w:tcW w:w="1892" w:type="pct"/>
            <w:vMerge w:val="continue"/>
            <w:vAlign w:val="center"/>
          </w:tcPr>
          <w:p w14:paraId="5CD01B74">
            <w:pPr>
              <w:adjustRightInd w:val="0"/>
              <w:snapToGrid w:val="0"/>
              <w:rPr>
                <w:rFonts w:hint="eastAsia"/>
                <w:sz w:val="21"/>
                <w:szCs w:val="21"/>
              </w:rPr>
            </w:pPr>
          </w:p>
        </w:tc>
        <w:tc>
          <w:tcPr>
            <w:tcW w:w="484" w:type="pct"/>
            <w:vAlign w:val="center"/>
          </w:tcPr>
          <w:p w14:paraId="36BA0B48">
            <w:pPr>
              <w:adjustRightInd w:val="0"/>
              <w:snapToGrid w:val="0"/>
              <w:jc w:val="center"/>
              <w:rPr>
                <w:rFonts w:hint="eastAsia"/>
                <w:color w:val="000000"/>
                <w:sz w:val="21"/>
                <w:szCs w:val="21"/>
              </w:rPr>
            </w:pPr>
            <w:r>
              <w:rPr>
                <w:sz w:val="21"/>
                <w:szCs w:val="21"/>
              </w:rPr>
              <w:t>1</w:t>
            </w:r>
          </w:p>
        </w:tc>
        <w:tc>
          <w:tcPr>
            <w:tcW w:w="488" w:type="pct"/>
            <w:vAlign w:val="center"/>
          </w:tcPr>
          <w:p w14:paraId="1A4F9057">
            <w:pPr>
              <w:adjustRightInd w:val="0"/>
              <w:snapToGrid w:val="0"/>
              <w:jc w:val="center"/>
              <w:rPr>
                <w:rFonts w:hint="eastAsia"/>
                <w:color w:val="000000"/>
                <w:sz w:val="21"/>
                <w:szCs w:val="21"/>
              </w:rPr>
            </w:pPr>
          </w:p>
        </w:tc>
      </w:tr>
      <w:tr w14:paraId="6A08EB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E75CB51">
            <w:pPr>
              <w:adjustRightInd w:val="0"/>
              <w:snapToGrid w:val="0"/>
              <w:jc w:val="center"/>
              <w:rPr>
                <w:rFonts w:hint="eastAsia"/>
                <w:sz w:val="21"/>
                <w:szCs w:val="21"/>
              </w:rPr>
            </w:pPr>
          </w:p>
        </w:tc>
        <w:tc>
          <w:tcPr>
            <w:tcW w:w="1771" w:type="pct"/>
            <w:vAlign w:val="center"/>
          </w:tcPr>
          <w:p w14:paraId="2805A018">
            <w:pPr>
              <w:rPr>
                <w:rFonts w:hint="eastAsia"/>
                <w:sz w:val="21"/>
                <w:szCs w:val="21"/>
              </w:rPr>
            </w:pPr>
            <w:r>
              <w:rPr>
                <w:sz w:val="21"/>
                <w:szCs w:val="21"/>
              </w:rPr>
              <w:t>5 固体废弃物处置措施合理，</w:t>
            </w:r>
            <w:r>
              <w:rPr>
                <w:rFonts w:hint="eastAsia"/>
                <w:sz w:val="21"/>
                <w:szCs w:val="21"/>
              </w:rPr>
              <w:t>生活垃圾处理得当，建筑垃圾回收利用，回收利用率达到</w:t>
            </w:r>
            <w:r>
              <w:rPr>
                <w:sz w:val="21"/>
                <w:szCs w:val="21"/>
              </w:rPr>
              <w:t>国内同类型</w:t>
            </w:r>
            <w:r>
              <w:rPr>
                <w:rFonts w:hint="eastAsia"/>
                <w:sz w:val="21"/>
                <w:szCs w:val="21"/>
              </w:rPr>
              <w:t>工程先进水平。</w:t>
            </w:r>
          </w:p>
        </w:tc>
        <w:tc>
          <w:tcPr>
            <w:tcW w:w="1892" w:type="pct"/>
            <w:vMerge w:val="continue"/>
            <w:vAlign w:val="center"/>
          </w:tcPr>
          <w:p w14:paraId="7ADB7F00">
            <w:pPr>
              <w:adjustRightInd w:val="0"/>
              <w:snapToGrid w:val="0"/>
              <w:rPr>
                <w:rFonts w:hint="eastAsia"/>
                <w:sz w:val="21"/>
                <w:szCs w:val="21"/>
              </w:rPr>
            </w:pPr>
          </w:p>
        </w:tc>
        <w:tc>
          <w:tcPr>
            <w:tcW w:w="484" w:type="pct"/>
            <w:vAlign w:val="center"/>
          </w:tcPr>
          <w:p w14:paraId="51A40B60">
            <w:pPr>
              <w:adjustRightInd w:val="0"/>
              <w:snapToGrid w:val="0"/>
              <w:jc w:val="center"/>
              <w:rPr>
                <w:rFonts w:hint="eastAsia"/>
                <w:color w:val="000000"/>
                <w:sz w:val="21"/>
                <w:szCs w:val="21"/>
              </w:rPr>
            </w:pPr>
            <w:r>
              <w:rPr>
                <w:sz w:val="21"/>
                <w:szCs w:val="21"/>
              </w:rPr>
              <w:t>1</w:t>
            </w:r>
          </w:p>
        </w:tc>
        <w:tc>
          <w:tcPr>
            <w:tcW w:w="488" w:type="pct"/>
            <w:vAlign w:val="center"/>
          </w:tcPr>
          <w:p w14:paraId="1D553CC4">
            <w:pPr>
              <w:adjustRightInd w:val="0"/>
              <w:snapToGrid w:val="0"/>
              <w:jc w:val="center"/>
              <w:rPr>
                <w:rFonts w:hint="eastAsia"/>
                <w:color w:val="000000"/>
                <w:sz w:val="21"/>
                <w:szCs w:val="21"/>
              </w:rPr>
            </w:pPr>
          </w:p>
        </w:tc>
      </w:tr>
      <w:tr w14:paraId="49960B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3395506">
            <w:pPr>
              <w:adjustRightInd w:val="0"/>
              <w:snapToGrid w:val="0"/>
              <w:jc w:val="center"/>
              <w:rPr>
                <w:rFonts w:hint="eastAsia"/>
                <w:sz w:val="21"/>
                <w:szCs w:val="21"/>
              </w:rPr>
            </w:pPr>
          </w:p>
        </w:tc>
        <w:tc>
          <w:tcPr>
            <w:tcW w:w="1771" w:type="pct"/>
            <w:vAlign w:val="center"/>
          </w:tcPr>
          <w:p w14:paraId="797FC103">
            <w:pPr>
              <w:rPr>
                <w:rFonts w:hint="eastAsia"/>
                <w:sz w:val="21"/>
                <w:szCs w:val="21"/>
              </w:rPr>
            </w:pPr>
            <w:r>
              <w:rPr>
                <w:sz w:val="21"/>
                <w:szCs w:val="21"/>
              </w:rPr>
              <w:t xml:space="preserve">6 </w:t>
            </w:r>
            <w:r>
              <w:rPr>
                <w:rFonts w:hint="eastAsia"/>
                <w:sz w:val="21"/>
                <w:szCs w:val="21"/>
              </w:rPr>
              <w:t>污废水处理方案合理，污废水处理满足环保要求。</w:t>
            </w:r>
          </w:p>
        </w:tc>
        <w:tc>
          <w:tcPr>
            <w:tcW w:w="1892" w:type="pct"/>
            <w:vMerge w:val="continue"/>
            <w:vAlign w:val="center"/>
          </w:tcPr>
          <w:p w14:paraId="351C776B">
            <w:pPr>
              <w:adjustRightInd w:val="0"/>
              <w:snapToGrid w:val="0"/>
              <w:rPr>
                <w:rFonts w:hint="eastAsia"/>
                <w:sz w:val="21"/>
                <w:szCs w:val="21"/>
              </w:rPr>
            </w:pPr>
          </w:p>
        </w:tc>
        <w:tc>
          <w:tcPr>
            <w:tcW w:w="484" w:type="pct"/>
            <w:vAlign w:val="center"/>
          </w:tcPr>
          <w:p w14:paraId="201E09EE">
            <w:pPr>
              <w:adjustRightInd w:val="0"/>
              <w:snapToGrid w:val="0"/>
              <w:jc w:val="center"/>
              <w:rPr>
                <w:rFonts w:hint="eastAsia"/>
                <w:color w:val="000000"/>
                <w:sz w:val="21"/>
                <w:szCs w:val="21"/>
              </w:rPr>
            </w:pPr>
            <w:r>
              <w:rPr>
                <w:sz w:val="21"/>
                <w:szCs w:val="21"/>
              </w:rPr>
              <w:t>1</w:t>
            </w:r>
          </w:p>
        </w:tc>
        <w:tc>
          <w:tcPr>
            <w:tcW w:w="488" w:type="pct"/>
            <w:vAlign w:val="center"/>
          </w:tcPr>
          <w:p w14:paraId="3B6FC2EF">
            <w:pPr>
              <w:adjustRightInd w:val="0"/>
              <w:snapToGrid w:val="0"/>
              <w:jc w:val="center"/>
              <w:rPr>
                <w:rFonts w:hint="eastAsia"/>
                <w:color w:val="000000"/>
                <w:sz w:val="21"/>
                <w:szCs w:val="21"/>
              </w:rPr>
            </w:pPr>
          </w:p>
        </w:tc>
      </w:tr>
      <w:tr w14:paraId="4888E9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C494AA1">
            <w:pPr>
              <w:adjustRightInd w:val="0"/>
              <w:snapToGrid w:val="0"/>
              <w:jc w:val="center"/>
              <w:rPr>
                <w:rFonts w:hint="eastAsia"/>
                <w:sz w:val="21"/>
                <w:szCs w:val="21"/>
              </w:rPr>
            </w:pPr>
          </w:p>
        </w:tc>
        <w:tc>
          <w:tcPr>
            <w:tcW w:w="1771" w:type="pct"/>
            <w:vAlign w:val="center"/>
          </w:tcPr>
          <w:p w14:paraId="42C0B0DE">
            <w:pPr>
              <w:rPr>
                <w:rFonts w:hint="eastAsia"/>
                <w:sz w:val="21"/>
                <w:szCs w:val="21"/>
              </w:rPr>
            </w:pPr>
            <w:r>
              <w:rPr>
                <w:sz w:val="21"/>
                <w:szCs w:val="21"/>
              </w:rPr>
              <w:t>7</w:t>
            </w:r>
            <w:r>
              <w:rPr>
                <w:rFonts w:hint="eastAsia"/>
                <w:sz w:val="21"/>
                <w:szCs w:val="21"/>
              </w:rPr>
              <w:t>环境监测方案合理，环境监测数据满足环保要求。</w:t>
            </w:r>
          </w:p>
        </w:tc>
        <w:tc>
          <w:tcPr>
            <w:tcW w:w="1892" w:type="pct"/>
            <w:vMerge w:val="continue"/>
            <w:vAlign w:val="center"/>
          </w:tcPr>
          <w:p w14:paraId="754E1F32">
            <w:pPr>
              <w:adjustRightInd w:val="0"/>
              <w:snapToGrid w:val="0"/>
              <w:rPr>
                <w:rFonts w:hint="eastAsia"/>
                <w:sz w:val="21"/>
                <w:szCs w:val="21"/>
              </w:rPr>
            </w:pPr>
          </w:p>
        </w:tc>
        <w:tc>
          <w:tcPr>
            <w:tcW w:w="484" w:type="pct"/>
            <w:vAlign w:val="center"/>
          </w:tcPr>
          <w:p w14:paraId="510FA63E">
            <w:pPr>
              <w:adjustRightInd w:val="0"/>
              <w:snapToGrid w:val="0"/>
              <w:jc w:val="center"/>
              <w:rPr>
                <w:rFonts w:hint="eastAsia"/>
                <w:color w:val="000000"/>
                <w:sz w:val="21"/>
                <w:szCs w:val="21"/>
              </w:rPr>
            </w:pPr>
            <w:r>
              <w:rPr>
                <w:sz w:val="21"/>
                <w:szCs w:val="21"/>
              </w:rPr>
              <w:t>1</w:t>
            </w:r>
          </w:p>
        </w:tc>
        <w:tc>
          <w:tcPr>
            <w:tcW w:w="488" w:type="pct"/>
            <w:vAlign w:val="center"/>
          </w:tcPr>
          <w:p w14:paraId="606973B6">
            <w:pPr>
              <w:adjustRightInd w:val="0"/>
              <w:snapToGrid w:val="0"/>
              <w:jc w:val="center"/>
              <w:rPr>
                <w:rFonts w:hint="eastAsia"/>
                <w:color w:val="000000"/>
                <w:sz w:val="21"/>
                <w:szCs w:val="21"/>
              </w:rPr>
            </w:pPr>
          </w:p>
        </w:tc>
      </w:tr>
      <w:tr w14:paraId="15C4B4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76472ED">
            <w:pPr>
              <w:adjustRightInd w:val="0"/>
              <w:snapToGrid w:val="0"/>
              <w:jc w:val="center"/>
              <w:rPr>
                <w:rFonts w:hint="eastAsia"/>
                <w:sz w:val="21"/>
                <w:szCs w:val="21"/>
              </w:rPr>
            </w:pPr>
          </w:p>
        </w:tc>
        <w:tc>
          <w:tcPr>
            <w:tcW w:w="1771" w:type="pct"/>
            <w:vAlign w:val="center"/>
          </w:tcPr>
          <w:p w14:paraId="7399C310">
            <w:pPr>
              <w:rPr>
                <w:rFonts w:hint="eastAsia"/>
                <w:sz w:val="21"/>
                <w:szCs w:val="21"/>
              </w:rPr>
            </w:pPr>
            <w:r>
              <w:rPr>
                <w:sz w:val="21"/>
                <w:szCs w:val="21"/>
              </w:rPr>
              <w:t>8</w:t>
            </w:r>
            <w:r>
              <w:rPr>
                <w:rFonts w:hint="eastAsia"/>
                <w:sz w:val="21"/>
                <w:szCs w:val="21"/>
              </w:rPr>
              <w:t>工程选址符合生态保护红线管控要求，避让生态环境敏感区。</w:t>
            </w:r>
          </w:p>
        </w:tc>
        <w:tc>
          <w:tcPr>
            <w:tcW w:w="1892" w:type="pct"/>
            <w:vMerge w:val="continue"/>
            <w:vAlign w:val="center"/>
          </w:tcPr>
          <w:p w14:paraId="6CDD3C43">
            <w:pPr>
              <w:adjustRightInd w:val="0"/>
              <w:snapToGrid w:val="0"/>
              <w:rPr>
                <w:rFonts w:hint="eastAsia"/>
                <w:sz w:val="21"/>
                <w:szCs w:val="21"/>
              </w:rPr>
            </w:pPr>
          </w:p>
        </w:tc>
        <w:tc>
          <w:tcPr>
            <w:tcW w:w="484" w:type="pct"/>
            <w:vAlign w:val="center"/>
          </w:tcPr>
          <w:p w14:paraId="7E5DD57D">
            <w:pPr>
              <w:adjustRightInd w:val="0"/>
              <w:snapToGrid w:val="0"/>
              <w:jc w:val="center"/>
              <w:rPr>
                <w:rFonts w:hint="eastAsia"/>
                <w:color w:val="000000"/>
                <w:sz w:val="21"/>
                <w:szCs w:val="21"/>
              </w:rPr>
            </w:pPr>
            <w:r>
              <w:rPr>
                <w:sz w:val="21"/>
                <w:szCs w:val="21"/>
              </w:rPr>
              <w:t>1</w:t>
            </w:r>
          </w:p>
        </w:tc>
        <w:tc>
          <w:tcPr>
            <w:tcW w:w="488" w:type="pct"/>
            <w:vAlign w:val="center"/>
          </w:tcPr>
          <w:p w14:paraId="70D4260D">
            <w:pPr>
              <w:adjustRightInd w:val="0"/>
              <w:snapToGrid w:val="0"/>
              <w:jc w:val="center"/>
              <w:rPr>
                <w:rFonts w:hint="eastAsia"/>
                <w:color w:val="000000"/>
                <w:sz w:val="21"/>
                <w:szCs w:val="21"/>
              </w:rPr>
            </w:pPr>
          </w:p>
        </w:tc>
      </w:tr>
      <w:tr w14:paraId="38DD18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64CEB50">
            <w:pPr>
              <w:adjustRightInd w:val="0"/>
              <w:snapToGrid w:val="0"/>
              <w:jc w:val="center"/>
              <w:rPr>
                <w:rFonts w:hint="eastAsia"/>
                <w:sz w:val="21"/>
                <w:szCs w:val="21"/>
              </w:rPr>
            </w:pPr>
          </w:p>
        </w:tc>
        <w:tc>
          <w:tcPr>
            <w:tcW w:w="1771" w:type="pct"/>
            <w:vAlign w:val="center"/>
          </w:tcPr>
          <w:p w14:paraId="3FEC35FA">
            <w:pPr>
              <w:rPr>
                <w:rFonts w:hint="eastAsia"/>
                <w:sz w:val="21"/>
                <w:szCs w:val="21"/>
              </w:rPr>
            </w:pPr>
            <w:r>
              <w:rPr>
                <w:sz w:val="21"/>
                <w:szCs w:val="21"/>
              </w:rPr>
              <w:t>9</w:t>
            </w:r>
            <w:r>
              <w:rPr>
                <w:rFonts w:hint="eastAsia"/>
                <w:sz w:val="21"/>
                <w:szCs w:val="21"/>
              </w:rPr>
              <w:t>水生生态保护措施先进，鱼类增殖站、过鱼设施设计合理，效果良好。</w:t>
            </w:r>
          </w:p>
        </w:tc>
        <w:tc>
          <w:tcPr>
            <w:tcW w:w="1892" w:type="pct"/>
            <w:vMerge w:val="continue"/>
            <w:vAlign w:val="center"/>
          </w:tcPr>
          <w:p w14:paraId="63DF9075">
            <w:pPr>
              <w:adjustRightInd w:val="0"/>
              <w:snapToGrid w:val="0"/>
              <w:rPr>
                <w:rFonts w:hint="eastAsia"/>
                <w:sz w:val="21"/>
                <w:szCs w:val="21"/>
              </w:rPr>
            </w:pPr>
          </w:p>
        </w:tc>
        <w:tc>
          <w:tcPr>
            <w:tcW w:w="484" w:type="pct"/>
            <w:vAlign w:val="center"/>
          </w:tcPr>
          <w:p w14:paraId="12B5D424">
            <w:pPr>
              <w:adjustRightInd w:val="0"/>
              <w:snapToGrid w:val="0"/>
              <w:jc w:val="center"/>
              <w:rPr>
                <w:rFonts w:hint="eastAsia"/>
                <w:color w:val="000000"/>
                <w:sz w:val="21"/>
                <w:szCs w:val="21"/>
              </w:rPr>
            </w:pPr>
            <w:r>
              <w:rPr>
                <w:sz w:val="21"/>
                <w:szCs w:val="21"/>
              </w:rPr>
              <w:t>2</w:t>
            </w:r>
          </w:p>
        </w:tc>
        <w:tc>
          <w:tcPr>
            <w:tcW w:w="488" w:type="pct"/>
            <w:vAlign w:val="center"/>
          </w:tcPr>
          <w:p w14:paraId="64981150">
            <w:pPr>
              <w:adjustRightInd w:val="0"/>
              <w:snapToGrid w:val="0"/>
              <w:jc w:val="center"/>
              <w:rPr>
                <w:rFonts w:hint="eastAsia"/>
                <w:color w:val="000000"/>
                <w:sz w:val="21"/>
                <w:szCs w:val="21"/>
              </w:rPr>
            </w:pPr>
          </w:p>
        </w:tc>
      </w:tr>
      <w:tr w14:paraId="150B04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507C2C5">
            <w:pPr>
              <w:adjustRightInd w:val="0"/>
              <w:snapToGrid w:val="0"/>
              <w:jc w:val="center"/>
              <w:rPr>
                <w:rFonts w:hint="eastAsia"/>
                <w:sz w:val="21"/>
                <w:szCs w:val="21"/>
              </w:rPr>
            </w:pPr>
          </w:p>
        </w:tc>
        <w:tc>
          <w:tcPr>
            <w:tcW w:w="1771" w:type="pct"/>
            <w:vAlign w:val="center"/>
          </w:tcPr>
          <w:p w14:paraId="65C7BBF5">
            <w:pPr>
              <w:rPr>
                <w:rFonts w:hint="eastAsia"/>
                <w:sz w:val="21"/>
                <w:szCs w:val="21"/>
              </w:rPr>
            </w:pPr>
            <w:r>
              <w:rPr>
                <w:sz w:val="21"/>
                <w:szCs w:val="21"/>
              </w:rPr>
              <w:t>10</w:t>
            </w:r>
            <w:r>
              <w:rPr>
                <w:rFonts w:hint="eastAsia"/>
                <w:sz w:val="21"/>
                <w:szCs w:val="21"/>
              </w:rPr>
              <w:t>陆生生物保护措施合理，效果良好。</w:t>
            </w:r>
          </w:p>
        </w:tc>
        <w:tc>
          <w:tcPr>
            <w:tcW w:w="1892" w:type="pct"/>
            <w:vMerge w:val="continue"/>
            <w:vAlign w:val="center"/>
          </w:tcPr>
          <w:p w14:paraId="3A828F47">
            <w:pPr>
              <w:adjustRightInd w:val="0"/>
              <w:snapToGrid w:val="0"/>
              <w:rPr>
                <w:rFonts w:hint="eastAsia"/>
                <w:sz w:val="21"/>
                <w:szCs w:val="21"/>
              </w:rPr>
            </w:pPr>
          </w:p>
        </w:tc>
        <w:tc>
          <w:tcPr>
            <w:tcW w:w="484" w:type="pct"/>
            <w:vAlign w:val="center"/>
          </w:tcPr>
          <w:p w14:paraId="3DBF7880">
            <w:pPr>
              <w:adjustRightInd w:val="0"/>
              <w:snapToGrid w:val="0"/>
              <w:jc w:val="center"/>
              <w:rPr>
                <w:rFonts w:hint="eastAsia"/>
                <w:color w:val="000000"/>
                <w:sz w:val="21"/>
                <w:szCs w:val="21"/>
              </w:rPr>
            </w:pPr>
            <w:r>
              <w:rPr>
                <w:sz w:val="21"/>
                <w:szCs w:val="21"/>
              </w:rPr>
              <w:t>1</w:t>
            </w:r>
          </w:p>
        </w:tc>
        <w:tc>
          <w:tcPr>
            <w:tcW w:w="488" w:type="pct"/>
            <w:vAlign w:val="center"/>
          </w:tcPr>
          <w:p w14:paraId="757E9AF1">
            <w:pPr>
              <w:adjustRightInd w:val="0"/>
              <w:snapToGrid w:val="0"/>
              <w:jc w:val="center"/>
              <w:rPr>
                <w:rFonts w:hint="eastAsia"/>
                <w:color w:val="000000"/>
                <w:sz w:val="21"/>
                <w:szCs w:val="21"/>
              </w:rPr>
            </w:pPr>
          </w:p>
        </w:tc>
      </w:tr>
      <w:tr w14:paraId="1FB210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2BBE434">
            <w:pPr>
              <w:adjustRightInd w:val="0"/>
              <w:snapToGrid w:val="0"/>
              <w:jc w:val="center"/>
              <w:rPr>
                <w:rFonts w:hint="eastAsia"/>
                <w:sz w:val="21"/>
                <w:szCs w:val="21"/>
              </w:rPr>
            </w:pPr>
          </w:p>
        </w:tc>
        <w:tc>
          <w:tcPr>
            <w:tcW w:w="1771" w:type="pct"/>
            <w:vAlign w:val="center"/>
          </w:tcPr>
          <w:p w14:paraId="5D2E8671">
            <w:pPr>
              <w:rPr>
                <w:rFonts w:hint="eastAsia"/>
                <w:sz w:val="21"/>
                <w:szCs w:val="21"/>
              </w:rPr>
            </w:pPr>
            <w:r>
              <w:rPr>
                <w:sz w:val="21"/>
                <w:szCs w:val="21"/>
              </w:rPr>
              <w:t>11</w:t>
            </w:r>
            <w:r>
              <w:rPr>
                <w:rFonts w:hint="eastAsia"/>
                <w:sz w:val="21"/>
                <w:szCs w:val="21"/>
              </w:rPr>
              <w:t>水土保持措施先进，下泄流量满足生态环保要求，效果良好。</w:t>
            </w:r>
          </w:p>
        </w:tc>
        <w:tc>
          <w:tcPr>
            <w:tcW w:w="1892" w:type="pct"/>
            <w:vMerge w:val="continue"/>
            <w:vAlign w:val="center"/>
          </w:tcPr>
          <w:p w14:paraId="5CE877F0">
            <w:pPr>
              <w:adjustRightInd w:val="0"/>
              <w:snapToGrid w:val="0"/>
              <w:rPr>
                <w:rFonts w:hint="eastAsia"/>
                <w:sz w:val="21"/>
                <w:szCs w:val="21"/>
              </w:rPr>
            </w:pPr>
          </w:p>
        </w:tc>
        <w:tc>
          <w:tcPr>
            <w:tcW w:w="484" w:type="pct"/>
            <w:vAlign w:val="center"/>
          </w:tcPr>
          <w:p w14:paraId="5D4E18B0">
            <w:pPr>
              <w:adjustRightInd w:val="0"/>
              <w:snapToGrid w:val="0"/>
              <w:jc w:val="center"/>
              <w:rPr>
                <w:rFonts w:hint="eastAsia"/>
                <w:color w:val="000000"/>
                <w:sz w:val="21"/>
                <w:szCs w:val="21"/>
              </w:rPr>
            </w:pPr>
            <w:r>
              <w:rPr>
                <w:sz w:val="21"/>
                <w:szCs w:val="21"/>
              </w:rPr>
              <w:t>2</w:t>
            </w:r>
          </w:p>
        </w:tc>
        <w:tc>
          <w:tcPr>
            <w:tcW w:w="488" w:type="pct"/>
            <w:vAlign w:val="center"/>
          </w:tcPr>
          <w:p w14:paraId="1816045D">
            <w:pPr>
              <w:adjustRightInd w:val="0"/>
              <w:snapToGrid w:val="0"/>
              <w:jc w:val="center"/>
              <w:rPr>
                <w:rFonts w:hint="eastAsia"/>
                <w:color w:val="000000"/>
                <w:sz w:val="21"/>
                <w:szCs w:val="21"/>
              </w:rPr>
            </w:pPr>
          </w:p>
        </w:tc>
      </w:tr>
      <w:tr w14:paraId="1308F0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D3EE202">
            <w:pPr>
              <w:adjustRightInd w:val="0"/>
              <w:snapToGrid w:val="0"/>
              <w:jc w:val="center"/>
              <w:rPr>
                <w:rFonts w:hint="eastAsia"/>
                <w:sz w:val="21"/>
                <w:szCs w:val="21"/>
              </w:rPr>
            </w:pPr>
            <w:r>
              <w:rPr>
                <w:rFonts w:hint="eastAsia"/>
                <w:b/>
                <w:bCs/>
                <w:sz w:val="21"/>
                <w:szCs w:val="21"/>
              </w:rPr>
              <w:t>5.</w:t>
            </w:r>
            <w:r>
              <w:rPr>
                <w:b/>
                <w:bCs/>
                <w:sz w:val="21"/>
                <w:szCs w:val="21"/>
              </w:rPr>
              <w:t>2</w:t>
            </w:r>
            <w:r>
              <w:rPr>
                <w:rFonts w:hint="eastAsia"/>
                <w:b/>
                <w:bCs/>
                <w:sz w:val="21"/>
                <w:szCs w:val="21"/>
              </w:rPr>
              <w:t>.4</w:t>
            </w:r>
          </w:p>
        </w:tc>
        <w:tc>
          <w:tcPr>
            <w:tcW w:w="1771" w:type="pct"/>
            <w:vAlign w:val="center"/>
          </w:tcPr>
          <w:p w14:paraId="40711EC6">
            <w:pPr>
              <w:rPr>
                <w:rFonts w:hint="eastAsia"/>
                <w:sz w:val="21"/>
                <w:szCs w:val="21"/>
              </w:rPr>
            </w:pPr>
            <w:r>
              <w:rPr>
                <w:rFonts w:hint="eastAsia"/>
                <w:b/>
                <w:bCs/>
                <w:sz w:val="21"/>
                <w:szCs w:val="21"/>
              </w:rPr>
              <w:t>综合效益</w:t>
            </w:r>
          </w:p>
        </w:tc>
        <w:tc>
          <w:tcPr>
            <w:tcW w:w="1892" w:type="pct"/>
            <w:vAlign w:val="center"/>
          </w:tcPr>
          <w:p w14:paraId="4EB666AC">
            <w:pPr>
              <w:adjustRightInd w:val="0"/>
              <w:snapToGrid w:val="0"/>
              <w:rPr>
                <w:rFonts w:hint="eastAsia"/>
                <w:sz w:val="21"/>
                <w:szCs w:val="21"/>
              </w:rPr>
            </w:pPr>
          </w:p>
        </w:tc>
        <w:tc>
          <w:tcPr>
            <w:tcW w:w="484" w:type="pct"/>
            <w:vAlign w:val="center"/>
          </w:tcPr>
          <w:p w14:paraId="468DBF08">
            <w:pPr>
              <w:adjustRightInd w:val="0"/>
              <w:snapToGrid w:val="0"/>
              <w:jc w:val="center"/>
              <w:rPr>
                <w:rFonts w:hint="eastAsia"/>
                <w:color w:val="000000"/>
                <w:sz w:val="21"/>
                <w:szCs w:val="21"/>
              </w:rPr>
            </w:pPr>
            <w:r>
              <w:rPr>
                <w:rFonts w:hint="eastAsia"/>
                <w:color w:val="000000"/>
                <w:sz w:val="21"/>
                <w:szCs w:val="21"/>
              </w:rPr>
              <w:t>20</w:t>
            </w:r>
          </w:p>
        </w:tc>
        <w:tc>
          <w:tcPr>
            <w:tcW w:w="488" w:type="pct"/>
            <w:vAlign w:val="center"/>
          </w:tcPr>
          <w:p w14:paraId="46E67AFC">
            <w:pPr>
              <w:adjustRightInd w:val="0"/>
              <w:snapToGrid w:val="0"/>
              <w:jc w:val="center"/>
              <w:rPr>
                <w:rFonts w:hint="eastAsia"/>
                <w:color w:val="000000"/>
                <w:sz w:val="21"/>
                <w:szCs w:val="21"/>
              </w:rPr>
            </w:pPr>
          </w:p>
        </w:tc>
      </w:tr>
      <w:tr w14:paraId="07B794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9055870">
            <w:pPr>
              <w:adjustRightInd w:val="0"/>
              <w:snapToGrid w:val="0"/>
              <w:jc w:val="center"/>
              <w:rPr>
                <w:rFonts w:hint="eastAsia"/>
                <w:sz w:val="21"/>
                <w:szCs w:val="21"/>
              </w:rPr>
            </w:pPr>
          </w:p>
        </w:tc>
        <w:tc>
          <w:tcPr>
            <w:tcW w:w="1771" w:type="pct"/>
            <w:vAlign w:val="center"/>
          </w:tcPr>
          <w:p w14:paraId="3D1EA0BF">
            <w:pPr>
              <w:rPr>
                <w:rFonts w:hint="eastAsia"/>
                <w:sz w:val="21"/>
                <w:szCs w:val="21"/>
              </w:rPr>
            </w:pPr>
            <w:r>
              <w:rPr>
                <w:sz w:val="21"/>
                <w:szCs w:val="21"/>
              </w:rPr>
              <w:t>1</w:t>
            </w:r>
            <w:r>
              <w:rPr>
                <w:rFonts w:hint="eastAsia"/>
                <w:sz w:val="21"/>
                <w:szCs w:val="21"/>
              </w:rPr>
              <w:t>电站多年平均发电量满足设计要求，工程经济效益良好，主要经济技术指标处于领先水平。</w:t>
            </w:r>
          </w:p>
        </w:tc>
        <w:tc>
          <w:tcPr>
            <w:tcW w:w="1892" w:type="pct"/>
            <w:vMerge w:val="restart"/>
            <w:vAlign w:val="center"/>
          </w:tcPr>
          <w:p w14:paraId="5B0993FB">
            <w:pPr>
              <w:adjustRightInd w:val="0"/>
              <w:snapToGrid w:val="0"/>
              <w:jc w:val="center"/>
              <w:rPr>
                <w:rFonts w:hint="eastAsia"/>
                <w:sz w:val="21"/>
                <w:szCs w:val="21"/>
              </w:rPr>
            </w:pPr>
            <w:r>
              <w:rPr>
                <w:rFonts w:hint="eastAsia"/>
                <w:sz w:val="21"/>
                <w:szCs w:val="21"/>
              </w:rPr>
              <w:t>每项子目实得分根据实际情况按照标准分乘以相应系数进行评分：</w:t>
            </w:r>
          </w:p>
          <w:p w14:paraId="197EE0CC">
            <w:pPr>
              <w:adjustRightInd w:val="0"/>
              <w:snapToGrid w:val="0"/>
              <w:jc w:val="center"/>
              <w:rPr>
                <w:rFonts w:hint="eastAsia"/>
                <w:sz w:val="21"/>
                <w:szCs w:val="21"/>
              </w:rPr>
            </w:pPr>
            <w:r>
              <w:rPr>
                <w:rFonts w:hint="eastAsia"/>
                <w:sz w:val="21"/>
                <w:szCs w:val="21"/>
              </w:rPr>
              <w:t>1、设计指标满足评价内容要求，系数为1；</w:t>
            </w:r>
          </w:p>
          <w:p w14:paraId="3382B911">
            <w:pPr>
              <w:adjustRightInd w:val="0"/>
              <w:snapToGrid w:val="0"/>
              <w:jc w:val="center"/>
              <w:rPr>
                <w:rFonts w:hint="eastAsia"/>
                <w:sz w:val="21"/>
                <w:szCs w:val="21"/>
              </w:rPr>
            </w:pPr>
            <w:r>
              <w:rPr>
                <w:rFonts w:hint="eastAsia"/>
                <w:sz w:val="21"/>
                <w:szCs w:val="21"/>
              </w:rPr>
              <w:t>2、设计指标基本满足评价内容要求，系数按照0.5~0.9酌情选取；</w:t>
            </w:r>
          </w:p>
          <w:p w14:paraId="39029B8A">
            <w:pPr>
              <w:adjustRightInd w:val="0"/>
              <w:snapToGrid w:val="0"/>
              <w:rPr>
                <w:rFonts w:hint="eastAsia"/>
                <w:sz w:val="21"/>
                <w:szCs w:val="21"/>
              </w:rPr>
            </w:pPr>
            <w:r>
              <w:rPr>
                <w:rFonts w:hint="eastAsia"/>
                <w:sz w:val="21"/>
                <w:szCs w:val="21"/>
              </w:rPr>
              <w:t>3、设计指标不满足评价内容要求，得0分。</w:t>
            </w:r>
          </w:p>
        </w:tc>
        <w:tc>
          <w:tcPr>
            <w:tcW w:w="484" w:type="pct"/>
            <w:vAlign w:val="center"/>
          </w:tcPr>
          <w:p w14:paraId="3415D939">
            <w:pPr>
              <w:adjustRightInd w:val="0"/>
              <w:snapToGrid w:val="0"/>
              <w:jc w:val="center"/>
              <w:rPr>
                <w:rFonts w:hint="eastAsia"/>
                <w:color w:val="000000"/>
                <w:sz w:val="21"/>
                <w:szCs w:val="21"/>
              </w:rPr>
            </w:pPr>
            <w:r>
              <w:rPr>
                <w:sz w:val="21"/>
                <w:szCs w:val="21"/>
              </w:rPr>
              <w:t>4</w:t>
            </w:r>
          </w:p>
        </w:tc>
        <w:tc>
          <w:tcPr>
            <w:tcW w:w="488" w:type="pct"/>
            <w:vAlign w:val="center"/>
          </w:tcPr>
          <w:p w14:paraId="453B1C40">
            <w:pPr>
              <w:adjustRightInd w:val="0"/>
              <w:snapToGrid w:val="0"/>
              <w:jc w:val="center"/>
              <w:rPr>
                <w:rFonts w:hint="eastAsia"/>
                <w:color w:val="000000"/>
                <w:sz w:val="21"/>
                <w:szCs w:val="21"/>
              </w:rPr>
            </w:pPr>
          </w:p>
        </w:tc>
      </w:tr>
      <w:tr w14:paraId="5B9FDC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8B95C8C">
            <w:pPr>
              <w:adjustRightInd w:val="0"/>
              <w:snapToGrid w:val="0"/>
              <w:jc w:val="center"/>
              <w:rPr>
                <w:rFonts w:hint="eastAsia"/>
                <w:sz w:val="21"/>
                <w:szCs w:val="21"/>
              </w:rPr>
            </w:pPr>
          </w:p>
        </w:tc>
        <w:tc>
          <w:tcPr>
            <w:tcW w:w="1771" w:type="pct"/>
            <w:vAlign w:val="center"/>
          </w:tcPr>
          <w:p w14:paraId="6A203C0D">
            <w:pPr>
              <w:rPr>
                <w:rFonts w:hint="eastAsia"/>
                <w:sz w:val="21"/>
                <w:szCs w:val="21"/>
              </w:rPr>
            </w:pPr>
            <w:r>
              <w:rPr>
                <w:sz w:val="21"/>
                <w:szCs w:val="21"/>
              </w:rPr>
              <w:t>2工程</w:t>
            </w:r>
            <w:r>
              <w:rPr>
                <w:rFonts w:hint="eastAsia"/>
                <w:sz w:val="21"/>
                <w:szCs w:val="21"/>
              </w:rPr>
              <w:t>开发任务全部完成，各项效益达到设计预期</w:t>
            </w:r>
            <w:r>
              <w:rPr>
                <w:sz w:val="21"/>
                <w:szCs w:val="21"/>
              </w:rPr>
              <w:t>。</w:t>
            </w:r>
          </w:p>
        </w:tc>
        <w:tc>
          <w:tcPr>
            <w:tcW w:w="1892" w:type="pct"/>
            <w:vMerge w:val="continue"/>
            <w:vAlign w:val="center"/>
          </w:tcPr>
          <w:p w14:paraId="71ACACB7">
            <w:pPr>
              <w:adjustRightInd w:val="0"/>
              <w:snapToGrid w:val="0"/>
              <w:rPr>
                <w:rFonts w:hint="eastAsia"/>
                <w:sz w:val="21"/>
                <w:szCs w:val="21"/>
              </w:rPr>
            </w:pPr>
          </w:p>
        </w:tc>
        <w:tc>
          <w:tcPr>
            <w:tcW w:w="484" w:type="pct"/>
            <w:vAlign w:val="center"/>
          </w:tcPr>
          <w:p w14:paraId="086ADB33">
            <w:pPr>
              <w:adjustRightInd w:val="0"/>
              <w:snapToGrid w:val="0"/>
              <w:jc w:val="center"/>
              <w:rPr>
                <w:rFonts w:hint="eastAsia"/>
                <w:color w:val="000000"/>
                <w:sz w:val="21"/>
                <w:szCs w:val="21"/>
              </w:rPr>
            </w:pPr>
            <w:r>
              <w:rPr>
                <w:sz w:val="21"/>
                <w:szCs w:val="21"/>
              </w:rPr>
              <w:t>4</w:t>
            </w:r>
          </w:p>
        </w:tc>
        <w:tc>
          <w:tcPr>
            <w:tcW w:w="488" w:type="pct"/>
            <w:vAlign w:val="center"/>
          </w:tcPr>
          <w:p w14:paraId="0667EA9A">
            <w:pPr>
              <w:adjustRightInd w:val="0"/>
              <w:snapToGrid w:val="0"/>
              <w:jc w:val="center"/>
              <w:rPr>
                <w:rFonts w:hint="eastAsia"/>
                <w:color w:val="000000"/>
                <w:sz w:val="21"/>
                <w:szCs w:val="21"/>
              </w:rPr>
            </w:pPr>
          </w:p>
        </w:tc>
      </w:tr>
      <w:tr w14:paraId="2D2FDB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EE7846A">
            <w:pPr>
              <w:adjustRightInd w:val="0"/>
              <w:snapToGrid w:val="0"/>
              <w:jc w:val="center"/>
              <w:rPr>
                <w:rFonts w:hint="eastAsia"/>
                <w:sz w:val="21"/>
                <w:szCs w:val="21"/>
              </w:rPr>
            </w:pPr>
          </w:p>
        </w:tc>
        <w:tc>
          <w:tcPr>
            <w:tcW w:w="1771" w:type="pct"/>
            <w:vAlign w:val="center"/>
          </w:tcPr>
          <w:p w14:paraId="32CF905B">
            <w:pPr>
              <w:rPr>
                <w:rFonts w:hint="eastAsia"/>
                <w:sz w:val="21"/>
                <w:szCs w:val="21"/>
              </w:rPr>
            </w:pPr>
            <w:r>
              <w:rPr>
                <w:sz w:val="21"/>
                <w:szCs w:val="21"/>
              </w:rPr>
              <w:t>3</w:t>
            </w:r>
            <w:r>
              <w:rPr>
                <w:rFonts w:hint="eastAsia"/>
                <w:sz w:val="21"/>
                <w:szCs w:val="21"/>
              </w:rPr>
              <w:t>工程建设对当地相关产业有辐射带动作用，有效促进乡村振兴和社会经济发展。</w:t>
            </w:r>
          </w:p>
        </w:tc>
        <w:tc>
          <w:tcPr>
            <w:tcW w:w="1892" w:type="pct"/>
            <w:vMerge w:val="continue"/>
            <w:vAlign w:val="center"/>
          </w:tcPr>
          <w:p w14:paraId="5FE1AF39">
            <w:pPr>
              <w:adjustRightInd w:val="0"/>
              <w:snapToGrid w:val="0"/>
              <w:rPr>
                <w:rFonts w:hint="eastAsia"/>
                <w:sz w:val="21"/>
                <w:szCs w:val="21"/>
              </w:rPr>
            </w:pPr>
          </w:p>
        </w:tc>
        <w:tc>
          <w:tcPr>
            <w:tcW w:w="484" w:type="pct"/>
            <w:vAlign w:val="center"/>
          </w:tcPr>
          <w:p w14:paraId="700C1870">
            <w:pPr>
              <w:adjustRightInd w:val="0"/>
              <w:snapToGrid w:val="0"/>
              <w:jc w:val="center"/>
              <w:rPr>
                <w:rFonts w:hint="eastAsia"/>
                <w:color w:val="000000"/>
                <w:sz w:val="21"/>
                <w:szCs w:val="21"/>
              </w:rPr>
            </w:pPr>
            <w:r>
              <w:rPr>
                <w:sz w:val="21"/>
                <w:szCs w:val="21"/>
              </w:rPr>
              <w:t>3</w:t>
            </w:r>
          </w:p>
        </w:tc>
        <w:tc>
          <w:tcPr>
            <w:tcW w:w="488" w:type="pct"/>
            <w:vAlign w:val="center"/>
          </w:tcPr>
          <w:p w14:paraId="1B126EC2">
            <w:pPr>
              <w:adjustRightInd w:val="0"/>
              <w:snapToGrid w:val="0"/>
              <w:jc w:val="center"/>
              <w:rPr>
                <w:rFonts w:hint="eastAsia"/>
                <w:color w:val="000000"/>
                <w:sz w:val="21"/>
                <w:szCs w:val="21"/>
              </w:rPr>
            </w:pPr>
          </w:p>
        </w:tc>
      </w:tr>
      <w:tr w14:paraId="447E64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012DA39">
            <w:pPr>
              <w:adjustRightInd w:val="0"/>
              <w:snapToGrid w:val="0"/>
              <w:jc w:val="center"/>
              <w:rPr>
                <w:rFonts w:hint="eastAsia"/>
                <w:sz w:val="21"/>
                <w:szCs w:val="21"/>
              </w:rPr>
            </w:pPr>
          </w:p>
        </w:tc>
        <w:tc>
          <w:tcPr>
            <w:tcW w:w="1771" w:type="pct"/>
            <w:vAlign w:val="center"/>
          </w:tcPr>
          <w:p w14:paraId="0E4A78E1">
            <w:pPr>
              <w:rPr>
                <w:rFonts w:hint="eastAsia"/>
                <w:sz w:val="21"/>
                <w:szCs w:val="21"/>
              </w:rPr>
            </w:pPr>
            <w:r>
              <w:rPr>
                <w:sz w:val="21"/>
                <w:szCs w:val="21"/>
              </w:rPr>
              <w:t xml:space="preserve">4 </w:t>
            </w:r>
            <w:r>
              <w:rPr>
                <w:rFonts w:hint="eastAsia"/>
                <w:sz w:val="21"/>
                <w:szCs w:val="21"/>
              </w:rPr>
              <w:t>工程移民安置效果良好，各方满意度高。</w:t>
            </w:r>
          </w:p>
        </w:tc>
        <w:tc>
          <w:tcPr>
            <w:tcW w:w="1892" w:type="pct"/>
            <w:vMerge w:val="continue"/>
            <w:vAlign w:val="center"/>
          </w:tcPr>
          <w:p w14:paraId="5A0BFDBE">
            <w:pPr>
              <w:adjustRightInd w:val="0"/>
              <w:snapToGrid w:val="0"/>
              <w:rPr>
                <w:rFonts w:hint="eastAsia"/>
                <w:sz w:val="21"/>
                <w:szCs w:val="21"/>
              </w:rPr>
            </w:pPr>
          </w:p>
        </w:tc>
        <w:tc>
          <w:tcPr>
            <w:tcW w:w="484" w:type="pct"/>
            <w:vAlign w:val="center"/>
          </w:tcPr>
          <w:p w14:paraId="19125019">
            <w:pPr>
              <w:adjustRightInd w:val="0"/>
              <w:snapToGrid w:val="0"/>
              <w:jc w:val="center"/>
              <w:rPr>
                <w:rFonts w:hint="eastAsia"/>
                <w:color w:val="000000"/>
                <w:sz w:val="21"/>
                <w:szCs w:val="21"/>
              </w:rPr>
            </w:pPr>
            <w:r>
              <w:rPr>
                <w:sz w:val="21"/>
                <w:szCs w:val="21"/>
              </w:rPr>
              <w:t>3</w:t>
            </w:r>
          </w:p>
        </w:tc>
        <w:tc>
          <w:tcPr>
            <w:tcW w:w="488" w:type="pct"/>
            <w:vAlign w:val="center"/>
          </w:tcPr>
          <w:p w14:paraId="6E977C09">
            <w:pPr>
              <w:adjustRightInd w:val="0"/>
              <w:snapToGrid w:val="0"/>
              <w:jc w:val="center"/>
              <w:rPr>
                <w:rFonts w:hint="eastAsia"/>
                <w:color w:val="000000"/>
                <w:sz w:val="21"/>
                <w:szCs w:val="21"/>
              </w:rPr>
            </w:pPr>
          </w:p>
        </w:tc>
      </w:tr>
      <w:tr w14:paraId="223A82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FF0A5BD">
            <w:pPr>
              <w:adjustRightInd w:val="0"/>
              <w:snapToGrid w:val="0"/>
              <w:jc w:val="center"/>
              <w:rPr>
                <w:rFonts w:hint="eastAsia"/>
                <w:sz w:val="21"/>
                <w:szCs w:val="21"/>
              </w:rPr>
            </w:pPr>
          </w:p>
        </w:tc>
        <w:tc>
          <w:tcPr>
            <w:tcW w:w="1771" w:type="pct"/>
            <w:vAlign w:val="center"/>
          </w:tcPr>
          <w:p w14:paraId="0E131EA0">
            <w:pPr>
              <w:rPr>
                <w:rFonts w:hint="eastAsia"/>
                <w:sz w:val="21"/>
                <w:szCs w:val="21"/>
              </w:rPr>
            </w:pPr>
            <w:r>
              <w:rPr>
                <w:sz w:val="21"/>
                <w:szCs w:val="21"/>
              </w:rPr>
              <w:t>5</w:t>
            </w:r>
            <w:r>
              <w:rPr>
                <w:rFonts w:hint="eastAsia"/>
                <w:sz w:val="21"/>
                <w:szCs w:val="21"/>
              </w:rPr>
              <w:t>在资源节约、环境保护、生态融合等方面亮点突出，社会满意度较高。</w:t>
            </w:r>
            <w:r>
              <w:rPr>
                <w:sz w:val="21"/>
                <w:szCs w:val="21"/>
              </w:rPr>
              <w:t xml:space="preserve"> </w:t>
            </w:r>
          </w:p>
        </w:tc>
        <w:tc>
          <w:tcPr>
            <w:tcW w:w="1892" w:type="pct"/>
            <w:vMerge w:val="continue"/>
            <w:vAlign w:val="center"/>
          </w:tcPr>
          <w:p w14:paraId="0E8AA73C">
            <w:pPr>
              <w:adjustRightInd w:val="0"/>
              <w:snapToGrid w:val="0"/>
              <w:rPr>
                <w:rFonts w:hint="eastAsia"/>
                <w:sz w:val="21"/>
                <w:szCs w:val="21"/>
              </w:rPr>
            </w:pPr>
          </w:p>
        </w:tc>
        <w:tc>
          <w:tcPr>
            <w:tcW w:w="484" w:type="pct"/>
            <w:vAlign w:val="center"/>
          </w:tcPr>
          <w:p w14:paraId="783E6ABB">
            <w:pPr>
              <w:adjustRightInd w:val="0"/>
              <w:snapToGrid w:val="0"/>
              <w:jc w:val="center"/>
              <w:rPr>
                <w:rFonts w:hint="eastAsia"/>
                <w:color w:val="000000"/>
                <w:sz w:val="21"/>
                <w:szCs w:val="21"/>
              </w:rPr>
            </w:pPr>
            <w:r>
              <w:rPr>
                <w:sz w:val="21"/>
                <w:szCs w:val="21"/>
              </w:rPr>
              <w:t>3</w:t>
            </w:r>
          </w:p>
        </w:tc>
        <w:tc>
          <w:tcPr>
            <w:tcW w:w="488" w:type="pct"/>
            <w:vAlign w:val="center"/>
          </w:tcPr>
          <w:p w14:paraId="0D918225">
            <w:pPr>
              <w:adjustRightInd w:val="0"/>
              <w:snapToGrid w:val="0"/>
              <w:jc w:val="center"/>
              <w:rPr>
                <w:rFonts w:hint="eastAsia"/>
                <w:color w:val="000000"/>
                <w:sz w:val="21"/>
                <w:szCs w:val="21"/>
              </w:rPr>
            </w:pPr>
          </w:p>
        </w:tc>
      </w:tr>
      <w:tr w14:paraId="1291DB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9B90FF9">
            <w:pPr>
              <w:adjustRightInd w:val="0"/>
              <w:snapToGrid w:val="0"/>
              <w:jc w:val="center"/>
              <w:rPr>
                <w:rFonts w:hint="eastAsia"/>
                <w:sz w:val="21"/>
                <w:szCs w:val="21"/>
              </w:rPr>
            </w:pPr>
          </w:p>
        </w:tc>
        <w:tc>
          <w:tcPr>
            <w:tcW w:w="1771" w:type="pct"/>
            <w:vAlign w:val="center"/>
          </w:tcPr>
          <w:p w14:paraId="0BA695F5">
            <w:pPr>
              <w:rPr>
                <w:rFonts w:hint="eastAsia"/>
                <w:sz w:val="21"/>
                <w:szCs w:val="21"/>
              </w:rPr>
            </w:pPr>
            <w:r>
              <w:rPr>
                <w:sz w:val="21"/>
                <w:szCs w:val="21"/>
              </w:rPr>
              <w:t>6</w:t>
            </w:r>
            <w:r>
              <w:rPr>
                <w:rFonts w:hint="eastAsia"/>
                <w:sz w:val="21"/>
                <w:szCs w:val="21"/>
              </w:rPr>
              <w:t>工程建设推动行业管理升级和技术进步。</w:t>
            </w:r>
          </w:p>
        </w:tc>
        <w:tc>
          <w:tcPr>
            <w:tcW w:w="1892" w:type="pct"/>
            <w:vMerge w:val="continue"/>
            <w:vAlign w:val="center"/>
          </w:tcPr>
          <w:p w14:paraId="10D38AF5">
            <w:pPr>
              <w:adjustRightInd w:val="0"/>
              <w:snapToGrid w:val="0"/>
              <w:rPr>
                <w:rFonts w:hint="eastAsia"/>
                <w:sz w:val="21"/>
                <w:szCs w:val="21"/>
              </w:rPr>
            </w:pPr>
          </w:p>
        </w:tc>
        <w:tc>
          <w:tcPr>
            <w:tcW w:w="484" w:type="pct"/>
            <w:vAlign w:val="center"/>
          </w:tcPr>
          <w:p w14:paraId="1E86A043">
            <w:pPr>
              <w:adjustRightInd w:val="0"/>
              <w:snapToGrid w:val="0"/>
              <w:jc w:val="center"/>
              <w:rPr>
                <w:rFonts w:hint="eastAsia"/>
                <w:color w:val="000000"/>
                <w:sz w:val="21"/>
                <w:szCs w:val="21"/>
              </w:rPr>
            </w:pPr>
            <w:r>
              <w:rPr>
                <w:sz w:val="21"/>
                <w:szCs w:val="21"/>
              </w:rPr>
              <w:t>3</w:t>
            </w:r>
          </w:p>
        </w:tc>
        <w:tc>
          <w:tcPr>
            <w:tcW w:w="488" w:type="pct"/>
            <w:vAlign w:val="center"/>
          </w:tcPr>
          <w:p w14:paraId="2DBEFA37">
            <w:pPr>
              <w:adjustRightInd w:val="0"/>
              <w:snapToGrid w:val="0"/>
              <w:jc w:val="center"/>
              <w:rPr>
                <w:rFonts w:hint="eastAsia"/>
                <w:color w:val="000000"/>
                <w:sz w:val="21"/>
                <w:szCs w:val="21"/>
              </w:rPr>
            </w:pPr>
          </w:p>
        </w:tc>
      </w:tr>
      <w:tr w14:paraId="6AD629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0A1C789">
            <w:pPr>
              <w:adjustRightInd w:val="0"/>
              <w:snapToGrid w:val="0"/>
              <w:jc w:val="center"/>
              <w:rPr>
                <w:rFonts w:hint="eastAsia"/>
                <w:sz w:val="21"/>
                <w:szCs w:val="21"/>
              </w:rPr>
            </w:pPr>
            <w:r>
              <w:rPr>
                <w:rFonts w:hint="eastAsia"/>
                <w:b/>
                <w:bCs/>
                <w:sz w:val="21"/>
                <w:szCs w:val="21"/>
              </w:rPr>
              <w:t>5.</w:t>
            </w:r>
            <w:r>
              <w:rPr>
                <w:b/>
                <w:bCs/>
                <w:sz w:val="21"/>
                <w:szCs w:val="21"/>
              </w:rPr>
              <w:t>2</w:t>
            </w:r>
            <w:r>
              <w:rPr>
                <w:rFonts w:hint="eastAsia"/>
                <w:b/>
                <w:bCs/>
                <w:sz w:val="21"/>
                <w:szCs w:val="21"/>
              </w:rPr>
              <w:t>.5</w:t>
            </w:r>
          </w:p>
        </w:tc>
        <w:tc>
          <w:tcPr>
            <w:tcW w:w="1771" w:type="pct"/>
            <w:vAlign w:val="center"/>
          </w:tcPr>
          <w:p w14:paraId="59709588">
            <w:pPr>
              <w:rPr>
                <w:rFonts w:hint="eastAsia"/>
                <w:sz w:val="21"/>
                <w:szCs w:val="21"/>
              </w:rPr>
            </w:pPr>
            <w:r>
              <w:rPr>
                <w:rFonts w:hint="eastAsia"/>
                <w:b/>
                <w:bCs/>
                <w:sz w:val="21"/>
                <w:szCs w:val="21"/>
              </w:rPr>
              <w:t>科技创新</w:t>
            </w:r>
          </w:p>
        </w:tc>
        <w:tc>
          <w:tcPr>
            <w:tcW w:w="1892" w:type="pct"/>
            <w:vAlign w:val="center"/>
          </w:tcPr>
          <w:p w14:paraId="4F25562D">
            <w:pPr>
              <w:adjustRightInd w:val="0"/>
              <w:snapToGrid w:val="0"/>
              <w:rPr>
                <w:rFonts w:hint="eastAsia"/>
                <w:sz w:val="21"/>
                <w:szCs w:val="21"/>
              </w:rPr>
            </w:pPr>
          </w:p>
        </w:tc>
        <w:tc>
          <w:tcPr>
            <w:tcW w:w="484" w:type="pct"/>
            <w:vAlign w:val="center"/>
          </w:tcPr>
          <w:p w14:paraId="6667E47F">
            <w:pPr>
              <w:adjustRightInd w:val="0"/>
              <w:snapToGrid w:val="0"/>
              <w:jc w:val="center"/>
              <w:rPr>
                <w:rFonts w:hint="eastAsia"/>
                <w:color w:val="000000"/>
                <w:sz w:val="21"/>
                <w:szCs w:val="21"/>
              </w:rPr>
            </w:pPr>
            <w:r>
              <w:rPr>
                <w:rFonts w:hint="eastAsia"/>
                <w:color w:val="000000"/>
                <w:sz w:val="21"/>
                <w:szCs w:val="21"/>
              </w:rPr>
              <w:t>20</w:t>
            </w:r>
          </w:p>
        </w:tc>
        <w:tc>
          <w:tcPr>
            <w:tcW w:w="488" w:type="pct"/>
            <w:vAlign w:val="center"/>
          </w:tcPr>
          <w:p w14:paraId="3AB5C869">
            <w:pPr>
              <w:adjustRightInd w:val="0"/>
              <w:snapToGrid w:val="0"/>
              <w:jc w:val="center"/>
              <w:rPr>
                <w:rFonts w:hint="eastAsia"/>
                <w:color w:val="000000"/>
                <w:sz w:val="21"/>
                <w:szCs w:val="21"/>
              </w:rPr>
            </w:pPr>
          </w:p>
        </w:tc>
      </w:tr>
      <w:tr w14:paraId="25C430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509C144">
            <w:pPr>
              <w:adjustRightInd w:val="0"/>
              <w:snapToGrid w:val="0"/>
              <w:jc w:val="center"/>
              <w:rPr>
                <w:rFonts w:hint="eastAsia"/>
                <w:sz w:val="21"/>
                <w:szCs w:val="21"/>
              </w:rPr>
            </w:pPr>
          </w:p>
        </w:tc>
        <w:tc>
          <w:tcPr>
            <w:tcW w:w="1771" w:type="pct"/>
            <w:vAlign w:val="center"/>
          </w:tcPr>
          <w:p w14:paraId="52482B70">
            <w:pPr>
              <w:rPr>
                <w:rFonts w:hint="eastAsia"/>
                <w:sz w:val="21"/>
                <w:szCs w:val="21"/>
              </w:rPr>
            </w:pPr>
            <w:r>
              <w:rPr>
                <w:sz w:val="21"/>
                <w:szCs w:val="21"/>
              </w:rPr>
              <w:t xml:space="preserve">1 </w:t>
            </w:r>
            <w:r>
              <w:rPr>
                <w:rFonts w:hint="eastAsia"/>
                <w:sz w:val="21"/>
                <w:szCs w:val="21"/>
              </w:rPr>
              <w:t>理念创新、体现人与自然和谐共生的可持续发展理念。</w:t>
            </w:r>
            <w:r>
              <w:rPr>
                <w:sz w:val="21"/>
                <w:szCs w:val="21"/>
              </w:rPr>
              <w:t xml:space="preserve"> </w:t>
            </w:r>
          </w:p>
        </w:tc>
        <w:tc>
          <w:tcPr>
            <w:tcW w:w="1892" w:type="pct"/>
            <w:vMerge w:val="restart"/>
            <w:vAlign w:val="center"/>
          </w:tcPr>
          <w:p w14:paraId="35B74A72">
            <w:pPr>
              <w:adjustRightInd w:val="0"/>
              <w:snapToGrid w:val="0"/>
              <w:jc w:val="center"/>
              <w:rPr>
                <w:rFonts w:hint="eastAsia"/>
                <w:sz w:val="21"/>
                <w:szCs w:val="21"/>
              </w:rPr>
            </w:pPr>
            <w:r>
              <w:rPr>
                <w:rFonts w:hint="eastAsia"/>
                <w:sz w:val="21"/>
                <w:szCs w:val="21"/>
              </w:rPr>
              <w:t>每项子目实得分根据实际情况按照标准分乘以相应系数进行评分：</w:t>
            </w:r>
          </w:p>
          <w:p w14:paraId="53AFBA53">
            <w:pPr>
              <w:adjustRightInd w:val="0"/>
              <w:snapToGrid w:val="0"/>
              <w:jc w:val="center"/>
              <w:rPr>
                <w:rFonts w:hint="eastAsia"/>
                <w:sz w:val="21"/>
                <w:szCs w:val="21"/>
              </w:rPr>
            </w:pPr>
            <w:r>
              <w:rPr>
                <w:rFonts w:hint="eastAsia"/>
                <w:sz w:val="21"/>
                <w:szCs w:val="21"/>
              </w:rPr>
              <w:t>1、设计指标满足评价内容要求，系数为1；</w:t>
            </w:r>
          </w:p>
          <w:p w14:paraId="178BE3DD">
            <w:pPr>
              <w:adjustRightInd w:val="0"/>
              <w:snapToGrid w:val="0"/>
              <w:jc w:val="center"/>
              <w:rPr>
                <w:rFonts w:hint="eastAsia"/>
                <w:sz w:val="21"/>
                <w:szCs w:val="21"/>
              </w:rPr>
            </w:pPr>
            <w:r>
              <w:rPr>
                <w:rFonts w:hint="eastAsia"/>
                <w:sz w:val="21"/>
                <w:szCs w:val="21"/>
              </w:rPr>
              <w:t>2、设计指标基本满足评价内容要求，系数按照0.5~0.9酌情选取；</w:t>
            </w:r>
          </w:p>
          <w:p w14:paraId="6CB1435D">
            <w:pPr>
              <w:adjustRightInd w:val="0"/>
              <w:snapToGrid w:val="0"/>
              <w:rPr>
                <w:rFonts w:hint="eastAsia"/>
                <w:sz w:val="21"/>
                <w:szCs w:val="21"/>
              </w:rPr>
            </w:pPr>
            <w:r>
              <w:rPr>
                <w:rFonts w:hint="eastAsia"/>
                <w:sz w:val="21"/>
                <w:szCs w:val="21"/>
              </w:rPr>
              <w:t>3、设计指标不满足评价内容要求，得0分。</w:t>
            </w:r>
          </w:p>
        </w:tc>
        <w:tc>
          <w:tcPr>
            <w:tcW w:w="484" w:type="pct"/>
            <w:vAlign w:val="center"/>
          </w:tcPr>
          <w:p w14:paraId="67723BD2">
            <w:pPr>
              <w:adjustRightInd w:val="0"/>
              <w:snapToGrid w:val="0"/>
              <w:jc w:val="center"/>
              <w:rPr>
                <w:rFonts w:hint="eastAsia"/>
                <w:color w:val="000000"/>
                <w:sz w:val="21"/>
                <w:szCs w:val="21"/>
              </w:rPr>
            </w:pPr>
            <w:r>
              <w:rPr>
                <w:sz w:val="21"/>
                <w:szCs w:val="21"/>
              </w:rPr>
              <w:t>6</w:t>
            </w:r>
          </w:p>
        </w:tc>
        <w:tc>
          <w:tcPr>
            <w:tcW w:w="488" w:type="pct"/>
            <w:vAlign w:val="center"/>
          </w:tcPr>
          <w:p w14:paraId="246DDD01">
            <w:pPr>
              <w:adjustRightInd w:val="0"/>
              <w:snapToGrid w:val="0"/>
              <w:jc w:val="center"/>
              <w:rPr>
                <w:rFonts w:hint="eastAsia"/>
                <w:color w:val="000000"/>
                <w:sz w:val="21"/>
                <w:szCs w:val="21"/>
              </w:rPr>
            </w:pPr>
          </w:p>
        </w:tc>
      </w:tr>
      <w:tr w14:paraId="5908D2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2876C1C">
            <w:pPr>
              <w:adjustRightInd w:val="0"/>
              <w:snapToGrid w:val="0"/>
              <w:jc w:val="center"/>
              <w:rPr>
                <w:rFonts w:hint="eastAsia"/>
                <w:sz w:val="21"/>
                <w:szCs w:val="21"/>
              </w:rPr>
            </w:pPr>
          </w:p>
          <w:p w14:paraId="504B54AC">
            <w:pPr>
              <w:adjustRightInd w:val="0"/>
              <w:snapToGrid w:val="0"/>
              <w:jc w:val="center"/>
              <w:rPr>
                <w:rFonts w:hint="eastAsia"/>
                <w:sz w:val="21"/>
                <w:szCs w:val="21"/>
              </w:rPr>
            </w:pPr>
          </w:p>
        </w:tc>
        <w:tc>
          <w:tcPr>
            <w:tcW w:w="1771" w:type="pct"/>
            <w:vAlign w:val="center"/>
          </w:tcPr>
          <w:p w14:paraId="74FC36E7">
            <w:pPr>
              <w:rPr>
                <w:rFonts w:hint="eastAsia"/>
                <w:sz w:val="21"/>
                <w:szCs w:val="21"/>
              </w:rPr>
            </w:pPr>
            <w:r>
              <w:rPr>
                <w:sz w:val="21"/>
                <w:szCs w:val="21"/>
              </w:rPr>
              <w:t xml:space="preserve">2 </w:t>
            </w:r>
            <w:r>
              <w:rPr>
                <w:rFonts w:hint="eastAsia"/>
                <w:sz w:val="21"/>
                <w:szCs w:val="21"/>
              </w:rPr>
              <w:t>技术创新，设计过程中自主研发新技术、新工艺、新流程、新材料、新装备、新产品等，有效促进工程绿色建造。</w:t>
            </w:r>
          </w:p>
        </w:tc>
        <w:tc>
          <w:tcPr>
            <w:tcW w:w="1892" w:type="pct"/>
            <w:vMerge w:val="continue"/>
            <w:vAlign w:val="center"/>
          </w:tcPr>
          <w:p w14:paraId="0AD335C1">
            <w:pPr>
              <w:adjustRightInd w:val="0"/>
              <w:snapToGrid w:val="0"/>
              <w:rPr>
                <w:rFonts w:hint="eastAsia"/>
                <w:sz w:val="21"/>
                <w:szCs w:val="21"/>
              </w:rPr>
            </w:pPr>
          </w:p>
        </w:tc>
        <w:tc>
          <w:tcPr>
            <w:tcW w:w="484" w:type="pct"/>
            <w:vAlign w:val="center"/>
          </w:tcPr>
          <w:p w14:paraId="63C1EE13">
            <w:pPr>
              <w:adjustRightInd w:val="0"/>
              <w:snapToGrid w:val="0"/>
              <w:jc w:val="center"/>
              <w:rPr>
                <w:rFonts w:hint="eastAsia"/>
                <w:color w:val="000000"/>
                <w:sz w:val="21"/>
                <w:szCs w:val="21"/>
              </w:rPr>
            </w:pPr>
            <w:r>
              <w:rPr>
                <w:sz w:val="21"/>
                <w:szCs w:val="21"/>
              </w:rPr>
              <w:t>7</w:t>
            </w:r>
          </w:p>
        </w:tc>
        <w:tc>
          <w:tcPr>
            <w:tcW w:w="488" w:type="pct"/>
            <w:vAlign w:val="center"/>
          </w:tcPr>
          <w:p w14:paraId="21D73B40">
            <w:pPr>
              <w:adjustRightInd w:val="0"/>
              <w:snapToGrid w:val="0"/>
              <w:jc w:val="center"/>
              <w:rPr>
                <w:rFonts w:hint="eastAsia"/>
                <w:color w:val="000000"/>
                <w:sz w:val="21"/>
                <w:szCs w:val="21"/>
              </w:rPr>
            </w:pPr>
          </w:p>
        </w:tc>
      </w:tr>
      <w:tr w14:paraId="3F4BDE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289FB0C">
            <w:pPr>
              <w:adjustRightInd w:val="0"/>
              <w:snapToGrid w:val="0"/>
              <w:jc w:val="center"/>
              <w:rPr>
                <w:rFonts w:hint="eastAsia"/>
                <w:sz w:val="21"/>
                <w:szCs w:val="21"/>
              </w:rPr>
            </w:pPr>
          </w:p>
        </w:tc>
        <w:tc>
          <w:tcPr>
            <w:tcW w:w="1771" w:type="pct"/>
            <w:vAlign w:val="center"/>
          </w:tcPr>
          <w:p w14:paraId="4270D965">
            <w:pPr>
              <w:rPr>
                <w:rFonts w:hint="eastAsia"/>
                <w:sz w:val="21"/>
                <w:szCs w:val="21"/>
              </w:rPr>
            </w:pPr>
            <w:r>
              <w:rPr>
                <w:sz w:val="21"/>
                <w:szCs w:val="21"/>
              </w:rPr>
              <w:t>3</w:t>
            </w:r>
            <w:r>
              <w:rPr>
                <w:rFonts w:hint="eastAsia"/>
                <w:sz w:val="21"/>
                <w:szCs w:val="21"/>
              </w:rPr>
              <w:t>依托本工程在绿色设计方面取得的创新成果（课题、专利、专有技术、奖项、竞赛活动成果、国家示范试点、参编标准、期刊论文等），处于国内领先水平。</w:t>
            </w:r>
          </w:p>
        </w:tc>
        <w:tc>
          <w:tcPr>
            <w:tcW w:w="1892" w:type="pct"/>
            <w:vMerge w:val="continue"/>
            <w:vAlign w:val="center"/>
          </w:tcPr>
          <w:p w14:paraId="7E50CFF4">
            <w:pPr>
              <w:adjustRightInd w:val="0"/>
              <w:snapToGrid w:val="0"/>
              <w:rPr>
                <w:rFonts w:hint="eastAsia"/>
                <w:sz w:val="21"/>
                <w:szCs w:val="21"/>
              </w:rPr>
            </w:pPr>
          </w:p>
        </w:tc>
        <w:tc>
          <w:tcPr>
            <w:tcW w:w="484" w:type="pct"/>
            <w:vAlign w:val="center"/>
          </w:tcPr>
          <w:p w14:paraId="7D46C2CA">
            <w:pPr>
              <w:adjustRightInd w:val="0"/>
              <w:snapToGrid w:val="0"/>
              <w:jc w:val="center"/>
              <w:rPr>
                <w:rFonts w:hint="eastAsia"/>
                <w:color w:val="000000"/>
                <w:sz w:val="21"/>
                <w:szCs w:val="21"/>
              </w:rPr>
            </w:pPr>
            <w:r>
              <w:rPr>
                <w:sz w:val="21"/>
                <w:szCs w:val="21"/>
              </w:rPr>
              <w:t>7</w:t>
            </w:r>
          </w:p>
        </w:tc>
        <w:tc>
          <w:tcPr>
            <w:tcW w:w="488" w:type="pct"/>
            <w:vAlign w:val="center"/>
          </w:tcPr>
          <w:p w14:paraId="1EABC907">
            <w:pPr>
              <w:adjustRightInd w:val="0"/>
              <w:snapToGrid w:val="0"/>
              <w:jc w:val="center"/>
              <w:rPr>
                <w:rFonts w:hint="eastAsia"/>
                <w:color w:val="000000"/>
                <w:sz w:val="21"/>
                <w:szCs w:val="21"/>
              </w:rPr>
            </w:pPr>
          </w:p>
        </w:tc>
      </w:tr>
      <w:tr w14:paraId="1BF20B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CB4B5BD">
            <w:pPr>
              <w:jc w:val="center"/>
              <w:rPr>
                <w:rFonts w:hint="eastAsia"/>
                <w:sz w:val="21"/>
                <w:szCs w:val="21"/>
              </w:rPr>
            </w:pPr>
            <w:r>
              <w:rPr>
                <w:rFonts w:hint="eastAsia"/>
                <w:b/>
                <w:bCs/>
                <w:sz w:val="21"/>
                <w:szCs w:val="21"/>
              </w:rPr>
              <w:t>5.</w:t>
            </w:r>
            <w:r>
              <w:rPr>
                <w:b/>
                <w:bCs/>
                <w:sz w:val="21"/>
                <w:szCs w:val="21"/>
              </w:rPr>
              <w:t>3</w:t>
            </w:r>
          </w:p>
        </w:tc>
        <w:tc>
          <w:tcPr>
            <w:tcW w:w="1771" w:type="pct"/>
            <w:vAlign w:val="center"/>
          </w:tcPr>
          <w:p w14:paraId="1BAD0CF9">
            <w:pPr>
              <w:rPr>
                <w:rFonts w:hint="eastAsia"/>
                <w:sz w:val="21"/>
                <w:szCs w:val="21"/>
              </w:rPr>
            </w:pPr>
            <w:r>
              <w:rPr>
                <w:rFonts w:hint="eastAsia"/>
                <w:b/>
                <w:bCs/>
                <w:sz w:val="21"/>
                <w:szCs w:val="21"/>
              </w:rPr>
              <w:t>风力发电工程</w:t>
            </w:r>
          </w:p>
        </w:tc>
        <w:tc>
          <w:tcPr>
            <w:tcW w:w="1892" w:type="pct"/>
            <w:vAlign w:val="center"/>
          </w:tcPr>
          <w:p w14:paraId="58D762DB">
            <w:pPr>
              <w:textAlignment w:val="center"/>
              <w:rPr>
                <w:rFonts w:hint="eastAsia"/>
                <w:color w:val="000000"/>
                <w:sz w:val="21"/>
                <w:szCs w:val="21"/>
              </w:rPr>
            </w:pPr>
          </w:p>
        </w:tc>
        <w:tc>
          <w:tcPr>
            <w:tcW w:w="484" w:type="pct"/>
            <w:vAlign w:val="center"/>
          </w:tcPr>
          <w:p w14:paraId="59F84073">
            <w:pPr>
              <w:adjustRightInd w:val="0"/>
              <w:snapToGrid w:val="0"/>
              <w:jc w:val="center"/>
              <w:rPr>
                <w:rFonts w:hint="eastAsia"/>
                <w:color w:val="000000"/>
                <w:sz w:val="21"/>
                <w:szCs w:val="21"/>
              </w:rPr>
            </w:pPr>
          </w:p>
        </w:tc>
        <w:tc>
          <w:tcPr>
            <w:tcW w:w="488" w:type="pct"/>
            <w:vAlign w:val="center"/>
          </w:tcPr>
          <w:p w14:paraId="23CD7444">
            <w:pPr>
              <w:adjustRightInd w:val="0"/>
              <w:snapToGrid w:val="0"/>
              <w:jc w:val="center"/>
              <w:rPr>
                <w:rFonts w:hint="eastAsia"/>
                <w:color w:val="000000"/>
                <w:sz w:val="21"/>
                <w:szCs w:val="21"/>
              </w:rPr>
            </w:pPr>
          </w:p>
        </w:tc>
      </w:tr>
      <w:tr w14:paraId="303F3A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FA39936">
            <w:pPr>
              <w:jc w:val="center"/>
              <w:rPr>
                <w:rFonts w:hint="eastAsia"/>
                <w:sz w:val="21"/>
                <w:szCs w:val="21"/>
              </w:rPr>
            </w:pPr>
            <w:r>
              <w:rPr>
                <w:b/>
                <w:bCs/>
                <w:sz w:val="21"/>
                <w:szCs w:val="21"/>
              </w:rPr>
              <w:t>5.</w:t>
            </w:r>
            <w:r>
              <w:rPr>
                <w:rFonts w:hint="eastAsia"/>
                <w:b/>
                <w:bCs/>
                <w:sz w:val="21"/>
                <w:szCs w:val="21"/>
              </w:rPr>
              <w:t>3</w:t>
            </w:r>
            <w:r>
              <w:rPr>
                <w:b/>
                <w:bCs/>
                <w:sz w:val="21"/>
                <w:szCs w:val="21"/>
              </w:rPr>
              <w:t>.1</w:t>
            </w:r>
          </w:p>
        </w:tc>
        <w:tc>
          <w:tcPr>
            <w:tcW w:w="1771" w:type="pct"/>
            <w:vAlign w:val="center"/>
          </w:tcPr>
          <w:p w14:paraId="32397A9E">
            <w:pPr>
              <w:rPr>
                <w:rFonts w:hint="eastAsia"/>
                <w:sz w:val="21"/>
                <w:szCs w:val="21"/>
              </w:rPr>
            </w:pPr>
            <w:r>
              <w:rPr>
                <w:rFonts w:hint="eastAsia"/>
                <w:b/>
                <w:bCs/>
                <w:sz w:val="21"/>
                <w:szCs w:val="21"/>
              </w:rPr>
              <w:t>技术先进</w:t>
            </w:r>
          </w:p>
        </w:tc>
        <w:tc>
          <w:tcPr>
            <w:tcW w:w="1892" w:type="pct"/>
            <w:vAlign w:val="center"/>
          </w:tcPr>
          <w:p w14:paraId="6221DC9C">
            <w:pPr>
              <w:textAlignment w:val="center"/>
              <w:rPr>
                <w:rFonts w:hint="eastAsia"/>
                <w:color w:val="000000"/>
                <w:sz w:val="21"/>
                <w:szCs w:val="21"/>
              </w:rPr>
            </w:pPr>
          </w:p>
        </w:tc>
        <w:tc>
          <w:tcPr>
            <w:tcW w:w="484" w:type="pct"/>
            <w:vAlign w:val="center"/>
          </w:tcPr>
          <w:p w14:paraId="48192503">
            <w:pPr>
              <w:adjustRightInd w:val="0"/>
              <w:snapToGrid w:val="0"/>
              <w:jc w:val="center"/>
              <w:rPr>
                <w:rFonts w:hint="eastAsia"/>
                <w:color w:val="000000"/>
                <w:sz w:val="21"/>
                <w:szCs w:val="21"/>
              </w:rPr>
            </w:pPr>
            <w:r>
              <w:rPr>
                <w:rFonts w:hint="eastAsia"/>
                <w:color w:val="000000"/>
                <w:sz w:val="21"/>
                <w:szCs w:val="21"/>
              </w:rPr>
              <w:t>30</w:t>
            </w:r>
          </w:p>
        </w:tc>
        <w:tc>
          <w:tcPr>
            <w:tcW w:w="488" w:type="pct"/>
            <w:vAlign w:val="center"/>
          </w:tcPr>
          <w:p w14:paraId="07ADC3DA">
            <w:pPr>
              <w:adjustRightInd w:val="0"/>
              <w:snapToGrid w:val="0"/>
              <w:jc w:val="center"/>
              <w:rPr>
                <w:rFonts w:hint="eastAsia"/>
                <w:color w:val="000000"/>
                <w:sz w:val="21"/>
                <w:szCs w:val="21"/>
              </w:rPr>
            </w:pPr>
          </w:p>
        </w:tc>
      </w:tr>
      <w:tr w14:paraId="343064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4C4101B">
            <w:pPr>
              <w:jc w:val="center"/>
              <w:rPr>
                <w:rFonts w:hint="eastAsia"/>
                <w:sz w:val="21"/>
                <w:szCs w:val="21"/>
              </w:rPr>
            </w:pPr>
            <w:r>
              <w:rPr>
                <w:sz w:val="21"/>
                <w:szCs w:val="21"/>
              </w:rPr>
              <w:t>1</w:t>
            </w:r>
          </w:p>
        </w:tc>
        <w:tc>
          <w:tcPr>
            <w:tcW w:w="1771" w:type="pct"/>
            <w:vAlign w:val="center"/>
          </w:tcPr>
          <w:p w14:paraId="70AAA144">
            <w:pPr>
              <w:rPr>
                <w:rFonts w:hint="eastAsia"/>
                <w:sz w:val="21"/>
                <w:szCs w:val="21"/>
              </w:rPr>
            </w:pPr>
            <w:r>
              <w:rPr>
                <w:rFonts w:hint="eastAsia"/>
                <w:sz w:val="21"/>
                <w:szCs w:val="21"/>
              </w:rPr>
              <w:t>风力发电机组微观选址合理，无限制性因素，尾流影响小，风能利用率高。</w:t>
            </w:r>
          </w:p>
        </w:tc>
        <w:tc>
          <w:tcPr>
            <w:tcW w:w="1892" w:type="pct"/>
            <w:vAlign w:val="center"/>
          </w:tcPr>
          <w:p w14:paraId="5CF99627">
            <w:pPr>
              <w:textAlignment w:val="center"/>
              <w:rPr>
                <w:rFonts w:hint="eastAsia"/>
                <w:color w:val="000000"/>
                <w:sz w:val="21"/>
                <w:szCs w:val="21"/>
              </w:rPr>
            </w:pPr>
            <w:r>
              <w:rPr>
                <w:rFonts w:hint="eastAsia"/>
                <w:color w:val="000000"/>
                <w:sz w:val="21"/>
                <w:szCs w:val="21"/>
              </w:rPr>
              <w:t>风机布置无限制性因素、风机布置合理、尾流合理、发电量高（各1分）</w:t>
            </w:r>
          </w:p>
        </w:tc>
        <w:tc>
          <w:tcPr>
            <w:tcW w:w="484" w:type="pct"/>
            <w:vAlign w:val="center"/>
          </w:tcPr>
          <w:p w14:paraId="6E023819">
            <w:pPr>
              <w:adjustRightInd w:val="0"/>
              <w:snapToGrid w:val="0"/>
              <w:jc w:val="center"/>
              <w:rPr>
                <w:rFonts w:hint="eastAsia"/>
                <w:color w:val="000000"/>
                <w:sz w:val="21"/>
                <w:szCs w:val="21"/>
              </w:rPr>
            </w:pPr>
            <w:r>
              <w:rPr>
                <w:rFonts w:hint="eastAsia" w:cs="仿宋"/>
                <w:color w:val="000000"/>
                <w:kern w:val="0"/>
                <w:sz w:val="21"/>
                <w:szCs w:val="21"/>
                <w:lang w:bidi="ar"/>
              </w:rPr>
              <w:t>4</w:t>
            </w:r>
          </w:p>
        </w:tc>
        <w:tc>
          <w:tcPr>
            <w:tcW w:w="488" w:type="pct"/>
            <w:vAlign w:val="center"/>
          </w:tcPr>
          <w:p w14:paraId="662F006E">
            <w:pPr>
              <w:adjustRightInd w:val="0"/>
              <w:snapToGrid w:val="0"/>
              <w:jc w:val="center"/>
              <w:rPr>
                <w:rFonts w:hint="eastAsia"/>
                <w:color w:val="000000"/>
                <w:sz w:val="21"/>
                <w:szCs w:val="21"/>
              </w:rPr>
            </w:pPr>
          </w:p>
        </w:tc>
      </w:tr>
      <w:tr w14:paraId="21F918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F975148">
            <w:pPr>
              <w:jc w:val="center"/>
              <w:rPr>
                <w:rFonts w:hint="eastAsia"/>
                <w:sz w:val="21"/>
                <w:szCs w:val="21"/>
              </w:rPr>
            </w:pPr>
            <w:r>
              <w:rPr>
                <w:sz w:val="21"/>
                <w:szCs w:val="21"/>
              </w:rPr>
              <w:t>2</w:t>
            </w:r>
          </w:p>
        </w:tc>
        <w:tc>
          <w:tcPr>
            <w:tcW w:w="1771" w:type="pct"/>
            <w:vAlign w:val="center"/>
          </w:tcPr>
          <w:p w14:paraId="2B15FDF7">
            <w:pPr>
              <w:rPr>
                <w:rFonts w:hint="eastAsia"/>
                <w:sz w:val="21"/>
                <w:szCs w:val="21"/>
              </w:rPr>
            </w:pPr>
            <w:r>
              <w:rPr>
                <w:rFonts w:hint="eastAsia"/>
                <w:sz w:val="21"/>
                <w:szCs w:val="21"/>
              </w:rPr>
              <w:t>根据风资源条件和设备制造水平，选用先进、高效率的风力发电机组。</w:t>
            </w:r>
          </w:p>
        </w:tc>
        <w:tc>
          <w:tcPr>
            <w:tcW w:w="1892" w:type="pct"/>
            <w:vAlign w:val="center"/>
          </w:tcPr>
          <w:p w14:paraId="05BCB929">
            <w:pPr>
              <w:textAlignment w:val="center"/>
              <w:rPr>
                <w:rFonts w:hint="eastAsia"/>
                <w:color w:val="000000"/>
                <w:sz w:val="21"/>
                <w:szCs w:val="21"/>
              </w:rPr>
            </w:pPr>
            <w:r>
              <w:rPr>
                <w:rFonts w:hint="eastAsia"/>
                <w:color w:val="000000"/>
                <w:sz w:val="21"/>
                <w:szCs w:val="21"/>
              </w:rPr>
              <w:t>根据项目最大风速和湍流强度机型选择合理，发电量高</w:t>
            </w:r>
          </w:p>
        </w:tc>
        <w:tc>
          <w:tcPr>
            <w:tcW w:w="484" w:type="pct"/>
            <w:vAlign w:val="center"/>
          </w:tcPr>
          <w:p w14:paraId="341817DC">
            <w:pPr>
              <w:adjustRightInd w:val="0"/>
              <w:snapToGrid w:val="0"/>
              <w:jc w:val="center"/>
              <w:rPr>
                <w:rFonts w:hint="eastAsia"/>
                <w:color w:val="000000"/>
                <w:sz w:val="21"/>
                <w:szCs w:val="21"/>
              </w:rPr>
            </w:pPr>
            <w:r>
              <w:rPr>
                <w:rFonts w:hint="eastAsia" w:cs="仿宋"/>
                <w:color w:val="000000"/>
                <w:kern w:val="0"/>
                <w:sz w:val="21"/>
                <w:szCs w:val="21"/>
                <w:lang w:bidi="ar"/>
              </w:rPr>
              <w:t>2</w:t>
            </w:r>
          </w:p>
        </w:tc>
        <w:tc>
          <w:tcPr>
            <w:tcW w:w="488" w:type="pct"/>
            <w:vAlign w:val="center"/>
          </w:tcPr>
          <w:p w14:paraId="1B583515">
            <w:pPr>
              <w:adjustRightInd w:val="0"/>
              <w:snapToGrid w:val="0"/>
              <w:jc w:val="center"/>
              <w:rPr>
                <w:rFonts w:hint="eastAsia"/>
                <w:color w:val="000000"/>
                <w:sz w:val="21"/>
                <w:szCs w:val="21"/>
              </w:rPr>
            </w:pPr>
          </w:p>
        </w:tc>
      </w:tr>
      <w:tr w14:paraId="799451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C2092D7">
            <w:pPr>
              <w:jc w:val="center"/>
              <w:rPr>
                <w:rFonts w:hint="eastAsia"/>
                <w:sz w:val="21"/>
                <w:szCs w:val="21"/>
              </w:rPr>
            </w:pPr>
            <w:r>
              <w:rPr>
                <w:sz w:val="21"/>
                <w:szCs w:val="21"/>
              </w:rPr>
              <w:t>3</w:t>
            </w:r>
          </w:p>
        </w:tc>
        <w:tc>
          <w:tcPr>
            <w:tcW w:w="1771" w:type="pct"/>
            <w:vAlign w:val="center"/>
          </w:tcPr>
          <w:p w14:paraId="38AE39EB">
            <w:pPr>
              <w:rPr>
                <w:rFonts w:hint="eastAsia"/>
                <w:sz w:val="21"/>
                <w:szCs w:val="21"/>
              </w:rPr>
            </w:pPr>
            <w:r>
              <w:rPr>
                <w:rFonts w:hint="eastAsia"/>
                <w:sz w:val="21"/>
                <w:szCs w:val="21"/>
              </w:rPr>
              <w:t>主接线、运行方式设计方案安全可靠、技术先进。</w:t>
            </w:r>
          </w:p>
        </w:tc>
        <w:tc>
          <w:tcPr>
            <w:tcW w:w="1892" w:type="pct"/>
            <w:vAlign w:val="center"/>
          </w:tcPr>
          <w:p w14:paraId="0EF0B0EF">
            <w:pPr>
              <w:textAlignment w:val="center"/>
              <w:rPr>
                <w:rFonts w:hint="eastAsia"/>
                <w:color w:val="000000"/>
                <w:sz w:val="21"/>
                <w:szCs w:val="21"/>
              </w:rPr>
            </w:pPr>
            <w:r>
              <w:rPr>
                <w:rFonts w:hint="eastAsia"/>
                <w:sz w:val="21"/>
                <w:szCs w:val="21"/>
              </w:rPr>
              <w:t>主接线、运行方式设计方案安全可靠，积极应用创新技术。</w:t>
            </w:r>
          </w:p>
        </w:tc>
        <w:tc>
          <w:tcPr>
            <w:tcW w:w="484" w:type="pct"/>
            <w:vAlign w:val="center"/>
          </w:tcPr>
          <w:p w14:paraId="42C07C05">
            <w:pPr>
              <w:adjustRightInd w:val="0"/>
              <w:snapToGrid w:val="0"/>
              <w:jc w:val="center"/>
              <w:rPr>
                <w:rFonts w:hint="eastAsia"/>
                <w:color w:val="000000"/>
                <w:sz w:val="21"/>
                <w:szCs w:val="21"/>
              </w:rPr>
            </w:pPr>
            <w:r>
              <w:rPr>
                <w:rFonts w:hint="eastAsia" w:cs="仿宋"/>
                <w:color w:val="000000"/>
                <w:kern w:val="0"/>
                <w:sz w:val="21"/>
                <w:szCs w:val="21"/>
                <w:lang w:bidi="ar"/>
              </w:rPr>
              <w:t>3</w:t>
            </w:r>
          </w:p>
        </w:tc>
        <w:tc>
          <w:tcPr>
            <w:tcW w:w="488" w:type="pct"/>
            <w:vAlign w:val="center"/>
          </w:tcPr>
          <w:p w14:paraId="6D629252">
            <w:pPr>
              <w:adjustRightInd w:val="0"/>
              <w:snapToGrid w:val="0"/>
              <w:jc w:val="center"/>
              <w:rPr>
                <w:rFonts w:hint="eastAsia"/>
                <w:color w:val="000000"/>
                <w:sz w:val="21"/>
                <w:szCs w:val="21"/>
              </w:rPr>
            </w:pPr>
          </w:p>
        </w:tc>
      </w:tr>
      <w:tr w14:paraId="60FB2D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9F6EDFD">
            <w:pPr>
              <w:jc w:val="center"/>
              <w:rPr>
                <w:rFonts w:hint="eastAsia"/>
                <w:sz w:val="21"/>
                <w:szCs w:val="21"/>
              </w:rPr>
            </w:pPr>
            <w:r>
              <w:rPr>
                <w:sz w:val="21"/>
                <w:szCs w:val="21"/>
              </w:rPr>
              <w:t>4</w:t>
            </w:r>
          </w:p>
        </w:tc>
        <w:tc>
          <w:tcPr>
            <w:tcW w:w="1771" w:type="pct"/>
            <w:vAlign w:val="center"/>
          </w:tcPr>
          <w:p w14:paraId="2114E3A5">
            <w:pPr>
              <w:rPr>
                <w:rFonts w:hint="eastAsia"/>
                <w:sz w:val="21"/>
                <w:szCs w:val="21"/>
              </w:rPr>
            </w:pPr>
            <w:r>
              <w:rPr>
                <w:rFonts w:hint="eastAsia"/>
                <w:sz w:val="21"/>
                <w:szCs w:val="21"/>
              </w:rPr>
              <w:t>电气设备选型合理先进，运行可靠，便于施工和维修。</w:t>
            </w:r>
            <w:r>
              <w:rPr>
                <w:sz w:val="21"/>
                <w:szCs w:val="21"/>
              </w:rPr>
              <w:t xml:space="preserve"> </w:t>
            </w:r>
          </w:p>
        </w:tc>
        <w:tc>
          <w:tcPr>
            <w:tcW w:w="1892" w:type="pct"/>
            <w:vAlign w:val="center"/>
          </w:tcPr>
          <w:p w14:paraId="396DF786">
            <w:pPr>
              <w:textAlignment w:val="center"/>
              <w:rPr>
                <w:rFonts w:hint="eastAsia"/>
                <w:color w:val="000000"/>
                <w:sz w:val="21"/>
                <w:szCs w:val="21"/>
              </w:rPr>
            </w:pPr>
            <w:r>
              <w:rPr>
                <w:rFonts w:hint="eastAsia"/>
                <w:color w:val="000000"/>
                <w:sz w:val="21"/>
                <w:szCs w:val="21"/>
              </w:rPr>
              <w:t>电气设备选型满足项目需求，合理先进。</w:t>
            </w:r>
          </w:p>
        </w:tc>
        <w:tc>
          <w:tcPr>
            <w:tcW w:w="484" w:type="pct"/>
            <w:vAlign w:val="center"/>
          </w:tcPr>
          <w:p w14:paraId="4ABDAD91">
            <w:pPr>
              <w:adjustRightInd w:val="0"/>
              <w:snapToGrid w:val="0"/>
              <w:jc w:val="center"/>
              <w:rPr>
                <w:rFonts w:hint="eastAsia"/>
                <w:color w:val="000000"/>
                <w:sz w:val="21"/>
                <w:szCs w:val="21"/>
              </w:rPr>
            </w:pPr>
            <w:r>
              <w:rPr>
                <w:rFonts w:hint="eastAsia" w:cs="仿宋"/>
                <w:color w:val="000000"/>
                <w:kern w:val="0"/>
                <w:sz w:val="21"/>
                <w:szCs w:val="21"/>
                <w:lang w:bidi="ar"/>
              </w:rPr>
              <w:t>2</w:t>
            </w:r>
          </w:p>
        </w:tc>
        <w:tc>
          <w:tcPr>
            <w:tcW w:w="488" w:type="pct"/>
            <w:vAlign w:val="center"/>
          </w:tcPr>
          <w:p w14:paraId="69B85E01">
            <w:pPr>
              <w:adjustRightInd w:val="0"/>
              <w:snapToGrid w:val="0"/>
              <w:jc w:val="center"/>
              <w:rPr>
                <w:rFonts w:hint="eastAsia"/>
                <w:color w:val="000000"/>
                <w:sz w:val="21"/>
                <w:szCs w:val="21"/>
              </w:rPr>
            </w:pPr>
          </w:p>
        </w:tc>
      </w:tr>
      <w:tr w14:paraId="243012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F095E26">
            <w:pPr>
              <w:jc w:val="center"/>
              <w:rPr>
                <w:rFonts w:hint="eastAsia"/>
                <w:sz w:val="21"/>
                <w:szCs w:val="21"/>
              </w:rPr>
            </w:pPr>
            <w:r>
              <w:rPr>
                <w:sz w:val="21"/>
                <w:szCs w:val="21"/>
              </w:rPr>
              <w:t>5</w:t>
            </w:r>
          </w:p>
        </w:tc>
        <w:tc>
          <w:tcPr>
            <w:tcW w:w="1771" w:type="pct"/>
            <w:vAlign w:val="center"/>
          </w:tcPr>
          <w:p w14:paraId="456DA535">
            <w:pPr>
              <w:rPr>
                <w:rFonts w:hint="eastAsia"/>
                <w:sz w:val="21"/>
                <w:szCs w:val="21"/>
              </w:rPr>
            </w:pPr>
            <w:r>
              <w:rPr>
                <w:rFonts w:hint="eastAsia"/>
                <w:sz w:val="21"/>
                <w:szCs w:val="21"/>
              </w:rPr>
              <w:t>风力发电机组基础形式比选充分，选型合理，风电机组基础设计达到同类工程领先水平。</w:t>
            </w:r>
          </w:p>
        </w:tc>
        <w:tc>
          <w:tcPr>
            <w:tcW w:w="1892" w:type="pct"/>
            <w:vAlign w:val="center"/>
          </w:tcPr>
          <w:p w14:paraId="1A67AE15">
            <w:pPr>
              <w:textAlignment w:val="center"/>
              <w:rPr>
                <w:rFonts w:hint="eastAsia"/>
                <w:color w:val="000000"/>
                <w:sz w:val="21"/>
                <w:szCs w:val="21"/>
              </w:rPr>
            </w:pPr>
            <w:r>
              <w:rPr>
                <w:rFonts w:hint="eastAsia"/>
                <w:color w:val="000000"/>
                <w:sz w:val="21"/>
                <w:szCs w:val="21"/>
              </w:rPr>
              <w:t>进行了风机基础的比选，形成相关报告（3分），基础设计水平对比领先（2分）</w:t>
            </w:r>
          </w:p>
        </w:tc>
        <w:tc>
          <w:tcPr>
            <w:tcW w:w="484" w:type="pct"/>
            <w:vAlign w:val="center"/>
          </w:tcPr>
          <w:p w14:paraId="168E2E94">
            <w:pPr>
              <w:adjustRightInd w:val="0"/>
              <w:snapToGrid w:val="0"/>
              <w:jc w:val="center"/>
              <w:rPr>
                <w:rFonts w:hint="eastAsia"/>
                <w:color w:val="000000"/>
                <w:sz w:val="21"/>
                <w:szCs w:val="21"/>
              </w:rPr>
            </w:pPr>
            <w:r>
              <w:rPr>
                <w:rFonts w:hint="eastAsia" w:cs="仿宋"/>
                <w:color w:val="000000"/>
                <w:kern w:val="0"/>
                <w:sz w:val="21"/>
                <w:szCs w:val="21"/>
                <w:lang w:bidi="ar"/>
              </w:rPr>
              <w:t>5</w:t>
            </w:r>
          </w:p>
        </w:tc>
        <w:tc>
          <w:tcPr>
            <w:tcW w:w="488" w:type="pct"/>
            <w:vAlign w:val="center"/>
          </w:tcPr>
          <w:p w14:paraId="679D9A29">
            <w:pPr>
              <w:adjustRightInd w:val="0"/>
              <w:snapToGrid w:val="0"/>
              <w:jc w:val="center"/>
              <w:rPr>
                <w:rFonts w:hint="eastAsia"/>
                <w:color w:val="000000"/>
                <w:sz w:val="21"/>
                <w:szCs w:val="21"/>
              </w:rPr>
            </w:pPr>
          </w:p>
        </w:tc>
      </w:tr>
      <w:tr w14:paraId="77EFEF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335344A">
            <w:pPr>
              <w:jc w:val="center"/>
              <w:rPr>
                <w:rFonts w:hint="eastAsia"/>
                <w:sz w:val="21"/>
                <w:szCs w:val="21"/>
              </w:rPr>
            </w:pPr>
            <w:r>
              <w:rPr>
                <w:sz w:val="21"/>
                <w:szCs w:val="21"/>
              </w:rPr>
              <w:t>6</w:t>
            </w:r>
          </w:p>
        </w:tc>
        <w:tc>
          <w:tcPr>
            <w:tcW w:w="1771" w:type="pct"/>
            <w:vAlign w:val="center"/>
          </w:tcPr>
          <w:p w14:paraId="0B23D7B9">
            <w:pPr>
              <w:rPr>
                <w:rFonts w:hint="eastAsia"/>
                <w:sz w:val="21"/>
                <w:szCs w:val="21"/>
              </w:rPr>
            </w:pPr>
            <w:r>
              <w:rPr>
                <w:rFonts w:hint="eastAsia"/>
                <w:sz w:val="21"/>
                <w:szCs w:val="21"/>
              </w:rPr>
              <w:t>采用智能化风电场设计，借助无线通信、北斗等通讯手段，深度结合监测等多元数据，构建智能化监管体系，实现智慧化基建、无人化运检。</w:t>
            </w:r>
          </w:p>
        </w:tc>
        <w:tc>
          <w:tcPr>
            <w:tcW w:w="1892" w:type="pct"/>
            <w:vAlign w:val="center"/>
          </w:tcPr>
          <w:p w14:paraId="791789B4">
            <w:pPr>
              <w:textAlignment w:val="center"/>
              <w:rPr>
                <w:rFonts w:hint="eastAsia"/>
                <w:color w:val="000000"/>
                <w:sz w:val="21"/>
                <w:szCs w:val="21"/>
              </w:rPr>
            </w:pPr>
            <w:r>
              <w:rPr>
                <w:rFonts w:hint="eastAsia"/>
                <w:color w:val="000000"/>
                <w:sz w:val="21"/>
                <w:szCs w:val="21"/>
              </w:rPr>
              <w:t>采用</w:t>
            </w:r>
            <w:r>
              <w:rPr>
                <w:rFonts w:hint="eastAsia"/>
                <w:sz w:val="21"/>
                <w:szCs w:val="21"/>
              </w:rPr>
              <w:t>无线通信、北斗等通讯手段（1分），利用机器人等实现无人巡检（1分），结构电气设备在线监测（1分），建立智慧基建平台（1分）</w:t>
            </w:r>
          </w:p>
        </w:tc>
        <w:tc>
          <w:tcPr>
            <w:tcW w:w="484" w:type="pct"/>
            <w:vAlign w:val="center"/>
          </w:tcPr>
          <w:p w14:paraId="170AB2C2">
            <w:pPr>
              <w:adjustRightInd w:val="0"/>
              <w:snapToGrid w:val="0"/>
              <w:jc w:val="center"/>
              <w:rPr>
                <w:rFonts w:hint="eastAsia"/>
                <w:color w:val="000000"/>
                <w:sz w:val="21"/>
                <w:szCs w:val="21"/>
              </w:rPr>
            </w:pPr>
            <w:r>
              <w:rPr>
                <w:rFonts w:hint="eastAsia" w:cs="仿宋"/>
                <w:color w:val="000000"/>
                <w:kern w:val="0"/>
                <w:sz w:val="21"/>
                <w:szCs w:val="21"/>
                <w:lang w:bidi="ar"/>
              </w:rPr>
              <w:t>4</w:t>
            </w:r>
          </w:p>
        </w:tc>
        <w:tc>
          <w:tcPr>
            <w:tcW w:w="488" w:type="pct"/>
            <w:vAlign w:val="center"/>
          </w:tcPr>
          <w:p w14:paraId="10787367">
            <w:pPr>
              <w:adjustRightInd w:val="0"/>
              <w:snapToGrid w:val="0"/>
              <w:jc w:val="center"/>
              <w:rPr>
                <w:rFonts w:hint="eastAsia"/>
                <w:color w:val="000000"/>
                <w:sz w:val="21"/>
                <w:szCs w:val="21"/>
              </w:rPr>
            </w:pPr>
          </w:p>
        </w:tc>
      </w:tr>
      <w:tr w14:paraId="6FCF92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ABE9E6C">
            <w:pPr>
              <w:jc w:val="center"/>
              <w:rPr>
                <w:rFonts w:hint="eastAsia"/>
                <w:sz w:val="21"/>
                <w:szCs w:val="21"/>
              </w:rPr>
            </w:pPr>
            <w:r>
              <w:rPr>
                <w:sz w:val="21"/>
                <w:szCs w:val="21"/>
              </w:rPr>
              <w:t>7</w:t>
            </w:r>
          </w:p>
        </w:tc>
        <w:tc>
          <w:tcPr>
            <w:tcW w:w="1771" w:type="pct"/>
            <w:vAlign w:val="center"/>
          </w:tcPr>
          <w:p w14:paraId="0DD074C5">
            <w:pPr>
              <w:rPr>
                <w:rFonts w:hint="eastAsia"/>
                <w:sz w:val="21"/>
                <w:szCs w:val="21"/>
              </w:rPr>
            </w:pPr>
            <w:r>
              <w:rPr>
                <w:rFonts w:hint="eastAsia"/>
                <w:sz w:val="21"/>
                <w:szCs w:val="21"/>
              </w:rPr>
              <w:t>采用数字化三维设计方式，实现设计协同、设计优化。</w:t>
            </w:r>
          </w:p>
        </w:tc>
        <w:tc>
          <w:tcPr>
            <w:tcW w:w="1892" w:type="pct"/>
            <w:vAlign w:val="center"/>
          </w:tcPr>
          <w:p w14:paraId="111C73C0">
            <w:pPr>
              <w:textAlignment w:val="center"/>
              <w:rPr>
                <w:rFonts w:hint="eastAsia"/>
                <w:color w:val="000000"/>
                <w:sz w:val="21"/>
                <w:szCs w:val="21"/>
              </w:rPr>
            </w:pPr>
            <w:r>
              <w:rPr>
                <w:rFonts w:hint="eastAsia"/>
                <w:sz w:val="21"/>
                <w:szCs w:val="21"/>
              </w:rPr>
              <w:t>采用数字化三维设计方式，实现设计协同、设计优化</w:t>
            </w:r>
          </w:p>
        </w:tc>
        <w:tc>
          <w:tcPr>
            <w:tcW w:w="484" w:type="pct"/>
            <w:vAlign w:val="center"/>
          </w:tcPr>
          <w:p w14:paraId="0B91397C">
            <w:pPr>
              <w:adjustRightInd w:val="0"/>
              <w:snapToGrid w:val="0"/>
              <w:jc w:val="center"/>
              <w:rPr>
                <w:rFonts w:hint="eastAsia"/>
                <w:color w:val="000000"/>
                <w:sz w:val="21"/>
                <w:szCs w:val="21"/>
              </w:rPr>
            </w:pPr>
            <w:r>
              <w:rPr>
                <w:rFonts w:hint="eastAsia" w:cs="仿宋"/>
                <w:color w:val="000000"/>
                <w:kern w:val="0"/>
                <w:sz w:val="21"/>
                <w:szCs w:val="21"/>
                <w:lang w:bidi="ar"/>
              </w:rPr>
              <w:t>5</w:t>
            </w:r>
          </w:p>
        </w:tc>
        <w:tc>
          <w:tcPr>
            <w:tcW w:w="488" w:type="pct"/>
            <w:vAlign w:val="center"/>
          </w:tcPr>
          <w:p w14:paraId="5D570E61">
            <w:pPr>
              <w:adjustRightInd w:val="0"/>
              <w:snapToGrid w:val="0"/>
              <w:jc w:val="center"/>
              <w:rPr>
                <w:rFonts w:hint="eastAsia"/>
                <w:color w:val="000000"/>
                <w:sz w:val="21"/>
                <w:szCs w:val="21"/>
              </w:rPr>
            </w:pPr>
          </w:p>
        </w:tc>
      </w:tr>
      <w:tr w14:paraId="1957FD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92A9A7D">
            <w:pPr>
              <w:jc w:val="center"/>
              <w:rPr>
                <w:rFonts w:hint="eastAsia"/>
                <w:sz w:val="21"/>
                <w:szCs w:val="21"/>
              </w:rPr>
            </w:pPr>
            <w:r>
              <w:rPr>
                <w:sz w:val="21"/>
                <w:szCs w:val="21"/>
              </w:rPr>
              <w:t>8</w:t>
            </w:r>
          </w:p>
        </w:tc>
        <w:tc>
          <w:tcPr>
            <w:tcW w:w="1771" w:type="pct"/>
            <w:vAlign w:val="center"/>
          </w:tcPr>
          <w:p w14:paraId="42755CFD">
            <w:pPr>
              <w:rPr>
                <w:rFonts w:hint="eastAsia"/>
                <w:sz w:val="21"/>
                <w:szCs w:val="21"/>
              </w:rPr>
            </w:pPr>
            <w:r>
              <w:rPr>
                <w:rFonts w:hint="eastAsia"/>
                <w:sz w:val="21"/>
                <w:szCs w:val="21"/>
              </w:rPr>
              <w:t>海上风电采用基础和风电机组一体化设计方法。</w:t>
            </w:r>
          </w:p>
        </w:tc>
        <w:tc>
          <w:tcPr>
            <w:tcW w:w="1892" w:type="pct"/>
            <w:vAlign w:val="center"/>
          </w:tcPr>
          <w:p w14:paraId="2B7D3CDD">
            <w:pPr>
              <w:textAlignment w:val="center"/>
              <w:rPr>
                <w:rFonts w:hint="eastAsia"/>
                <w:color w:val="000000"/>
                <w:sz w:val="21"/>
                <w:szCs w:val="21"/>
              </w:rPr>
            </w:pPr>
            <w:r>
              <w:rPr>
                <w:rFonts w:hint="eastAsia"/>
                <w:sz w:val="21"/>
                <w:szCs w:val="21"/>
              </w:rPr>
              <w:t>海上风电采用基础和风电机组一体化设计方法</w:t>
            </w:r>
          </w:p>
        </w:tc>
        <w:tc>
          <w:tcPr>
            <w:tcW w:w="484" w:type="pct"/>
            <w:vAlign w:val="center"/>
          </w:tcPr>
          <w:p w14:paraId="7E94B3C9">
            <w:pPr>
              <w:adjustRightInd w:val="0"/>
              <w:snapToGrid w:val="0"/>
              <w:jc w:val="center"/>
              <w:rPr>
                <w:rFonts w:hint="eastAsia"/>
                <w:color w:val="000000"/>
                <w:sz w:val="21"/>
                <w:szCs w:val="21"/>
              </w:rPr>
            </w:pPr>
            <w:r>
              <w:rPr>
                <w:rFonts w:hint="eastAsia" w:cs="仿宋"/>
                <w:color w:val="000000"/>
                <w:kern w:val="0"/>
                <w:sz w:val="21"/>
                <w:szCs w:val="21"/>
                <w:lang w:bidi="ar"/>
              </w:rPr>
              <w:t>2</w:t>
            </w:r>
          </w:p>
        </w:tc>
        <w:tc>
          <w:tcPr>
            <w:tcW w:w="488" w:type="pct"/>
            <w:vAlign w:val="center"/>
          </w:tcPr>
          <w:p w14:paraId="29C22D7E">
            <w:pPr>
              <w:adjustRightInd w:val="0"/>
              <w:snapToGrid w:val="0"/>
              <w:jc w:val="center"/>
              <w:rPr>
                <w:rFonts w:hint="eastAsia"/>
                <w:color w:val="000000"/>
                <w:sz w:val="21"/>
                <w:szCs w:val="21"/>
              </w:rPr>
            </w:pPr>
          </w:p>
        </w:tc>
      </w:tr>
      <w:tr w14:paraId="5F196C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FB1C405">
            <w:pPr>
              <w:jc w:val="center"/>
              <w:rPr>
                <w:rFonts w:hint="eastAsia"/>
                <w:sz w:val="21"/>
                <w:szCs w:val="21"/>
              </w:rPr>
            </w:pPr>
            <w:r>
              <w:rPr>
                <w:sz w:val="21"/>
                <w:szCs w:val="21"/>
              </w:rPr>
              <w:t>9</w:t>
            </w:r>
          </w:p>
        </w:tc>
        <w:tc>
          <w:tcPr>
            <w:tcW w:w="1771" w:type="pct"/>
            <w:vAlign w:val="center"/>
          </w:tcPr>
          <w:p w14:paraId="41B9E662">
            <w:pPr>
              <w:rPr>
                <w:rFonts w:hint="eastAsia"/>
                <w:sz w:val="21"/>
                <w:szCs w:val="21"/>
              </w:rPr>
            </w:pPr>
            <w:r>
              <w:rPr>
                <w:rFonts w:hint="eastAsia"/>
                <w:sz w:val="21"/>
                <w:szCs w:val="21"/>
              </w:rPr>
              <w:t>海上变电站（换流站）采用轻量化设计，结构设备布置紧凑，设备集成化程度高。</w:t>
            </w:r>
          </w:p>
        </w:tc>
        <w:tc>
          <w:tcPr>
            <w:tcW w:w="1892" w:type="pct"/>
            <w:vAlign w:val="center"/>
          </w:tcPr>
          <w:p w14:paraId="13C80D07">
            <w:pPr>
              <w:textAlignment w:val="center"/>
              <w:rPr>
                <w:rFonts w:hint="eastAsia"/>
                <w:color w:val="000000"/>
                <w:sz w:val="21"/>
                <w:szCs w:val="21"/>
              </w:rPr>
            </w:pPr>
            <w:r>
              <w:rPr>
                <w:rFonts w:hint="eastAsia"/>
                <w:sz w:val="21"/>
                <w:szCs w:val="21"/>
              </w:rPr>
              <w:t>海上变电站（换流站）结构设备布置紧凑，设备集成化程度高，优化充分，总体重量轻</w:t>
            </w:r>
          </w:p>
        </w:tc>
        <w:tc>
          <w:tcPr>
            <w:tcW w:w="484" w:type="pct"/>
            <w:vAlign w:val="center"/>
          </w:tcPr>
          <w:p w14:paraId="7CA88DB2">
            <w:pPr>
              <w:adjustRightInd w:val="0"/>
              <w:snapToGrid w:val="0"/>
              <w:jc w:val="center"/>
              <w:rPr>
                <w:rFonts w:hint="eastAsia"/>
                <w:color w:val="000000"/>
                <w:sz w:val="21"/>
                <w:szCs w:val="21"/>
              </w:rPr>
            </w:pPr>
            <w:r>
              <w:rPr>
                <w:rFonts w:hint="eastAsia" w:cs="仿宋"/>
                <w:color w:val="000000"/>
                <w:kern w:val="0"/>
                <w:sz w:val="21"/>
                <w:szCs w:val="21"/>
                <w:lang w:bidi="ar"/>
              </w:rPr>
              <w:t>2</w:t>
            </w:r>
          </w:p>
        </w:tc>
        <w:tc>
          <w:tcPr>
            <w:tcW w:w="488" w:type="pct"/>
            <w:vAlign w:val="center"/>
          </w:tcPr>
          <w:p w14:paraId="6950E2CB">
            <w:pPr>
              <w:adjustRightInd w:val="0"/>
              <w:snapToGrid w:val="0"/>
              <w:jc w:val="center"/>
              <w:rPr>
                <w:rFonts w:hint="eastAsia"/>
                <w:color w:val="000000"/>
                <w:sz w:val="21"/>
                <w:szCs w:val="21"/>
              </w:rPr>
            </w:pPr>
          </w:p>
        </w:tc>
      </w:tr>
      <w:tr w14:paraId="6575A9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D6EB866">
            <w:pPr>
              <w:jc w:val="center"/>
              <w:rPr>
                <w:rFonts w:hint="eastAsia"/>
                <w:sz w:val="21"/>
                <w:szCs w:val="21"/>
              </w:rPr>
            </w:pPr>
            <w:r>
              <w:rPr>
                <w:sz w:val="21"/>
                <w:szCs w:val="21"/>
              </w:rPr>
              <w:t>10</w:t>
            </w:r>
          </w:p>
        </w:tc>
        <w:tc>
          <w:tcPr>
            <w:tcW w:w="1771" w:type="pct"/>
            <w:vAlign w:val="center"/>
          </w:tcPr>
          <w:p w14:paraId="4BA52467">
            <w:pPr>
              <w:rPr>
                <w:rFonts w:hint="eastAsia"/>
                <w:sz w:val="21"/>
                <w:szCs w:val="21"/>
              </w:rPr>
            </w:pPr>
            <w:r>
              <w:rPr>
                <w:rFonts w:hint="eastAsia"/>
                <w:sz w:val="21"/>
                <w:szCs w:val="21"/>
              </w:rPr>
              <w:t>海上风电海缆路由优化比选，海缆选型合理先进，技术经济性优。</w:t>
            </w:r>
          </w:p>
        </w:tc>
        <w:tc>
          <w:tcPr>
            <w:tcW w:w="1892" w:type="pct"/>
            <w:vAlign w:val="center"/>
          </w:tcPr>
          <w:p w14:paraId="19726D4B">
            <w:pPr>
              <w:textAlignment w:val="center"/>
              <w:rPr>
                <w:rFonts w:hint="eastAsia"/>
                <w:color w:val="000000"/>
                <w:sz w:val="21"/>
                <w:szCs w:val="21"/>
              </w:rPr>
            </w:pPr>
            <w:r>
              <w:rPr>
                <w:rFonts w:hint="eastAsia"/>
                <w:sz w:val="21"/>
                <w:szCs w:val="21"/>
              </w:rPr>
              <w:t>路由优化比选，海缆选型合理先进，技术经济性优。</w:t>
            </w:r>
          </w:p>
        </w:tc>
        <w:tc>
          <w:tcPr>
            <w:tcW w:w="484" w:type="pct"/>
            <w:vAlign w:val="center"/>
          </w:tcPr>
          <w:p w14:paraId="55D7A2F9">
            <w:pPr>
              <w:adjustRightInd w:val="0"/>
              <w:snapToGrid w:val="0"/>
              <w:jc w:val="center"/>
              <w:rPr>
                <w:rFonts w:hint="eastAsia"/>
                <w:color w:val="000000"/>
                <w:sz w:val="21"/>
                <w:szCs w:val="21"/>
              </w:rPr>
            </w:pPr>
            <w:r>
              <w:rPr>
                <w:rFonts w:hint="eastAsia" w:cs="仿宋"/>
                <w:color w:val="000000"/>
                <w:kern w:val="0"/>
                <w:sz w:val="21"/>
                <w:szCs w:val="21"/>
                <w:lang w:bidi="ar"/>
              </w:rPr>
              <w:t>1</w:t>
            </w:r>
          </w:p>
        </w:tc>
        <w:tc>
          <w:tcPr>
            <w:tcW w:w="488" w:type="pct"/>
            <w:vAlign w:val="center"/>
          </w:tcPr>
          <w:p w14:paraId="4C94044C">
            <w:pPr>
              <w:adjustRightInd w:val="0"/>
              <w:snapToGrid w:val="0"/>
              <w:jc w:val="center"/>
              <w:rPr>
                <w:rFonts w:hint="eastAsia"/>
                <w:color w:val="000000"/>
                <w:sz w:val="21"/>
                <w:szCs w:val="21"/>
              </w:rPr>
            </w:pPr>
          </w:p>
        </w:tc>
      </w:tr>
      <w:tr w14:paraId="216812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DEC088B">
            <w:pPr>
              <w:jc w:val="center"/>
              <w:rPr>
                <w:rFonts w:hint="eastAsia"/>
                <w:sz w:val="21"/>
                <w:szCs w:val="21"/>
              </w:rPr>
            </w:pPr>
            <w:r>
              <w:rPr>
                <w:sz w:val="21"/>
                <w:szCs w:val="21"/>
              </w:rPr>
              <w:t>11</w:t>
            </w:r>
          </w:p>
        </w:tc>
        <w:tc>
          <w:tcPr>
            <w:tcW w:w="1771" w:type="pct"/>
            <w:vAlign w:val="center"/>
          </w:tcPr>
          <w:p w14:paraId="1310B116">
            <w:pPr>
              <w:rPr>
                <w:rFonts w:hint="eastAsia"/>
                <w:sz w:val="21"/>
                <w:szCs w:val="21"/>
              </w:rPr>
            </w:pPr>
            <w:r>
              <w:rPr>
                <w:rFonts w:hint="eastAsia"/>
                <w:sz w:val="21"/>
                <w:szCs w:val="21"/>
              </w:rPr>
              <w:t>陆上风电道路和集电线路选线设计合理、经济。</w:t>
            </w:r>
          </w:p>
        </w:tc>
        <w:tc>
          <w:tcPr>
            <w:tcW w:w="1892" w:type="pct"/>
            <w:vAlign w:val="center"/>
          </w:tcPr>
          <w:p w14:paraId="026664C0">
            <w:pPr>
              <w:textAlignment w:val="center"/>
              <w:rPr>
                <w:rFonts w:hint="eastAsia"/>
                <w:color w:val="000000"/>
                <w:sz w:val="21"/>
                <w:szCs w:val="21"/>
              </w:rPr>
            </w:pPr>
            <w:r>
              <w:rPr>
                <w:rFonts w:hint="eastAsia"/>
                <w:sz w:val="21"/>
                <w:szCs w:val="21"/>
              </w:rPr>
              <w:t>陆上风电道路和集电线路选线设计合理、经济。</w:t>
            </w:r>
          </w:p>
        </w:tc>
        <w:tc>
          <w:tcPr>
            <w:tcW w:w="484" w:type="pct"/>
            <w:vAlign w:val="center"/>
          </w:tcPr>
          <w:p w14:paraId="2D33BF5E">
            <w:pPr>
              <w:adjustRightInd w:val="0"/>
              <w:snapToGrid w:val="0"/>
              <w:jc w:val="center"/>
              <w:rPr>
                <w:rFonts w:hint="eastAsia"/>
                <w:color w:val="000000"/>
                <w:sz w:val="21"/>
                <w:szCs w:val="21"/>
              </w:rPr>
            </w:pPr>
            <w:r>
              <w:rPr>
                <w:rFonts w:hint="eastAsia" w:cs="仿宋"/>
                <w:color w:val="000000"/>
                <w:kern w:val="0"/>
                <w:sz w:val="21"/>
                <w:szCs w:val="21"/>
                <w:lang w:bidi="ar"/>
              </w:rPr>
              <w:t>5</w:t>
            </w:r>
          </w:p>
        </w:tc>
        <w:tc>
          <w:tcPr>
            <w:tcW w:w="488" w:type="pct"/>
            <w:vAlign w:val="center"/>
          </w:tcPr>
          <w:p w14:paraId="354133AC">
            <w:pPr>
              <w:adjustRightInd w:val="0"/>
              <w:snapToGrid w:val="0"/>
              <w:jc w:val="center"/>
              <w:rPr>
                <w:rFonts w:hint="eastAsia"/>
                <w:color w:val="000000"/>
                <w:sz w:val="21"/>
                <w:szCs w:val="21"/>
              </w:rPr>
            </w:pPr>
          </w:p>
        </w:tc>
      </w:tr>
      <w:tr w14:paraId="6EB224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0A01085">
            <w:pPr>
              <w:jc w:val="center"/>
              <w:rPr>
                <w:rFonts w:hint="eastAsia"/>
                <w:sz w:val="21"/>
                <w:szCs w:val="21"/>
              </w:rPr>
            </w:pPr>
            <w:r>
              <w:rPr>
                <w:b/>
                <w:bCs/>
                <w:sz w:val="21"/>
                <w:szCs w:val="21"/>
              </w:rPr>
              <w:t>5.3.2</w:t>
            </w:r>
          </w:p>
        </w:tc>
        <w:tc>
          <w:tcPr>
            <w:tcW w:w="1771" w:type="pct"/>
            <w:vAlign w:val="center"/>
          </w:tcPr>
          <w:p w14:paraId="07A68A39">
            <w:pPr>
              <w:rPr>
                <w:rFonts w:hint="eastAsia"/>
                <w:sz w:val="21"/>
                <w:szCs w:val="21"/>
              </w:rPr>
            </w:pPr>
            <w:r>
              <w:rPr>
                <w:rFonts w:hint="eastAsia"/>
                <w:b/>
                <w:bCs/>
                <w:sz w:val="21"/>
                <w:szCs w:val="21"/>
              </w:rPr>
              <w:t>资源节约</w:t>
            </w:r>
          </w:p>
        </w:tc>
        <w:tc>
          <w:tcPr>
            <w:tcW w:w="1892" w:type="pct"/>
            <w:vAlign w:val="center"/>
          </w:tcPr>
          <w:p w14:paraId="1B116043">
            <w:pPr>
              <w:textAlignment w:val="center"/>
              <w:rPr>
                <w:rFonts w:hint="eastAsia"/>
                <w:color w:val="000000"/>
                <w:sz w:val="21"/>
                <w:szCs w:val="21"/>
              </w:rPr>
            </w:pPr>
          </w:p>
        </w:tc>
        <w:tc>
          <w:tcPr>
            <w:tcW w:w="484" w:type="pct"/>
            <w:vAlign w:val="center"/>
          </w:tcPr>
          <w:p w14:paraId="04A69C9F">
            <w:pPr>
              <w:adjustRightInd w:val="0"/>
              <w:snapToGrid w:val="0"/>
              <w:jc w:val="center"/>
              <w:rPr>
                <w:rFonts w:hint="eastAsia"/>
                <w:color w:val="000000"/>
                <w:sz w:val="21"/>
                <w:szCs w:val="21"/>
              </w:rPr>
            </w:pPr>
            <w:r>
              <w:rPr>
                <w:rFonts w:hint="eastAsia"/>
                <w:color w:val="000000"/>
                <w:sz w:val="21"/>
                <w:szCs w:val="21"/>
              </w:rPr>
              <w:t>15</w:t>
            </w:r>
          </w:p>
        </w:tc>
        <w:tc>
          <w:tcPr>
            <w:tcW w:w="488" w:type="pct"/>
            <w:vAlign w:val="center"/>
          </w:tcPr>
          <w:p w14:paraId="06D32EAC">
            <w:pPr>
              <w:adjustRightInd w:val="0"/>
              <w:snapToGrid w:val="0"/>
              <w:jc w:val="center"/>
              <w:rPr>
                <w:rFonts w:hint="eastAsia"/>
                <w:color w:val="000000"/>
                <w:sz w:val="21"/>
                <w:szCs w:val="21"/>
              </w:rPr>
            </w:pPr>
          </w:p>
        </w:tc>
      </w:tr>
      <w:tr w14:paraId="512BB4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3379570">
            <w:pPr>
              <w:jc w:val="center"/>
              <w:rPr>
                <w:rFonts w:hint="eastAsia"/>
                <w:sz w:val="21"/>
                <w:szCs w:val="21"/>
              </w:rPr>
            </w:pPr>
            <w:r>
              <w:rPr>
                <w:sz w:val="21"/>
                <w:szCs w:val="21"/>
              </w:rPr>
              <w:t>1</w:t>
            </w:r>
          </w:p>
        </w:tc>
        <w:tc>
          <w:tcPr>
            <w:tcW w:w="1771" w:type="pct"/>
            <w:vAlign w:val="center"/>
          </w:tcPr>
          <w:p w14:paraId="466CC76C">
            <w:pPr>
              <w:numPr>
                <w:ilvl w:val="255"/>
                <w:numId w:val="0"/>
              </w:numPr>
              <w:rPr>
                <w:rFonts w:hint="eastAsia"/>
                <w:sz w:val="21"/>
                <w:szCs w:val="21"/>
              </w:rPr>
            </w:pPr>
            <w:r>
              <w:rPr>
                <w:rFonts w:hint="eastAsia"/>
                <w:sz w:val="21"/>
                <w:szCs w:val="21"/>
              </w:rPr>
              <w:t>总平面布置方案的选择和优化科学、合理，工艺流程顺畅，功能分区合理。</w:t>
            </w:r>
          </w:p>
          <w:p w14:paraId="562B5CFD">
            <w:pPr>
              <w:rPr>
                <w:rFonts w:hint="eastAsia"/>
                <w:sz w:val="21"/>
                <w:szCs w:val="21"/>
              </w:rPr>
            </w:pPr>
          </w:p>
        </w:tc>
        <w:tc>
          <w:tcPr>
            <w:tcW w:w="1892" w:type="pct"/>
            <w:vAlign w:val="center"/>
          </w:tcPr>
          <w:p w14:paraId="589B3F2F">
            <w:pPr>
              <w:textAlignment w:val="center"/>
              <w:rPr>
                <w:rFonts w:hint="eastAsia"/>
                <w:color w:val="000000"/>
                <w:sz w:val="21"/>
                <w:szCs w:val="21"/>
              </w:rPr>
            </w:pPr>
            <w:r>
              <w:rPr>
                <w:rFonts w:hint="eastAsia"/>
                <w:color w:val="000000"/>
                <w:sz w:val="21"/>
                <w:szCs w:val="21"/>
              </w:rPr>
              <w:t>风电场各功能区规划布置合理，</w:t>
            </w:r>
            <w:r>
              <w:rPr>
                <w:rFonts w:hint="eastAsia"/>
                <w:sz w:val="21"/>
                <w:szCs w:val="21"/>
              </w:rPr>
              <w:t>工艺流程顺畅</w:t>
            </w:r>
          </w:p>
        </w:tc>
        <w:tc>
          <w:tcPr>
            <w:tcW w:w="484" w:type="pct"/>
            <w:vAlign w:val="center"/>
          </w:tcPr>
          <w:p w14:paraId="56D3CFC8">
            <w:pPr>
              <w:adjustRightInd w:val="0"/>
              <w:snapToGrid w:val="0"/>
              <w:jc w:val="center"/>
              <w:rPr>
                <w:rFonts w:hint="eastAsia"/>
                <w:color w:val="000000"/>
                <w:sz w:val="21"/>
                <w:szCs w:val="21"/>
              </w:rPr>
            </w:pPr>
            <w:r>
              <w:rPr>
                <w:rFonts w:hint="eastAsia" w:cs="仿宋"/>
                <w:color w:val="000000"/>
                <w:kern w:val="0"/>
                <w:sz w:val="21"/>
                <w:szCs w:val="21"/>
                <w:lang w:bidi="ar"/>
              </w:rPr>
              <w:t>1</w:t>
            </w:r>
          </w:p>
        </w:tc>
        <w:tc>
          <w:tcPr>
            <w:tcW w:w="488" w:type="pct"/>
            <w:vAlign w:val="center"/>
          </w:tcPr>
          <w:p w14:paraId="16D7001A">
            <w:pPr>
              <w:adjustRightInd w:val="0"/>
              <w:snapToGrid w:val="0"/>
              <w:jc w:val="center"/>
              <w:rPr>
                <w:rFonts w:hint="eastAsia"/>
                <w:color w:val="000000"/>
                <w:sz w:val="21"/>
                <w:szCs w:val="21"/>
              </w:rPr>
            </w:pPr>
          </w:p>
        </w:tc>
      </w:tr>
      <w:tr w14:paraId="0E5D2F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4A9D877">
            <w:pPr>
              <w:jc w:val="center"/>
              <w:rPr>
                <w:rFonts w:hint="eastAsia"/>
                <w:sz w:val="21"/>
                <w:szCs w:val="21"/>
              </w:rPr>
            </w:pPr>
            <w:r>
              <w:rPr>
                <w:sz w:val="21"/>
                <w:szCs w:val="21"/>
              </w:rPr>
              <w:t>2</w:t>
            </w:r>
          </w:p>
        </w:tc>
        <w:tc>
          <w:tcPr>
            <w:tcW w:w="1771" w:type="pct"/>
            <w:vAlign w:val="center"/>
          </w:tcPr>
          <w:p w14:paraId="52E2007B">
            <w:pPr>
              <w:rPr>
                <w:rFonts w:hint="eastAsia"/>
                <w:sz w:val="21"/>
                <w:szCs w:val="21"/>
              </w:rPr>
            </w:pPr>
            <w:r>
              <w:rPr>
                <w:rFonts w:hint="eastAsia"/>
                <w:sz w:val="21"/>
                <w:szCs w:val="21"/>
              </w:rPr>
              <w:t>宜采用大容量风力发电机组，减少风力发电机组数量。</w:t>
            </w:r>
          </w:p>
        </w:tc>
        <w:tc>
          <w:tcPr>
            <w:tcW w:w="1892" w:type="pct"/>
            <w:vAlign w:val="center"/>
          </w:tcPr>
          <w:p w14:paraId="433951D0">
            <w:pPr>
              <w:textAlignment w:val="center"/>
              <w:rPr>
                <w:rFonts w:hint="eastAsia"/>
                <w:color w:val="000000"/>
                <w:sz w:val="21"/>
                <w:szCs w:val="21"/>
              </w:rPr>
            </w:pPr>
            <w:r>
              <w:rPr>
                <w:rFonts w:hint="eastAsia"/>
                <w:color w:val="000000"/>
                <w:sz w:val="21"/>
                <w:szCs w:val="21"/>
              </w:rPr>
              <w:t>风电机组容量为当时主流大容量机型</w:t>
            </w:r>
          </w:p>
        </w:tc>
        <w:tc>
          <w:tcPr>
            <w:tcW w:w="484" w:type="pct"/>
            <w:vAlign w:val="center"/>
          </w:tcPr>
          <w:p w14:paraId="09047E52">
            <w:pPr>
              <w:adjustRightInd w:val="0"/>
              <w:snapToGrid w:val="0"/>
              <w:jc w:val="center"/>
              <w:rPr>
                <w:rFonts w:hint="eastAsia"/>
                <w:color w:val="000000"/>
                <w:sz w:val="21"/>
                <w:szCs w:val="21"/>
              </w:rPr>
            </w:pPr>
            <w:r>
              <w:rPr>
                <w:rFonts w:hint="eastAsia" w:cs="仿宋"/>
                <w:color w:val="000000"/>
                <w:kern w:val="0"/>
                <w:sz w:val="21"/>
                <w:szCs w:val="21"/>
                <w:lang w:bidi="ar"/>
              </w:rPr>
              <w:t>1</w:t>
            </w:r>
          </w:p>
        </w:tc>
        <w:tc>
          <w:tcPr>
            <w:tcW w:w="488" w:type="pct"/>
            <w:vAlign w:val="center"/>
          </w:tcPr>
          <w:p w14:paraId="0C6EB688">
            <w:pPr>
              <w:adjustRightInd w:val="0"/>
              <w:snapToGrid w:val="0"/>
              <w:jc w:val="center"/>
              <w:rPr>
                <w:rFonts w:hint="eastAsia"/>
                <w:color w:val="000000"/>
                <w:sz w:val="21"/>
                <w:szCs w:val="21"/>
              </w:rPr>
            </w:pPr>
          </w:p>
        </w:tc>
      </w:tr>
      <w:tr w14:paraId="3ADF59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7EEBFDA">
            <w:pPr>
              <w:jc w:val="center"/>
              <w:rPr>
                <w:rFonts w:hint="eastAsia"/>
                <w:sz w:val="21"/>
                <w:szCs w:val="21"/>
              </w:rPr>
            </w:pPr>
            <w:r>
              <w:rPr>
                <w:sz w:val="21"/>
                <w:szCs w:val="21"/>
              </w:rPr>
              <w:t>3</w:t>
            </w:r>
          </w:p>
        </w:tc>
        <w:tc>
          <w:tcPr>
            <w:tcW w:w="1771" w:type="pct"/>
            <w:vAlign w:val="center"/>
          </w:tcPr>
          <w:p w14:paraId="0D42E976">
            <w:pPr>
              <w:rPr>
                <w:rFonts w:hint="eastAsia"/>
                <w:sz w:val="21"/>
                <w:szCs w:val="21"/>
              </w:rPr>
            </w:pPr>
            <w:r>
              <w:rPr>
                <w:rFonts w:hint="eastAsia"/>
                <w:sz w:val="21"/>
                <w:szCs w:val="21"/>
              </w:rPr>
              <w:t>合理规划布置，道路和集电线路路径短，节约占地（海）面积。</w:t>
            </w:r>
          </w:p>
        </w:tc>
        <w:tc>
          <w:tcPr>
            <w:tcW w:w="1892" w:type="pct"/>
            <w:vAlign w:val="center"/>
          </w:tcPr>
          <w:p w14:paraId="5B03107C">
            <w:pPr>
              <w:textAlignment w:val="center"/>
              <w:rPr>
                <w:rFonts w:hint="eastAsia"/>
                <w:color w:val="000000"/>
                <w:sz w:val="21"/>
                <w:szCs w:val="21"/>
              </w:rPr>
            </w:pPr>
            <w:r>
              <w:rPr>
                <w:rFonts w:hint="eastAsia"/>
                <w:sz w:val="21"/>
                <w:szCs w:val="21"/>
              </w:rPr>
              <w:t>道路路径短（0.75分），集电线路路径短（0.75分）</w:t>
            </w:r>
          </w:p>
        </w:tc>
        <w:tc>
          <w:tcPr>
            <w:tcW w:w="484" w:type="pct"/>
            <w:vAlign w:val="center"/>
          </w:tcPr>
          <w:p w14:paraId="1F9C3CDD">
            <w:pPr>
              <w:adjustRightInd w:val="0"/>
              <w:snapToGrid w:val="0"/>
              <w:jc w:val="center"/>
              <w:rPr>
                <w:rFonts w:hint="eastAsia"/>
                <w:color w:val="000000"/>
                <w:sz w:val="21"/>
                <w:szCs w:val="21"/>
              </w:rPr>
            </w:pPr>
            <w:r>
              <w:rPr>
                <w:rFonts w:hint="eastAsia" w:cs="仿宋"/>
                <w:color w:val="000000"/>
                <w:kern w:val="0"/>
                <w:sz w:val="21"/>
                <w:szCs w:val="21"/>
                <w:lang w:bidi="ar"/>
              </w:rPr>
              <w:t>1.5</w:t>
            </w:r>
          </w:p>
        </w:tc>
        <w:tc>
          <w:tcPr>
            <w:tcW w:w="488" w:type="pct"/>
            <w:vAlign w:val="center"/>
          </w:tcPr>
          <w:p w14:paraId="47D7BFA1">
            <w:pPr>
              <w:adjustRightInd w:val="0"/>
              <w:snapToGrid w:val="0"/>
              <w:jc w:val="center"/>
              <w:rPr>
                <w:rFonts w:hint="eastAsia"/>
                <w:color w:val="000000"/>
                <w:sz w:val="21"/>
                <w:szCs w:val="21"/>
              </w:rPr>
            </w:pPr>
          </w:p>
        </w:tc>
      </w:tr>
      <w:tr w14:paraId="6C7C9C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5685890">
            <w:pPr>
              <w:jc w:val="center"/>
              <w:rPr>
                <w:rFonts w:hint="eastAsia"/>
                <w:sz w:val="21"/>
                <w:szCs w:val="21"/>
              </w:rPr>
            </w:pPr>
            <w:r>
              <w:rPr>
                <w:sz w:val="21"/>
                <w:szCs w:val="21"/>
              </w:rPr>
              <w:t>4</w:t>
            </w:r>
          </w:p>
        </w:tc>
        <w:tc>
          <w:tcPr>
            <w:tcW w:w="1771" w:type="pct"/>
            <w:vAlign w:val="center"/>
          </w:tcPr>
          <w:p w14:paraId="2F1A440F">
            <w:pPr>
              <w:rPr>
                <w:rFonts w:hint="eastAsia"/>
                <w:sz w:val="21"/>
                <w:szCs w:val="21"/>
              </w:rPr>
            </w:pPr>
            <w:r>
              <w:rPr>
                <w:rFonts w:hint="eastAsia"/>
                <w:sz w:val="21"/>
                <w:szCs w:val="21"/>
              </w:rPr>
              <w:t>尽量减少建（构）筑物数量，并将性质和功能相同或相近的建（构）筑物进行联合布置，布置紧凑，以减少变电压站用地。</w:t>
            </w:r>
          </w:p>
        </w:tc>
        <w:tc>
          <w:tcPr>
            <w:tcW w:w="1892" w:type="pct"/>
            <w:vAlign w:val="center"/>
          </w:tcPr>
          <w:p w14:paraId="1DB1D2AF">
            <w:pPr>
              <w:textAlignment w:val="center"/>
              <w:rPr>
                <w:rFonts w:hint="eastAsia"/>
                <w:color w:val="000000"/>
                <w:sz w:val="21"/>
                <w:szCs w:val="21"/>
              </w:rPr>
            </w:pPr>
            <w:r>
              <w:rPr>
                <w:rFonts w:hint="eastAsia"/>
                <w:sz w:val="21"/>
                <w:szCs w:val="21"/>
              </w:rPr>
              <w:t>减少建（构）筑物数量，将性质和功能相同或相近的建（构）筑物进行联合布置，布置紧凑，</w:t>
            </w:r>
          </w:p>
        </w:tc>
        <w:tc>
          <w:tcPr>
            <w:tcW w:w="484" w:type="pct"/>
            <w:vAlign w:val="center"/>
          </w:tcPr>
          <w:p w14:paraId="49EC583E">
            <w:pPr>
              <w:adjustRightInd w:val="0"/>
              <w:snapToGrid w:val="0"/>
              <w:jc w:val="center"/>
              <w:rPr>
                <w:rFonts w:hint="eastAsia"/>
                <w:color w:val="000000"/>
                <w:sz w:val="21"/>
                <w:szCs w:val="21"/>
              </w:rPr>
            </w:pPr>
            <w:r>
              <w:rPr>
                <w:rFonts w:hint="eastAsia" w:cs="仿宋"/>
                <w:color w:val="000000"/>
                <w:kern w:val="0"/>
                <w:sz w:val="21"/>
                <w:szCs w:val="21"/>
                <w:lang w:bidi="ar"/>
              </w:rPr>
              <w:t>1</w:t>
            </w:r>
          </w:p>
        </w:tc>
        <w:tc>
          <w:tcPr>
            <w:tcW w:w="488" w:type="pct"/>
            <w:vAlign w:val="center"/>
          </w:tcPr>
          <w:p w14:paraId="0B02261B">
            <w:pPr>
              <w:adjustRightInd w:val="0"/>
              <w:snapToGrid w:val="0"/>
              <w:jc w:val="center"/>
              <w:rPr>
                <w:rFonts w:hint="eastAsia"/>
                <w:color w:val="000000"/>
                <w:sz w:val="21"/>
                <w:szCs w:val="21"/>
              </w:rPr>
            </w:pPr>
          </w:p>
        </w:tc>
      </w:tr>
      <w:tr w14:paraId="1FF3DB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39240AF">
            <w:pPr>
              <w:jc w:val="center"/>
              <w:rPr>
                <w:rFonts w:hint="eastAsia"/>
                <w:sz w:val="21"/>
                <w:szCs w:val="21"/>
              </w:rPr>
            </w:pPr>
            <w:r>
              <w:rPr>
                <w:sz w:val="21"/>
                <w:szCs w:val="21"/>
              </w:rPr>
              <w:t>5</w:t>
            </w:r>
          </w:p>
        </w:tc>
        <w:tc>
          <w:tcPr>
            <w:tcW w:w="1771" w:type="pct"/>
            <w:vAlign w:val="center"/>
          </w:tcPr>
          <w:p w14:paraId="1CC82BDB">
            <w:pPr>
              <w:rPr>
                <w:rFonts w:hint="eastAsia"/>
                <w:sz w:val="21"/>
                <w:szCs w:val="21"/>
              </w:rPr>
            </w:pPr>
            <w:r>
              <w:rPr>
                <w:rFonts w:hint="eastAsia"/>
                <w:sz w:val="21"/>
                <w:szCs w:val="21"/>
              </w:rPr>
              <w:t>用地（海）指标先进、合理，占地（海）面积达到国内先进水平。</w:t>
            </w:r>
          </w:p>
        </w:tc>
        <w:tc>
          <w:tcPr>
            <w:tcW w:w="1892" w:type="pct"/>
            <w:vAlign w:val="center"/>
          </w:tcPr>
          <w:p w14:paraId="46471F77">
            <w:pPr>
              <w:textAlignment w:val="center"/>
              <w:rPr>
                <w:rFonts w:hint="eastAsia"/>
                <w:color w:val="000000"/>
                <w:sz w:val="21"/>
                <w:szCs w:val="21"/>
              </w:rPr>
            </w:pPr>
            <w:r>
              <w:rPr>
                <w:sz w:val="21"/>
                <w:szCs w:val="21"/>
              </w:rPr>
              <w:t xml:space="preserve"> </w:t>
            </w:r>
            <w:r>
              <w:rPr>
                <w:rFonts w:hint="eastAsia"/>
                <w:sz w:val="21"/>
                <w:szCs w:val="21"/>
              </w:rPr>
              <w:t>风电项目用地（海）指标合理，满足节地（海）的要求，与同类项目相比，用地（海）面积少。</w:t>
            </w:r>
          </w:p>
        </w:tc>
        <w:tc>
          <w:tcPr>
            <w:tcW w:w="484" w:type="pct"/>
            <w:vAlign w:val="center"/>
          </w:tcPr>
          <w:p w14:paraId="318EE6D5">
            <w:pPr>
              <w:adjustRightInd w:val="0"/>
              <w:snapToGrid w:val="0"/>
              <w:jc w:val="center"/>
              <w:rPr>
                <w:rFonts w:hint="eastAsia"/>
                <w:color w:val="000000"/>
                <w:sz w:val="21"/>
                <w:szCs w:val="21"/>
              </w:rPr>
            </w:pPr>
            <w:r>
              <w:rPr>
                <w:rFonts w:hint="eastAsia" w:cs="仿宋"/>
                <w:color w:val="000000"/>
                <w:kern w:val="0"/>
                <w:sz w:val="21"/>
                <w:szCs w:val="21"/>
                <w:lang w:bidi="ar"/>
              </w:rPr>
              <w:t>1</w:t>
            </w:r>
          </w:p>
        </w:tc>
        <w:tc>
          <w:tcPr>
            <w:tcW w:w="488" w:type="pct"/>
            <w:vAlign w:val="center"/>
          </w:tcPr>
          <w:p w14:paraId="523A419C">
            <w:pPr>
              <w:adjustRightInd w:val="0"/>
              <w:snapToGrid w:val="0"/>
              <w:jc w:val="center"/>
              <w:rPr>
                <w:rFonts w:hint="eastAsia"/>
                <w:color w:val="000000"/>
                <w:sz w:val="21"/>
                <w:szCs w:val="21"/>
              </w:rPr>
            </w:pPr>
          </w:p>
        </w:tc>
      </w:tr>
      <w:tr w14:paraId="45038C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9350789">
            <w:pPr>
              <w:jc w:val="center"/>
              <w:rPr>
                <w:rFonts w:hint="eastAsia"/>
                <w:sz w:val="21"/>
                <w:szCs w:val="21"/>
              </w:rPr>
            </w:pPr>
            <w:r>
              <w:rPr>
                <w:sz w:val="21"/>
                <w:szCs w:val="21"/>
              </w:rPr>
              <w:t>6</w:t>
            </w:r>
          </w:p>
        </w:tc>
        <w:tc>
          <w:tcPr>
            <w:tcW w:w="1771" w:type="pct"/>
            <w:vAlign w:val="center"/>
          </w:tcPr>
          <w:p w14:paraId="326EFC0C">
            <w:pPr>
              <w:rPr>
                <w:rFonts w:hint="eastAsia"/>
                <w:sz w:val="21"/>
                <w:szCs w:val="21"/>
              </w:rPr>
            </w:pPr>
            <w:r>
              <w:rPr>
                <w:rFonts w:hint="eastAsia"/>
                <w:sz w:val="21"/>
                <w:szCs w:val="21"/>
              </w:rPr>
              <w:t>合理进行风机基础的设计和优化，节约风机基础用地（海），节省风机基础材料用量。</w:t>
            </w:r>
            <w:r>
              <w:rPr>
                <w:sz w:val="21"/>
                <w:szCs w:val="21"/>
              </w:rPr>
              <w:t xml:space="preserve"> </w:t>
            </w:r>
          </w:p>
        </w:tc>
        <w:tc>
          <w:tcPr>
            <w:tcW w:w="1892" w:type="pct"/>
            <w:vAlign w:val="center"/>
          </w:tcPr>
          <w:p w14:paraId="66C813B3">
            <w:pPr>
              <w:textAlignment w:val="center"/>
              <w:rPr>
                <w:rFonts w:hint="eastAsia"/>
                <w:color w:val="000000"/>
                <w:sz w:val="21"/>
                <w:szCs w:val="21"/>
              </w:rPr>
            </w:pPr>
            <w:r>
              <w:rPr>
                <w:rFonts w:hint="eastAsia"/>
                <w:color w:val="000000"/>
                <w:sz w:val="21"/>
                <w:szCs w:val="21"/>
              </w:rPr>
              <w:t>进行风机基础的优化设计，工程量少，形成相关报告</w:t>
            </w:r>
          </w:p>
        </w:tc>
        <w:tc>
          <w:tcPr>
            <w:tcW w:w="484" w:type="pct"/>
            <w:vAlign w:val="center"/>
          </w:tcPr>
          <w:p w14:paraId="24A8B4D6">
            <w:pPr>
              <w:adjustRightInd w:val="0"/>
              <w:snapToGrid w:val="0"/>
              <w:jc w:val="center"/>
              <w:rPr>
                <w:rFonts w:hint="eastAsia"/>
                <w:color w:val="000000"/>
                <w:sz w:val="21"/>
                <w:szCs w:val="21"/>
              </w:rPr>
            </w:pPr>
            <w:r>
              <w:rPr>
                <w:rFonts w:hint="eastAsia" w:cs="仿宋"/>
                <w:color w:val="000000"/>
                <w:kern w:val="0"/>
                <w:sz w:val="21"/>
                <w:szCs w:val="21"/>
                <w:lang w:bidi="ar"/>
              </w:rPr>
              <w:t>2.5</w:t>
            </w:r>
          </w:p>
        </w:tc>
        <w:tc>
          <w:tcPr>
            <w:tcW w:w="488" w:type="pct"/>
            <w:vAlign w:val="center"/>
          </w:tcPr>
          <w:p w14:paraId="772E446A">
            <w:pPr>
              <w:adjustRightInd w:val="0"/>
              <w:snapToGrid w:val="0"/>
              <w:jc w:val="center"/>
              <w:rPr>
                <w:rFonts w:hint="eastAsia"/>
                <w:color w:val="000000"/>
                <w:sz w:val="21"/>
                <w:szCs w:val="21"/>
              </w:rPr>
            </w:pPr>
          </w:p>
        </w:tc>
      </w:tr>
      <w:tr w14:paraId="2CCA19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421683B">
            <w:pPr>
              <w:jc w:val="center"/>
              <w:rPr>
                <w:rFonts w:hint="eastAsia"/>
                <w:sz w:val="21"/>
                <w:szCs w:val="21"/>
              </w:rPr>
            </w:pPr>
            <w:r>
              <w:rPr>
                <w:sz w:val="21"/>
                <w:szCs w:val="21"/>
              </w:rPr>
              <w:t>7</w:t>
            </w:r>
          </w:p>
        </w:tc>
        <w:tc>
          <w:tcPr>
            <w:tcW w:w="1771" w:type="pct"/>
            <w:vAlign w:val="center"/>
          </w:tcPr>
          <w:p w14:paraId="00A8632C">
            <w:pPr>
              <w:rPr>
                <w:rFonts w:hint="eastAsia"/>
                <w:sz w:val="21"/>
                <w:szCs w:val="21"/>
              </w:rPr>
            </w:pPr>
            <w:r>
              <w:rPr>
                <w:rFonts w:hint="eastAsia"/>
                <w:sz w:val="21"/>
                <w:szCs w:val="21"/>
              </w:rPr>
              <w:t>陆上设施建筑物布置方案科学合理，结构体系合理，采用高强、可循环建筑材料，节省钢材、水泥等原材料。</w:t>
            </w:r>
          </w:p>
        </w:tc>
        <w:tc>
          <w:tcPr>
            <w:tcW w:w="1892" w:type="pct"/>
            <w:vAlign w:val="center"/>
          </w:tcPr>
          <w:p w14:paraId="56F14A40">
            <w:pPr>
              <w:textAlignment w:val="center"/>
              <w:rPr>
                <w:rFonts w:hint="eastAsia"/>
                <w:color w:val="000000"/>
                <w:sz w:val="21"/>
                <w:szCs w:val="21"/>
              </w:rPr>
            </w:pPr>
            <w:r>
              <w:rPr>
                <w:rFonts w:hint="eastAsia"/>
                <w:color w:val="000000"/>
                <w:sz w:val="21"/>
                <w:szCs w:val="21"/>
              </w:rPr>
              <w:t>陆上风机基础体型合理，混凝土和钢筋工程量少；陆上变电站结构体系选择合理，选用绿色建材，节省混凝土和钢筋。</w:t>
            </w:r>
          </w:p>
        </w:tc>
        <w:tc>
          <w:tcPr>
            <w:tcW w:w="484" w:type="pct"/>
            <w:vAlign w:val="center"/>
          </w:tcPr>
          <w:p w14:paraId="01BA6D18">
            <w:pPr>
              <w:adjustRightInd w:val="0"/>
              <w:snapToGrid w:val="0"/>
              <w:jc w:val="center"/>
              <w:rPr>
                <w:rFonts w:hint="eastAsia"/>
                <w:color w:val="000000"/>
                <w:sz w:val="21"/>
                <w:szCs w:val="21"/>
              </w:rPr>
            </w:pPr>
            <w:r>
              <w:rPr>
                <w:rFonts w:hint="eastAsia" w:cs="仿宋"/>
                <w:color w:val="000000"/>
                <w:kern w:val="0"/>
                <w:sz w:val="21"/>
                <w:szCs w:val="21"/>
                <w:lang w:bidi="ar"/>
              </w:rPr>
              <w:t>2（海上风电取0.5）</w:t>
            </w:r>
          </w:p>
        </w:tc>
        <w:tc>
          <w:tcPr>
            <w:tcW w:w="488" w:type="pct"/>
            <w:vAlign w:val="center"/>
          </w:tcPr>
          <w:p w14:paraId="67F7E99D">
            <w:pPr>
              <w:adjustRightInd w:val="0"/>
              <w:snapToGrid w:val="0"/>
              <w:jc w:val="center"/>
              <w:rPr>
                <w:rFonts w:hint="eastAsia"/>
                <w:color w:val="000000"/>
                <w:sz w:val="21"/>
                <w:szCs w:val="21"/>
              </w:rPr>
            </w:pPr>
          </w:p>
        </w:tc>
      </w:tr>
      <w:tr w14:paraId="1B3F7F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035E9AF">
            <w:pPr>
              <w:jc w:val="center"/>
              <w:rPr>
                <w:rFonts w:hint="eastAsia"/>
                <w:sz w:val="21"/>
                <w:szCs w:val="21"/>
              </w:rPr>
            </w:pPr>
            <w:r>
              <w:rPr>
                <w:rFonts w:hint="eastAsia"/>
                <w:sz w:val="21"/>
                <w:szCs w:val="21"/>
              </w:rPr>
              <w:t>8</w:t>
            </w:r>
          </w:p>
        </w:tc>
        <w:tc>
          <w:tcPr>
            <w:tcW w:w="1771" w:type="pct"/>
            <w:vAlign w:val="center"/>
          </w:tcPr>
          <w:p w14:paraId="0F52B9D7">
            <w:pPr>
              <w:rPr>
                <w:rFonts w:hint="eastAsia"/>
                <w:sz w:val="21"/>
                <w:szCs w:val="21"/>
              </w:rPr>
            </w:pPr>
            <w:r>
              <w:rPr>
                <w:rFonts w:hint="eastAsia"/>
                <w:sz w:val="21"/>
                <w:szCs w:val="21"/>
              </w:rPr>
              <w:t>提高水的利用率，搅拌用水、养护用水采取有效的节水措施，采用节水管材和器具。</w:t>
            </w:r>
          </w:p>
        </w:tc>
        <w:tc>
          <w:tcPr>
            <w:tcW w:w="1892" w:type="pct"/>
            <w:vAlign w:val="center"/>
          </w:tcPr>
          <w:p w14:paraId="73B029B8">
            <w:pPr>
              <w:textAlignment w:val="center"/>
              <w:rPr>
                <w:rFonts w:hint="eastAsia"/>
                <w:color w:val="000000"/>
                <w:sz w:val="21"/>
                <w:szCs w:val="21"/>
              </w:rPr>
            </w:pPr>
            <w:r>
              <w:rPr>
                <w:rFonts w:hint="eastAsia"/>
                <w:color w:val="000000"/>
                <w:sz w:val="21"/>
                <w:szCs w:val="21"/>
              </w:rPr>
              <w:t>一水多用，提高利用率（1分），</w:t>
            </w:r>
            <w:r>
              <w:rPr>
                <w:rFonts w:hint="eastAsia"/>
                <w:sz w:val="21"/>
                <w:szCs w:val="21"/>
              </w:rPr>
              <w:t>搅拌用水、养护用水采取有效的节水措施，采用节水管材和器具（1.5分）</w:t>
            </w:r>
          </w:p>
        </w:tc>
        <w:tc>
          <w:tcPr>
            <w:tcW w:w="484" w:type="pct"/>
            <w:vAlign w:val="center"/>
          </w:tcPr>
          <w:p w14:paraId="483D7606">
            <w:pPr>
              <w:adjustRightInd w:val="0"/>
              <w:snapToGrid w:val="0"/>
              <w:jc w:val="center"/>
              <w:rPr>
                <w:rFonts w:hint="eastAsia"/>
                <w:color w:val="000000"/>
                <w:sz w:val="21"/>
                <w:szCs w:val="21"/>
              </w:rPr>
            </w:pPr>
            <w:r>
              <w:rPr>
                <w:rFonts w:hint="eastAsia" w:cs="仿宋"/>
                <w:color w:val="000000"/>
                <w:kern w:val="0"/>
                <w:sz w:val="21"/>
                <w:szCs w:val="21"/>
                <w:lang w:bidi="ar"/>
              </w:rPr>
              <w:t>2.5</w:t>
            </w:r>
          </w:p>
        </w:tc>
        <w:tc>
          <w:tcPr>
            <w:tcW w:w="488" w:type="pct"/>
            <w:vAlign w:val="center"/>
          </w:tcPr>
          <w:p w14:paraId="78E59985">
            <w:pPr>
              <w:adjustRightInd w:val="0"/>
              <w:snapToGrid w:val="0"/>
              <w:jc w:val="center"/>
              <w:rPr>
                <w:rFonts w:hint="eastAsia"/>
                <w:color w:val="000000"/>
                <w:sz w:val="21"/>
                <w:szCs w:val="21"/>
              </w:rPr>
            </w:pPr>
          </w:p>
        </w:tc>
      </w:tr>
      <w:tr w14:paraId="6FC24D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E017E82">
            <w:pPr>
              <w:jc w:val="center"/>
              <w:rPr>
                <w:rFonts w:hint="eastAsia"/>
                <w:sz w:val="21"/>
                <w:szCs w:val="21"/>
              </w:rPr>
            </w:pPr>
            <w:r>
              <w:rPr>
                <w:rFonts w:hint="eastAsia"/>
                <w:sz w:val="21"/>
                <w:szCs w:val="21"/>
              </w:rPr>
              <w:t>9</w:t>
            </w:r>
          </w:p>
        </w:tc>
        <w:tc>
          <w:tcPr>
            <w:tcW w:w="1771" w:type="pct"/>
            <w:vAlign w:val="center"/>
          </w:tcPr>
          <w:p w14:paraId="4A5F2D46">
            <w:pPr>
              <w:rPr>
                <w:rFonts w:hint="eastAsia"/>
                <w:sz w:val="21"/>
                <w:szCs w:val="21"/>
              </w:rPr>
            </w:pPr>
            <w:r>
              <w:rPr>
                <w:sz w:val="21"/>
                <w:szCs w:val="21"/>
              </w:rPr>
              <w:t>合理确定设备的能耗等级、集电线路路径和选型，减少电能损耗。</w:t>
            </w:r>
          </w:p>
        </w:tc>
        <w:tc>
          <w:tcPr>
            <w:tcW w:w="1892" w:type="pct"/>
            <w:vAlign w:val="center"/>
          </w:tcPr>
          <w:p w14:paraId="4058AD92">
            <w:pPr>
              <w:textAlignment w:val="center"/>
              <w:rPr>
                <w:rFonts w:hint="eastAsia"/>
                <w:color w:val="000000"/>
                <w:sz w:val="21"/>
                <w:szCs w:val="21"/>
              </w:rPr>
            </w:pPr>
            <w:r>
              <w:rPr>
                <w:rFonts w:hint="eastAsia"/>
                <w:color w:val="000000"/>
                <w:sz w:val="21"/>
                <w:szCs w:val="21"/>
              </w:rPr>
              <w:t>变压器、照明灯具等能耗等级选择合理（1分），集电线路路径和选址合理，能耗小（1.5分）</w:t>
            </w:r>
          </w:p>
        </w:tc>
        <w:tc>
          <w:tcPr>
            <w:tcW w:w="484" w:type="pct"/>
            <w:vAlign w:val="center"/>
          </w:tcPr>
          <w:p w14:paraId="25079D65">
            <w:pPr>
              <w:adjustRightInd w:val="0"/>
              <w:snapToGrid w:val="0"/>
              <w:jc w:val="center"/>
              <w:rPr>
                <w:rFonts w:hint="eastAsia"/>
                <w:color w:val="000000"/>
                <w:sz w:val="21"/>
                <w:szCs w:val="21"/>
              </w:rPr>
            </w:pPr>
            <w:r>
              <w:rPr>
                <w:rFonts w:hint="eastAsia" w:cs="仿宋"/>
                <w:color w:val="000000"/>
                <w:kern w:val="0"/>
                <w:sz w:val="21"/>
                <w:szCs w:val="21"/>
                <w:lang w:bidi="ar"/>
              </w:rPr>
              <w:t>1.5</w:t>
            </w:r>
          </w:p>
        </w:tc>
        <w:tc>
          <w:tcPr>
            <w:tcW w:w="488" w:type="pct"/>
            <w:vAlign w:val="center"/>
          </w:tcPr>
          <w:p w14:paraId="302DFFFD">
            <w:pPr>
              <w:adjustRightInd w:val="0"/>
              <w:snapToGrid w:val="0"/>
              <w:jc w:val="center"/>
              <w:rPr>
                <w:rFonts w:hint="eastAsia"/>
                <w:color w:val="000000"/>
                <w:sz w:val="21"/>
                <w:szCs w:val="21"/>
              </w:rPr>
            </w:pPr>
          </w:p>
        </w:tc>
      </w:tr>
      <w:tr w14:paraId="618474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C29B0C0">
            <w:pPr>
              <w:jc w:val="center"/>
              <w:rPr>
                <w:rFonts w:hint="eastAsia"/>
                <w:sz w:val="21"/>
                <w:szCs w:val="21"/>
              </w:rPr>
            </w:pPr>
            <w:r>
              <w:rPr>
                <w:sz w:val="21"/>
                <w:szCs w:val="21"/>
              </w:rPr>
              <w:t>1</w:t>
            </w:r>
            <w:r>
              <w:rPr>
                <w:rFonts w:hint="eastAsia"/>
                <w:sz w:val="21"/>
                <w:szCs w:val="21"/>
              </w:rPr>
              <w:t>0</w:t>
            </w:r>
          </w:p>
        </w:tc>
        <w:tc>
          <w:tcPr>
            <w:tcW w:w="1771" w:type="pct"/>
            <w:vAlign w:val="center"/>
          </w:tcPr>
          <w:p w14:paraId="366E6854">
            <w:pPr>
              <w:numPr>
                <w:ilvl w:val="255"/>
                <w:numId w:val="0"/>
              </w:numPr>
              <w:rPr>
                <w:rFonts w:hint="eastAsia"/>
                <w:sz w:val="21"/>
                <w:szCs w:val="21"/>
              </w:rPr>
            </w:pPr>
            <w:r>
              <w:rPr>
                <w:rFonts w:hint="eastAsia"/>
                <w:sz w:val="21"/>
                <w:szCs w:val="21"/>
              </w:rPr>
              <w:t>建筑节能降耗措施先进，充分利用自然光和自然通风，建筑采用智能和分区运维。</w:t>
            </w:r>
          </w:p>
        </w:tc>
        <w:tc>
          <w:tcPr>
            <w:tcW w:w="1892" w:type="pct"/>
            <w:vAlign w:val="center"/>
          </w:tcPr>
          <w:p w14:paraId="44A5294B">
            <w:pPr>
              <w:textAlignment w:val="center"/>
              <w:rPr>
                <w:rFonts w:hint="eastAsia"/>
                <w:color w:val="000000"/>
                <w:sz w:val="21"/>
                <w:szCs w:val="21"/>
              </w:rPr>
            </w:pPr>
            <w:r>
              <w:rPr>
                <w:rFonts w:hint="eastAsia"/>
                <w:sz w:val="21"/>
                <w:szCs w:val="21"/>
              </w:rPr>
              <w:t>建筑节能降耗措施先进，充分利用自然光和自然通风（0.5分），建筑采用智能和分区运维（0.5分）。</w:t>
            </w:r>
          </w:p>
        </w:tc>
        <w:tc>
          <w:tcPr>
            <w:tcW w:w="484" w:type="pct"/>
            <w:vAlign w:val="center"/>
          </w:tcPr>
          <w:p w14:paraId="0F2E06BA">
            <w:pPr>
              <w:adjustRightInd w:val="0"/>
              <w:snapToGrid w:val="0"/>
              <w:jc w:val="center"/>
              <w:rPr>
                <w:rFonts w:hint="eastAsia"/>
                <w:color w:val="000000"/>
                <w:sz w:val="21"/>
                <w:szCs w:val="21"/>
              </w:rPr>
            </w:pPr>
            <w:r>
              <w:rPr>
                <w:rFonts w:hint="eastAsia" w:cs="仿宋"/>
                <w:color w:val="000000"/>
                <w:kern w:val="0"/>
                <w:sz w:val="21"/>
                <w:szCs w:val="21"/>
                <w:lang w:bidi="ar"/>
              </w:rPr>
              <w:t>1</w:t>
            </w:r>
          </w:p>
        </w:tc>
        <w:tc>
          <w:tcPr>
            <w:tcW w:w="488" w:type="pct"/>
            <w:vAlign w:val="center"/>
          </w:tcPr>
          <w:p w14:paraId="73C4D74C">
            <w:pPr>
              <w:adjustRightInd w:val="0"/>
              <w:snapToGrid w:val="0"/>
              <w:jc w:val="center"/>
              <w:rPr>
                <w:rFonts w:hint="eastAsia"/>
                <w:color w:val="000000"/>
                <w:sz w:val="21"/>
                <w:szCs w:val="21"/>
              </w:rPr>
            </w:pPr>
          </w:p>
        </w:tc>
      </w:tr>
      <w:tr w14:paraId="603C98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17AD4E6">
            <w:pPr>
              <w:jc w:val="center"/>
              <w:rPr>
                <w:rFonts w:hint="eastAsia"/>
                <w:sz w:val="21"/>
                <w:szCs w:val="21"/>
              </w:rPr>
            </w:pPr>
            <w:r>
              <w:rPr>
                <w:rFonts w:hint="eastAsia"/>
                <w:sz w:val="21"/>
                <w:szCs w:val="21"/>
              </w:rPr>
              <w:t>11</w:t>
            </w:r>
          </w:p>
        </w:tc>
        <w:tc>
          <w:tcPr>
            <w:tcW w:w="1771" w:type="pct"/>
            <w:vAlign w:val="center"/>
          </w:tcPr>
          <w:p w14:paraId="50464CED">
            <w:pPr>
              <w:rPr>
                <w:rFonts w:hint="eastAsia"/>
                <w:sz w:val="21"/>
                <w:szCs w:val="21"/>
              </w:rPr>
            </w:pPr>
            <w:r>
              <w:rPr>
                <w:rFonts w:hint="eastAsia"/>
                <w:sz w:val="21"/>
                <w:szCs w:val="21"/>
              </w:rPr>
              <w:t>海上风电采用高性能混凝土、高强度和耐候性钢材应用技术，采用合理的防腐设计，减少钢材用量。</w:t>
            </w:r>
          </w:p>
        </w:tc>
        <w:tc>
          <w:tcPr>
            <w:tcW w:w="1892" w:type="pct"/>
            <w:vAlign w:val="center"/>
          </w:tcPr>
          <w:p w14:paraId="340203FA">
            <w:pPr>
              <w:textAlignment w:val="center"/>
              <w:rPr>
                <w:rFonts w:hint="eastAsia"/>
                <w:color w:val="000000"/>
                <w:sz w:val="21"/>
                <w:szCs w:val="21"/>
              </w:rPr>
            </w:pPr>
            <w:r>
              <w:rPr>
                <w:rFonts w:hint="eastAsia"/>
                <w:color w:val="000000"/>
                <w:sz w:val="21"/>
                <w:szCs w:val="21"/>
              </w:rPr>
              <w:t>风机基础用混凝土采用</w:t>
            </w:r>
            <w:r>
              <w:rPr>
                <w:rFonts w:hint="eastAsia"/>
                <w:sz w:val="21"/>
                <w:szCs w:val="21"/>
              </w:rPr>
              <w:t>高性能混凝土，风机基础用钢采用高强度和耐候性钢，选择合理的防腐设计</w:t>
            </w:r>
          </w:p>
        </w:tc>
        <w:tc>
          <w:tcPr>
            <w:tcW w:w="484" w:type="pct"/>
            <w:vAlign w:val="center"/>
          </w:tcPr>
          <w:p w14:paraId="4C5F6C87">
            <w:pPr>
              <w:adjustRightInd w:val="0"/>
              <w:snapToGrid w:val="0"/>
              <w:jc w:val="center"/>
              <w:rPr>
                <w:rFonts w:hint="eastAsia"/>
                <w:color w:val="000000"/>
                <w:sz w:val="21"/>
                <w:szCs w:val="21"/>
              </w:rPr>
            </w:pPr>
            <w:r>
              <w:rPr>
                <w:rFonts w:hint="eastAsia" w:cs="仿宋"/>
                <w:color w:val="000000"/>
                <w:kern w:val="0"/>
                <w:sz w:val="21"/>
                <w:szCs w:val="21"/>
                <w:lang w:bidi="ar"/>
              </w:rPr>
              <w:t>1.5</w:t>
            </w:r>
          </w:p>
        </w:tc>
        <w:tc>
          <w:tcPr>
            <w:tcW w:w="488" w:type="pct"/>
            <w:vAlign w:val="center"/>
          </w:tcPr>
          <w:p w14:paraId="03D367AA">
            <w:pPr>
              <w:adjustRightInd w:val="0"/>
              <w:snapToGrid w:val="0"/>
              <w:jc w:val="center"/>
              <w:rPr>
                <w:rFonts w:hint="eastAsia"/>
                <w:color w:val="000000"/>
                <w:sz w:val="21"/>
                <w:szCs w:val="21"/>
              </w:rPr>
            </w:pPr>
          </w:p>
        </w:tc>
      </w:tr>
      <w:tr w14:paraId="25D8E6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FB1A716">
            <w:pPr>
              <w:jc w:val="center"/>
              <w:rPr>
                <w:rFonts w:hint="eastAsia"/>
                <w:sz w:val="21"/>
                <w:szCs w:val="21"/>
              </w:rPr>
            </w:pPr>
            <w:r>
              <w:rPr>
                <w:b/>
                <w:bCs/>
                <w:sz w:val="21"/>
                <w:szCs w:val="21"/>
              </w:rPr>
              <w:t>5.3.3</w:t>
            </w:r>
          </w:p>
        </w:tc>
        <w:tc>
          <w:tcPr>
            <w:tcW w:w="1771" w:type="pct"/>
            <w:vAlign w:val="center"/>
          </w:tcPr>
          <w:p w14:paraId="2D639DA8">
            <w:pPr>
              <w:rPr>
                <w:rFonts w:hint="eastAsia"/>
                <w:sz w:val="21"/>
                <w:szCs w:val="21"/>
              </w:rPr>
            </w:pPr>
            <w:r>
              <w:rPr>
                <w:rFonts w:hint="eastAsia"/>
                <w:b/>
                <w:bCs/>
                <w:sz w:val="21"/>
                <w:szCs w:val="21"/>
              </w:rPr>
              <w:t>生态环保</w:t>
            </w:r>
          </w:p>
        </w:tc>
        <w:tc>
          <w:tcPr>
            <w:tcW w:w="1892" w:type="pct"/>
            <w:vAlign w:val="center"/>
          </w:tcPr>
          <w:p w14:paraId="61A40561">
            <w:pPr>
              <w:textAlignment w:val="center"/>
              <w:rPr>
                <w:rFonts w:hint="eastAsia"/>
                <w:color w:val="000000"/>
                <w:sz w:val="21"/>
                <w:szCs w:val="21"/>
              </w:rPr>
            </w:pPr>
          </w:p>
        </w:tc>
        <w:tc>
          <w:tcPr>
            <w:tcW w:w="484" w:type="pct"/>
            <w:vAlign w:val="center"/>
          </w:tcPr>
          <w:p w14:paraId="6C6F41C9">
            <w:pPr>
              <w:adjustRightInd w:val="0"/>
              <w:snapToGrid w:val="0"/>
              <w:jc w:val="center"/>
              <w:rPr>
                <w:rFonts w:hint="eastAsia"/>
                <w:color w:val="000000"/>
                <w:sz w:val="21"/>
                <w:szCs w:val="21"/>
              </w:rPr>
            </w:pPr>
            <w:r>
              <w:rPr>
                <w:rFonts w:hint="eastAsia"/>
                <w:color w:val="000000"/>
                <w:sz w:val="21"/>
                <w:szCs w:val="21"/>
              </w:rPr>
              <w:t>15</w:t>
            </w:r>
          </w:p>
        </w:tc>
        <w:tc>
          <w:tcPr>
            <w:tcW w:w="488" w:type="pct"/>
            <w:vAlign w:val="center"/>
          </w:tcPr>
          <w:p w14:paraId="033BBD46">
            <w:pPr>
              <w:adjustRightInd w:val="0"/>
              <w:snapToGrid w:val="0"/>
              <w:jc w:val="center"/>
              <w:rPr>
                <w:rFonts w:hint="eastAsia"/>
                <w:color w:val="000000"/>
                <w:sz w:val="21"/>
                <w:szCs w:val="21"/>
              </w:rPr>
            </w:pPr>
          </w:p>
        </w:tc>
      </w:tr>
      <w:tr w14:paraId="41851A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D1514F9">
            <w:pPr>
              <w:jc w:val="center"/>
              <w:rPr>
                <w:rFonts w:hint="eastAsia"/>
                <w:sz w:val="21"/>
                <w:szCs w:val="21"/>
              </w:rPr>
            </w:pPr>
            <w:r>
              <w:rPr>
                <w:sz w:val="21"/>
                <w:szCs w:val="21"/>
              </w:rPr>
              <w:t>1</w:t>
            </w:r>
          </w:p>
        </w:tc>
        <w:tc>
          <w:tcPr>
            <w:tcW w:w="1771" w:type="pct"/>
            <w:vAlign w:val="center"/>
          </w:tcPr>
          <w:p w14:paraId="7CD25471">
            <w:pPr>
              <w:rPr>
                <w:rFonts w:hint="eastAsia"/>
                <w:sz w:val="21"/>
                <w:szCs w:val="21"/>
              </w:rPr>
            </w:pPr>
            <w:r>
              <w:rPr>
                <w:rFonts w:hint="eastAsia"/>
                <w:sz w:val="21"/>
                <w:szCs w:val="21"/>
              </w:rPr>
              <w:t>风电场项目与生态环境、周边环境和谐统一。</w:t>
            </w:r>
          </w:p>
        </w:tc>
        <w:tc>
          <w:tcPr>
            <w:tcW w:w="1892" w:type="pct"/>
            <w:vAlign w:val="center"/>
          </w:tcPr>
          <w:p w14:paraId="2BFE77E6">
            <w:pPr>
              <w:textAlignment w:val="center"/>
              <w:rPr>
                <w:rFonts w:hint="eastAsia"/>
                <w:color w:val="000000"/>
                <w:sz w:val="21"/>
                <w:szCs w:val="21"/>
              </w:rPr>
            </w:pPr>
            <w:r>
              <w:rPr>
                <w:rFonts w:hint="eastAsia"/>
                <w:sz w:val="21"/>
                <w:szCs w:val="21"/>
              </w:rPr>
              <w:t>陆上风电根据所处的生态环境，如草原、戈壁、山地、平原等，设计需考虑和周边环境的统一协调，不破坏当地的生态环境；海上风电需考虑海洋生物、海洋环境的影响。</w:t>
            </w:r>
          </w:p>
        </w:tc>
        <w:tc>
          <w:tcPr>
            <w:tcW w:w="484" w:type="pct"/>
            <w:vAlign w:val="center"/>
          </w:tcPr>
          <w:p w14:paraId="5C4A8E57">
            <w:pPr>
              <w:adjustRightInd w:val="0"/>
              <w:snapToGrid w:val="0"/>
              <w:jc w:val="center"/>
              <w:rPr>
                <w:rFonts w:hint="eastAsia"/>
                <w:color w:val="000000"/>
                <w:sz w:val="21"/>
                <w:szCs w:val="21"/>
              </w:rPr>
            </w:pPr>
            <w:r>
              <w:rPr>
                <w:rFonts w:hint="eastAsia" w:cs="仿宋"/>
                <w:color w:val="000000"/>
                <w:kern w:val="0"/>
                <w:sz w:val="21"/>
                <w:szCs w:val="21"/>
                <w:lang w:bidi="ar"/>
              </w:rPr>
              <w:t>2.5</w:t>
            </w:r>
          </w:p>
        </w:tc>
        <w:tc>
          <w:tcPr>
            <w:tcW w:w="488" w:type="pct"/>
            <w:vAlign w:val="center"/>
          </w:tcPr>
          <w:p w14:paraId="33438D00">
            <w:pPr>
              <w:adjustRightInd w:val="0"/>
              <w:snapToGrid w:val="0"/>
              <w:jc w:val="center"/>
              <w:rPr>
                <w:rFonts w:hint="eastAsia"/>
                <w:color w:val="000000"/>
                <w:sz w:val="21"/>
                <w:szCs w:val="21"/>
              </w:rPr>
            </w:pPr>
          </w:p>
        </w:tc>
      </w:tr>
      <w:tr w14:paraId="62F17E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A5006D9">
            <w:pPr>
              <w:jc w:val="center"/>
              <w:rPr>
                <w:rFonts w:hint="eastAsia"/>
                <w:sz w:val="21"/>
                <w:szCs w:val="21"/>
              </w:rPr>
            </w:pPr>
            <w:r>
              <w:rPr>
                <w:sz w:val="21"/>
                <w:szCs w:val="21"/>
              </w:rPr>
              <w:t>2</w:t>
            </w:r>
          </w:p>
        </w:tc>
        <w:tc>
          <w:tcPr>
            <w:tcW w:w="1771" w:type="pct"/>
            <w:vAlign w:val="center"/>
          </w:tcPr>
          <w:p w14:paraId="5B236FBF">
            <w:pPr>
              <w:rPr>
                <w:rFonts w:hint="eastAsia"/>
                <w:sz w:val="21"/>
                <w:szCs w:val="21"/>
              </w:rPr>
            </w:pPr>
            <w:r>
              <w:rPr>
                <w:sz w:val="21"/>
                <w:szCs w:val="21"/>
              </w:rPr>
              <w:t>选用低噪声风电机组</w:t>
            </w:r>
            <w:r>
              <w:rPr>
                <w:rFonts w:hint="eastAsia"/>
                <w:sz w:val="21"/>
                <w:szCs w:val="21"/>
              </w:rPr>
              <w:t>和电气设备，风电机组设置鸟类趋避设施。</w:t>
            </w:r>
          </w:p>
        </w:tc>
        <w:tc>
          <w:tcPr>
            <w:tcW w:w="1892" w:type="pct"/>
            <w:vAlign w:val="center"/>
          </w:tcPr>
          <w:p w14:paraId="7982E613">
            <w:pPr>
              <w:textAlignment w:val="center"/>
              <w:rPr>
                <w:rFonts w:hint="eastAsia"/>
                <w:color w:val="000000"/>
                <w:sz w:val="21"/>
                <w:szCs w:val="21"/>
              </w:rPr>
            </w:pPr>
            <w:r>
              <w:rPr>
                <w:rFonts w:hint="eastAsia"/>
                <w:sz w:val="21"/>
                <w:szCs w:val="21"/>
              </w:rPr>
              <w:t>根据环评等相关要求，</w:t>
            </w:r>
            <w:r>
              <w:rPr>
                <w:sz w:val="21"/>
                <w:szCs w:val="21"/>
              </w:rPr>
              <w:t>选用低噪声风电机组</w:t>
            </w:r>
            <w:r>
              <w:rPr>
                <w:rFonts w:hint="eastAsia"/>
                <w:sz w:val="21"/>
                <w:szCs w:val="21"/>
              </w:rPr>
              <w:t>和电气设备（1.5分），风电机组设置鸟类趋避设施（1分）。</w:t>
            </w:r>
          </w:p>
        </w:tc>
        <w:tc>
          <w:tcPr>
            <w:tcW w:w="484" w:type="pct"/>
            <w:vAlign w:val="center"/>
          </w:tcPr>
          <w:p w14:paraId="2DC15220">
            <w:pPr>
              <w:adjustRightInd w:val="0"/>
              <w:snapToGrid w:val="0"/>
              <w:jc w:val="center"/>
              <w:rPr>
                <w:rFonts w:hint="eastAsia"/>
                <w:color w:val="000000"/>
                <w:sz w:val="21"/>
                <w:szCs w:val="21"/>
              </w:rPr>
            </w:pPr>
            <w:r>
              <w:rPr>
                <w:rFonts w:hint="eastAsia" w:cs="仿宋"/>
                <w:color w:val="000000"/>
                <w:kern w:val="0"/>
                <w:sz w:val="21"/>
                <w:szCs w:val="21"/>
                <w:lang w:bidi="ar"/>
              </w:rPr>
              <w:t>2.5</w:t>
            </w:r>
          </w:p>
        </w:tc>
        <w:tc>
          <w:tcPr>
            <w:tcW w:w="488" w:type="pct"/>
            <w:vAlign w:val="center"/>
          </w:tcPr>
          <w:p w14:paraId="6C786CC4">
            <w:pPr>
              <w:adjustRightInd w:val="0"/>
              <w:snapToGrid w:val="0"/>
              <w:jc w:val="center"/>
              <w:rPr>
                <w:rFonts w:hint="eastAsia"/>
                <w:color w:val="000000"/>
                <w:sz w:val="21"/>
                <w:szCs w:val="21"/>
              </w:rPr>
            </w:pPr>
          </w:p>
        </w:tc>
      </w:tr>
      <w:tr w14:paraId="374F3F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5910864">
            <w:pPr>
              <w:jc w:val="center"/>
              <w:rPr>
                <w:rFonts w:hint="eastAsia"/>
                <w:sz w:val="21"/>
                <w:szCs w:val="21"/>
              </w:rPr>
            </w:pPr>
            <w:r>
              <w:rPr>
                <w:sz w:val="21"/>
                <w:szCs w:val="21"/>
              </w:rPr>
              <w:t>3</w:t>
            </w:r>
          </w:p>
        </w:tc>
        <w:tc>
          <w:tcPr>
            <w:tcW w:w="1771" w:type="pct"/>
            <w:vAlign w:val="center"/>
          </w:tcPr>
          <w:p w14:paraId="07FBD95F">
            <w:pPr>
              <w:rPr>
                <w:rFonts w:hint="eastAsia"/>
                <w:sz w:val="21"/>
                <w:szCs w:val="21"/>
              </w:rPr>
            </w:pPr>
            <w:r>
              <w:rPr>
                <w:rFonts w:hint="eastAsia"/>
                <w:sz w:val="21"/>
                <w:szCs w:val="21"/>
              </w:rPr>
              <w:t>风电机组应防止油类的跑、冒、漏、滴，废油应储存在专设的废油箱中，应将废油、含油废物送交有资质单位回收处理。</w:t>
            </w:r>
          </w:p>
        </w:tc>
        <w:tc>
          <w:tcPr>
            <w:tcW w:w="1892" w:type="pct"/>
            <w:vAlign w:val="center"/>
          </w:tcPr>
          <w:p w14:paraId="63CEBA59">
            <w:pPr>
              <w:textAlignment w:val="center"/>
              <w:rPr>
                <w:rFonts w:hint="eastAsia"/>
                <w:color w:val="000000"/>
                <w:sz w:val="21"/>
                <w:szCs w:val="21"/>
              </w:rPr>
            </w:pPr>
            <w:r>
              <w:rPr>
                <w:rFonts w:hint="eastAsia"/>
                <w:color w:val="000000"/>
                <w:sz w:val="21"/>
                <w:szCs w:val="21"/>
              </w:rPr>
              <w:t>风电机组无</w:t>
            </w:r>
            <w:r>
              <w:rPr>
                <w:rFonts w:hint="eastAsia"/>
                <w:sz w:val="21"/>
                <w:szCs w:val="21"/>
              </w:rPr>
              <w:t>油类的跑、冒、漏、滴，废油应储存在专设的废油箱中，应将废油、含油废物送交有资质单位回收处理（有相关设施和合同）</w:t>
            </w:r>
          </w:p>
        </w:tc>
        <w:tc>
          <w:tcPr>
            <w:tcW w:w="484" w:type="pct"/>
            <w:vAlign w:val="center"/>
          </w:tcPr>
          <w:p w14:paraId="0CCFC1F3">
            <w:pPr>
              <w:adjustRightInd w:val="0"/>
              <w:snapToGrid w:val="0"/>
              <w:jc w:val="center"/>
              <w:rPr>
                <w:rFonts w:hint="eastAsia"/>
                <w:color w:val="000000"/>
                <w:sz w:val="21"/>
                <w:szCs w:val="21"/>
              </w:rPr>
            </w:pPr>
            <w:r>
              <w:rPr>
                <w:rFonts w:hint="eastAsia" w:cs="仿宋"/>
                <w:color w:val="000000"/>
                <w:kern w:val="0"/>
                <w:sz w:val="21"/>
                <w:szCs w:val="21"/>
                <w:lang w:bidi="ar"/>
              </w:rPr>
              <w:t>1</w:t>
            </w:r>
          </w:p>
        </w:tc>
        <w:tc>
          <w:tcPr>
            <w:tcW w:w="488" w:type="pct"/>
            <w:vAlign w:val="center"/>
          </w:tcPr>
          <w:p w14:paraId="1950440C">
            <w:pPr>
              <w:adjustRightInd w:val="0"/>
              <w:snapToGrid w:val="0"/>
              <w:jc w:val="center"/>
              <w:rPr>
                <w:rFonts w:hint="eastAsia"/>
                <w:color w:val="000000"/>
                <w:sz w:val="21"/>
                <w:szCs w:val="21"/>
              </w:rPr>
            </w:pPr>
          </w:p>
        </w:tc>
      </w:tr>
      <w:tr w14:paraId="54BE50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64D75D9">
            <w:pPr>
              <w:jc w:val="center"/>
              <w:rPr>
                <w:rFonts w:hint="eastAsia"/>
                <w:sz w:val="21"/>
                <w:szCs w:val="21"/>
              </w:rPr>
            </w:pPr>
            <w:r>
              <w:rPr>
                <w:sz w:val="21"/>
                <w:szCs w:val="21"/>
              </w:rPr>
              <w:t>4</w:t>
            </w:r>
          </w:p>
        </w:tc>
        <w:tc>
          <w:tcPr>
            <w:tcW w:w="1771" w:type="pct"/>
            <w:vAlign w:val="center"/>
          </w:tcPr>
          <w:p w14:paraId="14AF0284">
            <w:pPr>
              <w:rPr>
                <w:rFonts w:hint="eastAsia"/>
                <w:sz w:val="21"/>
                <w:szCs w:val="21"/>
              </w:rPr>
            </w:pPr>
            <w:r>
              <w:rPr>
                <w:rFonts w:hint="eastAsia"/>
                <w:sz w:val="21"/>
                <w:szCs w:val="21"/>
              </w:rPr>
              <w:t>选用低噪声施工设备，减少对于生物的影响。</w:t>
            </w:r>
          </w:p>
        </w:tc>
        <w:tc>
          <w:tcPr>
            <w:tcW w:w="1892" w:type="pct"/>
            <w:vAlign w:val="center"/>
          </w:tcPr>
          <w:p w14:paraId="19003F06">
            <w:pPr>
              <w:textAlignment w:val="center"/>
              <w:rPr>
                <w:rFonts w:hint="eastAsia"/>
                <w:color w:val="000000"/>
                <w:sz w:val="21"/>
                <w:szCs w:val="21"/>
              </w:rPr>
            </w:pPr>
            <w:r>
              <w:rPr>
                <w:rFonts w:hint="eastAsia"/>
                <w:sz w:val="21"/>
                <w:szCs w:val="21"/>
              </w:rPr>
              <w:t>根据环评报告等相关要求，选用符合要求的低噪声施工机械。</w:t>
            </w:r>
          </w:p>
        </w:tc>
        <w:tc>
          <w:tcPr>
            <w:tcW w:w="484" w:type="pct"/>
            <w:vAlign w:val="center"/>
          </w:tcPr>
          <w:p w14:paraId="397E7E14">
            <w:pPr>
              <w:adjustRightInd w:val="0"/>
              <w:snapToGrid w:val="0"/>
              <w:jc w:val="center"/>
              <w:rPr>
                <w:rFonts w:hint="eastAsia"/>
                <w:color w:val="000000"/>
                <w:sz w:val="21"/>
                <w:szCs w:val="21"/>
              </w:rPr>
            </w:pPr>
            <w:r>
              <w:rPr>
                <w:rFonts w:hint="eastAsia" w:cs="仿宋"/>
                <w:color w:val="000000"/>
                <w:kern w:val="0"/>
                <w:sz w:val="21"/>
                <w:szCs w:val="21"/>
                <w:lang w:bidi="ar"/>
              </w:rPr>
              <w:t>1.5</w:t>
            </w:r>
          </w:p>
        </w:tc>
        <w:tc>
          <w:tcPr>
            <w:tcW w:w="488" w:type="pct"/>
            <w:vAlign w:val="center"/>
          </w:tcPr>
          <w:p w14:paraId="44B7A83F">
            <w:pPr>
              <w:adjustRightInd w:val="0"/>
              <w:snapToGrid w:val="0"/>
              <w:jc w:val="center"/>
              <w:rPr>
                <w:rFonts w:hint="eastAsia"/>
                <w:color w:val="000000"/>
                <w:sz w:val="21"/>
                <w:szCs w:val="21"/>
              </w:rPr>
            </w:pPr>
          </w:p>
        </w:tc>
      </w:tr>
      <w:tr w14:paraId="4D11F8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42ADEBC">
            <w:pPr>
              <w:jc w:val="center"/>
              <w:rPr>
                <w:rFonts w:hint="eastAsia"/>
                <w:sz w:val="21"/>
                <w:szCs w:val="21"/>
              </w:rPr>
            </w:pPr>
            <w:r>
              <w:rPr>
                <w:sz w:val="21"/>
                <w:szCs w:val="21"/>
              </w:rPr>
              <w:t>5</w:t>
            </w:r>
          </w:p>
        </w:tc>
        <w:tc>
          <w:tcPr>
            <w:tcW w:w="1771" w:type="pct"/>
            <w:vAlign w:val="center"/>
          </w:tcPr>
          <w:p w14:paraId="1BAFA7DE">
            <w:pPr>
              <w:rPr>
                <w:rFonts w:hint="eastAsia"/>
                <w:sz w:val="21"/>
                <w:szCs w:val="21"/>
              </w:rPr>
            </w:pPr>
            <w:r>
              <w:rPr>
                <w:rFonts w:hint="eastAsia"/>
                <w:sz w:val="21"/>
                <w:szCs w:val="21"/>
              </w:rPr>
              <w:t>施工期污废水、固废等收集后统一处理，运行期污废水处理后排放或回用。</w:t>
            </w:r>
          </w:p>
        </w:tc>
        <w:tc>
          <w:tcPr>
            <w:tcW w:w="1892" w:type="pct"/>
            <w:vAlign w:val="center"/>
          </w:tcPr>
          <w:p w14:paraId="3CC7B3C2">
            <w:pPr>
              <w:textAlignment w:val="center"/>
              <w:rPr>
                <w:rFonts w:hint="eastAsia"/>
                <w:color w:val="000000"/>
                <w:sz w:val="21"/>
                <w:szCs w:val="21"/>
              </w:rPr>
            </w:pPr>
            <w:r>
              <w:rPr>
                <w:rFonts w:hint="eastAsia"/>
                <w:sz w:val="21"/>
                <w:szCs w:val="21"/>
              </w:rPr>
              <w:t>有相关设施和合同</w:t>
            </w:r>
          </w:p>
        </w:tc>
        <w:tc>
          <w:tcPr>
            <w:tcW w:w="484" w:type="pct"/>
            <w:vAlign w:val="center"/>
          </w:tcPr>
          <w:p w14:paraId="5447F796">
            <w:pPr>
              <w:adjustRightInd w:val="0"/>
              <w:snapToGrid w:val="0"/>
              <w:jc w:val="center"/>
              <w:rPr>
                <w:rFonts w:hint="eastAsia"/>
                <w:color w:val="000000"/>
                <w:sz w:val="21"/>
                <w:szCs w:val="21"/>
              </w:rPr>
            </w:pPr>
            <w:r>
              <w:rPr>
                <w:rFonts w:hint="eastAsia" w:cs="仿宋"/>
                <w:color w:val="000000"/>
                <w:kern w:val="0"/>
                <w:sz w:val="21"/>
                <w:szCs w:val="21"/>
                <w:lang w:bidi="ar"/>
              </w:rPr>
              <w:t>2</w:t>
            </w:r>
          </w:p>
        </w:tc>
        <w:tc>
          <w:tcPr>
            <w:tcW w:w="488" w:type="pct"/>
            <w:vAlign w:val="center"/>
          </w:tcPr>
          <w:p w14:paraId="67F214B9">
            <w:pPr>
              <w:adjustRightInd w:val="0"/>
              <w:snapToGrid w:val="0"/>
              <w:jc w:val="center"/>
              <w:rPr>
                <w:rFonts w:hint="eastAsia"/>
                <w:color w:val="000000"/>
                <w:sz w:val="21"/>
                <w:szCs w:val="21"/>
              </w:rPr>
            </w:pPr>
          </w:p>
        </w:tc>
      </w:tr>
      <w:tr w14:paraId="776F4C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56D1FBD">
            <w:pPr>
              <w:jc w:val="center"/>
              <w:rPr>
                <w:rFonts w:hint="eastAsia"/>
                <w:sz w:val="21"/>
                <w:szCs w:val="21"/>
              </w:rPr>
            </w:pPr>
            <w:r>
              <w:rPr>
                <w:sz w:val="21"/>
                <w:szCs w:val="21"/>
              </w:rPr>
              <w:t>6</w:t>
            </w:r>
          </w:p>
        </w:tc>
        <w:tc>
          <w:tcPr>
            <w:tcW w:w="1771" w:type="pct"/>
            <w:vAlign w:val="center"/>
          </w:tcPr>
          <w:p w14:paraId="06677EDD">
            <w:pPr>
              <w:rPr>
                <w:rFonts w:hint="eastAsia"/>
                <w:sz w:val="21"/>
                <w:szCs w:val="21"/>
              </w:rPr>
            </w:pPr>
            <w:r>
              <w:rPr>
                <w:sz w:val="21"/>
                <w:szCs w:val="21"/>
              </w:rPr>
              <w:t>生态补偿方案设计合理，满足生态修复的需求。</w:t>
            </w:r>
          </w:p>
        </w:tc>
        <w:tc>
          <w:tcPr>
            <w:tcW w:w="1892" w:type="pct"/>
            <w:vAlign w:val="center"/>
          </w:tcPr>
          <w:p w14:paraId="4B7A98A9">
            <w:pPr>
              <w:textAlignment w:val="center"/>
              <w:rPr>
                <w:rFonts w:hint="eastAsia"/>
                <w:color w:val="000000"/>
                <w:sz w:val="21"/>
                <w:szCs w:val="21"/>
              </w:rPr>
            </w:pPr>
            <w:r>
              <w:rPr>
                <w:rFonts w:hint="eastAsia"/>
                <w:color w:val="000000"/>
                <w:sz w:val="21"/>
                <w:szCs w:val="21"/>
              </w:rPr>
              <w:t>有生态补偿设计方案</w:t>
            </w:r>
          </w:p>
        </w:tc>
        <w:tc>
          <w:tcPr>
            <w:tcW w:w="484" w:type="pct"/>
            <w:vAlign w:val="center"/>
          </w:tcPr>
          <w:p w14:paraId="393F63F6">
            <w:pPr>
              <w:adjustRightInd w:val="0"/>
              <w:snapToGrid w:val="0"/>
              <w:jc w:val="center"/>
              <w:rPr>
                <w:rFonts w:hint="eastAsia"/>
                <w:color w:val="000000"/>
                <w:sz w:val="21"/>
                <w:szCs w:val="21"/>
              </w:rPr>
            </w:pPr>
            <w:r>
              <w:rPr>
                <w:rFonts w:hint="eastAsia" w:cs="仿宋"/>
                <w:color w:val="000000"/>
                <w:kern w:val="0"/>
                <w:sz w:val="21"/>
                <w:szCs w:val="21"/>
                <w:lang w:bidi="ar"/>
              </w:rPr>
              <w:t>1.5</w:t>
            </w:r>
          </w:p>
        </w:tc>
        <w:tc>
          <w:tcPr>
            <w:tcW w:w="488" w:type="pct"/>
            <w:vAlign w:val="center"/>
          </w:tcPr>
          <w:p w14:paraId="4FEAA2AB">
            <w:pPr>
              <w:adjustRightInd w:val="0"/>
              <w:snapToGrid w:val="0"/>
              <w:jc w:val="center"/>
              <w:rPr>
                <w:rFonts w:hint="eastAsia"/>
                <w:color w:val="000000"/>
                <w:sz w:val="21"/>
                <w:szCs w:val="21"/>
              </w:rPr>
            </w:pPr>
          </w:p>
        </w:tc>
      </w:tr>
      <w:tr w14:paraId="4AA5A3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3E3C254">
            <w:pPr>
              <w:jc w:val="center"/>
              <w:rPr>
                <w:rFonts w:hint="eastAsia"/>
                <w:sz w:val="21"/>
                <w:szCs w:val="21"/>
              </w:rPr>
            </w:pPr>
            <w:r>
              <w:rPr>
                <w:sz w:val="21"/>
                <w:szCs w:val="21"/>
              </w:rPr>
              <w:t>7</w:t>
            </w:r>
          </w:p>
        </w:tc>
        <w:tc>
          <w:tcPr>
            <w:tcW w:w="1771" w:type="pct"/>
            <w:vAlign w:val="center"/>
          </w:tcPr>
          <w:p w14:paraId="53A2CB7C">
            <w:pPr>
              <w:rPr>
                <w:rFonts w:hint="eastAsia"/>
                <w:sz w:val="21"/>
                <w:szCs w:val="21"/>
              </w:rPr>
            </w:pPr>
            <w:r>
              <w:rPr>
                <w:rFonts w:hint="eastAsia"/>
                <w:sz w:val="21"/>
                <w:szCs w:val="21"/>
              </w:rPr>
              <w:t>环境监测计划完善，环境监测报告齐全。</w:t>
            </w:r>
          </w:p>
        </w:tc>
        <w:tc>
          <w:tcPr>
            <w:tcW w:w="1892" w:type="pct"/>
            <w:vAlign w:val="center"/>
          </w:tcPr>
          <w:p w14:paraId="27652C04">
            <w:pPr>
              <w:textAlignment w:val="center"/>
              <w:rPr>
                <w:rFonts w:hint="eastAsia"/>
                <w:color w:val="000000"/>
                <w:sz w:val="21"/>
                <w:szCs w:val="21"/>
              </w:rPr>
            </w:pPr>
            <w:r>
              <w:rPr>
                <w:rFonts w:hint="eastAsia"/>
                <w:sz w:val="21"/>
                <w:szCs w:val="21"/>
              </w:rPr>
              <w:t>有环境监测计划并且完善，环境监测报告齐全</w:t>
            </w:r>
          </w:p>
        </w:tc>
        <w:tc>
          <w:tcPr>
            <w:tcW w:w="484" w:type="pct"/>
            <w:vAlign w:val="center"/>
          </w:tcPr>
          <w:p w14:paraId="6F56525E">
            <w:pPr>
              <w:adjustRightInd w:val="0"/>
              <w:snapToGrid w:val="0"/>
              <w:jc w:val="center"/>
              <w:rPr>
                <w:rFonts w:hint="eastAsia"/>
                <w:color w:val="000000"/>
                <w:sz w:val="21"/>
                <w:szCs w:val="21"/>
              </w:rPr>
            </w:pPr>
            <w:r>
              <w:rPr>
                <w:rFonts w:hint="eastAsia" w:cs="仿宋"/>
                <w:color w:val="000000"/>
                <w:kern w:val="0"/>
                <w:sz w:val="21"/>
                <w:szCs w:val="21"/>
                <w:lang w:bidi="ar"/>
              </w:rPr>
              <w:t>1</w:t>
            </w:r>
          </w:p>
        </w:tc>
        <w:tc>
          <w:tcPr>
            <w:tcW w:w="488" w:type="pct"/>
            <w:vAlign w:val="center"/>
          </w:tcPr>
          <w:p w14:paraId="5DA2D3D6">
            <w:pPr>
              <w:adjustRightInd w:val="0"/>
              <w:snapToGrid w:val="0"/>
              <w:jc w:val="center"/>
              <w:rPr>
                <w:rFonts w:hint="eastAsia"/>
                <w:color w:val="000000"/>
                <w:sz w:val="21"/>
                <w:szCs w:val="21"/>
              </w:rPr>
            </w:pPr>
          </w:p>
        </w:tc>
      </w:tr>
      <w:tr w14:paraId="6B516C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F9011CC">
            <w:pPr>
              <w:jc w:val="center"/>
              <w:rPr>
                <w:rFonts w:hint="eastAsia"/>
                <w:sz w:val="21"/>
                <w:szCs w:val="21"/>
              </w:rPr>
            </w:pPr>
            <w:r>
              <w:rPr>
                <w:sz w:val="21"/>
                <w:szCs w:val="21"/>
              </w:rPr>
              <w:t>8</w:t>
            </w:r>
          </w:p>
        </w:tc>
        <w:tc>
          <w:tcPr>
            <w:tcW w:w="1771" w:type="pct"/>
            <w:vAlign w:val="center"/>
          </w:tcPr>
          <w:p w14:paraId="65079B7E">
            <w:pPr>
              <w:rPr>
                <w:rFonts w:hint="eastAsia"/>
                <w:sz w:val="21"/>
                <w:szCs w:val="21"/>
              </w:rPr>
            </w:pPr>
            <w:r>
              <w:rPr>
                <w:rFonts w:hint="eastAsia"/>
                <w:sz w:val="21"/>
                <w:szCs w:val="21"/>
              </w:rPr>
              <w:t>土石方挖填量少，可实现土石方量自身平衡，减少对水土保持、生态环境的影响。</w:t>
            </w:r>
          </w:p>
        </w:tc>
        <w:tc>
          <w:tcPr>
            <w:tcW w:w="1892" w:type="pct"/>
            <w:vAlign w:val="center"/>
          </w:tcPr>
          <w:p w14:paraId="6FE52F8D">
            <w:pPr>
              <w:textAlignment w:val="center"/>
              <w:rPr>
                <w:rFonts w:hint="eastAsia"/>
                <w:color w:val="000000"/>
                <w:sz w:val="21"/>
                <w:szCs w:val="21"/>
              </w:rPr>
            </w:pPr>
            <w:r>
              <w:rPr>
                <w:rFonts w:hint="eastAsia"/>
                <w:sz w:val="21"/>
                <w:szCs w:val="21"/>
              </w:rPr>
              <w:t>土石方挖填量少，尽量实现土石方量自身平衡</w:t>
            </w:r>
          </w:p>
        </w:tc>
        <w:tc>
          <w:tcPr>
            <w:tcW w:w="484" w:type="pct"/>
            <w:vAlign w:val="center"/>
          </w:tcPr>
          <w:p w14:paraId="465E1AF3">
            <w:pPr>
              <w:adjustRightInd w:val="0"/>
              <w:snapToGrid w:val="0"/>
              <w:jc w:val="center"/>
              <w:rPr>
                <w:rFonts w:hint="eastAsia"/>
                <w:color w:val="000000"/>
                <w:sz w:val="21"/>
                <w:szCs w:val="21"/>
              </w:rPr>
            </w:pPr>
            <w:r>
              <w:rPr>
                <w:rFonts w:hint="eastAsia" w:cs="仿宋"/>
                <w:color w:val="000000"/>
                <w:kern w:val="0"/>
                <w:sz w:val="21"/>
                <w:szCs w:val="21"/>
                <w:lang w:bidi="ar"/>
              </w:rPr>
              <w:t>2(海上风电取1)</w:t>
            </w:r>
          </w:p>
        </w:tc>
        <w:tc>
          <w:tcPr>
            <w:tcW w:w="488" w:type="pct"/>
            <w:vAlign w:val="center"/>
          </w:tcPr>
          <w:p w14:paraId="233CB751">
            <w:pPr>
              <w:adjustRightInd w:val="0"/>
              <w:snapToGrid w:val="0"/>
              <w:jc w:val="center"/>
              <w:rPr>
                <w:rFonts w:hint="eastAsia"/>
                <w:color w:val="000000"/>
                <w:sz w:val="21"/>
                <w:szCs w:val="21"/>
              </w:rPr>
            </w:pPr>
          </w:p>
        </w:tc>
      </w:tr>
      <w:tr w14:paraId="0EBA06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DBC4EAE">
            <w:pPr>
              <w:jc w:val="center"/>
              <w:rPr>
                <w:rFonts w:hint="eastAsia"/>
                <w:sz w:val="21"/>
                <w:szCs w:val="21"/>
              </w:rPr>
            </w:pPr>
            <w:r>
              <w:rPr>
                <w:sz w:val="21"/>
                <w:szCs w:val="21"/>
              </w:rPr>
              <w:t>9</w:t>
            </w:r>
          </w:p>
        </w:tc>
        <w:tc>
          <w:tcPr>
            <w:tcW w:w="1771" w:type="pct"/>
            <w:vAlign w:val="center"/>
          </w:tcPr>
          <w:p w14:paraId="2C233D82">
            <w:pPr>
              <w:rPr>
                <w:rFonts w:hint="eastAsia"/>
                <w:sz w:val="21"/>
                <w:szCs w:val="21"/>
              </w:rPr>
            </w:pPr>
            <w:r>
              <w:rPr>
                <w:rFonts w:hint="eastAsia"/>
                <w:sz w:val="21"/>
                <w:szCs w:val="21"/>
              </w:rPr>
              <w:t>水土保持设计方案和投资合理。</w:t>
            </w:r>
          </w:p>
        </w:tc>
        <w:tc>
          <w:tcPr>
            <w:tcW w:w="1892" w:type="pct"/>
            <w:vAlign w:val="center"/>
          </w:tcPr>
          <w:p w14:paraId="5EFB64F7">
            <w:pPr>
              <w:textAlignment w:val="center"/>
              <w:rPr>
                <w:rFonts w:hint="eastAsia"/>
                <w:color w:val="000000"/>
                <w:sz w:val="21"/>
                <w:szCs w:val="21"/>
              </w:rPr>
            </w:pPr>
            <w:r>
              <w:rPr>
                <w:rFonts w:hint="eastAsia"/>
                <w:color w:val="000000"/>
                <w:sz w:val="21"/>
                <w:szCs w:val="21"/>
              </w:rPr>
              <w:t>有</w:t>
            </w:r>
            <w:r>
              <w:rPr>
                <w:rFonts w:hint="eastAsia"/>
                <w:sz w:val="21"/>
                <w:szCs w:val="21"/>
              </w:rPr>
              <w:t>水土保持设计方案和投资计划，并且合理</w:t>
            </w:r>
          </w:p>
        </w:tc>
        <w:tc>
          <w:tcPr>
            <w:tcW w:w="484" w:type="pct"/>
            <w:vAlign w:val="center"/>
          </w:tcPr>
          <w:p w14:paraId="6D5D2F2B">
            <w:pPr>
              <w:adjustRightInd w:val="0"/>
              <w:snapToGrid w:val="0"/>
              <w:jc w:val="center"/>
              <w:rPr>
                <w:rFonts w:hint="eastAsia"/>
                <w:color w:val="000000"/>
                <w:sz w:val="21"/>
                <w:szCs w:val="21"/>
              </w:rPr>
            </w:pPr>
            <w:r>
              <w:rPr>
                <w:rFonts w:hint="eastAsia" w:cs="仿宋"/>
                <w:color w:val="000000"/>
                <w:kern w:val="0"/>
                <w:sz w:val="21"/>
                <w:szCs w:val="21"/>
                <w:lang w:bidi="ar"/>
              </w:rPr>
              <w:t>1</w:t>
            </w:r>
          </w:p>
        </w:tc>
        <w:tc>
          <w:tcPr>
            <w:tcW w:w="488" w:type="pct"/>
            <w:vAlign w:val="center"/>
          </w:tcPr>
          <w:p w14:paraId="2AE783DA">
            <w:pPr>
              <w:adjustRightInd w:val="0"/>
              <w:snapToGrid w:val="0"/>
              <w:jc w:val="center"/>
              <w:rPr>
                <w:rFonts w:hint="eastAsia"/>
                <w:color w:val="000000"/>
                <w:sz w:val="21"/>
                <w:szCs w:val="21"/>
              </w:rPr>
            </w:pPr>
          </w:p>
        </w:tc>
      </w:tr>
      <w:tr w14:paraId="2BC8E8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18AFCB5">
            <w:pPr>
              <w:jc w:val="center"/>
              <w:rPr>
                <w:rFonts w:hint="eastAsia"/>
                <w:sz w:val="21"/>
                <w:szCs w:val="21"/>
              </w:rPr>
            </w:pPr>
            <w:r>
              <w:rPr>
                <w:sz w:val="21"/>
                <w:szCs w:val="21"/>
              </w:rPr>
              <w:t>10</w:t>
            </w:r>
          </w:p>
        </w:tc>
        <w:tc>
          <w:tcPr>
            <w:tcW w:w="1771" w:type="pct"/>
            <w:vAlign w:val="center"/>
          </w:tcPr>
          <w:p w14:paraId="1C0D6CDE">
            <w:pPr>
              <w:rPr>
                <w:rFonts w:hint="eastAsia"/>
                <w:sz w:val="21"/>
                <w:szCs w:val="21"/>
              </w:rPr>
            </w:pPr>
            <w:r>
              <w:rPr>
                <w:rFonts w:hint="eastAsia"/>
                <w:sz w:val="21"/>
                <w:szCs w:val="21"/>
              </w:rPr>
              <w:t>海上风电施工组织设计合理，减少水上水下施工作业时间，避免在鱼类产卵和鸟类迁徙高峰期间施工。</w:t>
            </w:r>
          </w:p>
        </w:tc>
        <w:tc>
          <w:tcPr>
            <w:tcW w:w="1892" w:type="pct"/>
            <w:vAlign w:val="center"/>
          </w:tcPr>
          <w:p w14:paraId="4A165491">
            <w:pPr>
              <w:textAlignment w:val="center"/>
              <w:rPr>
                <w:rFonts w:hint="eastAsia"/>
                <w:color w:val="000000"/>
                <w:sz w:val="21"/>
                <w:szCs w:val="21"/>
              </w:rPr>
            </w:pPr>
            <w:r>
              <w:rPr>
                <w:rFonts w:hint="eastAsia"/>
                <w:color w:val="000000"/>
                <w:sz w:val="21"/>
                <w:szCs w:val="21"/>
              </w:rPr>
              <w:t>根据环评等要求，进行合理的施工组织设计</w:t>
            </w:r>
          </w:p>
        </w:tc>
        <w:tc>
          <w:tcPr>
            <w:tcW w:w="484" w:type="pct"/>
            <w:vAlign w:val="center"/>
          </w:tcPr>
          <w:p w14:paraId="55B7294C">
            <w:pPr>
              <w:adjustRightInd w:val="0"/>
              <w:snapToGrid w:val="0"/>
              <w:jc w:val="center"/>
              <w:rPr>
                <w:rFonts w:hint="eastAsia"/>
                <w:color w:val="000000"/>
                <w:sz w:val="21"/>
                <w:szCs w:val="21"/>
              </w:rPr>
            </w:pPr>
            <w:r>
              <w:rPr>
                <w:rFonts w:hint="eastAsia" w:cs="仿宋"/>
                <w:color w:val="000000"/>
                <w:kern w:val="0"/>
                <w:sz w:val="21"/>
                <w:szCs w:val="21"/>
                <w:lang w:bidi="ar"/>
              </w:rPr>
              <w:t>1</w:t>
            </w:r>
          </w:p>
        </w:tc>
        <w:tc>
          <w:tcPr>
            <w:tcW w:w="488" w:type="pct"/>
            <w:vAlign w:val="center"/>
          </w:tcPr>
          <w:p w14:paraId="6EB834A7">
            <w:pPr>
              <w:adjustRightInd w:val="0"/>
              <w:snapToGrid w:val="0"/>
              <w:jc w:val="center"/>
              <w:rPr>
                <w:rFonts w:hint="eastAsia"/>
                <w:color w:val="000000"/>
                <w:sz w:val="21"/>
                <w:szCs w:val="21"/>
              </w:rPr>
            </w:pPr>
          </w:p>
        </w:tc>
      </w:tr>
      <w:tr w14:paraId="6E73E5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57A03AC">
            <w:pPr>
              <w:jc w:val="center"/>
              <w:rPr>
                <w:rFonts w:hint="eastAsia"/>
                <w:sz w:val="21"/>
                <w:szCs w:val="21"/>
              </w:rPr>
            </w:pPr>
            <w:r>
              <w:rPr>
                <w:b/>
                <w:bCs/>
                <w:sz w:val="21"/>
                <w:szCs w:val="21"/>
              </w:rPr>
              <w:t>5.3.4</w:t>
            </w:r>
          </w:p>
        </w:tc>
        <w:tc>
          <w:tcPr>
            <w:tcW w:w="1771" w:type="pct"/>
            <w:vAlign w:val="center"/>
          </w:tcPr>
          <w:p w14:paraId="44EBC0FD">
            <w:pPr>
              <w:rPr>
                <w:rFonts w:hint="eastAsia"/>
                <w:sz w:val="21"/>
                <w:szCs w:val="21"/>
              </w:rPr>
            </w:pPr>
            <w:r>
              <w:rPr>
                <w:rFonts w:hint="eastAsia"/>
                <w:b/>
                <w:bCs/>
                <w:sz w:val="21"/>
                <w:szCs w:val="21"/>
              </w:rPr>
              <w:t>综合效益</w:t>
            </w:r>
          </w:p>
        </w:tc>
        <w:tc>
          <w:tcPr>
            <w:tcW w:w="1892" w:type="pct"/>
            <w:vAlign w:val="center"/>
          </w:tcPr>
          <w:p w14:paraId="23578C25">
            <w:pPr>
              <w:textAlignment w:val="center"/>
              <w:rPr>
                <w:rFonts w:hint="eastAsia"/>
                <w:color w:val="000000"/>
                <w:sz w:val="21"/>
                <w:szCs w:val="21"/>
              </w:rPr>
            </w:pPr>
          </w:p>
        </w:tc>
        <w:tc>
          <w:tcPr>
            <w:tcW w:w="484" w:type="pct"/>
            <w:vAlign w:val="center"/>
          </w:tcPr>
          <w:p w14:paraId="70A81FEF">
            <w:pPr>
              <w:adjustRightInd w:val="0"/>
              <w:snapToGrid w:val="0"/>
              <w:jc w:val="center"/>
              <w:rPr>
                <w:rFonts w:hint="eastAsia"/>
                <w:color w:val="000000"/>
                <w:sz w:val="21"/>
                <w:szCs w:val="21"/>
              </w:rPr>
            </w:pPr>
            <w:r>
              <w:rPr>
                <w:rFonts w:hint="eastAsia"/>
                <w:color w:val="000000"/>
                <w:sz w:val="21"/>
                <w:szCs w:val="21"/>
              </w:rPr>
              <w:t>20</w:t>
            </w:r>
          </w:p>
        </w:tc>
        <w:tc>
          <w:tcPr>
            <w:tcW w:w="488" w:type="pct"/>
            <w:vAlign w:val="center"/>
          </w:tcPr>
          <w:p w14:paraId="7CDE1260">
            <w:pPr>
              <w:adjustRightInd w:val="0"/>
              <w:snapToGrid w:val="0"/>
              <w:jc w:val="center"/>
              <w:rPr>
                <w:rFonts w:hint="eastAsia"/>
                <w:color w:val="000000"/>
                <w:sz w:val="21"/>
                <w:szCs w:val="21"/>
              </w:rPr>
            </w:pPr>
          </w:p>
        </w:tc>
      </w:tr>
      <w:tr w14:paraId="1CE549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F2A37B8">
            <w:pPr>
              <w:jc w:val="center"/>
              <w:rPr>
                <w:rFonts w:hint="eastAsia"/>
                <w:sz w:val="21"/>
                <w:szCs w:val="21"/>
              </w:rPr>
            </w:pPr>
            <w:r>
              <w:rPr>
                <w:sz w:val="21"/>
                <w:szCs w:val="21"/>
              </w:rPr>
              <w:t>1</w:t>
            </w:r>
          </w:p>
        </w:tc>
        <w:tc>
          <w:tcPr>
            <w:tcW w:w="1771" w:type="pct"/>
            <w:vAlign w:val="center"/>
          </w:tcPr>
          <w:p w14:paraId="41A87D1D">
            <w:pPr>
              <w:rPr>
                <w:rFonts w:hint="eastAsia"/>
                <w:sz w:val="21"/>
                <w:szCs w:val="21"/>
              </w:rPr>
            </w:pPr>
            <w:r>
              <w:rPr>
                <w:rFonts w:hint="eastAsia"/>
                <w:sz w:val="21"/>
                <w:szCs w:val="21"/>
              </w:rPr>
              <w:t>在综合投资方面有显著改进，并取得显著成效；发电量、收益率等重要经济技术指标处于领先水平。</w:t>
            </w:r>
            <w:r>
              <w:rPr>
                <w:sz w:val="21"/>
                <w:szCs w:val="21"/>
              </w:rPr>
              <w:t xml:space="preserve"> </w:t>
            </w:r>
          </w:p>
        </w:tc>
        <w:tc>
          <w:tcPr>
            <w:tcW w:w="1892" w:type="pct"/>
            <w:vAlign w:val="center"/>
          </w:tcPr>
          <w:p w14:paraId="77D49155">
            <w:pPr>
              <w:textAlignment w:val="center"/>
              <w:rPr>
                <w:rFonts w:hint="eastAsia"/>
                <w:color w:val="000000"/>
                <w:sz w:val="21"/>
                <w:szCs w:val="21"/>
              </w:rPr>
            </w:pPr>
            <w:r>
              <w:rPr>
                <w:rFonts w:hint="eastAsia"/>
                <w:color w:val="000000"/>
                <w:sz w:val="21"/>
                <w:szCs w:val="21"/>
              </w:rPr>
              <w:t>发电量、项目收益率高</w:t>
            </w:r>
          </w:p>
        </w:tc>
        <w:tc>
          <w:tcPr>
            <w:tcW w:w="484" w:type="pct"/>
            <w:vAlign w:val="center"/>
          </w:tcPr>
          <w:p w14:paraId="30D854E1">
            <w:pPr>
              <w:adjustRightInd w:val="0"/>
              <w:snapToGrid w:val="0"/>
              <w:jc w:val="center"/>
              <w:rPr>
                <w:rFonts w:hint="eastAsia"/>
                <w:color w:val="000000"/>
                <w:sz w:val="21"/>
                <w:szCs w:val="21"/>
              </w:rPr>
            </w:pPr>
            <w:r>
              <w:rPr>
                <w:rFonts w:hint="eastAsia" w:cs="仿宋"/>
                <w:color w:val="000000"/>
                <w:kern w:val="0"/>
                <w:sz w:val="21"/>
                <w:szCs w:val="21"/>
                <w:lang w:bidi="ar"/>
              </w:rPr>
              <w:t>6</w:t>
            </w:r>
          </w:p>
        </w:tc>
        <w:tc>
          <w:tcPr>
            <w:tcW w:w="488" w:type="pct"/>
            <w:vAlign w:val="center"/>
          </w:tcPr>
          <w:p w14:paraId="763CFDE6">
            <w:pPr>
              <w:adjustRightInd w:val="0"/>
              <w:snapToGrid w:val="0"/>
              <w:jc w:val="center"/>
              <w:rPr>
                <w:rFonts w:hint="eastAsia"/>
                <w:color w:val="000000"/>
                <w:sz w:val="21"/>
                <w:szCs w:val="21"/>
              </w:rPr>
            </w:pPr>
          </w:p>
        </w:tc>
      </w:tr>
      <w:tr w14:paraId="4E0EB0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33A0CC8">
            <w:pPr>
              <w:jc w:val="center"/>
              <w:rPr>
                <w:rFonts w:hint="eastAsia"/>
                <w:sz w:val="21"/>
                <w:szCs w:val="21"/>
              </w:rPr>
            </w:pPr>
            <w:r>
              <w:rPr>
                <w:sz w:val="21"/>
                <w:szCs w:val="21"/>
              </w:rPr>
              <w:t>2</w:t>
            </w:r>
          </w:p>
        </w:tc>
        <w:tc>
          <w:tcPr>
            <w:tcW w:w="1771" w:type="pct"/>
            <w:vAlign w:val="center"/>
          </w:tcPr>
          <w:p w14:paraId="05090729">
            <w:pPr>
              <w:rPr>
                <w:rFonts w:hint="eastAsia"/>
                <w:sz w:val="21"/>
                <w:szCs w:val="21"/>
              </w:rPr>
            </w:pPr>
            <w:r>
              <w:rPr>
                <w:rFonts w:hint="eastAsia"/>
                <w:sz w:val="21"/>
                <w:szCs w:val="21"/>
              </w:rPr>
              <w:t>工程融合方案具有创新性和示范性，带动新兴技术发展。</w:t>
            </w:r>
          </w:p>
        </w:tc>
        <w:tc>
          <w:tcPr>
            <w:tcW w:w="1892" w:type="pct"/>
            <w:vAlign w:val="center"/>
          </w:tcPr>
          <w:p w14:paraId="466473B4">
            <w:pPr>
              <w:textAlignment w:val="center"/>
              <w:rPr>
                <w:rFonts w:hint="eastAsia"/>
                <w:color w:val="000000"/>
                <w:sz w:val="21"/>
                <w:szCs w:val="21"/>
              </w:rPr>
            </w:pPr>
            <w:r>
              <w:rPr>
                <w:rFonts w:hint="eastAsia"/>
                <w:sz w:val="21"/>
                <w:szCs w:val="21"/>
              </w:rPr>
              <w:t>风电项目需充分考虑和当地以及相关产业的融合，做好“风电+”的带动性和示范性。比如：制氢、制氨、储能、旅游、科普教育、海洋牧场等，有一项即可得6分。</w:t>
            </w:r>
          </w:p>
        </w:tc>
        <w:tc>
          <w:tcPr>
            <w:tcW w:w="484" w:type="pct"/>
            <w:vAlign w:val="center"/>
          </w:tcPr>
          <w:p w14:paraId="16B7A8FE">
            <w:pPr>
              <w:adjustRightInd w:val="0"/>
              <w:snapToGrid w:val="0"/>
              <w:jc w:val="center"/>
              <w:rPr>
                <w:rFonts w:hint="eastAsia"/>
                <w:color w:val="000000"/>
                <w:sz w:val="21"/>
                <w:szCs w:val="21"/>
              </w:rPr>
            </w:pPr>
            <w:r>
              <w:rPr>
                <w:rFonts w:hint="eastAsia" w:cs="仿宋"/>
                <w:color w:val="000000"/>
                <w:kern w:val="0"/>
                <w:sz w:val="21"/>
                <w:szCs w:val="21"/>
                <w:lang w:bidi="ar"/>
              </w:rPr>
              <w:t>6</w:t>
            </w:r>
          </w:p>
        </w:tc>
        <w:tc>
          <w:tcPr>
            <w:tcW w:w="488" w:type="pct"/>
            <w:vAlign w:val="center"/>
          </w:tcPr>
          <w:p w14:paraId="1EDAE1A1">
            <w:pPr>
              <w:adjustRightInd w:val="0"/>
              <w:snapToGrid w:val="0"/>
              <w:jc w:val="center"/>
              <w:rPr>
                <w:rFonts w:hint="eastAsia"/>
                <w:color w:val="000000"/>
                <w:sz w:val="21"/>
                <w:szCs w:val="21"/>
              </w:rPr>
            </w:pPr>
          </w:p>
        </w:tc>
      </w:tr>
      <w:tr w14:paraId="24A461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49C0EB3">
            <w:pPr>
              <w:jc w:val="center"/>
              <w:rPr>
                <w:rFonts w:hint="eastAsia"/>
                <w:sz w:val="21"/>
                <w:szCs w:val="21"/>
              </w:rPr>
            </w:pPr>
            <w:r>
              <w:rPr>
                <w:sz w:val="21"/>
                <w:szCs w:val="21"/>
              </w:rPr>
              <w:t>3</w:t>
            </w:r>
          </w:p>
        </w:tc>
        <w:tc>
          <w:tcPr>
            <w:tcW w:w="1771" w:type="pct"/>
            <w:vAlign w:val="center"/>
          </w:tcPr>
          <w:p w14:paraId="11ECB190">
            <w:pPr>
              <w:rPr>
                <w:rFonts w:hint="eastAsia"/>
                <w:sz w:val="21"/>
                <w:szCs w:val="21"/>
              </w:rPr>
            </w:pPr>
            <w:r>
              <w:rPr>
                <w:rFonts w:hint="eastAsia"/>
                <w:sz w:val="21"/>
                <w:szCs w:val="21"/>
              </w:rPr>
              <w:t>在资源节约、环境保护等方面亮点突</w:t>
            </w:r>
            <w:r>
              <w:rPr>
                <w:sz w:val="21"/>
                <w:szCs w:val="21"/>
              </w:rPr>
              <w:t xml:space="preserve">出，社会满意度较高。 </w:t>
            </w:r>
          </w:p>
        </w:tc>
        <w:tc>
          <w:tcPr>
            <w:tcW w:w="1892" w:type="pct"/>
            <w:vAlign w:val="center"/>
          </w:tcPr>
          <w:p w14:paraId="40648E32">
            <w:pPr>
              <w:textAlignment w:val="center"/>
              <w:rPr>
                <w:rFonts w:hint="eastAsia"/>
                <w:color w:val="000000"/>
                <w:sz w:val="21"/>
                <w:szCs w:val="21"/>
              </w:rPr>
            </w:pPr>
            <w:r>
              <w:rPr>
                <w:rFonts w:hint="eastAsia"/>
                <w:sz w:val="21"/>
                <w:szCs w:val="21"/>
              </w:rPr>
              <w:t>资源节约优于定额要求（2分），环保有亮点（1分），社会满意度较高（1分）</w:t>
            </w:r>
          </w:p>
        </w:tc>
        <w:tc>
          <w:tcPr>
            <w:tcW w:w="484" w:type="pct"/>
            <w:vAlign w:val="center"/>
          </w:tcPr>
          <w:p w14:paraId="6CAFE66F">
            <w:pPr>
              <w:adjustRightInd w:val="0"/>
              <w:snapToGrid w:val="0"/>
              <w:jc w:val="center"/>
              <w:rPr>
                <w:rFonts w:hint="eastAsia"/>
                <w:color w:val="000000"/>
                <w:sz w:val="21"/>
                <w:szCs w:val="21"/>
              </w:rPr>
            </w:pPr>
            <w:r>
              <w:rPr>
                <w:rFonts w:hint="eastAsia" w:cs="仿宋"/>
                <w:color w:val="000000"/>
                <w:kern w:val="0"/>
                <w:sz w:val="21"/>
                <w:szCs w:val="21"/>
                <w:lang w:bidi="ar"/>
              </w:rPr>
              <w:t>4</w:t>
            </w:r>
          </w:p>
        </w:tc>
        <w:tc>
          <w:tcPr>
            <w:tcW w:w="488" w:type="pct"/>
            <w:vAlign w:val="center"/>
          </w:tcPr>
          <w:p w14:paraId="33281B19">
            <w:pPr>
              <w:adjustRightInd w:val="0"/>
              <w:snapToGrid w:val="0"/>
              <w:jc w:val="center"/>
              <w:rPr>
                <w:rFonts w:hint="eastAsia"/>
                <w:color w:val="000000"/>
                <w:sz w:val="21"/>
                <w:szCs w:val="21"/>
              </w:rPr>
            </w:pPr>
          </w:p>
        </w:tc>
      </w:tr>
      <w:tr w14:paraId="754761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147E503">
            <w:pPr>
              <w:jc w:val="center"/>
              <w:rPr>
                <w:rFonts w:hint="eastAsia"/>
                <w:sz w:val="21"/>
                <w:szCs w:val="21"/>
              </w:rPr>
            </w:pPr>
            <w:r>
              <w:rPr>
                <w:sz w:val="21"/>
                <w:szCs w:val="21"/>
              </w:rPr>
              <w:t>4</w:t>
            </w:r>
          </w:p>
        </w:tc>
        <w:tc>
          <w:tcPr>
            <w:tcW w:w="1771" w:type="pct"/>
            <w:vAlign w:val="center"/>
          </w:tcPr>
          <w:p w14:paraId="4E297623">
            <w:pPr>
              <w:rPr>
                <w:rFonts w:hint="eastAsia"/>
                <w:sz w:val="21"/>
                <w:szCs w:val="21"/>
              </w:rPr>
            </w:pPr>
            <w:r>
              <w:rPr>
                <w:rFonts w:hint="eastAsia"/>
                <w:sz w:val="21"/>
                <w:szCs w:val="21"/>
              </w:rPr>
              <w:t>对当地相关产业有辐射带动作用，对推动战略性转型产业深度融合贡献巨大。</w:t>
            </w:r>
          </w:p>
        </w:tc>
        <w:tc>
          <w:tcPr>
            <w:tcW w:w="1892" w:type="pct"/>
            <w:vAlign w:val="center"/>
          </w:tcPr>
          <w:p w14:paraId="27A5F296">
            <w:pPr>
              <w:textAlignment w:val="center"/>
              <w:rPr>
                <w:rFonts w:hint="eastAsia"/>
                <w:color w:val="000000"/>
                <w:sz w:val="21"/>
                <w:szCs w:val="21"/>
              </w:rPr>
            </w:pPr>
            <w:r>
              <w:rPr>
                <w:rFonts w:hint="eastAsia"/>
                <w:color w:val="000000"/>
                <w:sz w:val="21"/>
                <w:szCs w:val="21"/>
              </w:rPr>
              <w:t>产业带动和产业转型推动，有一项即可得4分。</w:t>
            </w:r>
          </w:p>
        </w:tc>
        <w:tc>
          <w:tcPr>
            <w:tcW w:w="484" w:type="pct"/>
            <w:vAlign w:val="center"/>
          </w:tcPr>
          <w:p w14:paraId="24581E1D">
            <w:pPr>
              <w:adjustRightInd w:val="0"/>
              <w:snapToGrid w:val="0"/>
              <w:jc w:val="center"/>
              <w:rPr>
                <w:rFonts w:hint="eastAsia"/>
                <w:color w:val="000000"/>
                <w:sz w:val="21"/>
                <w:szCs w:val="21"/>
              </w:rPr>
            </w:pPr>
            <w:r>
              <w:rPr>
                <w:rFonts w:hint="eastAsia" w:cs="仿宋"/>
                <w:color w:val="000000"/>
                <w:kern w:val="0"/>
                <w:sz w:val="21"/>
                <w:szCs w:val="21"/>
                <w:lang w:bidi="ar"/>
              </w:rPr>
              <w:t>4</w:t>
            </w:r>
          </w:p>
        </w:tc>
        <w:tc>
          <w:tcPr>
            <w:tcW w:w="488" w:type="pct"/>
            <w:vAlign w:val="center"/>
          </w:tcPr>
          <w:p w14:paraId="63880C29">
            <w:pPr>
              <w:adjustRightInd w:val="0"/>
              <w:snapToGrid w:val="0"/>
              <w:jc w:val="center"/>
              <w:rPr>
                <w:rFonts w:hint="eastAsia"/>
                <w:color w:val="000000"/>
                <w:sz w:val="21"/>
                <w:szCs w:val="21"/>
              </w:rPr>
            </w:pPr>
          </w:p>
        </w:tc>
      </w:tr>
      <w:tr w14:paraId="55E661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E792412">
            <w:pPr>
              <w:jc w:val="center"/>
              <w:rPr>
                <w:rFonts w:hint="eastAsia"/>
                <w:sz w:val="21"/>
                <w:szCs w:val="21"/>
              </w:rPr>
            </w:pPr>
            <w:r>
              <w:rPr>
                <w:b/>
                <w:bCs/>
                <w:sz w:val="21"/>
                <w:szCs w:val="21"/>
              </w:rPr>
              <w:t>5.3.5</w:t>
            </w:r>
          </w:p>
        </w:tc>
        <w:tc>
          <w:tcPr>
            <w:tcW w:w="1771" w:type="pct"/>
            <w:vAlign w:val="center"/>
          </w:tcPr>
          <w:p w14:paraId="1869A494">
            <w:pPr>
              <w:rPr>
                <w:rFonts w:hint="eastAsia"/>
                <w:sz w:val="21"/>
                <w:szCs w:val="21"/>
              </w:rPr>
            </w:pPr>
            <w:r>
              <w:rPr>
                <w:rFonts w:hint="eastAsia"/>
                <w:b/>
                <w:bCs/>
                <w:sz w:val="21"/>
                <w:szCs w:val="21"/>
              </w:rPr>
              <w:t>科技创新</w:t>
            </w:r>
          </w:p>
        </w:tc>
        <w:tc>
          <w:tcPr>
            <w:tcW w:w="1892" w:type="pct"/>
            <w:vAlign w:val="center"/>
          </w:tcPr>
          <w:p w14:paraId="27DB73AB">
            <w:pPr>
              <w:textAlignment w:val="center"/>
              <w:rPr>
                <w:rFonts w:hint="eastAsia"/>
                <w:color w:val="000000"/>
                <w:sz w:val="21"/>
                <w:szCs w:val="21"/>
              </w:rPr>
            </w:pPr>
          </w:p>
        </w:tc>
        <w:tc>
          <w:tcPr>
            <w:tcW w:w="484" w:type="pct"/>
            <w:vAlign w:val="center"/>
          </w:tcPr>
          <w:p w14:paraId="28F13FEA">
            <w:pPr>
              <w:adjustRightInd w:val="0"/>
              <w:snapToGrid w:val="0"/>
              <w:jc w:val="center"/>
              <w:rPr>
                <w:rFonts w:hint="eastAsia"/>
                <w:color w:val="000000"/>
                <w:sz w:val="21"/>
                <w:szCs w:val="21"/>
              </w:rPr>
            </w:pPr>
            <w:r>
              <w:rPr>
                <w:rFonts w:hint="eastAsia"/>
                <w:color w:val="000000"/>
                <w:sz w:val="21"/>
                <w:szCs w:val="21"/>
              </w:rPr>
              <w:t>20</w:t>
            </w:r>
          </w:p>
        </w:tc>
        <w:tc>
          <w:tcPr>
            <w:tcW w:w="488" w:type="pct"/>
            <w:vAlign w:val="center"/>
          </w:tcPr>
          <w:p w14:paraId="4A2DB0D9">
            <w:pPr>
              <w:adjustRightInd w:val="0"/>
              <w:snapToGrid w:val="0"/>
              <w:jc w:val="center"/>
              <w:rPr>
                <w:rFonts w:hint="eastAsia"/>
                <w:color w:val="000000"/>
                <w:sz w:val="21"/>
                <w:szCs w:val="21"/>
              </w:rPr>
            </w:pPr>
          </w:p>
        </w:tc>
      </w:tr>
      <w:tr w14:paraId="73BD04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2394D92">
            <w:pPr>
              <w:jc w:val="center"/>
              <w:rPr>
                <w:rFonts w:hint="eastAsia"/>
                <w:sz w:val="21"/>
                <w:szCs w:val="21"/>
              </w:rPr>
            </w:pPr>
            <w:r>
              <w:rPr>
                <w:sz w:val="21"/>
                <w:szCs w:val="21"/>
              </w:rPr>
              <w:t>1</w:t>
            </w:r>
          </w:p>
        </w:tc>
        <w:tc>
          <w:tcPr>
            <w:tcW w:w="1771" w:type="pct"/>
            <w:vAlign w:val="center"/>
          </w:tcPr>
          <w:p w14:paraId="6B618A5E">
            <w:pPr>
              <w:rPr>
                <w:rFonts w:hint="eastAsia"/>
                <w:sz w:val="21"/>
                <w:szCs w:val="21"/>
              </w:rPr>
            </w:pPr>
            <w:r>
              <w:rPr>
                <w:rFonts w:hint="eastAsia"/>
                <w:sz w:val="21"/>
                <w:szCs w:val="21"/>
              </w:rPr>
              <w:t>理念创新、体现人与自然和谐共生的可持续发展理念。</w:t>
            </w:r>
            <w:r>
              <w:rPr>
                <w:sz w:val="21"/>
                <w:szCs w:val="21"/>
              </w:rPr>
              <w:t xml:space="preserve"> </w:t>
            </w:r>
          </w:p>
        </w:tc>
        <w:tc>
          <w:tcPr>
            <w:tcW w:w="1892" w:type="pct"/>
            <w:vAlign w:val="center"/>
          </w:tcPr>
          <w:p w14:paraId="18061810">
            <w:pPr>
              <w:textAlignment w:val="center"/>
              <w:rPr>
                <w:rFonts w:hint="eastAsia"/>
                <w:color w:val="000000"/>
                <w:sz w:val="21"/>
                <w:szCs w:val="21"/>
              </w:rPr>
            </w:pPr>
          </w:p>
        </w:tc>
        <w:tc>
          <w:tcPr>
            <w:tcW w:w="484" w:type="pct"/>
            <w:vAlign w:val="center"/>
          </w:tcPr>
          <w:p w14:paraId="3CD5D52F">
            <w:pPr>
              <w:adjustRightInd w:val="0"/>
              <w:snapToGrid w:val="0"/>
              <w:jc w:val="center"/>
              <w:rPr>
                <w:rFonts w:hint="eastAsia"/>
                <w:color w:val="000000"/>
                <w:sz w:val="21"/>
                <w:szCs w:val="21"/>
              </w:rPr>
            </w:pPr>
            <w:r>
              <w:rPr>
                <w:rFonts w:hint="eastAsia" w:cs="仿宋"/>
                <w:color w:val="000000"/>
                <w:kern w:val="0"/>
                <w:sz w:val="21"/>
                <w:szCs w:val="21"/>
                <w:lang w:bidi="ar"/>
              </w:rPr>
              <w:t>5</w:t>
            </w:r>
          </w:p>
        </w:tc>
        <w:tc>
          <w:tcPr>
            <w:tcW w:w="488" w:type="pct"/>
            <w:vAlign w:val="center"/>
          </w:tcPr>
          <w:p w14:paraId="72604ED4">
            <w:pPr>
              <w:adjustRightInd w:val="0"/>
              <w:snapToGrid w:val="0"/>
              <w:jc w:val="center"/>
              <w:rPr>
                <w:rFonts w:hint="eastAsia"/>
                <w:color w:val="000000"/>
                <w:sz w:val="21"/>
                <w:szCs w:val="21"/>
              </w:rPr>
            </w:pPr>
          </w:p>
        </w:tc>
      </w:tr>
      <w:tr w14:paraId="13B99B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55A6CAA">
            <w:pPr>
              <w:jc w:val="center"/>
              <w:rPr>
                <w:rFonts w:hint="eastAsia"/>
                <w:sz w:val="21"/>
                <w:szCs w:val="21"/>
              </w:rPr>
            </w:pPr>
            <w:r>
              <w:rPr>
                <w:sz w:val="21"/>
                <w:szCs w:val="21"/>
              </w:rPr>
              <w:t>2</w:t>
            </w:r>
          </w:p>
        </w:tc>
        <w:tc>
          <w:tcPr>
            <w:tcW w:w="1771" w:type="pct"/>
            <w:vAlign w:val="center"/>
          </w:tcPr>
          <w:p w14:paraId="6907913E">
            <w:pPr>
              <w:rPr>
                <w:rFonts w:hint="eastAsia"/>
                <w:sz w:val="21"/>
                <w:szCs w:val="21"/>
              </w:rPr>
            </w:pPr>
            <w:r>
              <w:rPr>
                <w:rFonts w:hint="eastAsia"/>
                <w:sz w:val="21"/>
                <w:szCs w:val="21"/>
              </w:rPr>
              <w:t>设计过程中采取自主研发的新技术、新工艺、新流程、新材料、新装备、新产品等。</w:t>
            </w:r>
            <w:r>
              <w:rPr>
                <w:sz w:val="21"/>
                <w:szCs w:val="21"/>
              </w:rPr>
              <w:t xml:space="preserve"> </w:t>
            </w:r>
          </w:p>
        </w:tc>
        <w:tc>
          <w:tcPr>
            <w:tcW w:w="1892" w:type="pct"/>
            <w:vAlign w:val="center"/>
          </w:tcPr>
          <w:p w14:paraId="625BEF68">
            <w:pPr>
              <w:textAlignment w:val="center"/>
              <w:rPr>
                <w:rFonts w:hint="eastAsia"/>
                <w:color w:val="000000"/>
                <w:sz w:val="21"/>
                <w:szCs w:val="21"/>
              </w:rPr>
            </w:pPr>
            <w:r>
              <w:rPr>
                <w:rFonts w:hint="eastAsia"/>
                <w:color w:val="000000"/>
                <w:sz w:val="21"/>
                <w:szCs w:val="21"/>
              </w:rPr>
              <w:t>根据数量得分，每项0.5分</w:t>
            </w:r>
          </w:p>
        </w:tc>
        <w:tc>
          <w:tcPr>
            <w:tcW w:w="484" w:type="pct"/>
            <w:vAlign w:val="center"/>
          </w:tcPr>
          <w:p w14:paraId="7BFC5A98">
            <w:pPr>
              <w:adjustRightInd w:val="0"/>
              <w:snapToGrid w:val="0"/>
              <w:jc w:val="center"/>
              <w:rPr>
                <w:rFonts w:hint="eastAsia"/>
                <w:color w:val="000000"/>
                <w:sz w:val="21"/>
                <w:szCs w:val="21"/>
              </w:rPr>
            </w:pPr>
            <w:r>
              <w:rPr>
                <w:rFonts w:hint="eastAsia" w:cs="仿宋"/>
                <w:color w:val="000000"/>
                <w:kern w:val="0"/>
                <w:sz w:val="21"/>
                <w:szCs w:val="21"/>
                <w:lang w:bidi="ar"/>
              </w:rPr>
              <w:t>5</w:t>
            </w:r>
          </w:p>
        </w:tc>
        <w:tc>
          <w:tcPr>
            <w:tcW w:w="488" w:type="pct"/>
            <w:vAlign w:val="center"/>
          </w:tcPr>
          <w:p w14:paraId="1B2C760D">
            <w:pPr>
              <w:adjustRightInd w:val="0"/>
              <w:snapToGrid w:val="0"/>
              <w:jc w:val="center"/>
              <w:rPr>
                <w:rFonts w:hint="eastAsia"/>
                <w:color w:val="000000"/>
                <w:sz w:val="21"/>
                <w:szCs w:val="21"/>
              </w:rPr>
            </w:pPr>
          </w:p>
        </w:tc>
      </w:tr>
      <w:tr w14:paraId="147692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29DC155">
            <w:pPr>
              <w:jc w:val="center"/>
              <w:rPr>
                <w:rFonts w:hint="eastAsia"/>
                <w:b/>
                <w:bCs/>
                <w:sz w:val="21"/>
                <w:szCs w:val="21"/>
              </w:rPr>
            </w:pPr>
            <w:r>
              <w:rPr>
                <w:sz w:val="21"/>
                <w:szCs w:val="21"/>
              </w:rPr>
              <w:t>3</w:t>
            </w:r>
          </w:p>
        </w:tc>
        <w:tc>
          <w:tcPr>
            <w:tcW w:w="1771" w:type="pct"/>
            <w:vAlign w:val="center"/>
          </w:tcPr>
          <w:p w14:paraId="090EB55F">
            <w:pPr>
              <w:rPr>
                <w:rFonts w:hint="eastAsia"/>
                <w:b/>
                <w:bCs/>
                <w:sz w:val="21"/>
                <w:szCs w:val="21"/>
              </w:rPr>
            </w:pPr>
            <w:r>
              <w:rPr>
                <w:rFonts w:hint="eastAsia"/>
                <w:sz w:val="21"/>
                <w:szCs w:val="21"/>
              </w:rPr>
              <w:t>依托本工程取得的创新成果（课题、专利、专有技术、奖项、竞赛活动成果、国家示范试点、参编标准、期刊论文等），填补国内空白或达到国内领先水平。</w:t>
            </w:r>
          </w:p>
        </w:tc>
        <w:tc>
          <w:tcPr>
            <w:tcW w:w="1892" w:type="pct"/>
            <w:vAlign w:val="center"/>
          </w:tcPr>
          <w:p w14:paraId="1450A8AC">
            <w:pPr>
              <w:textAlignment w:val="center"/>
              <w:rPr>
                <w:rFonts w:hint="eastAsia"/>
                <w:color w:val="000000"/>
                <w:sz w:val="21"/>
                <w:szCs w:val="21"/>
              </w:rPr>
            </w:pPr>
            <w:r>
              <w:rPr>
                <w:rFonts w:hint="eastAsia"/>
                <w:color w:val="000000"/>
                <w:sz w:val="21"/>
                <w:szCs w:val="21"/>
              </w:rPr>
              <w:t>科技进度奖每项3分，其余每项1分。</w:t>
            </w:r>
          </w:p>
        </w:tc>
        <w:tc>
          <w:tcPr>
            <w:tcW w:w="484" w:type="pct"/>
            <w:vAlign w:val="center"/>
          </w:tcPr>
          <w:p w14:paraId="756399EF">
            <w:pPr>
              <w:adjustRightInd w:val="0"/>
              <w:snapToGrid w:val="0"/>
              <w:jc w:val="center"/>
              <w:rPr>
                <w:rFonts w:hint="eastAsia"/>
                <w:color w:val="000000"/>
                <w:sz w:val="21"/>
                <w:szCs w:val="21"/>
              </w:rPr>
            </w:pPr>
            <w:r>
              <w:rPr>
                <w:rFonts w:hint="eastAsia" w:cs="仿宋"/>
                <w:color w:val="000000"/>
                <w:kern w:val="0"/>
                <w:sz w:val="21"/>
                <w:szCs w:val="21"/>
                <w:lang w:bidi="ar"/>
              </w:rPr>
              <w:t>10</w:t>
            </w:r>
          </w:p>
        </w:tc>
        <w:tc>
          <w:tcPr>
            <w:tcW w:w="488" w:type="pct"/>
            <w:vAlign w:val="center"/>
          </w:tcPr>
          <w:p w14:paraId="091562A9">
            <w:pPr>
              <w:adjustRightInd w:val="0"/>
              <w:snapToGrid w:val="0"/>
              <w:jc w:val="center"/>
              <w:rPr>
                <w:rFonts w:hint="eastAsia"/>
                <w:color w:val="000000"/>
                <w:sz w:val="21"/>
                <w:szCs w:val="21"/>
              </w:rPr>
            </w:pPr>
          </w:p>
        </w:tc>
      </w:tr>
      <w:tr w14:paraId="1A18AF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3D2F609">
            <w:pPr>
              <w:adjustRightInd w:val="0"/>
              <w:snapToGrid w:val="0"/>
              <w:jc w:val="center"/>
              <w:rPr>
                <w:rFonts w:hint="eastAsia"/>
                <w:b/>
                <w:bCs/>
                <w:color w:val="000000"/>
                <w:sz w:val="21"/>
                <w:szCs w:val="21"/>
              </w:rPr>
            </w:pPr>
            <w:r>
              <w:rPr>
                <w:b/>
                <w:bCs/>
                <w:color w:val="000000"/>
                <w:sz w:val="21"/>
                <w:szCs w:val="21"/>
              </w:rPr>
              <w:t>5</w:t>
            </w:r>
            <w:r>
              <w:rPr>
                <w:rFonts w:hint="eastAsia"/>
                <w:b/>
                <w:bCs/>
                <w:color w:val="000000"/>
                <w:sz w:val="21"/>
                <w:szCs w:val="21"/>
              </w:rPr>
              <w:t>.</w:t>
            </w:r>
            <w:r>
              <w:rPr>
                <w:b/>
                <w:bCs/>
                <w:color w:val="000000"/>
                <w:sz w:val="21"/>
                <w:szCs w:val="21"/>
              </w:rPr>
              <w:t>4</w:t>
            </w:r>
          </w:p>
        </w:tc>
        <w:tc>
          <w:tcPr>
            <w:tcW w:w="1771" w:type="pct"/>
            <w:vAlign w:val="center"/>
          </w:tcPr>
          <w:p w14:paraId="6F356C64">
            <w:pPr>
              <w:adjustRightInd w:val="0"/>
              <w:snapToGrid w:val="0"/>
              <w:rPr>
                <w:rFonts w:hint="eastAsia"/>
                <w:b/>
                <w:bCs/>
                <w:color w:val="000000"/>
                <w:sz w:val="21"/>
                <w:szCs w:val="21"/>
              </w:rPr>
            </w:pPr>
            <w:r>
              <w:rPr>
                <w:rFonts w:hint="eastAsia"/>
                <w:b/>
                <w:bCs/>
                <w:color w:val="000000"/>
                <w:sz w:val="21"/>
                <w:szCs w:val="21"/>
              </w:rPr>
              <w:t>太阳能发电工程</w:t>
            </w:r>
          </w:p>
        </w:tc>
        <w:tc>
          <w:tcPr>
            <w:tcW w:w="1892" w:type="pct"/>
            <w:vAlign w:val="center"/>
          </w:tcPr>
          <w:p w14:paraId="6F8C3036">
            <w:pPr>
              <w:adjustRightInd w:val="0"/>
              <w:snapToGrid w:val="0"/>
              <w:rPr>
                <w:rFonts w:hint="eastAsia"/>
                <w:bCs/>
                <w:color w:val="000000"/>
                <w:sz w:val="21"/>
                <w:szCs w:val="21"/>
              </w:rPr>
            </w:pPr>
          </w:p>
        </w:tc>
        <w:tc>
          <w:tcPr>
            <w:tcW w:w="484" w:type="pct"/>
            <w:vAlign w:val="center"/>
          </w:tcPr>
          <w:p w14:paraId="7022796E">
            <w:pPr>
              <w:adjustRightInd w:val="0"/>
              <w:snapToGrid w:val="0"/>
              <w:jc w:val="center"/>
              <w:rPr>
                <w:rFonts w:hint="eastAsia"/>
                <w:color w:val="000000"/>
                <w:sz w:val="21"/>
                <w:szCs w:val="21"/>
              </w:rPr>
            </w:pPr>
          </w:p>
        </w:tc>
        <w:tc>
          <w:tcPr>
            <w:tcW w:w="488" w:type="pct"/>
            <w:vAlign w:val="center"/>
          </w:tcPr>
          <w:p w14:paraId="75996DDD">
            <w:pPr>
              <w:adjustRightInd w:val="0"/>
              <w:snapToGrid w:val="0"/>
              <w:jc w:val="center"/>
              <w:rPr>
                <w:rFonts w:hint="eastAsia"/>
                <w:color w:val="000000"/>
                <w:sz w:val="21"/>
                <w:szCs w:val="21"/>
              </w:rPr>
            </w:pPr>
          </w:p>
        </w:tc>
      </w:tr>
      <w:tr w14:paraId="053BB6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019159B">
            <w:pPr>
              <w:adjustRightInd w:val="0"/>
              <w:snapToGrid w:val="0"/>
              <w:jc w:val="center"/>
              <w:rPr>
                <w:rFonts w:hint="eastAsia"/>
                <w:bCs/>
                <w:color w:val="000000"/>
                <w:sz w:val="21"/>
                <w:szCs w:val="21"/>
              </w:rPr>
            </w:pPr>
            <w:r>
              <w:rPr>
                <w:rFonts w:hint="eastAsia"/>
                <w:b/>
                <w:bCs/>
                <w:color w:val="000000"/>
                <w:sz w:val="21"/>
                <w:szCs w:val="21"/>
              </w:rPr>
              <w:t>5.4.1</w:t>
            </w:r>
          </w:p>
        </w:tc>
        <w:tc>
          <w:tcPr>
            <w:tcW w:w="1771" w:type="pct"/>
            <w:vAlign w:val="center"/>
          </w:tcPr>
          <w:p w14:paraId="1D5EC243">
            <w:pPr>
              <w:adjustRightInd w:val="0"/>
              <w:snapToGrid w:val="0"/>
              <w:rPr>
                <w:rFonts w:hint="eastAsia"/>
                <w:bCs/>
                <w:color w:val="000000"/>
                <w:sz w:val="21"/>
                <w:szCs w:val="21"/>
              </w:rPr>
            </w:pPr>
            <w:r>
              <w:rPr>
                <w:rFonts w:hint="eastAsia"/>
                <w:b/>
                <w:bCs/>
                <w:color w:val="000000"/>
                <w:sz w:val="21"/>
                <w:szCs w:val="21"/>
              </w:rPr>
              <w:t>技术先进</w:t>
            </w:r>
          </w:p>
        </w:tc>
        <w:tc>
          <w:tcPr>
            <w:tcW w:w="1892" w:type="pct"/>
            <w:vAlign w:val="center"/>
          </w:tcPr>
          <w:p w14:paraId="574F4DD8">
            <w:pPr>
              <w:adjustRightInd w:val="0"/>
              <w:snapToGrid w:val="0"/>
              <w:rPr>
                <w:rFonts w:hint="eastAsia"/>
                <w:bCs/>
                <w:color w:val="000000"/>
                <w:sz w:val="21"/>
                <w:szCs w:val="21"/>
              </w:rPr>
            </w:pPr>
          </w:p>
        </w:tc>
        <w:tc>
          <w:tcPr>
            <w:tcW w:w="484" w:type="pct"/>
            <w:vAlign w:val="center"/>
          </w:tcPr>
          <w:p w14:paraId="186A3894">
            <w:pPr>
              <w:adjustRightInd w:val="0"/>
              <w:snapToGrid w:val="0"/>
              <w:jc w:val="center"/>
              <w:rPr>
                <w:rFonts w:hint="eastAsia"/>
                <w:color w:val="000000"/>
                <w:sz w:val="21"/>
                <w:szCs w:val="21"/>
              </w:rPr>
            </w:pPr>
          </w:p>
        </w:tc>
        <w:tc>
          <w:tcPr>
            <w:tcW w:w="488" w:type="pct"/>
            <w:vAlign w:val="center"/>
          </w:tcPr>
          <w:p w14:paraId="3E0948D4">
            <w:pPr>
              <w:adjustRightInd w:val="0"/>
              <w:snapToGrid w:val="0"/>
              <w:jc w:val="center"/>
              <w:rPr>
                <w:rFonts w:hint="eastAsia"/>
                <w:color w:val="000000"/>
                <w:sz w:val="21"/>
                <w:szCs w:val="21"/>
              </w:rPr>
            </w:pPr>
          </w:p>
        </w:tc>
      </w:tr>
      <w:tr w14:paraId="531E41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ECD4DCF">
            <w:pPr>
              <w:adjustRightInd w:val="0"/>
              <w:snapToGrid w:val="0"/>
              <w:jc w:val="center"/>
              <w:rPr>
                <w:rFonts w:hint="eastAsia"/>
                <w:bCs/>
                <w:color w:val="000000"/>
                <w:sz w:val="21"/>
                <w:szCs w:val="21"/>
              </w:rPr>
            </w:pPr>
            <w:r>
              <w:rPr>
                <w:sz w:val="21"/>
                <w:szCs w:val="21"/>
              </w:rPr>
              <w:t>1</w:t>
            </w:r>
          </w:p>
        </w:tc>
        <w:tc>
          <w:tcPr>
            <w:tcW w:w="1771" w:type="pct"/>
            <w:vAlign w:val="center"/>
          </w:tcPr>
          <w:p w14:paraId="052EF3FE">
            <w:pPr>
              <w:adjustRightInd w:val="0"/>
              <w:snapToGrid w:val="0"/>
              <w:rPr>
                <w:rFonts w:hint="eastAsia"/>
                <w:bCs/>
                <w:color w:val="000000"/>
                <w:sz w:val="21"/>
                <w:szCs w:val="21"/>
              </w:rPr>
            </w:pPr>
            <w:r>
              <w:rPr>
                <w:rFonts w:hint="eastAsia"/>
                <w:color w:val="000000"/>
                <w:sz w:val="21"/>
                <w:szCs w:val="21"/>
                <w:lang w:val="en-GB"/>
              </w:rPr>
              <w:t>电站选址合理，交通便利，送出条件优越，与当地规划协调统一</w:t>
            </w:r>
          </w:p>
        </w:tc>
        <w:tc>
          <w:tcPr>
            <w:tcW w:w="1892" w:type="pct"/>
            <w:vAlign w:val="center"/>
          </w:tcPr>
          <w:p w14:paraId="7552F910">
            <w:pPr>
              <w:adjustRightInd w:val="0"/>
              <w:snapToGrid w:val="0"/>
              <w:rPr>
                <w:rFonts w:hint="eastAsia"/>
                <w:bCs/>
                <w:color w:val="000000"/>
                <w:sz w:val="21"/>
                <w:szCs w:val="21"/>
              </w:rPr>
            </w:pPr>
          </w:p>
        </w:tc>
        <w:tc>
          <w:tcPr>
            <w:tcW w:w="484" w:type="pct"/>
            <w:vAlign w:val="center"/>
          </w:tcPr>
          <w:p w14:paraId="0B29D7F2">
            <w:pPr>
              <w:adjustRightInd w:val="0"/>
              <w:snapToGrid w:val="0"/>
              <w:jc w:val="center"/>
              <w:rPr>
                <w:rFonts w:hint="eastAsia"/>
                <w:color w:val="000000"/>
                <w:sz w:val="21"/>
                <w:szCs w:val="21"/>
              </w:rPr>
            </w:pPr>
          </w:p>
        </w:tc>
        <w:tc>
          <w:tcPr>
            <w:tcW w:w="488" w:type="pct"/>
            <w:vAlign w:val="center"/>
          </w:tcPr>
          <w:p w14:paraId="5F4E1F93">
            <w:pPr>
              <w:adjustRightInd w:val="0"/>
              <w:snapToGrid w:val="0"/>
              <w:jc w:val="center"/>
              <w:rPr>
                <w:rFonts w:hint="eastAsia"/>
                <w:color w:val="000000"/>
                <w:sz w:val="21"/>
                <w:szCs w:val="21"/>
              </w:rPr>
            </w:pPr>
          </w:p>
        </w:tc>
      </w:tr>
      <w:tr w14:paraId="13CB6E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AB99E25">
            <w:pPr>
              <w:adjustRightInd w:val="0"/>
              <w:snapToGrid w:val="0"/>
              <w:jc w:val="center"/>
              <w:rPr>
                <w:rFonts w:hint="eastAsia"/>
                <w:bCs/>
                <w:color w:val="000000"/>
                <w:sz w:val="21"/>
                <w:szCs w:val="21"/>
              </w:rPr>
            </w:pPr>
            <w:r>
              <w:rPr>
                <w:sz w:val="21"/>
                <w:szCs w:val="21"/>
              </w:rPr>
              <w:t>2</w:t>
            </w:r>
          </w:p>
        </w:tc>
        <w:tc>
          <w:tcPr>
            <w:tcW w:w="1771" w:type="pct"/>
            <w:vAlign w:val="center"/>
          </w:tcPr>
          <w:p w14:paraId="4DF4DB3D">
            <w:pPr>
              <w:adjustRightInd w:val="0"/>
              <w:snapToGrid w:val="0"/>
              <w:rPr>
                <w:rFonts w:hint="eastAsia"/>
                <w:bCs/>
                <w:color w:val="000000"/>
                <w:sz w:val="21"/>
                <w:szCs w:val="21"/>
              </w:rPr>
            </w:pPr>
            <w:r>
              <w:rPr>
                <w:rFonts w:hint="eastAsia"/>
                <w:sz w:val="21"/>
                <w:szCs w:val="21"/>
              </w:rPr>
              <w:t>电站总平面布置科学、合理；场内输电线路路径合理，应合理避让建（构）筑物，安全距离应符合规范</w:t>
            </w:r>
          </w:p>
        </w:tc>
        <w:tc>
          <w:tcPr>
            <w:tcW w:w="1892" w:type="pct"/>
            <w:vAlign w:val="center"/>
          </w:tcPr>
          <w:p w14:paraId="458B9F48">
            <w:pPr>
              <w:adjustRightInd w:val="0"/>
              <w:snapToGrid w:val="0"/>
              <w:rPr>
                <w:rFonts w:hint="eastAsia"/>
                <w:bCs/>
                <w:color w:val="000000"/>
                <w:sz w:val="21"/>
                <w:szCs w:val="21"/>
              </w:rPr>
            </w:pPr>
          </w:p>
        </w:tc>
        <w:tc>
          <w:tcPr>
            <w:tcW w:w="484" w:type="pct"/>
            <w:vAlign w:val="center"/>
          </w:tcPr>
          <w:p w14:paraId="186A6B1E">
            <w:pPr>
              <w:adjustRightInd w:val="0"/>
              <w:snapToGrid w:val="0"/>
              <w:jc w:val="center"/>
              <w:rPr>
                <w:rFonts w:hint="eastAsia"/>
                <w:color w:val="000000"/>
                <w:sz w:val="21"/>
                <w:szCs w:val="21"/>
              </w:rPr>
            </w:pPr>
          </w:p>
        </w:tc>
        <w:tc>
          <w:tcPr>
            <w:tcW w:w="488" w:type="pct"/>
            <w:vAlign w:val="center"/>
          </w:tcPr>
          <w:p w14:paraId="459C2F32">
            <w:pPr>
              <w:adjustRightInd w:val="0"/>
              <w:snapToGrid w:val="0"/>
              <w:jc w:val="center"/>
              <w:rPr>
                <w:rFonts w:hint="eastAsia"/>
                <w:color w:val="000000"/>
                <w:sz w:val="21"/>
                <w:szCs w:val="21"/>
              </w:rPr>
            </w:pPr>
          </w:p>
        </w:tc>
      </w:tr>
      <w:tr w14:paraId="0211B2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E4AB1BB">
            <w:pPr>
              <w:adjustRightInd w:val="0"/>
              <w:snapToGrid w:val="0"/>
              <w:jc w:val="center"/>
              <w:rPr>
                <w:rFonts w:hint="eastAsia"/>
                <w:bCs/>
                <w:color w:val="000000"/>
                <w:sz w:val="21"/>
                <w:szCs w:val="21"/>
              </w:rPr>
            </w:pPr>
            <w:r>
              <w:rPr>
                <w:rFonts w:hint="eastAsia"/>
                <w:sz w:val="21"/>
                <w:szCs w:val="21"/>
              </w:rPr>
              <w:t>3</w:t>
            </w:r>
          </w:p>
        </w:tc>
        <w:tc>
          <w:tcPr>
            <w:tcW w:w="1771" w:type="pct"/>
            <w:vAlign w:val="center"/>
          </w:tcPr>
          <w:p w14:paraId="1291432E">
            <w:pPr>
              <w:adjustRightInd w:val="0"/>
              <w:snapToGrid w:val="0"/>
              <w:rPr>
                <w:rFonts w:hint="eastAsia"/>
                <w:bCs/>
                <w:color w:val="000000"/>
                <w:sz w:val="21"/>
                <w:szCs w:val="21"/>
              </w:rPr>
            </w:pPr>
            <w:r>
              <w:rPr>
                <w:rFonts w:hint="eastAsia"/>
                <w:sz w:val="21"/>
                <w:szCs w:val="21"/>
              </w:rPr>
              <w:t>建（构）筑物布局合理，建筑功能分区明确，可利用率高，采光良好</w:t>
            </w:r>
          </w:p>
        </w:tc>
        <w:tc>
          <w:tcPr>
            <w:tcW w:w="1892" w:type="pct"/>
            <w:vAlign w:val="center"/>
          </w:tcPr>
          <w:p w14:paraId="69CAF315">
            <w:pPr>
              <w:adjustRightInd w:val="0"/>
              <w:snapToGrid w:val="0"/>
              <w:rPr>
                <w:rFonts w:hint="eastAsia"/>
                <w:bCs/>
                <w:color w:val="000000"/>
                <w:sz w:val="21"/>
                <w:szCs w:val="21"/>
              </w:rPr>
            </w:pPr>
          </w:p>
        </w:tc>
        <w:tc>
          <w:tcPr>
            <w:tcW w:w="484" w:type="pct"/>
            <w:vAlign w:val="center"/>
          </w:tcPr>
          <w:p w14:paraId="29DC4F63">
            <w:pPr>
              <w:adjustRightInd w:val="0"/>
              <w:snapToGrid w:val="0"/>
              <w:jc w:val="center"/>
              <w:rPr>
                <w:rFonts w:hint="eastAsia"/>
                <w:color w:val="000000"/>
                <w:sz w:val="21"/>
                <w:szCs w:val="21"/>
              </w:rPr>
            </w:pPr>
          </w:p>
        </w:tc>
        <w:tc>
          <w:tcPr>
            <w:tcW w:w="488" w:type="pct"/>
            <w:vAlign w:val="center"/>
          </w:tcPr>
          <w:p w14:paraId="03DE4BE1">
            <w:pPr>
              <w:adjustRightInd w:val="0"/>
              <w:snapToGrid w:val="0"/>
              <w:jc w:val="center"/>
              <w:rPr>
                <w:rFonts w:hint="eastAsia"/>
                <w:color w:val="000000"/>
                <w:sz w:val="21"/>
                <w:szCs w:val="21"/>
              </w:rPr>
            </w:pPr>
          </w:p>
        </w:tc>
      </w:tr>
      <w:tr w14:paraId="6FBFA6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BE9A412">
            <w:pPr>
              <w:adjustRightInd w:val="0"/>
              <w:snapToGrid w:val="0"/>
              <w:jc w:val="center"/>
              <w:rPr>
                <w:rFonts w:hint="eastAsia"/>
                <w:bCs/>
                <w:color w:val="000000"/>
                <w:sz w:val="21"/>
                <w:szCs w:val="21"/>
              </w:rPr>
            </w:pPr>
            <w:r>
              <w:rPr>
                <w:rFonts w:hint="eastAsia"/>
                <w:sz w:val="21"/>
                <w:szCs w:val="21"/>
              </w:rPr>
              <w:t>4</w:t>
            </w:r>
          </w:p>
        </w:tc>
        <w:tc>
          <w:tcPr>
            <w:tcW w:w="1771" w:type="pct"/>
            <w:vAlign w:val="center"/>
          </w:tcPr>
          <w:p w14:paraId="4D483B94">
            <w:pPr>
              <w:adjustRightInd w:val="0"/>
              <w:snapToGrid w:val="0"/>
              <w:rPr>
                <w:rFonts w:hint="eastAsia"/>
                <w:bCs/>
                <w:color w:val="000000"/>
                <w:sz w:val="21"/>
                <w:szCs w:val="21"/>
              </w:rPr>
            </w:pPr>
            <w:r>
              <w:rPr>
                <w:rFonts w:hint="eastAsia"/>
                <w:sz w:val="21"/>
                <w:szCs w:val="21"/>
              </w:rPr>
              <w:t>建（构）筑物空间布置紧凑可行，屋面、围护结构、装饰装修、绿化、照明等布置合理</w:t>
            </w:r>
          </w:p>
        </w:tc>
        <w:tc>
          <w:tcPr>
            <w:tcW w:w="1892" w:type="pct"/>
            <w:vAlign w:val="center"/>
          </w:tcPr>
          <w:p w14:paraId="6722830A">
            <w:pPr>
              <w:adjustRightInd w:val="0"/>
              <w:snapToGrid w:val="0"/>
              <w:rPr>
                <w:rFonts w:hint="eastAsia"/>
                <w:bCs/>
                <w:color w:val="000000"/>
                <w:sz w:val="21"/>
                <w:szCs w:val="21"/>
              </w:rPr>
            </w:pPr>
          </w:p>
        </w:tc>
        <w:tc>
          <w:tcPr>
            <w:tcW w:w="484" w:type="pct"/>
            <w:vAlign w:val="center"/>
          </w:tcPr>
          <w:p w14:paraId="320A1483">
            <w:pPr>
              <w:adjustRightInd w:val="0"/>
              <w:snapToGrid w:val="0"/>
              <w:jc w:val="center"/>
              <w:rPr>
                <w:rFonts w:hint="eastAsia"/>
                <w:color w:val="000000"/>
                <w:sz w:val="21"/>
                <w:szCs w:val="21"/>
              </w:rPr>
            </w:pPr>
          </w:p>
        </w:tc>
        <w:tc>
          <w:tcPr>
            <w:tcW w:w="488" w:type="pct"/>
            <w:vAlign w:val="center"/>
          </w:tcPr>
          <w:p w14:paraId="47C1C56C">
            <w:pPr>
              <w:adjustRightInd w:val="0"/>
              <w:snapToGrid w:val="0"/>
              <w:jc w:val="center"/>
              <w:rPr>
                <w:rFonts w:hint="eastAsia"/>
                <w:color w:val="000000"/>
                <w:sz w:val="21"/>
                <w:szCs w:val="21"/>
              </w:rPr>
            </w:pPr>
          </w:p>
        </w:tc>
      </w:tr>
      <w:tr w14:paraId="576EB4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65B277F">
            <w:pPr>
              <w:adjustRightInd w:val="0"/>
              <w:snapToGrid w:val="0"/>
              <w:jc w:val="center"/>
              <w:rPr>
                <w:rFonts w:hint="eastAsia"/>
                <w:bCs/>
                <w:color w:val="000000"/>
                <w:sz w:val="21"/>
                <w:szCs w:val="21"/>
              </w:rPr>
            </w:pPr>
            <w:r>
              <w:rPr>
                <w:rFonts w:hint="eastAsia"/>
                <w:sz w:val="21"/>
                <w:szCs w:val="21"/>
              </w:rPr>
              <w:t>5</w:t>
            </w:r>
          </w:p>
        </w:tc>
        <w:tc>
          <w:tcPr>
            <w:tcW w:w="1771" w:type="pct"/>
            <w:vAlign w:val="center"/>
          </w:tcPr>
          <w:p w14:paraId="1206F90C">
            <w:pPr>
              <w:adjustRightInd w:val="0"/>
              <w:snapToGrid w:val="0"/>
              <w:rPr>
                <w:rFonts w:hint="eastAsia"/>
                <w:bCs/>
                <w:color w:val="000000"/>
                <w:sz w:val="21"/>
                <w:szCs w:val="21"/>
              </w:rPr>
            </w:pPr>
            <w:r>
              <w:rPr>
                <w:rFonts w:hint="eastAsia"/>
                <w:sz w:val="21"/>
                <w:szCs w:val="21"/>
              </w:rPr>
              <w:t>采用先进适用技术或重大技术措施，与同类型工程相比发电效率有明显提升</w:t>
            </w:r>
          </w:p>
        </w:tc>
        <w:tc>
          <w:tcPr>
            <w:tcW w:w="1892" w:type="pct"/>
            <w:vAlign w:val="center"/>
          </w:tcPr>
          <w:p w14:paraId="308D06E5">
            <w:pPr>
              <w:adjustRightInd w:val="0"/>
              <w:snapToGrid w:val="0"/>
              <w:rPr>
                <w:rFonts w:hint="eastAsia"/>
                <w:bCs/>
                <w:color w:val="000000"/>
                <w:sz w:val="21"/>
                <w:szCs w:val="21"/>
              </w:rPr>
            </w:pPr>
          </w:p>
        </w:tc>
        <w:tc>
          <w:tcPr>
            <w:tcW w:w="484" w:type="pct"/>
            <w:vAlign w:val="center"/>
          </w:tcPr>
          <w:p w14:paraId="2D4E483F">
            <w:pPr>
              <w:adjustRightInd w:val="0"/>
              <w:snapToGrid w:val="0"/>
              <w:jc w:val="center"/>
              <w:rPr>
                <w:rFonts w:hint="eastAsia"/>
                <w:color w:val="000000"/>
                <w:sz w:val="21"/>
                <w:szCs w:val="21"/>
              </w:rPr>
            </w:pPr>
          </w:p>
        </w:tc>
        <w:tc>
          <w:tcPr>
            <w:tcW w:w="488" w:type="pct"/>
            <w:vAlign w:val="center"/>
          </w:tcPr>
          <w:p w14:paraId="2F36768C">
            <w:pPr>
              <w:adjustRightInd w:val="0"/>
              <w:snapToGrid w:val="0"/>
              <w:jc w:val="center"/>
              <w:rPr>
                <w:rFonts w:hint="eastAsia"/>
                <w:color w:val="000000"/>
                <w:sz w:val="21"/>
                <w:szCs w:val="21"/>
              </w:rPr>
            </w:pPr>
          </w:p>
        </w:tc>
      </w:tr>
      <w:tr w14:paraId="21EE6F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D150B56">
            <w:pPr>
              <w:adjustRightInd w:val="0"/>
              <w:snapToGrid w:val="0"/>
              <w:jc w:val="center"/>
              <w:rPr>
                <w:rFonts w:hint="eastAsia"/>
                <w:bCs/>
                <w:color w:val="000000"/>
                <w:sz w:val="21"/>
                <w:szCs w:val="21"/>
              </w:rPr>
            </w:pPr>
            <w:r>
              <w:rPr>
                <w:sz w:val="21"/>
                <w:szCs w:val="21"/>
              </w:rPr>
              <w:t>6</w:t>
            </w:r>
          </w:p>
        </w:tc>
        <w:tc>
          <w:tcPr>
            <w:tcW w:w="1771" w:type="pct"/>
            <w:vAlign w:val="center"/>
          </w:tcPr>
          <w:p w14:paraId="3B60C393">
            <w:pPr>
              <w:adjustRightInd w:val="0"/>
              <w:snapToGrid w:val="0"/>
              <w:rPr>
                <w:rFonts w:hint="eastAsia"/>
                <w:bCs/>
                <w:color w:val="000000"/>
                <w:sz w:val="21"/>
                <w:szCs w:val="21"/>
              </w:rPr>
            </w:pPr>
            <w:r>
              <w:rPr>
                <w:rFonts w:hint="eastAsia"/>
                <w:sz w:val="21"/>
                <w:szCs w:val="21"/>
              </w:rPr>
              <w:t>电站采用太阳能自供电、自供热技术提供能源</w:t>
            </w:r>
          </w:p>
        </w:tc>
        <w:tc>
          <w:tcPr>
            <w:tcW w:w="1892" w:type="pct"/>
            <w:vAlign w:val="center"/>
          </w:tcPr>
          <w:p w14:paraId="0A3BB65F">
            <w:pPr>
              <w:adjustRightInd w:val="0"/>
              <w:snapToGrid w:val="0"/>
              <w:rPr>
                <w:rFonts w:hint="eastAsia"/>
                <w:bCs/>
                <w:color w:val="000000"/>
                <w:sz w:val="21"/>
                <w:szCs w:val="21"/>
              </w:rPr>
            </w:pPr>
          </w:p>
        </w:tc>
        <w:tc>
          <w:tcPr>
            <w:tcW w:w="484" w:type="pct"/>
            <w:vAlign w:val="center"/>
          </w:tcPr>
          <w:p w14:paraId="2FD0176E">
            <w:pPr>
              <w:adjustRightInd w:val="0"/>
              <w:snapToGrid w:val="0"/>
              <w:jc w:val="center"/>
              <w:rPr>
                <w:rFonts w:hint="eastAsia"/>
                <w:color w:val="000000"/>
                <w:sz w:val="21"/>
                <w:szCs w:val="21"/>
              </w:rPr>
            </w:pPr>
          </w:p>
        </w:tc>
        <w:tc>
          <w:tcPr>
            <w:tcW w:w="488" w:type="pct"/>
            <w:vAlign w:val="center"/>
          </w:tcPr>
          <w:p w14:paraId="5D1FA449">
            <w:pPr>
              <w:adjustRightInd w:val="0"/>
              <w:snapToGrid w:val="0"/>
              <w:jc w:val="center"/>
              <w:rPr>
                <w:rFonts w:hint="eastAsia"/>
                <w:color w:val="000000"/>
                <w:sz w:val="21"/>
                <w:szCs w:val="21"/>
              </w:rPr>
            </w:pPr>
          </w:p>
        </w:tc>
      </w:tr>
      <w:tr w14:paraId="095F23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341A317">
            <w:pPr>
              <w:adjustRightInd w:val="0"/>
              <w:snapToGrid w:val="0"/>
              <w:jc w:val="center"/>
              <w:rPr>
                <w:rFonts w:hint="eastAsia"/>
                <w:bCs/>
                <w:color w:val="000000"/>
                <w:sz w:val="21"/>
                <w:szCs w:val="21"/>
              </w:rPr>
            </w:pPr>
            <w:r>
              <w:rPr>
                <w:sz w:val="21"/>
                <w:szCs w:val="21"/>
              </w:rPr>
              <w:t>7</w:t>
            </w:r>
          </w:p>
        </w:tc>
        <w:tc>
          <w:tcPr>
            <w:tcW w:w="1771" w:type="pct"/>
            <w:vAlign w:val="center"/>
          </w:tcPr>
          <w:p w14:paraId="181A85BF">
            <w:pPr>
              <w:adjustRightInd w:val="0"/>
              <w:snapToGrid w:val="0"/>
              <w:rPr>
                <w:rFonts w:hint="eastAsia"/>
                <w:bCs/>
                <w:color w:val="000000"/>
                <w:sz w:val="21"/>
                <w:szCs w:val="21"/>
              </w:rPr>
            </w:pPr>
            <w:r>
              <w:rPr>
                <w:rFonts w:hint="eastAsia"/>
                <w:sz w:val="21"/>
                <w:szCs w:val="21"/>
              </w:rPr>
              <w:t>电气系统具有可灵活性、可扩性、实用性和安全性，选用节能型电气设备和产品，能有效降低电量损耗</w:t>
            </w:r>
          </w:p>
        </w:tc>
        <w:tc>
          <w:tcPr>
            <w:tcW w:w="1892" w:type="pct"/>
            <w:vAlign w:val="center"/>
          </w:tcPr>
          <w:p w14:paraId="4C89A270">
            <w:pPr>
              <w:adjustRightInd w:val="0"/>
              <w:snapToGrid w:val="0"/>
              <w:rPr>
                <w:rFonts w:hint="eastAsia"/>
                <w:bCs/>
                <w:color w:val="000000"/>
                <w:sz w:val="21"/>
                <w:szCs w:val="21"/>
              </w:rPr>
            </w:pPr>
          </w:p>
        </w:tc>
        <w:tc>
          <w:tcPr>
            <w:tcW w:w="484" w:type="pct"/>
            <w:vAlign w:val="center"/>
          </w:tcPr>
          <w:p w14:paraId="5729896A">
            <w:pPr>
              <w:adjustRightInd w:val="0"/>
              <w:snapToGrid w:val="0"/>
              <w:jc w:val="center"/>
              <w:rPr>
                <w:rFonts w:hint="eastAsia"/>
                <w:color w:val="000000"/>
                <w:sz w:val="21"/>
                <w:szCs w:val="21"/>
              </w:rPr>
            </w:pPr>
          </w:p>
        </w:tc>
        <w:tc>
          <w:tcPr>
            <w:tcW w:w="488" w:type="pct"/>
            <w:vAlign w:val="center"/>
          </w:tcPr>
          <w:p w14:paraId="6F898278">
            <w:pPr>
              <w:adjustRightInd w:val="0"/>
              <w:snapToGrid w:val="0"/>
              <w:jc w:val="center"/>
              <w:rPr>
                <w:rFonts w:hint="eastAsia"/>
                <w:color w:val="000000"/>
                <w:sz w:val="21"/>
                <w:szCs w:val="21"/>
              </w:rPr>
            </w:pPr>
          </w:p>
        </w:tc>
      </w:tr>
      <w:tr w14:paraId="0AF3A5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1D10531">
            <w:pPr>
              <w:adjustRightInd w:val="0"/>
              <w:snapToGrid w:val="0"/>
              <w:jc w:val="center"/>
              <w:rPr>
                <w:rFonts w:hint="eastAsia"/>
                <w:bCs/>
                <w:color w:val="000000"/>
                <w:sz w:val="21"/>
                <w:szCs w:val="21"/>
              </w:rPr>
            </w:pPr>
            <w:r>
              <w:rPr>
                <w:sz w:val="21"/>
                <w:szCs w:val="21"/>
              </w:rPr>
              <w:t>8</w:t>
            </w:r>
          </w:p>
        </w:tc>
        <w:tc>
          <w:tcPr>
            <w:tcW w:w="1771" w:type="pct"/>
            <w:vAlign w:val="center"/>
          </w:tcPr>
          <w:p w14:paraId="6AC0DD40">
            <w:pPr>
              <w:adjustRightInd w:val="0"/>
              <w:snapToGrid w:val="0"/>
              <w:rPr>
                <w:rFonts w:hint="eastAsia"/>
                <w:bCs/>
                <w:color w:val="000000"/>
                <w:sz w:val="21"/>
                <w:szCs w:val="21"/>
              </w:rPr>
            </w:pPr>
            <w:r>
              <w:rPr>
                <w:rFonts w:hint="eastAsia"/>
                <w:sz w:val="21"/>
                <w:szCs w:val="21"/>
              </w:rPr>
              <w:t>二次系统智能化程度高，二次设备动作率、准确率达到100%，电能质量满足并网运行要求</w:t>
            </w:r>
          </w:p>
        </w:tc>
        <w:tc>
          <w:tcPr>
            <w:tcW w:w="1892" w:type="pct"/>
            <w:vAlign w:val="center"/>
          </w:tcPr>
          <w:p w14:paraId="03F4BFCA">
            <w:pPr>
              <w:adjustRightInd w:val="0"/>
              <w:snapToGrid w:val="0"/>
              <w:rPr>
                <w:rFonts w:hint="eastAsia"/>
                <w:bCs/>
                <w:color w:val="000000"/>
                <w:sz w:val="21"/>
                <w:szCs w:val="21"/>
              </w:rPr>
            </w:pPr>
          </w:p>
        </w:tc>
        <w:tc>
          <w:tcPr>
            <w:tcW w:w="484" w:type="pct"/>
            <w:vAlign w:val="center"/>
          </w:tcPr>
          <w:p w14:paraId="5F6E4C32">
            <w:pPr>
              <w:adjustRightInd w:val="0"/>
              <w:snapToGrid w:val="0"/>
              <w:jc w:val="center"/>
              <w:rPr>
                <w:rFonts w:hint="eastAsia"/>
                <w:color w:val="000000"/>
                <w:sz w:val="21"/>
                <w:szCs w:val="21"/>
              </w:rPr>
            </w:pPr>
          </w:p>
        </w:tc>
        <w:tc>
          <w:tcPr>
            <w:tcW w:w="488" w:type="pct"/>
            <w:vAlign w:val="center"/>
          </w:tcPr>
          <w:p w14:paraId="256E13A0">
            <w:pPr>
              <w:adjustRightInd w:val="0"/>
              <w:snapToGrid w:val="0"/>
              <w:jc w:val="center"/>
              <w:rPr>
                <w:rFonts w:hint="eastAsia"/>
                <w:color w:val="000000"/>
                <w:sz w:val="21"/>
                <w:szCs w:val="21"/>
              </w:rPr>
            </w:pPr>
          </w:p>
        </w:tc>
      </w:tr>
      <w:tr w14:paraId="3F988E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01F6C85">
            <w:pPr>
              <w:adjustRightInd w:val="0"/>
              <w:snapToGrid w:val="0"/>
              <w:jc w:val="center"/>
              <w:rPr>
                <w:rFonts w:hint="eastAsia"/>
                <w:bCs/>
                <w:color w:val="000000"/>
                <w:sz w:val="21"/>
                <w:szCs w:val="21"/>
              </w:rPr>
            </w:pPr>
            <w:r>
              <w:rPr>
                <w:sz w:val="21"/>
                <w:szCs w:val="21"/>
              </w:rPr>
              <w:t>9</w:t>
            </w:r>
          </w:p>
        </w:tc>
        <w:tc>
          <w:tcPr>
            <w:tcW w:w="1771" w:type="pct"/>
            <w:vAlign w:val="center"/>
          </w:tcPr>
          <w:p w14:paraId="1092FD31">
            <w:pPr>
              <w:adjustRightInd w:val="0"/>
              <w:snapToGrid w:val="0"/>
              <w:rPr>
                <w:rFonts w:hint="eastAsia"/>
                <w:bCs/>
                <w:color w:val="000000"/>
                <w:sz w:val="21"/>
                <w:szCs w:val="21"/>
              </w:rPr>
            </w:pPr>
            <w:r>
              <w:rPr>
                <w:rFonts w:hint="eastAsia"/>
                <w:sz w:val="21"/>
                <w:szCs w:val="21"/>
              </w:rPr>
              <w:t>电站效率、年利用小时数、年均发电量、厂用电率等技术指标在国内同期同类项目中处于先进水平</w:t>
            </w:r>
          </w:p>
        </w:tc>
        <w:tc>
          <w:tcPr>
            <w:tcW w:w="1892" w:type="pct"/>
            <w:vAlign w:val="center"/>
          </w:tcPr>
          <w:p w14:paraId="7207F03A">
            <w:pPr>
              <w:adjustRightInd w:val="0"/>
              <w:snapToGrid w:val="0"/>
              <w:rPr>
                <w:rFonts w:hint="eastAsia"/>
                <w:bCs/>
                <w:color w:val="000000"/>
                <w:sz w:val="21"/>
                <w:szCs w:val="21"/>
              </w:rPr>
            </w:pPr>
          </w:p>
        </w:tc>
        <w:tc>
          <w:tcPr>
            <w:tcW w:w="484" w:type="pct"/>
            <w:vAlign w:val="center"/>
          </w:tcPr>
          <w:p w14:paraId="3597E073">
            <w:pPr>
              <w:adjustRightInd w:val="0"/>
              <w:snapToGrid w:val="0"/>
              <w:jc w:val="center"/>
              <w:rPr>
                <w:rFonts w:hint="eastAsia"/>
                <w:color w:val="000000"/>
                <w:sz w:val="21"/>
                <w:szCs w:val="21"/>
              </w:rPr>
            </w:pPr>
          </w:p>
        </w:tc>
        <w:tc>
          <w:tcPr>
            <w:tcW w:w="488" w:type="pct"/>
            <w:vAlign w:val="center"/>
          </w:tcPr>
          <w:p w14:paraId="1E8A6D87">
            <w:pPr>
              <w:adjustRightInd w:val="0"/>
              <w:snapToGrid w:val="0"/>
              <w:jc w:val="center"/>
              <w:rPr>
                <w:rFonts w:hint="eastAsia"/>
                <w:color w:val="000000"/>
                <w:sz w:val="21"/>
                <w:szCs w:val="21"/>
              </w:rPr>
            </w:pPr>
          </w:p>
        </w:tc>
      </w:tr>
      <w:tr w14:paraId="07FAA1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A8DDFBC">
            <w:pPr>
              <w:adjustRightInd w:val="0"/>
              <w:snapToGrid w:val="0"/>
              <w:jc w:val="center"/>
              <w:rPr>
                <w:rFonts w:hint="eastAsia"/>
                <w:bCs/>
                <w:color w:val="000000"/>
                <w:sz w:val="21"/>
                <w:szCs w:val="21"/>
              </w:rPr>
            </w:pPr>
            <w:r>
              <w:rPr>
                <w:sz w:val="21"/>
                <w:szCs w:val="21"/>
              </w:rPr>
              <w:t>10</w:t>
            </w:r>
          </w:p>
        </w:tc>
        <w:tc>
          <w:tcPr>
            <w:tcW w:w="1771" w:type="pct"/>
            <w:vAlign w:val="center"/>
          </w:tcPr>
          <w:p w14:paraId="0FCD21CA">
            <w:pPr>
              <w:adjustRightInd w:val="0"/>
              <w:snapToGrid w:val="0"/>
              <w:rPr>
                <w:rFonts w:hint="eastAsia"/>
                <w:bCs/>
                <w:color w:val="000000"/>
                <w:sz w:val="21"/>
                <w:szCs w:val="21"/>
              </w:rPr>
            </w:pPr>
            <w:r>
              <w:rPr>
                <w:rFonts w:hint="eastAsia"/>
                <w:sz w:val="21"/>
                <w:szCs w:val="21"/>
              </w:rPr>
              <w:t>采用先进的设计思路和方法，为绿色施工创造便利条件，取得良好效果</w:t>
            </w:r>
          </w:p>
        </w:tc>
        <w:tc>
          <w:tcPr>
            <w:tcW w:w="1892" w:type="pct"/>
            <w:vAlign w:val="center"/>
          </w:tcPr>
          <w:p w14:paraId="4B960AD7">
            <w:pPr>
              <w:adjustRightInd w:val="0"/>
              <w:snapToGrid w:val="0"/>
              <w:rPr>
                <w:rFonts w:hint="eastAsia"/>
                <w:bCs/>
                <w:color w:val="000000"/>
                <w:sz w:val="21"/>
                <w:szCs w:val="21"/>
              </w:rPr>
            </w:pPr>
          </w:p>
        </w:tc>
        <w:tc>
          <w:tcPr>
            <w:tcW w:w="484" w:type="pct"/>
            <w:vAlign w:val="center"/>
          </w:tcPr>
          <w:p w14:paraId="562AA662">
            <w:pPr>
              <w:adjustRightInd w:val="0"/>
              <w:snapToGrid w:val="0"/>
              <w:jc w:val="center"/>
              <w:rPr>
                <w:rFonts w:hint="eastAsia"/>
                <w:color w:val="000000"/>
                <w:sz w:val="21"/>
                <w:szCs w:val="21"/>
              </w:rPr>
            </w:pPr>
          </w:p>
        </w:tc>
        <w:tc>
          <w:tcPr>
            <w:tcW w:w="488" w:type="pct"/>
            <w:vAlign w:val="center"/>
          </w:tcPr>
          <w:p w14:paraId="3D3DD3FF">
            <w:pPr>
              <w:adjustRightInd w:val="0"/>
              <w:snapToGrid w:val="0"/>
              <w:jc w:val="center"/>
              <w:rPr>
                <w:rFonts w:hint="eastAsia"/>
                <w:color w:val="000000"/>
                <w:sz w:val="21"/>
                <w:szCs w:val="21"/>
              </w:rPr>
            </w:pPr>
          </w:p>
        </w:tc>
      </w:tr>
      <w:tr w14:paraId="4A2DA6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5191AA1">
            <w:pPr>
              <w:adjustRightInd w:val="0"/>
              <w:snapToGrid w:val="0"/>
              <w:jc w:val="center"/>
              <w:rPr>
                <w:rFonts w:hint="eastAsia"/>
                <w:bCs/>
                <w:color w:val="000000"/>
                <w:sz w:val="21"/>
                <w:szCs w:val="21"/>
              </w:rPr>
            </w:pPr>
            <w:r>
              <w:rPr>
                <w:sz w:val="21"/>
                <w:szCs w:val="21"/>
              </w:rPr>
              <w:t>11</w:t>
            </w:r>
          </w:p>
        </w:tc>
        <w:tc>
          <w:tcPr>
            <w:tcW w:w="1771" w:type="pct"/>
            <w:vAlign w:val="center"/>
          </w:tcPr>
          <w:p w14:paraId="1F1F4F7B">
            <w:pPr>
              <w:adjustRightInd w:val="0"/>
              <w:snapToGrid w:val="0"/>
              <w:rPr>
                <w:rFonts w:hint="eastAsia"/>
                <w:bCs/>
                <w:color w:val="000000"/>
                <w:sz w:val="21"/>
                <w:szCs w:val="21"/>
              </w:rPr>
            </w:pPr>
            <w:r>
              <w:rPr>
                <w:rFonts w:hint="eastAsia"/>
                <w:sz w:val="21"/>
                <w:szCs w:val="21"/>
              </w:rPr>
              <w:t>水上光伏发电项目浮体材料稳定性和耐久性良好；光伏组件效率、逆变器转化效率及年衰减率指标领先；采用的自动跟踪系统跟踪精度不大于1°</w:t>
            </w:r>
          </w:p>
        </w:tc>
        <w:tc>
          <w:tcPr>
            <w:tcW w:w="1892" w:type="pct"/>
            <w:vAlign w:val="center"/>
          </w:tcPr>
          <w:p w14:paraId="0F38F5FB">
            <w:pPr>
              <w:adjustRightInd w:val="0"/>
              <w:snapToGrid w:val="0"/>
              <w:rPr>
                <w:rFonts w:hint="eastAsia"/>
                <w:bCs/>
                <w:color w:val="000000"/>
                <w:sz w:val="21"/>
                <w:szCs w:val="21"/>
              </w:rPr>
            </w:pPr>
          </w:p>
        </w:tc>
        <w:tc>
          <w:tcPr>
            <w:tcW w:w="484" w:type="pct"/>
            <w:vAlign w:val="center"/>
          </w:tcPr>
          <w:p w14:paraId="17415EED">
            <w:pPr>
              <w:adjustRightInd w:val="0"/>
              <w:snapToGrid w:val="0"/>
              <w:jc w:val="center"/>
              <w:rPr>
                <w:rFonts w:hint="eastAsia"/>
                <w:color w:val="000000"/>
                <w:sz w:val="21"/>
                <w:szCs w:val="21"/>
              </w:rPr>
            </w:pPr>
          </w:p>
        </w:tc>
        <w:tc>
          <w:tcPr>
            <w:tcW w:w="488" w:type="pct"/>
            <w:vAlign w:val="center"/>
          </w:tcPr>
          <w:p w14:paraId="41E35B2D">
            <w:pPr>
              <w:adjustRightInd w:val="0"/>
              <w:snapToGrid w:val="0"/>
              <w:jc w:val="center"/>
              <w:rPr>
                <w:rFonts w:hint="eastAsia"/>
                <w:color w:val="000000"/>
                <w:sz w:val="21"/>
                <w:szCs w:val="21"/>
              </w:rPr>
            </w:pPr>
          </w:p>
        </w:tc>
      </w:tr>
      <w:tr w14:paraId="5E0199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44E4FCA">
            <w:pPr>
              <w:adjustRightInd w:val="0"/>
              <w:snapToGrid w:val="0"/>
              <w:jc w:val="center"/>
              <w:rPr>
                <w:rFonts w:hint="eastAsia"/>
                <w:bCs/>
                <w:color w:val="000000"/>
                <w:sz w:val="21"/>
                <w:szCs w:val="21"/>
              </w:rPr>
            </w:pPr>
            <w:r>
              <w:rPr>
                <w:sz w:val="21"/>
                <w:szCs w:val="21"/>
              </w:rPr>
              <w:t>12</w:t>
            </w:r>
          </w:p>
        </w:tc>
        <w:tc>
          <w:tcPr>
            <w:tcW w:w="1771" w:type="pct"/>
            <w:vAlign w:val="center"/>
          </w:tcPr>
          <w:p w14:paraId="5B57E0FB">
            <w:pPr>
              <w:adjustRightInd w:val="0"/>
              <w:snapToGrid w:val="0"/>
              <w:rPr>
                <w:rFonts w:hint="eastAsia"/>
                <w:bCs/>
                <w:color w:val="000000"/>
                <w:sz w:val="21"/>
                <w:szCs w:val="21"/>
              </w:rPr>
            </w:pPr>
            <w:r>
              <w:rPr>
                <w:rFonts w:hint="eastAsia"/>
                <w:sz w:val="21"/>
                <w:szCs w:val="21"/>
              </w:rPr>
              <w:t>陆上光伏发电项目光伏组件、逆变器、汇流箱、箱变等设备布置科学。光伏组件效率、逆变器转化效率及年衰减率指标领先；采用的自动跟踪系统跟踪精度不大于1°</w:t>
            </w:r>
          </w:p>
        </w:tc>
        <w:tc>
          <w:tcPr>
            <w:tcW w:w="1892" w:type="pct"/>
            <w:vAlign w:val="center"/>
          </w:tcPr>
          <w:p w14:paraId="555EECE7">
            <w:pPr>
              <w:adjustRightInd w:val="0"/>
              <w:snapToGrid w:val="0"/>
              <w:rPr>
                <w:rFonts w:hint="eastAsia"/>
                <w:bCs/>
                <w:color w:val="000000"/>
                <w:sz w:val="21"/>
                <w:szCs w:val="21"/>
              </w:rPr>
            </w:pPr>
          </w:p>
        </w:tc>
        <w:tc>
          <w:tcPr>
            <w:tcW w:w="484" w:type="pct"/>
            <w:vAlign w:val="center"/>
          </w:tcPr>
          <w:p w14:paraId="35B32D17">
            <w:pPr>
              <w:adjustRightInd w:val="0"/>
              <w:snapToGrid w:val="0"/>
              <w:jc w:val="center"/>
              <w:rPr>
                <w:rFonts w:hint="eastAsia"/>
                <w:color w:val="000000"/>
                <w:sz w:val="21"/>
                <w:szCs w:val="21"/>
              </w:rPr>
            </w:pPr>
          </w:p>
        </w:tc>
        <w:tc>
          <w:tcPr>
            <w:tcW w:w="488" w:type="pct"/>
            <w:vAlign w:val="center"/>
          </w:tcPr>
          <w:p w14:paraId="35D596A9">
            <w:pPr>
              <w:adjustRightInd w:val="0"/>
              <w:snapToGrid w:val="0"/>
              <w:jc w:val="center"/>
              <w:rPr>
                <w:rFonts w:hint="eastAsia"/>
                <w:color w:val="000000"/>
                <w:sz w:val="21"/>
                <w:szCs w:val="21"/>
              </w:rPr>
            </w:pPr>
          </w:p>
        </w:tc>
      </w:tr>
      <w:tr w14:paraId="722E7D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E7AEC57">
            <w:pPr>
              <w:adjustRightInd w:val="0"/>
              <w:snapToGrid w:val="0"/>
              <w:jc w:val="center"/>
              <w:rPr>
                <w:rFonts w:hint="eastAsia"/>
                <w:bCs/>
                <w:color w:val="000000"/>
                <w:sz w:val="21"/>
                <w:szCs w:val="21"/>
              </w:rPr>
            </w:pPr>
            <w:r>
              <w:rPr>
                <w:sz w:val="21"/>
                <w:szCs w:val="21"/>
              </w:rPr>
              <w:t>13</w:t>
            </w:r>
          </w:p>
        </w:tc>
        <w:tc>
          <w:tcPr>
            <w:tcW w:w="1771" w:type="pct"/>
            <w:vAlign w:val="center"/>
          </w:tcPr>
          <w:p w14:paraId="4CC9BE3D">
            <w:pPr>
              <w:adjustRightInd w:val="0"/>
              <w:snapToGrid w:val="0"/>
              <w:rPr>
                <w:rFonts w:hint="eastAsia"/>
                <w:bCs/>
                <w:color w:val="000000"/>
                <w:sz w:val="21"/>
                <w:szCs w:val="21"/>
              </w:rPr>
            </w:pPr>
            <w:r>
              <w:rPr>
                <w:rFonts w:hint="eastAsia"/>
                <w:sz w:val="21"/>
                <w:szCs w:val="21"/>
              </w:rPr>
              <w:t>光热发电站集热场布置紧凑，定日镜、吸热器等设备布置科学；集热场聚光、集热器等设备效率高；采用高功率跟踪精度不大于1°的定日镜，集热器及储能系统效率符合要求</w:t>
            </w:r>
          </w:p>
        </w:tc>
        <w:tc>
          <w:tcPr>
            <w:tcW w:w="1892" w:type="pct"/>
            <w:vAlign w:val="center"/>
          </w:tcPr>
          <w:p w14:paraId="72941514">
            <w:pPr>
              <w:adjustRightInd w:val="0"/>
              <w:snapToGrid w:val="0"/>
              <w:rPr>
                <w:rFonts w:hint="eastAsia"/>
                <w:bCs/>
                <w:color w:val="000000"/>
                <w:sz w:val="21"/>
                <w:szCs w:val="21"/>
              </w:rPr>
            </w:pPr>
          </w:p>
        </w:tc>
        <w:tc>
          <w:tcPr>
            <w:tcW w:w="484" w:type="pct"/>
            <w:vAlign w:val="center"/>
          </w:tcPr>
          <w:p w14:paraId="35F9A830">
            <w:pPr>
              <w:adjustRightInd w:val="0"/>
              <w:snapToGrid w:val="0"/>
              <w:jc w:val="center"/>
              <w:rPr>
                <w:rFonts w:hint="eastAsia"/>
                <w:color w:val="000000"/>
                <w:sz w:val="21"/>
                <w:szCs w:val="21"/>
              </w:rPr>
            </w:pPr>
          </w:p>
        </w:tc>
        <w:tc>
          <w:tcPr>
            <w:tcW w:w="488" w:type="pct"/>
            <w:vAlign w:val="center"/>
          </w:tcPr>
          <w:p w14:paraId="45B60018">
            <w:pPr>
              <w:adjustRightInd w:val="0"/>
              <w:snapToGrid w:val="0"/>
              <w:jc w:val="center"/>
              <w:rPr>
                <w:rFonts w:hint="eastAsia"/>
                <w:color w:val="000000"/>
                <w:sz w:val="21"/>
                <w:szCs w:val="21"/>
              </w:rPr>
            </w:pPr>
          </w:p>
        </w:tc>
      </w:tr>
      <w:tr w14:paraId="3E92E6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C94369B">
            <w:pPr>
              <w:adjustRightInd w:val="0"/>
              <w:snapToGrid w:val="0"/>
              <w:jc w:val="center"/>
              <w:rPr>
                <w:rFonts w:hint="eastAsia"/>
                <w:bCs/>
                <w:color w:val="000000"/>
                <w:sz w:val="21"/>
                <w:szCs w:val="21"/>
              </w:rPr>
            </w:pPr>
            <w:r>
              <w:rPr>
                <w:rFonts w:hint="eastAsia"/>
                <w:b/>
                <w:color w:val="000000"/>
                <w:sz w:val="21"/>
                <w:szCs w:val="21"/>
              </w:rPr>
              <w:t>5.4.2</w:t>
            </w:r>
          </w:p>
        </w:tc>
        <w:tc>
          <w:tcPr>
            <w:tcW w:w="1771" w:type="pct"/>
            <w:vAlign w:val="center"/>
          </w:tcPr>
          <w:p w14:paraId="5CFFE027">
            <w:pPr>
              <w:adjustRightInd w:val="0"/>
              <w:snapToGrid w:val="0"/>
              <w:rPr>
                <w:rFonts w:hint="eastAsia"/>
                <w:bCs/>
                <w:color w:val="000000"/>
                <w:sz w:val="21"/>
                <w:szCs w:val="21"/>
              </w:rPr>
            </w:pPr>
            <w:r>
              <w:rPr>
                <w:rFonts w:hint="eastAsia"/>
                <w:b/>
                <w:color w:val="000000"/>
                <w:sz w:val="21"/>
                <w:szCs w:val="21"/>
              </w:rPr>
              <w:t>资源节约</w:t>
            </w:r>
          </w:p>
        </w:tc>
        <w:tc>
          <w:tcPr>
            <w:tcW w:w="1892" w:type="pct"/>
            <w:vAlign w:val="center"/>
          </w:tcPr>
          <w:p w14:paraId="5F471E25">
            <w:pPr>
              <w:adjustRightInd w:val="0"/>
              <w:snapToGrid w:val="0"/>
              <w:rPr>
                <w:rFonts w:hint="eastAsia"/>
                <w:bCs/>
                <w:color w:val="000000"/>
                <w:sz w:val="21"/>
                <w:szCs w:val="21"/>
              </w:rPr>
            </w:pPr>
          </w:p>
        </w:tc>
        <w:tc>
          <w:tcPr>
            <w:tcW w:w="484" w:type="pct"/>
            <w:vAlign w:val="center"/>
          </w:tcPr>
          <w:p w14:paraId="465C5373">
            <w:pPr>
              <w:adjustRightInd w:val="0"/>
              <w:snapToGrid w:val="0"/>
              <w:jc w:val="center"/>
              <w:rPr>
                <w:rFonts w:hint="eastAsia"/>
                <w:color w:val="000000"/>
                <w:sz w:val="21"/>
                <w:szCs w:val="21"/>
              </w:rPr>
            </w:pPr>
          </w:p>
        </w:tc>
        <w:tc>
          <w:tcPr>
            <w:tcW w:w="488" w:type="pct"/>
            <w:vAlign w:val="center"/>
          </w:tcPr>
          <w:p w14:paraId="5EFA2CBB">
            <w:pPr>
              <w:adjustRightInd w:val="0"/>
              <w:snapToGrid w:val="0"/>
              <w:jc w:val="center"/>
              <w:rPr>
                <w:rFonts w:hint="eastAsia"/>
                <w:color w:val="000000"/>
                <w:sz w:val="21"/>
                <w:szCs w:val="21"/>
              </w:rPr>
            </w:pPr>
          </w:p>
        </w:tc>
      </w:tr>
      <w:tr w14:paraId="5130B4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4A11A1C">
            <w:pPr>
              <w:adjustRightInd w:val="0"/>
              <w:snapToGrid w:val="0"/>
              <w:jc w:val="center"/>
              <w:rPr>
                <w:rFonts w:hint="eastAsia"/>
                <w:bCs/>
                <w:color w:val="000000"/>
                <w:sz w:val="21"/>
                <w:szCs w:val="21"/>
              </w:rPr>
            </w:pPr>
            <w:r>
              <w:rPr>
                <w:sz w:val="21"/>
                <w:szCs w:val="21"/>
              </w:rPr>
              <w:t>1</w:t>
            </w:r>
          </w:p>
        </w:tc>
        <w:tc>
          <w:tcPr>
            <w:tcW w:w="1771" w:type="pct"/>
            <w:vAlign w:val="center"/>
          </w:tcPr>
          <w:p w14:paraId="53736FB3">
            <w:pPr>
              <w:adjustRightInd w:val="0"/>
              <w:snapToGrid w:val="0"/>
              <w:rPr>
                <w:rFonts w:hint="eastAsia"/>
                <w:bCs/>
                <w:color w:val="000000"/>
                <w:sz w:val="21"/>
                <w:szCs w:val="21"/>
              </w:rPr>
            </w:pPr>
            <w:r>
              <w:rPr>
                <w:rFonts w:hint="eastAsia"/>
                <w:sz w:val="21"/>
                <w:szCs w:val="21"/>
              </w:rPr>
              <w:t>电站总平面布置科学，优化布局，用地面积指标先进</w:t>
            </w:r>
          </w:p>
        </w:tc>
        <w:tc>
          <w:tcPr>
            <w:tcW w:w="1892" w:type="pct"/>
            <w:vAlign w:val="center"/>
          </w:tcPr>
          <w:p w14:paraId="0E910377">
            <w:pPr>
              <w:adjustRightInd w:val="0"/>
              <w:snapToGrid w:val="0"/>
              <w:rPr>
                <w:rFonts w:hint="eastAsia"/>
                <w:bCs/>
                <w:color w:val="000000"/>
                <w:sz w:val="21"/>
                <w:szCs w:val="21"/>
              </w:rPr>
            </w:pPr>
          </w:p>
        </w:tc>
        <w:tc>
          <w:tcPr>
            <w:tcW w:w="484" w:type="pct"/>
            <w:vAlign w:val="center"/>
          </w:tcPr>
          <w:p w14:paraId="6C3EB31C">
            <w:pPr>
              <w:adjustRightInd w:val="0"/>
              <w:snapToGrid w:val="0"/>
              <w:jc w:val="center"/>
              <w:rPr>
                <w:rFonts w:hint="eastAsia"/>
                <w:color w:val="000000"/>
                <w:sz w:val="21"/>
                <w:szCs w:val="21"/>
              </w:rPr>
            </w:pPr>
          </w:p>
        </w:tc>
        <w:tc>
          <w:tcPr>
            <w:tcW w:w="488" w:type="pct"/>
            <w:vAlign w:val="center"/>
          </w:tcPr>
          <w:p w14:paraId="3C6A32EE">
            <w:pPr>
              <w:adjustRightInd w:val="0"/>
              <w:snapToGrid w:val="0"/>
              <w:jc w:val="center"/>
              <w:rPr>
                <w:rFonts w:hint="eastAsia"/>
                <w:color w:val="000000"/>
                <w:sz w:val="21"/>
                <w:szCs w:val="21"/>
              </w:rPr>
            </w:pPr>
          </w:p>
        </w:tc>
      </w:tr>
      <w:tr w14:paraId="6A2C2B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492C686">
            <w:pPr>
              <w:adjustRightInd w:val="0"/>
              <w:snapToGrid w:val="0"/>
              <w:jc w:val="center"/>
              <w:rPr>
                <w:rFonts w:hint="eastAsia"/>
                <w:bCs/>
                <w:color w:val="000000"/>
                <w:sz w:val="21"/>
                <w:szCs w:val="21"/>
              </w:rPr>
            </w:pPr>
            <w:r>
              <w:rPr>
                <w:sz w:val="21"/>
                <w:szCs w:val="21"/>
              </w:rPr>
              <w:t>2</w:t>
            </w:r>
          </w:p>
        </w:tc>
        <w:tc>
          <w:tcPr>
            <w:tcW w:w="1771" w:type="pct"/>
            <w:vAlign w:val="center"/>
          </w:tcPr>
          <w:p w14:paraId="1DD6D2EE">
            <w:pPr>
              <w:adjustRightInd w:val="0"/>
              <w:snapToGrid w:val="0"/>
              <w:rPr>
                <w:rFonts w:hint="eastAsia"/>
                <w:bCs/>
                <w:color w:val="000000"/>
                <w:sz w:val="21"/>
                <w:szCs w:val="21"/>
              </w:rPr>
            </w:pPr>
            <w:r>
              <w:rPr>
                <w:rFonts w:hint="eastAsia"/>
                <w:sz w:val="21"/>
                <w:szCs w:val="21"/>
              </w:rPr>
              <w:t>电站设备布置紧凑，电缆走向、路径合理；场内集电线路路径短捷顺畅</w:t>
            </w:r>
          </w:p>
        </w:tc>
        <w:tc>
          <w:tcPr>
            <w:tcW w:w="1892" w:type="pct"/>
            <w:vAlign w:val="center"/>
          </w:tcPr>
          <w:p w14:paraId="5566BC8A">
            <w:pPr>
              <w:adjustRightInd w:val="0"/>
              <w:snapToGrid w:val="0"/>
              <w:rPr>
                <w:rFonts w:hint="eastAsia"/>
                <w:bCs/>
                <w:color w:val="000000"/>
                <w:sz w:val="21"/>
                <w:szCs w:val="21"/>
              </w:rPr>
            </w:pPr>
          </w:p>
        </w:tc>
        <w:tc>
          <w:tcPr>
            <w:tcW w:w="484" w:type="pct"/>
            <w:vAlign w:val="center"/>
          </w:tcPr>
          <w:p w14:paraId="615BF04B">
            <w:pPr>
              <w:adjustRightInd w:val="0"/>
              <w:snapToGrid w:val="0"/>
              <w:jc w:val="center"/>
              <w:rPr>
                <w:rFonts w:hint="eastAsia"/>
                <w:color w:val="000000"/>
                <w:sz w:val="21"/>
                <w:szCs w:val="21"/>
              </w:rPr>
            </w:pPr>
          </w:p>
        </w:tc>
        <w:tc>
          <w:tcPr>
            <w:tcW w:w="488" w:type="pct"/>
            <w:vAlign w:val="center"/>
          </w:tcPr>
          <w:p w14:paraId="1F1E583F">
            <w:pPr>
              <w:adjustRightInd w:val="0"/>
              <w:snapToGrid w:val="0"/>
              <w:jc w:val="center"/>
              <w:rPr>
                <w:rFonts w:hint="eastAsia"/>
                <w:color w:val="000000"/>
                <w:sz w:val="21"/>
                <w:szCs w:val="21"/>
              </w:rPr>
            </w:pPr>
          </w:p>
        </w:tc>
      </w:tr>
      <w:tr w14:paraId="75617B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B7C541C">
            <w:pPr>
              <w:adjustRightInd w:val="0"/>
              <w:snapToGrid w:val="0"/>
              <w:jc w:val="center"/>
              <w:rPr>
                <w:rFonts w:hint="eastAsia"/>
                <w:bCs/>
                <w:color w:val="000000"/>
                <w:sz w:val="21"/>
                <w:szCs w:val="21"/>
              </w:rPr>
            </w:pPr>
            <w:r>
              <w:rPr>
                <w:sz w:val="21"/>
                <w:szCs w:val="21"/>
              </w:rPr>
              <w:t>3</w:t>
            </w:r>
          </w:p>
        </w:tc>
        <w:tc>
          <w:tcPr>
            <w:tcW w:w="1771" w:type="pct"/>
            <w:vAlign w:val="center"/>
          </w:tcPr>
          <w:p w14:paraId="2BB38D77">
            <w:pPr>
              <w:adjustRightInd w:val="0"/>
              <w:snapToGrid w:val="0"/>
              <w:rPr>
                <w:rFonts w:hint="eastAsia"/>
                <w:bCs/>
                <w:color w:val="000000"/>
                <w:sz w:val="21"/>
                <w:szCs w:val="21"/>
              </w:rPr>
            </w:pPr>
            <w:r>
              <w:rPr>
                <w:rFonts w:hint="eastAsia"/>
                <w:sz w:val="21"/>
                <w:szCs w:val="21"/>
              </w:rPr>
              <w:t>变电站布置紧凑合理，占地面积、容积率指标先进</w:t>
            </w:r>
          </w:p>
        </w:tc>
        <w:tc>
          <w:tcPr>
            <w:tcW w:w="1892" w:type="pct"/>
            <w:vAlign w:val="center"/>
          </w:tcPr>
          <w:p w14:paraId="2246D929">
            <w:pPr>
              <w:adjustRightInd w:val="0"/>
              <w:snapToGrid w:val="0"/>
              <w:rPr>
                <w:rFonts w:hint="eastAsia"/>
                <w:bCs/>
                <w:color w:val="000000"/>
                <w:sz w:val="21"/>
                <w:szCs w:val="21"/>
              </w:rPr>
            </w:pPr>
          </w:p>
        </w:tc>
        <w:tc>
          <w:tcPr>
            <w:tcW w:w="484" w:type="pct"/>
            <w:vAlign w:val="center"/>
          </w:tcPr>
          <w:p w14:paraId="1305C5F3">
            <w:pPr>
              <w:adjustRightInd w:val="0"/>
              <w:snapToGrid w:val="0"/>
              <w:jc w:val="center"/>
              <w:rPr>
                <w:rFonts w:hint="eastAsia"/>
                <w:color w:val="000000"/>
                <w:sz w:val="21"/>
                <w:szCs w:val="21"/>
              </w:rPr>
            </w:pPr>
          </w:p>
        </w:tc>
        <w:tc>
          <w:tcPr>
            <w:tcW w:w="488" w:type="pct"/>
            <w:vAlign w:val="center"/>
          </w:tcPr>
          <w:p w14:paraId="5F87BCC3">
            <w:pPr>
              <w:adjustRightInd w:val="0"/>
              <w:snapToGrid w:val="0"/>
              <w:jc w:val="center"/>
              <w:rPr>
                <w:rFonts w:hint="eastAsia"/>
                <w:color w:val="000000"/>
                <w:sz w:val="21"/>
                <w:szCs w:val="21"/>
              </w:rPr>
            </w:pPr>
          </w:p>
        </w:tc>
      </w:tr>
      <w:tr w14:paraId="2CF262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7CF98F7">
            <w:pPr>
              <w:adjustRightInd w:val="0"/>
              <w:snapToGrid w:val="0"/>
              <w:jc w:val="center"/>
              <w:rPr>
                <w:rFonts w:hint="eastAsia"/>
                <w:bCs/>
                <w:color w:val="000000"/>
                <w:sz w:val="21"/>
                <w:szCs w:val="21"/>
              </w:rPr>
            </w:pPr>
            <w:r>
              <w:rPr>
                <w:sz w:val="21"/>
                <w:szCs w:val="21"/>
              </w:rPr>
              <w:t>4</w:t>
            </w:r>
          </w:p>
        </w:tc>
        <w:tc>
          <w:tcPr>
            <w:tcW w:w="1771" w:type="pct"/>
            <w:vAlign w:val="center"/>
          </w:tcPr>
          <w:p w14:paraId="322C034A">
            <w:pPr>
              <w:adjustRightInd w:val="0"/>
              <w:snapToGrid w:val="0"/>
              <w:rPr>
                <w:rFonts w:hint="eastAsia"/>
                <w:bCs/>
                <w:color w:val="000000"/>
                <w:sz w:val="21"/>
                <w:szCs w:val="21"/>
              </w:rPr>
            </w:pPr>
            <w:r>
              <w:rPr>
                <w:rFonts w:hint="eastAsia"/>
                <w:sz w:val="21"/>
                <w:szCs w:val="21"/>
              </w:rPr>
              <w:t>建筑物布置简约、集约，扩大联合。性质和功能相同或相近的建（构）筑物采用联合建筑，永久建筑和临时建筑结合，节约用地</w:t>
            </w:r>
          </w:p>
        </w:tc>
        <w:tc>
          <w:tcPr>
            <w:tcW w:w="1892" w:type="pct"/>
            <w:vAlign w:val="center"/>
          </w:tcPr>
          <w:p w14:paraId="5D86F344">
            <w:pPr>
              <w:adjustRightInd w:val="0"/>
              <w:snapToGrid w:val="0"/>
              <w:rPr>
                <w:rFonts w:hint="eastAsia"/>
                <w:bCs/>
                <w:color w:val="000000"/>
                <w:sz w:val="21"/>
                <w:szCs w:val="21"/>
              </w:rPr>
            </w:pPr>
          </w:p>
        </w:tc>
        <w:tc>
          <w:tcPr>
            <w:tcW w:w="484" w:type="pct"/>
            <w:vAlign w:val="center"/>
          </w:tcPr>
          <w:p w14:paraId="1D2F5930">
            <w:pPr>
              <w:adjustRightInd w:val="0"/>
              <w:snapToGrid w:val="0"/>
              <w:jc w:val="center"/>
              <w:rPr>
                <w:rFonts w:hint="eastAsia"/>
                <w:color w:val="000000"/>
                <w:sz w:val="21"/>
                <w:szCs w:val="21"/>
              </w:rPr>
            </w:pPr>
          </w:p>
        </w:tc>
        <w:tc>
          <w:tcPr>
            <w:tcW w:w="488" w:type="pct"/>
            <w:vAlign w:val="center"/>
          </w:tcPr>
          <w:p w14:paraId="3C7D45FA">
            <w:pPr>
              <w:adjustRightInd w:val="0"/>
              <w:snapToGrid w:val="0"/>
              <w:jc w:val="center"/>
              <w:rPr>
                <w:rFonts w:hint="eastAsia"/>
                <w:color w:val="000000"/>
                <w:sz w:val="21"/>
                <w:szCs w:val="21"/>
              </w:rPr>
            </w:pPr>
          </w:p>
        </w:tc>
      </w:tr>
      <w:tr w14:paraId="18F0E4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9C75FFF">
            <w:pPr>
              <w:adjustRightInd w:val="0"/>
              <w:snapToGrid w:val="0"/>
              <w:jc w:val="center"/>
              <w:rPr>
                <w:rFonts w:hint="eastAsia"/>
                <w:bCs/>
                <w:color w:val="000000"/>
                <w:sz w:val="21"/>
                <w:szCs w:val="21"/>
              </w:rPr>
            </w:pPr>
            <w:r>
              <w:rPr>
                <w:sz w:val="21"/>
                <w:szCs w:val="21"/>
              </w:rPr>
              <w:t>5</w:t>
            </w:r>
          </w:p>
        </w:tc>
        <w:tc>
          <w:tcPr>
            <w:tcW w:w="1771" w:type="pct"/>
            <w:vAlign w:val="center"/>
          </w:tcPr>
          <w:p w14:paraId="20BA9DD1">
            <w:pPr>
              <w:adjustRightInd w:val="0"/>
              <w:snapToGrid w:val="0"/>
              <w:rPr>
                <w:rFonts w:hint="eastAsia"/>
                <w:bCs/>
                <w:color w:val="000000"/>
                <w:sz w:val="21"/>
                <w:szCs w:val="21"/>
              </w:rPr>
            </w:pPr>
            <w:r>
              <w:rPr>
                <w:rFonts w:hint="eastAsia"/>
                <w:sz w:val="21"/>
                <w:szCs w:val="21"/>
              </w:rPr>
              <w:t>采用节能、变频、高效率设备，降低损耗、提高效率</w:t>
            </w:r>
          </w:p>
        </w:tc>
        <w:tc>
          <w:tcPr>
            <w:tcW w:w="1892" w:type="pct"/>
            <w:vAlign w:val="center"/>
          </w:tcPr>
          <w:p w14:paraId="32452F25">
            <w:pPr>
              <w:adjustRightInd w:val="0"/>
              <w:snapToGrid w:val="0"/>
              <w:rPr>
                <w:rFonts w:hint="eastAsia"/>
                <w:bCs/>
                <w:color w:val="000000"/>
                <w:sz w:val="21"/>
                <w:szCs w:val="21"/>
              </w:rPr>
            </w:pPr>
          </w:p>
        </w:tc>
        <w:tc>
          <w:tcPr>
            <w:tcW w:w="484" w:type="pct"/>
            <w:vAlign w:val="center"/>
          </w:tcPr>
          <w:p w14:paraId="232E7E94">
            <w:pPr>
              <w:adjustRightInd w:val="0"/>
              <w:snapToGrid w:val="0"/>
              <w:jc w:val="center"/>
              <w:rPr>
                <w:rFonts w:hint="eastAsia"/>
                <w:color w:val="000000"/>
                <w:sz w:val="21"/>
                <w:szCs w:val="21"/>
              </w:rPr>
            </w:pPr>
          </w:p>
        </w:tc>
        <w:tc>
          <w:tcPr>
            <w:tcW w:w="488" w:type="pct"/>
            <w:vAlign w:val="center"/>
          </w:tcPr>
          <w:p w14:paraId="49BAA8F7">
            <w:pPr>
              <w:adjustRightInd w:val="0"/>
              <w:snapToGrid w:val="0"/>
              <w:jc w:val="center"/>
              <w:rPr>
                <w:rFonts w:hint="eastAsia"/>
                <w:color w:val="000000"/>
                <w:sz w:val="21"/>
                <w:szCs w:val="21"/>
              </w:rPr>
            </w:pPr>
          </w:p>
        </w:tc>
      </w:tr>
      <w:tr w14:paraId="4E90E0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C702609">
            <w:pPr>
              <w:adjustRightInd w:val="0"/>
              <w:snapToGrid w:val="0"/>
              <w:jc w:val="center"/>
              <w:rPr>
                <w:rFonts w:hint="eastAsia"/>
                <w:bCs/>
                <w:color w:val="000000"/>
                <w:sz w:val="21"/>
                <w:szCs w:val="21"/>
              </w:rPr>
            </w:pPr>
            <w:r>
              <w:rPr>
                <w:sz w:val="21"/>
                <w:szCs w:val="21"/>
              </w:rPr>
              <w:t>6</w:t>
            </w:r>
          </w:p>
        </w:tc>
        <w:tc>
          <w:tcPr>
            <w:tcW w:w="1771" w:type="pct"/>
            <w:vAlign w:val="center"/>
          </w:tcPr>
          <w:p w14:paraId="2570247A">
            <w:pPr>
              <w:adjustRightInd w:val="0"/>
              <w:snapToGrid w:val="0"/>
              <w:rPr>
                <w:rFonts w:hint="eastAsia"/>
                <w:bCs/>
                <w:color w:val="000000"/>
                <w:sz w:val="21"/>
                <w:szCs w:val="21"/>
              </w:rPr>
            </w:pPr>
            <w:r>
              <w:rPr>
                <w:rFonts w:hint="eastAsia"/>
                <w:sz w:val="21"/>
                <w:szCs w:val="21"/>
              </w:rPr>
              <w:t>节能管理措施到位，配备完善的能源计量仪表</w:t>
            </w:r>
          </w:p>
        </w:tc>
        <w:tc>
          <w:tcPr>
            <w:tcW w:w="1892" w:type="pct"/>
            <w:vAlign w:val="center"/>
          </w:tcPr>
          <w:p w14:paraId="5A3423E0">
            <w:pPr>
              <w:adjustRightInd w:val="0"/>
              <w:snapToGrid w:val="0"/>
              <w:rPr>
                <w:rFonts w:hint="eastAsia"/>
                <w:bCs/>
                <w:color w:val="000000"/>
                <w:sz w:val="21"/>
                <w:szCs w:val="21"/>
              </w:rPr>
            </w:pPr>
          </w:p>
        </w:tc>
        <w:tc>
          <w:tcPr>
            <w:tcW w:w="484" w:type="pct"/>
            <w:vAlign w:val="center"/>
          </w:tcPr>
          <w:p w14:paraId="1D513420">
            <w:pPr>
              <w:adjustRightInd w:val="0"/>
              <w:snapToGrid w:val="0"/>
              <w:jc w:val="center"/>
              <w:rPr>
                <w:rFonts w:hint="eastAsia"/>
                <w:color w:val="000000"/>
                <w:sz w:val="21"/>
                <w:szCs w:val="21"/>
              </w:rPr>
            </w:pPr>
          </w:p>
        </w:tc>
        <w:tc>
          <w:tcPr>
            <w:tcW w:w="488" w:type="pct"/>
            <w:vAlign w:val="center"/>
          </w:tcPr>
          <w:p w14:paraId="4F496ABE">
            <w:pPr>
              <w:adjustRightInd w:val="0"/>
              <w:snapToGrid w:val="0"/>
              <w:jc w:val="center"/>
              <w:rPr>
                <w:rFonts w:hint="eastAsia"/>
                <w:color w:val="000000"/>
                <w:sz w:val="21"/>
                <w:szCs w:val="21"/>
              </w:rPr>
            </w:pPr>
          </w:p>
        </w:tc>
      </w:tr>
      <w:tr w14:paraId="0E0FA4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711BF23">
            <w:pPr>
              <w:adjustRightInd w:val="0"/>
              <w:snapToGrid w:val="0"/>
              <w:jc w:val="center"/>
              <w:rPr>
                <w:rFonts w:hint="eastAsia"/>
                <w:bCs/>
                <w:color w:val="000000"/>
                <w:sz w:val="21"/>
                <w:szCs w:val="21"/>
              </w:rPr>
            </w:pPr>
            <w:r>
              <w:rPr>
                <w:rFonts w:hint="eastAsia"/>
                <w:sz w:val="21"/>
                <w:szCs w:val="21"/>
              </w:rPr>
              <w:t>7</w:t>
            </w:r>
          </w:p>
        </w:tc>
        <w:tc>
          <w:tcPr>
            <w:tcW w:w="1771" w:type="pct"/>
            <w:vAlign w:val="center"/>
          </w:tcPr>
          <w:p w14:paraId="6EDE6FCA">
            <w:pPr>
              <w:adjustRightInd w:val="0"/>
              <w:snapToGrid w:val="0"/>
              <w:rPr>
                <w:rFonts w:hint="eastAsia"/>
                <w:bCs/>
                <w:color w:val="000000"/>
                <w:sz w:val="21"/>
                <w:szCs w:val="21"/>
              </w:rPr>
            </w:pPr>
            <w:r>
              <w:rPr>
                <w:rFonts w:hint="eastAsia"/>
                <w:sz w:val="21"/>
                <w:szCs w:val="21"/>
              </w:rPr>
              <w:t>电站给排水系统、污水处理系统和雨水收集等设计科学合理，管线、阀门、表计等布置合理</w:t>
            </w:r>
          </w:p>
        </w:tc>
        <w:tc>
          <w:tcPr>
            <w:tcW w:w="1892" w:type="pct"/>
            <w:vAlign w:val="center"/>
          </w:tcPr>
          <w:p w14:paraId="66737C8F">
            <w:pPr>
              <w:adjustRightInd w:val="0"/>
              <w:snapToGrid w:val="0"/>
              <w:rPr>
                <w:rFonts w:hint="eastAsia"/>
                <w:bCs/>
                <w:color w:val="000000"/>
                <w:sz w:val="21"/>
                <w:szCs w:val="21"/>
              </w:rPr>
            </w:pPr>
          </w:p>
        </w:tc>
        <w:tc>
          <w:tcPr>
            <w:tcW w:w="484" w:type="pct"/>
            <w:vAlign w:val="center"/>
          </w:tcPr>
          <w:p w14:paraId="777E749B">
            <w:pPr>
              <w:adjustRightInd w:val="0"/>
              <w:snapToGrid w:val="0"/>
              <w:jc w:val="center"/>
              <w:rPr>
                <w:rFonts w:hint="eastAsia"/>
                <w:color w:val="000000"/>
                <w:sz w:val="21"/>
                <w:szCs w:val="21"/>
              </w:rPr>
            </w:pPr>
          </w:p>
        </w:tc>
        <w:tc>
          <w:tcPr>
            <w:tcW w:w="488" w:type="pct"/>
            <w:vAlign w:val="center"/>
          </w:tcPr>
          <w:p w14:paraId="494C4569">
            <w:pPr>
              <w:adjustRightInd w:val="0"/>
              <w:snapToGrid w:val="0"/>
              <w:jc w:val="center"/>
              <w:rPr>
                <w:rFonts w:hint="eastAsia"/>
                <w:color w:val="000000"/>
                <w:sz w:val="21"/>
                <w:szCs w:val="21"/>
              </w:rPr>
            </w:pPr>
          </w:p>
        </w:tc>
      </w:tr>
      <w:tr w14:paraId="715B11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929E75C">
            <w:pPr>
              <w:adjustRightInd w:val="0"/>
              <w:snapToGrid w:val="0"/>
              <w:jc w:val="center"/>
              <w:rPr>
                <w:rFonts w:hint="eastAsia"/>
                <w:bCs/>
                <w:color w:val="000000"/>
                <w:sz w:val="21"/>
                <w:szCs w:val="21"/>
              </w:rPr>
            </w:pPr>
            <w:r>
              <w:rPr>
                <w:rFonts w:hint="eastAsia"/>
                <w:sz w:val="21"/>
                <w:szCs w:val="21"/>
              </w:rPr>
              <w:t>8</w:t>
            </w:r>
          </w:p>
        </w:tc>
        <w:tc>
          <w:tcPr>
            <w:tcW w:w="1771" w:type="pct"/>
            <w:vAlign w:val="center"/>
          </w:tcPr>
          <w:p w14:paraId="279D783C">
            <w:pPr>
              <w:adjustRightInd w:val="0"/>
              <w:snapToGrid w:val="0"/>
              <w:rPr>
                <w:rFonts w:hint="eastAsia"/>
                <w:bCs/>
                <w:color w:val="000000"/>
                <w:sz w:val="21"/>
                <w:szCs w:val="21"/>
              </w:rPr>
            </w:pPr>
            <w:r>
              <w:rPr>
                <w:rFonts w:hint="eastAsia"/>
                <w:sz w:val="21"/>
                <w:szCs w:val="21"/>
              </w:rPr>
              <w:t>电厂雨水控制及利用（收集回用、土壤入渗、调蓄排放）专项设计，效果显著</w:t>
            </w:r>
          </w:p>
        </w:tc>
        <w:tc>
          <w:tcPr>
            <w:tcW w:w="1892" w:type="pct"/>
            <w:vAlign w:val="center"/>
          </w:tcPr>
          <w:p w14:paraId="5F1A5808">
            <w:pPr>
              <w:adjustRightInd w:val="0"/>
              <w:snapToGrid w:val="0"/>
              <w:rPr>
                <w:rFonts w:hint="eastAsia"/>
                <w:bCs/>
                <w:color w:val="000000"/>
                <w:sz w:val="21"/>
                <w:szCs w:val="21"/>
              </w:rPr>
            </w:pPr>
          </w:p>
        </w:tc>
        <w:tc>
          <w:tcPr>
            <w:tcW w:w="484" w:type="pct"/>
            <w:vAlign w:val="center"/>
          </w:tcPr>
          <w:p w14:paraId="10B01AA1">
            <w:pPr>
              <w:adjustRightInd w:val="0"/>
              <w:snapToGrid w:val="0"/>
              <w:jc w:val="center"/>
              <w:rPr>
                <w:rFonts w:hint="eastAsia"/>
                <w:color w:val="000000"/>
                <w:sz w:val="21"/>
                <w:szCs w:val="21"/>
              </w:rPr>
            </w:pPr>
          </w:p>
        </w:tc>
        <w:tc>
          <w:tcPr>
            <w:tcW w:w="488" w:type="pct"/>
            <w:vAlign w:val="center"/>
          </w:tcPr>
          <w:p w14:paraId="4EFA3F4B">
            <w:pPr>
              <w:adjustRightInd w:val="0"/>
              <w:snapToGrid w:val="0"/>
              <w:jc w:val="center"/>
              <w:rPr>
                <w:rFonts w:hint="eastAsia"/>
                <w:color w:val="000000"/>
                <w:sz w:val="21"/>
                <w:szCs w:val="21"/>
              </w:rPr>
            </w:pPr>
          </w:p>
        </w:tc>
      </w:tr>
      <w:tr w14:paraId="03D3D1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DCB068A">
            <w:pPr>
              <w:adjustRightInd w:val="0"/>
              <w:snapToGrid w:val="0"/>
              <w:jc w:val="center"/>
              <w:rPr>
                <w:rFonts w:hint="eastAsia"/>
                <w:bCs/>
                <w:color w:val="000000"/>
                <w:sz w:val="21"/>
                <w:szCs w:val="21"/>
              </w:rPr>
            </w:pPr>
            <w:r>
              <w:rPr>
                <w:rFonts w:hint="eastAsia"/>
                <w:sz w:val="21"/>
                <w:szCs w:val="21"/>
              </w:rPr>
              <w:t>9</w:t>
            </w:r>
          </w:p>
        </w:tc>
        <w:tc>
          <w:tcPr>
            <w:tcW w:w="1771" w:type="pct"/>
            <w:vAlign w:val="center"/>
          </w:tcPr>
          <w:p w14:paraId="00C6AF62">
            <w:pPr>
              <w:adjustRightInd w:val="0"/>
              <w:snapToGrid w:val="0"/>
              <w:rPr>
                <w:rFonts w:hint="eastAsia"/>
                <w:bCs/>
                <w:color w:val="000000"/>
                <w:sz w:val="21"/>
                <w:szCs w:val="21"/>
              </w:rPr>
            </w:pPr>
            <w:r>
              <w:rPr>
                <w:rFonts w:hint="eastAsia"/>
                <w:sz w:val="21"/>
                <w:szCs w:val="21"/>
              </w:rPr>
              <w:t>选用节能建筑材料，统筹考虑工程耐久性和可持续性，采用高强度、高性能、高耐久性和可循环材料以及先进适用技术体系</w:t>
            </w:r>
          </w:p>
        </w:tc>
        <w:tc>
          <w:tcPr>
            <w:tcW w:w="1892" w:type="pct"/>
            <w:vAlign w:val="center"/>
          </w:tcPr>
          <w:p w14:paraId="6142EE82">
            <w:pPr>
              <w:adjustRightInd w:val="0"/>
              <w:snapToGrid w:val="0"/>
              <w:rPr>
                <w:rFonts w:hint="eastAsia"/>
                <w:bCs/>
                <w:color w:val="000000"/>
                <w:sz w:val="21"/>
                <w:szCs w:val="21"/>
              </w:rPr>
            </w:pPr>
          </w:p>
        </w:tc>
        <w:tc>
          <w:tcPr>
            <w:tcW w:w="484" w:type="pct"/>
            <w:vAlign w:val="center"/>
          </w:tcPr>
          <w:p w14:paraId="5FC4DC00">
            <w:pPr>
              <w:adjustRightInd w:val="0"/>
              <w:snapToGrid w:val="0"/>
              <w:jc w:val="center"/>
              <w:rPr>
                <w:rFonts w:hint="eastAsia"/>
                <w:color w:val="000000"/>
                <w:sz w:val="21"/>
                <w:szCs w:val="21"/>
              </w:rPr>
            </w:pPr>
          </w:p>
        </w:tc>
        <w:tc>
          <w:tcPr>
            <w:tcW w:w="488" w:type="pct"/>
            <w:vAlign w:val="center"/>
          </w:tcPr>
          <w:p w14:paraId="1E38CB16">
            <w:pPr>
              <w:adjustRightInd w:val="0"/>
              <w:snapToGrid w:val="0"/>
              <w:jc w:val="center"/>
              <w:rPr>
                <w:rFonts w:hint="eastAsia"/>
                <w:color w:val="000000"/>
                <w:sz w:val="21"/>
                <w:szCs w:val="21"/>
              </w:rPr>
            </w:pPr>
          </w:p>
        </w:tc>
      </w:tr>
      <w:tr w14:paraId="4107AA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0219207">
            <w:pPr>
              <w:adjustRightInd w:val="0"/>
              <w:snapToGrid w:val="0"/>
              <w:jc w:val="center"/>
              <w:rPr>
                <w:rFonts w:hint="eastAsia"/>
                <w:bCs/>
                <w:color w:val="000000"/>
                <w:sz w:val="21"/>
                <w:szCs w:val="21"/>
              </w:rPr>
            </w:pPr>
            <w:r>
              <w:rPr>
                <w:sz w:val="21"/>
                <w:szCs w:val="21"/>
              </w:rPr>
              <w:t>1</w:t>
            </w:r>
            <w:r>
              <w:rPr>
                <w:rFonts w:hint="eastAsia"/>
                <w:sz w:val="21"/>
                <w:szCs w:val="21"/>
              </w:rPr>
              <w:t>0</w:t>
            </w:r>
          </w:p>
        </w:tc>
        <w:tc>
          <w:tcPr>
            <w:tcW w:w="1771" w:type="pct"/>
            <w:vAlign w:val="center"/>
          </w:tcPr>
          <w:p w14:paraId="52EBFEFE">
            <w:pPr>
              <w:adjustRightInd w:val="0"/>
              <w:snapToGrid w:val="0"/>
              <w:rPr>
                <w:rFonts w:hint="eastAsia"/>
                <w:bCs/>
                <w:color w:val="000000"/>
                <w:sz w:val="21"/>
                <w:szCs w:val="21"/>
              </w:rPr>
            </w:pPr>
            <w:r>
              <w:rPr>
                <w:rFonts w:hint="eastAsia"/>
                <w:sz w:val="21"/>
                <w:szCs w:val="21"/>
              </w:rPr>
              <w:t>建筑热工（屋面、楼面、围护结构）、建筑采光及通风设计合理，建筑节能降耗措施先进</w:t>
            </w:r>
          </w:p>
        </w:tc>
        <w:tc>
          <w:tcPr>
            <w:tcW w:w="1892" w:type="pct"/>
            <w:vAlign w:val="center"/>
          </w:tcPr>
          <w:p w14:paraId="42A23834">
            <w:pPr>
              <w:adjustRightInd w:val="0"/>
              <w:snapToGrid w:val="0"/>
              <w:rPr>
                <w:rFonts w:hint="eastAsia"/>
                <w:bCs/>
                <w:color w:val="000000"/>
                <w:sz w:val="21"/>
                <w:szCs w:val="21"/>
              </w:rPr>
            </w:pPr>
          </w:p>
        </w:tc>
        <w:tc>
          <w:tcPr>
            <w:tcW w:w="484" w:type="pct"/>
            <w:vAlign w:val="center"/>
          </w:tcPr>
          <w:p w14:paraId="64530C3D">
            <w:pPr>
              <w:adjustRightInd w:val="0"/>
              <w:snapToGrid w:val="0"/>
              <w:jc w:val="center"/>
              <w:rPr>
                <w:rFonts w:hint="eastAsia"/>
                <w:color w:val="000000"/>
                <w:sz w:val="21"/>
                <w:szCs w:val="21"/>
              </w:rPr>
            </w:pPr>
          </w:p>
        </w:tc>
        <w:tc>
          <w:tcPr>
            <w:tcW w:w="488" w:type="pct"/>
            <w:vAlign w:val="center"/>
          </w:tcPr>
          <w:p w14:paraId="610968D5">
            <w:pPr>
              <w:adjustRightInd w:val="0"/>
              <w:snapToGrid w:val="0"/>
              <w:jc w:val="center"/>
              <w:rPr>
                <w:rFonts w:hint="eastAsia"/>
                <w:color w:val="000000"/>
                <w:sz w:val="21"/>
                <w:szCs w:val="21"/>
              </w:rPr>
            </w:pPr>
          </w:p>
        </w:tc>
      </w:tr>
      <w:tr w14:paraId="409A4E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E141D39">
            <w:pPr>
              <w:adjustRightInd w:val="0"/>
              <w:snapToGrid w:val="0"/>
              <w:jc w:val="center"/>
              <w:rPr>
                <w:rFonts w:hint="eastAsia"/>
                <w:bCs/>
                <w:color w:val="000000"/>
                <w:sz w:val="21"/>
                <w:szCs w:val="21"/>
              </w:rPr>
            </w:pPr>
            <w:r>
              <w:rPr>
                <w:sz w:val="21"/>
                <w:szCs w:val="21"/>
              </w:rPr>
              <w:t>1</w:t>
            </w:r>
            <w:r>
              <w:rPr>
                <w:rFonts w:hint="eastAsia"/>
                <w:sz w:val="21"/>
                <w:szCs w:val="21"/>
              </w:rPr>
              <w:t>1</w:t>
            </w:r>
          </w:p>
        </w:tc>
        <w:tc>
          <w:tcPr>
            <w:tcW w:w="1771" w:type="pct"/>
            <w:vAlign w:val="center"/>
          </w:tcPr>
          <w:p w14:paraId="44B205BF">
            <w:pPr>
              <w:adjustRightInd w:val="0"/>
              <w:snapToGrid w:val="0"/>
              <w:rPr>
                <w:rFonts w:hint="eastAsia"/>
                <w:bCs/>
                <w:color w:val="000000"/>
                <w:sz w:val="21"/>
                <w:szCs w:val="21"/>
              </w:rPr>
            </w:pPr>
            <w:r>
              <w:rPr>
                <w:rFonts w:hint="eastAsia"/>
                <w:sz w:val="21"/>
                <w:szCs w:val="21"/>
              </w:rPr>
              <w:t>生产办公楼采用装配式技术，生产建筑积极采用工厂化预制构件</w:t>
            </w:r>
          </w:p>
        </w:tc>
        <w:tc>
          <w:tcPr>
            <w:tcW w:w="1892" w:type="pct"/>
            <w:vAlign w:val="center"/>
          </w:tcPr>
          <w:p w14:paraId="7C935BC1">
            <w:pPr>
              <w:adjustRightInd w:val="0"/>
              <w:snapToGrid w:val="0"/>
              <w:rPr>
                <w:rFonts w:hint="eastAsia"/>
                <w:bCs/>
                <w:color w:val="000000"/>
                <w:sz w:val="21"/>
                <w:szCs w:val="21"/>
              </w:rPr>
            </w:pPr>
          </w:p>
        </w:tc>
        <w:tc>
          <w:tcPr>
            <w:tcW w:w="484" w:type="pct"/>
            <w:vAlign w:val="center"/>
          </w:tcPr>
          <w:p w14:paraId="3C34067B">
            <w:pPr>
              <w:adjustRightInd w:val="0"/>
              <w:snapToGrid w:val="0"/>
              <w:jc w:val="center"/>
              <w:rPr>
                <w:rFonts w:hint="eastAsia"/>
                <w:color w:val="000000"/>
                <w:sz w:val="21"/>
                <w:szCs w:val="21"/>
              </w:rPr>
            </w:pPr>
          </w:p>
        </w:tc>
        <w:tc>
          <w:tcPr>
            <w:tcW w:w="488" w:type="pct"/>
            <w:vAlign w:val="center"/>
          </w:tcPr>
          <w:p w14:paraId="32E970D4">
            <w:pPr>
              <w:adjustRightInd w:val="0"/>
              <w:snapToGrid w:val="0"/>
              <w:jc w:val="center"/>
              <w:rPr>
                <w:rFonts w:hint="eastAsia"/>
                <w:color w:val="000000"/>
                <w:sz w:val="21"/>
                <w:szCs w:val="21"/>
              </w:rPr>
            </w:pPr>
          </w:p>
        </w:tc>
      </w:tr>
      <w:tr w14:paraId="0302EA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AB61A64">
            <w:pPr>
              <w:adjustRightInd w:val="0"/>
              <w:snapToGrid w:val="0"/>
              <w:jc w:val="center"/>
              <w:rPr>
                <w:rFonts w:hint="eastAsia"/>
                <w:bCs/>
                <w:color w:val="000000"/>
                <w:sz w:val="21"/>
                <w:szCs w:val="21"/>
              </w:rPr>
            </w:pPr>
            <w:r>
              <w:rPr>
                <w:rFonts w:hint="eastAsia"/>
                <w:b/>
                <w:color w:val="000000"/>
                <w:sz w:val="21"/>
                <w:szCs w:val="21"/>
              </w:rPr>
              <w:t>5.4.3</w:t>
            </w:r>
          </w:p>
        </w:tc>
        <w:tc>
          <w:tcPr>
            <w:tcW w:w="1771" w:type="pct"/>
            <w:vAlign w:val="center"/>
          </w:tcPr>
          <w:p w14:paraId="371F6CCF">
            <w:pPr>
              <w:adjustRightInd w:val="0"/>
              <w:snapToGrid w:val="0"/>
              <w:rPr>
                <w:rFonts w:hint="eastAsia"/>
                <w:bCs/>
                <w:color w:val="000000"/>
                <w:sz w:val="21"/>
                <w:szCs w:val="21"/>
              </w:rPr>
            </w:pPr>
            <w:r>
              <w:rPr>
                <w:rFonts w:hint="eastAsia"/>
                <w:b/>
                <w:bCs/>
                <w:color w:val="000000"/>
                <w:sz w:val="21"/>
                <w:szCs w:val="21"/>
              </w:rPr>
              <w:t>生态环保</w:t>
            </w:r>
          </w:p>
        </w:tc>
        <w:tc>
          <w:tcPr>
            <w:tcW w:w="1892" w:type="pct"/>
            <w:vAlign w:val="center"/>
          </w:tcPr>
          <w:p w14:paraId="4B9E0C0D">
            <w:pPr>
              <w:adjustRightInd w:val="0"/>
              <w:snapToGrid w:val="0"/>
              <w:rPr>
                <w:rFonts w:hint="eastAsia"/>
                <w:bCs/>
                <w:color w:val="000000"/>
                <w:sz w:val="21"/>
                <w:szCs w:val="21"/>
              </w:rPr>
            </w:pPr>
          </w:p>
        </w:tc>
        <w:tc>
          <w:tcPr>
            <w:tcW w:w="484" w:type="pct"/>
            <w:vAlign w:val="center"/>
          </w:tcPr>
          <w:p w14:paraId="09413A2C">
            <w:pPr>
              <w:adjustRightInd w:val="0"/>
              <w:snapToGrid w:val="0"/>
              <w:jc w:val="center"/>
              <w:rPr>
                <w:rFonts w:hint="eastAsia"/>
                <w:color w:val="000000"/>
                <w:sz w:val="21"/>
                <w:szCs w:val="21"/>
              </w:rPr>
            </w:pPr>
          </w:p>
        </w:tc>
        <w:tc>
          <w:tcPr>
            <w:tcW w:w="488" w:type="pct"/>
            <w:vAlign w:val="center"/>
          </w:tcPr>
          <w:p w14:paraId="26616F98">
            <w:pPr>
              <w:adjustRightInd w:val="0"/>
              <w:snapToGrid w:val="0"/>
              <w:jc w:val="center"/>
              <w:rPr>
                <w:rFonts w:hint="eastAsia"/>
                <w:color w:val="000000"/>
                <w:sz w:val="21"/>
                <w:szCs w:val="21"/>
              </w:rPr>
            </w:pPr>
          </w:p>
        </w:tc>
      </w:tr>
      <w:tr w14:paraId="1619E7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1E12611">
            <w:pPr>
              <w:adjustRightInd w:val="0"/>
              <w:snapToGrid w:val="0"/>
              <w:jc w:val="center"/>
              <w:rPr>
                <w:rFonts w:hint="eastAsia"/>
                <w:bCs/>
                <w:color w:val="000000"/>
                <w:sz w:val="21"/>
                <w:szCs w:val="21"/>
              </w:rPr>
            </w:pPr>
            <w:r>
              <w:rPr>
                <w:sz w:val="21"/>
                <w:szCs w:val="21"/>
              </w:rPr>
              <w:t>1</w:t>
            </w:r>
          </w:p>
        </w:tc>
        <w:tc>
          <w:tcPr>
            <w:tcW w:w="1771" w:type="pct"/>
            <w:vAlign w:val="center"/>
          </w:tcPr>
          <w:p w14:paraId="557E0FFA">
            <w:pPr>
              <w:adjustRightInd w:val="0"/>
              <w:snapToGrid w:val="0"/>
              <w:rPr>
                <w:rFonts w:hint="eastAsia"/>
                <w:bCs/>
                <w:color w:val="000000"/>
                <w:sz w:val="21"/>
                <w:szCs w:val="21"/>
              </w:rPr>
            </w:pPr>
            <w:r>
              <w:rPr>
                <w:rFonts w:hint="eastAsia"/>
                <w:sz w:val="21"/>
                <w:szCs w:val="21"/>
              </w:rPr>
              <w:t>电站选址等应控制和减少生态、电磁、噪声等环境影响，减少对原地貌、地表植被、水系的扰动</w:t>
            </w:r>
          </w:p>
        </w:tc>
        <w:tc>
          <w:tcPr>
            <w:tcW w:w="1892" w:type="pct"/>
            <w:vAlign w:val="center"/>
          </w:tcPr>
          <w:p w14:paraId="6037C455">
            <w:pPr>
              <w:adjustRightInd w:val="0"/>
              <w:snapToGrid w:val="0"/>
              <w:rPr>
                <w:rFonts w:hint="eastAsia"/>
                <w:bCs/>
                <w:color w:val="000000"/>
                <w:sz w:val="21"/>
                <w:szCs w:val="21"/>
              </w:rPr>
            </w:pPr>
          </w:p>
        </w:tc>
        <w:tc>
          <w:tcPr>
            <w:tcW w:w="484" w:type="pct"/>
            <w:vAlign w:val="center"/>
          </w:tcPr>
          <w:p w14:paraId="5673DAE7">
            <w:pPr>
              <w:adjustRightInd w:val="0"/>
              <w:snapToGrid w:val="0"/>
              <w:jc w:val="center"/>
              <w:rPr>
                <w:rFonts w:hint="eastAsia"/>
                <w:color w:val="000000"/>
                <w:sz w:val="21"/>
                <w:szCs w:val="21"/>
              </w:rPr>
            </w:pPr>
          </w:p>
        </w:tc>
        <w:tc>
          <w:tcPr>
            <w:tcW w:w="488" w:type="pct"/>
            <w:vAlign w:val="center"/>
          </w:tcPr>
          <w:p w14:paraId="35A1AA95">
            <w:pPr>
              <w:adjustRightInd w:val="0"/>
              <w:snapToGrid w:val="0"/>
              <w:jc w:val="center"/>
              <w:rPr>
                <w:rFonts w:hint="eastAsia"/>
                <w:color w:val="000000"/>
                <w:sz w:val="21"/>
                <w:szCs w:val="21"/>
              </w:rPr>
            </w:pPr>
          </w:p>
        </w:tc>
      </w:tr>
      <w:tr w14:paraId="538EB6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ADB9CFD">
            <w:pPr>
              <w:adjustRightInd w:val="0"/>
              <w:snapToGrid w:val="0"/>
              <w:jc w:val="center"/>
              <w:rPr>
                <w:rFonts w:hint="eastAsia"/>
                <w:bCs/>
                <w:color w:val="000000"/>
                <w:sz w:val="21"/>
                <w:szCs w:val="21"/>
              </w:rPr>
            </w:pPr>
            <w:r>
              <w:rPr>
                <w:sz w:val="21"/>
                <w:szCs w:val="21"/>
              </w:rPr>
              <w:t>2</w:t>
            </w:r>
          </w:p>
        </w:tc>
        <w:tc>
          <w:tcPr>
            <w:tcW w:w="1771" w:type="pct"/>
            <w:vAlign w:val="center"/>
          </w:tcPr>
          <w:p w14:paraId="56228E9E">
            <w:pPr>
              <w:adjustRightInd w:val="0"/>
              <w:snapToGrid w:val="0"/>
              <w:rPr>
                <w:rFonts w:hint="eastAsia"/>
                <w:bCs/>
                <w:color w:val="000000"/>
                <w:sz w:val="21"/>
                <w:szCs w:val="21"/>
              </w:rPr>
            </w:pPr>
            <w:r>
              <w:rPr>
                <w:rFonts w:hint="eastAsia"/>
                <w:sz w:val="21"/>
                <w:szCs w:val="21"/>
              </w:rPr>
              <w:t>宜与当地的自然景观与周边环境相协调，避让自然保护地、世界自然遗产、生态保护红线等生态敏感区</w:t>
            </w:r>
          </w:p>
        </w:tc>
        <w:tc>
          <w:tcPr>
            <w:tcW w:w="1892" w:type="pct"/>
            <w:vAlign w:val="center"/>
          </w:tcPr>
          <w:p w14:paraId="06C63538">
            <w:pPr>
              <w:adjustRightInd w:val="0"/>
              <w:snapToGrid w:val="0"/>
              <w:rPr>
                <w:rFonts w:hint="eastAsia"/>
                <w:bCs/>
                <w:color w:val="000000"/>
                <w:sz w:val="21"/>
                <w:szCs w:val="21"/>
              </w:rPr>
            </w:pPr>
          </w:p>
        </w:tc>
        <w:tc>
          <w:tcPr>
            <w:tcW w:w="484" w:type="pct"/>
            <w:vAlign w:val="center"/>
          </w:tcPr>
          <w:p w14:paraId="7CF45572">
            <w:pPr>
              <w:adjustRightInd w:val="0"/>
              <w:snapToGrid w:val="0"/>
              <w:jc w:val="center"/>
              <w:rPr>
                <w:rFonts w:hint="eastAsia"/>
                <w:color w:val="000000"/>
                <w:sz w:val="21"/>
                <w:szCs w:val="21"/>
              </w:rPr>
            </w:pPr>
          </w:p>
        </w:tc>
        <w:tc>
          <w:tcPr>
            <w:tcW w:w="488" w:type="pct"/>
            <w:vAlign w:val="center"/>
          </w:tcPr>
          <w:p w14:paraId="447EE7C8">
            <w:pPr>
              <w:adjustRightInd w:val="0"/>
              <w:snapToGrid w:val="0"/>
              <w:jc w:val="center"/>
              <w:rPr>
                <w:rFonts w:hint="eastAsia"/>
                <w:color w:val="000000"/>
                <w:sz w:val="21"/>
                <w:szCs w:val="21"/>
              </w:rPr>
            </w:pPr>
          </w:p>
        </w:tc>
      </w:tr>
      <w:tr w14:paraId="0CF9DF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505CE73">
            <w:pPr>
              <w:adjustRightInd w:val="0"/>
              <w:snapToGrid w:val="0"/>
              <w:jc w:val="center"/>
              <w:rPr>
                <w:rFonts w:hint="eastAsia"/>
                <w:bCs/>
                <w:color w:val="000000"/>
                <w:sz w:val="21"/>
                <w:szCs w:val="21"/>
              </w:rPr>
            </w:pPr>
            <w:r>
              <w:rPr>
                <w:sz w:val="21"/>
                <w:szCs w:val="21"/>
              </w:rPr>
              <w:t>3</w:t>
            </w:r>
          </w:p>
        </w:tc>
        <w:tc>
          <w:tcPr>
            <w:tcW w:w="1771" w:type="pct"/>
            <w:vAlign w:val="center"/>
          </w:tcPr>
          <w:p w14:paraId="6ACDDE6D">
            <w:pPr>
              <w:adjustRightInd w:val="0"/>
              <w:snapToGrid w:val="0"/>
              <w:rPr>
                <w:rFonts w:hint="eastAsia"/>
                <w:bCs/>
                <w:color w:val="000000"/>
                <w:sz w:val="21"/>
                <w:szCs w:val="21"/>
              </w:rPr>
            </w:pPr>
            <w:r>
              <w:rPr>
                <w:rFonts w:hint="eastAsia"/>
                <w:sz w:val="21"/>
                <w:szCs w:val="21"/>
              </w:rPr>
              <w:t>在土质疏松的边坡、沙丘等区域应采取合理的水土保持和生态保护措施</w:t>
            </w:r>
          </w:p>
        </w:tc>
        <w:tc>
          <w:tcPr>
            <w:tcW w:w="1892" w:type="pct"/>
            <w:vAlign w:val="center"/>
          </w:tcPr>
          <w:p w14:paraId="76DAF4D4">
            <w:pPr>
              <w:adjustRightInd w:val="0"/>
              <w:snapToGrid w:val="0"/>
              <w:rPr>
                <w:rFonts w:hint="eastAsia"/>
                <w:bCs/>
                <w:color w:val="000000"/>
                <w:sz w:val="21"/>
                <w:szCs w:val="21"/>
              </w:rPr>
            </w:pPr>
          </w:p>
        </w:tc>
        <w:tc>
          <w:tcPr>
            <w:tcW w:w="484" w:type="pct"/>
            <w:vAlign w:val="center"/>
          </w:tcPr>
          <w:p w14:paraId="48EF6552">
            <w:pPr>
              <w:adjustRightInd w:val="0"/>
              <w:snapToGrid w:val="0"/>
              <w:jc w:val="center"/>
              <w:rPr>
                <w:rFonts w:hint="eastAsia"/>
                <w:color w:val="000000"/>
                <w:sz w:val="21"/>
                <w:szCs w:val="21"/>
              </w:rPr>
            </w:pPr>
          </w:p>
        </w:tc>
        <w:tc>
          <w:tcPr>
            <w:tcW w:w="488" w:type="pct"/>
            <w:vAlign w:val="center"/>
          </w:tcPr>
          <w:p w14:paraId="230EE1D1">
            <w:pPr>
              <w:adjustRightInd w:val="0"/>
              <w:snapToGrid w:val="0"/>
              <w:jc w:val="center"/>
              <w:rPr>
                <w:rFonts w:hint="eastAsia"/>
                <w:color w:val="000000"/>
                <w:sz w:val="21"/>
                <w:szCs w:val="21"/>
              </w:rPr>
            </w:pPr>
          </w:p>
        </w:tc>
      </w:tr>
      <w:tr w14:paraId="020C30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8FC290A">
            <w:pPr>
              <w:adjustRightInd w:val="0"/>
              <w:snapToGrid w:val="0"/>
              <w:jc w:val="center"/>
              <w:rPr>
                <w:rFonts w:hint="eastAsia"/>
                <w:bCs/>
                <w:color w:val="000000"/>
                <w:sz w:val="21"/>
                <w:szCs w:val="21"/>
              </w:rPr>
            </w:pPr>
            <w:r>
              <w:rPr>
                <w:sz w:val="21"/>
                <w:szCs w:val="21"/>
              </w:rPr>
              <w:t>4</w:t>
            </w:r>
          </w:p>
        </w:tc>
        <w:tc>
          <w:tcPr>
            <w:tcW w:w="1771" w:type="pct"/>
            <w:vAlign w:val="center"/>
          </w:tcPr>
          <w:p w14:paraId="2CBF4E6F">
            <w:pPr>
              <w:adjustRightInd w:val="0"/>
              <w:snapToGrid w:val="0"/>
              <w:rPr>
                <w:rFonts w:hint="eastAsia"/>
                <w:bCs/>
                <w:color w:val="000000"/>
                <w:sz w:val="21"/>
                <w:szCs w:val="21"/>
              </w:rPr>
            </w:pPr>
            <w:r>
              <w:rPr>
                <w:rFonts w:hint="eastAsia"/>
                <w:sz w:val="21"/>
                <w:szCs w:val="21"/>
              </w:rPr>
              <w:t>太阳能发电站设置可靠的降噪措施，厂界噪音满足环保相关要求</w:t>
            </w:r>
          </w:p>
        </w:tc>
        <w:tc>
          <w:tcPr>
            <w:tcW w:w="1892" w:type="pct"/>
            <w:vAlign w:val="center"/>
          </w:tcPr>
          <w:p w14:paraId="4230BE15">
            <w:pPr>
              <w:adjustRightInd w:val="0"/>
              <w:snapToGrid w:val="0"/>
              <w:rPr>
                <w:rFonts w:hint="eastAsia"/>
                <w:bCs/>
                <w:color w:val="000000"/>
                <w:sz w:val="21"/>
                <w:szCs w:val="21"/>
              </w:rPr>
            </w:pPr>
          </w:p>
        </w:tc>
        <w:tc>
          <w:tcPr>
            <w:tcW w:w="484" w:type="pct"/>
            <w:vAlign w:val="center"/>
          </w:tcPr>
          <w:p w14:paraId="62F90996">
            <w:pPr>
              <w:adjustRightInd w:val="0"/>
              <w:snapToGrid w:val="0"/>
              <w:jc w:val="center"/>
              <w:rPr>
                <w:rFonts w:hint="eastAsia"/>
                <w:color w:val="000000"/>
                <w:sz w:val="21"/>
                <w:szCs w:val="21"/>
              </w:rPr>
            </w:pPr>
          </w:p>
        </w:tc>
        <w:tc>
          <w:tcPr>
            <w:tcW w:w="488" w:type="pct"/>
            <w:vAlign w:val="center"/>
          </w:tcPr>
          <w:p w14:paraId="06F1B728">
            <w:pPr>
              <w:adjustRightInd w:val="0"/>
              <w:snapToGrid w:val="0"/>
              <w:jc w:val="center"/>
              <w:rPr>
                <w:rFonts w:hint="eastAsia"/>
                <w:color w:val="000000"/>
                <w:sz w:val="21"/>
                <w:szCs w:val="21"/>
              </w:rPr>
            </w:pPr>
          </w:p>
        </w:tc>
      </w:tr>
      <w:tr w14:paraId="687602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89D5219">
            <w:pPr>
              <w:adjustRightInd w:val="0"/>
              <w:snapToGrid w:val="0"/>
              <w:jc w:val="center"/>
              <w:rPr>
                <w:rFonts w:hint="eastAsia"/>
                <w:bCs/>
                <w:color w:val="000000"/>
                <w:sz w:val="21"/>
                <w:szCs w:val="21"/>
              </w:rPr>
            </w:pPr>
            <w:r>
              <w:rPr>
                <w:sz w:val="21"/>
                <w:szCs w:val="21"/>
              </w:rPr>
              <w:t>5</w:t>
            </w:r>
          </w:p>
        </w:tc>
        <w:tc>
          <w:tcPr>
            <w:tcW w:w="1771" w:type="pct"/>
            <w:vAlign w:val="center"/>
          </w:tcPr>
          <w:p w14:paraId="366352F7">
            <w:pPr>
              <w:adjustRightInd w:val="0"/>
              <w:snapToGrid w:val="0"/>
              <w:rPr>
                <w:rFonts w:hint="eastAsia"/>
                <w:bCs/>
                <w:color w:val="000000"/>
                <w:sz w:val="21"/>
                <w:szCs w:val="21"/>
              </w:rPr>
            </w:pPr>
            <w:r>
              <w:rPr>
                <w:rFonts w:hint="eastAsia"/>
                <w:sz w:val="21"/>
                <w:szCs w:val="21"/>
              </w:rPr>
              <w:t>采取防止地下水污染的技术措施，存放易造成地下水污染的区域进行防渗处理</w:t>
            </w:r>
          </w:p>
        </w:tc>
        <w:tc>
          <w:tcPr>
            <w:tcW w:w="1892" w:type="pct"/>
            <w:vAlign w:val="center"/>
          </w:tcPr>
          <w:p w14:paraId="1B729BF5">
            <w:pPr>
              <w:adjustRightInd w:val="0"/>
              <w:snapToGrid w:val="0"/>
              <w:rPr>
                <w:rFonts w:hint="eastAsia"/>
                <w:bCs/>
                <w:color w:val="000000"/>
                <w:sz w:val="21"/>
                <w:szCs w:val="21"/>
              </w:rPr>
            </w:pPr>
          </w:p>
        </w:tc>
        <w:tc>
          <w:tcPr>
            <w:tcW w:w="484" w:type="pct"/>
            <w:vAlign w:val="center"/>
          </w:tcPr>
          <w:p w14:paraId="16D5D1C2">
            <w:pPr>
              <w:adjustRightInd w:val="0"/>
              <w:snapToGrid w:val="0"/>
              <w:jc w:val="center"/>
              <w:rPr>
                <w:rFonts w:hint="eastAsia"/>
                <w:color w:val="000000"/>
                <w:sz w:val="21"/>
                <w:szCs w:val="21"/>
              </w:rPr>
            </w:pPr>
          </w:p>
        </w:tc>
        <w:tc>
          <w:tcPr>
            <w:tcW w:w="488" w:type="pct"/>
            <w:vAlign w:val="center"/>
          </w:tcPr>
          <w:p w14:paraId="23DCCB75">
            <w:pPr>
              <w:adjustRightInd w:val="0"/>
              <w:snapToGrid w:val="0"/>
              <w:jc w:val="center"/>
              <w:rPr>
                <w:rFonts w:hint="eastAsia"/>
                <w:color w:val="000000"/>
                <w:sz w:val="21"/>
                <w:szCs w:val="21"/>
              </w:rPr>
            </w:pPr>
          </w:p>
        </w:tc>
      </w:tr>
      <w:tr w14:paraId="554A09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23874B4">
            <w:pPr>
              <w:adjustRightInd w:val="0"/>
              <w:snapToGrid w:val="0"/>
              <w:jc w:val="center"/>
              <w:rPr>
                <w:rFonts w:hint="eastAsia"/>
                <w:bCs/>
                <w:color w:val="000000"/>
                <w:sz w:val="21"/>
                <w:szCs w:val="21"/>
              </w:rPr>
            </w:pPr>
            <w:r>
              <w:rPr>
                <w:sz w:val="21"/>
                <w:szCs w:val="21"/>
              </w:rPr>
              <w:t>6</w:t>
            </w:r>
          </w:p>
        </w:tc>
        <w:tc>
          <w:tcPr>
            <w:tcW w:w="1771" w:type="pct"/>
            <w:vAlign w:val="center"/>
          </w:tcPr>
          <w:p w14:paraId="1AE1CCAC">
            <w:pPr>
              <w:adjustRightInd w:val="0"/>
              <w:snapToGrid w:val="0"/>
              <w:rPr>
                <w:rFonts w:hint="eastAsia"/>
                <w:bCs/>
                <w:color w:val="000000"/>
                <w:sz w:val="21"/>
                <w:szCs w:val="21"/>
              </w:rPr>
            </w:pPr>
            <w:r>
              <w:rPr>
                <w:rFonts w:hint="eastAsia"/>
                <w:sz w:val="21"/>
                <w:szCs w:val="21"/>
              </w:rPr>
              <w:t>水上光伏发电项目采用的浮体材料应符合环保要求，严禁对水体造成污染</w:t>
            </w:r>
          </w:p>
        </w:tc>
        <w:tc>
          <w:tcPr>
            <w:tcW w:w="1892" w:type="pct"/>
            <w:vAlign w:val="center"/>
          </w:tcPr>
          <w:p w14:paraId="6375AD90">
            <w:pPr>
              <w:adjustRightInd w:val="0"/>
              <w:snapToGrid w:val="0"/>
              <w:rPr>
                <w:rFonts w:hint="eastAsia"/>
                <w:bCs/>
                <w:color w:val="000000"/>
                <w:sz w:val="21"/>
                <w:szCs w:val="21"/>
              </w:rPr>
            </w:pPr>
          </w:p>
        </w:tc>
        <w:tc>
          <w:tcPr>
            <w:tcW w:w="484" w:type="pct"/>
            <w:vAlign w:val="center"/>
          </w:tcPr>
          <w:p w14:paraId="3490474D">
            <w:pPr>
              <w:adjustRightInd w:val="0"/>
              <w:snapToGrid w:val="0"/>
              <w:jc w:val="center"/>
              <w:rPr>
                <w:rFonts w:hint="eastAsia"/>
                <w:color w:val="000000"/>
                <w:sz w:val="21"/>
                <w:szCs w:val="21"/>
              </w:rPr>
            </w:pPr>
          </w:p>
        </w:tc>
        <w:tc>
          <w:tcPr>
            <w:tcW w:w="488" w:type="pct"/>
            <w:vAlign w:val="center"/>
          </w:tcPr>
          <w:p w14:paraId="1E0C3495">
            <w:pPr>
              <w:adjustRightInd w:val="0"/>
              <w:snapToGrid w:val="0"/>
              <w:jc w:val="center"/>
              <w:rPr>
                <w:rFonts w:hint="eastAsia"/>
                <w:color w:val="000000"/>
                <w:sz w:val="21"/>
                <w:szCs w:val="21"/>
              </w:rPr>
            </w:pPr>
          </w:p>
        </w:tc>
      </w:tr>
      <w:tr w14:paraId="5F1937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452B7C5">
            <w:pPr>
              <w:adjustRightInd w:val="0"/>
              <w:snapToGrid w:val="0"/>
              <w:jc w:val="center"/>
              <w:rPr>
                <w:rFonts w:hint="eastAsia"/>
                <w:bCs/>
                <w:color w:val="000000"/>
                <w:sz w:val="21"/>
                <w:szCs w:val="21"/>
              </w:rPr>
            </w:pPr>
            <w:r>
              <w:rPr>
                <w:rFonts w:hint="eastAsia"/>
                <w:sz w:val="21"/>
                <w:szCs w:val="21"/>
              </w:rPr>
              <w:t>7</w:t>
            </w:r>
          </w:p>
        </w:tc>
        <w:tc>
          <w:tcPr>
            <w:tcW w:w="1771" w:type="pct"/>
            <w:vAlign w:val="center"/>
          </w:tcPr>
          <w:p w14:paraId="4460C547">
            <w:pPr>
              <w:adjustRightInd w:val="0"/>
              <w:snapToGrid w:val="0"/>
              <w:rPr>
                <w:rFonts w:hint="eastAsia"/>
                <w:bCs/>
                <w:color w:val="000000"/>
                <w:sz w:val="21"/>
                <w:szCs w:val="21"/>
              </w:rPr>
            </w:pPr>
            <w:r>
              <w:rPr>
                <w:rFonts w:hint="eastAsia"/>
                <w:sz w:val="21"/>
                <w:szCs w:val="21"/>
              </w:rPr>
              <w:t>陆上光伏发电项目组件下边缘距地面高度满足生态环保要求</w:t>
            </w:r>
          </w:p>
        </w:tc>
        <w:tc>
          <w:tcPr>
            <w:tcW w:w="1892" w:type="pct"/>
            <w:vAlign w:val="center"/>
          </w:tcPr>
          <w:p w14:paraId="4F7CFDEC">
            <w:pPr>
              <w:adjustRightInd w:val="0"/>
              <w:snapToGrid w:val="0"/>
              <w:rPr>
                <w:rFonts w:hint="eastAsia"/>
                <w:bCs/>
                <w:color w:val="000000"/>
                <w:sz w:val="21"/>
                <w:szCs w:val="21"/>
              </w:rPr>
            </w:pPr>
          </w:p>
        </w:tc>
        <w:tc>
          <w:tcPr>
            <w:tcW w:w="484" w:type="pct"/>
            <w:vAlign w:val="center"/>
          </w:tcPr>
          <w:p w14:paraId="09262B5E">
            <w:pPr>
              <w:adjustRightInd w:val="0"/>
              <w:snapToGrid w:val="0"/>
              <w:jc w:val="center"/>
              <w:rPr>
                <w:rFonts w:hint="eastAsia"/>
                <w:color w:val="000000"/>
                <w:sz w:val="21"/>
                <w:szCs w:val="21"/>
              </w:rPr>
            </w:pPr>
          </w:p>
        </w:tc>
        <w:tc>
          <w:tcPr>
            <w:tcW w:w="488" w:type="pct"/>
            <w:vAlign w:val="center"/>
          </w:tcPr>
          <w:p w14:paraId="185A6674">
            <w:pPr>
              <w:adjustRightInd w:val="0"/>
              <w:snapToGrid w:val="0"/>
              <w:jc w:val="center"/>
              <w:rPr>
                <w:rFonts w:hint="eastAsia"/>
                <w:color w:val="000000"/>
                <w:sz w:val="21"/>
                <w:szCs w:val="21"/>
              </w:rPr>
            </w:pPr>
          </w:p>
        </w:tc>
      </w:tr>
      <w:tr w14:paraId="2EDD8B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574D3AB">
            <w:pPr>
              <w:adjustRightInd w:val="0"/>
              <w:snapToGrid w:val="0"/>
              <w:jc w:val="center"/>
              <w:rPr>
                <w:rFonts w:hint="eastAsia"/>
                <w:bCs/>
                <w:color w:val="000000"/>
                <w:sz w:val="21"/>
                <w:szCs w:val="21"/>
              </w:rPr>
            </w:pPr>
            <w:r>
              <w:rPr>
                <w:rFonts w:hint="eastAsia"/>
                <w:sz w:val="21"/>
                <w:szCs w:val="21"/>
              </w:rPr>
              <w:t>8</w:t>
            </w:r>
          </w:p>
        </w:tc>
        <w:tc>
          <w:tcPr>
            <w:tcW w:w="1771" w:type="pct"/>
            <w:vAlign w:val="center"/>
          </w:tcPr>
          <w:p w14:paraId="4DE930D8">
            <w:pPr>
              <w:adjustRightInd w:val="0"/>
              <w:snapToGrid w:val="0"/>
              <w:rPr>
                <w:rFonts w:hint="eastAsia"/>
                <w:bCs/>
                <w:color w:val="000000"/>
                <w:sz w:val="21"/>
                <w:szCs w:val="21"/>
              </w:rPr>
            </w:pPr>
            <w:r>
              <w:rPr>
                <w:rFonts w:hint="eastAsia"/>
                <w:sz w:val="21"/>
                <w:szCs w:val="21"/>
              </w:rPr>
              <w:t>光热发电项目集热区设置驱鸟装置，保护动物生态环境</w:t>
            </w:r>
          </w:p>
        </w:tc>
        <w:tc>
          <w:tcPr>
            <w:tcW w:w="1892" w:type="pct"/>
            <w:vAlign w:val="center"/>
          </w:tcPr>
          <w:p w14:paraId="0603B3A0">
            <w:pPr>
              <w:adjustRightInd w:val="0"/>
              <w:snapToGrid w:val="0"/>
              <w:rPr>
                <w:rFonts w:hint="eastAsia"/>
                <w:bCs/>
                <w:color w:val="000000"/>
                <w:sz w:val="21"/>
                <w:szCs w:val="21"/>
              </w:rPr>
            </w:pPr>
          </w:p>
        </w:tc>
        <w:tc>
          <w:tcPr>
            <w:tcW w:w="484" w:type="pct"/>
            <w:vAlign w:val="center"/>
          </w:tcPr>
          <w:p w14:paraId="570EBCD7">
            <w:pPr>
              <w:adjustRightInd w:val="0"/>
              <w:snapToGrid w:val="0"/>
              <w:jc w:val="center"/>
              <w:rPr>
                <w:rFonts w:hint="eastAsia"/>
                <w:color w:val="000000"/>
                <w:sz w:val="21"/>
                <w:szCs w:val="21"/>
              </w:rPr>
            </w:pPr>
          </w:p>
        </w:tc>
        <w:tc>
          <w:tcPr>
            <w:tcW w:w="488" w:type="pct"/>
            <w:vAlign w:val="center"/>
          </w:tcPr>
          <w:p w14:paraId="6B6F7B64">
            <w:pPr>
              <w:adjustRightInd w:val="0"/>
              <w:snapToGrid w:val="0"/>
              <w:jc w:val="center"/>
              <w:rPr>
                <w:rFonts w:hint="eastAsia"/>
                <w:color w:val="000000"/>
                <w:sz w:val="21"/>
                <w:szCs w:val="21"/>
              </w:rPr>
            </w:pPr>
          </w:p>
        </w:tc>
      </w:tr>
      <w:tr w14:paraId="468749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44788FE">
            <w:pPr>
              <w:adjustRightInd w:val="0"/>
              <w:snapToGrid w:val="0"/>
              <w:jc w:val="center"/>
              <w:rPr>
                <w:rFonts w:hint="eastAsia"/>
                <w:bCs/>
                <w:color w:val="000000"/>
                <w:sz w:val="21"/>
                <w:szCs w:val="21"/>
              </w:rPr>
            </w:pPr>
            <w:r>
              <w:rPr>
                <w:rFonts w:hint="eastAsia"/>
                <w:b/>
                <w:color w:val="000000"/>
                <w:sz w:val="21"/>
                <w:szCs w:val="21"/>
              </w:rPr>
              <w:t>5.4.4</w:t>
            </w:r>
          </w:p>
        </w:tc>
        <w:tc>
          <w:tcPr>
            <w:tcW w:w="1771" w:type="pct"/>
            <w:vAlign w:val="center"/>
          </w:tcPr>
          <w:p w14:paraId="475F20E2">
            <w:pPr>
              <w:adjustRightInd w:val="0"/>
              <w:snapToGrid w:val="0"/>
              <w:rPr>
                <w:rFonts w:hint="eastAsia"/>
                <w:bCs/>
                <w:color w:val="000000"/>
                <w:sz w:val="21"/>
                <w:szCs w:val="21"/>
              </w:rPr>
            </w:pPr>
            <w:r>
              <w:rPr>
                <w:rFonts w:hint="eastAsia"/>
                <w:b/>
                <w:color w:val="000000"/>
                <w:sz w:val="21"/>
                <w:szCs w:val="21"/>
              </w:rPr>
              <w:t>综合效益</w:t>
            </w:r>
          </w:p>
        </w:tc>
        <w:tc>
          <w:tcPr>
            <w:tcW w:w="1892" w:type="pct"/>
            <w:vAlign w:val="center"/>
          </w:tcPr>
          <w:p w14:paraId="277D692D">
            <w:pPr>
              <w:adjustRightInd w:val="0"/>
              <w:snapToGrid w:val="0"/>
              <w:rPr>
                <w:rFonts w:hint="eastAsia"/>
                <w:bCs/>
                <w:color w:val="000000"/>
                <w:sz w:val="21"/>
                <w:szCs w:val="21"/>
              </w:rPr>
            </w:pPr>
          </w:p>
        </w:tc>
        <w:tc>
          <w:tcPr>
            <w:tcW w:w="484" w:type="pct"/>
            <w:vAlign w:val="center"/>
          </w:tcPr>
          <w:p w14:paraId="1138AC7B">
            <w:pPr>
              <w:adjustRightInd w:val="0"/>
              <w:snapToGrid w:val="0"/>
              <w:jc w:val="center"/>
              <w:rPr>
                <w:rFonts w:hint="eastAsia"/>
                <w:color w:val="000000"/>
                <w:sz w:val="21"/>
                <w:szCs w:val="21"/>
              </w:rPr>
            </w:pPr>
          </w:p>
        </w:tc>
        <w:tc>
          <w:tcPr>
            <w:tcW w:w="488" w:type="pct"/>
            <w:vAlign w:val="center"/>
          </w:tcPr>
          <w:p w14:paraId="463DA8F3">
            <w:pPr>
              <w:adjustRightInd w:val="0"/>
              <w:snapToGrid w:val="0"/>
              <w:jc w:val="center"/>
              <w:rPr>
                <w:rFonts w:hint="eastAsia"/>
                <w:color w:val="000000"/>
                <w:sz w:val="21"/>
                <w:szCs w:val="21"/>
              </w:rPr>
            </w:pPr>
          </w:p>
        </w:tc>
      </w:tr>
      <w:tr w14:paraId="6D647C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F2C9052">
            <w:pPr>
              <w:adjustRightInd w:val="0"/>
              <w:snapToGrid w:val="0"/>
              <w:jc w:val="center"/>
              <w:rPr>
                <w:rFonts w:hint="eastAsia"/>
                <w:bCs/>
                <w:color w:val="000000"/>
                <w:sz w:val="21"/>
                <w:szCs w:val="21"/>
              </w:rPr>
            </w:pPr>
            <w:r>
              <w:rPr>
                <w:sz w:val="21"/>
                <w:szCs w:val="21"/>
              </w:rPr>
              <w:t>1</w:t>
            </w:r>
          </w:p>
        </w:tc>
        <w:tc>
          <w:tcPr>
            <w:tcW w:w="1771" w:type="pct"/>
            <w:vAlign w:val="center"/>
          </w:tcPr>
          <w:p w14:paraId="7BA97799">
            <w:pPr>
              <w:adjustRightInd w:val="0"/>
              <w:snapToGrid w:val="0"/>
              <w:rPr>
                <w:rFonts w:hint="eastAsia"/>
                <w:bCs/>
                <w:color w:val="000000"/>
                <w:sz w:val="21"/>
                <w:szCs w:val="21"/>
              </w:rPr>
            </w:pPr>
            <w:r>
              <w:rPr>
                <w:rFonts w:hint="eastAsia"/>
                <w:sz w:val="21"/>
                <w:szCs w:val="21"/>
              </w:rPr>
              <w:t>电站设计年发电量、电站总投资、资本金内部收益率等经济指标先进</w:t>
            </w:r>
          </w:p>
        </w:tc>
        <w:tc>
          <w:tcPr>
            <w:tcW w:w="1892" w:type="pct"/>
            <w:vAlign w:val="center"/>
          </w:tcPr>
          <w:p w14:paraId="2F5E124F">
            <w:pPr>
              <w:adjustRightInd w:val="0"/>
              <w:snapToGrid w:val="0"/>
              <w:rPr>
                <w:rFonts w:hint="eastAsia"/>
                <w:bCs/>
                <w:color w:val="000000"/>
                <w:sz w:val="21"/>
                <w:szCs w:val="21"/>
              </w:rPr>
            </w:pPr>
          </w:p>
        </w:tc>
        <w:tc>
          <w:tcPr>
            <w:tcW w:w="484" w:type="pct"/>
            <w:vAlign w:val="center"/>
          </w:tcPr>
          <w:p w14:paraId="46F11F90">
            <w:pPr>
              <w:adjustRightInd w:val="0"/>
              <w:snapToGrid w:val="0"/>
              <w:jc w:val="center"/>
              <w:rPr>
                <w:rFonts w:hint="eastAsia"/>
                <w:color w:val="000000"/>
                <w:sz w:val="21"/>
                <w:szCs w:val="21"/>
              </w:rPr>
            </w:pPr>
          </w:p>
        </w:tc>
        <w:tc>
          <w:tcPr>
            <w:tcW w:w="488" w:type="pct"/>
            <w:vAlign w:val="center"/>
          </w:tcPr>
          <w:p w14:paraId="2B54C05D">
            <w:pPr>
              <w:adjustRightInd w:val="0"/>
              <w:snapToGrid w:val="0"/>
              <w:jc w:val="center"/>
              <w:rPr>
                <w:rFonts w:hint="eastAsia"/>
                <w:color w:val="000000"/>
                <w:sz w:val="21"/>
                <w:szCs w:val="21"/>
              </w:rPr>
            </w:pPr>
          </w:p>
        </w:tc>
      </w:tr>
      <w:tr w14:paraId="627BDD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30C674D">
            <w:pPr>
              <w:adjustRightInd w:val="0"/>
              <w:snapToGrid w:val="0"/>
              <w:jc w:val="center"/>
              <w:rPr>
                <w:rFonts w:hint="eastAsia"/>
                <w:bCs/>
                <w:color w:val="000000"/>
                <w:sz w:val="21"/>
                <w:szCs w:val="21"/>
              </w:rPr>
            </w:pPr>
            <w:r>
              <w:rPr>
                <w:rFonts w:hint="eastAsia"/>
                <w:sz w:val="21"/>
                <w:szCs w:val="21"/>
              </w:rPr>
              <w:t>2</w:t>
            </w:r>
          </w:p>
        </w:tc>
        <w:tc>
          <w:tcPr>
            <w:tcW w:w="1771" w:type="pct"/>
            <w:vAlign w:val="center"/>
          </w:tcPr>
          <w:p w14:paraId="4DE3C286">
            <w:pPr>
              <w:adjustRightInd w:val="0"/>
              <w:snapToGrid w:val="0"/>
              <w:rPr>
                <w:rFonts w:hint="eastAsia"/>
                <w:bCs/>
                <w:color w:val="000000"/>
                <w:sz w:val="21"/>
                <w:szCs w:val="21"/>
              </w:rPr>
            </w:pPr>
            <w:r>
              <w:rPr>
                <w:rFonts w:hint="eastAsia"/>
                <w:sz w:val="21"/>
                <w:szCs w:val="21"/>
              </w:rPr>
              <w:t>太阳能发电工程按牧光互补、渔光互补、农光互补、林光互补等进行综合考虑，取得社会经济效益，对乡村振兴、精准扶贫具有推动作用，社会满意度较高。</w:t>
            </w:r>
          </w:p>
        </w:tc>
        <w:tc>
          <w:tcPr>
            <w:tcW w:w="1892" w:type="pct"/>
            <w:vAlign w:val="center"/>
          </w:tcPr>
          <w:p w14:paraId="35AA6872">
            <w:pPr>
              <w:adjustRightInd w:val="0"/>
              <w:snapToGrid w:val="0"/>
              <w:rPr>
                <w:rFonts w:hint="eastAsia"/>
                <w:bCs/>
                <w:color w:val="000000"/>
                <w:sz w:val="21"/>
                <w:szCs w:val="21"/>
              </w:rPr>
            </w:pPr>
          </w:p>
        </w:tc>
        <w:tc>
          <w:tcPr>
            <w:tcW w:w="484" w:type="pct"/>
            <w:vAlign w:val="center"/>
          </w:tcPr>
          <w:p w14:paraId="6575A81E">
            <w:pPr>
              <w:adjustRightInd w:val="0"/>
              <w:snapToGrid w:val="0"/>
              <w:jc w:val="center"/>
              <w:rPr>
                <w:rFonts w:hint="eastAsia"/>
                <w:color w:val="000000"/>
                <w:sz w:val="21"/>
                <w:szCs w:val="21"/>
              </w:rPr>
            </w:pPr>
          </w:p>
        </w:tc>
        <w:tc>
          <w:tcPr>
            <w:tcW w:w="488" w:type="pct"/>
            <w:vAlign w:val="center"/>
          </w:tcPr>
          <w:p w14:paraId="6DBF6468">
            <w:pPr>
              <w:adjustRightInd w:val="0"/>
              <w:snapToGrid w:val="0"/>
              <w:jc w:val="center"/>
              <w:rPr>
                <w:rFonts w:hint="eastAsia"/>
                <w:color w:val="000000"/>
                <w:sz w:val="21"/>
                <w:szCs w:val="21"/>
              </w:rPr>
            </w:pPr>
          </w:p>
        </w:tc>
      </w:tr>
      <w:tr w14:paraId="3363CC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5004EFC">
            <w:pPr>
              <w:adjustRightInd w:val="0"/>
              <w:snapToGrid w:val="0"/>
              <w:jc w:val="center"/>
              <w:rPr>
                <w:rFonts w:hint="eastAsia"/>
                <w:bCs/>
                <w:color w:val="000000"/>
                <w:sz w:val="21"/>
                <w:szCs w:val="21"/>
              </w:rPr>
            </w:pPr>
            <w:r>
              <w:rPr>
                <w:rFonts w:hint="eastAsia"/>
                <w:b/>
                <w:color w:val="000000"/>
                <w:sz w:val="21"/>
                <w:szCs w:val="21"/>
              </w:rPr>
              <w:t>5.4.5</w:t>
            </w:r>
          </w:p>
        </w:tc>
        <w:tc>
          <w:tcPr>
            <w:tcW w:w="1771" w:type="pct"/>
            <w:vAlign w:val="center"/>
          </w:tcPr>
          <w:p w14:paraId="37E30119">
            <w:pPr>
              <w:adjustRightInd w:val="0"/>
              <w:snapToGrid w:val="0"/>
              <w:rPr>
                <w:rFonts w:hint="eastAsia"/>
                <w:bCs/>
                <w:color w:val="000000"/>
                <w:sz w:val="21"/>
                <w:szCs w:val="21"/>
              </w:rPr>
            </w:pPr>
            <w:r>
              <w:rPr>
                <w:rFonts w:hint="eastAsia"/>
                <w:b/>
                <w:color w:val="000000"/>
                <w:sz w:val="21"/>
                <w:szCs w:val="21"/>
              </w:rPr>
              <w:t>科技创新</w:t>
            </w:r>
          </w:p>
        </w:tc>
        <w:tc>
          <w:tcPr>
            <w:tcW w:w="1892" w:type="pct"/>
            <w:vAlign w:val="center"/>
          </w:tcPr>
          <w:p w14:paraId="1AADF6F9">
            <w:pPr>
              <w:adjustRightInd w:val="0"/>
              <w:snapToGrid w:val="0"/>
              <w:rPr>
                <w:rFonts w:hint="eastAsia"/>
                <w:bCs/>
                <w:color w:val="000000"/>
                <w:sz w:val="21"/>
                <w:szCs w:val="21"/>
              </w:rPr>
            </w:pPr>
          </w:p>
        </w:tc>
        <w:tc>
          <w:tcPr>
            <w:tcW w:w="484" w:type="pct"/>
            <w:vAlign w:val="center"/>
          </w:tcPr>
          <w:p w14:paraId="1EE86E99">
            <w:pPr>
              <w:adjustRightInd w:val="0"/>
              <w:snapToGrid w:val="0"/>
              <w:jc w:val="center"/>
              <w:rPr>
                <w:rFonts w:hint="eastAsia"/>
                <w:color w:val="000000"/>
                <w:sz w:val="21"/>
                <w:szCs w:val="21"/>
              </w:rPr>
            </w:pPr>
          </w:p>
        </w:tc>
        <w:tc>
          <w:tcPr>
            <w:tcW w:w="488" w:type="pct"/>
            <w:vAlign w:val="center"/>
          </w:tcPr>
          <w:p w14:paraId="55E7A9A4">
            <w:pPr>
              <w:adjustRightInd w:val="0"/>
              <w:snapToGrid w:val="0"/>
              <w:jc w:val="center"/>
              <w:rPr>
                <w:rFonts w:hint="eastAsia"/>
                <w:color w:val="000000"/>
                <w:sz w:val="21"/>
                <w:szCs w:val="21"/>
              </w:rPr>
            </w:pPr>
          </w:p>
        </w:tc>
      </w:tr>
      <w:tr w14:paraId="033CB7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697CF8A">
            <w:pPr>
              <w:adjustRightInd w:val="0"/>
              <w:snapToGrid w:val="0"/>
              <w:jc w:val="center"/>
              <w:rPr>
                <w:rFonts w:hint="eastAsia"/>
                <w:bCs/>
                <w:color w:val="000000"/>
                <w:sz w:val="21"/>
                <w:szCs w:val="21"/>
              </w:rPr>
            </w:pPr>
            <w:r>
              <w:rPr>
                <w:sz w:val="21"/>
                <w:szCs w:val="21"/>
              </w:rPr>
              <w:t>1</w:t>
            </w:r>
          </w:p>
        </w:tc>
        <w:tc>
          <w:tcPr>
            <w:tcW w:w="1771" w:type="pct"/>
            <w:vAlign w:val="center"/>
          </w:tcPr>
          <w:p w14:paraId="5901992E">
            <w:pPr>
              <w:adjustRightInd w:val="0"/>
              <w:snapToGrid w:val="0"/>
              <w:rPr>
                <w:rFonts w:hint="eastAsia"/>
                <w:bCs/>
                <w:color w:val="000000"/>
                <w:sz w:val="21"/>
                <w:szCs w:val="21"/>
              </w:rPr>
            </w:pPr>
            <w:r>
              <w:rPr>
                <w:rFonts w:hint="eastAsia"/>
                <w:sz w:val="21"/>
                <w:szCs w:val="21"/>
              </w:rPr>
              <w:t>设计过程中采取新技术、新工艺、新流程、新材料、新装备、新产品等，在节能环保方面取得显著成效</w:t>
            </w:r>
          </w:p>
        </w:tc>
        <w:tc>
          <w:tcPr>
            <w:tcW w:w="1892" w:type="pct"/>
            <w:vAlign w:val="center"/>
          </w:tcPr>
          <w:p w14:paraId="2D5E4E75">
            <w:pPr>
              <w:adjustRightInd w:val="0"/>
              <w:snapToGrid w:val="0"/>
              <w:rPr>
                <w:rFonts w:hint="eastAsia"/>
                <w:bCs/>
                <w:color w:val="000000"/>
                <w:sz w:val="21"/>
                <w:szCs w:val="21"/>
              </w:rPr>
            </w:pPr>
          </w:p>
        </w:tc>
        <w:tc>
          <w:tcPr>
            <w:tcW w:w="484" w:type="pct"/>
            <w:vAlign w:val="center"/>
          </w:tcPr>
          <w:p w14:paraId="15F4A2B1">
            <w:pPr>
              <w:adjustRightInd w:val="0"/>
              <w:snapToGrid w:val="0"/>
              <w:jc w:val="center"/>
              <w:rPr>
                <w:rFonts w:hint="eastAsia"/>
                <w:color w:val="000000"/>
                <w:sz w:val="21"/>
                <w:szCs w:val="21"/>
              </w:rPr>
            </w:pPr>
          </w:p>
        </w:tc>
        <w:tc>
          <w:tcPr>
            <w:tcW w:w="488" w:type="pct"/>
            <w:vAlign w:val="center"/>
          </w:tcPr>
          <w:p w14:paraId="65121F04">
            <w:pPr>
              <w:adjustRightInd w:val="0"/>
              <w:snapToGrid w:val="0"/>
              <w:jc w:val="center"/>
              <w:rPr>
                <w:rFonts w:hint="eastAsia"/>
                <w:color w:val="000000"/>
                <w:sz w:val="21"/>
                <w:szCs w:val="21"/>
              </w:rPr>
            </w:pPr>
          </w:p>
        </w:tc>
      </w:tr>
      <w:tr w14:paraId="6AB9B6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B5B0AB8">
            <w:pPr>
              <w:adjustRightInd w:val="0"/>
              <w:snapToGrid w:val="0"/>
              <w:jc w:val="center"/>
              <w:rPr>
                <w:rFonts w:hint="eastAsia"/>
                <w:bCs/>
                <w:color w:val="000000"/>
                <w:sz w:val="21"/>
                <w:szCs w:val="21"/>
              </w:rPr>
            </w:pPr>
            <w:r>
              <w:rPr>
                <w:sz w:val="21"/>
                <w:szCs w:val="21"/>
              </w:rPr>
              <w:t>2</w:t>
            </w:r>
          </w:p>
        </w:tc>
        <w:tc>
          <w:tcPr>
            <w:tcW w:w="1771" w:type="pct"/>
            <w:vAlign w:val="center"/>
          </w:tcPr>
          <w:p w14:paraId="7EB714E7">
            <w:pPr>
              <w:adjustRightInd w:val="0"/>
              <w:snapToGrid w:val="0"/>
              <w:rPr>
                <w:rFonts w:hint="eastAsia"/>
                <w:bCs/>
                <w:color w:val="000000"/>
                <w:sz w:val="21"/>
                <w:szCs w:val="21"/>
              </w:rPr>
            </w:pPr>
            <w:r>
              <w:rPr>
                <w:rFonts w:hint="eastAsia"/>
                <w:sz w:val="21"/>
                <w:szCs w:val="21"/>
              </w:rPr>
              <w:t>依托本工程在绿色设计方面取得的创新成果（课题、专利、专有技术、奖项、竞赛活动成果、国家示范试点、参编标准、期刊论文等），在国内处于领先水平。</w:t>
            </w:r>
          </w:p>
        </w:tc>
        <w:tc>
          <w:tcPr>
            <w:tcW w:w="1892" w:type="pct"/>
            <w:vAlign w:val="center"/>
          </w:tcPr>
          <w:p w14:paraId="50A9CD84">
            <w:pPr>
              <w:adjustRightInd w:val="0"/>
              <w:snapToGrid w:val="0"/>
              <w:rPr>
                <w:rFonts w:hint="eastAsia"/>
                <w:bCs/>
                <w:color w:val="000000"/>
                <w:sz w:val="21"/>
                <w:szCs w:val="21"/>
              </w:rPr>
            </w:pPr>
          </w:p>
        </w:tc>
        <w:tc>
          <w:tcPr>
            <w:tcW w:w="484" w:type="pct"/>
            <w:vAlign w:val="center"/>
          </w:tcPr>
          <w:p w14:paraId="1D3E1480">
            <w:pPr>
              <w:adjustRightInd w:val="0"/>
              <w:snapToGrid w:val="0"/>
              <w:jc w:val="center"/>
              <w:rPr>
                <w:rFonts w:hint="eastAsia"/>
                <w:color w:val="000000"/>
                <w:sz w:val="21"/>
                <w:szCs w:val="21"/>
              </w:rPr>
            </w:pPr>
          </w:p>
        </w:tc>
        <w:tc>
          <w:tcPr>
            <w:tcW w:w="488" w:type="pct"/>
            <w:vAlign w:val="center"/>
          </w:tcPr>
          <w:p w14:paraId="71A53A47">
            <w:pPr>
              <w:adjustRightInd w:val="0"/>
              <w:snapToGrid w:val="0"/>
              <w:jc w:val="center"/>
              <w:rPr>
                <w:rFonts w:hint="eastAsia"/>
                <w:color w:val="000000"/>
                <w:sz w:val="21"/>
                <w:szCs w:val="21"/>
              </w:rPr>
            </w:pPr>
          </w:p>
        </w:tc>
      </w:tr>
      <w:tr w14:paraId="683881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199089B">
            <w:pPr>
              <w:spacing w:line="320" w:lineRule="exact"/>
              <w:jc w:val="center"/>
              <w:rPr>
                <w:rFonts w:hint="eastAsia"/>
                <w:b/>
                <w:color w:val="000000"/>
                <w:sz w:val="21"/>
                <w:szCs w:val="21"/>
              </w:rPr>
            </w:pPr>
            <w:r>
              <w:rPr>
                <w:rFonts w:hint="eastAsia"/>
                <w:b/>
                <w:color w:val="000000"/>
                <w:sz w:val="21"/>
                <w:szCs w:val="21"/>
              </w:rPr>
              <w:t>5.5</w:t>
            </w:r>
          </w:p>
        </w:tc>
        <w:tc>
          <w:tcPr>
            <w:tcW w:w="1771" w:type="pct"/>
            <w:vAlign w:val="center"/>
          </w:tcPr>
          <w:p w14:paraId="16EC104E">
            <w:pPr>
              <w:spacing w:line="320" w:lineRule="exact"/>
              <w:rPr>
                <w:rFonts w:hint="eastAsia"/>
                <w:b/>
                <w:color w:val="000000"/>
                <w:sz w:val="21"/>
                <w:szCs w:val="21"/>
              </w:rPr>
            </w:pPr>
            <w:r>
              <w:rPr>
                <w:rFonts w:hint="eastAsia"/>
                <w:b/>
                <w:color w:val="000000"/>
                <w:sz w:val="21"/>
                <w:szCs w:val="21"/>
              </w:rPr>
              <w:t>输变电工程</w:t>
            </w:r>
          </w:p>
        </w:tc>
        <w:tc>
          <w:tcPr>
            <w:tcW w:w="1892" w:type="pct"/>
            <w:vAlign w:val="center"/>
          </w:tcPr>
          <w:p w14:paraId="793A4CAF">
            <w:pPr>
              <w:spacing w:line="320" w:lineRule="exact"/>
              <w:rPr>
                <w:rFonts w:hint="eastAsia"/>
                <w:sz w:val="21"/>
                <w:szCs w:val="21"/>
              </w:rPr>
            </w:pPr>
          </w:p>
        </w:tc>
        <w:tc>
          <w:tcPr>
            <w:tcW w:w="484" w:type="pct"/>
            <w:vAlign w:val="center"/>
          </w:tcPr>
          <w:p w14:paraId="4C9CD94C">
            <w:pPr>
              <w:spacing w:line="320" w:lineRule="exact"/>
              <w:jc w:val="center"/>
              <w:rPr>
                <w:rFonts w:hint="eastAsia"/>
                <w:sz w:val="21"/>
                <w:szCs w:val="21"/>
              </w:rPr>
            </w:pPr>
          </w:p>
        </w:tc>
        <w:tc>
          <w:tcPr>
            <w:tcW w:w="488" w:type="pct"/>
            <w:vAlign w:val="center"/>
          </w:tcPr>
          <w:p w14:paraId="38491F0A">
            <w:pPr>
              <w:spacing w:line="320" w:lineRule="exact"/>
              <w:jc w:val="center"/>
              <w:rPr>
                <w:rFonts w:hint="eastAsia"/>
                <w:sz w:val="21"/>
                <w:szCs w:val="21"/>
              </w:rPr>
            </w:pPr>
          </w:p>
        </w:tc>
      </w:tr>
      <w:tr w14:paraId="6B69A8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AD56DCC">
            <w:pPr>
              <w:spacing w:line="320" w:lineRule="exact"/>
              <w:jc w:val="center"/>
              <w:rPr>
                <w:rFonts w:hint="eastAsia"/>
                <w:sz w:val="21"/>
                <w:szCs w:val="21"/>
              </w:rPr>
            </w:pPr>
            <w:r>
              <w:rPr>
                <w:rFonts w:hint="eastAsia"/>
                <w:b/>
                <w:color w:val="000000"/>
                <w:sz w:val="21"/>
                <w:szCs w:val="21"/>
              </w:rPr>
              <w:t>5.5.1</w:t>
            </w:r>
          </w:p>
        </w:tc>
        <w:tc>
          <w:tcPr>
            <w:tcW w:w="1771" w:type="pct"/>
            <w:vAlign w:val="center"/>
          </w:tcPr>
          <w:p w14:paraId="48E211E9">
            <w:pPr>
              <w:spacing w:line="320" w:lineRule="exact"/>
              <w:rPr>
                <w:rFonts w:hint="eastAsia"/>
                <w:sz w:val="21"/>
                <w:szCs w:val="21"/>
              </w:rPr>
            </w:pPr>
            <w:r>
              <w:rPr>
                <w:rFonts w:hint="eastAsia"/>
                <w:b/>
                <w:color w:val="000000"/>
                <w:sz w:val="21"/>
                <w:szCs w:val="21"/>
              </w:rPr>
              <w:t>技术先进</w:t>
            </w:r>
          </w:p>
        </w:tc>
        <w:tc>
          <w:tcPr>
            <w:tcW w:w="1892" w:type="pct"/>
            <w:vAlign w:val="center"/>
          </w:tcPr>
          <w:p w14:paraId="23D5F994">
            <w:pPr>
              <w:spacing w:line="320" w:lineRule="exact"/>
              <w:rPr>
                <w:rFonts w:hint="eastAsia"/>
                <w:sz w:val="21"/>
                <w:szCs w:val="21"/>
              </w:rPr>
            </w:pPr>
          </w:p>
        </w:tc>
        <w:tc>
          <w:tcPr>
            <w:tcW w:w="484" w:type="pct"/>
            <w:vAlign w:val="center"/>
          </w:tcPr>
          <w:p w14:paraId="62D465C0">
            <w:pPr>
              <w:spacing w:line="320" w:lineRule="exact"/>
              <w:jc w:val="center"/>
              <w:rPr>
                <w:rFonts w:hint="eastAsia"/>
                <w:sz w:val="21"/>
                <w:szCs w:val="21"/>
              </w:rPr>
            </w:pPr>
          </w:p>
        </w:tc>
        <w:tc>
          <w:tcPr>
            <w:tcW w:w="488" w:type="pct"/>
            <w:vAlign w:val="center"/>
          </w:tcPr>
          <w:p w14:paraId="09505F6E">
            <w:pPr>
              <w:spacing w:line="320" w:lineRule="exact"/>
              <w:jc w:val="center"/>
              <w:rPr>
                <w:rFonts w:hint="eastAsia"/>
                <w:sz w:val="21"/>
                <w:szCs w:val="21"/>
              </w:rPr>
            </w:pPr>
          </w:p>
        </w:tc>
      </w:tr>
      <w:tr w14:paraId="75A5F8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F8234C8">
            <w:pPr>
              <w:spacing w:line="320" w:lineRule="exact"/>
              <w:jc w:val="center"/>
              <w:rPr>
                <w:rFonts w:hint="eastAsia"/>
                <w:sz w:val="21"/>
                <w:szCs w:val="21"/>
              </w:rPr>
            </w:pPr>
            <w:r>
              <w:rPr>
                <w:rFonts w:hint="eastAsia"/>
                <w:sz w:val="21"/>
                <w:szCs w:val="21"/>
              </w:rPr>
              <w:t>1</w:t>
            </w:r>
          </w:p>
        </w:tc>
        <w:tc>
          <w:tcPr>
            <w:tcW w:w="1771" w:type="pct"/>
            <w:vAlign w:val="center"/>
          </w:tcPr>
          <w:p w14:paraId="512FCEC5">
            <w:pPr>
              <w:spacing w:line="320" w:lineRule="exact"/>
              <w:rPr>
                <w:rFonts w:hint="eastAsia"/>
                <w:sz w:val="21"/>
                <w:szCs w:val="21"/>
              </w:rPr>
            </w:pPr>
            <w:r>
              <w:rPr>
                <w:rFonts w:hint="eastAsia"/>
                <w:sz w:val="21"/>
                <w:szCs w:val="21"/>
              </w:rPr>
              <w:t>项目总体设计科学合理，积极采用新技术、新工艺、新材料。</w:t>
            </w:r>
          </w:p>
        </w:tc>
        <w:tc>
          <w:tcPr>
            <w:tcW w:w="1892" w:type="pct"/>
            <w:vAlign w:val="center"/>
          </w:tcPr>
          <w:p w14:paraId="321C4DE8">
            <w:pPr>
              <w:spacing w:line="320" w:lineRule="exact"/>
              <w:rPr>
                <w:rFonts w:hint="eastAsia"/>
                <w:sz w:val="21"/>
                <w:szCs w:val="21"/>
              </w:rPr>
            </w:pPr>
            <w:bookmarkStart w:id="644" w:name="sys3741074"/>
            <w:r>
              <w:rPr>
                <w:rFonts w:hint="eastAsia"/>
                <w:sz w:val="21"/>
                <w:szCs w:val="21"/>
              </w:rPr>
              <w:t>工程绿色设计文件应包含集成设计情况、绿色材料选用、环境保护和水土保持设计情况、节能新技术、新设备、新材料、可循环再利用材料应用等设计成果记录</w:t>
            </w:r>
            <w:bookmarkEnd w:id="644"/>
            <w:r>
              <w:rPr>
                <w:rFonts w:hint="eastAsia"/>
                <w:sz w:val="21"/>
                <w:szCs w:val="21"/>
              </w:rPr>
              <w:t>相关内容，未见相关内容每处扣2分，内容不符或针对性不强，每处扣2分</w:t>
            </w:r>
          </w:p>
        </w:tc>
        <w:tc>
          <w:tcPr>
            <w:tcW w:w="484" w:type="pct"/>
            <w:vAlign w:val="center"/>
          </w:tcPr>
          <w:p w14:paraId="02E59E2B">
            <w:pPr>
              <w:spacing w:line="320" w:lineRule="exact"/>
              <w:jc w:val="center"/>
              <w:rPr>
                <w:rFonts w:hint="eastAsia"/>
                <w:sz w:val="21"/>
                <w:szCs w:val="21"/>
              </w:rPr>
            </w:pPr>
            <w:r>
              <w:rPr>
                <w:rFonts w:hint="eastAsia"/>
                <w:sz w:val="21"/>
                <w:szCs w:val="21"/>
              </w:rPr>
              <w:t>4</w:t>
            </w:r>
          </w:p>
        </w:tc>
        <w:tc>
          <w:tcPr>
            <w:tcW w:w="488" w:type="pct"/>
            <w:vAlign w:val="center"/>
          </w:tcPr>
          <w:p w14:paraId="3DF185C7">
            <w:pPr>
              <w:spacing w:line="320" w:lineRule="exact"/>
              <w:jc w:val="center"/>
              <w:rPr>
                <w:rFonts w:hint="eastAsia"/>
                <w:sz w:val="21"/>
                <w:szCs w:val="21"/>
              </w:rPr>
            </w:pPr>
          </w:p>
        </w:tc>
      </w:tr>
      <w:tr w14:paraId="0AD084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B4BF144">
            <w:pPr>
              <w:spacing w:line="320" w:lineRule="exact"/>
              <w:jc w:val="center"/>
              <w:rPr>
                <w:rFonts w:hint="eastAsia"/>
                <w:sz w:val="21"/>
                <w:szCs w:val="21"/>
              </w:rPr>
            </w:pPr>
            <w:r>
              <w:rPr>
                <w:rFonts w:hint="eastAsia"/>
                <w:sz w:val="21"/>
                <w:szCs w:val="21"/>
              </w:rPr>
              <w:t>2</w:t>
            </w:r>
          </w:p>
        </w:tc>
        <w:tc>
          <w:tcPr>
            <w:tcW w:w="1771" w:type="pct"/>
            <w:vAlign w:val="center"/>
          </w:tcPr>
          <w:p w14:paraId="2B73B511">
            <w:pPr>
              <w:spacing w:line="320" w:lineRule="exact"/>
              <w:rPr>
                <w:rFonts w:hint="eastAsia"/>
                <w:sz w:val="21"/>
                <w:szCs w:val="21"/>
              </w:rPr>
            </w:pPr>
            <w:r>
              <w:rPr>
                <w:rFonts w:hint="eastAsia"/>
                <w:sz w:val="21"/>
                <w:szCs w:val="21"/>
              </w:rPr>
              <w:t>电气</w:t>
            </w:r>
            <w:r>
              <w:rPr>
                <w:sz w:val="21"/>
                <w:szCs w:val="21"/>
              </w:rPr>
              <w:t>设备选用可靠性高、维护量小、节能、环保、经济的设备。</w:t>
            </w:r>
          </w:p>
        </w:tc>
        <w:tc>
          <w:tcPr>
            <w:tcW w:w="1892" w:type="pct"/>
            <w:vAlign w:val="center"/>
          </w:tcPr>
          <w:p w14:paraId="10F60E4B">
            <w:pPr>
              <w:spacing w:line="320" w:lineRule="exact"/>
              <w:rPr>
                <w:rFonts w:hint="eastAsia"/>
                <w:sz w:val="21"/>
                <w:szCs w:val="21"/>
              </w:rPr>
            </w:pPr>
            <w:r>
              <w:rPr>
                <w:rFonts w:hint="eastAsia"/>
                <w:sz w:val="21"/>
                <w:szCs w:val="21"/>
              </w:rPr>
              <w:t>1、变电站工程：35kV～110kV主变压器、180MVA及以下容量的220kV主变压器未采用油浸自冷，扣2分；GIS备用间隔的母线隔离开关未随主母线一次建成，扣2分；220kV及以下电压等级的GIS设备的母线、隔离开关等气室未采用环保气体或SF6/N2混合气体，扣2分。</w:t>
            </w:r>
          </w:p>
          <w:p w14:paraId="4A8F00CD">
            <w:pPr>
              <w:pStyle w:val="57"/>
              <w:ind w:left="2880"/>
              <w:rPr>
                <w:rFonts w:hint="eastAsia" w:hAnsi="宋体" w:cs="Times New Roman"/>
                <w:color w:val="auto"/>
                <w:kern w:val="2"/>
                <w:sz w:val="21"/>
                <w:szCs w:val="21"/>
              </w:rPr>
            </w:pPr>
            <w:r>
              <w:rPr>
                <w:rFonts w:hint="eastAsia" w:hAnsi="宋体" w:cs="Times New Roman"/>
                <w:color w:val="auto"/>
                <w:kern w:val="2"/>
                <w:sz w:val="21"/>
                <w:szCs w:val="21"/>
              </w:rPr>
              <w:t>2、架空线路工程：金具未采用国网通用设计，或因特殊工况不能采用《国家电网有限公司输变电工程通用设计》且未采用节能金具，每处扣2分；导地线选型未进行多方案技术经济比较扣4分；技术经济方案不合理或缺乏针对性，每处扣2分；风振严重区、易舞动区、三跨区段的导地线保护及连接金具未选用耐磨金具，扣2分。</w:t>
            </w:r>
          </w:p>
          <w:p w14:paraId="6B1EA318">
            <w:pPr>
              <w:spacing w:line="320" w:lineRule="exact"/>
              <w:rPr>
                <w:rFonts w:hint="eastAsia"/>
                <w:sz w:val="21"/>
                <w:szCs w:val="21"/>
              </w:rPr>
            </w:pPr>
            <w:r>
              <w:rPr>
                <w:rFonts w:hint="eastAsia"/>
                <w:sz w:val="21"/>
                <w:szCs w:val="21"/>
              </w:rPr>
              <w:t>3、电缆及海底电缆工程：电缆户外终端在人员密集区域或有防爆要求场所未选择复合套管材质，每处扣2分；与SF6全封闭电器相连的GIS终端接口不配套或不具备SF6气体完全隔离的密封结构，每处扣2分；电缆接头与电缆本体不具备相同的绝缘强度和防潮密封性能，每处扣2分</w:t>
            </w:r>
          </w:p>
        </w:tc>
        <w:tc>
          <w:tcPr>
            <w:tcW w:w="484" w:type="pct"/>
            <w:vAlign w:val="center"/>
          </w:tcPr>
          <w:p w14:paraId="1163BBC5">
            <w:pPr>
              <w:spacing w:line="320" w:lineRule="exact"/>
              <w:jc w:val="center"/>
              <w:rPr>
                <w:rFonts w:hint="eastAsia"/>
                <w:sz w:val="21"/>
                <w:szCs w:val="21"/>
              </w:rPr>
            </w:pPr>
            <w:r>
              <w:rPr>
                <w:rFonts w:hint="eastAsia"/>
                <w:sz w:val="21"/>
                <w:szCs w:val="21"/>
              </w:rPr>
              <w:t>6</w:t>
            </w:r>
          </w:p>
        </w:tc>
        <w:tc>
          <w:tcPr>
            <w:tcW w:w="488" w:type="pct"/>
            <w:vAlign w:val="center"/>
          </w:tcPr>
          <w:p w14:paraId="3A272558">
            <w:pPr>
              <w:spacing w:line="320" w:lineRule="exact"/>
              <w:jc w:val="center"/>
              <w:rPr>
                <w:rFonts w:hint="eastAsia"/>
                <w:sz w:val="21"/>
                <w:szCs w:val="21"/>
              </w:rPr>
            </w:pPr>
          </w:p>
        </w:tc>
      </w:tr>
      <w:tr w14:paraId="027209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C713871">
            <w:pPr>
              <w:spacing w:line="320" w:lineRule="exact"/>
              <w:jc w:val="center"/>
              <w:rPr>
                <w:rFonts w:hint="eastAsia"/>
                <w:sz w:val="21"/>
                <w:szCs w:val="21"/>
              </w:rPr>
            </w:pPr>
            <w:r>
              <w:rPr>
                <w:rFonts w:hint="eastAsia"/>
                <w:sz w:val="21"/>
                <w:szCs w:val="21"/>
              </w:rPr>
              <w:t>3</w:t>
            </w:r>
          </w:p>
        </w:tc>
        <w:tc>
          <w:tcPr>
            <w:tcW w:w="1771" w:type="pct"/>
            <w:vAlign w:val="center"/>
          </w:tcPr>
          <w:p w14:paraId="1E8F5485">
            <w:pPr>
              <w:spacing w:line="320" w:lineRule="exact"/>
              <w:rPr>
                <w:rFonts w:hint="eastAsia"/>
                <w:sz w:val="21"/>
                <w:szCs w:val="21"/>
              </w:rPr>
            </w:pPr>
            <w:r>
              <w:rPr>
                <w:rFonts w:hint="eastAsia"/>
                <w:sz w:val="21"/>
                <w:szCs w:val="21"/>
              </w:rPr>
              <w:t>采用先进智能检测与控制技术，具有较高的智能化水平。</w:t>
            </w:r>
          </w:p>
        </w:tc>
        <w:tc>
          <w:tcPr>
            <w:tcW w:w="1892" w:type="pct"/>
            <w:vAlign w:val="center"/>
          </w:tcPr>
          <w:p w14:paraId="7BAA2364">
            <w:pPr>
              <w:pStyle w:val="57"/>
              <w:ind w:left="2880"/>
              <w:rPr>
                <w:rFonts w:hint="eastAsia" w:hAnsi="宋体" w:cs="Times New Roman"/>
                <w:color w:val="auto"/>
                <w:kern w:val="2"/>
                <w:sz w:val="21"/>
                <w:szCs w:val="21"/>
              </w:rPr>
            </w:pPr>
            <w:r>
              <w:rPr>
                <w:rFonts w:hint="eastAsia" w:hAnsi="宋体" w:cs="Times New Roman"/>
                <w:color w:val="auto"/>
                <w:kern w:val="2"/>
                <w:sz w:val="21"/>
                <w:szCs w:val="21"/>
              </w:rPr>
              <w:t>1、变电站工程：新建变电站未配置一键顺控功能，扣1分；未配置辅助设备智能监控系统，扣1分；户内GIS设备未采用预制式智能控制柜，扣1分；</w:t>
            </w:r>
          </w:p>
          <w:p w14:paraId="491CB28E">
            <w:pPr>
              <w:pStyle w:val="57"/>
              <w:ind w:left="2880"/>
              <w:rPr>
                <w:rFonts w:hint="eastAsia" w:hAnsi="宋体" w:cs="Times New Roman"/>
                <w:color w:val="auto"/>
                <w:kern w:val="2"/>
                <w:sz w:val="21"/>
                <w:szCs w:val="21"/>
              </w:rPr>
            </w:pPr>
            <w:r>
              <w:rPr>
                <w:rFonts w:hint="eastAsia" w:hAnsi="宋体" w:cs="Times New Roman"/>
                <w:color w:val="auto"/>
                <w:kern w:val="2"/>
                <w:sz w:val="21"/>
                <w:szCs w:val="21"/>
              </w:rPr>
              <w:t>2、架空线路工程：此项不涉及。</w:t>
            </w:r>
          </w:p>
          <w:p w14:paraId="6CFADBE8">
            <w:pPr>
              <w:spacing w:line="320" w:lineRule="exact"/>
              <w:rPr>
                <w:rFonts w:hint="eastAsia"/>
                <w:sz w:val="21"/>
                <w:szCs w:val="21"/>
              </w:rPr>
            </w:pPr>
            <w:r>
              <w:rPr>
                <w:rFonts w:hint="eastAsia"/>
                <w:sz w:val="21"/>
                <w:szCs w:val="21"/>
              </w:rPr>
              <w:t>3、电缆及海底电缆工程：隧道内电缆附属设备应按隧道分级，采用电缆线路智能监控系统，未按隧道分级采用电缆线路智能监控系统，扣4分；智能监控系统配备不齐全，每处扣2分</w:t>
            </w:r>
          </w:p>
        </w:tc>
        <w:tc>
          <w:tcPr>
            <w:tcW w:w="484" w:type="pct"/>
            <w:vAlign w:val="center"/>
          </w:tcPr>
          <w:p w14:paraId="6ED349D1">
            <w:pPr>
              <w:spacing w:line="320" w:lineRule="exact"/>
              <w:jc w:val="center"/>
              <w:rPr>
                <w:rFonts w:hint="eastAsia"/>
                <w:sz w:val="21"/>
                <w:szCs w:val="21"/>
              </w:rPr>
            </w:pPr>
            <w:r>
              <w:rPr>
                <w:rFonts w:hint="eastAsia"/>
                <w:sz w:val="21"/>
                <w:szCs w:val="21"/>
              </w:rPr>
              <w:t>4</w:t>
            </w:r>
          </w:p>
        </w:tc>
        <w:tc>
          <w:tcPr>
            <w:tcW w:w="488" w:type="pct"/>
            <w:vAlign w:val="center"/>
          </w:tcPr>
          <w:p w14:paraId="3AC3BE8D">
            <w:pPr>
              <w:spacing w:line="320" w:lineRule="exact"/>
              <w:jc w:val="center"/>
              <w:rPr>
                <w:rFonts w:hint="eastAsia"/>
                <w:sz w:val="21"/>
                <w:szCs w:val="21"/>
              </w:rPr>
            </w:pPr>
          </w:p>
        </w:tc>
      </w:tr>
      <w:tr w14:paraId="386D21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BD60684">
            <w:pPr>
              <w:spacing w:line="320" w:lineRule="exact"/>
              <w:jc w:val="center"/>
              <w:rPr>
                <w:rFonts w:hint="eastAsia"/>
                <w:sz w:val="21"/>
                <w:szCs w:val="21"/>
              </w:rPr>
            </w:pPr>
            <w:r>
              <w:rPr>
                <w:rFonts w:hint="eastAsia"/>
                <w:sz w:val="21"/>
                <w:szCs w:val="21"/>
              </w:rPr>
              <w:t>4</w:t>
            </w:r>
          </w:p>
        </w:tc>
        <w:tc>
          <w:tcPr>
            <w:tcW w:w="1771" w:type="pct"/>
            <w:vAlign w:val="center"/>
          </w:tcPr>
          <w:p w14:paraId="0CC4DEA2">
            <w:pPr>
              <w:spacing w:line="320" w:lineRule="exact"/>
              <w:rPr>
                <w:rFonts w:hint="eastAsia"/>
                <w:sz w:val="21"/>
                <w:szCs w:val="21"/>
              </w:rPr>
            </w:pPr>
            <w:r>
              <w:rPr>
                <w:sz w:val="21"/>
                <w:szCs w:val="21"/>
              </w:rPr>
              <w:t>推行标准化、工业化智能建造，优于或达到国家、地方行业部门要求。</w:t>
            </w:r>
          </w:p>
        </w:tc>
        <w:tc>
          <w:tcPr>
            <w:tcW w:w="1892" w:type="pct"/>
            <w:vAlign w:val="center"/>
          </w:tcPr>
          <w:p w14:paraId="779DADD0">
            <w:pPr>
              <w:spacing w:line="320" w:lineRule="exact"/>
              <w:rPr>
                <w:rFonts w:hint="eastAsia"/>
                <w:sz w:val="21"/>
                <w:szCs w:val="21"/>
              </w:rPr>
            </w:pPr>
            <w:r>
              <w:rPr>
                <w:rFonts w:hint="eastAsia"/>
                <w:sz w:val="21"/>
                <w:szCs w:val="21"/>
              </w:rPr>
              <w:t>未采用标准化设计且无专题论证，扣3分。</w:t>
            </w:r>
          </w:p>
        </w:tc>
        <w:tc>
          <w:tcPr>
            <w:tcW w:w="484" w:type="pct"/>
            <w:vAlign w:val="center"/>
          </w:tcPr>
          <w:p w14:paraId="7721F0E8">
            <w:pPr>
              <w:spacing w:line="320" w:lineRule="exact"/>
              <w:jc w:val="center"/>
              <w:rPr>
                <w:rFonts w:hint="eastAsia"/>
                <w:sz w:val="21"/>
                <w:szCs w:val="21"/>
              </w:rPr>
            </w:pPr>
            <w:r>
              <w:rPr>
                <w:rFonts w:hint="eastAsia"/>
                <w:sz w:val="21"/>
                <w:szCs w:val="21"/>
              </w:rPr>
              <w:t>3</w:t>
            </w:r>
          </w:p>
        </w:tc>
        <w:tc>
          <w:tcPr>
            <w:tcW w:w="488" w:type="pct"/>
            <w:vAlign w:val="center"/>
          </w:tcPr>
          <w:p w14:paraId="6C23E74B">
            <w:pPr>
              <w:spacing w:line="320" w:lineRule="exact"/>
              <w:jc w:val="center"/>
              <w:rPr>
                <w:rFonts w:hint="eastAsia"/>
                <w:sz w:val="21"/>
                <w:szCs w:val="21"/>
              </w:rPr>
            </w:pPr>
          </w:p>
        </w:tc>
      </w:tr>
      <w:tr w14:paraId="1409A0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DAD216C">
            <w:pPr>
              <w:spacing w:line="320" w:lineRule="exact"/>
              <w:jc w:val="center"/>
              <w:rPr>
                <w:rFonts w:hint="eastAsia"/>
                <w:sz w:val="21"/>
                <w:szCs w:val="21"/>
              </w:rPr>
            </w:pPr>
            <w:r>
              <w:rPr>
                <w:rFonts w:hint="eastAsia"/>
                <w:sz w:val="21"/>
                <w:szCs w:val="21"/>
              </w:rPr>
              <w:t>5</w:t>
            </w:r>
          </w:p>
        </w:tc>
        <w:tc>
          <w:tcPr>
            <w:tcW w:w="1771" w:type="pct"/>
            <w:vAlign w:val="center"/>
          </w:tcPr>
          <w:p w14:paraId="05E8081A">
            <w:pPr>
              <w:spacing w:line="320" w:lineRule="exact"/>
              <w:rPr>
                <w:rFonts w:hint="eastAsia"/>
                <w:sz w:val="21"/>
                <w:szCs w:val="21"/>
              </w:rPr>
            </w:pPr>
            <w:r>
              <w:rPr>
                <w:sz w:val="21"/>
                <w:szCs w:val="21"/>
              </w:rPr>
              <w:t>采用</w:t>
            </w:r>
            <w:r>
              <w:rPr>
                <w:rFonts w:hint="eastAsia"/>
                <w:sz w:val="21"/>
                <w:szCs w:val="21"/>
              </w:rPr>
              <w:t>BIM技术、卫片选线等先进</w:t>
            </w:r>
            <w:r>
              <w:rPr>
                <w:sz w:val="21"/>
                <w:szCs w:val="21"/>
              </w:rPr>
              <w:t>设计</w:t>
            </w:r>
            <w:r>
              <w:rPr>
                <w:rFonts w:hint="eastAsia"/>
                <w:sz w:val="21"/>
                <w:szCs w:val="21"/>
              </w:rPr>
              <w:t>手段</w:t>
            </w:r>
            <w:r>
              <w:rPr>
                <w:sz w:val="21"/>
                <w:szCs w:val="21"/>
              </w:rPr>
              <w:t>，</w:t>
            </w:r>
            <w:r>
              <w:rPr>
                <w:rFonts w:hint="eastAsia"/>
                <w:sz w:val="21"/>
                <w:szCs w:val="21"/>
              </w:rPr>
              <w:t>多专业协同设计</w:t>
            </w:r>
            <w:r>
              <w:rPr>
                <w:sz w:val="21"/>
                <w:szCs w:val="21"/>
              </w:rPr>
              <w:t>，为绿色施工创造条件，并取得良好效果。</w:t>
            </w:r>
          </w:p>
        </w:tc>
        <w:tc>
          <w:tcPr>
            <w:tcW w:w="1892" w:type="pct"/>
            <w:vAlign w:val="center"/>
          </w:tcPr>
          <w:p w14:paraId="318B7515">
            <w:pPr>
              <w:spacing w:line="320" w:lineRule="exact"/>
              <w:rPr>
                <w:rFonts w:hint="eastAsia"/>
                <w:sz w:val="21"/>
                <w:szCs w:val="21"/>
              </w:rPr>
            </w:pPr>
            <w:r>
              <w:rPr>
                <w:rFonts w:hint="eastAsia"/>
                <w:sz w:val="21"/>
                <w:szCs w:val="21"/>
              </w:rPr>
              <w:t>未采用数字化设计手段，扣2分。</w:t>
            </w:r>
          </w:p>
        </w:tc>
        <w:tc>
          <w:tcPr>
            <w:tcW w:w="484" w:type="pct"/>
            <w:vAlign w:val="center"/>
          </w:tcPr>
          <w:p w14:paraId="4E1783D7">
            <w:pPr>
              <w:spacing w:line="320" w:lineRule="exact"/>
              <w:jc w:val="center"/>
              <w:rPr>
                <w:rFonts w:hint="eastAsia"/>
                <w:sz w:val="21"/>
                <w:szCs w:val="21"/>
              </w:rPr>
            </w:pPr>
            <w:r>
              <w:rPr>
                <w:rFonts w:hint="eastAsia"/>
                <w:sz w:val="21"/>
                <w:szCs w:val="21"/>
              </w:rPr>
              <w:t>2</w:t>
            </w:r>
          </w:p>
        </w:tc>
        <w:tc>
          <w:tcPr>
            <w:tcW w:w="488" w:type="pct"/>
            <w:vAlign w:val="center"/>
          </w:tcPr>
          <w:p w14:paraId="7729A771">
            <w:pPr>
              <w:spacing w:line="320" w:lineRule="exact"/>
              <w:jc w:val="center"/>
              <w:rPr>
                <w:rFonts w:hint="eastAsia"/>
                <w:sz w:val="21"/>
                <w:szCs w:val="21"/>
              </w:rPr>
            </w:pPr>
          </w:p>
        </w:tc>
      </w:tr>
      <w:tr w14:paraId="6A10BA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0529738">
            <w:pPr>
              <w:spacing w:line="320" w:lineRule="exact"/>
              <w:jc w:val="center"/>
              <w:rPr>
                <w:rFonts w:hint="eastAsia"/>
                <w:sz w:val="21"/>
                <w:szCs w:val="21"/>
              </w:rPr>
            </w:pPr>
            <w:r>
              <w:rPr>
                <w:rFonts w:hint="eastAsia"/>
                <w:sz w:val="21"/>
                <w:szCs w:val="21"/>
              </w:rPr>
              <w:t>6</w:t>
            </w:r>
          </w:p>
        </w:tc>
        <w:tc>
          <w:tcPr>
            <w:tcW w:w="1771" w:type="pct"/>
            <w:vAlign w:val="center"/>
          </w:tcPr>
          <w:p w14:paraId="0B801404">
            <w:pPr>
              <w:spacing w:line="320" w:lineRule="exact"/>
              <w:rPr>
                <w:rFonts w:hint="eastAsia"/>
                <w:sz w:val="21"/>
                <w:szCs w:val="21"/>
              </w:rPr>
            </w:pPr>
            <w:r>
              <w:rPr>
                <w:rFonts w:hint="eastAsia"/>
                <w:sz w:val="21"/>
                <w:szCs w:val="21"/>
              </w:rPr>
              <w:t>变电站（换流站）总平面布置方案的选择和优化科学、合理，工艺流程顺畅，功能分区合理。</w:t>
            </w:r>
          </w:p>
        </w:tc>
        <w:tc>
          <w:tcPr>
            <w:tcW w:w="1892" w:type="pct"/>
            <w:vAlign w:val="center"/>
          </w:tcPr>
          <w:p w14:paraId="4B8C9AAB">
            <w:pPr>
              <w:spacing w:line="320" w:lineRule="exact"/>
              <w:rPr>
                <w:rFonts w:hint="eastAsia"/>
                <w:sz w:val="21"/>
                <w:szCs w:val="21"/>
              </w:rPr>
            </w:pPr>
            <w:r>
              <w:rPr>
                <w:rFonts w:hint="eastAsia"/>
                <w:sz w:val="21"/>
                <w:szCs w:val="21"/>
              </w:rPr>
              <w:t>变电站专用项，站区总平面布置不符合通用设计要求，扣1分；站内工艺布置不合理，功能分区不明确，每处扣0.5分。</w:t>
            </w:r>
          </w:p>
        </w:tc>
        <w:tc>
          <w:tcPr>
            <w:tcW w:w="484" w:type="pct"/>
            <w:vAlign w:val="center"/>
          </w:tcPr>
          <w:p w14:paraId="6C167B51">
            <w:pPr>
              <w:spacing w:line="320" w:lineRule="exact"/>
              <w:jc w:val="center"/>
              <w:rPr>
                <w:rFonts w:hint="eastAsia"/>
                <w:sz w:val="21"/>
                <w:szCs w:val="21"/>
              </w:rPr>
            </w:pPr>
            <w:r>
              <w:rPr>
                <w:rFonts w:hint="eastAsia"/>
                <w:sz w:val="21"/>
                <w:szCs w:val="21"/>
              </w:rPr>
              <w:t>1</w:t>
            </w:r>
          </w:p>
        </w:tc>
        <w:tc>
          <w:tcPr>
            <w:tcW w:w="488" w:type="pct"/>
            <w:vAlign w:val="center"/>
          </w:tcPr>
          <w:p w14:paraId="3585D387">
            <w:pPr>
              <w:spacing w:line="320" w:lineRule="exact"/>
              <w:jc w:val="center"/>
              <w:rPr>
                <w:rFonts w:hint="eastAsia"/>
                <w:sz w:val="21"/>
                <w:szCs w:val="21"/>
              </w:rPr>
            </w:pPr>
          </w:p>
        </w:tc>
      </w:tr>
      <w:tr w14:paraId="233AFE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ED6A0D8">
            <w:pPr>
              <w:spacing w:line="320" w:lineRule="exact"/>
              <w:jc w:val="center"/>
              <w:rPr>
                <w:rFonts w:hint="eastAsia"/>
                <w:sz w:val="21"/>
                <w:szCs w:val="21"/>
              </w:rPr>
            </w:pPr>
            <w:r>
              <w:rPr>
                <w:rFonts w:hint="eastAsia"/>
                <w:sz w:val="21"/>
                <w:szCs w:val="21"/>
              </w:rPr>
              <w:t>7</w:t>
            </w:r>
          </w:p>
        </w:tc>
        <w:tc>
          <w:tcPr>
            <w:tcW w:w="1771" w:type="pct"/>
            <w:vAlign w:val="center"/>
          </w:tcPr>
          <w:p w14:paraId="2AE54D12">
            <w:pPr>
              <w:spacing w:line="320" w:lineRule="exact"/>
              <w:rPr>
                <w:rFonts w:hint="eastAsia"/>
                <w:sz w:val="21"/>
                <w:szCs w:val="21"/>
              </w:rPr>
            </w:pPr>
            <w:r>
              <w:rPr>
                <w:rFonts w:hint="eastAsia"/>
                <w:sz w:val="21"/>
                <w:szCs w:val="21"/>
              </w:rPr>
              <w:t>变电站（换流站）</w:t>
            </w:r>
            <w:r>
              <w:rPr>
                <w:sz w:val="21"/>
                <w:szCs w:val="21"/>
              </w:rPr>
              <w:t>建筑根据实际情况，优化功能空间布局及设备布置，充分挖掘建筑本体与设备在节约资源方面的潜力。</w:t>
            </w:r>
          </w:p>
        </w:tc>
        <w:tc>
          <w:tcPr>
            <w:tcW w:w="1892" w:type="pct"/>
            <w:vAlign w:val="center"/>
          </w:tcPr>
          <w:p w14:paraId="39CA73C5">
            <w:pPr>
              <w:spacing w:line="320" w:lineRule="exact"/>
              <w:rPr>
                <w:rFonts w:hint="eastAsia"/>
                <w:sz w:val="21"/>
                <w:szCs w:val="21"/>
              </w:rPr>
            </w:pPr>
            <w:r>
              <w:rPr>
                <w:rFonts w:hint="eastAsia"/>
                <w:sz w:val="21"/>
                <w:szCs w:val="21"/>
              </w:rPr>
              <w:t>变电站专用项，建筑物内空间布置不符合通用设计要求，扣1分；</w:t>
            </w:r>
          </w:p>
        </w:tc>
        <w:tc>
          <w:tcPr>
            <w:tcW w:w="484" w:type="pct"/>
            <w:vAlign w:val="center"/>
          </w:tcPr>
          <w:p w14:paraId="26C82A4E">
            <w:pPr>
              <w:spacing w:line="320" w:lineRule="exact"/>
              <w:jc w:val="center"/>
              <w:rPr>
                <w:rFonts w:hint="eastAsia"/>
                <w:sz w:val="21"/>
                <w:szCs w:val="21"/>
              </w:rPr>
            </w:pPr>
            <w:r>
              <w:rPr>
                <w:rFonts w:hint="eastAsia"/>
                <w:sz w:val="21"/>
                <w:szCs w:val="21"/>
              </w:rPr>
              <w:t>1</w:t>
            </w:r>
          </w:p>
        </w:tc>
        <w:tc>
          <w:tcPr>
            <w:tcW w:w="488" w:type="pct"/>
            <w:vAlign w:val="center"/>
          </w:tcPr>
          <w:p w14:paraId="680BAEBA">
            <w:pPr>
              <w:spacing w:line="320" w:lineRule="exact"/>
              <w:jc w:val="center"/>
              <w:rPr>
                <w:rFonts w:hint="eastAsia"/>
                <w:sz w:val="21"/>
                <w:szCs w:val="21"/>
              </w:rPr>
            </w:pPr>
          </w:p>
        </w:tc>
      </w:tr>
      <w:tr w14:paraId="73E90C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94F862D">
            <w:pPr>
              <w:spacing w:line="320" w:lineRule="exact"/>
              <w:jc w:val="center"/>
              <w:rPr>
                <w:rFonts w:hint="eastAsia"/>
                <w:sz w:val="21"/>
                <w:szCs w:val="21"/>
              </w:rPr>
            </w:pPr>
            <w:r>
              <w:rPr>
                <w:rFonts w:hint="eastAsia"/>
                <w:sz w:val="21"/>
                <w:szCs w:val="21"/>
              </w:rPr>
              <w:t>8</w:t>
            </w:r>
          </w:p>
        </w:tc>
        <w:tc>
          <w:tcPr>
            <w:tcW w:w="1771" w:type="pct"/>
            <w:vAlign w:val="center"/>
          </w:tcPr>
          <w:p w14:paraId="6ADB40CA">
            <w:pPr>
              <w:spacing w:line="320" w:lineRule="exact"/>
              <w:rPr>
                <w:rFonts w:hint="eastAsia"/>
                <w:sz w:val="21"/>
                <w:szCs w:val="21"/>
              </w:rPr>
            </w:pPr>
            <w:r>
              <w:rPr>
                <w:rFonts w:hint="eastAsia"/>
                <w:sz w:val="21"/>
                <w:szCs w:val="21"/>
              </w:rPr>
              <w:t>变电站（换流站）</w:t>
            </w:r>
            <w:r>
              <w:rPr>
                <w:sz w:val="21"/>
                <w:szCs w:val="21"/>
              </w:rPr>
              <w:t>电气主接线满足供电可靠、运行灵活、操作检修方便、节约投资和便于扩建等要求</w:t>
            </w:r>
            <w:r>
              <w:rPr>
                <w:rFonts w:hint="eastAsia"/>
                <w:sz w:val="21"/>
                <w:szCs w:val="21"/>
              </w:rPr>
              <w:t>。</w:t>
            </w:r>
          </w:p>
        </w:tc>
        <w:tc>
          <w:tcPr>
            <w:tcW w:w="1892" w:type="pct"/>
            <w:vAlign w:val="center"/>
          </w:tcPr>
          <w:p w14:paraId="78517A6B">
            <w:pPr>
              <w:spacing w:line="320" w:lineRule="exact"/>
              <w:rPr>
                <w:rFonts w:hint="eastAsia"/>
                <w:sz w:val="21"/>
                <w:szCs w:val="21"/>
              </w:rPr>
            </w:pPr>
            <w:r>
              <w:rPr>
                <w:rFonts w:hint="eastAsia"/>
                <w:sz w:val="21"/>
                <w:szCs w:val="21"/>
              </w:rPr>
              <w:t>变电站工程专用项，电气主接线或工艺布置不合理，每处扣0.5分。</w:t>
            </w:r>
          </w:p>
        </w:tc>
        <w:tc>
          <w:tcPr>
            <w:tcW w:w="484" w:type="pct"/>
            <w:vAlign w:val="center"/>
          </w:tcPr>
          <w:p w14:paraId="68D25095">
            <w:pPr>
              <w:spacing w:line="320" w:lineRule="exact"/>
              <w:jc w:val="center"/>
              <w:rPr>
                <w:rFonts w:hint="eastAsia"/>
                <w:sz w:val="21"/>
                <w:szCs w:val="21"/>
              </w:rPr>
            </w:pPr>
            <w:r>
              <w:rPr>
                <w:rFonts w:hint="eastAsia"/>
                <w:sz w:val="21"/>
                <w:szCs w:val="21"/>
              </w:rPr>
              <w:t>1</w:t>
            </w:r>
          </w:p>
        </w:tc>
        <w:tc>
          <w:tcPr>
            <w:tcW w:w="488" w:type="pct"/>
            <w:vAlign w:val="center"/>
          </w:tcPr>
          <w:p w14:paraId="676A4BC1">
            <w:pPr>
              <w:spacing w:line="320" w:lineRule="exact"/>
              <w:jc w:val="center"/>
              <w:rPr>
                <w:rFonts w:hint="eastAsia"/>
                <w:sz w:val="21"/>
                <w:szCs w:val="21"/>
              </w:rPr>
            </w:pPr>
          </w:p>
        </w:tc>
      </w:tr>
      <w:tr w14:paraId="4CABEB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EA36879">
            <w:pPr>
              <w:spacing w:line="320" w:lineRule="exact"/>
              <w:jc w:val="center"/>
              <w:rPr>
                <w:rFonts w:hint="eastAsia"/>
                <w:sz w:val="21"/>
                <w:szCs w:val="21"/>
              </w:rPr>
            </w:pPr>
            <w:r>
              <w:rPr>
                <w:rFonts w:hint="eastAsia"/>
                <w:sz w:val="21"/>
                <w:szCs w:val="21"/>
              </w:rPr>
              <w:t>9</w:t>
            </w:r>
          </w:p>
        </w:tc>
        <w:tc>
          <w:tcPr>
            <w:tcW w:w="1771" w:type="pct"/>
            <w:vAlign w:val="center"/>
          </w:tcPr>
          <w:p w14:paraId="6DEBD6D3">
            <w:pPr>
              <w:spacing w:line="320" w:lineRule="exact"/>
              <w:rPr>
                <w:rFonts w:hint="eastAsia"/>
                <w:sz w:val="21"/>
                <w:szCs w:val="21"/>
              </w:rPr>
            </w:pPr>
            <w:r>
              <w:rPr>
                <w:rFonts w:hint="eastAsia"/>
                <w:sz w:val="21"/>
                <w:szCs w:val="21"/>
              </w:rPr>
              <w:t>变电站（换流站）建筑</w:t>
            </w:r>
            <w:r>
              <w:rPr>
                <w:sz w:val="21"/>
                <w:szCs w:val="21"/>
              </w:rPr>
              <w:t>地基处理、建筑结构体系科学，具有先进性、前瞻性，引领行业先进水平。</w:t>
            </w:r>
          </w:p>
        </w:tc>
        <w:tc>
          <w:tcPr>
            <w:tcW w:w="1892" w:type="pct"/>
            <w:vAlign w:val="center"/>
          </w:tcPr>
          <w:p w14:paraId="0B9D59F0">
            <w:pPr>
              <w:spacing w:line="320" w:lineRule="exact"/>
              <w:rPr>
                <w:rFonts w:hint="eastAsia"/>
                <w:sz w:val="21"/>
                <w:szCs w:val="21"/>
              </w:rPr>
            </w:pPr>
            <w:r>
              <w:rPr>
                <w:rFonts w:hint="eastAsia"/>
                <w:sz w:val="21"/>
                <w:szCs w:val="21"/>
              </w:rPr>
              <w:t>变电站工程专用项主建筑物未采用装配式结构体系且未开展相关论证，扣1分；论证依据不充分，扣0.5分。</w:t>
            </w:r>
          </w:p>
        </w:tc>
        <w:tc>
          <w:tcPr>
            <w:tcW w:w="484" w:type="pct"/>
            <w:vAlign w:val="center"/>
          </w:tcPr>
          <w:p w14:paraId="2E8FF447">
            <w:pPr>
              <w:spacing w:line="320" w:lineRule="exact"/>
              <w:jc w:val="center"/>
              <w:rPr>
                <w:rFonts w:hint="eastAsia"/>
                <w:sz w:val="21"/>
                <w:szCs w:val="21"/>
              </w:rPr>
            </w:pPr>
            <w:r>
              <w:rPr>
                <w:rFonts w:hint="eastAsia"/>
                <w:sz w:val="21"/>
                <w:szCs w:val="21"/>
              </w:rPr>
              <w:t>1</w:t>
            </w:r>
          </w:p>
        </w:tc>
        <w:tc>
          <w:tcPr>
            <w:tcW w:w="488" w:type="pct"/>
            <w:vAlign w:val="center"/>
          </w:tcPr>
          <w:p w14:paraId="639B0216">
            <w:pPr>
              <w:spacing w:line="320" w:lineRule="exact"/>
              <w:jc w:val="center"/>
              <w:rPr>
                <w:rFonts w:hint="eastAsia"/>
                <w:sz w:val="21"/>
                <w:szCs w:val="21"/>
              </w:rPr>
            </w:pPr>
          </w:p>
        </w:tc>
      </w:tr>
      <w:tr w14:paraId="3A8FDD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A886B19">
            <w:pPr>
              <w:spacing w:line="320" w:lineRule="exact"/>
              <w:jc w:val="center"/>
              <w:rPr>
                <w:rFonts w:hint="eastAsia"/>
                <w:sz w:val="21"/>
                <w:szCs w:val="21"/>
              </w:rPr>
            </w:pPr>
            <w:r>
              <w:rPr>
                <w:rFonts w:hint="eastAsia"/>
                <w:sz w:val="21"/>
                <w:szCs w:val="21"/>
              </w:rPr>
              <w:t>10</w:t>
            </w:r>
          </w:p>
        </w:tc>
        <w:tc>
          <w:tcPr>
            <w:tcW w:w="1771" w:type="pct"/>
            <w:vAlign w:val="center"/>
          </w:tcPr>
          <w:p w14:paraId="5E818E66">
            <w:pPr>
              <w:spacing w:line="320" w:lineRule="exact"/>
              <w:rPr>
                <w:rFonts w:hint="eastAsia"/>
                <w:sz w:val="21"/>
                <w:szCs w:val="21"/>
              </w:rPr>
            </w:pPr>
            <w:r>
              <w:rPr>
                <w:rFonts w:hint="eastAsia"/>
                <w:sz w:val="21"/>
                <w:szCs w:val="21"/>
              </w:rPr>
              <w:t>架空线路工程</w:t>
            </w:r>
            <w:r>
              <w:rPr>
                <w:sz w:val="21"/>
                <w:szCs w:val="21"/>
              </w:rPr>
              <w:t>在满足可靠性要求的前提下，结合线路走廊规划情况，宜合理采用同塔多回技术,提升廊道利用率。</w:t>
            </w:r>
          </w:p>
        </w:tc>
        <w:tc>
          <w:tcPr>
            <w:tcW w:w="1892" w:type="pct"/>
            <w:vAlign w:val="center"/>
          </w:tcPr>
          <w:p w14:paraId="2B40C3AF">
            <w:pPr>
              <w:spacing w:line="320" w:lineRule="exact"/>
              <w:rPr>
                <w:rFonts w:hint="eastAsia"/>
                <w:sz w:val="21"/>
                <w:szCs w:val="21"/>
              </w:rPr>
            </w:pPr>
            <w:r>
              <w:rPr>
                <w:rFonts w:hint="eastAsia"/>
                <w:sz w:val="21"/>
                <w:szCs w:val="21"/>
              </w:rPr>
              <w:t>架空线路工程专用项，设计文件及施工图纸应分析同塔多回交流输电线路导线相序排列方式合理性。未分析导线相序排列方式合理性，扣0.5分；线路长度在100km及以上，未采取换位措施，扣0.5分。</w:t>
            </w:r>
          </w:p>
        </w:tc>
        <w:tc>
          <w:tcPr>
            <w:tcW w:w="484" w:type="pct"/>
            <w:vAlign w:val="center"/>
          </w:tcPr>
          <w:p w14:paraId="6E9FE83D">
            <w:pPr>
              <w:spacing w:line="320" w:lineRule="exact"/>
              <w:jc w:val="center"/>
              <w:rPr>
                <w:rFonts w:hint="eastAsia"/>
                <w:sz w:val="21"/>
                <w:szCs w:val="21"/>
              </w:rPr>
            </w:pPr>
            <w:r>
              <w:rPr>
                <w:rFonts w:hint="eastAsia"/>
                <w:sz w:val="21"/>
                <w:szCs w:val="21"/>
              </w:rPr>
              <w:t>1</w:t>
            </w:r>
          </w:p>
        </w:tc>
        <w:tc>
          <w:tcPr>
            <w:tcW w:w="488" w:type="pct"/>
            <w:vAlign w:val="center"/>
          </w:tcPr>
          <w:p w14:paraId="079D59EF">
            <w:pPr>
              <w:spacing w:line="320" w:lineRule="exact"/>
              <w:jc w:val="center"/>
              <w:rPr>
                <w:rFonts w:hint="eastAsia"/>
                <w:sz w:val="21"/>
                <w:szCs w:val="21"/>
              </w:rPr>
            </w:pPr>
          </w:p>
        </w:tc>
      </w:tr>
      <w:tr w14:paraId="7BCF59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C2B69A9">
            <w:pPr>
              <w:spacing w:line="320" w:lineRule="exact"/>
              <w:jc w:val="center"/>
              <w:rPr>
                <w:rFonts w:hint="eastAsia"/>
                <w:sz w:val="21"/>
                <w:szCs w:val="21"/>
              </w:rPr>
            </w:pPr>
            <w:r>
              <w:rPr>
                <w:rFonts w:hint="eastAsia"/>
                <w:sz w:val="21"/>
                <w:szCs w:val="21"/>
              </w:rPr>
              <w:t>11</w:t>
            </w:r>
          </w:p>
        </w:tc>
        <w:tc>
          <w:tcPr>
            <w:tcW w:w="1771" w:type="pct"/>
            <w:vAlign w:val="center"/>
          </w:tcPr>
          <w:p w14:paraId="6881596D">
            <w:pPr>
              <w:spacing w:line="320" w:lineRule="exact"/>
              <w:rPr>
                <w:rFonts w:hint="eastAsia"/>
                <w:sz w:val="21"/>
                <w:szCs w:val="21"/>
              </w:rPr>
            </w:pPr>
            <w:r>
              <w:rPr>
                <w:rFonts w:hint="eastAsia"/>
                <w:sz w:val="21"/>
                <w:szCs w:val="21"/>
              </w:rPr>
              <w:t>架空线路工程应结合实际情况，进行防覆冰与防雷设计。</w:t>
            </w:r>
          </w:p>
        </w:tc>
        <w:tc>
          <w:tcPr>
            <w:tcW w:w="1892" w:type="pct"/>
            <w:vAlign w:val="center"/>
          </w:tcPr>
          <w:p w14:paraId="45508D0E">
            <w:pPr>
              <w:spacing w:line="320" w:lineRule="exact"/>
              <w:rPr>
                <w:rFonts w:hint="eastAsia"/>
                <w:sz w:val="21"/>
                <w:szCs w:val="21"/>
              </w:rPr>
            </w:pPr>
            <w:r>
              <w:rPr>
                <w:rFonts w:hint="eastAsia"/>
                <w:sz w:val="21"/>
                <w:szCs w:val="21"/>
              </w:rPr>
              <w:t>架空线路工程专用项，防雷设计未结合当地下来的运行经验、地区雷电活动强弱、地形地貌特点及土壤电阻率高低等情况计算耐雷水平，扣0.5分；未通过技术经济比较，采用合理的防雷与接地方式，扣0.5分。在易覆冰区域未进行防覆冰设计，扣0.5分。</w:t>
            </w:r>
          </w:p>
        </w:tc>
        <w:tc>
          <w:tcPr>
            <w:tcW w:w="484" w:type="pct"/>
            <w:vAlign w:val="center"/>
          </w:tcPr>
          <w:p w14:paraId="3E401F7D">
            <w:pPr>
              <w:spacing w:line="320" w:lineRule="exact"/>
              <w:jc w:val="center"/>
              <w:rPr>
                <w:rFonts w:hint="eastAsia"/>
                <w:sz w:val="21"/>
                <w:szCs w:val="21"/>
              </w:rPr>
            </w:pPr>
            <w:r>
              <w:rPr>
                <w:rFonts w:hint="eastAsia"/>
                <w:sz w:val="21"/>
                <w:szCs w:val="21"/>
              </w:rPr>
              <w:t>1</w:t>
            </w:r>
          </w:p>
        </w:tc>
        <w:tc>
          <w:tcPr>
            <w:tcW w:w="488" w:type="pct"/>
            <w:vAlign w:val="center"/>
          </w:tcPr>
          <w:p w14:paraId="3D04CA3D">
            <w:pPr>
              <w:spacing w:line="320" w:lineRule="exact"/>
              <w:jc w:val="center"/>
              <w:rPr>
                <w:rFonts w:hint="eastAsia"/>
                <w:sz w:val="21"/>
                <w:szCs w:val="21"/>
              </w:rPr>
            </w:pPr>
          </w:p>
        </w:tc>
      </w:tr>
      <w:tr w14:paraId="593D0F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C9A3D92">
            <w:pPr>
              <w:spacing w:line="320" w:lineRule="exact"/>
              <w:jc w:val="center"/>
              <w:rPr>
                <w:rFonts w:hint="eastAsia"/>
                <w:sz w:val="21"/>
                <w:szCs w:val="21"/>
              </w:rPr>
            </w:pPr>
            <w:r>
              <w:rPr>
                <w:rFonts w:hint="eastAsia"/>
                <w:sz w:val="21"/>
                <w:szCs w:val="21"/>
              </w:rPr>
              <w:t>12</w:t>
            </w:r>
          </w:p>
        </w:tc>
        <w:tc>
          <w:tcPr>
            <w:tcW w:w="1771" w:type="pct"/>
            <w:vAlign w:val="center"/>
          </w:tcPr>
          <w:p w14:paraId="2438DF16">
            <w:pPr>
              <w:spacing w:line="320" w:lineRule="exact"/>
              <w:rPr>
                <w:rFonts w:hint="eastAsia"/>
                <w:sz w:val="21"/>
                <w:szCs w:val="21"/>
              </w:rPr>
            </w:pPr>
            <w:r>
              <w:rPr>
                <w:sz w:val="21"/>
                <w:szCs w:val="21"/>
              </w:rPr>
              <w:t>应科学、合理的选择电缆</w:t>
            </w:r>
            <w:r>
              <w:rPr>
                <w:rFonts w:hint="eastAsia"/>
                <w:sz w:val="21"/>
                <w:szCs w:val="21"/>
              </w:rPr>
              <w:t>工程</w:t>
            </w:r>
            <w:r>
              <w:rPr>
                <w:sz w:val="21"/>
                <w:szCs w:val="21"/>
              </w:rPr>
              <w:t>通道路径，使其与城市总体规划相协调。</w:t>
            </w:r>
          </w:p>
        </w:tc>
        <w:tc>
          <w:tcPr>
            <w:tcW w:w="1892" w:type="pct"/>
            <w:vAlign w:val="center"/>
          </w:tcPr>
          <w:p w14:paraId="34D308B0">
            <w:pPr>
              <w:spacing w:line="320" w:lineRule="exact"/>
              <w:rPr>
                <w:rFonts w:hint="eastAsia"/>
                <w:sz w:val="21"/>
                <w:szCs w:val="21"/>
              </w:rPr>
            </w:pPr>
            <w:r>
              <w:rPr>
                <w:rFonts w:hint="eastAsia"/>
                <w:sz w:val="21"/>
                <w:szCs w:val="21"/>
              </w:rPr>
              <w:t>电缆工程专用项，电缆路径设计应统筹兼顾，做到技术可行、安全适用、环境友好、经济合理，未开展多路径方案比选，扣0.5分；路径方案比选不合理或缺乏针对性，扣0.5分。</w:t>
            </w:r>
          </w:p>
          <w:p w14:paraId="1F011C89">
            <w:pPr>
              <w:pStyle w:val="57"/>
              <w:ind w:left="2880"/>
              <w:rPr>
                <w:rFonts w:hint="eastAsia" w:hAnsi="宋体" w:cs="Times New Roman"/>
                <w:color w:val="auto"/>
                <w:kern w:val="2"/>
                <w:sz w:val="21"/>
                <w:szCs w:val="21"/>
              </w:rPr>
            </w:pPr>
            <w:r>
              <w:rPr>
                <w:rFonts w:hint="eastAsia" w:hAnsi="宋体" w:cs="Times New Roman"/>
                <w:color w:val="auto"/>
                <w:kern w:val="2"/>
                <w:sz w:val="21"/>
                <w:szCs w:val="21"/>
              </w:rPr>
              <w:t>电缆路径设计应综合考虑各类因素（路径长度、环境保护、水土保持、施工便捷、运行可靠和维护方便），优化电缆通道，提高材料使用率。电缆段长设计长度不足，扣0.5分；材料表所列电缆长度超出实际测量长度10%，每处扣0.5分。</w:t>
            </w:r>
          </w:p>
          <w:p w14:paraId="08B06A05">
            <w:pPr>
              <w:spacing w:line="320" w:lineRule="exact"/>
              <w:rPr>
                <w:rFonts w:hint="eastAsia"/>
                <w:sz w:val="21"/>
                <w:szCs w:val="21"/>
              </w:rPr>
            </w:pPr>
          </w:p>
        </w:tc>
        <w:tc>
          <w:tcPr>
            <w:tcW w:w="484" w:type="pct"/>
            <w:vAlign w:val="center"/>
          </w:tcPr>
          <w:p w14:paraId="72E008C5">
            <w:pPr>
              <w:spacing w:line="320" w:lineRule="exact"/>
              <w:jc w:val="center"/>
              <w:rPr>
                <w:rFonts w:hint="eastAsia"/>
                <w:sz w:val="21"/>
                <w:szCs w:val="21"/>
              </w:rPr>
            </w:pPr>
            <w:r>
              <w:rPr>
                <w:rFonts w:hint="eastAsia"/>
                <w:sz w:val="21"/>
                <w:szCs w:val="21"/>
              </w:rPr>
              <w:t>1</w:t>
            </w:r>
          </w:p>
        </w:tc>
        <w:tc>
          <w:tcPr>
            <w:tcW w:w="488" w:type="pct"/>
            <w:vAlign w:val="center"/>
          </w:tcPr>
          <w:p w14:paraId="17BD6E4C">
            <w:pPr>
              <w:spacing w:line="320" w:lineRule="exact"/>
              <w:jc w:val="center"/>
              <w:rPr>
                <w:rFonts w:hint="eastAsia"/>
                <w:sz w:val="21"/>
                <w:szCs w:val="21"/>
              </w:rPr>
            </w:pPr>
          </w:p>
        </w:tc>
      </w:tr>
      <w:tr w14:paraId="34713F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687D287">
            <w:pPr>
              <w:spacing w:line="320" w:lineRule="exact"/>
              <w:jc w:val="center"/>
              <w:rPr>
                <w:rFonts w:hint="eastAsia"/>
                <w:sz w:val="21"/>
                <w:szCs w:val="21"/>
              </w:rPr>
            </w:pPr>
            <w:r>
              <w:rPr>
                <w:rFonts w:hint="eastAsia"/>
                <w:sz w:val="21"/>
                <w:szCs w:val="21"/>
              </w:rPr>
              <w:t>13</w:t>
            </w:r>
          </w:p>
        </w:tc>
        <w:tc>
          <w:tcPr>
            <w:tcW w:w="1771" w:type="pct"/>
            <w:vAlign w:val="center"/>
          </w:tcPr>
          <w:p w14:paraId="73A44DA5">
            <w:pPr>
              <w:spacing w:line="320" w:lineRule="exact"/>
              <w:rPr>
                <w:rFonts w:hint="eastAsia"/>
                <w:sz w:val="21"/>
                <w:szCs w:val="21"/>
              </w:rPr>
            </w:pPr>
            <w:r>
              <w:rPr>
                <w:rFonts w:hint="eastAsia"/>
                <w:sz w:val="21"/>
                <w:szCs w:val="21"/>
              </w:rPr>
              <w:t>电缆工程应采取成熟可靠、便于维护的消防与接地措施。</w:t>
            </w:r>
          </w:p>
        </w:tc>
        <w:tc>
          <w:tcPr>
            <w:tcW w:w="1892" w:type="pct"/>
            <w:vAlign w:val="center"/>
          </w:tcPr>
          <w:p w14:paraId="0143B386">
            <w:pPr>
              <w:spacing w:line="320" w:lineRule="exact"/>
              <w:rPr>
                <w:rFonts w:hint="eastAsia"/>
                <w:sz w:val="21"/>
                <w:szCs w:val="21"/>
              </w:rPr>
            </w:pPr>
            <w:r>
              <w:rPr>
                <w:rFonts w:hint="eastAsia"/>
                <w:sz w:val="21"/>
                <w:szCs w:val="21"/>
              </w:rPr>
              <w:t>电缆工程专用项，未采用可靠的消防和接地设施，每处扣0.5分.</w:t>
            </w:r>
          </w:p>
        </w:tc>
        <w:tc>
          <w:tcPr>
            <w:tcW w:w="484" w:type="pct"/>
            <w:vAlign w:val="center"/>
          </w:tcPr>
          <w:p w14:paraId="1D4AC378">
            <w:pPr>
              <w:spacing w:line="320" w:lineRule="exact"/>
              <w:jc w:val="center"/>
              <w:rPr>
                <w:rFonts w:hint="eastAsia"/>
                <w:sz w:val="21"/>
                <w:szCs w:val="21"/>
              </w:rPr>
            </w:pPr>
            <w:r>
              <w:rPr>
                <w:rFonts w:hint="eastAsia"/>
                <w:sz w:val="21"/>
                <w:szCs w:val="21"/>
              </w:rPr>
              <w:t>1</w:t>
            </w:r>
          </w:p>
        </w:tc>
        <w:tc>
          <w:tcPr>
            <w:tcW w:w="488" w:type="pct"/>
            <w:vAlign w:val="center"/>
          </w:tcPr>
          <w:p w14:paraId="58399761">
            <w:pPr>
              <w:spacing w:line="320" w:lineRule="exact"/>
              <w:jc w:val="center"/>
              <w:rPr>
                <w:rFonts w:hint="eastAsia"/>
                <w:sz w:val="21"/>
                <w:szCs w:val="21"/>
              </w:rPr>
            </w:pPr>
          </w:p>
        </w:tc>
      </w:tr>
      <w:tr w14:paraId="67B097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7AAE3EF">
            <w:pPr>
              <w:spacing w:line="320" w:lineRule="exact"/>
              <w:jc w:val="center"/>
              <w:rPr>
                <w:rFonts w:hint="eastAsia"/>
                <w:sz w:val="21"/>
                <w:szCs w:val="21"/>
              </w:rPr>
            </w:pPr>
            <w:r>
              <w:rPr>
                <w:rFonts w:hint="eastAsia"/>
                <w:sz w:val="21"/>
                <w:szCs w:val="21"/>
              </w:rPr>
              <w:t>14</w:t>
            </w:r>
          </w:p>
        </w:tc>
        <w:tc>
          <w:tcPr>
            <w:tcW w:w="1771" w:type="pct"/>
            <w:vAlign w:val="center"/>
          </w:tcPr>
          <w:p w14:paraId="71F736F1">
            <w:pPr>
              <w:spacing w:line="320" w:lineRule="exact"/>
              <w:rPr>
                <w:rFonts w:hint="eastAsia"/>
                <w:sz w:val="21"/>
                <w:szCs w:val="21"/>
              </w:rPr>
            </w:pPr>
            <w:r>
              <w:rPr>
                <w:sz w:val="21"/>
                <w:szCs w:val="21"/>
              </w:rPr>
              <w:t>海底电缆应根据海底地质和海洋环境明确敷设方式及对应敷设区域。</w:t>
            </w:r>
          </w:p>
        </w:tc>
        <w:tc>
          <w:tcPr>
            <w:tcW w:w="1892" w:type="pct"/>
            <w:vAlign w:val="center"/>
          </w:tcPr>
          <w:p w14:paraId="3403A3C7">
            <w:pPr>
              <w:spacing w:line="320" w:lineRule="exact"/>
              <w:rPr>
                <w:rFonts w:hint="eastAsia"/>
                <w:sz w:val="21"/>
                <w:szCs w:val="21"/>
              </w:rPr>
            </w:pPr>
            <w:r>
              <w:rPr>
                <w:rFonts w:hint="eastAsia"/>
                <w:sz w:val="21"/>
                <w:szCs w:val="21"/>
              </w:rPr>
              <w:t>海底电缆工程专用项，电缆路径设计应统筹兼顾，做到技术可行、安全适用、环境友好、经济合理，未开展多路径方案比选，扣0.5分；路径方案比选不合理或缺乏针对性，扣0.5分。</w:t>
            </w:r>
          </w:p>
          <w:p w14:paraId="0AAED63F">
            <w:pPr>
              <w:pStyle w:val="57"/>
              <w:ind w:left="2880"/>
              <w:rPr>
                <w:rFonts w:hint="eastAsia" w:hAnsi="宋体" w:cs="Times New Roman"/>
                <w:color w:val="auto"/>
                <w:kern w:val="2"/>
                <w:sz w:val="21"/>
                <w:szCs w:val="21"/>
              </w:rPr>
            </w:pPr>
            <w:r>
              <w:rPr>
                <w:rFonts w:hint="eastAsia" w:hAnsi="宋体" w:cs="Times New Roman"/>
                <w:color w:val="auto"/>
                <w:kern w:val="2"/>
                <w:sz w:val="21"/>
                <w:szCs w:val="21"/>
              </w:rPr>
              <w:t>电缆路径设计应综合考虑各类因素（路径长度、环境保护、海洋环境、施工便捷、运行可靠和维护方便），优化电缆通道，提高材料使用率。电缆段长设计长度不足，扣0.5分；材料表所列电缆长度超出实际测量长度10%，每处扣0.5分。</w:t>
            </w:r>
          </w:p>
          <w:p w14:paraId="705DF744">
            <w:pPr>
              <w:spacing w:line="320" w:lineRule="exact"/>
              <w:rPr>
                <w:rFonts w:hint="eastAsia"/>
                <w:sz w:val="21"/>
                <w:szCs w:val="21"/>
              </w:rPr>
            </w:pPr>
          </w:p>
        </w:tc>
        <w:tc>
          <w:tcPr>
            <w:tcW w:w="484" w:type="pct"/>
            <w:vAlign w:val="center"/>
          </w:tcPr>
          <w:p w14:paraId="5FE3D760">
            <w:pPr>
              <w:spacing w:line="320" w:lineRule="exact"/>
              <w:jc w:val="center"/>
              <w:rPr>
                <w:rFonts w:hint="eastAsia"/>
                <w:sz w:val="21"/>
                <w:szCs w:val="21"/>
              </w:rPr>
            </w:pPr>
            <w:r>
              <w:rPr>
                <w:rFonts w:hint="eastAsia"/>
                <w:sz w:val="21"/>
                <w:szCs w:val="21"/>
              </w:rPr>
              <w:t>1</w:t>
            </w:r>
          </w:p>
        </w:tc>
        <w:tc>
          <w:tcPr>
            <w:tcW w:w="488" w:type="pct"/>
            <w:vAlign w:val="center"/>
          </w:tcPr>
          <w:p w14:paraId="42CA5877">
            <w:pPr>
              <w:spacing w:line="320" w:lineRule="exact"/>
              <w:jc w:val="center"/>
              <w:rPr>
                <w:rFonts w:hint="eastAsia"/>
                <w:sz w:val="21"/>
                <w:szCs w:val="21"/>
              </w:rPr>
            </w:pPr>
          </w:p>
        </w:tc>
      </w:tr>
      <w:tr w14:paraId="65503A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CBEA976">
            <w:pPr>
              <w:spacing w:line="320" w:lineRule="exact"/>
              <w:jc w:val="center"/>
              <w:rPr>
                <w:rFonts w:hint="eastAsia"/>
                <w:sz w:val="21"/>
                <w:szCs w:val="21"/>
              </w:rPr>
            </w:pPr>
            <w:r>
              <w:rPr>
                <w:rFonts w:hint="eastAsia"/>
                <w:sz w:val="21"/>
                <w:szCs w:val="21"/>
              </w:rPr>
              <w:t>15</w:t>
            </w:r>
          </w:p>
        </w:tc>
        <w:tc>
          <w:tcPr>
            <w:tcW w:w="1771" w:type="pct"/>
            <w:vAlign w:val="center"/>
          </w:tcPr>
          <w:p w14:paraId="39780C34">
            <w:pPr>
              <w:spacing w:line="320" w:lineRule="exact"/>
              <w:rPr>
                <w:rFonts w:hint="eastAsia"/>
                <w:sz w:val="21"/>
                <w:szCs w:val="21"/>
              </w:rPr>
            </w:pPr>
            <w:r>
              <w:rPr>
                <w:sz w:val="21"/>
                <w:szCs w:val="21"/>
              </w:rPr>
              <w:t>海底电缆应具有径向阻水与纵向阻水的结构或措施。并应具有满足使用条件的铠装结构。</w:t>
            </w:r>
          </w:p>
        </w:tc>
        <w:tc>
          <w:tcPr>
            <w:tcW w:w="1892" w:type="pct"/>
            <w:vAlign w:val="center"/>
          </w:tcPr>
          <w:p w14:paraId="4D78F5F1">
            <w:pPr>
              <w:spacing w:line="320" w:lineRule="exact"/>
              <w:rPr>
                <w:rFonts w:hint="eastAsia"/>
                <w:sz w:val="21"/>
                <w:szCs w:val="21"/>
              </w:rPr>
            </w:pPr>
            <w:r>
              <w:rPr>
                <w:rFonts w:hint="eastAsia"/>
                <w:sz w:val="21"/>
                <w:szCs w:val="21"/>
              </w:rPr>
              <w:t>海底电缆工程专用项，未设置阻水结构或措施，扣0.5分，未设置铠装结构，扣0.5分。</w:t>
            </w:r>
          </w:p>
        </w:tc>
        <w:tc>
          <w:tcPr>
            <w:tcW w:w="484" w:type="pct"/>
            <w:vAlign w:val="center"/>
          </w:tcPr>
          <w:p w14:paraId="347FEA3B">
            <w:pPr>
              <w:spacing w:line="320" w:lineRule="exact"/>
              <w:jc w:val="center"/>
              <w:rPr>
                <w:rFonts w:hint="eastAsia"/>
                <w:sz w:val="21"/>
                <w:szCs w:val="21"/>
              </w:rPr>
            </w:pPr>
            <w:r>
              <w:rPr>
                <w:rFonts w:hint="eastAsia"/>
                <w:sz w:val="21"/>
                <w:szCs w:val="21"/>
              </w:rPr>
              <w:t>1</w:t>
            </w:r>
          </w:p>
        </w:tc>
        <w:tc>
          <w:tcPr>
            <w:tcW w:w="488" w:type="pct"/>
            <w:vAlign w:val="center"/>
          </w:tcPr>
          <w:p w14:paraId="2A499E72">
            <w:pPr>
              <w:spacing w:line="320" w:lineRule="exact"/>
              <w:jc w:val="center"/>
              <w:rPr>
                <w:rFonts w:hint="eastAsia"/>
                <w:sz w:val="21"/>
                <w:szCs w:val="21"/>
              </w:rPr>
            </w:pPr>
          </w:p>
        </w:tc>
      </w:tr>
      <w:tr w14:paraId="6648B3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1CFFF3B">
            <w:pPr>
              <w:spacing w:line="320" w:lineRule="exact"/>
              <w:jc w:val="center"/>
              <w:rPr>
                <w:rFonts w:hint="eastAsia"/>
                <w:sz w:val="21"/>
                <w:szCs w:val="21"/>
              </w:rPr>
            </w:pPr>
            <w:r>
              <w:rPr>
                <w:rFonts w:hint="eastAsia"/>
                <w:sz w:val="21"/>
                <w:szCs w:val="21"/>
              </w:rPr>
              <w:t>16</w:t>
            </w:r>
          </w:p>
        </w:tc>
        <w:tc>
          <w:tcPr>
            <w:tcW w:w="1771" w:type="pct"/>
            <w:vAlign w:val="center"/>
          </w:tcPr>
          <w:p w14:paraId="337F5399">
            <w:pPr>
              <w:spacing w:line="320" w:lineRule="exact"/>
              <w:rPr>
                <w:rFonts w:hint="eastAsia"/>
                <w:sz w:val="21"/>
                <w:szCs w:val="21"/>
              </w:rPr>
            </w:pPr>
            <w:r>
              <w:rPr>
                <w:sz w:val="21"/>
                <w:szCs w:val="21"/>
              </w:rPr>
              <w:t>锚固装置应能有效固定海底电缆，并应具有较强的抵御风浪冲击的能力和较好的耐海水腐蚀性能，安装与维护方便、功能可靠。</w:t>
            </w:r>
          </w:p>
        </w:tc>
        <w:tc>
          <w:tcPr>
            <w:tcW w:w="1892" w:type="pct"/>
            <w:vAlign w:val="center"/>
          </w:tcPr>
          <w:p w14:paraId="36B6F444">
            <w:pPr>
              <w:spacing w:line="320" w:lineRule="exact"/>
              <w:rPr>
                <w:rFonts w:hint="eastAsia"/>
                <w:sz w:val="21"/>
                <w:szCs w:val="21"/>
              </w:rPr>
            </w:pPr>
            <w:r>
              <w:rPr>
                <w:rFonts w:hint="eastAsia"/>
                <w:sz w:val="21"/>
                <w:szCs w:val="21"/>
              </w:rPr>
              <w:t>海底电缆工程专用项，未设置锚固装置，扣1分，锚固装置性能不符合要求，扣0.5分。</w:t>
            </w:r>
          </w:p>
        </w:tc>
        <w:tc>
          <w:tcPr>
            <w:tcW w:w="484" w:type="pct"/>
            <w:vAlign w:val="center"/>
          </w:tcPr>
          <w:p w14:paraId="23C5ACD2">
            <w:pPr>
              <w:spacing w:line="320" w:lineRule="exact"/>
              <w:jc w:val="center"/>
              <w:rPr>
                <w:rFonts w:hint="eastAsia"/>
                <w:sz w:val="21"/>
                <w:szCs w:val="21"/>
              </w:rPr>
            </w:pPr>
            <w:r>
              <w:rPr>
                <w:rFonts w:hint="eastAsia"/>
                <w:sz w:val="21"/>
                <w:szCs w:val="21"/>
              </w:rPr>
              <w:t>1</w:t>
            </w:r>
          </w:p>
        </w:tc>
        <w:tc>
          <w:tcPr>
            <w:tcW w:w="488" w:type="pct"/>
            <w:vAlign w:val="center"/>
          </w:tcPr>
          <w:p w14:paraId="7183BF24">
            <w:pPr>
              <w:spacing w:line="320" w:lineRule="exact"/>
              <w:jc w:val="center"/>
              <w:rPr>
                <w:rFonts w:hint="eastAsia"/>
                <w:sz w:val="21"/>
                <w:szCs w:val="21"/>
              </w:rPr>
            </w:pPr>
          </w:p>
        </w:tc>
      </w:tr>
      <w:tr w14:paraId="1C69B2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E1C07CE">
            <w:pPr>
              <w:adjustRightInd w:val="0"/>
              <w:snapToGrid w:val="0"/>
              <w:jc w:val="center"/>
              <w:rPr>
                <w:rFonts w:hint="eastAsia"/>
                <w:bCs/>
                <w:color w:val="000000"/>
                <w:sz w:val="21"/>
                <w:szCs w:val="21"/>
              </w:rPr>
            </w:pPr>
            <w:r>
              <w:rPr>
                <w:rFonts w:hint="eastAsia"/>
                <w:b/>
                <w:color w:val="000000"/>
                <w:sz w:val="21"/>
                <w:szCs w:val="21"/>
              </w:rPr>
              <w:t>5.5.2</w:t>
            </w:r>
          </w:p>
        </w:tc>
        <w:tc>
          <w:tcPr>
            <w:tcW w:w="1771" w:type="pct"/>
            <w:vAlign w:val="center"/>
          </w:tcPr>
          <w:p w14:paraId="6464216E">
            <w:pPr>
              <w:textAlignment w:val="center"/>
              <w:rPr>
                <w:rFonts w:hint="eastAsia"/>
                <w:bCs/>
                <w:color w:val="000000"/>
                <w:sz w:val="21"/>
                <w:szCs w:val="21"/>
              </w:rPr>
            </w:pPr>
            <w:r>
              <w:rPr>
                <w:rFonts w:hint="eastAsia"/>
                <w:b/>
                <w:color w:val="000000"/>
                <w:sz w:val="21"/>
                <w:szCs w:val="21"/>
              </w:rPr>
              <w:t>资源节约</w:t>
            </w:r>
          </w:p>
        </w:tc>
        <w:tc>
          <w:tcPr>
            <w:tcW w:w="1892" w:type="pct"/>
            <w:vAlign w:val="center"/>
          </w:tcPr>
          <w:p w14:paraId="7063709E">
            <w:pPr>
              <w:textAlignment w:val="center"/>
              <w:rPr>
                <w:rFonts w:hint="eastAsia"/>
                <w:bCs/>
                <w:color w:val="000000"/>
                <w:sz w:val="21"/>
                <w:szCs w:val="21"/>
              </w:rPr>
            </w:pPr>
          </w:p>
        </w:tc>
        <w:tc>
          <w:tcPr>
            <w:tcW w:w="484" w:type="pct"/>
            <w:vAlign w:val="center"/>
          </w:tcPr>
          <w:p w14:paraId="31E460AD">
            <w:pPr>
              <w:adjustRightInd w:val="0"/>
              <w:snapToGrid w:val="0"/>
              <w:jc w:val="center"/>
              <w:rPr>
                <w:rFonts w:hint="eastAsia"/>
                <w:bCs/>
                <w:color w:val="000000"/>
                <w:sz w:val="21"/>
                <w:szCs w:val="21"/>
              </w:rPr>
            </w:pPr>
          </w:p>
        </w:tc>
        <w:tc>
          <w:tcPr>
            <w:tcW w:w="488" w:type="pct"/>
            <w:vAlign w:val="center"/>
          </w:tcPr>
          <w:p w14:paraId="215D8951">
            <w:pPr>
              <w:adjustRightInd w:val="0"/>
              <w:snapToGrid w:val="0"/>
              <w:jc w:val="center"/>
              <w:rPr>
                <w:rFonts w:hint="eastAsia"/>
                <w:bCs/>
                <w:color w:val="000000"/>
                <w:sz w:val="21"/>
                <w:szCs w:val="21"/>
              </w:rPr>
            </w:pPr>
          </w:p>
        </w:tc>
      </w:tr>
      <w:tr w14:paraId="150E5F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DEA37EC">
            <w:pPr>
              <w:adjustRightInd w:val="0"/>
              <w:snapToGrid w:val="0"/>
              <w:jc w:val="center"/>
              <w:rPr>
                <w:rFonts w:hint="eastAsia"/>
                <w:bCs/>
                <w:color w:val="000000"/>
                <w:sz w:val="21"/>
                <w:szCs w:val="21"/>
              </w:rPr>
            </w:pPr>
            <w:r>
              <w:rPr>
                <w:rFonts w:hint="eastAsia"/>
                <w:bCs/>
                <w:color w:val="000000"/>
                <w:sz w:val="21"/>
                <w:szCs w:val="21"/>
              </w:rPr>
              <w:t>1</w:t>
            </w:r>
          </w:p>
        </w:tc>
        <w:tc>
          <w:tcPr>
            <w:tcW w:w="1771" w:type="pct"/>
            <w:vAlign w:val="center"/>
          </w:tcPr>
          <w:p w14:paraId="3D702D8E">
            <w:pPr>
              <w:textAlignment w:val="center"/>
              <w:rPr>
                <w:rFonts w:hint="eastAsia"/>
                <w:bCs/>
                <w:color w:val="000000"/>
                <w:sz w:val="21"/>
                <w:szCs w:val="21"/>
              </w:rPr>
            </w:pPr>
            <w:r>
              <w:rPr>
                <w:rFonts w:hint="eastAsia"/>
                <w:bCs/>
                <w:color w:val="000000"/>
                <w:sz w:val="21"/>
                <w:szCs w:val="21"/>
              </w:rPr>
              <w:t>项目用地指标优于国家、行业、地方规定的项目用地指标值。</w:t>
            </w:r>
          </w:p>
        </w:tc>
        <w:tc>
          <w:tcPr>
            <w:tcW w:w="1892" w:type="pct"/>
            <w:vAlign w:val="center"/>
          </w:tcPr>
          <w:p w14:paraId="13906BBE">
            <w:pPr>
              <w:textAlignment w:val="center"/>
              <w:rPr>
                <w:rFonts w:hint="eastAsia"/>
                <w:bCs/>
                <w:color w:val="000000"/>
                <w:sz w:val="21"/>
                <w:szCs w:val="21"/>
              </w:rPr>
            </w:pPr>
            <w:r>
              <w:rPr>
                <w:rFonts w:hint="eastAsia"/>
                <w:sz w:val="21"/>
                <w:szCs w:val="21"/>
              </w:rPr>
              <w:t>用地指标超出同类工程平均值，扣1分。</w:t>
            </w:r>
          </w:p>
        </w:tc>
        <w:tc>
          <w:tcPr>
            <w:tcW w:w="484" w:type="pct"/>
            <w:vAlign w:val="center"/>
          </w:tcPr>
          <w:p w14:paraId="2682129F">
            <w:pPr>
              <w:adjustRightInd w:val="0"/>
              <w:snapToGrid w:val="0"/>
              <w:jc w:val="center"/>
              <w:rPr>
                <w:rFonts w:hint="eastAsia"/>
                <w:bCs/>
                <w:color w:val="000000"/>
                <w:sz w:val="21"/>
                <w:szCs w:val="21"/>
              </w:rPr>
            </w:pPr>
            <w:r>
              <w:rPr>
                <w:rFonts w:hint="eastAsia"/>
                <w:bCs/>
                <w:color w:val="000000"/>
                <w:sz w:val="21"/>
                <w:szCs w:val="21"/>
              </w:rPr>
              <w:t>1</w:t>
            </w:r>
          </w:p>
        </w:tc>
        <w:tc>
          <w:tcPr>
            <w:tcW w:w="488" w:type="pct"/>
            <w:vAlign w:val="center"/>
          </w:tcPr>
          <w:p w14:paraId="671112E2">
            <w:pPr>
              <w:adjustRightInd w:val="0"/>
              <w:snapToGrid w:val="0"/>
              <w:jc w:val="center"/>
              <w:rPr>
                <w:rFonts w:hint="eastAsia"/>
                <w:bCs/>
                <w:color w:val="000000"/>
                <w:sz w:val="21"/>
                <w:szCs w:val="21"/>
              </w:rPr>
            </w:pPr>
          </w:p>
        </w:tc>
      </w:tr>
      <w:tr w14:paraId="0BA1E9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385385C">
            <w:pPr>
              <w:adjustRightInd w:val="0"/>
              <w:snapToGrid w:val="0"/>
              <w:jc w:val="center"/>
              <w:rPr>
                <w:rFonts w:hint="eastAsia"/>
                <w:bCs/>
                <w:color w:val="000000"/>
                <w:sz w:val="21"/>
                <w:szCs w:val="21"/>
              </w:rPr>
            </w:pPr>
            <w:r>
              <w:rPr>
                <w:rFonts w:hint="eastAsia"/>
                <w:bCs/>
                <w:color w:val="000000"/>
                <w:sz w:val="21"/>
                <w:szCs w:val="21"/>
              </w:rPr>
              <w:t>2</w:t>
            </w:r>
          </w:p>
        </w:tc>
        <w:tc>
          <w:tcPr>
            <w:tcW w:w="1771" w:type="pct"/>
            <w:vAlign w:val="center"/>
          </w:tcPr>
          <w:p w14:paraId="08D01E42">
            <w:pPr>
              <w:textAlignment w:val="center"/>
              <w:rPr>
                <w:rFonts w:hint="eastAsia"/>
                <w:bCs/>
                <w:color w:val="000000"/>
                <w:sz w:val="21"/>
                <w:szCs w:val="21"/>
              </w:rPr>
            </w:pPr>
            <w:r>
              <w:rPr>
                <w:rFonts w:hint="eastAsia"/>
                <w:bCs/>
                <w:color w:val="000000"/>
                <w:sz w:val="21"/>
                <w:szCs w:val="21"/>
              </w:rPr>
              <w:t>项目选用高效节能设备，先进的用能工艺，减少输变电过程中消耗，提高能源利用效率。</w:t>
            </w:r>
          </w:p>
        </w:tc>
        <w:tc>
          <w:tcPr>
            <w:tcW w:w="1892" w:type="pct"/>
            <w:vAlign w:val="center"/>
          </w:tcPr>
          <w:p w14:paraId="33256E9E">
            <w:pPr>
              <w:textAlignment w:val="center"/>
              <w:rPr>
                <w:rFonts w:hint="eastAsia"/>
                <w:sz w:val="21"/>
                <w:szCs w:val="21"/>
              </w:rPr>
            </w:pPr>
            <w:r>
              <w:rPr>
                <w:rFonts w:hint="eastAsia"/>
                <w:sz w:val="21"/>
                <w:szCs w:val="21"/>
              </w:rPr>
              <w:t>1、变电站工程：主变压器空载损耗或负载损耗值高于通用设备限定值，扣1分。</w:t>
            </w:r>
          </w:p>
          <w:p w14:paraId="3E11766B">
            <w:pPr>
              <w:textAlignment w:val="center"/>
              <w:rPr>
                <w:rFonts w:hint="eastAsia"/>
                <w:sz w:val="21"/>
                <w:szCs w:val="21"/>
              </w:rPr>
            </w:pPr>
            <w:r>
              <w:rPr>
                <w:rFonts w:hint="eastAsia"/>
                <w:sz w:val="21"/>
                <w:szCs w:val="21"/>
              </w:rPr>
              <w:t>2、架空线路工程：导、地线选型应综合考虑规划要求、电气性能、机械性能、建设运行费用等因素，实现全寿命周期线损与成本最低。</w:t>
            </w:r>
          </w:p>
          <w:p w14:paraId="3EF8CA9A">
            <w:pPr>
              <w:textAlignment w:val="center"/>
              <w:rPr>
                <w:rFonts w:hint="eastAsia"/>
                <w:sz w:val="21"/>
                <w:szCs w:val="21"/>
              </w:rPr>
            </w:pPr>
            <w:r>
              <w:rPr>
                <w:rFonts w:hint="eastAsia"/>
                <w:sz w:val="21"/>
                <w:szCs w:val="21"/>
              </w:rPr>
              <w:t>导地线选型未进行多方案技术经济比较扣1分；技术经济方案不合理或缺乏针对性，每处扣0.5分。</w:t>
            </w:r>
          </w:p>
          <w:p w14:paraId="698146B7">
            <w:pPr>
              <w:textAlignment w:val="center"/>
              <w:rPr>
                <w:rFonts w:hint="eastAsia"/>
                <w:bCs/>
                <w:color w:val="000000"/>
                <w:sz w:val="21"/>
                <w:szCs w:val="21"/>
              </w:rPr>
            </w:pPr>
            <w:r>
              <w:rPr>
                <w:rFonts w:hint="eastAsia"/>
                <w:sz w:val="21"/>
                <w:szCs w:val="21"/>
              </w:rPr>
              <w:t>4</w:t>
            </w:r>
            <w:r>
              <w:rPr>
                <w:sz w:val="21"/>
                <w:szCs w:val="21"/>
              </w:rPr>
              <w:t>、</w:t>
            </w:r>
            <w:r>
              <w:rPr>
                <w:rFonts w:hint="eastAsia"/>
                <w:sz w:val="21"/>
                <w:szCs w:val="21"/>
              </w:rPr>
              <w:t>电缆与海底电缆工程：电缆导体截面的选择应参照现行行业标准计算开展最小导体截面的选择，应满足规划载流量和通过系统最大短路电流时热稳定的要求。未计算最小导体截面的，扣0.5分；电缆截面选型错误，扣0.5分。</w:t>
            </w:r>
          </w:p>
        </w:tc>
        <w:tc>
          <w:tcPr>
            <w:tcW w:w="484" w:type="pct"/>
            <w:vAlign w:val="center"/>
          </w:tcPr>
          <w:p w14:paraId="1F82D358">
            <w:pPr>
              <w:adjustRightInd w:val="0"/>
              <w:snapToGrid w:val="0"/>
              <w:jc w:val="center"/>
              <w:rPr>
                <w:rFonts w:hint="eastAsia"/>
                <w:bCs/>
                <w:color w:val="000000"/>
                <w:sz w:val="21"/>
                <w:szCs w:val="21"/>
              </w:rPr>
            </w:pPr>
            <w:r>
              <w:rPr>
                <w:rFonts w:hint="eastAsia"/>
                <w:bCs/>
                <w:color w:val="000000"/>
                <w:sz w:val="21"/>
                <w:szCs w:val="21"/>
              </w:rPr>
              <w:t>1</w:t>
            </w:r>
          </w:p>
        </w:tc>
        <w:tc>
          <w:tcPr>
            <w:tcW w:w="488" w:type="pct"/>
            <w:vAlign w:val="center"/>
          </w:tcPr>
          <w:p w14:paraId="78F289EB">
            <w:pPr>
              <w:adjustRightInd w:val="0"/>
              <w:snapToGrid w:val="0"/>
              <w:jc w:val="center"/>
              <w:rPr>
                <w:rFonts w:hint="eastAsia"/>
                <w:bCs/>
                <w:color w:val="000000"/>
                <w:sz w:val="21"/>
                <w:szCs w:val="21"/>
              </w:rPr>
            </w:pPr>
          </w:p>
        </w:tc>
      </w:tr>
      <w:tr w14:paraId="54873F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D9A8538">
            <w:pPr>
              <w:adjustRightInd w:val="0"/>
              <w:snapToGrid w:val="0"/>
              <w:jc w:val="center"/>
              <w:rPr>
                <w:rFonts w:hint="eastAsia"/>
                <w:bCs/>
                <w:color w:val="000000"/>
                <w:sz w:val="21"/>
                <w:szCs w:val="21"/>
              </w:rPr>
            </w:pPr>
            <w:r>
              <w:rPr>
                <w:rFonts w:hint="eastAsia"/>
                <w:bCs/>
                <w:color w:val="000000"/>
                <w:sz w:val="21"/>
                <w:szCs w:val="21"/>
              </w:rPr>
              <w:t>3</w:t>
            </w:r>
          </w:p>
        </w:tc>
        <w:tc>
          <w:tcPr>
            <w:tcW w:w="1771" w:type="pct"/>
            <w:vAlign w:val="center"/>
          </w:tcPr>
          <w:p w14:paraId="0BF5AE48">
            <w:pPr>
              <w:textAlignment w:val="center"/>
              <w:rPr>
                <w:rFonts w:hint="eastAsia"/>
                <w:bCs/>
                <w:color w:val="000000"/>
                <w:sz w:val="21"/>
                <w:szCs w:val="21"/>
              </w:rPr>
            </w:pPr>
            <w:r>
              <w:rPr>
                <w:rFonts w:hint="eastAsia"/>
                <w:bCs/>
                <w:color w:val="000000"/>
                <w:sz w:val="21"/>
                <w:szCs w:val="21"/>
              </w:rPr>
              <w:t>项目</w:t>
            </w:r>
            <w:r>
              <w:rPr>
                <w:bCs/>
                <w:color w:val="000000"/>
                <w:sz w:val="21"/>
                <w:szCs w:val="21"/>
              </w:rPr>
              <w:t>选用</w:t>
            </w:r>
            <w:r>
              <w:rPr>
                <w:rFonts w:hint="eastAsia"/>
                <w:bCs/>
                <w:color w:val="000000"/>
                <w:sz w:val="21"/>
                <w:szCs w:val="21"/>
              </w:rPr>
              <w:t>绿色</w:t>
            </w:r>
            <w:r>
              <w:rPr>
                <w:bCs/>
                <w:color w:val="000000"/>
                <w:sz w:val="21"/>
                <w:szCs w:val="21"/>
              </w:rPr>
              <w:t>建材，采用高强度、高性能、高耐久性和</w:t>
            </w:r>
            <w:r>
              <w:rPr>
                <w:rFonts w:hint="eastAsia"/>
                <w:bCs/>
                <w:color w:val="000000"/>
                <w:sz w:val="21"/>
                <w:szCs w:val="21"/>
              </w:rPr>
              <w:t>可循环材料以及先进适用技术体系。</w:t>
            </w:r>
          </w:p>
        </w:tc>
        <w:tc>
          <w:tcPr>
            <w:tcW w:w="1892" w:type="pct"/>
            <w:vAlign w:val="center"/>
          </w:tcPr>
          <w:p w14:paraId="6B2BBA13">
            <w:pPr>
              <w:textAlignment w:val="center"/>
              <w:rPr>
                <w:rFonts w:hint="eastAsia"/>
                <w:bCs/>
                <w:color w:val="000000"/>
                <w:sz w:val="21"/>
                <w:szCs w:val="21"/>
              </w:rPr>
            </w:pPr>
            <w:r>
              <w:rPr>
                <w:rFonts w:hint="eastAsia"/>
                <w:sz w:val="21"/>
                <w:szCs w:val="21"/>
              </w:rPr>
              <w:t>绿色建材应用率未达到70%以上，扣1分</w:t>
            </w:r>
          </w:p>
        </w:tc>
        <w:tc>
          <w:tcPr>
            <w:tcW w:w="484" w:type="pct"/>
            <w:vAlign w:val="center"/>
          </w:tcPr>
          <w:p w14:paraId="078E5468">
            <w:pPr>
              <w:adjustRightInd w:val="0"/>
              <w:snapToGrid w:val="0"/>
              <w:jc w:val="center"/>
              <w:rPr>
                <w:rFonts w:hint="eastAsia"/>
                <w:bCs/>
                <w:color w:val="000000"/>
                <w:sz w:val="21"/>
                <w:szCs w:val="21"/>
              </w:rPr>
            </w:pPr>
            <w:r>
              <w:rPr>
                <w:rFonts w:hint="eastAsia"/>
                <w:bCs/>
                <w:color w:val="000000"/>
                <w:sz w:val="21"/>
                <w:szCs w:val="21"/>
              </w:rPr>
              <w:t>1</w:t>
            </w:r>
          </w:p>
        </w:tc>
        <w:tc>
          <w:tcPr>
            <w:tcW w:w="488" w:type="pct"/>
            <w:vAlign w:val="center"/>
          </w:tcPr>
          <w:p w14:paraId="7A48C3AA">
            <w:pPr>
              <w:adjustRightInd w:val="0"/>
              <w:snapToGrid w:val="0"/>
              <w:jc w:val="center"/>
              <w:rPr>
                <w:rFonts w:hint="eastAsia"/>
                <w:bCs/>
                <w:color w:val="000000"/>
                <w:sz w:val="21"/>
                <w:szCs w:val="21"/>
              </w:rPr>
            </w:pPr>
          </w:p>
        </w:tc>
      </w:tr>
      <w:tr w14:paraId="153671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3907DD6">
            <w:pPr>
              <w:adjustRightInd w:val="0"/>
              <w:snapToGrid w:val="0"/>
              <w:jc w:val="center"/>
              <w:rPr>
                <w:rFonts w:hint="eastAsia"/>
                <w:bCs/>
                <w:color w:val="000000"/>
                <w:sz w:val="21"/>
                <w:szCs w:val="21"/>
              </w:rPr>
            </w:pPr>
            <w:r>
              <w:rPr>
                <w:rFonts w:hint="eastAsia"/>
                <w:bCs/>
                <w:color w:val="000000"/>
                <w:sz w:val="21"/>
                <w:szCs w:val="21"/>
              </w:rPr>
              <w:t>4</w:t>
            </w:r>
          </w:p>
        </w:tc>
        <w:tc>
          <w:tcPr>
            <w:tcW w:w="1771" w:type="pct"/>
            <w:vAlign w:val="center"/>
          </w:tcPr>
          <w:p w14:paraId="393873AD">
            <w:pPr>
              <w:textAlignment w:val="center"/>
              <w:rPr>
                <w:rFonts w:hint="eastAsia"/>
                <w:bCs/>
                <w:color w:val="000000"/>
                <w:sz w:val="21"/>
                <w:szCs w:val="21"/>
              </w:rPr>
            </w:pPr>
            <w:r>
              <w:rPr>
                <w:rFonts w:hint="eastAsia"/>
                <w:bCs/>
                <w:color w:val="000000"/>
                <w:sz w:val="21"/>
                <w:szCs w:val="21"/>
              </w:rPr>
              <w:t>钢材、水泥和电缆等消耗量省，同比达到国内先进水平。</w:t>
            </w:r>
          </w:p>
        </w:tc>
        <w:tc>
          <w:tcPr>
            <w:tcW w:w="1892" w:type="pct"/>
            <w:vAlign w:val="center"/>
          </w:tcPr>
          <w:p w14:paraId="45BA9421">
            <w:pPr>
              <w:textAlignment w:val="center"/>
              <w:rPr>
                <w:rFonts w:hint="eastAsia"/>
                <w:bCs/>
                <w:color w:val="000000"/>
                <w:sz w:val="21"/>
                <w:szCs w:val="21"/>
              </w:rPr>
            </w:pPr>
            <w:r>
              <w:rPr>
                <w:rFonts w:hint="eastAsia"/>
                <w:sz w:val="21"/>
                <w:szCs w:val="21"/>
              </w:rPr>
              <w:t>钢材、混凝土、电缆用量超出同类、同规模项目平均值，扣1分。</w:t>
            </w:r>
          </w:p>
        </w:tc>
        <w:tc>
          <w:tcPr>
            <w:tcW w:w="484" w:type="pct"/>
            <w:vAlign w:val="center"/>
          </w:tcPr>
          <w:p w14:paraId="21D19F7D">
            <w:pPr>
              <w:adjustRightInd w:val="0"/>
              <w:snapToGrid w:val="0"/>
              <w:jc w:val="center"/>
              <w:rPr>
                <w:rFonts w:hint="eastAsia"/>
                <w:bCs/>
                <w:color w:val="000000"/>
                <w:sz w:val="21"/>
                <w:szCs w:val="21"/>
              </w:rPr>
            </w:pPr>
            <w:r>
              <w:rPr>
                <w:rFonts w:hint="eastAsia"/>
                <w:bCs/>
                <w:color w:val="000000"/>
                <w:sz w:val="21"/>
                <w:szCs w:val="21"/>
              </w:rPr>
              <w:t>1</w:t>
            </w:r>
          </w:p>
        </w:tc>
        <w:tc>
          <w:tcPr>
            <w:tcW w:w="488" w:type="pct"/>
            <w:vAlign w:val="center"/>
          </w:tcPr>
          <w:p w14:paraId="01E04EAA">
            <w:pPr>
              <w:adjustRightInd w:val="0"/>
              <w:snapToGrid w:val="0"/>
              <w:jc w:val="center"/>
              <w:rPr>
                <w:rFonts w:hint="eastAsia"/>
                <w:bCs/>
                <w:color w:val="000000"/>
                <w:sz w:val="21"/>
                <w:szCs w:val="21"/>
              </w:rPr>
            </w:pPr>
          </w:p>
        </w:tc>
      </w:tr>
      <w:tr w14:paraId="079EFA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4AC251F">
            <w:pPr>
              <w:adjustRightInd w:val="0"/>
              <w:snapToGrid w:val="0"/>
              <w:jc w:val="center"/>
              <w:rPr>
                <w:rFonts w:hint="eastAsia"/>
                <w:bCs/>
                <w:color w:val="000000"/>
                <w:sz w:val="21"/>
                <w:szCs w:val="21"/>
              </w:rPr>
            </w:pPr>
            <w:r>
              <w:rPr>
                <w:rFonts w:hint="eastAsia"/>
                <w:bCs/>
                <w:color w:val="000000"/>
                <w:sz w:val="21"/>
                <w:szCs w:val="21"/>
              </w:rPr>
              <w:t>5</w:t>
            </w:r>
          </w:p>
        </w:tc>
        <w:tc>
          <w:tcPr>
            <w:tcW w:w="1771" w:type="pct"/>
            <w:vAlign w:val="center"/>
          </w:tcPr>
          <w:p w14:paraId="3B18F1E6">
            <w:pPr>
              <w:textAlignment w:val="center"/>
              <w:rPr>
                <w:rFonts w:hint="eastAsia"/>
                <w:bCs/>
                <w:color w:val="000000"/>
                <w:sz w:val="21"/>
                <w:szCs w:val="21"/>
              </w:rPr>
            </w:pPr>
            <w:r>
              <w:rPr>
                <w:rFonts w:hint="eastAsia"/>
                <w:bCs/>
                <w:color w:val="000000"/>
                <w:sz w:val="21"/>
                <w:szCs w:val="21"/>
              </w:rPr>
              <w:t>变电站（换流站）建筑内变压器能效不低于国家现行相关能效标准的2级值。</w:t>
            </w:r>
          </w:p>
        </w:tc>
        <w:tc>
          <w:tcPr>
            <w:tcW w:w="1892" w:type="pct"/>
            <w:vAlign w:val="center"/>
          </w:tcPr>
          <w:p w14:paraId="4704E403">
            <w:pPr>
              <w:textAlignment w:val="center"/>
              <w:rPr>
                <w:rFonts w:hint="eastAsia"/>
                <w:bCs/>
                <w:color w:val="000000"/>
                <w:sz w:val="21"/>
                <w:szCs w:val="21"/>
              </w:rPr>
            </w:pPr>
            <w:r>
              <w:rPr>
                <w:rFonts w:hint="eastAsia"/>
                <w:sz w:val="21"/>
                <w:szCs w:val="21"/>
              </w:rPr>
              <w:t>变电站工程专用项，未达到此标准，扣1分</w:t>
            </w:r>
          </w:p>
        </w:tc>
        <w:tc>
          <w:tcPr>
            <w:tcW w:w="484" w:type="pct"/>
            <w:vAlign w:val="center"/>
          </w:tcPr>
          <w:p w14:paraId="21AC30AA">
            <w:pPr>
              <w:adjustRightInd w:val="0"/>
              <w:snapToGrid w:val="0"/>
              <w:jc w:val="center"/>
              <w:rPr>
                <w:rFonts w:hint="eastAsia"/>
                <w:bCs/>
                <w:color w:val="000000"/>
                <w:sz w:val="21"/>
                <w:szCs w:val="21"/>
              </w:rPr>
            </w:pPr>
            <w:r>
              <w:rPr>
                <w:rFonts w:hint="eastAsia"/>
                <w:bCs/>
                <w:color w:val="000000"/>
                <w:sz w:val="21"/>
                <w:szCs w:val="21"/>
              </w:rPr>
              <w:t>1</w:t>
            </w:r>
          </w:p>
        </w:tc>
        <w:tc>
          <w:tcPr>
            <w:tcW w:w="488" w:type="pct"/>
            <w:vAlign w:val="center"/>
          </w:tcPr>
          <w:p w14:paraId="65D3C0F9">
            <w:pPr>
              <w:adjustRightInd w:val="0"/>
              <w:snapToGrid w:val="0"/>
              <w:jc w:val="center"/>
              <w:rPr>
                <w:rFonts w:hint="eastAsia"/>
                <w:bCs/>
                <w:color w:val="000000"/>
                <w:sz w:val="21"/>
                <w:szCs w:val="21"/>
              </w:rPr>
            </w:pPr>
          </w:p>
        </w:tc>
      </w:tr>
      <w:tr w14:paraId="441054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9079AD4">
            <w:pPr>
              <w:adjustRightInd w:val="0"/>
              <w:snapToGrid w:val="0"/>
              <w:jc w:val="center"/>
              <w:rPr>
                <w:rFonts w:hint="eastAsia"/>
                <w:bCs/>
                <w:color w:val="000000"/>
                <w:sz w:val="21"/>
                <w:szCs w:val="21"/>
              </w:rPr>
            </w:pPr>
            <w:r>
              <w:rPr>
                <w:rFonts w:hint="eastAsia"/>
                <w:bCs/>
                <w:color w:val="000000"/>
                <w:sz w:val="21"/>
                <w:szCs w:val="21"/>
              </w:rPr>
              <w:t>6</w:t>
            </w:r>
          </w:p>
        </w:tc>
        <w:tc>
          <w:tcPr>
            <w:tcW w:w="1771" w:type="pct"/>
            <w:vAlign w:val="center"/>
          </w:tcPr>
          <w:p w14:paraId="33CB9E7E">
            <w:pPr>
              <w:textAlignment w:val="center"/>
              <w:rPr>
                <w:rFonts w:hint="eastAsia"/>
                <w:bCs/>
                <w:color w:val="000000"/>
                <w:sz w:val="21"/>
                <w:szCs w:val="21"/>
              </w:rPr>
            </w:pPr>
            <w:r>
              <w:rPr>
                <w:rFonts w:hint="eastAsia"/>
                <w:bCs/>
                <w:color w:val="000000"/>
                <w:sz w:val="21"/>
                <w:szCs w:val="21"/>
              </w:rPr>
              <w:t>变电站（换流站）建筑内</w:t>
            </w:r>
            <w:r>
              <w:rPr>
                <w:bCs/>
                <w:color w:val="000000"/>
                <w:sz w:val="21"/>
                <w:szCs w:val="21"/>
              </w:rPr>
              <w:t>照明光源、灯具的能效不低于国家现行相关能效标准的节能评价值或2级值</w:t>
            </w:r>
            <w:r>
              <w:rPr>
                <w:rFonts w:hint="eastAsia"/>
                <w:bCs/>
                <w:color w:val="000000"/>
                <w:sz w:val="21"/>
                <w:szCs w:val="21"/>
              </w:rPr>
              <w:t>，并</w:t>
            </w:r>
            <w:r>
              <w:rPr>
                <w:bCs/>
                <w:color w:val="000000"/>
                <w:sz w:val="21"/>
                <w:szCs w:val="21"/>
              </w:rPr>
              <w:t>采用适宜的智能照明控制系统。</w:t>
            </w:r>
          </w:p>
        </w:tc>
        <w:tc>
          <w:tcPr>
            <w:tcW w:w="1892" w:type="pct"/>
            <w:vAlign w:val="center"/>
          </w:tcPr>
          <w:p w14:paraId="258C1BC5">
            <w:pPr>
              <w:textAlignment w:val="center"/>
              <w:rPr>
                <w:rFonts w:hint="eastAsia"/>
                <w:sz w:val="21"/>
                <w:szCs w:val="21"/>
              </w:rPr>
            </w:pPr>
            <w:r>
              <w:rPr>
                <w:rFonts w:hint="eastAsia"/>
                <w:sz w:val="21"/>
                <w:szCs w:val="21"/>
              </w:rPr>
              <w:t>变电站工程专用项，未达到此标准，扣1分.</w:t>
            </w:r>
          </w:p>
          <w:p w14:paraId="0B121FCC">
            <w:pPr>
              <w:pStyle w:val="57"/>
              <w:ind w:left="2880"/>
              <w:rPr>
                <w:rFonts w:hint="eastAsia" w:hAnsi="宋体" w:cs="Times New Roman"/>
                <w:color w:val="auto"/>
                <w:kern w:val="2"/>
                <w:sz w:val="21"/>
                <w:szCs w:val="21"/>
              </w:rPr>
            </w:pPr>
            <w:r>
              <w:rPr>
                <w:rFonts w:hint="eastAsia" w:hAnsi="宋体" w:cs="Times New Roman"/>
                <w:color w:val="auto"/>
                <w:kern w:val="2"/>
                <w:sz w:val="21"/>
                <w:szCs w:val="21"/>
              </w:rPr>
              <w:t>灯具选型应选用配光合理、防止眩光的节能环保灯具，优先考虑LED灯具。灯具效率应满足现行GB 50034《建筑照明设计标准》和DL/T 5390《发电厂和变电站照明设计技术规定》，采用非节能型灯具，每处扣1分；灯具效率不满足国家现行标准，每处扣0.5分。</w:t>
            </w:r>
          </w:p>
          <w:p w14:paraId="515A96AC">
            <w:pPr>
              <w:pStyle w:val="57"/>
              <w:ind w:left="2880"/>
              <w:rPr>
                <w:rFonts w:hint="eastAsia" w:hAnsi="宋体" w:cs="Times New Roman"/>
                <w:color w:val="auto"/>
                <w:kern w:val="2"/>
                <w:sz w:val="21"/>
                <w:szCs w:val="21"/>
              </w:rPr>
            </w:pPr>
            <w:r>
              <w:rPr>
                <w:rFonts w:hint="eastAsia" w:hAnsi="宋体" w:cs="Times New Roman"/>
                <w:color w:val="auto"/>
                <w:kern w:val="2"/>
                <w:sz w:val="21"/>
                <w:szCs w:val="21"/>
              </w:rPr>
              <w:t>主要功能房间的照明功率密度值不应大于GB 50034《建筑照明设计标准》和DL/T 5390《发电厂和变电站照明设计技术规定》的现行值。主要功能房间照明功率密度大于照明设计规范现行值，每处扣0.5分</w:t>
            </w:r>
          </w:p>
          <w:p w14:paraId="1B531BDA">
            <w:pPr>
              <w:textAlignment w:val="center"/>
              <w:rPr>
                <w:rFonts w:hint="eastAsia"/>
                <w:bCs/>
                <w:color w:val="000000"/>
                <w:sz w:val="21"/>
                <w:szCs w:val="21"/>
              </w:rPr>
            </w:pPr>
          </w:p>
        </w:tc>
        <w:tc>
          <w:tcPr>
            <w:tcW w:w="484" w:type="pct"/>
            <w:vAlign w:val="center"/>
          </w:tcPr>
          <w:p w14:paraId="5E604C17">
            <w:pPr>
              <w:adjustRightInd w:val="0"/>
              <w:snapToGrid w:val="0"/>
              <w:jc w:val="center"/>
              <w:rPr>
                <w:rFonts w:hint="eastAsia"/>
                <w:bCs/>
                <w:color w:val="000000"/>
                <w:sz w:val="21"/>
                <w:szCs w:val="21"/>
              </w:rPr>
            </w:pPr>
            <w:r>
              <w:rPr>
                <w:rFonts w:hint="eastAsia"/>
                <w:bCs/>
                <w:color w:val="000000"/>
                <w:sz w:val="21"/>
                <w:szCs w:val="21"/>
              </w:rPr>
              <w:t>2</w:t>
            </w:r>
          </w:p>
        </w:tc>
        <w:tc>
          <w:tcPr>
            <w:tcW w:w="488" w:type="pct"/>
            <w:vAlign w:val="center"/>
          </w:tcPr>
          <w:p w14:paraId="2F53FCA7">
            <w:pPr>
              <w:adjustRightInd w:val="0"/>
              <w:snapToGrid w:val="0"/>
              <w:jc w:val="center"/>
              <w:rPr>
                <w:rFonts w:hint="eastAsia"/>
                <w:bCs/>
                <w:color w:val="000000"/>
                <w:sz w:val="21"/>
                <w:szCs w:val="21"/>
              </w:rPr>
            </w:pPr>
          </w:p>
        </w:tc>
      </w:tr>
      <w:tr w14:paraId="402D0A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187B248">
            <w:pPr>
              <w:adjustRightInd w:val="0"/>
              <w:snapToGrid w:val="0"/>
              <w:jc w:val="center"/>
              <w:rPr>
                <w:rFonts w:hint="eastAsia"/>
                <w:bCs/>
                <w:color w:val="000000"/>
                <w:sz w:val="21"/>
                <w:szCs w:val="21"/>
              </w:rPr>
            </w:pPr>
            <w:r>
              <w:rPr>
                <w:rFonts w:hint="eastAsia"/>
                <w:bCs/>
                <w:color w:val="000000"/>
                <w:sz w:val="21"/>
                <w:szCs w:val="21"/>
              </w:rPr>
              <w:t>7</w:t>
            </w:r>
          </w:p>
        </w:tc>
        <w:tc>
          <w:tcPr>
            <w:tcW w:w="1771" w:type="pct"/>
            <w:vAlign w:val="center"/>
          </w:tcPr>
          <w:p w14:paraId="0DCF5BEF">
            <w:pPr>
              <w:textAlignment w:val="center"/>
              <w:rPr>
                <w:rFonts w:hint="eastAsia"/>
                <w:bCs/>
                <w:color w:val="000000"/>
                <w:sz w:val="21"/>
                <w:szCs w:val="21"/>
              </w:rPr>
            </w:pPr>
            <w:r>
              <w:rPr>
                <w:rFonts w:hint="eastAsia"/>
                <w:bCs/>
                <w:color w:val="000000"/>
                <w:sz w:val="21"/>
                <w:szCs w:val="21"/>
              </w:rPr>
              <w:t>变电站（换流站）建筑围护结构热工设计先进合理。</w:t>
            </w:r>
          </w:p>
        </w:tc>
        <w:tc>
          <w:tcPr>
            <w:tcW w:w="1892" w:type="pct"/>
            <w:vAlign w:val="center"/>
          </w:tcPr>
          <w:p w14:paraId="6706A940">
            <w:pPr>
              <w:textAlignment w:val="center"/>
              <w:rPr>
                <w:rFonts w:hint="eastAsia"/>
                <w:sz w:val="21"/>
                <w:szCs w:val="21"/>
              </w:rPr>
            </w:pPr>
            <w:r>
              <w:rPr>
                <w:rFonts w:hint="eastAsia"/>
                <w:sz w:val="21"/>
                <w:szCs w:val="21"/>
              </w:rPr>
              <w:t>变电站工程专用项，建筑物内隔墙型式宜采用装配式轻质隔墙，使用新型、环保建筑材料，考虑节能环保、防火、防潮隔热等相关措施。内隔墙未使用装配式轻质隔墙，扣1分；未考虑节能环保、防火、防潮隔热等相关措施，每处扣0.5分。</w:t>
            </w:r>
          </w:p>
          <w:p w14:paraId="0597FCC2">
            <w:pPr>
              <w:textAlignment w:val="center"/>
              <w:rPr>
                <w:rFonts w:hint="eastAsia"/>
                <w:bCs/>
                <w:color w:val="000000"/>
                <w:sz w:val="21"/>
                <w:szCs w:val="21"/>
              </w:rPr>
            </w:pPr>
            <w:r>
              <w:rPr>
                <w:sz w:val="21"/>
                <w:szCs w:val="21"/>
              </w:rPr>
              <w:t>建筑外门窗性能应符合规范要求</w:t>
            </w:r>
            <w:r>
              <w:rPr>
                <w:rFonts w:hint="eastAsia"/>
                <w:sz w:val="21"/>
                <w:szCs w:val="21"/>
              </w:rPr>
              <w:t>。施工图未明确建筑外门、窗性能要求，扣1分。</w:t>
            </w:r>
          </w:p>
        </w:tc>
        <w:tc>
          <w:tcPr>
            <w:tcW w:w="484" w:type="pct"/>
            <w:vAlign w:val="center"/>
          </w:tcPr>
          <w:p w14:paraId="32C83F4C">
            <w:pPr>
              <w:adjustRightInd w:val="0"/>
              <w:snapToGrid w:val="0"/>
              <w:jc w:val="center"/>
              <w:rPr>
                <w:rFonts w:hint="eastAsia"/>
                <w:bCs/>
                <w:color w:val="000000"/>
                <w:sz w:val="21"/>
                <w:szCs w:val="21"/>
              </w:rPr>
            </w:pPr>
            <w:r>
              <w:rPr>
                <w:rFonts w:hint="eastAsia"/>
                <w:bCs/>
                <w:color w:val="000000"/>
                <w:sz w:val="21"/>
                <w:szCs w:val="21"/>
              </w:rPr>
              <w:t>2</w:t>
            </w:r>
          </w:p>
        </w:tc>
        <w:tc>
          <w:tcPr>
            <w:tcW w:w="488" w:type="pct"/>
            <w:vAlign w:val="center"/>
          </w:tcPr>
          <w:p w14:paraId="47310F84">
            <w:pPr>
              <w:adjustRightInd w:val="0"/>
              <w:snapToGrid w:val="0"/>
              <w:jc w:val="center"/>
              <w:rPr>
                <w:rFonts w:hint="eastAsia"/>
                <w:bCs/>
                <w:color w:val="000000"/>
                <w:sz w:val="21"/>
                <w:szCs w:val="21"/>
              </w:rPr>
            </w:pPr>
          </w:p>
        </w:tc>
      </w:tr>
      <w:tr w14:paraId="3AA4AB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AFF72E1">
            <w:pPr>
              <w:adjustRightInd w:val="0"/>
              <w:snapToGrid w:val="0"/>
              <w:jc w:val="center"/>
              <w:rPr>
                <w:rFonts w:hint="eastAsia"/>
                <w:bCs/>
                <w:color w:val="000000"/>
                <w:sz w:val="21"/>
                <w:szCs w:val="21"/>
              </w:rPr>
            </w:pPr>
            <w:r>
              <w:rPr>
                <w:rFonts w:hint="eastAsia"/>
                <w:bCs/>
                <w:color w:val="000000"/>
                <w:sz w:val="21"/>
                <w:szCs w:val="21"/>
              </w:rPr>
              <w:t>8</w:t>
            </w:r>
          </w:p>
        </w:tc>
        <w:tc>
          <w:tcPr>
            <w:tcW w:w="1771" w:type="pct"/>
            <w:vAlign w:val="center"/>
          </w:tcPr>
          <w:p w14:paraId="54E6E805">
            <w:pPr>
              <w:textAlignment w:val="center"/>
              <w:rPr>
                <w:rFonts w:hint="eastAsia"/>
                <w:bCs/>
                <w:color w:val="000000"/>
                <w:sz w:val="21"/>
                <w:szCs w:val="21"/>
              </w:rPr>
            </w:pPr>
            <w:r>
              <w:rPr>
                <w:rFonts w:hint="eastAsia"/>
                <w:bCs/>
                <w:color w:val="000000"/>
                <w:sz w:val="21"/>
                <w:szCs w:val="21"/>
              </w:rPr>
              <w:t>变电站（换流站）建筑采用装配式技术，生产建筑积极采用工厂化预制构件。</w:t>
            </w:r>
          </w:p>
        </w:tc>
        <w:tc>
          <w:tcPr>
            <w:tcW w:w="1892" w:type="pct"/>
            <w:vAlign w:val="center"/>
          </w:tcPr>
          <w:p w14:paraId="395FF031">
            <w:pPr>
              <w:textAlignment w:val="center"/>
              <w:rPr>
                <w:rFonts w:hint="eastAsia"/>
                <w:bCs/>
                <w:color w:val="000000"/>
                <w:sz w:val="21"/>
                <w:szCs w:val="21"/>
              </w:rPr>
            </w:pPr>
            <w:r>
              <w:rPr>
                <w:rFonts w:hint="eastAsia"/>
                <w:sz w:val="21"/>
                <w:szCs w:val="21"/>
              </w:rPr>
              <w:t>变电站工程专用项,主建筑物未采用装配式结构体系且未开展相关论证，扣1分；论证依据不充分，扣0.5分。</w:t>
            </w:r>
          </w:p>
        </w:tc>
        <w:tc>
          <w:tcPr>
            <w:tcW w:w="484" w:type="pct"/>
            <w:vAlign w:val="center"/>
          </w:tcPr>
          <w:p w14:paraId="308E629D">
            <w:pPr>
              <w:adjustRightInd w:val="0"/>
              <w:snapToGrid w:val="0"/>
              <w:jc w:val="center"/>
              <w:rPr>
                <w:rFonts w:hint="eastAsia"/>
                <w:bCs/>
                <w:color w:val="000000"/>
                <w:sz w:val="21"/>
                <w:szCs w:val="21"/>
              </w:rPr>
            </w:pPr>
            <w:r>
              <w:rPr>
                <w:rFonts w:hint="eastAsia"/>
                <w:bCs/>
                <w:color w:val="000000"/>
                <w:sz w:val="21"/>
                <w:szCs w:val="21"/>
              </w:rPr>
              <w:t>1</w:t>
            </w:r>
          </w:p>
        </w:tc>
        <w:tc>
          <w:tcPr>
            <w:tcW w:w="488" w:type="pct"/>
            <w:vAlign w:val="center"/>
          </w:tcPr>
          <w:p w14:paraId="616A0091">
            <w:pPr>
              <w:adjustRightInd w:val="0"/>
              <w:snapToGrid w:val="0"/>
              <w:jc w:val="center"/>
              <w:rPr>
                <w:rFonts w:hint="eastAsia"/>
                <w:bCs/>
                <w:color w:val="000000"/>
                <w:sz w:val="21"/>
                <w:szCs w:val="21"/>
              </w:rPr>
            </w:pPr>
          </w:p>
        </w:tc>
      </w:tr>
      <w:tr w14:paraId="24B437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A495670">
            <w:pPr>
              <w:adjustRightInd w:val="0"/>
              <w:snapToGrid w:val="0"/>
              <w:jc w:val="center"/>
              <w:rPr>
                <w:rFonts w:hint="eastAsia"/>
                <w:bCs/>
                <w:color w:val="000000"/>
                <w:sz w:val="21"/>
                <w:szCs w:val="21"/>
              </w:rPr>
            </w:pPr>
            <w:r>
              <w:rPr>
                <w:rFonts w:hint="eastAsia"/>
                <w:bCs/>
                <w:color w:val="000000"/>
                <w:sz w:val="21"/>
                <w:szCs w:val="21"/>
              </w:rPr>
              <w:t>9</w:t>
            </w:r>
          </w:p>
        </w:tc>
        <w:tc>
          <w:tcPr>
            <w:tcW w:w="1771" w:type="pct"/>
            <w:vAlign w:val="center"/>
          </w:tcPr>
          <w:p w14:paraId="4A85F163">
            <w:pPr>
              <w:textAlignment w:val="center"/>
              <w:rPr>
                <w:rFonts w:hint="eastAsia"/>
                <w:bCs/>
                <w:color w:val="000000"/>
                <w:sz w:val="21"/>
                <w:szCs w:val="21"/>
              </w:rPr>
            </w:pPr>
            <w:r>
              <w:rPr>
                <w:rFonts w:hint="eastAsia"/>
                <w:bCs/>
                <w:color w:val="000000"/>
                <w:sz w:val="21"/>
                <w:szCs w:val="21"/>
              </w:rPr>
              <w:t>变电站（换流站）</w:t>
            </w:r>
            <w:r>
              <w:rPr>
                <w:bCs/>
                <w:color w:val="000000"/>
                <w:sz w:val="21"/>
                <w:szCs w:val="21"/>
              </w:rPr>
              <w:t>进行海绵城市或雨水综合利用专项设计，优化污水处理和雨水回收利用</w:t>
            </w:r>
            <w:r>
              <w:rPr>
                <w:rFonts w:hint="eastAsia"/>
                <w:bCs/>
                <w:color w:val="000000"/>
                <w:sz w:val="21"/>
                <w:szCs w:val="21"/>
              </w:rPr>
              <w:t>。建筑内应使用较高用水效率等级的卫生器具，节水效率等级达到现行国家标准规定的2级能效标准</w:t>
            </w:r>
            <w:r>
              <w:rPr>
                <w:bCs/>
                <w:color w:val="000000"/>
                <w:sz w:val="21"/>
                <w:szCs w:val="21"/>
              </w:rPr>
              <w:t>。</w:t>
            </w:r>
          </w:p>
        </w:tc>
        <w:tc>
          <w:tcPr>
            <w:tcW w:w="1892" w:type="pct"/>
            <w:vAlign w:val="center"/>
          </w:tcPr>
          <w:p w14:paraId="0F8A2F9F">
            <w:pPr>
              <w:textAlignment w:val="center"/>
              <w:rPr>
                <w:rFonts w:hint="eastAsia"/>
                <w:bCs/>
                <w:color w:val="000000"/>
                <w:sz w:val="21"/>
                <w:szCs w:val="21"/>
              </w:rPr>
            </w:pPr>
            <w:r>
              <w:rPr>
                <w:rFonts w:hint="eastAsia"/>
                <w:sz w:val="21"/>
                <w:szCs w:val="21"/>
              </w:rPr>
              <w:t>变电站工程专用项,未应用节水器具，扣1分；未全面应用，扣0.5分。未进行雨水综合利用专项设计，扣1分</w:t>
            </w:r>
          </w:p>
        </w:tc>
        <w:tc>
          <w:tcPr>
            <w:tcW w:w="484" w:type="pct"/>
            <w:vAlign w:val="center"/>
          </w:tcPr>
          <w:p w14:paraId="43519345">
            <w:pPr>
              <w:adjustRightInd w:val="0"/>
              <w:snapToGrid w:val="0"/>
              <w:jc w:val="center"/>
              <w:rPr>
                <w:rFonts w:hint="eastAsia"/>
                <w:bCs/>
                <w:color w:val="000000"/>
                <w:sz w:val="21"/>
                <w:szCs w:val="21"/>
              </w:rPr>
            </w:pPr>
            <w:r>
              <w:rPr>
                <w:rFonts w:hint="eastAsia"/>
                <w:bCs/>
                <w:color w:val="000000"/>
                <w:sz w:val="21"/>
                <w:szCs w:val="21"/>
              </w:rPr>
              <w:t>1</w:t>
            </w:r>
          </w:p>
        </w:tc>
        <w:tc>
          <w:tcPr>
            <w:tcW w:w="488" w:type="pct"/>
            <w:vAlign w:val="center"/>
          </w:tcPr>
          <w:p w14:paraId="2B8B93DC">
            <w:pPr>
              <w:adjustRightInd w:val="0"/>
              <w:snapToGrid w:val="0"/>
              <w:jc w:val="center"/>
              <w:rPr>
                <w:rFonts w:hint="eastAsia"/>
                <w:bCs/>
                <w:color w:val="000000"/>
                <w:sz w:val="21"/>
                <w:szCs w:val="21"/>
              </w:rPr>
            </w:pPr>
          </w:p>
        </w:tc>
      </w:tr>
      <w:tr w14:paraId="46F5C1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0D2C3EF">
            <w:pPr>
              <w:adjustRightInd w:val="0"/>
              <w:snapToGrid w:val="0"/>
              <w:jc w:val="center"/>
              <w:rPr>
                <w:rFonts w:hint="eastAsia"/>
                <w:bCs/>
                <w:color w:val="000000"/>
                <w:sz w:val="21"/>
                <w:szCs w:val="21"/>
              </w:rPr>
            </w:pPr>
            <w:r>
              <w:rPr>
                <w:rFonts w:hint="eastAsia"/>
                <w:bCs/>
                <w:color w:val="000000"/>
                <w:sz w:val="21"/>
                <w:szCs w:val="21"/>
              </w:rPr>
              <w:t>10</w:t>
            </w:r>
          </w:p>
        </w:tc>
        <w:tc>
          <w:tcPr>
            <w:tcW w:w="1771" w:type="pct"/>
            <w:vAlign w:val="center"/>
          </w:tcPr>
          <w:p w14:paraId="20B3882F">
            <w:pPr>
              <w:textAlignment w:val="center"/>
              <w:rPr>
                <w:rFonts w:hint="eastAsia"/>
                <w:bCs/>
                <w:color w:val="000000"/>
                <w:sz w:val="21"/>
                <w:szCs w:val="21"/>
              </w:rPr>
            </w:pPr>
            <w:r>
              <w:rPr>
                <w:rFonts w:hint="eastAsia"/>
                <w:bCs/>
                <w:color w:val="000000"/>
                <w:sz w:val="21"/>
                <w:szCs w:val="21"/>
              </w:rPr>
              <w:t>变电站（换流站）建筑充分利用自然光和自然通风。</w:t>
            </w:r>
          </w:p>
        </w:tc>
        <w:tc>
          <w:tcPr>
            <w:tcW w:w="1892" w:type="pct"/>
            <w:vAlign w:val="center"/>
          </w:tcPr>
          <w:p w14:paraId="227C3D2E">
            <w:pPr>
              <w:textAlignment w:val="center"/>
              <w:rPr>
                <w:rFonts w:hint="eastAsia"/>
                <w:bCs/>
                <w:color w:val="000000"/>
                <w:sz w:val="21"/>
                <w:szCs w:val="21"/>
              </w:rPr>
            </w:pPr>
            <w:r>
              <w:rPr>
                <w:rFonts w:hint="eastAsia"/>
                <w:sz w:val="21"/>
                <w:szCs w:val="21"/>
              </w:rPr>
              <w:t>变电站工程专用项,未进行自然采光或自然通风设计，扣1分</w:t>
            </w:r>
          </w:p>
        </w:tc>
        <w:tc>
          <w:tcPr>
            <w:tcW w:w="484" w:type="pct"/>
            <w:vAlign w:val="center"/>
          </w:tcPr>
          <w:p w14:paraId="1343D9D7">
            <w:pPr>
              <w:adjustRightInd w:val="0"/>
              <w:snapToGrid w:val="0"/>
              <w:jc w:val="center"/>
              <w:rPr>
                <w:rFonts w:hint="eastAsia"/>
                <w:bCs/>
                <w:color w:val="000000"/>
                <w:sz w:val="21"/>
                <w:szCs w:val="21"/>
              </w:rPr>
            </w:pPr>
            <w:r>
              <w:rPr>
                <w:rFonts w:hint="eastAsia"/>
                <w:bCs/>
                <w:color w:val="000000"/>
                <w:sz w:val="21"/>
                <w:szCs w:val="21"/>
              </w:rPr>
              <w:t>1</w:t>
            </w:r>
          </w:p>
        </w:tc>
        <w:tc>
          <w:tcPr>
            <w:tcW w:w="488" w:type="pct"/>
            <w:vAlign w:val="center"/>
          </w:tcPr>
          <w:p w14:paraId="2D08D590">
            <w:pPr>
              <w:adjustRightInd w:val="0"/>
              <w:snapToGrid w:val="0"/>
              <w:jc w:val="center"/>
              <w:rPr>
                <w:rFonts w:hint="eastAsia"/>
                <w:bCs/>
                <w:color w:val="000000"/>
                <w:sz w:val="21"/>
                <w:szCs w:val="21"/>
              </w:rPr>
            </w:pPr>
          </w:p>
        </w:tc>
      </w:tr>
      <w:tr w14:paraId="7FC0D6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D10943F">
            <w:pPr>
              <w:adjustRightInd w:val="0"/>
              <w:snapToGrid w:val="0"/>
              <w:jc w:val="center"/>
              <w:rPr>
                <w:rFonts w:hint="eastAsia"/>
                <w:bCs/>
                <w:color w:val="000000"/>
                <w:sz w:val="21"/>
                <w:szCs w:val="21"/>
              </w:rPr>
            </w:pPr>
            <w:r>
              <w:rPr>
                <w:rFonts w:hint="eastAsia"/>
                <w:bCs/>
                <w:color w:val="000000"/>
                <w:sz w:val="21"/>
                <w:szCs w:val="21"/>
              </w:rPr>
              <w:t>11</w:t>
            </w:r>
          </w:p>
        </w:tc>
        <w:tc>
          <w:tcPr>
            <w:tcW w:w="1771" w:type="pct"/>
            <w:vAlign w:val="center"/>
          </w:tcPr>
          <w:p w14:paraId="60141F49">
            <w:pPr>
              <w:textAlignment w:val="center"/>
              <w:rPr>
                <w:rFonts w:hint="eastAsia"/>
                <w:bCs/>
                <w:color w:val="000000"/>
                <w:sz w:val="21"/>
                <w:szCs w:val="21"/>
              </w:rPr>
            </w:pPr>
            <w:r>
              <w:rPr>
                <w:rFonts w:hint="eastAsia"/>
                <w:bCs/>
                <w:color w:val="000000"/>
                <w:sz w:val="21"/>
                <w:szCs w:val="21"/>
              </w:rPr>
              <w:t>架空线路工程塔型与基础选型合理，</w:t>
            </w:r>
            <w:r>
              <w:rPr>
                <w:bCs/>
                <w:color w:val="000000"/>
                <w:sz w:val="21"/>
                <w:szCs w:val="21"/>
              </w:rPr>
              <w:t>减小根开及占地面积。</w:t>
            </w:r>
          </w:p>
        </w:tc>
        <w:tc>
          <w:tcPr>
            <w:tcW w:w="1892" w:type="pct"/>
            <w:vAlign w:val="center"/>
          </w:tcPr>
          <w:p w14:paraId="7F010AA8">
            <w:pPr>
              <w:textAlignment w:val="center"/>
              <w:rPr>
                <w:rFonts w:hint="eastAsia"/>
                <w:bCs/>
                <w:color w:val="000000"/>
                <w:sz w:val="21"/>
                <w:szCs w:val="21"/>
              </w:rPr>
            </w:pPr>
            <w:r>
              <w:rPr>
                <w:rFonts w:hint="eastAsia"/>
                <w:sz w:val="21"/>
                <w:szCs w:val="21"/>
              </w:rPr>
              <w:t>架空线路工程专用项，塔型规划应综合考虑技术经济和线路沿线情况，合理优化塔型、根开及占地面积。城区及城郊等塔位受限地段，优先采用钢管杆、窄基塔、混凝土杆等占地面积小的杆塔。塔型规划未综合考虑技术经济和线路沿线情况，每处扣0.5分；塔位受限地段未合理选用占地面积少的杆塔结构，每处扣0.5分。</w:t>
            </w:r>
          </w:p>
        </w:tc>
        <w:tc>
          <w:tcPr>
            <w:tcW w:w="484" w:type="pct"/>
            <w:vAlign w:val="center"/>
          </w:tcPr>
          <w:p w14:paraId="6602D8BF">
            <w:pPr>
              <w:adjustRightInd w:val="0"/>
              <w:snapToGrid w:val="0"/>
              <w:jc w:val="center"/>
              <w:rPr>
                <w:rFonts w:hint="eastAsia"/>
                <w:bCs/>
                <w:color w:val="000000"/>
                <w:sz w:val="21"/>
                <w:szCs w:val="21"/>
              </w:rPr>
            </w:pPr>
            <w:r>
              <w:rPr>
                <w:rFonts w:hint="eastAsia"/>
                <w:bCs/>
                <w:color w:val="000000"/>
                <w:sz w:val="21"/>
                <w:szCs w:val="21"/>
              </w:rPr>
              <w:t>1</w:t>
            </w:r>
          </w:p>
        </w:tc>
        <w:tc>
          <w:tcPr>
            <w:tcW w:w="488" w:type="pct"/>
            <w:vAlign w:val="center"/>
          </w:tcPr>
          <w:p w14:paraId="16421232">
            <w:pPr>
              <w:adjustRightInd w:val="0"/>
              <w:snapToGrid w:val="0"/>
              <w:jc w:val="center"/>
              <w:rPr>
                <w:rFonts w:hint="eastAsia"/>
                <w:bCs/>
                <w:color w:val="000000"/>
                <w:sz w:val="21"/>
                <w:szCs w:val="21"/>
              </w:rPr>
            </w:pPr>
          </w:p>
        </w:tc>
      </w:tr>
      <w:tr w14:paraId="0A90ED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3FEC54F">
            <w:pPr>
              <w:adjustRightInd w:val="0"/>
              <w:snapToGrid w:val="0"/>
              <w:jc w:val="center"/>
              <w:rPr>
                <w:rFonts w:hint="eastAsia"/>
                <w:bCs/>
                <w:color w:val="000000"/>
                <w:sz w:val="21"/>
                <w:szCs w:val="21"/>
              </w:rPr>
            </w:pPr>
            <w:r>
              <w:rPr>
                <w:rFonts w:hint="eastAsia"/>
                <w:bCs/>
                <w:color w:val="000000"/>
                <w:sz w:val="21"/>
                <w:szCs w:val="21"/>
              </w:rPr>
              <w:t>12</w:t>
            </w:r>
          </w:p>
        </w:tc>
        <w:tc>
          <w:tcPr>
            <w:tcW w:w="1771" w:type="pct"/>
            <w:vAlign w:val="center"/>
          </w:tcPr>
          <w:p w14:paraId="7FE41B06">
            <w:pPr>
              <w:rPr>
                <w:rFonts w:hint="eastAsia"/>
                <w:bCs/>
                <w:color w:val="000000"/>
                <w:sz w:val="21"/>
                <w:szCs w:val="21"/>
              </w:rPr>
            </w:pPr>
            <w:r>
              <w:rPr>
                <w:rFonts w:hint="eastAsia"/>
                <w:bCs/>
                <w:color w:val="000000"/>
                <w:sz w:val="21"/>
                <w:szCs w:val="21"/>
              </w:rPr>
              <w:t>电缆工程</w:t>
            </w:r>
            <w:r>
              <w:rPr>
                <w:bCs/>
                <w:color w:val="000000"/>
                <w:sz w:val="21"/>
                <w:szCs w:val="21"/>
              </w:rPr>
              <w:t>在满足生产、运输、施工及感应电压要求的前提下，尽量增大电缆段长，减少接头数量。</w:t>
            </w:r>
          </w:p>
          <w:p w14:paraId="6CED9F47">
            <w:pPr>
              <w:textAlignment w:val="center"/>
              <w:rPr>
                <w:rFonts w:hint="eastAsia"/>
                <w:bCs/>
                <w:color w:val="000000"/>
                <w:sz w:val="21"/>
                <w:szCs w:val="21"/>
              </w:rPr>
            </w:pPr>
          </w:p>
        </w:tc>
        <w:tc>
          <w:tcPr>
            <w:tcW w:w="1892" w:type="pct"/>
            <w:vAlign w:val="center"/>
          </w:tcPr>
          <w:p w14:paraId="7304486C">
            <w:pPr>
              <w:textAlignment w:val="center"/>
              <w:rPr>
                <w:rFonts w:hint="eastAsia"/>
                <w:bCs/>
                <w:color w:val="000000"/>
                <w:sz w:val="21"/>
                <w:szCs w:val="21"/>
              </w:rPr>
            </w:pPr>
            <w:r>
              <w:rPr>
                <w:rFonts w:hint="eastAsia"/>
                <w:sz w:val="21"/>
                <w:szCs w:val="21"/>
              </w:rPr>
              <w:t>海底电缆与电缆工程专用项，未采取措施减少接头数量，扣2分</w:t>
            </w:r>
          </w:p>
        </w:tc>
        <w:tc>
          <w:tcPr>
            <w:tcW w:w="484" w:type="pct"/>
            <w:vAlign w:val="center"/>
          </w:tcPr>
          <w:p w14:paraId="065B4B27">
            <w:pPr>
              <w:adjustRightInd w:val="0"/>
              <w:snapToGrid w:val="0"/>
              <w:jc w:val="center"/>
              <w:rPr>
                <w:rFonts w:hint="eastAsia"/>
                <w:bCs/>
                <w:color w:val="000000"/>
                <w:sz w:val="21"/>
                <w:szCs w:val="21"/>
              </w:rPr>
            </w:pPr>
            <w:r>
              <w:rPr>
                <w:rFonts w:hint="eastAsia"/>
                <w:bCs/>
                <w:color w:val="000000"/>
                <w:sz w:val="21"/>
                <w:szCs w:val="21"/>
              </w:rPr>
              <w:t>2</w:t>
            </w:r>
          </w:p>
        </w:tc>
        <w:tc>
          <w:tcPr>
            <w:tcW w:w="488" w:type="pct"/>
            <w:vAlign w:val="center"/>
          </w:tcPr>
          <w:p w14:paraId="775ECAA4">
            <w:pPr>
              <w:adjustRightInd w:val="0"/>
              <w:snapToGrid w:val="0"/>
              <w:jc w:val="center"/>
              <w:rPr>
                <w:rFonts w:hint="eastAsia"/>
                <w:bCs/>
                <w:color w:val="000000"/>
                <w:sz w:val="21"/>
                <w:szCs w:val="21"/>
              </w:rPr>
            </w:pPr>
          </w:p>
        </w:tc>
      </w:tr>
      <w:tr w14:paraId="2A6B48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4F87992">
            <w:pPr>
              <w:adjustRightInd w:val="0"/>
              <w:snapToGrid w:val="0"/>
              <w:jc w:val="center"/>
              <w:rPr>
                <w:rFonts w:hint="eastAsia"/>
                <w:bCs/>
                <w:color w:val="000000"/>
                <w:sz w:val="21"/>
                <w:szCs w:val="21"/>
              </w:rPr>
            </w:pPr>
            <w:r>
              <w:rPr>
                <w:rFonts w:hint="eastAsia"/>
                <w:b/>
                <w:color w:val="000000"/>
                <w:sz w:val="21"/>
                <w:szCs w:val="21"/>
              </w:rPr>
              <w:t>5.5.3</w:t>
            </w:r>
          </w:p>
        </w:tc>
        <w:tc>
          <w:tcPr>
            <w:tcW w:w="1771" w:type="pct"/>
            <w:vAlign w:val="center"/>
          </w:tcPr>
          <w:p w14:paraId="7B5CD890">
            <w:pPr>
              <w:textAlignment w:val="center"/>
              <w:rPr>
                <w:rFonts w:hint="eastAsia"/>
                <w:bCs/>
                <w:color w:val="000000"/>
                <w:sz w:val="21"/>
                <w:szCs w:val="21"/>
              </w:rPr>
            </w:pPr>
            <w:r>
              <w:rPr>
                <w:rFonts w:hint="eastAsia"/>
                <w:b/>
                <w:color w:val="000000"/>
                <w:sz w:val="21"/>
                <w:szCs w:val="21"/>
              </w:rPr>
              <w:t>生态环保</w:t>
            </w:r>
          </w:p>
        </w:tc>
        <w:tc>
          <w:tcPr>
            <w:tcW w:w="1892" w:type="pct"/>
            <w:vAlign w:val="center"/>
          </w:tcPr>
          <w:p w14:paraId="33ECF656">
            <w:pPr>
              <w:textAlignment w:val="center"/>
              <w:rPr>
                <w:rFonts w:hint="eastAsia"/>
                <w:bCs/>
                <w:color w:val="000000"/>
                <w:sz w:val="21"/>
                <w:szCs w:val="21"/>
              </w:rPr>
            </w:pPr>
          </w:p>
        </w:tc>
        <w:tc>
          <w:tcPr>
            <w:tcW w:w="484" w:type="pct"/>
            <w:vAlign w:val="center"/>
          </w:tcPr>
          <w:p w14:paraId="24B31BFB">
            <w:pPr>
              <w:adjustRightInd w:val="0"/>
              <w:snapToGrid w:val="0"/>
              <w:jc w:val="center"/>
              <w:rPr>
                <w:rFonts w:hint="eastAsia"/>
                <w:bCs/>
                <w:color w:val="000000"/>
                <w:sz w:val="21"/>
                <w:szCs w:val="21"/>
              </w:rPr>
            </w:pPr>
          </w:p>
        </w:tc>
        <w:tc>
          <w:tcPr>
            <w:tcW w:w="488" w:type="pct"/>
            <w:vAlign w:val="center"/>
          </w:tcPr>
          <w:p w14:paraId="064544C1">
            <w:pPr>
              <w:adjustRightInd w:val="0"/>
              <w:snapToGrid w:val="0"/>
              <w:jc w:val="center"/>
              <w:rPr>
                <w:rFonts w:hint="eastAsia"/>
                <w:bCs/>
                <w:color w:val="000000"/>
                <w:sz w:val="21"/>
                <w:szCs w:val="21"/>
              </w:rPr>
            </w:pPr>
          </w:p>
        </w:tc>
      </w:tr>
      <w:tr w14:paraId="4EF43F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0B7ED71">
            <w:pPr>
              <w:adjustRightInd w:val="0"/>
              <w:snapToGrid w:val="0"/>
              <w:jc w:val="center"/>
              <w:rPr>
                <w:rFonts w:hint="eastAsia"/>
                <w:bCs/>
                <w:color w:val="000000"/>
                <w:sz w:val="21"/>
                <w:szCs w:val="21"/>
              </w:rPr>
            </w:pPr>
            <w:r>
              <w:rPr>
                <w:rFonts w:hint="eastAsia"/>
                <w:bCs/>
                <w:color w:val="000000"/>
                <w:sz w:val="21"/>
                <w:szCs w:val="21"/>
              </w:rPr>
              <w:t>1</w:t>
            </w:r>
          </w:p>
        </w:tc>
        <w:tc>
          <w:tcPr>
            <w:tcW w:w="1771" w:type="pct"/>
            <w:vAlign w:val="center"/>
          </w:tcPr>
          <w:p w14:paraId="5B1CF645">
            <w:pPr>
              <w:textAlignment w:val="center"/>
              <w:rPr>
                <w:rFonts w:hint="eastAsia"/>
                <w:bCs/>
                <w:color w:val="000000"/>
                <w:sz w:val="21"/>
                <w:szCs w:val="21"/>
              </w:rPr>
            </w:pPr>
            <w:r>
              <w:rPr>
                <w:rFonts w:hint="eastAsia"/>
                <w:bCs/>
                <w:color w:val="000000"/>
                <w:sz w:val="21"/>
                <w:szCs w:val="21"/>
              </w:rPr>
              <w:t>项目布置因地制宜，与生态环境、周边环境和谐统一。</w:t>
            </w:r>
          </w:p>
        </w:tc>
        <w:tc>
          <w:tcPr>
            <w:tcW w:w="1892" w:type="pct"/>
            <w:vAlign w:val="center"/>
          </w:tcPr>
          <w:p w14:paraId="01209667">
            <w:pPr>
              <w:textAlignment w:val="center"/>
              <w:rPr>
                <w:rFonts w:hint="eastAsia"/>
                <w:sz w:val="21"/>
                <w:szCs w:val="21"/>
              </w:rPr>
            </w:pPr>
            <w:r>
              <w:rPr>
                <w:rFonts w:hint="eastAsia"/>
                <w:sz w:val="21"/>
                <w:szCs w:val="21"/>
              </w:rPr>
              <w:t>变电站专用项，变电站围墙型式宜选用与城市规划、环境要求相匹配的装配式围墙。未采用装配式围墙且未开展论证，扣2分；未采用装配式围墙且论证依据不充分，扣1分。</w:t>
            </w:r>
          </w:p>
          <w:p w14:paraId="5A369F05">
            <w:pPr>
              <w:textAlignment w:val="center"/>
              <w:rPr>
                <w:rFonts w:hint="eastAsia"/>
                <w:bCs/>
                <w:color w:val="000000"/>
                <w:sz w:val="21"/>
                <w:szCs w:val="21"/>
              </w:rPr>
            </w:pPr>
            <w:r>
              <w:rPr>
                <w:rFonts w:hint="eastAsia"/>
                <w:sz w:val="21"/>
                <w:szCs w:val="21"/>
              </w:rPr>
              <w:t>变电站的主出入口宜面向当地道路，便于引接进站道路。城市变电站的主入口方位及处理要求应与城市规划和街景相协调，变电站出入口布置不合理，扣2分。</w:t>
            </w:r>
          </w:p>
        </w:tc>
        <w:tc>
          <w:tcPr>
            <w:tcW w:w="484" w:type="pct"/>
            <w:vAlign w:val="center"/>
          </w:tcPr>
          <w:p w14:paraId="7C7F6618">
            <w:pPr>
              <w:adjustRightInd w:val="0"/>
              <w:snapToGrid w:val="0"/>
              <w:jc w:val="center"/>
              <w:rPr>
                <w:rFonts w:hint="eastAsia"/>
                <w:bCs/>
                <w:color w:val="000000"/>
                <w:sz w:val="21"/>
                <w:szCs w:val="21"/>
              </w:rPr>
            </w:pPr>
            <w:r>
              <w:rPr>
                <w:rFonts w:hint="eastAsia"/>
                <w:bCs/>
                <w:color w:val="000000"/>
                <w:sz w:val="21"/>
                <w:szCs w:val="21"/>
              </w:rPr>
              <w:t>3</w:t>
            </w:r>
          </w:p>
        </w:tc>
        <w:tc>
          <w:tcPr>
            <w:tcW w:w="488" w:type="pct"/>
            <w:vAlign w:val="center"/>
          </w:tcPr>
          <w:p w14:paraId="3E7CA5DF">
            <w:pPr>
              <w:adjustRightInd w:val="0"/>
              <w:snapToGrid w:val="0"/>
              <w:jc w:val="center"/>
              <w:rPr>
                <w:rFonts w:hint="eastAsia"/>
                <w:bCs/>
                <w:color w:val="000000"/>
                <w:sz w:val="21"/>
                <w:szCs w:val="21"/>
              </w:rPr>
            </w:pPr>
          </w:p>
        </w:tc>
      </w:tr>
      <w:tr w14:paraId="3F93AD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B2CED93">
            <w:pPr>
              <w:adjustRightInd w:val="0"/>
              <w:snapToGrid w:val="0"/>
              <w:jc w:val="center"/>
              <w:rPr>
                <w:rFonts w:hint="eastAsia"/>
                <w:bCs/>
                <w:color w:val="000000"/>
                <w:sz w:val="21"/>
                <w:szCs w:val="21"/>
              </w:rPr>
            </w:pPr>
            <w:r>
              <w:rPr>
                <w:rFonts w:hint="eastAsia"/>
                <w:bCs/>
                <w:color w:val="000000"/>
                <w:sz w:val="21"/>
                <w:szCs w:val="21"/>
              </w:rPr>
              <w:t>2</w:t>
            </w:r>
          </w:p>
        </w:tc>
        <w:tc>
          <w:tcPr>
            <w:tcW w:w="1771" w:type="pct"/>
            <w:vAlign w:val="center"/>
          </w:tcPr>
          <w:p w14:paraId="55A2E543">
            <w:pPr>
              <w:textAlignment w:val="center"/>
              <w:rPr>
                <w:rFonts w:hint="eastAsia"/>
                <w:bCs/>
                <w:color w:val="000000"/>
                <w:sz w:val="21"/>
                <w:szCs w:val="21"/>
              </w:rPr>
            </w:pPr>
            <w:r>
              <w:rPr>
                <w:rFonts w:hint="eastAsia"/>
                <w:bCs/>
                <w:color w:val="000000"/>
                <w:sz w:val="21"/>
                <w:szCs w:val="21"/>
              </w:rPr>
              <w:t>挖、填土石方量少，实现土石方量自身平衡，减少对水土保持、生态环境的影响。</w:t>
            </w:r>
          </w:p>
        </w:tc>
        <w:tc>
          <w:tcPr>
            <w:tcW w:w="1892" w:type="pct"/>
            <w:vAlign w:val="center"/>
          </w:tcPr>
          <w:p w14:paraId="65421268">
            <w:pPr>
              <w:textAlignment w:val="center"/>
              <w:rPr>
                <w:rFonts w:hint="eastAsia"/>
                <w:sz w:val="21"/>
                <w:szCs w:val="21"/>
              </w:rPr>
            </w:pPr>
            <w:r>
              <w:rPr>
                <w:rFonts w:hint="eastAsia"/>
                <w:sz w:val="21"/>
                <w:szCs w:val="21"/>
              </w:rPr>
              <w:t>1、变电站工程：根据地形地貌合理确定场地标高，开展土方平衡论证，减少挖填方量、弃土量和土方购置量，未开展土方平衡计算，扣2分；土方平衡数据与图纸有明显不符，每处扣1分。</w:t>
            </w:r>
          </w:p>
          <w:p w14:paraId="32C8FC2B">
            <w:pPr>
              <w:textAlignment w:val="center"/>
              <w:rPr>
                <w:rFonts w:hint="eastAsia"/>
                <w:sz w:val="21"/>
                <w:szCs w:val="21"/>
              </w:rPr>
            </w:pPr>
            <w:r>
              <w:rPr>
                <w:rFonts w:hint="eastAsia"/>
                <w:sz w:val="21"/>
                <w:szCs w:val="21"/>
              </w:rPr>
              <w:t>2、架空线路工程：线路路径应考虑对沿线生态环境、电磁环境、声环境的影响，采取并落实相应的环境保护措施。未依法制订环境保护措施，扣4分；未计列相关费用，扣2分；未落实环境影响报告及其批复文件要求，每处扣1分。</w:t>
            </w:r>
          </w:p>
          <w:p w14:paraId="637ED609">
            <w:pPr>
              <w:textAlignment w:val="center"/>
              <w:rPr>
                <w:rFonts w:hint="eastAsia"/>
                <w:bCs/>
                <w:color w:val="000000"/>
                <w:sz w:val="21"/>
                <w:szCs w:val="21"/>
              </w:rPr>
            </w:pPr>
            <w:r>
              <w:rPr>
                <w:rFonts w:hint="eastAsia"/>
                <w:sz w:val="21"/>
                <w:szCs w:val="21"/>
              </w:rPr>
              <w:t>3</w:t>
            </w:r>
            <w:r>
              <w:rPr>
                <w:sz w:val="21"/>
                <w:szCs w:val="21"/>
              </w:rPr>
              <w:t>、</w:t>
            </w:r>
            <w:r>
              <w:rPr>
                <w:rFonts w:hint="eastAsia"/>
                <w:sz w:val="21"/>
                <w:szCs w:val="21"/>
              </w:rPr>
              <w:t>电缆与海底电缆工程：电缆路径应考虑对沿线生态环境、电磁环境、声环境的影响，采取并落实相应的环境保护措施。未依法制订环境保护措施，扣4分；未计列相关费用，扣2分；未落实环境影响报告及其批复文件要求，每处扣1分。</w:t>
            </w:r>
          </w:p>
        </w:tc>
        <w:tc>
          <w:tcPr>
            <w:tcW w:w="484" w:type="pct"/>
            <w:vAlign w:val="center"/>
          </w:tcPr>
          <w:p w14:paraId="13E5FE00">
            <w:pPr>
              <w:adjustRightInd w:val="0"/>
              <w:snapToGrid w:val="0"/>
              <w:jc w:val="center"/>
              <w:rPr>
                <w:rFonts w:hint="eastAsia"/>
                <w:bCs/>
                <w:color w:val="000000"/>
                <w:sz w:val="21"/>
                <w:szCs w:val="21"/>
              </w:rPr>
            </w:pPr>
            <w:r>
              <w:rPr>
                <w:rFonts w:hint="eastAsia"/>
                <w:bCs/>
                <w:color w:val="000000"/>
                <w:sz w:val="21"/>
                <w:szCs w:val="21"/>
              </w:rPr>
              <w:t>4</w:t>
            </w:r>
          </w:p>
        </w:tc>
        <w:tc>
          <w:tcPr>
            <w:tcW w:w="488" w:type="pct"/>
            <w:vAlign w:val="center"/>
          </w:tcPr>
          <w:p w14:paraId="794DFA99">
            <w:pPr>
              <w:adjustRightInd w:val="0"/>
              <w:snapToGrid w:val="0"/>
              <w:jc w:val="center"/>
              <w:rPr>
                <w:rFonts w:hint="eastAsia"/>
                <w:bCs/>
                <w:color w:val="000000"/>
                <w:sz w:val="21"/>
                <w:szCs w:val="21"/>
              </w:rPr>
            </w:pPr>
          </w:p>
        </w:tc>
      </w:tr>
      <w:tr w14:paraId="18003D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F62B41A">
            <w:pPr>
              <w:adjustRightInd w:val="0"/>
              <w:snapToGrid w:val="0"/>
              <w:jc w:val="center"/>
              <w:rPr>
                <w:rFonts w:hint="eastAsia"/>
                <w:bCs/>
                <w:color w:val="000000"/>
                <w:sz w:val="21"/>
                <w:szCs w:val="21"/>
              </w:rPr>
            </w:pPr>
            <w:r>
              <w:rPr>
                <w:rFonts w:hint="eastAsia"/>
                <w:bCs/>
                <w:color w:val="000000"/>
                <w:sz w:val="21"/>
                <w:szCs w:val="21"/>
              </w:rPr>
              <w:t>3</w:t>
            </w:r>
          </w:p>
        </w:tc>
        <w:tc>
          <w:tcPr>
            <w:tcW w:w="1771" w:type="pct"/>
            <w:vAlign w:val="center"/>
          </w:tcPr>
          <w:p w14:paraId="28A3FDE6">
            <w:pPr>
              <w:textAlignment w:val="center"/>
              <w:rPr>
                <w:rFonts w:hint="eastAsia"/>
                <w:bCs/>
                <w:color w:val="000000"/>
                <w:sz w:val="21"/>
                <w:szCs w:val="21"/>
              </w:rPr>
            </w:pPr>
            <w:r>
              <w:rPr>
                <w:rFonts w:hint="eastAsia"/>
                <w:bCs/>
                <w:color w:val="000000"/>
                <w:sz w:val="21"/>
                <w:szCs w:val="21"/>
              </w:rPr>
              <w:t>污废水（油）处理方案合理，满足环评批复要求。</w:t>
            </w:r>
          </w:p>
        </w:tc>
        <w:tc>
          <w:tcPr>
            <w:tcW w:w="1892" w:type="pct"/>
            <w:vAlign w:val="center"/>
          </w:tcPr>
          <w:p w14:paraId="365019BA">
            <w:pPr>
              <w:textAlignment w:val="center"/>
              <w:rPr>
                <w:rFonts w:hint="eastAsia"/>
                <w:sz w:val="21"/>
                <w:szCs w:val="21"/>
              </w:rPr>
            </w:pPr>
            <w:r>
              <w:rPr>
                <w:rFonts w:hint="eastAsia"/>
                <w:sz w:val="21"/>
                <w:szCs w:val="21"/>
              </w:rPr>
              <w:t>变电站专用项，场地采用有组织排水，实现雨污分流，永临结合。未按雨污分流设计，扣2分；场地未采用有组织排水，每处扣1分。</w:t>
            </w:r>
          </w:p>
          <w:p w14:paraId="39F7BEC0">
            <w:pPr>
              <w:textAlignment w:val="center"/>
              <w:rPr>
                <w:rFonts w:hint="eastAsia"/>
                <w:sz w:val="21"/>
                <w:szCs w:val="21"/>
              </w:rPr>
            </w:pPr>
            <w:r>
              <w:rPr>
                <w:rFonts w:hint="eastAsia"/>
                <w:sz w:val="21"/>
                <w:szCs w:val="21"/>
              </w:rPr>
              <w:t>有人值班变电站应设置生活污水处理装置，污水经处理后回用、清掏或接入市政排污管网。不满足要求的，扣2分。</w:t>
            </w:r>
          </w:p>
          <w:p w14:paraId="705D9ED8">
            <w:pPr>
              <w:textAlignment w:val="center"/>
              <w:rPr>
                <w:rFonts w:hint="eastAsia"/>
                <w:bCs/>
                <w:color w:val="000000"/>
                <w:sz w:val="21"/>
                <w:szCs w:val="21"/>
              </w:rPr>
            </w:pPr>
            <w:r>
              <w:rPr>
                <w:rFonts w:hint="eastAsia"/>
                <w:sz w:val="21"/>
                <w:szCs w:val="21"/>
              </w:rPr>
              <w:t>事故油池应能容纳油量最大的一台变压器的全部排油，杜绝主变压器故障时产生废油污染。事故油池设计容量不满足要求，扣2分。</w:t>
            </w:r>
          </w:p>
        </w:tc>
        <w:tc>
          <w:tcPr>
            <w:tcW w:w="484" w:type="pct"/>
            <w:vAlign w:val="center"/>
          </w:tcPr>
          <w:p w14:paraId="52A3AF2A">
            <w:pPr>
              <w:adjustRightInd w:val="0"/>
              <w:snapToGrid w:val="0"/>
              <w:jc w:val="center"/>
              <w:rPr>
                <w:rFonts w:hint="eastAsia"/>
                <w:bCs/>
                <w:color w:val="000000"/>
                <w:sz w:val="21"/>
                <w:szCs w:val="21"/>
              </w:rPr>
            </w:pPr>
            <w:r>
              <w:rPr>
                <w:rFonts w:hint="eastAsia"/>
                <w:bCs/>
                <w:color w:val="000000"/>
                <w:sz w:val="21"/>
                <w:szCs w:val="21"/>
              </w:rPr>
              <w:t>2</w:t>
            </w:r>
          </w:p>
        </w:tc>
        <w:tc>
          <w:tcPr>
            <w:tcW w:w="488" w:type="pct"/>
            <w:vAlign w:val="center"/>
          </w:tcPr>
          <w:p w14:paraId="6C83D145">
            <w:pPr>
              <w:adjustRightInd w:val="0"/>
              <w:snapToGrid w:val="0"/>
              <w:jc w:val="center"/>
              <w:rPr>
                <w:rFonts w:hint="eastAsia"/>
                <w:bCs/>
                <w:color w:val="000000"/>
                <w:sz w:val="21"/>
                <w:szCs w:val="21"/>
              </w:rPr>
            </w:pPr>
          </w:p>
        </w:tc>
      </w:tr>
      <w:tr w14:paraId="622DAD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C3C88EA">
            <w:pPr>
              <w:adjustRightInd w:val="0"/>
              <w:snapToGrid w:val="0"/>
              <w:jc w:val="center"/>
              <w:rPr>
                <w:rFonts w:hint="eastAsia"/>
                <w:bCs/>
                <w:color w:val="000000"/>
                <w:sz w:val="21"/>
                <w:szCs w:val="21"/>
              </w:rPr>
            </w:pPr>
            <w:r>
              <w:rPr>
                <w:rFonts w:hint="eastAsia"/>
                <w:bCs/>
                <w:color w:val="000000"/>
                <w:sz w:val="21"/>
                <w:szCs w:val="21"/>
              </w:rPr>
              <w:t>4</w:t>
            </w:r>
          </w:p>
        </w:tc>
        <w:tc>
          <w:tcPr>
            <w:tcW w:w="1771" w:type="pct"/>
            <w:vAlign w:val="center"/>
          </w:tcPr>
          <w:p w14:paraId="195D5FF6">
            <w:pPr>
              <w:textAlignment w:val="center"/>
              <w:rPr>
                <w:rFonts w:hint="eastAsia"/>
                <w:bCs/>
                <w:color w:val="000000"/>
                <w:sz w:val="21"/>
                <w:szCs w:val="21"/>
              </w:rPr>
            </w:pPr>
            <w:r>
              <w:rPr>
                <w:bCs/>
                <w:color w:val="000000"/>
                <w:sz w:val="21"/>
                <w:szCs w:val="21"/>
              </w:rPr>
              <w:t>利用和保护场地现有自然资源和既有设施，减少对环境的影响和破坏。涉及高原植被、草原、林区、冻土等特殊地区的工程，应强化水土保持和生态修复措施。</w:t>
            </w:r>
          </w:p>
        </w:tc>
        <w:tc>
          <w:tcPr>
            <w:tcW w:w="1892" w:type="pct"/>
            <w:vAlign w:val="center"/>
          </w:tcPr>
          <w:p w14:paraId="2E3729E0">
            <w:pPr>
              <w:textAlignment w:val="center"/>
              <w:rPr>
                <w:rFonts w:hint="eastAsia"/>
                <w:sz w:val="21"/>
                <w:szCs w:val="21"/>
              </w:rPr>
            </w:pPr>
            <w:r>
              <w:rPr>
                <w:rFonts w:hint="eastAsia"/>
                <w:sz w:val="21"/>
                <w:szCs w:val="21"/>
              </w:rPr>
              <w:t>1、变电站工程：站外挖、填方边坡宜优先采用喷播等绿色环保措施，高陡边坡宜采取客土绿化、喷播绿化、生态植生袋等水保措施。站外挖、填方边坡未采取绿色环保措施，扣1分；高陡边坡未采取水保措施，扣1分.</w:t>
            </w:r>
          </w:p>
          <w:p w14:paraId="154E311F">
            <w:pPr>
              <w:textAlignment w:val="center"/>
              <w:rPr>
                <w:rFonts w:hint="eastAsia"/>
                <w:sz w:val="21"/>
                <w:szCs w:val="21"/>
              </w:rPr>
            </w:pPr>
            <w:r>
              <w:rPr>
                <w:rFonts w:hint="eastAsia"/>
                <w:sz w:val="21"/>
                <w:szCs w:val="21"/>
              </w:rPr>
              <w:t>2、架空线路工程：线路路径应根据所处地区水土保持敏感程度和水土流失影响程度合理确定水土保持措施。未编制水土保持方案，扣1分；未落实水土保持方案及其批复文件要求，扣1分。</w:t>
            </w:r>
          </w:p>
          <w:p w14:paraId="73BF3552">
            <w:pPr>
              <w:textAlignment w:val="center"/>
              <w:rPr>
                <w:rFonts w:hint="eastAsia"/>
                <w:sz w:val="21"/>
                <w:szCs w:val="21"/>
              </w:rPr>
            </w:pPr>
            <w:r>
              <w:rPr>
                <w:sz w:val="21"/>
                <w:szCs w:val="21"/>
              </w:rPr>
              <w:t>路径尽量避让自然保护地、世界自然遗产、生态保护红线等生态敏感区</w:t>
            </w:r>
            <w:r>
              <w:rPr>
                <w:rFonts w:hint="eastAsia"/>
                <w:sz w:val="21"/>
                <w:szCs w:val="21"/>
              </w:rPr>
              <w:t>。涉及生态敏感区无协议文件，扣2分；未避让生态敏感区且未采取措施，扣2分；措施不合理或缺乏针对性，每处扣1分。</w:t>
            </w:r>
          </w:p>
          <w:p w14:paraId="096D7A70">
            <w:pPr>
              <w:textAlignment w:val="center"/>
              <w:rPr>
                <w:rFonts w:hint="eastAsia"/>
                <w:sz w:val="21"/>
                <w:szCs w:val="21"/>
              </w:rPr>
            </w:pPr>
            <w:r>
              <w:rPr>
                <w:rFonts w:hint="eastAsia"/>
                <w:sz w:val="21"/>
                <w:szCs w:val="21"/>
              </w:rPr>
              <w:t>线路路径宜避让林木密集区、经济作物区，若无法避让，应考虑按高跨设计，线路路径或跨越设计方案不合理，发生大面积砍伐事件，每处扣1分。</w:t>
            </w:r>
          </w:p>
          <w:p w14:paraId="47FEC0AD">
            <w:pPr>
              <w:textAlignment w:val="center"/>
              <w:rPr>
                <w:rFonts w:hint="eastAsia"/>
                <w:bCs/>
                <w:color w:val="000000"/>
                <w:sz w:val="21"/>
                <w:szCs w:val="21"/>
              </w:rPr>
            </w:pPr>
            <w:r>
              <w:rPr>
                <w:rFonts w:hint="eastAsia"/>
                <w:sz w:val="21"/>
                <w:szCs w:val="21"/>
              </w:rPr>
              <w:t>3</w:t>
            </w:r>
            <w:r>
              <w:rPr>
                <w:sz w:val="21"/>
                <w:szCs w:val="21"/>
              </w:rPr>
              <w:t>、</w:t>
            </w:r>
            <w:r>
              <w:rPr>
                <w:rFonts w:hint="eastAsia"/>
                <w:sz w:val="21"/>
                <w:szCs w:val="21"/>
              </w:rPr>
              <w:t>电缆与海底电缆工程：电缆路径应考虑对沿线生态环境、电磁环境、声环境的影响，采取并落实相应的环境保护措施。未依法制订环境保护措施，扣2分；未计列相关费用，扣2分；未落实环境影响报告及其批复文件要求，每处扣0.5分</w:t>
            </w:r>
          </w:p>
        </w:tc>
        <w:tc>
          <w:tcPr>
            <w:tcW w:w="484" w:type="pct"/>
            <w:vAlign w:val="center"/>
          </w:tcPr>
          <w:p w14:paraId="13328A36">
            <w:pPr>
              <w:adjustRightInd w:val="0"/>
              <w:snapToGrid w:val="0"/>
              <w:jc w:val="center"/>
              <w:rPr>
                <w:rFonts w:hint="eastAsia"/>
                <w:bCs/>
                <w:color w:val="000000"/>
                <w:sz w:val="21"/>
                <w:szCs w:val="21"/>
              </w:rPr>
            </w:pPr>
            <w:r>
              <w:rPr>
                <w:rFonts w:hint="eastAsia"/>
                <w:bCs/>
                <w:color w:val="000000"/>
                <w:sz w:val="21"/>
                <w:szCs w:val="21"/>
              </w:rPr>
              <w:t>2</w:t>
            </w:r>
          </w:p>
        </w:tc>
        <w:tc>
          <w:tcPr>
            <w:tcW w:w="488" w:type="pct"/>
            <w:vAlign w:val="center"/>
          </w:tcPr>
          <w:p w14:paraId="14ECF989">
            <w:pPr>
              <w:adjustRightInd w:val="0"/>
              <w:snapToGrid w:val="0"/>
              <w:jc w:val="center"/>
              <w:rPr>
                <w:rFonts w:hint="eastAsia"/>
                <w:bCs/>
                <w:color w:val="000000"/>
                <w:sz w:val="21"/>
                <w:szCs w:val="21"/>
              </w:rPr>
            </w:pPr>
          </w:p>
        </w:tc>
      </w:tr>
      <w:tr w14:paraId="3EB429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D761692">
            <w:pPr>
              <w:adjustRightInd w:val="0"/>
              <w:snapToGrid w:val="0"/>
              <w:jc w:val="center"/>
              <w:rPr>
                <w:rFonts w:hint="eastAsia"/>
                <w:bCs/>
                <w:color w:val="000000"/>
                <w:sz w:val="21"/>
                <w:szCs w:val="21"/>
              </w:rPr>
            </w:pPr>
            <w:r>
              <w:rPr>
                <w:rFonts w:hint="eastAsia"/>
                <w:bCs/>
                <w:color w:val="000000"/>
                <w:sz w:val="21"/>
                <w:szCs w:val="21"/>
              </w:rPr>
              <w:t>5</w:t>
            </w:r>
          </w:p>
        </w:tc>
        <w:tc>
          <w:tcPr>
            <w:tcW w:w="1771" w:type="pct"/>
            <w:vAlign w:val="center"/>
          </w:tcPr>
          <w:p w14:paraId="064C9EBB">
            <w:pPr>
              <w:textAlignment w:val="center"/>
              <w:rPr>
                <w:rFonts w:hint="eastAsia"/>
                <w:bCs/>
                <w:color w:val="000000"/>
                <w:sz w:val="21"/>
                <w:szCs w:val="21"/>
              </w:rPr>
            </w:pPr>
            <w:r>
              <w:rPr>
                <w:bCs/>
                <w:color w:val="000000"/>
                <w:sz w:val="21"/>
                <w:szCs w:val="21"/>
              </w:rPr>
              <w:t>选用电磁辐射水平低、</w:t>
            </w:r>
            <w:r>
              <w:rPr>
                <w:rFonts w:hint="eastAsia"/>
                <w:bCs/>
                <w:color w:val="000000"/>
                <w:sz w:val="21"/>
                <w:szCs w:val="21"/>
              </w:rPr>
              <w:t>无毒</w:t>
            </w:r>
            <w:r>
              <w:rPr>
                <w:bCs/>
                <w:color w:val="000000"/>
                <w:sz w:val="21"/>
                <w:szCs w:val="21"/>
              </w:rPr>
              <w:t>的设备、材料。</w:t>
            </w:r>
          </w:p>
        </w:tc>
        <w:tc>
          <w:tcPr>
            <w:tcW w:w="1892" w:type="pct"/>
            <w:vAlign w:val="center"/>
          </w:tcPr>
          <w:p w14:paraId="44722E8B">
            <w:pPr>
              <w:textAlignment w:val="center"/>
              <w:rPr>
                <w:rFonts w:hint="eastAsia"/>
                <w:bCs/>
                <w:color w:val="000000"/>
                <w:sz w:val="21"/>
                <w:szCs w:val="21"/>
              </w:rPr>
            </w:pPr>
            <w:r>
              <w:rPr>
                <w:rFonts w:hint="eastAsia"/>
                <w:bCs/>
                <w:color w:val="000000"/>
                <w:sz w:val="21"/>
                <w:szCs w:val="21"/>
              </w:rPr>
              <w:t>选用毒性材料，扣2分</w:t>
            </w:r>
          </w:p>
        </w:tc>
        <w:tc>
          <w:tcPr>
            <w:tcW w:w="484" w:type="pct"/>
            <w:vAlign w:val="center"/>
          </w:tcPr>
          <w:p w14:paraId="6B7076B1">
            <w:pPr>
              <w:adjustRightInd w:val="0"/>
              <w:snapToGrid w:val="0"/>
              <w:jc w:val="center"/>
              <w:rPr>
                <w:rFonts w:hint="eastAsia"/>
                <w:bCs/>
                <w:color w:val="000000"/>
                <w:sz w:val="21"/>
                <w:szCs w:val="21"/>
              </w:rPr>
            </w:pPr>
            <w:r>
              <w:rPr>
                <w:rFonts w:hint="eastAsia"/>
                <w:bCs/>
                <w:color w:val="000000"/>
                <w:sz w:val="21"/>
                <w:szCs w:val="21"/>
              </w:rPr>
              <w:t>2</w:t>
            </w:r>
          </w:p>
        </w:tc>
        <w:tc>
          <w:tcPr>
            <w:tcW w:w="488" w:type="pct"/>
            <w:vAlign w:val="center"/>
          </w:tcPr>
          <w:p w14:paraId="5486493A">
            <w:pPr>
              <w:adjustRightInd w:val="0"/>
              <w:snapToGrid w:val="0"/>
              <w:jc w:val="center"/>
              <w:rPr>
                <w:rFonts w:hint="eastAsia"/>
                <w:bCs/>
                <w:color w:val="000000"/>
                <w:sz w:val="21"/>
                <w:szCs w:val="21"/>
              </w:rPr>
            </w:pPr>
          </w:p>
        </w:tc>
      </w:tr>
      <w:tr w14:paraId="6C451B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0B002D5">
            <w:pPr>
              <w:adjustRightInd w:val="0"/>
              <w:snapToGrid w:val="0"/>
              <w:jc w:val="center"/>
              <w:rPr>
                <w:rFonts w:hint="eastAsia"/>
                <w:bCs/>
                <w:color w:val="000000"/>
                <w:sz w:val="21"/>
                <w:szCs w:val="21"/>
              </w:rPr>
            </w:pPr>
            <w:r>
              <w:rPr>
                <w:rFonts w:hint="eastAsia"/>
                <w:bCs/>
                <w:color w:val="000000"/>
                <w:sz w:val="21"/>
                <w:szCs w:val="21"/>
              </w:rPr>
              <w:t>6</w:t>
            </w:r>
          </w:p>
        </w:tc>
        <w:tc>
          <w:tcPr>
            <w:tcW w:w="1771" w:type="pct"/>
            <w:vAlign w:val="center"/>
          </w:tcPr>
          <w:p w14:paraId="1B695A35">
            <w:pPr>
              <w:textAlignment w:val="center"/>
              <w:rPr>
                <w:rFonts w:hint="eastAsia"/>
                <w:bCs/>
                <w:color w:val="000000"/>
                <w:sz w:val="21"/>
                <w:szCs w:val="21"/>
              </w:rPr>
            </w:pPr>
            <w:r>
              <w:rPr>
                <w:rFonts w:hint="eastAsia"/>
                <w:bCs/>
                <w:color w:val="000000"/>
                <w:sz w:val="21"/>
                <w:szCs w:val="21"/>
              </w:rPr>
              <w:t>变电站（换流站）项目采用低噪声设备，并采取</w:t>
            </w:r>
            <w:r>
              <w:rPr>
                <w:bCs/>
                <w:color w:val="000000"/>
                <w:sz w:val="21"/>
                <w:szCs w:val="21"/>
              </w:rPr>
              <w:t>隔声、消声、吸声等</w:t>
            </w:r>
            <w:r>
              <w:rPr>
                <w:rFonts w:hint="eastAsia"/>
                <w:bCs/>
                <w:color w:val="000000"/>
                <w:sz w:val="21"/>
                <w:szCs w:val="21"/>
              </w:rPr>
              <w:t>措施</w:t>
            </w:r>
            <w:r>
              <w:rPr>
                <w:bCs/>
                <w:color w:val="000000"/>
                <w:sz w:val="21"/>
                <w:szCs w:val="21"/>
              </w:rPr>
              <w:t>，以降低变电站噪声对环境的影响。</w:t>
            </w:r>
          </w:p>
        </w:tc>
        <w:tc>
          <w:tcPr>
            <w:tcW w:w="1892" w:type="pct"/>
            <w:vAlign w:val="center"/>
          </w:tcPr>
          <w:p w14:paraId="33B658E7">
            <w:pPr>
              <w:textAlignment w:val="center"/>
              <w:rPr>
                <w:rFonts w:hint="eastAsia"/>
                <w:bCs/>
                <w:color w:val="000000"/>
                <w:sz w:val="21"/>
                <w:szCs w:val="21"/>
              </w:rPr>
            </w:pPr>
            <w:r>
              <w:rPr>
                <w:rFonts w:hint="eastAsia"/>
                <w:bCs/>
                <w:color w:val="000000"/>
                <w:sz w:val="21"/>
                <w:szCs w:val="21"/>
              </w:rPr>
              <w:t>变电站专用项，未采用降噪措施，扣2分</w:t>
            </w:r>
          </w:p>
        </w:tc>
        <w:tc>
          <w:tcPr>
            <w:tcW w:w="484" w:type="pct"/>
            <w:vAlign w:val="center"/>
          </w:tcPr>
          <w:p w14:paraId="757D71DA">
            <w:pPr>
              <w:adjustRightInd w:val="0"/>
              <w:snapToGrid w:val="0"/>
              <w:jc w:val="center"/>
              <w:rPr>
                <w:rFonts w:hint="eastAsia"/>
                <w:bCs/>
                <w:color w:val="000000"/>
                <w:sz w:val="21"/>
                <w:szCs w:val="21"/>
              </w:rPr>
            </w:pPr>
            <w:r>
              <w:rPr>
                <w:rFonts w:hint="eastAsia"/>
                <w:bCs/>
                <w:color w:val="000000"/>
                <w:sz w:val="21"/>
                <w:szCs w:val="21"/>
              </w:rPr>
              <w:t>2</w:t>
            </w:r>
          </w:p>
        </w:tc>
        <w:tc>
          <w:tcPr>
            <w:tcW w:w="488" w:type="pct"/>
            <w:vAlign w:val="center"/>
          </w:tcPr>
          <w:p w14:paraId="6885B386">
            <w:pPr>
              <w:adjustRightInd w:val="0"/>
              <w:snapToGrid w:val="0"/>
              <w:jc w:val="center"/>
              <w:rPr>
                <w:rFonts w:hint="eastAsia"/>
                <w:bCs/>
                <w:color w:val="000000"/>
                <w:sz w:val="21"/>
                <w:szCs w:val="21"/>
              </w:rPr>
            </w:pPr>
          </w:p>
        </w:tc>
      </w:tr>
      <w:tr w14:paraId="2E400E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2347FCF">
            <w:pPr>
              <w:adjustRightInd w:val="0"/>
              <w:snapToGrid w:val="0"/>
              <w:jc w:val="center"/>
              <w:rPr>
                <w:rFonts w:hint="eastAsia"/>
                <w:bCs/>
                <w:color w:val="000000"/>
                <w:sz w:val="21"/>
                <w:szCs w:val="21"/>
              </w:rPr>
            </w:pPr>
            <w:r>
              <w:rPr>
                <w:rFonts w:hint="eastAsia"/>
                <w:b/>
                <w:color w:val="000000"/>
                <w:sz w:val="21"/>
                <w:szCs w:val="21"/>
              </w:rPr>
              <w:t>5.5.4</w:t>
            </w:r>
          </w:p>
        </w:tc>
        <w:tc>
          <w:tcPr>
            <w:tcW w:w="1771" w:type="pct"/>
            <w:vAlign w:val="center"/>
          </w:tcPr>
          <w:p w14:paraId="2317FC59">
            <w:pPr>
              <w:textAlignment w:val="center"/>
              <w:rPr>
                <w:rFonts w:hint="eastAsia"/>
                <w:bCs/>
                <w:color w:val="000000"/>
                <w:sz w:val="21"/>
                <w:szCs w:val="21"/>
              </w:rPr>
            </w:pPr>
            <w:r>
              <w:rPr>
                <w:rFonts w:hint="eastAsia"/>
                <w:b/>
                <w:color w:val="000000"/>
                <w:sz w:val="21"/>
                <w:szCs w:val="21"/>
              </w:rPr>
              <w:tab/>
            </w:r>
            <w:r>
              <w:rPr>
                <w:rFonts w:hint="eastAsia"/>
                <w:b/>
                <w:color w:val="000000"/>
                <w:sz w:val="21"/>
                <w:szCs w:val="21"/>
              </w:rPr>
              <w:t>综合效益</w:t>
            </w:r>
          </w:p>
        </w:tc>
        <w:tc>
          <w:tcPr>
            <w:tcW w:w="1892" w:type="pct"/>
            <w:vAlign w:val="center"/>
          </w:tcPr>
          <w:p w14:paraId="6A389522">
            <w:pPr>
              <w:textAlignment w:val="center"/>
              <w:rPr>
                <w:rFonts w:hint="eastAsia"/>
                <w:bCs/>
                <w:color w:val="000000"/>
                <w:sz w:val="21"/>
                <w:szCs w:val="21"/>
              </w:rPr>
            </w:pPr>
          </w:p>
        </w:tc>
        <w:tc>
          <w:tcPr>
            <w:tcW w:w="484" w:type="pct"/>
            <w:vAlign w:val="center"/>
          </w:tcPr>
          <w:p w14:paraId="17BE190A">
            <w:pPr>
              <w:adjustRightInd w:val="0"/>
              <w:snapToGrid w:val="0"/>
              <w:jc w:val="center"/>
              <w:rPr>
                <w:rFonts w:hint="eastAsia"/>
                <w:bCs/>
                <w:color w:val="000000"/>
                <w:sz w:val="21"/>
                <w:szCs w:val="21"/>
              </w:rPr>
            </w:pPr>
          </w:p>
        </w:tc>
        <w:tc>
          <w:tcPr>
            <w:tcW w:w="488" w:type="pct"/>
            <w:vAlign w:val="center"/>
          </w:tcPr>
          <w:p w14:paraId="72D34662">
            <w:pPr>
              <w:adjustRightInd w:val="0"/>
              <w:snapToGrid w:val="0"/>
              <w:jc w:val="center"/>
              <w:rPr>
                <w:rFonts w:hint="eastAsia"/>
                <w:bCs/>
                <w:color w:val="000000"/>
                <w:sz w:val="21"/>
                <w:szCs w:val="21"/>
              </w:rPr>
            </w:pPr>
          </w:p>
        </w:tc>
      </w:tr>
      <w:tr w14:paraId="0C8375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A855372">
            <w:pPr>
              <w:adjustRightInd w:val="0"/>
              <w:snapToGrid w:val="0"/>
              <w:jc w:val="center"/>
              <w:rPr>
                <w:rFonts w:hint="eastAsia"/>
                <w:bCs/>
                <w:color w:val="000000"/>
                <w:sz w:val="21"/>
                <w:szCs w:val="21"/>
              </w:rPr>
            </w:pPr>
            <w:r>
              <w:rPr>
                <w:rFonts w:hint="eastAsia"/>
                <w:bCs/>
                <w:color w:val="000000"/>
                <w:sz w:val="21"/>
                <w:szCs w:val="21"/>
              </w:rPr>
              <w:t>1</w:t>
            </w:r>
          </w:p>
        </w:tc>
        <w:tc>
          <w:tcPr>
            <w:tcW w:w="1771" w:type="pct"/>
            <w:vAlign w:val="center"/>
          </w:tcPr>
          <w:p w14:paraId="17DF2F5B">
            <w:pPr>
              <w:textAlignment w:val="center"/>
              <w:rPr>
                <w:rFonts w:hint="eastAsia"/>
                <w:bCs/>
                <w:color w:val="000000"/>
                <w:sz w:val="21"/>
                <w:szCs w:val="21"/>
              </w:rPr>
            </w:pPr>
            <w:r>
              <w:rPr>
                <w:rFonts w:hint="eastAsia"/>
                <w:bCs/>
                <w:color w:val="000000"/>
                <w:sz w:val="21"/>
                <w:szCs w:val="21"/>
              </w:rPr>
              <w:t>与同类同期工程相比较，在综合投资方面有显著改进，并取得显著成效；重要经济技术指标处于领先水平。</w:t>
            </w:r>
          </w:p>
        </w:tc>
        <w:tc>
          <w:tcPr>
            <w:tcW w:w="1892" w:type="pct"/>
            <w:vAlign w:val="center"/>
          </w:tcPr>
          <w:p w14:paraId="682881F5">
            <w:pPr>
              <w:textAlignment w:val="center"/>
              <w:rPr>
                <w:rFonts w:hint="eastAsia"/>
                <w:bCs/>
                <w:color w:val="000000"/>
                <w:sz w:val="21"/>
                <w:szCs w:val="21"/>
              </w:rPr>
            </w:pPr>
            <w:r>
              <w:rPr>
                <w:rFonts w:hint="eastAsia"/>
                <w:sz w:val="21"/>
                <w:szCs w:val="21"/>
              </w:rPr>
              <w:t>经过设计优化，工程总投资比同类通规模工程减少5%及以上，加0.5分；减少10%及以上，加5分</w:t>
            </w:r>
          </w:p>
        </w:tc>
        <w:tc>
          <w:tcPr>
            <w:tcW w:w="484" w:type="pct"/>
            <w:vAlign w:val="center"/>
          </w:tcPr>
          <w:p w14:paraId="750E9447">
            <w:pPr>
              <w:adjustRightInd w:val="0"/>
              <w:snapToGrid w:val="0"/>
              <w:jc w:val="center"/>
              <w:rPr>
                <w:rFonts w:hint="eastAsia"/>
                <w:bCs/>
                <w:color w:val="000000"/>
                <w:sz w:val="21"/>
                <w:szCs w:val="21"/>
              </w:rPr>
            </w:pPr>
            <w:r>
              <w:rPr>
                <w:rFonts w:hint="eastAsia"/>
                <w:bCs/>
                <w:color w:val="000000"/>
                <w:sz w:val="21"/>
                <w:szCs w:val="21"/>
              </w:rPr>
              <w:t>5</w:t>
            </w:r>
          </w:p>
        </w:tc>
        <w:tc>
          <w:tcPr>
            <w:tcW w:w="488" w:type="pct"/>
            <w:vAlign w:val="center"/>
          </w:tcPr>
          <w:p w14:paraId="4B5B66CC">
            <w:pPr>
              <w:adjustRightInd w:val="0"/>
              <w:snapToGrid w:val="0"/>
              <w:jc w:val="center"/>
              <w:rPr>
                <w:rFonts w:hint="eastAsia"/>
                <w:bCs/>
                <w:color w:val="000000"/>
                <w:sz w:val="21"/>
                <w:szCs w:val="21"/>
              </w:rPr>
            </w:pPr>
          </w:p>
        </w:tc>
      </w:tr>
      <w:tr w14:paraId="2D05FD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A3DB8B6">
            <w:pPr>
              <w:adjustRightInd w:val="0"/>
              <w:snapToGrid w:val="0"/>
              <w:jc w:val="center"/>
              <w:rPr>
                <w:rFonts w:hint="eastAsia"/>
                <w:bCs/>
                <w:color w:val="000000"/>
                <w:sz w:val="21"/>
                <w:szCs w:val="21"/>
              </w:rPr>
            </w:pPr>
            <w:r>
              <w:rPr>
                <w:rFonts w:hint="eastAsia"/>
                <w:bCs/>
                <w:color w:val="000000"/>
                <w:sz w:val="21"/>
                <w:szCs w:val="21"/>
              </w:rPr>
              <w:t>2</w:t>
            </w:r>
          </w:p>
        </w:tc>
        <w:tc>
          <w:tcPr>
            <w:tcW w:w="1771" w:type="pct"/>
            <w:vAlign w:val="center"/>
          </w:tcPr>
          <w:p w14:paraId="1CE3E23B">
            <w:pPr>
              <w:textAlignment w:val="center"/>
              <w:rPr>
                <w:rFonts w:hint="eastAsia"/>
                <w:bCs/>
                <w:color w:val="000000"/>
                <w:sz w:val="21"/>
                <w:szCs w:val="21"/>
              </w:rPr>
            </w:pPr>
            <w:r>
              <w:rPr>
                <w:rFonts w:hint="eastAsia"/>
                <w:bCs/>
                <w:color w:val="000000"/>
                <w:sz w:val="21"/>
                <w:szCs w:val="21"/>
              </w:rPr>
              <w:t>与同类同期工程相比较，在资源节约、环境保护、生态融合等方面亮点突出，社会满意度较高。</w:t>
            </w:r>
          </w:p>
        </w:tc>
        <w:tc>
          <w:tcPr>
            <w:tcW w:w="1892" w:type="pct"/>
            <w:vAlign w:val="center"/>
          </w:tcPr>
          <w:p w14:paraId="6D6AA92E">
            <w:pPr>
              <w:textAlignment w:val="center"/>
              <w:rPr>
                <w:rFonts w:hint="eastAsia"/>
                <w:sz w:val="21"/>
                <w:szCs w:val="21"/>
              </w:rPr>
            </w:pPr>
            <w:r>
              <w:rPr>
                <w:rFonts w:hint="eastAsia"/>
                <w:sz w:val="21"/>
                <w:szCs w:val="21"/>
              </w:rPr>
              <w:t>1、变电站工程：变电站主要功能房间照明功率密度值不大于现行GB 50034《建筑照明设计标准》和DL/T 5390的《发电厂和变电站照明设计技术规定》目标值，每处加2分。</w:t>
            </w:r>
          </w:p>
          <w:p w14:paraId="2FE928F2">
            <w:pPr>
              <w:textAlignment w:val="center"/>
              <w:rPr>
                <w:rFonts w:hint="eastAsia"/>
                <w:sz w:val="21"/>
                <w:szCs w:val="21"/>
              </w:rPr>
            </w:pPr>
            <w:r>
              <w:rPr>
                <w:sz w:val="21"/>
                <w:szCs w:val="21"/>
              </w:rPr>
              <w:t>临建场地零硬化，加</w:t>
            </w:r>
            <w:r>
              <w:rPr>
                <w:rFonts w:hint="eastAsia"/>
                <w:sz w:val="21"/>
                <w:szCs w:val="21"/>
              </w:rPr>
              <w:t>2</w:t>
            </w:r>
            <w:r>
              <w:rPr>
                <w:sz w:val="21"/>
                <w:szCs w:val="21"/>
              </w:rPr>
              <w:t>分；采用预制舱式临建，加</w:t>
            </w:r>
            <w:r>
              <w:rPr>
                <w:rFonts w:hint="eastAsia"/>
                <w:sz w:val="21"/>
                <w:szCs w:val="21"/>
              </w:rPr>
              <w:t>2</w:t>
            </w:r>
            <w:r>
              <w:rPr>
                <w:sz w:val="21"/>
                <w:szCs w:val="21"/>
              </w:rPr>
              <w:t>分</w:t>
            </w:r>
            <w:r>
              <w:rPr>
                <w:rFonts w:hint="eastAsia"/>
                <w:sz w:val="21"/>
                <w:szCs w:val="21"/>
              </w:rPr>
              <w:t>。</w:t>
            </w:r>
          </w:p>
          <w:p w14:paraId="1ED4A0A9">
            <w:pPr>
              <w:textAlignment w:val="center"/>
              <w:rPr>
                <w:rFonts w:hint="eastAsia"/>
                <w:sz w:val="21"/>
                <w:szCs w:val="21"/>
              </w:rPr>
            </w:pPr>
            <w:r>
              <w:rPr>
                <w:rFonts w:hint="eastAsia"/>
                <w:sz w:val="21"/>
                <w:szCs w:val="21"/>
              </w:rPr>
              <w:t>特殊地貌地区（高原、冻土、草原、森林等）现场施工生态保护措施完整到位，加2分。</w:t>
            </w:r>
          </w:p>
          <w:p w14:paraId="5E243794">
            <w:pPr>
              <w:textAlignment w:val="center"/>
              <w:rPr>
                <w:rFonts w:hint="eastAsia"/>
                <w:sz w:val="21"/>
                <w:szCs w:val="21"/>
              </w:rPr>
            </w:pPr>
            <w:r>
              <w:rPr>
                <w:rFonts w:hint="eastAsia"/>
                <w:sz w:val="21"/>
                <w:szCs w:val="21"/>
              </w:rPr>
              <w:t>2、架空线路工程：在地质条件复杂地区，采用地质遥感、地质雷达等技术对路径所经地区进行稳定分析，加5分。经过经济技术比较，合理选用节能型导线，加5分。</w:t>
            </w:r>
          </w:p>
          <w:p w14:paraId="2E750DD8">
            <w:pPr>
              <w:textAlignment w:val="center"/>
              <w:rPr>
                <w:rFonts w:hint="eastAsia"/>
                <w:sz w:val="21"/>
                <w:szCs w:val="21"/>
              </w:rPr>
            </w:pPr>
            <w:r>
              <w:rPr>
                <w:rFonts w:hint="eastAsia"/>
                <w:sz w:val="21"/>
                <w:szCs w:val="21"/>
              </w:rPr>
              <w:t>3</w:t>
            </w:r>
            <w:r>
              <w:rPr>
                <w:sz w:val="21"/>
                <w:szCs w:val="21"/>
              </w:rPr>
              <w:t>、</w:t>
            </w:r>
            <w:r>
              <w:rPr>
                <w:rFonts w:hint="eastAsia"/>
                <w:sz w:val="21"/>
                <w:szCs w:val="21"/>
              </w:rPr>
              <w:t>电缆工程：排管管材选用HPVC等强度高、耐久性好的环保型材质，加2分；电缆通道应用装配式构件，如预制式工作井、箱涵等，每种类型加2分。电缆隧道内照明功率密度值不大于现行GB 50034《建筑照明设计标准》和DL/T 5390《发电厂和变电站照明设计技术规定》的目标值的，加1分；灯具实现分区域控制，加1分；电缆隧道内，应用巡检机器人、智能监控、火灾报警等智能化设备，加1分。</w:t>
            </w:r>
          </w:p>
          <w:p w14:paraId="5BA0F295">
            <w:pPr>
              <w:textAlignment w:val="center"/>
              <w:rPr>
                <w:rFonts w:hint="eastAsia"/>
                <w:bCs/>
                <w:color w:val="000000"/>
                <w:sz w:val="21"/>
                <w:szCs w:val="21"/>
              </w:rPr>
            </w:pPr>
            <w:r>
              <w:rPr>
                <w:rFonts w:hint="eastAsia"/>
                <w:sz w:val="21"/>
                <w:szCs w:val="21"/>
              </w:rPr>
              <w:t>4</w:t>
            </w:r>
            <w:r>
              <w:rPr>
                <w:sz w:val="21"/>
                <w:szCs w:val="21"/>
              </w:rPr>
              <w:t>、</w:t>
            </w:r>
            <w:r>
              <w:rPr>
                <w:rFonts w:hint="eastAsia"/>
                <w:sz w:val="21"/>
                <w:szCs w:val="21"/>
              </w:rPr>
              <w:t>海底电缆工程：电缆通道选用强度高、耐久性好的环保型材质，加2分；电缆通道应用装配式构件，如预制式工作井、箱涵等，每种类型加1分。电缆隧道内照明功率密度值不大于现行GB 50034《建筑照明设计标准》和DL/T 5390《发电厂和变电站照明设计技术规定》的目标值的，加1分；灯具实现分区域控制，加1分；电缆隧道内，应用巡检机器人、智能监控、火灾报警等智能化设备，加1分。</w:t>
            </w:r>
          </w:p>
        </w:tc>
        <w:tc>
          <w:tcPr>
            <w:tcW w:w="484" w:type="pct"/>
            <w:vAlign w:val="center"/>
          </w:tcPr>
          <w:p w14:paraId="4887132C">
            <w:pPr>
              <w:adjustRightInd w:val="0"/>
              <w:snapToGrid w:val="0"/>
              <w:jc w:val="center"/>
              <w:rPr>
                <w:rFonts w:hint="eastAsia"/>
                <w:bCs/>
                <w:color w:val="000000"/>
                <w:sz w:val="21"/>
                <w:szCs w:val="21"/>
              </w:rPr>
            </w:pPr>
            <w:r>
              <w:rPr>
                <w:rFonts w:hint="eastAsia"/>
                <w:bCs/>
                <w:color w:val="000000"/>
                <w:sz w:val="21"/>
                <w:szCs w:val="21"/>
              </w:rPr>
              <w:t>10</w:t>
            </w:r>
          </w:p>
        </w:tc>
        <w:tc>
          <w:tcPr>
            <w:tcW w:w="488" w:type="pct"/>
            <w:vAlign w:val="center"/>
          </w:tcPr>
          <w:p w14:paraId="00F75F0C">
            <w:pPr>
              <w:adjustRightInd w:val="0"/>
              <w:snapToGrid w:val="0"/>
              <w:jc w:val="center"/>
              <w:rPr>
                <w:rFonts w:hint="eastAsia"/>
                <w:bCs/>
                <w:color w:val="000000"/>
                <w:sz w:val="21"/>
                <w:szCs w:val="21"/>
              </w:rPr>
            </w:pPr>
          </w:p>
        </w:tc>
      </w:tr>
      <w:tr w14:paraId="084FEF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9DE6677">
            <w:pPr>
              <w:adjustRightInd w:val="0"/>
              <w:snapToGrid w:val="0"/>
              <w:jc w:val="center"/>
              <w:rPr>
                <w:rFonts w:hint="eastAsia"/>
                <w:bCs/>
                <w:color w:val="000000"/>
                <w:sz w:val="21"/>
                <w:szCs w:val="21"/>
              </w:rPr>
            </w:pPr>
            <w:r>
              <w:rPr>
                <w:rFonts w:hint="eastAsia"/>
                <w:b/>
                <w:color w:val="000000"/>
                <w:sz w:val="21"/>
                <w:szCs w:val="21"/>
              </w:rPr>
              <w:t>5.5.5</w:t>
            </w:r>
          </w:p>
        </w:tc>
        <w:tc>
          <w:tcPr>
            <w:tcW w:w="1771" w:type="pct"/>
            <w:vAlign w:val="center"/>
          </w:tcPr>
          <w:p w14:paraId="440DDC0D">
            <w:pPr>
              <w:textAlignment w:val="center"/>
              <w:rPr>
                <w:rFonts w:hint="eastAsia"/>
                <w:bCs/>
                <w:color w:val="000000"/>
                <w:sz w:val="21"/>
                <w:szCs w:val="21"/>
              </w:rPr>
            </w:pPr>
            <w:r>
              <w:rPr>
                <w:rFonts w:hint="eastAsia"/>
                <w:b/>
                <w:color w:val="000000"/>
                <w:sz w:val="21"/>
                <w:szCs w:val="21"/>
              </w:rPr>
              <w:t>科技创新</w:t>
            </w:r>
          </w:p>
        </w:tc>
        <w:tc>
          <w:tcPr>
            <w:tcW w:w="1892" w:type="pct"/>
            <w:vAlign w:val="center"/>
          </w:tcPr>
          <w:p w14:paraId="62BFC7C5">
            <w:pPr>
              <w:textAlignment w:val="center"/>
              <w:rPr>
                <w:rFonts w:hint="eastAsia"/>
                <w:bCs/>
                <w:color w:val="000000"/>
                <w:sz w:val="21"/>
                <w:szCs w:val="21"/>
              </w:rPr>
            </w:pPr>
          </w:p>
        </w:tc>
        <w:tc>
          <w:tcPr>
            <w:tcW w:w="484" w:type="pct"/>
            <w:vAlign w:val="center"/>
          </w:tcPr>
          <w:p w14:paraId="725FC3BA">
            <w:pPr>
              <w:adjustRightInd w:val="0"/>
              <w:snapToGrid w:val="0"/>
              <w:jc w:val="center"/>
              <w:rPr>
                <w:rFonts w:hint="eastAsia"/>
                <w:bCs/>
                <w:color w:val="000000"/>
                <w:sz w:val="21"/>
                <w:szCs w:val="21"/>
              </w:rPr>
            </w:pPr>
          </w:p>
        </w:tc>
        <w:tc>
          <w:tcPr>
            <w:tcW w:w="488" w:type="pct"/>
            <w:vAlign w:val="center"/>
          </w:tcPr>
          <w:p w14:paraId="5EE4BDBD">
            <w:pPr>
              <w:adjustRightInd w:val="0"/>
              <w:snapToGrid w:val="0"/>
              <w:jc w:val="center"/>
              <w:rPr>
                <w:rFonts w:hint="eastAsia"/>
                <w:bCs/>
                <w:color w:val="000000"/>
                <w:sz w:val="21"/>
                <w:szCs w:val="21"/>
              </w:rPr>
            </w:pPr>
          </w:p>
        </w:tc>
      </w:tr>
      <w:tr w14:paraId="1B52B5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DA6B42A">
            <w:pPr>
              <w:adjustRightInd w:val="0"/>
              <w:snapToGrid w:val="0"/>
              <w:jc w:val="center"/>
              <w:rPr>
                <w:rFonts w:hint="eastAsia"/>
                <w:bCs/>
                <w:color w:val="000000"/>
                <w:sz w:val="21"/>
                <w:szCs w:val="21"/>
              </w:rPr>
            </w:pPr>
            <w:r>
              <w:rPr>
                <w:rFonts w:hint="eastAsia"/>
                <w:bCs/>
                <w:color w:val="000000"/>
                <w:sz w:val="21"/>
                <w:szCs w:val="21"/>
              </w:rPr>
              <w:t>1</w:t>
            </w:r>
          </w:p>
        </w:tc>
        <w:tc>
          <w:tcPr>
            <w:tcW w:w="1771" w:type="pct"/>
            <w:vAlign w:val="center"/>
          </w:tcPr>
          <w:p w14:paraId="7F5AA052">
            <w:pPr>
              <w:textAlignment w:val="center"/>
              <w:rPr>
                <w:rFonts w:hint="eastAsia"/>
                <w:bCs/>
                <w:color w:val="000000"/>
                <w:sz w:val="21"/>
                <w:szCs w:val="21"/>
              </w:rPr>
            </w:pPr>
            <w:r>
              <w:rPr>
                <w:rFonts w:hint="eastAsia"/>
                <w:bCs/>
                <w:color w:val="000000"/>
                <w:sz w:val="21"/>
                <w:szCs w:val="21"/>
              </w:rPr>
              <w:t>积极采用新技术、新工艺、新流程、新材料、新装备、新产品等技术创新成果，项目节材、节材、环保等指标先进，领先国内同类型工程。</w:t>
            </w:r>
          </w:p>
        </w:tc>
        <w:tc>
          <w:tcPr>
            <w:tcW w:w="1892" w:type="pct"/>
            <w:vAlign w:val="center"/>
          </w:tcPr>
          <w:p w14:paraId="52C56DBD">
            <w:pPr>
              <w:numPr>
                <w:ilvl w:val="0"/>
                <w:numId w:val="1"/>
              </w:numPr>
              <w:spacing w:line="240" w:lineRule="auto"/>
              <w:textAlignment w:val="center"/>
              <w:rPr>
                <w:rFonts w:hint="eastAsia"/>
                <w:sz w:val="21"/>
                <w:szCs w:val="21"/>
              </w:rPr>
            </w:pPr>
            <w:r>
              <w:rPr>
                <w:rFonts w:hint="eastAsia"/>
                <w:sz w:val="21"/>
                <w:szCs w:val="21"/>
              </w:rPr>
              <w:t>变电站工程：地基处理时，泥浆采用现场脱水固化处理技术，加0.5分；装配式钢结构安装采用全螺栓，实现主体结构零焊接，加0.5分。</w:t>
            </w:r>
          </w:p>
          <w:p w14:paraId="7B0FC08D">
            <w:pPr>
              <w:textAlignment w:val="center"/>
              <w:rPr>
                <w:rFonts w:hint="eastAsia"/>
                <w:sz w:val="21"/>
                <w:szCs w:val="21"/>
              </w:rPr>
            </w:pPr>
            <w:r>
              <w:rPr>
                <w:rFonts w:hint="eastAsia"/>
                <w:sz w:val="21"/>
                <w:szCs w:val="21"/>
              </w:rPr>
              <w:t>采用双断口隔离开关技术，加0.5分；使用X光等无损检测方法对GIS内部进行检查，加-。5分；GIS设备就位采用气垫运输等新技术，加0.5分；沿海地区经技术经济比较后，采用石墨烯重防腐涂料等新材料，加0.5分。</w:t>
            </w:r>
          </w:p>
          <w:p w14:paraId="265AD9B6">
            <w:pPr>
              <w:textAlignment w:val="center"/>
              <w:rPr>
                <w:rFonts w:hint="eastAsia"/>
                <w:sz w:val="21"/>
                <w:szCs w:val="21"/>
              </w:rPr>
            </w:pPr>
            <w:r>
              <w:rPr>
                <w:rFonts w:hint="eastAsia"/>
                <w:sz w:val="21"/>
                <w:szCs w:val="21"/>
              </w:rPr>
              <w:t>工程建设过程中，组织对碳排放进行定量计算加1分；定性分析加0.5分。</w:t>
            </w:r>
          </w:p>
          <w:p w14:paraId="065ED198">
            <w:pPr>
              <w:textAlignment w:val="center"/>
              <w:rPr>
                <w:rFonts w:hint="eastAsia"/>
                <w:sz w:val="21"/>
                <w:szCs w:val="21"/>
              </w:rPr>
            </w:pPr>
            <w:r>
              <w:rPr>
                <w:rFonts w:hint="eastAsia"/>
                <w:sz w:val="21"/>
                <w:szCs w:val="21"/>
              </w:rPr>
              <w:t>取得绿色建造技术创新成果，得到推广应用，每项加2分。</w:t>
            </w:r>
          </w:p>
          <w:p w14:paraId="7E9B69B7">
            <w:pPr>
              <w:numPr>
                <w:ilvl w:val="0"/>
                <w:numId w:val="1"/>
              </w:numPr>
              <w:spacing w:line="240" w:lineRule="auto"/>
              <w:textAlignment w:val="center"/>
              <w:rPr>
                <w:rFonts w:hint="eastAsia"/>
                <w:sz w:val="21"/>
                <w:szCs w:val="21"/>
              </w:rPr>
            </w:pPr>
            <w:r>
              <w:rPr>
                <w:rFonts w:hint="eastAsia"/>
                <w:sz w:val="21"/>
                <w:szCs w:val="21"/>
              </w:rPr>
              <w:t>架空线路工程：高腐蚀地区，杆塔钢材采用新型耐腐蚀措施或材料，加1分；中腐蚀以上地区，应用不锈钢、石墨等耐腐蚀接地材料，加1分；高海拔、强光照、自然保护区、风景名胜区及对光污染有特殊要求的地区，采用有效避免强光反射及光污染措施，加1分；应用蓝牙游标卡尺、测尺等智能检测设备，通过质量模块采集测量，加1分。特殊地貌地区（高原、冻土、草原、森林等）现场施工生态保护措施完整到位，加1分。</w:t>
            </w:r>
          </w:p>
          <w:p w14:paraId="2B3385D9">
            <w:pPr>
              <w:textAlignment w:val="center"/>
              <w:rPr>
                <w:rFonts w:hint="eastAsia"/>
                <w:sz w:val="21"/>
                <w:szCs w:val="21"/>
              </w:rPr>
            </w:pPr>
            <w:r>
              <w:rPr>
                <w:rFonts w:hint="eastAsia"/>
                <w:sz w:val="21"/>
                <w:szCs w:val="21"/>
              </w:rPr>
              <w:t>工程建设过程中，组织对碳排放进行定量计算加1分；定性分析加0.5分。</w:t>
            </w:r>
          </w:p>
          <w:p w14:paraId="72A28CC0">
            <w:pPr>
              <w:textAlignment w:val="center"/>
              <w:rPr>
                <w:rFonts w:hint="eastAsia"/>
                <w:sz w:val="21"/>
                <w:szCs w:val="21"/>
              </w:rPr>
            </w:pPr>
            <w:r>
              <w:rPr>
                <w:rFonts w:hint="eastAsia"/>
                <w:sz w:val="21"/>
                <w:szCs w:val="21"/>
              </w:rPr>
              <w:t>取得绿色建造技术创新成果，得到推广应用，每项加2分。</w:t>
            </w:r>
          </w:p>
          <w:p w14:paraId="60FEA76C">
            <w:pPr>
              <w:numPr>
                <w:ilvl w:val="0"/>
                <w:numId w:val="1"/>
              </w:numPr>
              <w:spacing w:line="240" w:lineRule="auto"/>
              <w:textAlignment w:val="center"/>
              <w:rPr>
                <w:rFonts w:hint="eastAsia"/>
                <w:sz w:val="21"/>
                <w:szCs w:val="21"/>
              </w:rPr>
            </w:pPr>
            <w:r>
              <w:rPr>
                <w:rFonts w:hint="eastAsia"/>
                <w:sz w:val="21"/>
                <w:szCs w:val="21"/>
              </w:rPr>
              <w:t>电缆工程：变电站外应用分支接头等（非户外终端导线搭接方式）新技术解决电缆线路T接问题，加1分；应用蓝牙游标卡尺、测尺等智能检测设备，数据通过质量模块自动采集测量，加1分；中腐蚀以上地区，应用耐腐蚀接地材料，加1分。</w:t>
            </w:r>
          </w:p>
          <w:p w14:paraId="2469B5E0">
            <w:pPr>
              <w:textAlignment w:val="center"/>
              <w:rPr>
                <w:rFonts w:hint="eastAsia"/>
                <w:sz w:val="21"/>
                <w:szCs w:val="21"/>
              </w:rPr>
            </w:pPr>
            <w:r>
              <w:rPr>
                <w:rFonts w:hint="eastAsia"/>
                <w:sz w:val="21"/>
                <w:szCs w:val="21"/>
              </w:rPr>
              <w:t>特殊地貌地区（高原、冻土、草原、森林等）现场施工生态保护措施完整到位，加1分。</w:t>
            </w:r>
          </w:p>
          <w:p w14:paraId="06730B79">
            <w:pPr>
              <w:textAlignment w:val="center"/>
              <w:rPr>
                <w:rFonts w:hint="eastAsia"/>
                <w:sz w:val="21"/>
                <w:szCs w:val="21"/>
              </w:rPr>
            </w:pPr>
            <w:r>
              <w:rPr>
                <w:rFonts w:hint="eastAsia"/>
                <w:sz w:val="21"/>
                <w:szCs w:val="21"/>
              </w:rPr>
              <w:t>工程建设过程中，组织对碳排放进行定量计算加1分；定性分析加0.5分。</w:t>
            </w:r>
          </w:p>
          <w:p w14:paraId="068BE42C">
            <w:pPr>
              <w:textAlignment w:val="center"/>
              <w:rPr>
                <w:rFonts w:hint="eastAsia"/>
                <w:sz w:val="21"/>
                <w:szCs w:val="21"/>
              </w:rPr>
            </w:pPr>
            <w:r>
              <w:rPr>
                <w:rFonts w:hint="eastAsia"/>
                <w:sz w:val="21"/>
                <w:szCs w:val="21"/>
              </w:rPr>
              <w:t>取得绿色建造技术创新成果，得到推广应用，每项加2分。</w:t>
            </w:r>
          </w:p>
          <w:p w14:paraId="3FBD1CD7">
            <w:pPr>
              <w:textAlignment w:val="center"/>
              <w:rPr>
                <w:rFonts w:hint="eastAsia"/>
                <w:sz w:val="21"/>
                <w:szCs w:val="21"/>
              </w:rPr>
            </w:pPr>
            <w:r>
              <w:rPr>
                <w:rFonts w:hint="eastAsia"/>
                <w:sz w:val="21"/>
                <w:szCs w:val="21"/>
              </w:rPr>
              <w:t>4、海底电缆工程：应用分支接头等（非户外终端导线搭接方式）新技术解决电缆线路T接问题，加1分；应用蓝牙游标卡尺、测尺等智能检测设备，数据通过质量模块自动采集测量，加1分；中腐蚀以上地区，应用耐腐蚀接地材料，加1分。</w:t>
            </w:r>
          </w:p>
          <w:p w14:paraId="55082811">
            <w:pPr>
              <w:textAlignment w:val="center"/>
              <w:rPr>
                <w:rFonts w:hint="eastAsia"/>
                <w:sz w:val="21"/>
                <w:szCs w:val="21"/>
              </w:rPr>
            </w:pPr>
            <w:r>
              <w:rPr>
                <w:rFonts w:hint="eastAsia"/>
                <w:sz w:val="21"/>
                <w:szCs w:val="21"/>
              </w:rPr>
              <w:t>编制海洋环境保护方案，并采用适当措施保护海洋环境，加2分。</w:t>
            </w:r>
          </w:p>
          <w:p w14:paraId="34F5E45A">
            <w:pPr>
              <w:textAlignment w:val="center"/>
              <w:rPr>
                <w:rFonts w:hint="eastAsia"/>
                <w:sz w:val="21"/>
                <w:szCs w:val="21"/>
              </w:rPr>
            </w:pPr>
            <w:r>
              <w:rPr>
                <w:rFonts w:hint="eastAsia"/>
                <w:sz w:val="21"/>
                <w:szCs w:val="21"/>
              </w:rPr>
              <w:t>在工程建设过程中，组织对碳排放进行定量计算加1分；定性计算加0.5分。</w:t>
            </w:r>
          </w:p>
          <w:p w14:paraId="584611CF">
            <w:pPr>
              <w:textAlignment w:val="center"/>
              <w:rPr>
                <w:rFonts w:hint="eastAsia"/>
                <w:bCs/>
                <w:color w:val="000000"/>
                <w:sz w:val="21"/>
                <w:szCs w:val="21"/>
              </w:rPr>
            </w:pPr>
            <w:r>
              <w:rPr>
                <w:rFonts w:hint="eastAsia"/>
                <w:sz w:val="21"/>
                <w:szCs w:val="21"/>
              </w:rPr>
              <w:t>取得绿色建造技术创新成果，得到推广应用，每项加2分。</w:t>
            </w:r>
          </w:p>
        </w:tc>
        <w:tc>
          <w:tcPr>
            <w:tcW w:w="484" w:type="pct"/>
            <w:vAlign w:val="center"/>
          </w:tcPr>
          <w:p w14:paraId="1326061F">
            <w:pPr>
              <w:adjustRightInd w:val="0"/>
              <w:snapToGrid w:val="0"/>
              <w:jc w:val="center"/>
              <w:rPr>
                <w:rFonts w:hint="eastAsia"/>
                <w:bCs/>
                <w:color w:val="000000"/>
                <w:sz w:val="21"/>
                <w:szCs w:val="21"/>
              </w:rPr>
            </w:pPr>
            <w:r>
              <w:rPr>
                <w:rFonts w:hint="eastAsia"/>
                <w:bCs/>
                <w:color w:val="000000"/>
                <w:sz w:val="21"/>
                <w:szCs w:val="21"/>
              </w:rPr>
              <w:t>7</w:t>
            </w:r>
          </w:p>
        </w:tc>
        <w:tc>
          <w:tcPr>
            <w:tcW w:w="488" w:type="pct"/>
            <w:vAlign w:val="center"/>
          </w:tcPr>
          <w:p w14:paraId="34C59786">
            <w:pPr>
              <w:adjustRightInd w:val="0"/>
              <w:snapToGrid w:val="0"/>
              <w:jc w:val="center"/>
              <w:rPr>
                <w:rFonts w:hint="eastAsia"/>
                <w:bCs/>
                <w:color w:val="000000"/>
                <w:sz w:val="21"/>
                <w:szCs w:val="21"/>
              </w:rPr>
            </w:pPr>
          </w:p>
        </w:tc>
      </w:tr>
      <w:tr w14:paraId="623646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F0487C7">
            <w:pPr>
              <w:adjustRightInd w:val="0"/>
              <w:snapToGrid w:val="0"/>
              <w:jc w:val="center"/>
              <w:rPr>
                <w:rFonts w:hint="eastAsia"/>
                <w:bCs/>
                <w:color w:val="000000"/>
                <w:sz w:val="21"/>
                <w:szCs w:val="21"/>
              </w:rPr>
            </w:pPr>
            <w:r>
              <w:rPr>
                <w:rFonts w:hint="eastAsia"/>
                <w:bCs/>
                <w:color w:val="000000"/>
                <w:sz w:val="21"/>
                <w:szCs w:val="21"/>
              </w:rPr>
              <w:t>2</w:t>
            </w:r>
          </w:p>
        </w:tc>
        <w:tc>
          <w:tcPr>
            <w:tcW w:w="1771" w:type="pct"/>
            <w:vAlign w:val="center"/>
          </w:tcPr>
          <w:p w14:paraId="7BD9B2B5">
            <w:pPr>
              <w:textAlignment w:val="center"/>
              <w:rPr>
                <w:rFonts w:hint="eastAsia"/>
                <w:bCs/>
                <w:color w:val="000000"/>
                <w:sz w:val="21"/>
                <w:szCs w:val="21"/>
              </w:rPr>
            </w:pPr>
            <w:r>
              <w:rPr>
                <w:rFonts w:hint="eastAsia"/>
                <w:bCs/>
                <w:color w:val="000000"/>
                <w:sz w:val="21"/>
                <w:szCs w:val="21"/>
              </w:rPr>
              <w:t>依托本工程取得的创新成果（课题、专利、专有技术、奖项、竞赛活动成果、国家示范试点、参编标准、期刊论文等）填补国内空白或接近国际水平。</w:t>
            </w:r>
          </w:p>
        </w:tc>
        <w:tc>
          <w:tcPr>
            <w:tcW w:w="1892" w:type="pct"/>
            <w:vAlign w:val="center"/>
          </w:tcPr>
          <w:p w14:paraId="69A9CCA7">
            <w:pPr>
              <w:textAlignment w:val="center"/>
              <w:rPr>
                <w:rFonts w:hint="eastAsia"/>
                <w:bCs/>
                <w:color w:val="000000"/>
                <w:sz w:val="21"/>
                <w:szCs w:val="21"/>
              </w:rPr>
            </w:pPr>
            <w:r>
              <w:rPr>
                <w:rFonts w:hint="eastAsia"/>
                <w:sz w:val="21"/>
                <w:szCs w:val="21"/>
              </w:rPr>
              <w:t>依托本工程自主创新并试点应用的，形成具有自主知识产权的工法、设备等。项目研究获得国家级奖项的，加5分；省部级/国网公司科技奖项（含发明专利），加3分；地市级/省公司级奖项（含实用新型专利），加1分</w:t>
            </w:r>
          </w:p>
        </w:tc>
        <w:tc>
          <w:tcPr>
            <w:tcW w:w="484" w:type="pct"/>
            <w:vAlign w:val="center"/>
          </w:tcPr>
          <w:p w14:paraId="321D0919">
            <w:pPr>
              <w:adjustRightInd w:val="0"/>
              <w:snapToGrid w:val="0"/>
              <w:jc w:val="center"/>
              <w:rPr>
                <w:rFonts w:hint="eastAsia"/>
                <w:bCs/>
                <w:color w:val="000000"/>
                <w:sz w:val="21"/>
                <w:szCs w:val="21"/>
              </w:rPr>
            </w:pPr>
            <w:r>
              <w:rPr>
                <w:rFonts w:hint="eastAsia"/>
                <w:bCs/>
                <w:color w:val="000000"/>
                <w:sz w:val="21"/>
                <w:szCs w:val="21"/>
              </w:rPr>
              <w:t>8</w:t>
            </w:r>
          </w:p>
        </w:tc>
        <w:tc>
          <w:tcPr>
            <w:tcW w:w="488" w:type="pct"/>
            <w:vAlign w:val="center"/>
          </w:tcPr>
          <w:p w14:paraId="1EF2C32D">
            <w:pPr>
              <w:adjustRightInd w:val="0"/>
              <w:snapToGrid w:val="0"/>
              <w:jc w:val="center"/>
              <w:rPr>
                <w:rFonts w:hint="eastAsia"/>
                <w:bCs/>
                <w:color w:val="000000"/>
                <w:sz w:val="21"/>
                <w:szCs w:val="21"/>
              </w:rPr>
            </w:pPr>
          </w:p>
        </w:tc>
      </w:tr>
      <w:tr w14:paraId="6B7C10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73E5C34">
            <w:pPr>
              <w:adjustRightInd w:val="0"/>
              <w:snapToGrid w:val="0"/>
              <w:jc w:val="center"/>
              <w:rPr>
                <w:rFonts w:hint="eastAsia"/>
                <w:b/>
                <w:bCs/>
                <w:color w:val="000000"/>
                <w:sz w:val="21"/>
                <w:szCs w:val="21"/>
              </w:rPr>
            </w:pPr>
            <w:r>
              <w:rPr>
                <w:rFonts w:hint="eastAsia"/>
                <w:b/>
                <w:bCs/>
                <w:color w:val="000000"/>
                <w:sz w:val="21"/>
                <w:szCs w:val="21"/>
              </w:rPr>
              <w:t>5.6</w:t>
            </w:r>
          </w:p>
        </w:tc>
        <w:tc>
          <w:tcPr>
            <w:tcW w:w="1771" w:type="pct"/>
            <w:vAlign w:val="center"/>
          </w:tcPr>
          <w:p w14:paraId="0E6418D3">
            <w:pPr>
              <w:adjustRightInd w:val="0"/>
              <w:snapToGrid w:val="0"/>
              <w:rPr>
                <w:rFonts w:hint="eastAsia"/>
                <w:b/>
                <w:bCs/>
                <w:color w:val="000000"/>
                <w:sz w:val="21"/>
                <w:szCs w:val="21"/>
              </w:rPr>
            </w:pPr>
            <w:r>
              <w:rPr>
                <w:rFonts w:hint="eastAsia"/>
                <w:b/>
                <w:bCs/>
                <w:color w:val="000000"/>
                <w:sz w:val="21"/>
                <w:szCs w:val="21"/>
              </w:rPr>
              <w:t>电力储能工程</w:t>
            </w:r>
          </w:p>
        </w:tc>
        <w:tc>
          <w:tcPr>
            <w:tcW w:w="1892" w:type="pct"/>
            <w:vAlign w:val="center"/>
          </w:tcPr>
          <w:p w14:paraId="311919A4">
            <w:pPr>
              <w:adjustRightInd w:val="0"/>
              <w:snapToGrid w:val="0"/>
              <w:rPr>
                <w:rFonts w:hint="eastAsia"/>
                <w:color w:val="000000"/>
                <w:sz w:val="21"/>
                <w:szCs w:val="21"/>
              </w:rPr>
            </w:pPr>
          </w:p>
        </w:tc>
        <w:tc>
          <w:tcPr>
            <w:tcW w:w="484" w:type="pct"/>
            <w:vAlign w:val="center"/>
          </w:tcPr>
          <w:p w14:paraId="2AF96AE4">
            <w:pPr>
              <w:adjustRightInd w:val="0"/>
              <w:snapToGrid w:val="0"/>
              <w:jc w:val="center"/>
              <w:rPr>
                <w:rFonts w:hint="eastAsia"/>
                <w:color w:val="000000"/>
                <w:sz w:val="21"/>
                <w:szCs w:val="21"/>
              </w:rPr>
            </w:pPr>
          </w:p>
        </w:tc>
        <w:tc>
          <w:tcPr>
            <w:tcW w:w="488" w:type="pct"/>
            <w:vAlign w:val="center"/>
          </w:tcPr>
          <w:p w14:paraId="3D867D27">
            <w:pPr>
              <w:adjustRightInd w:val="0"/>
              <w:snapToGrid w:val="0"/>
              <w:jc w:val="center"/>
              <w:rPr>
                <w:rFonts w:hint="eastAsia"/>
                <w:color w:val="000000"/>
                <w:sz w:val="21"/>
                <w:szCs w:val="21"/>
              </w:rPr>
            </w:pPr>
          </w:p>
        </w:tc>
      </w:tr>
      <w:tr w14:paraId="75F55C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1870006">
            <w:pPr>
              <w:adjustRightInd w:val="0"/>
              <w:snapToGrid w:val="0"/>
              <w:jc w:val="center"/>
              <w:rPr>
                <w:rFonts w:hint="eastAsia"/>
                <w:color w:val="000000"/>
                <w:sz w:val="21"/>
                <w:szCs w:val="21"/>
              </w:rPr>
            </w:pPr>
            <w:r>
              <w:rPr>
                <w:rFonts w:hint="eastAsia"/>
                <w:b/>
                <w:bCs/>
                <w:color w:val="000000"/>
                <w:sz w:val="21"/>
                <w:szCs w:val="21"/>
              </w:rPr>
              <w:t>5.6.1</w:t>
            </w:r>
          </w:p>
        </w:tc>
        <w:tc>
          <w:tcPr>
            <w:tcW w:w="1771" w:type="pct"/>
            <w:vAlign w:val="center"/>
          </w:tcPr>
          <w:p w14:paraId="0318AB58">
            <w:pPr>
              <w:adjustRightInd w:val="0"/>
              <w:snapToGrid w:val="0"/>
              <w:rPr>
                <w:rFonts w:hint="eastAsia"/>
                <w:color w:val="000000"/>
                <w:sz w:val="21"/>
                <w:szCs w:val="21"/>
              </w:rPr>
            </w:pPr>
            <w:r>
              <w:rPr>
                <w:rFonts w:hint="eastAsia"/>
                <w:b/>
                <w:bCs/>
                <w:color w:val="000000"/>
                <w:sz w:val="21"/>
                <w:szCs w:val="21"/>
              </w:rPr>
              <w:t>技术先进</w:t>
            </w:r>
          </w:p>
        </w:tc>
        <w:tc>
          <w:tcPr>
            <w:tcW w:w="1892" w:type="pct"/>
            <w:vAlign w:val="center"/>
          </w:tcPr>
          <w:p w14:paraId="6471F52E">
            <w:pPr>
              <w:adjustRightInd w:val="0"/>
              <w:snapToGrid w:val="0"/>
              <w:rPr>
                <w:rFonts w:hint="eastAsia"/>
                <w:color w:val="000000"/>
                <w:sz w:val="21"/>
                <w:szCs w:val="21"/>
              </w:rPr>
            </w:pPr>
          </w:p>
        </w:tc>
        <w:tc>
          <w:tcPr>
            <w:tcW w:w="484" w:type="pct"/>
            <w:vAlign w:val="center"/>
          </w:tcPr>
          <w:p w14:paraId="02D7D7FC">
            <w:pPr>
              <w:adjustRightInd w:val="0"/>
              <w:snapToGrid w:val="0"/>
              <w:jc w:val="center"/>
              <w:rPr>
                <w:rFonts w:hint="eastAsia"/>
                <w:color w:val="000000"/>
                <w:sz w:val="21"/>
                <w:szCs w:val="21"/>
              </w:rPr>
            </w:pPr>
          </w:p>
        </w:tc>
        <w:tc>
          <w:tcPr>
            <w:tcW w:w="488" w:type="pct"/>
            <w:vAlign w:val="center"/>
          </w:tcPr>
          <w:p w14:paraId="2D8582BD">
            <w:pPr>
              <w:adjustRightInd w:val="0"/>
              <w:snapToGrid w:val="0"/>
              <w:jc w:val="center"/>
              <w:rPr>
                <w:rFonts w:hint="eastAsia"/>
                <w:color w:val="000000"/>
                <w:sz w:val="21"/>
                <w:szCs w:val="21"/>
              </w:rPr>
            </w:pPr>
          </w:p>
        </w:tc>
      </w:tr>
      <w:tr w14:paraId="4A1488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0E056E4">
            <w:pPr>
              <w:adjustRightInd w:val="0"/>
              <w:snapToGrid w:val="0"/>
              <w:jc w:val="center"/>
              <w:rPr>
                <w:rFonts w:hint="eastAsia"/>
                <w:color w:val="000000"/>
                <w:sz w:val="21"/>
                <w:szCs w:val="21"/>
              </w:rPr>
            </w:pPr>
            <w:r>
              <w:rPr>
                <w:rFonts w:hint="eastAsia"/>
                <w:color w:val="000000"/>
                <w:sz w:val="21"/>
                <w:szCs w:val="21"/>
              </w:rPr>
              <w:t>1</w:t>
            </w:r>
          </w:p>
        </w:tc>
        <w:tc>
          <w:tcPr>
            <w:tcW w:w="1771" w:type="pct"/>
            <w:vAlign w:val="center"/>
          </w:tcPr>
          <w:p w14:paraId="197254A7">
            <w:pPr>
              <w:adjustRightInd w:val="0"/>
              <w:snapToGrid w:val="0"/>
              <w:rPr>
                <w:rFonts w:hint="eastAsia"/>
                <w:color w:val="000000"/>
                <w:sz w:val="21"/>
                <w:szCs w:val="21"/>
              </w:rPr>
            </w:pPr>
            <w:r>
              <w:rPr>
                <w:rFonts w:hint="eastAsia"/>
                <w:sz w:val="21"/>
                <w:szCs w:val="21"/>
              </w:rPr>
              <w:t>储能电站总体设计科学合理，有良好的绿色建造观感。</w:t>
            </w:r>
          </w:p>
        </w:tc>
        <w:tc>
          <w:tcPr>
            <w:tcW w:w="1892" w:type="pct"/>
            <w:vMerge w:val="restart"/>
            <w:vAlign w:val="center"/>
          </w:tcPr>
          <w:p w14:paraId="52264CC1">
            <w:pPr>
              <w:jc w:val="left"/>
              <w:rPr>
                <w:rFonts w:hint="eastAsia"/>
                <w:sz w:val="21"/>
                <w:szCs w:val="21"/>
              </w:rPr>
            </w:pPr>
            <w:r>
              <w:rPr>
                <w:rFonts w:hint="eastAsia"/>
                <w:sz w:val="21"/>
                <w:szCs w:val="21"/>
              </w:rPr>
              <w:t>每项子目实得分根据现场实际情况按照标准分乘以相应系数进行评分：</w:t>
            </w:r>
          </w:p>
          <w:p w14:paraId="225B69E6">
            <w:pPr>
              <w:jc w:val="left"/>
              <w:rPr>
                <w:rFonts w:hint="eastAsia"/>
                <w:sz w:val="21"/>
                <w:szCs w:val="21"/>
              </w:rPr>
            </w:pPr>
            <w:r>
              <w:rPr>
                <w:rFonts w:hint="eastAsia"/>
                <w:sz w:val="21"/>
                <w:szCs w:val="21"/>
              </w:rPr>
              <w:t>1、措施到位，满足评价指标要求系数为1；</w:t>
            </w:r>
          </w:p>
          <w:p w14:paraId="27FA519B">
            <w:pPr>
              <w:jc w:val="left"/>
              <w:rPr>
                <w:rFonts w:hint="eastAsia" w:cs="宋体"/>
                <w:color w:val="000000"/>
                <w:sz w:val="21"/>
                <w:szCs w:val="21"/>
              </w:rPr>
            </w:pPr>
            <w:r>
              <w:rPr>
                <w:rFonts w:hint="eastAsia"/>
                <w:sz w:val="21"/>
                <w:szCs w:val="21"/>
              </w:rPr>
              <w:t>2、措施到位，基本满足评价指标要求系数按照0.5~0.9酌情选取；</w:t>
            </w:r>
          </w:p>
          <w:p w14:paraId="491971DD">
            <w:pPr>
              <w:adjustRightInd w:val="0"/>
              <w:snapToGrid w:val="0"/>
              <w:rPr>
                <w:rFonts w:hint="eastAsia"/>
                <w:color w:val="000000"/>
                <w:sz w:val="21"/>
                <w:szCs w:val="21"/>
              </w:rPr>
            </w:pPr>
            <w:r>
              <w:rPr>
                <w:rFonts w:hint="eastAsia"/>
                <w:sz w:val="21"/>
                <w:szCs w:val="21"/>
              </w:rPr>
              <w:t>3、措施不到位，不满足评价指标要求，得0分。</w:t>
            </w:r>
          </w:p>
        </w:tc>
        <w:tc>
          <w:tcPr>
            <w:tcW w:w="484" w:type="pct"/>
            <w:vAlign w:val="center"/>
          </w:tcPr>
          <w:p w14:paraId="7031FADB">
            <w:pPr>
              <w:adjustRightInd w:val="0"/>
              <w:snapToGrid w:val="0"/>
              <w:jc w:val="center"/>
              <w:rPr>
                <w:rFonts w:hint="eastAsia"/>
                <w:color w:val="000000"/>
                <w:sz w:val="21"/>
                <w:szCs w:val="21"/>
              </w:rPr>
            </w:pPr>
            <w:r>
              <w:rPr>
                <w:rFonts w:hint="eastAsia"/>
                <w:color w:val="000000"/>
                <w:sz w:val="21"/>
                <w:szCs w:val="21"/>
              </w:rPr>
              <w:t>3</w:t>
            </w:r>
          </w:p>
        </w:tc>
        <w:tc>
          <w:tcPr>
            <w:tcW w:w="488" w:type="pct"/>
            <w:vAlign w:val="center"/>
          </w:tcPr>
          <w:p w14:paraId="4871A004">
            <w:pPr>
              <w:adjustRightInd w:val="0"/>
              <w:snapToGrid w:val="0"/>
              <w:jc w:val="center"/>
              <w:rPr>
                <w:rFonts w:hint="eastAsia"/>
                <w:color w:val="000000"/>
                <w:sz w:val="21"/>
                <w:szCs w:val="21"/>
              </w:rPr>
            </w:pPr>
          </w:p>
        </w:tc>
      </w:tr>
      <w:tr w14:paraId="27DD97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0B44952">
            <w:pPr>
              <w:adjustRightInd w:val="0"/>
              <w:snapToGrid w:val="0"/>
              <w:jc w:val="center"/>
              <w:rPr>
                <w:rFonts w:hint="eastAsia"/>
                <w:color w:val="000000"/>
                <w:sz w:val="21"/>
                <w:szCs w:val="21"/>
              </w:rPr>
            </w:pPr>
            <w:r>
              <w:rPr>
                <w:rFonts w:hint="eastAsia"/>
                <w:color w:val="000000"/>
                <w:sz w:val="21"/>
                <w:szCs w:val="21"/>
              </w:rPr>
              <w:t>2</w:t>
            </w:r>
          </w:p>
        </w:tc>
        <w:tc>
          <w:tcPr>
            <w:tcW w:w="1771" w:type="pct"/>
            <w:vAlign w:val="center"/>
          </w:tcPr>
          <w:p w14:paraId="6F6D8629">
            <w:pPr>
              <w:adjustRightInd w:val="0"/>
              <w:snapToGrid w:val="0"/>
              <w:rPr>
                <w:rFonts w:hint="eastAsia"/>
                <w:color w:val="000000"/>
                <w:sz w:val="21"/>
                <w:szCs w:val="21"/>
              </w:rPr>
            </w:pPr>
            <w:r>
              <w:rPr>
                <w:sz w:val="21"/>
                <w:szCs w:val="21"/>
              </w:rPr>
              <w:t>储能主系统技术路线先进</w:t>
            </w:r>
            <w:r>
              <w:rPr>
                <w:rFonts w:hint="eastAsia"/>
                <w:sz w:val="21"/>
                <w:szCs w:val="21"/>
              </w:rPr>
              <w:t>，电站全寿期内的技术经济性优，</w:t>
            </w:r>
            <w:r>
              <w:rPr>
                <w:sz w:val="21"/>
                <w:szCs w:val="21"/>
              </w:rPr>
              <w:t>性能指标同类储能系统领先</w:t>
            </w:r>
            <w:r>
              <w:rPr>
                <w:rFonts w:hint="eastAsia"/>
                <w:sz w:val="21"/>
                <w:szCs w:val="21"/>
              </w:rPr>
              <w:t>。</w:t>
            </w:r>
          </w:p>
        </w:tc>
        <w:tc>
          <w:tcPr>
            <w:tcW w:w="1892" w:type="pct"/>
            <w:vMerge w:val="continue"/>
            <w:vAlign w:val="center"/>
          </w:tcPr>
          <w:p w14:paraId="57C0B5A6">
            <w:pPr>
              <w:adjustRightInd w:val="0"/>
              <w:snapToGrid w:val="0"/>
              <w:rPr>
                <w:rFonts w:hint="eastAsia"/>
                <w:color w:val="000000"/>
                <w:sz w:val="21"/>
                <w:szCs w:val="21"/>
              </w:rPr>
            </w:pPr>
          </w:p>
        </w:tc>
        <w:tc>
          <w:tcPr>
            <w:tcW w:w="484" w:type="pct"/>
            <w:vAlign w:val="center"/>
          </w:tcPr>
          <w:p w14:paraId="17058ABB">
            <w:pPr>
              <w:adjustRightInd w:val="0"/>
              <w:snapToGrid w:val="0"/>
              <w:jc w:val="center"/>
              <w:rPr>
                <w:rFonts w:hint="eastAsia"/>
                <w:color w:val="000000"/>
                <w:sz w:val="21"/>
                <w:szCs w:val="21"/>
              </w:rPr>
            </w:pPr>
            <w:r>
              <w:rPr>
                <w:rFonts w:hint="eastAsia"/>
                <w:color w:val="000000"/>
                <w:sz w:val="21"/>
                <w:szCs w:val="21"/>
              </w:rPr>
              <w:t>3</w:t>
            </w:r>
          </w:p>
        </w:tc>
        <w:tc>
          <w:tcPr>
            <w:tcW w:w="488" w:type="pct"/>
            <w:vAlign w:val="center"/>
          </w:tcPr>
          <w:p w14:paraId="4AA7F137">
            <w:pPr>
              <w:adjustRightInd w:val="0"/>
              <w:snapToGrid w:val="0"/>
              <w:jc w:val="center"/>
              <w:rPr>
                <w:rFonts w:hint="eastAsia"/>
                <w:color w:val="000000"/>
                <w:sz w:val="21"/>
                <w:szCs w:val="21"/>
              </w:rPr>
            </w:pPr>
          </w:p>
        </w:tc>
      </w:tr>
      <w:tr w14:paraId="104EDE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AFDB57F">
            <w:pPr>
              <w:adjustRightInd w:val="0"/>
              <w:snapToGrid w:val="0"/>
              <w:jc w:val="center"/>
              <w:rPr>
                <w:rFonts w:hint="eastAsia"/>
                <w:color w:val="000000"/>
                <w:sz w:val="21"/>
                <w:szCs w:val="21"/>
              </w:rPr>
            </w:pPr>
            <w:r>
              <w:rPr>
                <w:rFonts w:hint="eastAsia"/>
                <w:color w:val="000000"/>
                <w:sz w:val="21"/>
                <w:szCs w:val="21"/>
              </w:rPr>
              <w:t>3</w:t>
            </w:r>
          </w:p>
        </w:tc>
        <w:tc>
          <w:tcPr>
            <w:tcW w:w="1771" w:type="pct"/>
            <w:vAlign w:val="center"/>
          </w:tcPr>
          <w:p w14:paraId="7228B7A7">
            <w:pPr>
              <w:adjustRightInd w:val="0"/>
              <w:snapToGrid w:val="0"/>
              <w:rPr>
                <w:rFonts w:hint="eastAsia"/>
                <w:color w:val="000000"/>
                <w:sz w:val="21"/>
                <w:szCs w:val="21"/>
              </w:rPr>
            </w:pPr>
            <w:r>
              <w:rPr>
                <w:rFonts w:hint="eastAsia"/>
                <w:sz w:val="21"/>
                <w:szCs w:val="21"/>
              </w:rPr>
              <w:t>积极采用新技术、新工艺，采用新型设备，使储能电站具备更多功能，有利于新型电力系统构建</w:t>
            </w:r>
            <w:r>
              <w:rPr>
                <w:sz w:val="21"/>
                <w:szCs w:val="21"/>
              </w:rPr>
              <w:t>。</w:t>
            </w:r>
          </w:p>
        </w:tc>
        <w:tc>
          <w:tcPr>
            <w:tcW w:w="1892" w:type="pct"/>
            <w:vMerge w:val="continue"/>
            <w:vAlign w:val="center"/>
          </w:tcPr>
          <w:p w14:paraId="1F1A7EE0">
            <w:pPr>
              <w:adjustRightInd w:val="0"/>
              <w:snapToGrid w:val="0"/>
              <w:rPr>
                <w:rFonts w:hint="eastAsia"/>
                <w:color w:val="000000"/>
                <w:sz w:val="21"/>
                <w:szCs w:val="21"/>
              </w:rPr>
            </w:pPr>
          </w:p>
        </w:tc>
        <w:tc>
          <w:tcPr>
            <w:tcW w:w="484" w:type="pct"/>
            <w:vAlign w:val="center"/>
          </w:tcPr>
          <w:p w14:paraId="56821EEE">
            <w:pPr>
              <w:adjustRightInd w:val="0"/>
              <w:snapToGrid w:val="0"/>
              <w:jc w:val="center"/>
              <w:rPr>
                <w:rFonts w:hint="eastAsia"/>
                <w:color w:val="000000"/>
                <w:sz w:val="21"/>
                <w:szCs w:val="21"/>
              </w:rPr>
            </w:pPr>
            <w:r>
              <w:rPr>
                <w:rFonts w:hint="eastAsia"/>
                <w:color w:val="000000"/>
                <w:sz w:val="21"/>
                <w:szCs w:val="21"/>
              </w:rPr>
              <w:t>3</w:t>
            </w:r>
          </w:p>
        </w:tc>
        <w:tc>
          <w:tcPr>
            <w:tcW w:w="488" w:type="pct"/>
            <w:vAlign w:val="center"/>
          </w:tcPr>
          <w:p w14:paraId="58E97C35">
            <w:pPr>
              <w:adjustRightInd w:val="0"/>
              <w:snapToGrid w:val="0"/>
              <w:jc w:val="center"/>
              <w:rPr>
                <w:rFonts w:hint="eastAsia"/>
                <w:color w:val="000000"/>
                <w:sz w:val="21"/>
                <w:szCs w:val="21"/>
              </w:rPr>
            </w:pPr>
          </w:p>
        </w:tc>
      </w:tr>
      <w:tr w14:paraId="3C08F9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CC3B833">
            <w:pPr>
              <w:adjustRightInd w:val="0"/>
              <w:snapToGrid w:val="0"/>
              <w:jc w:val="center"/>
              <w:rPr>
                <w:rFonts w:hint="eastAsia"/>
                <w:color w:val="000000"/>
                <w:sz w:val="21"/>
                <w:szCs w:val="21"/>
              </w:rPr>
            </w:pPr>
            <w:r>
              <w:rPr>
                <w:rFonts w:hint="eastAsia"/>
                <w:color w:val="000000"/>
                <w:sz w:val="21"/>
                <w:szCs w:val="21"/>
              </w:rPr>
              <w:t>4</w:t>
            </w:r>
          </w:p>
        </w:tc>
        <w:tc>
          <w:tcPr>
            <w:tcW w:w="1771" w:type="pct"/>
            <w:vAlign w:val="center"/>
          </w:tcPr>
          <w:p w14:paraId="3B7E5791">
            <w:pPr>
              <w:adjustRightInd w:val="0"/>
              <w:snapToGrid w:val="0"/>
              <w:rPr>
                <w:rFonts w:hint="eastAsia"/>
                <w:color w:val="000000"/>
                <w:sz w:val="21"/>
                <w:szCs w:val="21"/>
              </w:rPr>
            </w:pPr>
            <w:r>
              <w:rPr>
                <w:rFonts w:hint="eastAsia"/>
                <w:sz w:val="21"/>
                <w:szCs w:val="21"/>
              </w:rPr>
              <w:t>电气主接线、运行方式设计安全可靠、技术先进。</w:t>
            </w:r>
          </w:p>
        </w:tc>
        <w:tc>
          <w:tcPr>
            <w:tcW w:w="1892" w:type="pct"/>
            <w:vMerge w:val="continue"/>
            <w:vAlign w:val="center"/>
          </w:tcPr>
          <w:p w14:paraId="78F223BF">
            <w:pPr>
              <w:adjustRightInd w:val="0"/>
              <w:snapToGrid w:val="0"/>
              <w:rPr>
                <w:rFonts w:hint="eastAsia"/>
                <w:color w:val="000000"/>
                <w:sz w:val="21"/>
                <w:szCs w:val="21"/>
              </w:rPr>
            </w:pPr>
          </w:p>
        </w:tc>
        <w:tc>
          <w:tcPr>
            <w:tcW w:w="484" w:type="pct"/>
            <w:vAlign w:val="center"/>
          </w:tcPr>
          <w:p w14:paraId="7C5260ED">
            <w:pPr>
              <w:adjustRightInd w:val="0"/>
              <w:snapToGrid w:val="0"/>
              <w:jc w:val="center"/>
              <w:rPr>
                <w:rFonts w:hint="eastAsia"/>
                <w:color w:val="000000"/>
                <w:sz w:val="21"/>
                <w:szCs w:val="21"/>
              </w:rPr>
            </w:pPr>
            <w:r>
              <w:rPr>
                <w:rFonts w:hint="eastAsia"/>
                <w:color w:val="000000"/>
                <w:sz w:val="21"/>
                <w:szCs w:val="21"/>
              </w:rPr>
              <w:t>3</w:t>
            </w:r>
          </w:p>
        </w:tc>
        <w:tc>
          <w:tcPr>
            <w:tcW w:w="488" w:type="pct"/>
            <w:vAlign w:val="center"/>
          </w:tcPr>
          <w:p w14:paraId="7F5D5EC0">
            <w:pPr>
              <w:adjustRightInd w:val="0"/>
              <w:snapToGrid w:val="0"/>
              <w:jc w:val="center"/>
              <w:rPr>
                <w:rFonts w:hint="eastAsia"/>
                <w:color w:val="000000"/>
                <w:sz w:val="21"/>
                <w:szCs w:val="21"/>
              </w:rPr>
            </w:pPr>
          </w:p>
        </w:tc>
      </w:tr>
      <w:tr w14:paraId="2B0031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F506A5E">
            <w:pPr>
              <w:adjustRightInd w:val="0"/>
              <w:snapToGrid w:val="0"/>
              <w:jc w:val="center"/>
              <w:rPr>
                <w:rFonts w:hint="eastAsia"/>
                <w:color w:val="000000"/>
                <w:sz w:val="21"/>
                <w:szCs w:val="21"/>
              </w:rPr>
            </w:pPr>
            <w:r>
              <w:rPr>
                <w:rFonts w:hint="eastAsia"/>
                <w:color w:val="000000"/>
                <w:sz w:val="21"/>
                <w:szCs w:val="21"/>
              </w:rPr>
              <w:t>5</w:t>
            </w:r>
          </w:p>
        </w:tc>
        <w:tc>
          <w:tcPr>
            <w:tcW w:w="1771" w:type="pct"/>
            <w:vAlign w:val="center"/>
          </w:tcPr>
          <w:p w14:paraId="0B0D73DD">
            <w:pPr>
              <w:adjustRightInd w:val="0"/>
              <w:snapToGrid w:val="0"/>
              <w:rPr>
                <w:rFonts w:hint="eastAsia"/>
                <w:color w:val="000000"/>
                <w:sz w:val="21"/>
                <w:szCs w:val="21"/>
              </w:rPr>
            </w:pPr>
            <w:r>
              <w:rPr>
                <w:rFonts w:hint="eastAsia"/>
                <w:sz w:val="21"/>
                <w:szCs w:val="21"/>
              </w:rPr>
              <w:t>采用先进通信与信息技术、计算机网络技术和智能控制技术等量化融合技术，具有较高的智能自动化水平。</w:t>
            </w:r>
          </w:p>
        </w:tc>
        <w:tc>
          <w:tcPr>
            <w:tcW w:w="1892" w:type="pct"/>
            <w:vMerge w:val="continue"/>
            <w:vAlign w:val="center"/>
          </w:tcPr>
          <w:p w14:paraId="1E22A55A">
            <w:pPr>
              <w:adjustRightInd w:val="0"/>
              <w:snapToGrid w:val="0"/>
              <w:rPr>
                <w:rFonts w:hint="eastAsia"/>
                <w:color w:val="000000"/>
                <w:sz w:val="21"/>
                <w:szCs w:val="21"/>
              </w:rPr>
            </w:pPr>
          </w:p>
        </w:tc>
        <w:tc>
          <w:tcPr>
            <w:tcW w:w="484" w:type="pct"/>
            <w:vAlign w:val="center"/>
          </w:tcPr>
          <w:p w14:paraId="322E2CC9">
            <w:pPr>
              <w:adjustRightInd w:val="0"/>
              <w:snapToGrid w:val="0"/>
              <w:jc w:val="center"/>
              <w:rPr>
                <w:rFonts w:hint="eastAsia"/>
                <w:color w:val="000000"/>
                <w:sz w:val="21"/>
                <w:szCs w:val="21"/>
              </w:rPr>
            </w:pPr>
            <w:r>
              <w:rPr>
                <w:rFonts w:hint="eastAsia"/>
                <w:color w:val="000000"/>
                <w:sz w:val="21"/>
                <w:szCs w:val="21"/>
              </w:rPr>
              <w:t>3</w:t>
            </w:r>
          </w:p>
        </w:tc>
        <w:tc>
          <w:tcPr>
            <w:tcW w:w="488" w:type="pct"/>
            <w:vAlign w:val="center"/>
          </w:tcPr>
          <w:p w14:paraId="3078F29D">
            <w:pPr>
              <w:adjustRightInd w:val="0"/>
              <w:snapToGrid w:val="0"/>
              <w:jc w:val="center"/>
              <w:rPr>
                <w:rFonts w:hint="eastAsia"/>
                <w:color w:val="000000"/>
                <w:sz w:val="21"/>
                <w:szCs w:val="21"/>
              </w:rPr>
            </w:pPr>
          </w:p>
        </w:tc>
      </w:tr>
      <w:tr w14:paraId="0595E3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176D0E3">
            <w:pPr>
              <w:adjustRightInd w:val="0"/>
              <w:snapToGrid w:val="0"/>
              <w:jc w:val="center"/>
              <w:rPr>
                <w:rFonts w:hint="eastAsia"/>
                <w:color w:val="000000"/>
                <w:sz w:val="21"/>
                <w:szCs w:val="21"/>
              </w:rPr>
            </w:pPr>
            <w:r>
              <w:rPr>
                <w:rFonts w:hint="eastAsia"/>
                <w:color w:val="000000"/>
                <w:sz w:val="21"/>
                <w:szCs w:val="21"/>
              </w:rPr>
              <w:t>6</w:t>
            </w:r>
          </w:p>
        </w:tc>
        <w:tc>
          <w:tcPr>
            <w:tcW w:w="1771" w:type="pct"/>
            <w:vAlign w:val="center"/>
          </w:tcPr>
          <w:p w14:paraId="06387DD1">
            <w:pPr>
              <w:adjustRightInd w:val="0"/>
              <w:snapToGrid w:val="0"/>
              <w:rPr>
                <w:rFonts w:hint="eastAsia"/>
                <w:color w:val="000000"/>
                <w:sz w:val="21"/>
                <w:szCs w:val="21"/>
              </w:rPr>
            </w:pPr>
            <w:r>
              <w:rPr>
                <w:sz w:val="21"/>
                <w:szCs w:val="21"/>
              </w:rPr>
              <w:t>设备、材料、控制系统国产化率高。</w:t>
            </w:r>
          </w:p>
        </w:tc>
        <w:tc>
          <w:tcPr>
            <w:tcW w:w="1892" w:type="pct"/>
            <w:vMerge w:val="continue"/>
            <w:vAlign w:val="center"/>
          </w:tcPr>
          <w:p w14:paraId="403F7D3D">
            <w:pPr>
              <w:adjustRightInd w:val="0"/>
              <w:snapToGrid w:val="0"/>
              <w:rPr>
                <w:rFonts w:hint="eastAsia"/>
                <w:color w:val="000000"/>
                <w:sz w:val="21"/>
                <w:szCs w:val="21"/>
              </w:rPr>
            </w:pPr>
          </w:p>
        </w:tc>
        <w:tc>
          <w:tcPr>
            <w:tcW w:w="484" w:type="pct"/>
            <w:vAlign w:val="center"/>
          </w:tcPr>
          <w:p w14:paraId="5EB45D7B">
            <w:pPr>
              <w:adjustRightInd w:val="0"/>
              <w:snapToGrid w:val="0"/>
              <w:jc w:val="center"/>
              <w:rPr>
                <w:rFonts w:hint="eastAsia"/>
                <w:color w:val="000000"/>
                <w:sz w:val="21"/>
                <w:szCs w:val="21"/>
              </w:rPr>
            </w:pPr>
            <w:r>
              <w:rPr>
                <w:rFonts w:hint="eastAsia"/>
                <w:color w:val="000000"/>
                <w:sz w:val="21"/>
                <w:szCs w:val="21"/>
              </w:rPr>
              <w:t>3</w:t>
            </w:r>
          </w:p>
        </w:tc>
        <w:tc>
          <w:tcPr>
            <w:tcW w:w="488" w:type="pct"/>
            <w:vAlign w:val="center"/>
          </w:tcPr>
          <w:p w14:paraId="48732D19">
            <w:pPr>
              <w:adjustRightInd w:val="0"/>
              <w:snapToGrid w:val="0"/>
              <w:jc w:val="center"/>
              <w:rPr>
                <w:rFonts w:hint="eastAsia"/>
                <w:color w:val="000000"/>
                <w:sz w:val="21"/>
                <w:szCs w:val="21"/>
              </w:rPr>
            </w:pPr>
          </w:p>
        </w:tc>
      </w:tr>
      <w:tr w14:paraId="6D518B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24F74D9">
            <w:pPr>
              <w:adjustRightInd w:val="0"/>
              <w:snapToGrid w:val="0"/>
              <w:jc w:val="center"/>
              <w:rPr>
                <w:rFonts w:hint="eastAsia"/>
                <w:color w:val="000000"/>
                <w:sz w:val="21"/>
                <w:szCs w:val="21"/>
              </w:rPr>
            </w:pPr>
            <w:r>
              <w:rPr>
                <w:rFonts w:hint="eastAsia"/>
                <w:color w:val="000000"/>
                <w:sz w:val="21"/>
                <w:szCs w:val="21"/>
              </w:rPr>
              <w:t>7</w:t>
            </w:r>
          </w:p>
        </w:tc>
        <w:tc>
          <w:tcPr>
            <w:tcW w:w="1771" w:type="pct"/>
            <w:vAlign w:val="center"/>
          </w:tcPr>
          <w:p w14:paraId="1D428DD6">
            <w:pPr>
              <w:adjustRightInd w:val="0"/>
              <w:snapToGrid w:val="0"/>
              <w:rPr>
                <w:rFonts w:hint="eastAsia"/>
                <w:color w:val="000000"/>
                <w:sz w:val="21"/>
                <w:szCs w:val="21"/>
              </w:rPr>
            </w:pPr>
            <w:r>
              <w:rPr>
                <w:rFonts w:hint="eastAsia"/>
                <w:sz w:val="21"/>
                <w:szCs w:val="21"/>
              </w:rPr>
              <w:t>保工艺技术路线先进合理，工程投运后取得良好效果。</w:t>
            </w:r>
          </w:p>
        </w:tc>
        <w:tc>
          <w:tcPr>
            <w:tcW w:w="1892" w:type="pct"/>
            <w:vMerge w:val="continue"/>
            <w:vAlign w:val="center"/>
          </w:tcPr>
          <w:p w14:paraId="1D481EE4">
            <w:pPr>
              <w:adjustRightInd w:val="0"/>
              <w:snapToGrid w:val="0"/>
              <w:rPr>
                <w:rFonts w:hint="eastAsia"/>
                <w:color w:val="000000"/>
                <w:sz w:val="21"/>
                <w:szCs w:val="21"/>
              </w:rPr>
            </w:pPr>
          </w:p>
        </w:tc>
        <w:tc>
          <w:tcPr>
            <w:tcW w:w="484" w:type="pct"/>
            <w:vAlign w:val="center"/>
          </w:tcPr>
          <w:p w14:paraId="72D5C3A0">
            <w:pPr>
              <w:adjustRightInd w:val="0"/>
              <w:snapToGrid w:val="0"/>
              <w:jc w:val="center"/>
              <w:rPr>
                <w:rFonts w:hint="eastAsia"/>
                <w:color w:val="000000"/>
                <w:sz w:val="21"/>
                <w:szCs w:val="21"/>
              </w:rPr>
            </w:pPr>
            <w:r>
              <w:rPr>
                <w:rFonts w:hint="eastAsia"/>
                <w:color w:val="000000"/>
                <w:sz w:val="21"/>
                <w:szCs w:val="21"/>
              </w:rPr>
              <w:t>3</w:t>
            </w:r>
          </w:p>
        </w:tc>
        <w:tc>
          <w:tcPr>
            <w:tcW w:w="488" w:type="pct"/>
            <w:vAlign w:val="center"/>
          </w:tcPr>
          <w:p w14:paraId="0DBED72D">
            <w:pPr>
              <w:adjustRightInd w:val="0"/>
              <w:snapToGrid w:val="0"/>
              <w:jc w:val="center"/>
              <w:rPr>
                <w:rFonts w:hint="eastAsia"/>
                <w:color w:val="000000"/>
                <w:sz w:val="21"/>
                <w:szCs w:val="21"/>
              </w:rPr>
            </w:pPr>
          </w:p>
        </w:tc>
      </w:tr>
      <w:tr w14:paraId="585805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C550F2B">
            <w:pPr>
              <w:adjustRightInd w:val="0"/>
              <w:snapToGrid w:val="0"/>
              <w:jc w:val="center"/>
              <w:rPr>
                <w:rFonts w:hint="eastAsia"/>
                <w:color w:val="000000"/>
                <w:sz w:val="21"/>
                <w:szCs w:val="21"/>
              </w:rPr>
            </w:pPr>
            <w:r>
              <w:rPr>
                <w:rFonts w:hint="eastAsia"/>
                <w:color w:val="000000"/>
                <w:sz w:val="21"/>
                <w:szCs w:val="21"/>
              </w:rPr>
              <w:t>8</w:t>
            </w:r>
          </w:p>
        </w:tc>
        <w:tc>
          <w:tcPr>
            <w:tcW w:w="1771" w:type="pct"/>
            <w:vAlign w:val="center"/>
          </w:tcPr>
          <w:p w14:paraId="1633CBF3">
            <w:pPr>
              <w:adjustRightInd w:val="0"/>
              <w:snapToGrid w:val="0"/>
              <w:rPr>
                <w:rFonts w:hint="eastAsia"/>
                <w:color w:val="000000"/>
                <w:sz w:val="21"/>
                <w:szCs w:val="21"/>
              </w:rPr>
            </w:pPr>
            <w:r>
              <w:rPr>
                <w:sz w:val="21"/>
                <w:szCs w:val="21"/>
              </w:rPr>
              <w:t>推行标准化、工业化智能建造。</w:t>
            </w:r>
          </w:p>
        </w:tc>
        <w:tc>
          <w:tcPr>
            <w:tcW w:w="1892" w:type="pct"/>
            <w:vMerge w:val="continue"/>
            <w:vAlign w:val="center"/>
          </w:tcPr>
          <w:p w14:paraId="5C23EF55">
            <w:pPr>
              <w:adjustRightInd w:val="0"/>
              <w:snapToGrid w:val="0"/>
              <w:rPr>
                <w:rFonts w:hint="eastAsia"/>
                <w:color w:val="000000"/>
                <w:sz w:val="21"/>
                <w:szCs w:val="21"/>
              </w:rPr>
            </w:pPr>
          </w:p>
        </w:tc>
        <w:tc>
          <w:tcPr>
            <w:tcW w:w="484" w:type="pct"/>
            <w:vAlign w:val="center"/>
          </w:tcPr>
          <w:p w14:paraId="69A189B6">
            <w:pPr>
              <w:adjustRightInd w:val="0"/>
              <w:snapToGrid w:val="0"/>
              <w:jc w:val="center"/>
              <w:rPr>
                <w:rFonts w:hint="eastAsia"/>
                <w:color w:val="000000"/>
                <w:sz w:val="21"/>
                <w:szCs w:val="21"/>
              </w:rPr>
            </w:pPr>
            <w:r>
              <w:rPr>
                <w:rFonts w:hint="eastAsia"/>
                <w:color w:val="000000"/>
                <w:sz w:val="21"/>
                <w:szCs w:val="21"/>
              </w:rPr>
              <w:t>3</w:t>
            </w:r>
          </w:p>
        </w:tc>
        <w:tc>
          <w:tcPr>
            <w:tcW w:w="488" w:type="pct"/>
            <w:vAlign w:val="center"/>
          </w:tcPr>
          <w:p w14:paraId="752CF24A">
            <w:pPr>
              <w:adjustRightInd w:val="0"/>
              <w:snapToGrid w:val="0"/>
              <w:jc w:val="center"/>
              <w:rPr>
                <w:rFonts w:hint="eastAsia"/>
                <w:color w:val="000000"/>
                <w:sz w:val="21"/>
                <w:szCs w:val="21"/>
              </w:rPr>
            </w:pPr>
          </w:p>
        </w:tc>
      </w:tr>
      <w:tr w14:paraId="39ACCC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3DDD2C6">
            <w:pPr>
              <w:adjustRightInd w:val="0"/>
              <w:snapToGrid w:val="0"/>
              <w:jc w:val="center"/>
              <w:rPr>
                <w:rFonts w:hint="eastAsia"/>
                <w:color w:val="000000"/>
                <w:sz w:val="21"/>
                <w:szCs w:val="21"/>
              </w:rPr>
            </w:pPr>
            <w:r>
              <w:rPr>
                <w:rFonts w:hint="eastAsia"/>
                <w:color w:val="000000"/>
                <w:sz w:val="21"/>
                <w:szCs w:val="21"/>
              </w:rPr>
              <w:t>9</w:t>
            </w:r>
          </w:p>
        </w:tc>
        <w:tc>
          <w:tcPr>
            <w:tcW w:w="1771" w:type="pct"/>
            <w:vAlign w:val="center"/>
          </w:tcPr>
          <w:p w14:paraId="2FEBE07B">
            <w:pPr>
              <w:adjustRightInd w:val="0"/>
              <w:snapToGrid w:val="0"/>
              <w:rPr>
                <w:rFonts w:hint="eastAsia"/>
                <w:color w:val="000000"/>
                <w:sz w:val="21"/>
                <w:szCs w:val="21"/>
              </w:rPr>
            </w:pPr>
            <w:r>
              <w:rPr>
                <w:sz w:val="21"/>
                <w:szCs w:val="21"/>
              </w:rPr>
              <w:t>采用先进的设计</w:t>
            </w:r>
            <w:r>
              <w:rPr>
                <w:rFonts w:hint="eastAsia"/>
                <w:sz w:val="21"/>
                <w:szCs w:val="21"/>
              </w:rPr>
              <w:t>手段</w:t>
            </w:r>
            <w:r>
              <w:rPr>
                <w:sz w:val="21"/>
                <w:szCs w:val="21"/>
              </w:rPr>
              <w:t>和</w:t>
            </w:r>
            <w:r>
              <w:rPr>
                <w:rFonts w:hint="eastAsia"/>
                <w:sz w:val="21"/>
                <w:szCs w:val="21"/>
              </w:rPr>
              <w:t>多专业协同设计</w:t>
            </w:r>
            <w:r>
              <w:rPr>
                <w:sz w:val="21"/>
                <w:szCs w:val="21"/>
              </w:rPr>
              <w:t>，为绿色施工创造有力条件，取得良好效果。</w:t>
            </w:r>
          </w:p>
        </w:tc>
        <w:tc>
          <w:tcPr>
            <w:tcW w:w="1892" w:type="pct"/>
            <w:vMerge w:val="continue"/>
            <w:vAlign w:val="center"/>
          </w:tcPr>
          <w:p w14:paraId="070F8D67">
            <w:pPr>
              <w:adjustRightInd w:val="0"/>
              <w:snapToGrid w:val="0"/>
              <w:rPr>
                <w:rFonts w:hint="eastAsia"/>
                <w:color w:val="000000"/>
                <w:sz w:val="21"/>
                <w:szCs w:val="21"/>
              </w:rPr>
            </w:pPr>
          </w:p>
        </w:tc>
        <w:tc>
          <w:tcPr>
            <w:tcW w:w="484" w:type="pct"/>
            <w:vAlign w:val="center"/>
          </w:tcPr>
          <w:p w14:paraId="7AB05D2A">
            <w:pPr>
              <w:adjustRightInd w:val="0"/>
              <w:snapToGrid w:val="0"/>
              <w:jc w:val="center"/>
              <w:rPr>
                <w:rFonts w:hint="eastAsia"/>
                <w:color w:val="000000"/>
                <w:sz w:val="21"/>
                <w:szCs w:val="21"/>
              </w:rPr>
            </w:pPr>
            <w:r>
              <w:rPr>
                <w:rFonts w:hint="eastAsia"/>
                <w:color w:val="000000"/>
                <w:sz w:val="21"/>
                <w:szCs w:val="21"/>
              </w:rPr>
              <w:t>3</w:t>
            </w:r>
          </w:p>
        </w:tc>
        <w:tc>
          <w:tcPr>
            <w:tcW w:w="488" w:type="pct"/>
            <w:vAlign w:val="center"/>
          </w:tcPr>
          <w:p w14:paraId="5AF30FAA">
            <w:pPr>
              <w:adjustRightInd w:val="0"/>
              <w:snapToGrid w:val="0"/>
              <w:jc w:val="center"/>
              <w:rPr>
                <w:rFonts w:hint="eastAsia"/>
                <w:color w:val="000000"/>
                <w:sz w:val="21"/>
                <w:szCs w:val="21"/>
              </w:rPr>
            </w:pPr>
          </w:p>
        </w:tc>
      </w:tr>
      <w:tr w14:paraId="550A6C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53D2264">
            <w:pPr>
              <w:adjustRightInd w:val="0"/>
              <w:snapToGrid w:val="0"/>
              <w:jc w:val="center"/>
              <w:rPr>
                <w:rFonts w:hint="eastAsia"/>
                <w:color w:val="000000"/>
                <w:sz w:val="21"/>
                <w:szCs w:val="21"/>
              </w:rPr>
            </w:pPr>
            <w:r>
              <w:rPr>
                <w:rFonts w:hint="eastAsia"/>
                <w:color w:val="000000"/>
                <w:sz w:val="21"/>
                <w:szCs w:val="21"/>
              </w:rPr>
              <w:t>10</w:t>
            </w:r>
          </w:p>
        </w:tc>
        <w:tc>
          <w:tcPr>
            <w:tcW w:w="1771" w:type="pct"/>
            <w:vAlign w:val="center"/>
          </w:tcPr>
          <w:p w14:paraId="055D2ED3">
            <w:pPr>
              <w:adjustRightInd w:val="0"/>
              <w:snapToGrid w:val="0"/>
              <w:rPr>
                <w:rFonts w:hint="eastAsia"/>
                <w:sz w:val="21"/>
                <w:szCs w:val="21"/>
              </w:rPr>
            </w:pPr>
            <w:r>
              <w:rPr>
                <w:sz w:val="21"/>
                <w:szCs w:val="21"/>
              </w:rPr>
              <w:t>建筑</w:t>
            </w:r>
            <w:r>
              <w:rPr>
                <w:rFonts w:hint="eastAsia"/>
                <w:sz w:val="21"/>
                <w:szCs w:val="21"/>
              </w:rPr>
              <w:t>、土建</w:t>
            </w:r>
            <w:r>
              <w:rPr>
                <w:sz w:val="21"/>
                <w:szCs w:val="21"/>
              </w:rPr>
              <w:t>结构</w:t>
            </w:r>
            <w:r>
              <w:rPr>
                <w:rFonts w:hint="eastAsia"/>
                <w:sz w:val="21"/>
                <w:szCs w:val="21"/>
              </w:rPr>
              <w:t>设计</w:t>
            </w:r>
            <w:r>
              <w:rPr>
                <w:sz w:val="21"/>
                <w:szCs w:val="21"/>
              </w:rPr>
              <w:t>科学，具有先进性、前瞻性。</w:t>
            </w:r>
          </w:p>
          <w:p w14:paraId="62D9F59E">
            <w:pPr>
              <w:adjustRightInd w:val="0"/>
              <w:snapToGrid w:val="0"/>
              <w:rPr>
                <w:rFonts w:hint="eastAsia"/>
                <w:color w:val="000000"/>
                <w:sz w:val="21"/>
                <w:szCs w:val="21"/>
              </w:rPr>
            </w:pPr>
          </w:p>
        </w:tc>
        <w:tc>
          <w:tcPr>
            <w:tcW w:w="1892" w:type="pct"/>
            <w:vMerge w:val="continue"/>
            <w:vAlign w:val="center"/>
          </w:tcPr>
          <w:p w14:paraId="5EB0AB9A">
            <w:pPr>
              <w:adjustRightInd w:val="0"/>
              <w:snapToGrid w:val="0"/>
              <w:rPr>
                <w:rFonts w:hint="eastAsia"/>
                <w:color w:val="000000"/>
                <w:sz w:val="21"/>
                <w:szCs w:val="21"/>
              </w:rPr>
            </w:pPr>
          </w:p>
        </w:tc>
        <w:tc>
          <w:tcPr>
            <w:tcW w:w="484" w:type="pct"/>
            <w:vAlign w:val="center"/>
          </w:tcPr>
          <w:p w14:paraId="3AB420CA">
            <w:pPr>
              <w:adjustRightInd w:val="0"/>
              <w:snapToGrid w:val="0"/>
              <w:jc w:val="center"/>
              <w:rPr>
                <w:rFonts w:hint="eastAsia"/>
                <w:color w:val="000000"/>
                <w:sz w:val="21"/>
                <w:szCs w:val="21"/>
              </w:rPr>
            </w:pPr>
            <w:r>
              <w:rPr>
                <w:rFonts w:hint="eastAsia"/>
                <w:color w:val="000000"/>
                <w:sz w:val="21"/>
                <w:szCs w:val="21"/>
              </w:rPr>
              <w:t>3</w:t>
            </w:r>
          </w:p>
        </w:tc>
        <w:tc>
          <w:tcPr>
            <w:tcW w:w="488" w:type="pct"/>
            <w:vAlign w:val="center"/>
          </w:tcPr>
          <w:p w14:paraId="2B5ACA2A">
            <w:pPr>
              <w:adjustRightInd w:val="0"/>
              <w:snapToGrid w:val="0"/>
              <w:jc w:val="center"/>
              <w:rPr>
                <w:rFonts w:hint="eastAsia"/>
                <w:color w:val="000000"/>
                <w:sz w:val="21"/>
                <w:szCs w:val="21"/>
              </w:rPr>
            </w:pPr>
          </w:p>
        </w:tc>
      </w:tr>
      <w:tr w14:paraId="75D512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BF129AB">
            <w:pPr>
              <w:adjustRightInd w:val="0"/>
              <w:snapToGrid w:val="0"/>
              <w:jc w:val="center"/>
              <w:rPr>
                <w:rFonts w:hint="eastAsia"/>
                <w:color w:val="000000"/>
                <w:sz w:val="21"/>
                <w:szCs w:val="21"/>
              </w:rPr>
            </w:pPr>
            <w:r>
              <w:rPr>
                <w:b/>
                <w:bCs/>
                <w:color w:val="000000"/>
                <w:sz w:val="21"/>
                <w:szCs w:val="21"/>
              </w:rPr>
              <w:t>5.6.2</w:t>
            </w:r>
          </w:p>
        </w:tc>
        <w:tc>
          <w:tcPr>
            <w:tcW w:w="1771" w:type="pct"/>
            <w:vAlign w:val="center"/>
          </w:tcPr>
          <w:p w14:paraId="3DD83D51">
            <w:pPr>
              <w:adjustRightInd w:val="0"/>
              <w:snapToGrid w:val="0"/>
              <w:rPr>
                <w:rFonts w:hint="eastAsia"/>
                <w:color w:val="000000"/>
                <w:sz w:val="21"/>
                <w:szCs w:val="21"/>
              </w:rPr>
            </w:pPr>
            <w:r>
              <w:rPr>
                <w:rFonts w:hint="eastAsia"/>
                <w:b/>
                <w:bCs/>
                <w:color w:val="000000"/>
                <w:sz w:val="21"/>
                <w:szCs w:val="21"/>
              </w:rPr>
              <w:t>资源节约</w:t>
            </w:r>
          </w:p>
        </w:tc>
        <w:tc>
          <w:tcPr>
            <w:tcW w:w="1892" w:type="pct"/>
            <w:vAlign w:val="center"/>
          </w:tcPr>
          <w:p w14:paraId="2BB52F1C">
            <w:pPr>
              <w:adjustRightInd w:val="0"/>
              <w:snapToGrid w:val="0"/>
              <w:rPr>
                <w:rFonts w:hint="eastAsia"/>
                <w:color w:val="000000"/>
                <w:sz w:val="21"/>
                <w:szCs w:val="21"/>
              </w:rPr>
            </w:pPr>
          </w:p>
        </w:tc>
        <w:tc>
          <w:tcPr>
            <w:tcW w:w="484" w:type="pct"/>
            <w:vAlign w:val="center"/>
          </w:tcPr>
          <w:p w14:paraId="60DD011D">
            <w:pPr>
              <w:adjustRightInd w:val="0"/>
              <w:snapToGrid w:val="0"/>
              <w:jc w:val="center"/>
              <w:rPr>
                <w:rFonts w:hint="eastAsia"/>
                <w:color w:val="000000"/>
                <w:sz w:val="21"/>
                <w:szCs w:val="21"/>
              </w:rPr>
            </w:pPr>
          </w:p>
        </w:tc>
        <w:tc>
          <w:tcPr>
            <w:tcW w:w="488" w:type="pct"/>
            <w:vAlign w:val="center"/>
          </w:tcPr>
          <w:p w14:paraId="19809B5E">
            <w:pPr>
              <w:adjustRightInd w:val="0"/>
              <w:snapToGrid w:val="0"/>
              <w:jc w:val="center"/>
              <w:rPr>
                <w:rFonts w:hint="eastAsia"/>
                <w:color w:val="000000"/>
                <w:sz w:val="21"/>
                <w:szCs w:val="21"/>
              </w:rPr>
            </w:pPr>
          </w:p>
        </w:tc>
      </w:tr>
      <w:tr w14:paraId="69FFED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A412DC2">
            <w:pPr>
              <w:adjustRightInd w:val="0"/>
              <w:snapToGrid w:val="0"/>
              <w:jc w:val="center"/>
              <w:rPr>
                <w:rFonts w:hint="eastAsia"/>
                <w:color w:val="000000"/>
                <w:sz w:val="21"/>
                <w:szCs w:val="21"/>
              </w:rPr>
            </w:pPr>
            <w:r>
              <w:rPr>
                <w:rFonts w:hint="eastAsia"/>
                <w:color w:val="000000"/>
                <w:sz w:val="21"/>
                <w:szCs w:val="21"/>
              </w:rPr>
              <w:t>1</w:t>
            </w:r>
          </w:p>
        </w:tc>
        <w:tc>
          <w:tcPr>
            <w:tcW w:w="1771" w:type="pct"/>
            <w:vAlign w:val="center"/>
          </w:tcPr>
          <w:p w14:paraId="018528FF">
            <w:pPr>
              <w:adjustRightInd w:val="0"/>
              <w:snapToGrid w:val="0"/>
              <w:rPr>
                <w:rFonts w:hint="eastAsia"/>
                <w:color w:val="000000"/>
                <w:sz w:val="21"/>
                <w:szCs w:val="21"/>
              </w:rPr>
            </w:pPr>
            <w:r>
              <w:rPr>
                <w:rFonts w:hint="eastAsia"/>
                <w:sz w:val="21"/>
                <w:szCs w:val="21"/>
              </w:rPr>
              <w:t>厂址选择符合国土空间规划，总体规划布局合理减少土地占用，利用荒漠化、盐碱化土地等常规条件下难以利用的土地。</w:t>
            </w:r>
          </w:p>
        </w:tc>
        <w:tc>
          <w:tcPr>
            <w:tcW w:w="1892" w:type="pct"/>
            <w:vMerge w:val="restart"/>
            <w:vAlign w:val="center"/>
          </w:tcPr>
          <w:p w14:paraId="6C8276FB">
            <w:pPr>
              <w:jc w:val="left"/>
              <w:rPr>
                <w:rFonts w:hint="eastAsia"/>
                <w:sz w:val="21"/>
                <w:szCs w:val="21"/>
              </w:rPr>
            </w:pPr>
            <w:r>
              <w:rPr>
                <w:rFonts w:hint="eastAsia"/>
                <w:sz w:val="21"/>
                <w:szCs w:val="21"/>
              </w:rPr>
              <w:t>每项子目实得分根据现场实际情况按照标准分乘以相应系数进行评分：</w:t>
            </w:r>
          </w:p>
          <w:p w14:paraId="641B6BCD">
            <w:pPr>
              <w:jc w:val="left"/>
              <w:rPr>
                <w:rFonts w:hint="eastAsia"/>
                <w:sz w:val="21"/>
                <w:szCs w:val="21"/>
              </w:rPr>
            </w:pPr>
            <w:r>
              <w:rPr>
                <w:rFonts w:hint="eastAsia"/>
                <w:sz w:val="21"/>
                <w:szCs w:val="21"/>
              </w:rPr>
              <w:t>1、措施到位，满足评价指标要求系数为1；</w:t>
            </w:r>
          </w:p>
          <w:p w14:paraId="0B037D27">
            <w:pPr>
              <w:jc w:val="left"/>
              <w:rPr>
                <w:rFonts w:hint="eastAsia" w:cs="宋体"/>
                <w:color w:val="000000"/>
                <w:sz w:val="21"/>
                <w:szCs w:val="21"/>
              </w:rPr>
            </w:pPr>
            <w:r>
              <w:rPr>
                <w:rFonts w:hint="eastAsia"/>
                <w:sz w:val="21"/>
                <w:szCs w:val="21"/>
              </w:rPr>
              <w:t>2、措施到位，基本满足评价指标要求系数按照0.5~0.9酌情选取；</w:t>
            </w:r>
          </w:p>
          <w:p w14:paraId="1FE5074E">
            <w:pPr>
              <w:adjustRightInd w:val="0"/>
              <w:snapToGrid w:val="0"/>
              <w:rPr>
                <w:rFonts w:hint="eastAsia"/>
                <w:color w:val="000000"/>
                <w:sz w:val="21"/>
                <w:szCs w:val="21"/>
              </w:rPr>
            </w:pPr>
            <w:r>
              <w:rPr>
                <w:rFonts w:hint="eastAsia"/>
                <w:sz w:val="21"/>
                <w:szCs w:val="21"/>
              </w:rPr>
              <w:t>3、措施不到位，不满足评价指标要求，得0分。</w:t>
            </w:r>
          </w:p>
        </w:tc>
        <w:tc>
          <w:tcPr>
            <w:tcW w:w="484" w:type="pct"/>
            <w:vAlign w:val="center"/>
          </w:tcPr>
          <w:p w14:paraId="3055EF6A">
            <w:pPr>
              <w:adjustRightInd w:val="0"/>
              <w:snapToGrid w:val="0"/>
              <w:jc w:val="center"/>
              <w:rPr>
                <w:rFonts w:hint="eastAsia"/>
                <w:color w:val="000000"/>
                <w:sz w:val="21"/>
                <w:szCs w:val="21"/>
              </w:rPr>
            </w:pPr>
            <w:r>
              <w:rPr>
                <w:rFonts w:hint="eastAsia"/>
                <w:color w:val="000000"/>
                <w:sz w:val="21"/>
                <w:szCs w:val="21"/>
              </w:rPr>
              <w:t>1</w:t>
            </w:r>
          </w:p>
        </w:tc>
        <w:tc>
          <w:tcPr>
            <w:tcW w:w="488" w:type="pct"/>
            <w:vAlign w:val="center"/>
          </w:tcPr>
          <w:p w14:paraId="6BCE7233">
            <w:pPr>
              <w:adjustRightInd w:val="0"/>
              <w:snapToGrid w:val="0"/>
              <w:jc w:val="center"/>
              <w:rPr>
                <w:rFonts w:hint="eastAsia"/>
                <w:color w:val="000000"/>
                <w:sz w:val="21"/>
                <w:szCs w:val="21"/>
              </w:rPr>
            </w:pPr>
          </w:p>
        </w:tc>
      </w:tr>
      <w:tr w14:paraId="1732E6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A3FE75D">
            <w:pPr>
              <w:adjustRightInd w:val="0"/>
              <w:snapToGrid w:val="0"/>
              <w:jc w:val="center"/>
              <w:rPr>
                <w:rFonts w:hint="eastAsia"/>
                <w:color w:val="000000"/>
                <w:sz w:val="21"/>
                <w:szCs w:val="21"/>
              </w:rPr>
            </w:pPr>
            <w:r>
              <w:rPr>
                <w:rFonts w:hint="eastAsia"/>
                <w:color w:val="000000"/>
                <w:sz w:val="21"/>
                <w:szCs w:val="21"/>
              </w:rPr>
              <w:t>2</w:t>
            </w:r>
          </w:p>
        </w:tc>
        <w:tc>
          <w:tcPr>
            <w:tcW w:w="1771" w:type="pct"/>
            <w:vAlign w:val="center"/>
          </w:tcPr>
          <w:p w14:paraId="209B9156">
            <w:pPr>
              <w:adjustRightInd w:val="0"/>
              <w:snapToGrid w:val="0"/>
              <w:rPr>
                <w:rFonts w:hint="eastAsia"/>
                <w:color w:val="000000"/>
                <w:sz w:val="21"/>
                <w:szCs w:val="21"/>
              </w:rPr>
            </w:pPr>
            <w:r>
              <w:rPr>
                <w:rFonts w:hint="eastAsia"/>
                <w:sz w:val="21"/>
                <w:szCs w:val="21"/>
              </w:rPr>
              <w:t>厂区总平面布置紧凑，功能分区科学，土地利用率高，</w:t>
            </w:r>
            <w:r>
              <w:rPr>
                <w:sz w:val="21"/>
                <w:szCs w:val="21"/>
              </w:rPr>
              <w:t>采用节约占地的新工艺</w:t>
            </w:r>
            <w:r>
              <w:rPr>
                <w:rFonts w:hint="eastAsia"/>
                <w:sz w:val="21"/>
                <w:szCs w:val="21"/>
              </w:rPr>
              <w:t>，</w:t>
            </w:r>
            <w:r>
              <w:rPr>
                <w:sz w:val="21"/>
                <w:szCs w:val="21"/>
              </w:rPr>
              <w:t>优化工艺系统</w:t>
            </w:r>
            <w:r>
              <w:rPr>
                <w:rFonts w:hint="eastAsia"/>
                <w:sz w:val="21"/>
                <w:szCs w:val="21"/>
              </w:rPr>
              <w:t>和建筑物占地面积，</w:t>
            </w:r>
            <w:r>
              <w:rPr>
                <w:sz w:val="21"/>
                <w:szCs w:val="21"/>
              </w:rPr>
              <w:t>控制道路、广场及管线用地</w:t>
            </w:r>
            <w:r>
              <w:rPr>
                <w:rFonts w:hint="eastAsia"/>
                <w:sz w:val="21"/>
                <w:szCs w:val="21"/>
              </w:rPr>
              <w:t>，用地指标先进，优于国家、行业、地方规定的项目用地指标值。</w:t>
            </w:r>
          </w:p>
        </w:tc>
        <w:tc>
          <w:tcPr>
            <w:tcW w:w="1892" w:type="pct"/>
            <w:vMerge w:val="continue"/>
            <w:vAlign w:val="center"/>
          </w:tcPr>
          <w:p w14:paraId="0B234CB6">
            <w:pPr>
              <w:adjustRightInd w:val="0"/>
              <w:snapToGrid w:val="0"/>
              <w:rPr>
                <w:rFonts w:hint="eastAsia"/>
                <w:color w:val="000000"/>
                <w:sz w:val="21"/>
                <w:szCs w:val="21"/>
              </w:rPr>
            </w:pPr>
          </w:p>
        </w:tc>
        <w:tc>
          <w:tcPr>
            <w:tcW w:w="484" w:type="pct"/>
            <w:vAlign w:val="center"/>
          </w:tcPr>
          <w:p w14:paraId="6442ABFF">
            <w:pPr>
              <w:adjustRightInd w:val="0"/>
              <w:snapToGrid w:val="0"/>
              <w:jc w:val="center"/>
              <w:rPr>
                <w:rFonts w:hint="eastAsia"/>
                <w:color w:val="000000"/>
                <w:sz w:val="21"/>
                <w:szCs w:val="21"/>
              </w:rPr>
            </w:pPr>
            <w:r>
              <w:rPr>
                <w:rFonts w:hint="eastAsia"/>
                <w:color w:val="000000"/>
                <w:sz w:val="21"/>
                <w:szCs w:val="21"/>
              </w:rPr>
              <w:t>1</w:t>
            </w:r>
          </w:p>
        </w:tc>
        <w:tc>
          <w:tcPr>
            <w:tcW w:w="488" w:type="pct"/>
            <w:vAlign w:val="center"/>
          </w:tcPr>
          <w:p w14:paraId="6CCD3338">
            <w:pPr>
              <w:adjustRightInd w:val="0"/>
              <w:snapToGrid w:val="0"/>
              <w:jc w:val="center"/>
              <w:rPr>
                <w:rFonts w:hint="eastAsia"/>
                <w:color w:val="000000"/>
                <w:sz w:val="21"/>
                <w:szCs w:val="21"/>
              </w:rPr>
            </w:pPr>
          </w:p>
        </w:tc>
      </w:tr>
      <w:tr w14:paraId="087B7E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6C29433">
            <w:pPr>
              <w:adjustRightInd w:val="0"/>
              <w:snapToGrid w:val="0"/>
              <w:jc w:val="center"/>
              <w:rPr>
                <w:rFonts w:hint="eastAsia"/>
                <w:color w:val="000000"/>
                <w:sz w:val="21"/>
                <w:szCs w:val="21"/>
              </w:rPr>
            </w:pPr>
            <w:r>
              <w:rPr>
                <w:rFonts w:hint="eastAsia"/>
                <w:color w:val="000000"/>
                <w:sz w:val="21"/>
                <w:szCs w:val="21"/>
              </w:rPr>
              <w:t>3</w:t>
            </w:r>
          </w:p>
        </w:tc>
        <w:tc>
          <w:tcPr>
            <w:tcW w:w="1771" w:type="pct"/>
            <w:vAlign w:val="center"/>
          </w:tcPr>
          <w:p w14:paraId="41BC231F">
            <w:pPr>
              <w:adjustRightInd w:val="0"/>
              <w:snapToGrid w:val="0"/>
              <w:rPr>
                <w:rFonts w:hint="eastAsia"/>
                <w:color w:val="000000"/>
                <w:sz w:val="21"/>
                <w:szCs w:val="21"/>
              </w:rPr>
            </w:pPr>
            <w:r>
              <w:rPr>
                <w:rFonts w:hint="eastAsia"/>
                <w:sz w:val="21"/>
                <w:szCs w:val="21"/>
              </w:rPr>
              <w:t>改扩建项目充分利用和改造既有设施和建筑，并减少新增用地。</w:t>
            </w:r>
          </w:p>
        </w:tc>
        <w:tc>
          <w:tcPr>
            <w:tcW w:w="1892" w:type="pct"/>
            <w:vMerge w:val="continue"/>
            <w:vAlign w:val="center"/>
          </w:tcPr>
          <w:p w14:paraId="699C37BF">
            <w:pPr>
              <w:adjustRightInd w:val="0"/>
              <w:snapToGrid w:val="0"/>
              <w:rPr>
                <w:rFonts w:hint="eastAsia"/>
                <w:color w:val="000000"/>
                <w:sz w:val="21"/>
                <w:szCs w:val="21"/>
              </w:rPr>
            </w:pPr>
          </w:p>
        </w:tc>
        <w:tc>
          <w:tcPr>
            <w:tcW w:w="484" w:type="pct"/>
            <w:vAlign w:val="center"/>
          </w:tcPr>
          <w:p w14:paraId="29139246">
            <w:pPr>
              <w:adjustRightInd w:val="0"/>
              <w:snapToGrid w:val="0"/>
              <w:jc w:val="center"/>
              <w:rPr>
                <w:rFonts w:hint="eastAsia"/>
                <w:color w:val="000000"/>
                <w:sz w:val="21"/>
                <w:szCs w:val="21"/>
              </w:rPr>
            </w:pPr>
            <w:r>
              <w:rPr>
                <w:rFonts w:hint="eastAsia"/>
                <w:color w:val="000000"/>
                <w:sz w:val="21"/>
                <w:szCs w:val="21"/>
              </w:rPr>
              <w:t>0.5</w:t>
            </w:r>
          </w:p>
        </w:tc>
        <w:tc>
          <w:tcPr>
            <w:tcW w:w="488" w:type="pct"/>
            <w:vAlign w:val="center"/>
          </w:tcPr>
          <w:p w14:paraId="6EDF52E1">
            <w:pPr>
              <w:adjustRightInd w:val="0"/>
              <w:snapToGrid w:val="0"/>
              <w:jc w:val="center"/>
              <w:rPr>
                <w:rFonts w:hint="eastAsia"/>
                <w:color w:val="000000"/>
                <w:sz w:val="21"/>
                <w:szCs w:val="21"/>
              </w:rPr>
            </w:pPr>
          </w:p>
        </w:tc>
      </w:tr>
      <w:tr w14:paraId="4418B1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4B37232">
            <w:pPr>
              <w:adjustRightInd w:val="0"/>
              <w:snapToGrid w:val="0"/>
              <w:jc w:val="center"/>
              <w:rPr>
                <w:rFonts w:hint="eastAsia"/>
                <w:color w:val="000000"/>
                <w:sz w:val="21"/>
                <w:szCs w:val="21"/>
              </w:rPr>
            </w:pPr>
            <w:r>
              <w:rPr>
                <w:rFonts w:hint="eastAsia"/>
                <w:color w:val="000000"/>
                <w:sz w:val="21"/>
                <w:szCs w:val="21"/>
              </w:rPr>
              <w:t>4</w:t>
            </w:r>
          </w:p>
        </w:tc>
        <w:tc>
          <w:tcPr>
            <w:tcW w:w="1771" w:type="pct"/>
            <w:vAlign w:val="center"/>
          </w:tcPr>
          <w:p w14:paraId="7330A2C1">
            <w:pPr>
              <w:adjustRightInd w:val="0"/>
              <w:snapToGrid w:val="0"/>
              <w:rPr>
                <w:rFonts w:hint="eastAsia"/>
                <w:color w:val="000000"/>
                <w:sz w:val="21"/>
                <w:szCs w:val="21"/>
              </w:rPr>
            </w:pPr>
            <w:r>
              <w:rPr>
                <w:rFonts w:hint="eastAsia"/>
                <w:sz w:val="21"/>
                <w:szCs w:val="21"/>
              </w:rPr>
              <w:t>选用新型工艺设备，采用先进工艺流程、材料及布置，减少能源在输送、分配及生产工序等环节产生过程消耗，提高能源利用效率；采用新技术措施，降低储能电站厂用电。</w:t>
            </w:r>
          </w:p>
        </w:tc>
        <w:tc>
          <w:tcPr>
            <w:tcW w:w="1892" w:type="pct"/>
            <w:vMerge w:val="continue"/>
            <w:vAlign w:val="center"/>
          </w:tcPr>
          <w:p w14:paraId="2BE0C7F7">
            <w:pPr>
              <w:adjustRightInd w:val="0"/>
              <w:snapToGrid w:val="0"/>
              <w:rPr>
                <w:rFonts w:hint="eastAsia"/>
                <w:color w:val="000000"/>
                <w:sz w:val="21"/>
                <w:szCs w:val="21"/>
              </w:rPr>
            </w:pPr>
          </w:p>
        </w:tc>
        <w:tc>
          <w:tcPr>
            <w:tcW w:w="484" w:type="pct"/>
            <w:vAlign w:val="center"/>
          </w:tcPr>
          <w:p w14:paraId="69642053">
            <w:pPr>
              <w:adjustRightInd w:val="0"/>
              <w:snapToGrid w:val="0"/>
              <w:jc w:val="center"/>
              <w:rPr>
                <w:rFonts w:hint="eastAsia"/>
                <w:color w:val="000000"/>
                <w:sz w:val="21"/>
                <w:szCs w:val="21"/>
              </w:rPr>
            </w:pPr>
            <w:r>
              <w:rPr>
                <w:rFonts w:hint="eastAsia"/>
                <w:color w:val="000000"/>
                <w:sz w:val="21"/>
                <w:szCs w:val="21"/>
              </w:rPr>
              <w:t>1</w:t>
            </w:r>
          </w:p>
        </w:tc>
        <w:tc>
          <w:tcPr>
            <w:tcW w:w="488" w:type="pct"/>
            <w:vAlign w:val="center"/>
          </w:tcPr>
          <w:p w14:paraId="413908F0">
            <w:pPr>
              <w:adjustRightInd w:val="0"/>
              <w:snapToGrid w:val="0"/>
              <w:jc w:val="center"/>
              <w:rPr>
                <w:rFonts w:hint="eastAsia"/>
                <w:color w:val="000000"/>
                <w:sz w:val="21"/>
                <w:szCs w:val="21"/>
              </w:rPr>
            </w:pPr>
          </w:p>
        </w:tc>
      </w:tr>
      <w:tr w14:paraId="478BB6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25FA027">
            <w:pPr>
              <w:adjustRightInd w:val="0"/>
              <w:snapToGrid w:val="0"/>
              <w:jc w:val="center"/>
              <w:rPr>
                <w:rFonts w:hint="eastAsia"/>
                <w:color w:val="000000"/>
                <w:sz w:val="21"/>
                <w:szCs w:val="21"/>
              </w:rPr>
            </w:pPr>
            <w:r>
              <w:rPr>
                <w:rFonts w:hint="eastAsia"/>
                <w:color w:val="000000"/>
                <w:sz w:val="21"/>
                <w:szCs w:val="21"/>
              </w:rPr>
              <w:t>5</w:t>
            </w:r>
          </w:p>
        </w:tc>
        <w:tc>
          <w:tcPr>
            <w:tcW w:w="1771" w:type="pct"/>
            <w:vAlign w:val="center"/>
          </w:tcPr>
          <w:p w14:paraId="298FA14E">
            <w:pPr>
              <w:adjustRightInd w:val="0"/>
              <w:snapToGrid w:val="0"/>
              <w:rPr>
                <w:rFonts w:hint="eastAsia"/>
                <w:color w:val="000000"/>
                <w:sz w:val="21"/>
                <w:szCs w:val="21"/>
              </w:rPr>
            </w:pPr>
            <w:r>
              <w:rPr>
                <w:sz w:val="21"/>
                <w:szCs w:val="21"/>
              </w:rPr>
              <w:t>采用高能效等级设备。</w:t>
            </w:r>
          </w:p>
        </w:tc>
        <w:tc>
          <w:tcPr>
            <w:tcW w:w="1892" w:type="pct"/>
            <w:vMerge w:val="continue"/>
            <w:vAlign w:val="center"/>
          </w:tcPr>
          <w:p w14:paraId="062BFC77">
            <w:pPr>
              <w:adjustRightInd w:val="0"/>
              <w:snapToGrid w:val="0"/>
              <w:rPr>
                <w:rFonts w:hint="eastAsia"/>
                <w:color w:val="000000"/>
                <w:sz w:val="21"/>
                <w:szCs w:val="21"/>
              </w:rPr>
            </w:pPr>
          </w:p>
        </w:tc>
        <w:tc>
          <w:tcPr>
            <w:tcW w:w="484" w:type="pct"/>
            <w:vAlign w:val="center"/>
          </w:tcPr>
          <w:p w14:paraId="60812484">
            <w:pPr>
              <w:adjustRightInd w:val="0"/>
              <w:snapToGrid w:val="0"/>
              <w:jc w:val="center"/>
              <w:rPr>
                <w:rFonts w:hint="eastAsia"/>
                <w:color w:val="000000"/>
                <w:sz w:val="21"/>
                <w:szCs w:val="21"/>
              </w:rPr>
            </w:pPr>
            <w:r>
              <w:rPr>
                <w:rFonts w:hint="eastAsia"/>
                <w:color w:val="000000"/>
                <w:sz w:val="21"/>
                <w:szCs w:val="21"/>
              </w:rPr>
              <w:t>1</w:t>
            </w:r>
          </w:p>
        </w:tc>
        <w:tc>
          <w:tcPr>
            <w:tcW w:w="488" w:type="pct"/>
            <w:vAlign w:val="center"/>
          </w:tcPr>
          <w:p w14:paraId="5562BA23">
            <w:pPr>
              <w:adjustRightInd w:val="0"/>
              <w:snapToGrid w:val="0"/>
              <w:jc w:val="center"/>
              <w:rPr>
                <w:rFonts w:hint="eastAsia"/>
                <w:color w:val="000000"/>
                <w:sz w:val="21"/>
                <w:szCs w:val="21"/>
              </w:rPr>
            </w:pPr>
          </w:p>
        </w:tc>
      </w:tr>
      <w:tr w14:paraId="3B2FE9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5F525EB">
            <w:pPr>
              <w:adjustRightInd w:val="0"/>
              <w:snapToGrid w:val="0"/>
              <w:jc w:val="center"/>
              <w:rPr>
                <w:rFonts w:hint="eastAsia"/>
                <w:color w:val="000000"/>
                <w:sz w:val="21"/>
                <w:szCs w:val="21"/>
              </w:rPr>
            </w:pPr>
            <w:r>
              <w:rPr>
                <w:rFonts w:hint="eastAsia"/>
                <w:color w:val="000000"/>
                <w:sz w:val="21"/>
                <w:szCs w:val="21"/>
              </w:rPr>
              <w:t>6</w:t>
            </w:r>
          </w:p>
        </w:tc>
        <w:tc>
          <w:tcPr>
            <w:tcW w:w="1771" w:type="pct"/>
            <w:vAlign w:val="center"/>
          </w:tcPr>
          <w:p w14:paraId="38BC8C54">
            <w:pPr>
              <w:adjustRightInd w:val="0"/>
              <w:snapToGrid w:val="0"/>
              <w:rPr>
                <w:rFonts w:hint="eastAsia"/>
                <w:color w:val="000000"/>
                <w:sz w:val="21"/>
                <w:szCs w:val="21"/>
              </w:rPr>
            </w:pPr>
            <w:r>
              <w:rPr>
                <w:sz w:val="21"/>
                <w:szCs w:val="21"/>
              </w:rPr>
              <w:t>节能管理措施到位，配备完善的能源计量仪表。</w:t>
            </w:r>
          </w:p>
        </w:tc>
        <w:tc>
          <w:tcPr>
            <w:tcW w:w="1892" w:type="pct"/>
            <w:vMerge w:val="continue"/>
            <w:vAlign w:val="center"/>
          </w:tcPr>
          <w:p w14:paraId="346031D5">
            <w:pPr>
              <w:adjustRightInd w:val="0"/>
              <w:snapToGrid w:val="0"/>
              <w:rPr>
                <w:rFonts w:hint="eastAsia"/>
                <w:color w:val="000000"/>
                <w:sz w:val="21"/>
                <w:szCs w:val="21"/>
              </w:rPr>
            </w:pPr>
          </w:p>
        </w:tc>
        <w:tc>
          <w:tcPr>
            <w:tcW w:w="484" w:type="pct"/>
            <w:vAlign w:val="center"/>
          </w:tcPr>
          <w:p w14:paraId="69647E82">
            <w:pPr>
              <w:adjustRightInd w:val="0"/>
              <w:snapToGrid w:val="0"/>
              <w:jc w:val="center"/>
              <w:rPr>
                <w:rFonts w:hint="eastAsia"/>
                <w:color w:val="000000"/>
                <w:sz w:val="21"/>
                <w:szCs w:val="21"/>
              </w:rPr>
            </w:pPr>
            <w:r>
              <w:rPr>
                <w:rFonts w:hint="eastAsia"/>
                <w:color w:val="000000"/>
                <w:sz w:val="21"/>
                <w:szCs w:val="21"/>
              </w:rPr>
              <w:t>1</w:t>
            </w:r>
          </w:p>
        </w:tc>
        <w:tc>
          <w:tcPr>
            <w:tcW w:w="488" w:type="pct"/>
            <w:vAlign w:val="center"/>
          </w:tcPr>
          <w:p w14:paraId="4F564207">
            <w:pPr>
              <w:adjustRightInd w:val="0"/>
              <w:snapToGrid w:val="0"/>
              <w:jc w:val="center"/>
              <w:rPr>
                <w:rFonts w:hint="eastAsia"/>
                <w:color w:val="000000"/>
                <w:sz w:val="21"/>
                <w:szCs w:val="21"/>
              </w:rPr>
            </w:pPr>
          </w:p>
        </w:tc>
      </w:tr>
      <w:tr w14:paraId="15F84E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821715E">
            <w:pPr>
              <w:adjustRightInd w:val="0"/>
              <w:snapToGrid w:val="0"/>
              <w:jc w:val="center"/>
              <w:rPr>
                <w:rFonts w:hint="eastAsia"/>
                <w:color w:val="000000"/>
                <w:sz w:val="21"/>
                <w:szCs w:val="21"/>
              </w:rPr>
            </w:pPr>
            <w:r>
              <w:rPr>
                <w:rFonts w:hint="eastAsia"/>
                <w:color w:val="000000"/>
                <w:sz w:val="21"/>
                <w:szCs w:val="21"/>
              </w:rPr>
              <w:t>7</w:t>
            </w:r>
          </w:p>
        </w:tc>
        <w:tc>
          <w:tcPr>
            <w:tcW w:w="1771" w:type="pct"/>
            <w:vAlign w:val="center"/>
          </w:tcPr>
          <w:p w14:paraId="7606F45E">
            <w:pPr>
              <w:adjustRightInd w:val="0"/>
              <w:snapToGrid w:val="0"/>
              <w:rPr>
                <w:rFonts w:hint="eastAsia"/>
                <w:color w:val="000000"/>
                <w:sz w:val="21"/>
                <w:szCs w:val="21"/>
              </w:rPr>
            </w:pPr>
            <w:r>
              <w:rPr>
                <w:sz w:val="21"/>
                <w:szCs w:val="21"/>
              </w:rPr>
              <w:t>选用节能建筑材料</w:t>
            </w:r>
            <w:r>
              <w:rPr>
                <w:rFonts w:hint="eastAsia"/>
                <w:sz w:val="21"/>
                <w:szCs w:val="21"/>
              </w:rPr>
              <w:t>。</w:t>
            </w:r>
          </w:p>
        </w:tc>
        <w:tc>
          <w:tcPr>
            <w:tcW w:w="1892" w:type="pct"/>
            <w:vMerge w:val="continue"/>
            <w:vAlign w:val="center"/>
          </w:tcPr>
          <w:p w14:paraId="03D9B675">
            <w:pPr>
              <w:adjustRightInd w:val="0"/>
              <w:snapToGrid w:val="0"/>
              <w:rPr>
                <w:rFonts w:hint="eastAsia"/>
                <w:color w:val="000000"/>
                <w:sz w:val="21"/>
                <w:szCs w:val="21"/>
              </w:rPr>
            </w:pPr>
          </w:p>
        </w:tc>
        <w:tc>
          <w:tcPr>
            <w:tcW w:w="484" w:type="pct"/>
            <w:vAlign w:val="center"/>
          </w:tcPr>
          <w:p w14:paraId="5239672B">
            <w:pPr>
              <w:adjustRightInd w:val="0"/>
              <w:snapToGrid w:val="0"/>
              <w:jc w:val="center"/>
              <w:rPr>
                <w:rFonts w:hint="eastAsia"/>
                <w:color w:val="000000"/>
                <w:sz w:val="21"/>
                <w:szCs w:val="21"/>
              </w:rPr>
            </w:pPr>
            <w:r>
              <w:rPr>
                <w:rFonts w:hint="eastAsia"/>
                <w:color w:val="000000"/>
                <w:sz w:val="21"/>
                <w:szCs w:val="21"/>
              </w:rPr>
              <w:t>1</w:t>
            </w:r>
          </w:p>
        </w:tc>
        <w:tc>
          <w:tcPr>
            <w:tcW w:w="488" w:type="pct"/>
            <w:vAlign w:val="center"/>
          </w:tcPr>
          <w:p w14:paraId="7F37AD17">
            <w:pPr>
              <w:adjustRightInd w:val="0"/>
              <w:snapToGrid w:val="0"/>
              <w:jc w:val="center"/>
              <w:rPr>
                <w:rFonts w:hint="eastAsia"/>
                <w:color w:val="000000"/>
                <w:sz w:val="21"/>
                <w:szCs w:val="21"/>
              </w:rPr>
            </w:pPr>
          </w:p>
        </w:tc>
      </w:tr>
      <w:tr w14:paraId="3D8F62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1F03943">
            <w:pPr>
              <w:adjustRightInd w:val="0"/>
              <w:snapToGrid w:val="0"/>
              <w:jc w:val="center"/>
              <w:rPr>
                <w:rFonts w:hint="eastAsia"/>
                <w:color w:val="000000"/>
                <w:sz w:val="21"/>
                <w:szCs w:val="21"/>
              </w:rPr>
            </w:pPr>
            <w:r>
              <w:rPr>
                <w:rFonts w:hint="eastAsia"/>
                <w:color w:val="000000"/>
                <w:sz w:val="21"/>
                <w:szCs w:val="21"/>
              </w:rPr>
              <w:t>8</w:t>
            </w:r>
          </w:p>
        </w:tc>
        <w:tc>
          <w:tcPr>
            <w:tcW w:w="1771" w:type="pct"/>
            <w:vAlign w:val="center"/>
          </w:tcPr>
          <w:p w14:paraId="27D1B26E">
            <w:pPr>
              <w:adjustRightInd w:val="0"/>
              <w:snapToGrid w:val="0"/>
              <w:rPr>
                <w:rFonts w:hint="eastAsia"/>
                <w:color w:val="000000"/>
                <w:sz w:val="21"/>
                <w:szCs w:val="21"/>
              </w:rPr>
            </w:pPr>
            <w:r>
              <w:rPr>
                <w:sz w:val="21"/>
                <w:szCs w:val="21"/>
              </w:rPr>
              <w:t>建筑热工（屋面、楼面、围护结构）节能降耗措施先进</w:t>
            </w:r>
            <w:r>
              <w:rPr>
                <w:rFonts w:hint="eastAsia"/>
                <w:sz w:val="21"/>
                <w:szCs w:val="21"/>
              </w:rPr>
              <w:t>。</w:t>
            </w:r>
            <w:r>
              <w:rPr>
                <w:sz w:val="21"/>
                <w:szCs w:val="21"/>
              </w:rPr>
              <w:t>积极采用自然采光</w:t>
            </w:r>
            <w:r>
              <w:rPr>
                <w:rFonts w:hint="eastAsia"/>
                <w:sz w:val="21"/>
                <w:szCs w:val="21"/>
              </w:rPr>
              <w:t>、</w:t>
            </w:r>
            <w:r>
              <w:rPr>
                <w:sz w:val="21"/>
                <w:szCs w:val="21"/>
              </w:rPr>
              <w:t>自然通风设计</w:t>
            </w:r>
            <w:r>
              <w:rPr>
                <w:rFonts w:hint="eastAsia"/>
                <w:sz w:val="21"/>
                <w:szCs w:val="21"/>
              </w:rPr>
              <w:t>。</w:t>
            </w:r>
          </w:p>
        </w:tc>
        <w:tc>
          <w:tcPr>
            <w:tcW w:w="1892" w:type="pct"/>
            <w:vMerge w:val="continue"/>
            <w:vAlign w:val="center"/>
          </w:tcPr>
          <w:p w14:paraId="32B6FFCD">
            <w:pPr>
              <w:adjustRightInd w:val="0"/>
              <w:snapToGrid w:val="0"/>
              <w:rPr>
                <w:rFonts w:hint="eastAsia"/>
                <w:color w:val="000000"/>
                <w:sz w:val="21"/>
                <w:szCs w:val="21"/>
              </w:rPr>
            </w:pPr>
          </w:p>
        </w:tc>
        <w:tc>
          <w:tcPr>
            <w:tcW w:w="484" w:type="pct"/>
            <w:vAlign w:val="center"/>
          </w:tcPr>
          <w:p w14:paraId="31802D25">
            <w:pPr>
              <w:adjustRightInd w:val="0"/>
              <w:snapToGrid w:val="0"/>
              <w:jc w:val="center"/>
              <w:rPr>
                <w:rFonts w:hint="eastAsia"/>
                <w:color w:val="000000"/>
                <w:sz w:val="21"/>
                <w:szCs w:val="21"/>
              </w:rPr>
            </w:pPr>
            <w:r>
              <w:rPr>
                <w:rFonts w:hint="eastAsia"/>
                <w:color w:val="000000"/>
                <w:sz w:val="21"/>
                <w:szCs w:val="21"/>
              </w:rPr>
              <w:t>1</w:t>
            </w:r>
          </w:p>
        </w:tc>
        <w:tc>
          <w:tcPr>
            <w:tcW w:w="488" w:type="pct"/>
            <w:vAlign w:val="center"/>
          </w:tcPr>
          <w:p w14:paraId="1D50BDD5">
            <w:pPr>
              <w:adjustRightInd w:val="0"/>
              <w:snapToGrid w:val="0"/>
              <w:jc w:val="center"/>
              <w:rPr>
                <w:rFonts w:hint="eastAsia"/>
                <w:color w:val="000000"/>
                <w:sz w:val="21"/>
                <w:szCs w:val="21"/>
              </w:rPr>
            </w:pPr>
          </w:p>
        </w:tc>
      </w:tr>
      <w:tr w14:paraId="15E9F3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0C6A010">
            <w:pPr>
              <w:adjustRightInd w:val="0"/>
              <w:snapToGrid w:val="0"/>
              <w:jc w:val="center"/>
              <w:rPr>
                <w:rFonts w:hint="eastAsia"/>
                <w:color w:val="000000"/>
                <w:sz w:val="21"/>
                <w:szCs w:val="21"/>
              </w:rPr>
            </w:pPr>
            <w:r>
              <w:rPr>
                <w:rFonts w:hint="eastAsia"/>
                <w:color w:val="000000"/>
                <w:sz w:val="21"/>
                <w:szCs w:val="21"/>
              </w:rPr>
              <w:t>9</w:t>
            </w:r>
          </w:p>
        </w:tc>
        <w:tc>
          <w:tcPr>
            <w:tcW w:w="1771" w:type="pct"/>
            <w:vAlign w:val="center"/>
          </w:tcPr>
          <w:p w14:paraId="1EF751CB">
            <w:pPr>
              <w:adjustRightInd w:val="0"/>
              <w:snapToGrid w:val="0"/>
              <w:rPr>
                <w:rFonts w:hint="eastAsia"/>
                <w:color w:val="000000"/>
                <w:sz w:val="21"/>
                <w:szCs w:val="21"/>
              </w:rPr>
            </w:pPr>
            <w:r>
              <w:rPr>
                <w:sz w:val="21"/>
                <w:szCs w:val="21"/>
              </w:rPr>
              <w:t>清洁能源积极嵌入建筑技术应用，积极采用新能源设备。</w:t>
            </w:r>
          </w:p>
        </w:tc>
        <w:tc>
          <w:tcPr>
            <w:tcW w:w="1892" w:type="pct"/>
            <w:vMerge w:val="continue"/>
            <w:vAlign w:val="center"/>
          </w:tcPr>
          <w:p w14:paraId="11099345">
            <w:pPr>
              <w:adjustRightInd w:val="0"/>
              <w:snapToGrid w:val="0"/>
              <w:rPr>
                <w:rFonts w:hint="eastAsia"/>
                <w:color w:val="000000"/>
                <w:sz w:val="21"/>
                <w:szCs w:val="21"/>
              </w:rPr>
            </w:pPr>
          </w:p>
        </w:tc>
        <w:tc>
          <w:tcPr>
            <w:tcW w:w="484" w:type="pct"/>
            <w:vAlign w:val="center"/>
          </w:tcPr>
          <w:p w14:paraId="37636C39">
            <w:pPr>
              <w:adjustRightInd w:val="0"/>
              <w:snapToGrid w:val="0"/>
              <w:jc w:val="center"/>
              <w:rPr>
                <w:rFonts w:hint="eastAsia"/>
                <w:color w:val="000000"/>
                <w:sz w:val="21"/>
                <w:szCs w:val="21"/>
              </w:rPr>
            </w:pPr>
            <w:r>
              <w:rPr>
                <w:rFonts w:hint="eastAsia"/>
                <w:color w:val="000000"/>
                <w:sz w:val="21"/>
                <w:szCs w:val="21"/>
              </w:rPr>
              <w:t>1</w:t>
            </w:r>
          </w:p>
        </w:tc>
        <w:tc>
          <w:tcPr>
            <w:tcW w:w="488" w:type="pct"/>
            <w:vAlign w:val="center"/>
          </w:tcPr>
          <w:p w14:paraId="7C3B9C59">
            <w:pPr>
              <w:adjustRightInd w:val="0"/>
              <w:snapToGrid w:val="0"/>
              <w:jc w:val="center"/>
              <w:rPr>
                <w:rFonts w:hint="eastAsia"/>
                <w:color w:val="000000"/>
                <w:sz w:val="21"/>
                <w:szCs w:val="21"/>
              </w:rPr>
            </w:pPr>
          </w:p>
        </w:tc>
      </w:tr>
      <w:tr w14:paraId="48BE3F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B39CD11">
            <w:pPr>
              <w:adjustRightInd w:val="0"/>
              <w:snapToGrid w:val="0"/>
              <w:jc w:val="center"/>
              <w:rPr>
                <w:rFonts w:hint="eastAsia"/>
                <w:color w:val="000000"/>
                <w:sz w:val="21"/>
                <w:szCs w:val="21"/>
              </w:rPr>
            </w:pPr>
            <w:r>
              <w:rPr>
                <w:rFonts w:hint="eastAsia"/>
                <w:color w:val="000000"/>
                <w:sz w:val="21"/>
                <w:szCs w:val="21"/>
              </w:rPr>
              <w:t>10</w:t>
            </w:r>
          </w:p>
        </w:tc>
        <w:tc>
          <w:tcPr>
            <w:tcW w:w="1771" w:type="pct"/>
            <w:vAlign w:val="center"/>
          </w:tcPr>
          <w:p w14:paraId="037CF2BA">
            <w:pPr>
              <w:adjustRightInd w:val="0"/>
              <w:snapToGrid w:val="0"/>
              <w:rPr>
                <w:rFonts w:hint="eastAsia"/>
                <w:color w:val="000000"/>
                <w:sz w:val="21"/>
                <w:szCs w:val="21"/>
              </w:rPr>
            </w:pPr>
            <w:r>
              <w:rPr>
                <w:rFonts w:hint="eastAsia"/>
                <w:sz w:val="21"/>
                <w:szCs w:val="21"/>
              </w:rPr>
              <w:t>全站采用新型节能照明系统，智能控制。</w:t>
            </w:r>
          </w:p>
        </w:tc>
        <w:tc>
          <w:tcPr>
            <w:tcW w:w="1892" w:type="pct"/>
            <w:vMerge w:val="continue"/>
            <w:vAlign w:val="center"/>
          </w:tcPr>
          <w:p w14:paraId="6B786C1C">
            <w:pPr>
              <w:adjustRightInd w:val="0"/>
              <w:snapToGrid w:val="0"/>
              <w:rPr>
                <w:rFonts w:hint="eastAsia"/>
                <w:color w:val="000000"/>
                <w:sz w:val="21"/>
                <w:szCs w:val="21"/>
              </w:rPr>
            </w:pPr>
          </w:p>
        </w:tc>
        <w:tc>
          <w:tcPr>
            <w:tcW w:w="484" w:type="pct"/>
            <w:vAlign w:val="center"/>
          </w:tcPr>
          <w:p w14:paraId="05D86443">
            <w:pPr>
              <w:adjustRightInd w:val="0"/>
              <w:snapToGrid w:val="0"/>
              <w:jc w:val="center"/>
              <w:rPr>
                <w:rFonts w:hint="eastAsia"/>
                <w:color w:val="000000"/>
                <w:sz w:val="21"/>
                <w:szCs w:val="21"/>
              </w:rPr>
            </w:pPr>
            <w:r>
              <w:rPr>
                <w:rFonts w:hint="eastAsia"/>
                <w:color w:val="000000"/>
                <w:sz w:val="21"/>
                <w:szCs w:val="21"/>
              </w:rPr>
              <w:t>0.5</w:t>
            </w:r>
          </w:p>
        </w:tc>
        <w:tc>
          <w:tcPr>
            <w:tcW w:w="488" w:type="pct"/>
            <w:vAlign w:val="center"/>
          </w:tcPr>
          <w:p w14:paraId="598B1C01">
            <w:pPr>
              <w:adjustRightInd w:val="0"/>
              <w:snapToGrid w:val="0"/>
              <w:jc w:val="center"/>
              <w:rPr>
                <w:rFonts w:hint="eastAsia"/>
                <w:color w:val="000000"/>
                <w:sz w:val="21"/>
                <w:szCs w:val="21"/>
              </w:rPr>
            </w:pPr>
          </w:p>
        </w:tc>
      </w:tr>
      <w:tr w14:paraId="4CF549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584181A">
            <w:pPr>
              <w:adjustRightInd w:val="0"/>
              <w:snapToGrid w:val="0"/>
              <w:jc w:val="center"/>
              <w:rPr>
                <w:rFonts w:hint="eastAsia"/>
                <w:color w:val="000000"/>
                <w:sz w:val="21"/>
                <w:szCs w:val="21"/>
              </w:rPr>
            </w:pPr>
            <w:r>
              <w:rPr>
                <w:rFonts w:hint="eastAsia"/>
                <w:color w:val="000000"/>
                <w:sz w:val="21"/>
                <w:szCs w:val="21"/>
              </w:rPr>
              <w:t>11</w:t>
            </w:r>
          </w:p>
        </w:tc>
        <w:tc>
          <w:tcPr>
            <w:tcW w:w="1771" w:type="pct"/>
            <w:vAlign w:val="center"/>
          </w:tcPr>
          <w:p w14:paraId="779D7841">
            <w:pPr>
              <w:adjustRightInd w:val="0"/>
              <w:snapToGrid w:val="0"/>
              <w:rPr>
                <w:rFonts w:hint="eastAsia"/>
                <w:color w:val="000000"/>
                <w:sz w:val="21"/>
                <w:szCs w:val="21"/>
              </w:rPr>
            </w:pPr>
            <w:r>
              <w:rPr>
                <w:sz w:val="21"/>
                <w:szCs w:val="21"/>
              </w:rPr>
              <w:t>提高水的重复利用率，节约用水。</w:t>
            </w:r>
            <w:r>
              <w:rPr>
                <w:rFonts w:hint="eastAsia"/>
                <w:sz w:val="21"/>
                <w:szCs w:val="21"/>
              </w:rPr>
              <w:t>储能电站生活废水排放处理方案环保先进，所有生活废水全部回用，实现全站废水零排放。</w:t>
            </w:r>
          </w:p>
        </w:tc>
        <w:tc>
          <w:tcPr>
            <w:tcW w:w="1892" w:type="pct"/>
            <w:vMerge w:val="continue"/>
            <w:vAlign w:val="center"/>
          </w:tcPr>
          <w:p w14:paraId="6F1B5B82">
            <w:pPr>
              <w:adjustRightInd w:val="0"/>
              <w:snapToGrid w:val="0"/>
              <w:rPr>
                <w:rFonts w:hint="eastAsia"/>
                <w:color w:val="000000"/>
                <w:sz w:val="21"/>
                <w:szCs w:val="21"/>
              </w:rPr>
            </w:pPr>
          </w:p>
        </w:tc>
        <w:tc>
          <w:tcPr>
            <w:tcW w:w="484" w:type="pct"/>
            <w:vAlign w:val="center"/>
          </w:tcPr>
          <w:p w14:paraId="07927AD9">
            <w:pPr>
              <w:adjustRightInd w:val="0"/>
              <w:snapToGrid w:val="0"/>
              <w:jc w:val="center"/>
              <w:rPr>
                <w:rFonts w:hint="eastAsia"/>
                <w:color w:val="000000"/>
                <w:sz w:val="21"/>
                <w:szCs w:val="21"/>
              </w:rPr>
            </w:pPr>
            <w:r>
              <w:rPr>
                <w:rFonts w:hint="eastAsia"/>
                <w:color w:val="000000"/>
                <w:sz w:val="21"/>
                <w:szCs w:val="21"/>
              </w:rPr>
              <w:t>1</w:t>
            </w:r>
          </w:p>
        </w:tc>
        <w:tc>
          <w:tcPr>
            <w:tcW w:w="488" w:type="pct"/>
            <w:vAlign w:val="center"/>
          </w:tcPr>
          <w:p w14:paraId="197F8A9C">
            <w:pPr>
              <w:adjustRightInd w:val="0"/>
              <w:snapToGrid w:val="0"/>
              <w:jc w:val="center"/>
              <w:rPr>
                <w:rFonts w:hint="eastAsia"/>
                <w:color w:val="000000"/>
                <w:sz w:val="21"/>
                <w:szCs w:val="21"/>
              </w:rPr>
            </w:pPr>
          </w:p>
        </w:tc>
      </w:tr>
      <w:tr w14:paraId="47D39A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91F1F76">
            <w:pPr>
              <w:adjustRightInd w:val="0"/>
              <w:snapToGrid w:val="0"/>
              <w:jc w:val="center"/>
              <w:rPr>
                <w:rFonts w:hint="eastAsia"/>
                <w:color w:val="000000"/>
                <w:sz w:val="21"/>
                <w:szCs w:val="21"/>
              </w:rPr>
            </w:pPr>
            <w:r>
              <w:rPr>
                <w:rFonts w:hint="eastAsia"/>
                <w:color w:val="000000"/>
                <w:sz w:val="21"/>
                <w:szCs w:val="21"/>
              </w:rPr>
              <w:t>12</w:t>
            </w:r>
          </w:p>
        </w:tc>
        <w:tc>
          <w:tcPr>
            <w:tcW w:w="1771" w:type="pct"/>
            <w:vAlign w:val="center"/>
          </w:tcPr>
          <w:p w14:paraId="3A06E7F4">
            <w:pPr>
              <w:adjustRightInd w:val="0"/>
              <w:snapToGrid w:val="0"/>
              <w:rPr>
                <w:rFonts w:hint="eastAsia"/>
                <w:color w:val="000000"/>
                <w:sz w:val="21"/>
                <w:szCs w:val="21"/>
              </w:rPr>
            </w:pPr>
            <w:r>
              <w:rPr>
                <w:sz w:val="21"/>
                <w:szCs w:val="21"/>
              </w:rPr>
              <w:t>选用节水管材、器具、设备，配置水量计量、监测装置。</w:t>
            </w:r>
          </w:p>
        </w:tc>
        <w:tc>
          <w:tcPr>
            <w:tcW w:w="1892" w:type="pct"/>
            <w:vMerge w:val="continue"/>
            <w:vAlign w:val="center"/>
          </w:tcPr>
          <w:p w14:paraId="35FD5FAC">
            <w:pPr>
              <w:adjustRightInd w:val="0"/>
              <w:snapToGrid w:val="0"/>
              <w:rPr>
                <w:rFonts w:hint="eastAsia"/>
                <w:color w:val="000000"/>
                <w:sz w:val="21"/>
                <w:szCs w:val="21"/>
              </w:rPr>
            </w:pPr>
          </w:p>
        </w:tc>
        <w:tc>
          <w:tcPr>
            <w:tcW w:w="484" w:type="pct"/>
            <w:vAlign w:val="center"/>
          </w:tcPr>
          <w:p w14:paraId="544C0FC4">
            <w:pPr>
              <w:adjustRightInd w:val="0"/>
              <w:snapToGrid w:val="0"/>
              <w:jc w:val="center"/>
              <w:rPr>
                <w:rFonts w:hint="eastAsia"/>
                <w:color w:val="000000"/>
                <w:sz w:val="21"/>
                <w:szCs w:val="21"/>
              </w:rPr>
            </w:pPr>
            <w:r>
              <w:rPr>
                <w:rFonts w:hint="eastAsia"/>
                <w:color w:val="000000"/>
                <w:sz w:val="21"/>
                <w:szCs w:val="21"/>
              </w:rPr>
              <w:t>1</w:t>
            </w:r>
          </w:p>
        </w:tc>
        <w:tc>
          <w:tcPr>
            <w:tcW w:w="488" w:type="pct"/>
            <w:vAlign w:val="center"/>
          </w:tcPr>
          <w:p w14:paraId="0505BA95">
            <w:pPr>
              <w:adjustRightInd w:val="0"/>
              <w:snapToGrid w:val="0"/>
              <w:jc w:val="center"/>
              <w:rPr>
                <w:rFonts w:hint="eastAsia"/>
                <w:color w:val="000000"/>
                <w:sz w:val="21"/>
                <w:szCs w:val="21"/>
              </w:rPr>
            </w:pPr>
          </w:p>
        </w:tc>
      </w:tr>
      <w:tr w14:paraId="2DDFBA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BDDFF4D">
            <w:pPr>
              <w:adjustRightInd w:val="0"/>
              <w:snapToGrid w:val="0"/>
              <w:jc w:val="center"/>
              <w:rPr>
                <w:rFonts w:hint="eastAsia"/>
                <w:color w:val="000000"/>
                <w:sz w:val="21"/>
                <w:szCs w:val="21"/>
              </w:rPr>
            </w:pPr>
            <w:r>
              <w:rPr>
                <w:rFonts w:hint="eastAsia"/>
                <w:color w:val="000000"/>
                <w:sz w:val="21"/>
                <w:szCs w:val="21"/>
              </w:rPr>
              <w:t>13</w:t>
            </w:r>
          </w:p>
        </w:tc>
        <w:tc>
          <w:tcPr>
            <w:tcW w:w="1771" w:type="pct"/>
            <w:vAlign w:val="center"/>
          </w:tcPr>
          <w:p w14:paraId="2E97F727">
            <w:pPr>
              <w:adjustRightInd w:val="0"/>
              <w:snapToGrid w:val="0"/>
              <w:rPr>
                <w:rFonts w:hint="eastAsia"/>
                <w:color w:val="000000"/>
                <w:sz w:val="21"/>
                <w:szCs w:val="21"/>
              </w:rPr>
            </w:pPr>
            <w:r>
              <w:rPr>
                <w:sz w:val="21"/>
                <w:szCs w:val="21"/>
              </w:rPr>
              <w:t>采用海绵城市节水措施，储能电站雨水控制及利用（收集回用、土壤入渗、调蓄排放）措施先进，效果显著。</w:t>
            </w:r>
          </w:p>
        </w:tc>
        <w:tc>
          <w:tcPr>
            <w:tcW w:w="1892" w:type="pct"/>
            <w:vMerge w:val="continue"/>
            <w:vAlign w:val="center"/>
          </w:tcPr>
          <w:p w14:paraId="16F16644">
            <w:pPr>
              <w:adjustRightInd w:val="0"/>
              <w:snapToGrid w:val="0"/>
              <w:rPr>
                <w:rFonts w:hint="eastAsia"/>
                <w:color w:val="000000"/>
                <w:sz w:val="21"/>
                <w:szCs w:val="21"/>
              </w:rPr>
            </w:pPr>
          </w:p>
        </w:tc>
        <w:tc>
          <w:tcPr>
            <w:tcW w:w="484" w:type="pct"/>
            <w:vAlign w:val="center"/>
          </w:tcPr>
          <w:p w14:paraId="45ED030A">
            <w:pPr>
              <w:adjustRightInd w:val="0"/>
              <w:snapToGrid w:val="0"/>
              <w:jc w:val="center"/>
              <w:rPr>
                <w:rFonts w:hint="eastAsia"/>
                <w:color w:val="000000"/>
                <w:sz w:val="21"/>
                <w:szCs w:val="21"/>
              </w:rPr>
            </w:pPr>
            <w:r>
              <w:rPr>
                <w:rFonts w:hint="eastAsia"/>
                <w:color w:val="000000"/>
                <w:sz w:val="21"/>
                <w:szCs w:val="21"/>
              </w:rPr>
              <w:t>1</w:t>
            </w:r>
          </w:p>
        </w:tc>
        <w:tc>
          <w:tcPr>
            <w:tcW w:w="488" w:type="pct"/>
            <w:vAlign w:val="center"/>
          </w:tcPr>
          <w:p w14:paraId="309A6349">
            <w:pPr>
              <w:adjustRightInd w:val="0"/>
              <w:snapToGrid w:val="0"/>
              <w:jc w:val="center"/>
              <w:rPr>
                <w:rFonts w:hint="eastAsia"/>
                <w:color w:val="000000"/>
                <w:sz w:val="21"/>
                <w:szCs w:val="21"/>
              </w:rPr>
            </w:pPr>
          </w:p>
        </w:tc>
      </w:tr>
      <w:tr w14:paraId="0209DB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7AFE641E">
            <w:pPr>
              <w:adjustRightInd w:val="0"/>
              <w:snapToGrid w:val="0"/>
              <w:jc w:val="center"/>
              <w:rPr>
                <w:rFonts w:hint="eastAsia"/>
                <w:color w:val="000000"/>
                <w:sz w:val="21"/>
                <w:szCs w:val="21"/>
              </w:rPr>
            </w:pPr>
            <w:r>
              <w:rPr>
                <w:rFonts w:hint="eastAsia"/>
                <w:color w:val="000000"/>
                <w:sz w:val="21"/>
                <w:szCs w:val="21"/>
              </w:rPr>
              <w:t>14</w:t>
            </w:r>
          </w:p>
        </w:tc>
        <w:tc>
          <w:tcPr>
            <w:tcW w:w="1771" w:type="pct"/>
            <w:vAlign w:val="center"/>
          </w:tcPr>
          <w:p w14:paraId="0C53D248">
            <w:pPr>
              <w:adjustRightInd w:val="0"/>
              <w:snapToGrid w:val="0"/>
              <w:rPr>
                <w:rFonts w:hint="eastAsia"/>
                <w:color w:val="000000"/>
                <w:sz w:val="21"/>
                <w:szCs w:val="21"/>
              </w:rPr>
            </w:pPr>
            <w:r>
              <w:rPr>
                <w:sz w:val="21"/>
                <w:szCs w:val="21"/>
              </w:rPr>
              <w:t>建筑物布置方案科学合理，采用合理的结构形式和材料，减少建筑物的荷重，节约钢材、水泥用量，达到国内先进水平。</w:t>
            </w:r>
          </w:p>
        </w:tc>
        <w:tc>
          <w:tcPr>
            <w:tcW w:w="1892" w:type="pct"/>
            <w:vMerge w:val="continue"/>
            <w:vAlign w:val="center"/>
          </w:tcPr>
          <w:p w14:paraId="06B6BF8B">
            <w:pPr>
              <w:adjustRightInd w:val="0"/>
              <w:snapToGrid w:val="0"/>
              <w:rPr>
                <w:rFonts w:hint="eastAsia"/>
                <w:color w:val="000000"/>
                <w:sz w:val="21"/>
                <w:szCs w:val="21"/>
              </w:rPr>
            </w:pPr>
          </w:p>
        </w:tc>
        <w:tc>
          <w:tcPr>
            <w:tcW w:w="484" w:type="pct"/>
            <w:vAlign w:val="center"/>
          </w:tcPr>
          <w:p w14:paraId="2BDEF17E">
            <w:pPr>
              <w:adjustRightInd w:val="0"/>
              <w:snapToGrid w:val="0"/>
              <w:jc w:val="center"/>
              <w:rPr>
                <w:rFonts w:hint="eastAsia"/>
                <w:color w:val="000000"/>
                <w:sz w:val="21"/>
                <w:szCs w:val="21"/>
              </w:rPr>
            </w:pPr>
            <w:r>
              <w:rPr>
                <w:rFonts w:hint="eastAsia"/>
                <w:color w:val="000000"/>
                <w:sz w:val="21"/>
                <w:szCs w:val="21"/>
              </w:rPr>
              <w:t>1</w:t>
            </w:r>
          </w:p>
        </w:tc>
        <w:tc>
          <w:tcPr>
            <w:tcW w:w="488" w:type="pct"/>
            <w:vAlign w:val="center"/>
          </w:tcPr>
          <w:p w14:paraId="22E338E1">
            <w:pPr>
              <w:adjustRightInd w:val="0"/>
              <w:snapToGrid w:val="0"/>
              <w:jc w:val="center"/>
              <w:rPr>
                <w:rFonts w:hint="eastAsia"/>
                <w:color w:val="000000"/>
                <w:sz w:val="21"/>
                <w:szCs w:val="21"/>
              </w:rPr>
            </w:pPr>
          </w:p>
        </w:tc>
      </w:tr>
      <w:tr w14:paraId="2F25E9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F449C1A">
            <w:pPr>
              <w:adjustRightInd w:val="0"/>
              <w:snapToGrid w:val="0"/>
              <w:jc w:val="center"/>
              <w:rPr>
                <w:rFonts w:hint="eastAsia"/>
                <w:color w:val="000000"/>
                <w:sz w:val="21"/>
                <w:szCs w:val="21"/>
              </w:rPr>
            </w:pPr>
            <w:r>
              <w:rPr>
                <w:rFonts w:hint="eastAsia"/>
                <w:color w:val="000000"/>
                <w:sz w:val="21"/>
                <w:szCs w:val="21"/>
              </w:rPr>
              <w:t>15</w:t>
            </w:r>
          </w:p>
        </w:tc>
        <w:tc>
          <w:tcPr>
            <w:tcW w:w="1771" w:type="pct"/>
            <w:vAlign w:val="center"/>
          </w:tcPr>
          <w:p w14:paraId="16258417">
            <w:pPr>
              <w:adjustRightInd w:val="0"/>
              <w:snapToGrid w:val="0"/>
              <w:rPr>
                <w:rFonts w:hint="eastAsia"/>
                <w:color w:val="000000"/>
                <w:sz w:val="21"/>
                <w:szCs w:val="21"/>
              </w:rPr>
            </w:pPr>
            <w:r>
              <w:rPr>
                <w:sz w:val="21"/>
                <w:szCs w:val="21"/>
              </w:rPr>
              <w:t>优化工艺系统、电控系统设计，节省项目建设期间钢材、水泥、电缆用量，减少运维期间设备材料用量，达到国内先进水平。</w:t>
            </w:r>
          </w:p>
        </w:tc>
        <w:tc>
          <w:tcPr>
            <w:tcW w:w="1892" w:type="pct"/>
            <w:vMerge w:val="continue"/>
            <w:vAlign w:val="center"/>
          </w:tcPr>
          <w:p w14:paraId="38492D63">
            <w:pPr>
              <w:adjustRightInd w:val="0"/>
              <w:snapToGrid w:val="0"/>
              <w:rPr>
                <w:rFonts w:hint="eastAsia"/>
                <w:color w:val="000000"/>
                <w:sz w:val="21"/>
                <w:szCs w:val="21"/>
              </w:rPr>
            </w:pPr>
          </w:p>
        </w:tc>
        <w:tc>
          <w:tcPr>
            <w:tcW w:w="484" w:type="pct"/>
            <w:vAlign w:val="center"/>
          </w:tcPr>
          <w:p w14:paraId="6A5F104B">
            <w:pPr>
              <w:adjustRightInd w:val="0"/>
              <w:snapToGrid w:val="0"/>
              <w:jc w:val="center"/>
              <w:rPr>
                <w:rFonts w:hint="eastAsia"/>
                <w:color w:val="000000"/>
                <w:sz w:val="21"/>
                <w:szCs w:val="21"/>
              </w:rPr>
            </w:pPr>
            <w:r>
              <w:rPr>
                <w:rFonts w:hint="eastAsia"/>
                <w:color w:val="000000"/>
                <w:sz w:val="21"/>
                <w:szCs w:val="21"/>
              </w:rPr>
              <w:t>1</w:t>
            </w:r>
          </w:p>
        </w:tc>
        <w:tc>
          <w:tcPr>
            <w:tcW w:w="488" w:type="pct"/>
            <w:vAlign w:val="center"/>
          </w:tcPr>
          <w:p w14:paraId="5C010B93">
            <w:pPr>
              <w:adjustRightInd w:val="0"/>
              <w:snapToGrid w:val="0"/>
              <w:jc w:val="center"/>
              <w:rPr>
                <w:rFonts w:hint="eastAsia"/>
                <w:color w:val="000000"/>
                <w:sz w:val="21"/>
                <w:szCs w:val="21"/>
              </w:rPr>
            </w:pPr>
          </w:p>
        </w:tc>
      </w:tr>
      <w:tr w14:paraId="0924E1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C82ABE6">
            <w:pPr>
              <w:adjustRightInd w:val="0"/>
              <w:snapToGrid w:val="0"/>
              <w:jc w:val="center"/>
              <w:rPr>
                <w:rFonts w:hint="eastAsia"/>
                <w:color w:val="000000"/>
                <w:sz w:val="21"/>
                <w:szCs w:val="21"/>
              </w:rPr>
            </w:pPr>
            <w:r>
              <w:rPr>
                <w:rFonts w:hint="eastAsia"/>
                <w:color w:val="000000"/>
                <w:sz w:val="21"/>
                <w:szCs w:val="21"/>
              </w:rPr>
              <w:t>16</w:t>
            </w:r>
          </w:p>
        </w:tc>
        <w:tc>
          <w:tcPr>
            <w:tcW w:w="1771" w:type="pct"/>
            <w:vAlign w:val="center"/>
          </w:tcPr>
          <w:p w14:paraId="1C0981C8">
            <w:pPr>
              <w:adjustRightInd w:val="0"/>
              <w:snapToGrid w:val="0"/>
              <w:rPr>
                <w:rFonts w:hint="eastAsia"/>
                <w:color w:val="000000"/>
                <w:sz w:val="21"/>
                <w:szCs w:val="21"/>
              </w:rPr>
            </w:pPr>
            <w:r>
              <w:rPr>
                <w:sz w:val="21"/>
                <w:szCs w:val="21"/>
              </w:rPr>
              <w:t>采用</w:t>
            </w:r>
            <w:r>
              <w:rPr>
                <w:rFonts w:hint="eastAsia"/>
                <w:sz w:val="21"/>
                <w:szCs w:val="21"/>
              </w:rPr>
              <w:t>轻型建筑材料、预制构件、预制舱式结构等材料构件，统筹考虑材料的</w:t>
            </w:r>
            <w:r>
              <w:rPr>
                <w:sz w:val="21"/>
                <w:szCs w:val="21"/>
              </w:rPr>
              <w:t>高强度、高性能、高耐久性和</w:t>
            </w:r>
            <w:r>
              <w:rPr>
                <w:rFonts w:hint="eastAsia"/>
                <w:sz w:val="21"/>
                <w:szCs w:val="21"/>
              </w:rPr>
              <w:t>可循环性。</w:t>
            </w:r>
          </w:p>
        </w:tc>
        <w:tc>
          <w:tcPr>
            <w:tcW w:w="1892" w:type="pct"/>
            <w:vMerge w:val="continue"/>
            <w:vAlign w:val="center"/>
          </w:tcPr>
          <w:p w14:paraId="33C4865C">
            <w:pPr>
              <w:adjustRightInd w:val="0"/>
              <w:snapToGrid w:val="0"/>
              <w:rPr>
                <w:rFonts w:hint="eastAsia"/>
                <w:color w:val="000000"/>
                <w:sz w:val="21"/>
                <w:szCs w:val="21"/>
              </w:rPr>
            </w:pPr>
          </w:p>
        </w:tc>
        <w:tc>
          <w:tcPr>
            <w:tcW w:w="484" w:type="pct"/>
            <w:vAlign w:val="center"/>
          </w:tcPr>
          <w:p w14:paraId="156353D0">
            <w:pPr>
              <w:adjustRightInd w:val="0"/>
              <w:snapToGrid w:val="0"/>
              <w:jc w:val="center"/>
              <w:rPr>
                <w:rFonts w:hint="eastAsia"/>
                <w:color w:val="000000"/>
                <w:sz w:val="21"/>
                <w:szCs w:val="21"/>
              </w:rPr>
            </w:pPr>
            <w:r>
              <w:rPr>
                <w:rFonts w:hint="eastAsia"/>
                <w:color w:val="000000"/>
                <w:sz w:val="21"/>
                <w:szCs w:val="21"/>
              </w:rPr>
              <w:t>1</w:t>
            </w:r>
          </w:p>
        </w:tc>
        <w:tc>
          <w:tcPr>
            <w:tcW w:w="488" w:type="pct"/>
            <w:vAlign w:val="center"/>
          </w:tcPr>
          <w:p w14:paraId="1E93049E">
            <w:pPr>
              <w:adjustRightInd w:val="0"/>
              <w:snapToGrid w:val="0"/>
              <w:jc w:val="center"/>
              <w:rPr>
                <w:rFonts w:hint="eastAsia"/>
                <w:color w:val="000000"/>
                <w:sz w:val="21"/>
                <w:szCs w:val="21"/>
              </w:rPr>
            </w:pPr>
          </w:p>
        </w:tc>
      </w:tr>
      <w:tr w14:paraId="47B5CC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6F5D0CD">
            <w:pPr>
              <w:adjustRightInd w:val="0"/>
              <w:snapToGrid w:val="0"/>
              <w:jc w:val="center"/>
              <w:rPr>
                <w:rFonts w:hint="eastAsia"/>
                <w:color w:val="000000"/>
                <w:sz w:val="21"/>
                <w:szCs w:val="21"/>
              </w:rPr>
            </w:pPr>
            <w:r>
              <w:rPr>
                <w:b/>
                <w:bCs/>
                <w:color w:val="000000"/>
                <w:sz w:val="21"/>
                <w:szCs w:val="21"/>
              </w:rPr>
              <w:t>5.6.3</w:t>
            </w:r>
          </w:p>
        </w:tc>
        <w:tc>
          <w:tcPr>
            <w:tcW w:w="1771" w:type="pct"/>
            <w:vAlign w:val="center"/>
          </w:tcPr>
          <w:p w14:paraId="7F5835F0">
            <w:pPr>
              <w:adjustRightInd w:val="0"/>
              <w:snapToGrid w:val="0"/>
              <w:rPr>
                <w:rFonts w:hint="eastAsia"/>
                <w:color w:val="000000"/>
                <w:sz w:val="21"/>
                <w:szCs w:val="21"/>
              </w:rPr>
            </w:pPr>
            <w:r>
              <w:rPr>
                <w:rFonts w:hint="eastAsia"/>
                <w:b/>
                <w:bCs/>
                <w:color w:val="000000"/>
                <w:sz w:val="21"/>
                <w:szCs w:val="21"/>
              </w:rPr>
              <w:t>生态环保</w:t>
            </w:r>
          </w:p>
        </w:tc>
        <w:tc>
          <w:tcPr>
            <w:tcW w:w="1892" w:type="pct"/>
            <w:vAlign w:val="center"/>
          </w:tcPr>
          <w:p w14:paraId="761A46D9">
            <w:pPr>
              <w:adjustRightInd w:val="0"/>
              <w:snapToGrid w:val="0"/>
              <w:rPr>
                <w:rFonts w:hint="eastAsia"/>
                <w:color w:val="000000"/>
                <w:sz w:val="21"/>
                <w:szCs w:val="21"/>
              </w:rPr>
            </w:pPr>
          </w:p>
        </w:tc>
        <w:tc>
          <w:tcPr>
            <w:tcW w:w="484" w:type="pct"/>
            <w:vAlign w:val="center"/>
          </w:tcPr>
          <w:p w14:paraId="691CED0A">
            <w:pPr>
              <w:adjustRightInd w:val="0"/>
              <w:snapToGrid w:val="0"/>
              <w:jc w:val="center"/>
              <w:rPr>
                <w:rFonts w:hint="eastAsia"/>
                <w:color w:val="000000"/>
                <w:sz w:val="21"/>
                <w:szCs w:val="21"/>
              </w:rPr>
            </w:pPr>
          </w:p>
        </w:tc>
        <w:tc>
          <w:tcPr>
            <w:tcW w:w="488" w:type="pct"/>
            <w:vAlign w:val="center"/>
          </w:tcPr>
          <w:p w14:paraId="15BE7C5E">
            <w:pPr>
              <w:adjustRightInd w:val="0"/>
              <w:snapToGrid w:val="0"/>
              <w:jc w:val="center"/>
              <w:rPr>
                <w:rFonts w:hint="eastAsia"/>
                <w:color w:val="000000"/>
                <w:sz w:val="21"/>
                <w:szCs w:val="21"/>
              </w:rPr>
            </w:pPr>
          </w:p>
        </w:tc>
      </w:tr>
      <w:tr w14:paraId="3BBAFE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4755C73">
            <w:pPr>
              <w:adjustRightInd w:val="0"/>
              <w:snapToGrid w:val="0"/>
              <w:jc w:val="center"/>
              <w:rPr>
                <w:rFonts w:hint="eastAsia"/>
                <w:color w:val="000000"/>
                <w:sz w:val="21"/>
                <w:szCs w:val="21"/>
              </w:rPr>
            </w:pPr>
            <w:r>
              <w:rPr>
                <w:rFonts w:hint="eastAsia"/>
                <w:color w:val="000000"/>
                <w:sz w:val="21"/>
                <w:szCs w:val="21"/>
              </w:rPr>
              <w:t>1</w:t>
            </w:r>
          </w:p>
        </w:tc>
        <w:tc>
          <w:tcPr>
            <w:tcW w:w="1771" w:type="pct"/>
            <w:vAlign w:val="center"/>
          </w:tcPr>
          <w:p w14:paraId="45685ABB">
            <w:pPr>
              <w:adjustRightInd w:val="0"/>
              <w:snapToGrid w:val="0"/>
              <w:rPr>
                <w:rFonts w:hint="eastAsia"/>
                <w:color w:val="000000"/>
                <w:sz w:val="21"/>
                <w:szCs w:val="21"/>
              </w:rPr>
            </w:pPr>
            <w:r>
              <w:rPr>
                <w:rFonts w:hint="eastAsia"/>
                <w:sz w:val="21"/>
                <w:szCs w:val="21"/>
              </w:rPr>
              <w:t>储能电站总体设计因地制宜，与生态环境及国土空间规划</w:t>
            </w:r>
            <w:r>
              <w:rPr>
                <w:sz w:val="21"/>
                <w:szCs w:val="21"/>
              </w:rPr>
              <w:t>的协调性</w:t>
            </w:r>
            <w:r>
              <w:rPr>
                <w:rFonts w:hint="eastAsia"/>
                <w:sz w:val="21"/>
                <w:szCs w:val="21"/>
              </w:rPr>
              <w:t>好，站址选择控制和减少生态、电磁、噪声等环境影响，减少对原地貌、地表植被、水系的扰动，与当地的自然景观与周边环境相协调，避让自然保护地、世界自然遗产、生态保护红线等生态敏感区。</w:t>
            </w:r>
          </w:p>
        </w:tc>
        <w:tc>
          <w:tcPr>
            <w:tcW w:w="1892" w:type="pct"/>
            <w:vMerge w:val="restart"/>
            <w:vAlign w:val="center"/>
          </w:tcPr>
          <w:p w14:paraId="4F6D7F31">
            <w:pPr>
              <w:jc w:val="left"/>
              <w:rPr>
                <w:rFonts w:hint="eastAsia"/>
                <w:sz w:val="21"/>
                <w:szCs w:val="21"/>
              </w:rPr>
            </w:pPr>
            <w:r>
              <w:rPr>
                <w:rFonts w:hint="eastAsia"/>
                <w:sz w:val="21"/>
                <w:szCs w:val="21"/>
              </w:rPr>
              <w:t>每项子目实得分根据现场实际情况按照标准分乘以相应系数进行评分：</w:t>
            </w:r>
          </w:p>
          <w:p w14:paraId="36B54AAD">
            <w:pPr>
              <w:jc w:val="left"/>
              <w:rPr>
                <w:rFonts w:hint="eastAsia"/>
                <w:sz w:val="21"/>
                <w:szCs w:val="21"/>
              </w:rPr>
            </w:pPr>
            <w:r>
              <w:rPr>
                <w:rFonts w:hint="eastAsia"/>
                <w:sz w:val="21"/>
                <w:szCs w:val="21"/>
              </w:rPr>
              <w:t>1、措施到位，满足评价指标要求系数为1；</w:t>
            </w:r>
          </w:p>
          <w:p w14:paraId="63FE9A73">
            <w:pPr>
              <w:jc w:val="left"/>
              <w:rPr>
                <w:rFonts w:hint="eastAsia" w:cs="宋体"/>
                <w:color w:val="000000"/>
                <w:sz w:val="21"/>
                <w:szCs w:val="21"/>
              </w:rPr>
            </w:pPr>
            <w:r>
              <w:rPr>
                <w:rFonts w:hint="eastAsia"/>
                <w:sz w:val="21"/>
                <w:szCs w:val="21"/>
              </w:rPr>
              <w:t>2、措施到位，基本满足评价指标要求系数按照0.5~0.9酌情选取；</w:t>
            </w:r>
          </w:p>
          <w:p w14:paraId="3978122F">
            <w:pPr>
              <w:adjustRightInd w:val="0"/>
              <w:snapToGrid w:val="0"/>
              <w:rPr>
                <w:rFonts w:hint="eastAsia"/>
                <w:color w:val="000000"/>
                <w:sz w:val="21"/>
                <w:szCs w:val="21"/>
              </w:rPr>
            </w:pPr>
            <w:r>
              <w:rPr>
                <w:rFonts w:hint="eastAsia"/>
                <w:sz w:val="21"/>
                <w:szCs w:val="21"/>
              </w:rPr>
              <w:t>3、措施不到位，不满足评价指标要求，得0分。</w:t>
            </w:r>
          </w:p>
        </w:tc>
        <w:tc>
          <w:tcPr>
            <w:tcW w:w="484" w:type="pct"/>
            <w:vAlign w:val="center"/>
          </w:tcPr>
          <w:p w14:paraId="4E5E57D6">
            <w:pPr>
              <w:adjustRightInd w:val="0"/>
              <w:snapToGrid w:val="0"/>
              <w:jc w:val="center"/>
              <w:rPr>
                <w:rFonts w:hint="eastAsia"/>
                <w:color w:val="000000"/>
                <w:sz w:val="21"/>
                <w:szCs w:val="21"/>
              </w:rPr>
            </w:pPr>
            <w:r>
              <w:rPr>
                <w:rFonts w:hint="eastAsia"/>
                <w:color w:val="000000"/>
                <w:sz w:val="21"/>
                <w:szCs w:val="21"/>
              </w:rPr>
              <w:t>4</w:t>
            </w:r>
          </w:p>
        </w:tc>
        <w:tc>
          <w:tcPr>
            <w:tcW w:w="488" w:type="pct"/>
            <w:vAlign w:val="center"/>
          </w:tcPr>
          <w:p w14:paraId="145C8084">
            <w:pPr>
              <w:adjustRightInd w:val="0"/>
              <w:snapToGrid w:val="0"/>
              <w:jc w:val="center"/>
              <w:rPr>
                <w:rFonts w:hint="eastAsia"/>
                <w:color w:val="000000"/>
                <w:sz w:val="21"/>
                <w:szCs w:val="21"/>
              </w:rPr>
            </w:pPr>
          </w:p>
        </w:tc>
      </w:tr>
      <w:tr w14:paraId="7A9C5B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FB9B7B9">
            <w:pPr>
              <w:adjustRightInd w:val="0"/>
              <w:snapToGrid w:val="0"/>
              <w:jc w:val="center"/>
              <w:rPr>
                <w:rFonts w:hint="eastAsia"/>
                <w:color w:val="000000"/>
                <w:sz w:val="21"/>
                <w:szCs w:val="21"/>
              </w:rPr>
            </w:pPr>
            <w:r>
              <w:rPr>
                <w:rFonts w:hint="eastAsia"/>
                <w:color w:val="000000"/>
                <w:sz w:val="21"/>
                <w:szCs w:val="21"/>
              </w:rPr>
              <w:t>2</w:t>
            </w:r>
          </w:p>
        </w:tc>
        <w:tc>
          <w:tcPr>
            <w:tcW w:w="1771" w:type="pct"/>
            <w:vAlign w:val="center"/>
          </w:tcPr>
          <w:p w14:paraId="62C9E416">
            <w:pPr>
              <w:adjustRightInd w:val="0"/>
              <w:snapToGrid w:val="0"/>
              <w:rPr>
                <w:rFonts w:hint="eastAsia"/>
                <w:color w:val="000000"/>
                <w:sz w:val="21"/>
                <w:szCs w:val="21"/>
              </w:rPr>
            </w:pPr>
            <w:r>
              <w:rPr>
                <w:rFonts w:hint="eastAsia"/>
                <w:sz w:val="21"/>
                <w:szCs w:val="21"/>
              </w:rPr>
              <w:t>全站</w:t>
            </w:r>
            <w:r>
              <w:rPr>
                <w:sz w:val="21"/>
                <w:szCs w:val="21"/>
              </w:rPr>
              <w:t>建筑</w:t>
            </w:r>
            <w:r>
              <w:rPr>
                <w:rFonts w:hint="eastAsia"/>
                <w:sz w:val="21"/>
                <w:szCs w:val="21"/>
              </w:rPr>
              <w:t>、色彩及景观一体化</w:t>
            </w:r>
            <w:r>
              <w:rPr>
                <w:sz w:val="21"/>
                <w:szCs w:val="21"/>
              </w:rPr>
              <w:t>设计，</w:t>
            </w:r>
            <w:r>
              <w:rPr>
                <w:rFonts w:hint="eastAsia"/>
                <w:sz w:val="21"/>
                <w:szCs w:val="21"/>
              </w:rPr>
              <w:t>周边环境和谐统一</w:t>
            </w:r>
            <w:r>
              <w:rPr>
                <w:sz w:val="21"/>
                <w:szCs w:val="21"/>
              </w:rPr>
              <w:t>，全站</w:t>
            </w:r>
            <w:r>
              <w:rPr>
                <w:rFonts w:hint="eastAsia"/>
                <w:sz w:val="21"/>
                <w:szCs w:val="21"/>
              </w:rPr>
              <w:t>绿地</w:t>
            </w:r>
            <w:r>
              <w:rPr>
                <w:sz w:val="21"/>
                <w:szCs w:val="21"/>
              </w:rPr>
              <w:t>率</w:t>
            </w:r>
            <w:r>
              <w:rPr>
                <w:rFonts w:hint="eastAsia"/>
                <w:sz w:val="21"/>
                <w:szCs w:val="21"/>
              </w:rPr>
              <w:t>指标先进。</w:t>
            </w:r>
          </w:p>
        </w:tc>
        <w:tc>
          <w:tcPr>
            <w:tcW w:w="1892" w:type="pct"/>
            <w:vMerge w:val="continue"/>
            <w:vAlign w:val="center"/>
          </w:tcPr>
          <w:p w14:paraId="763FFC73">
            <w:pPr>
              <w:adjustRightInd w:val="0"/>
              <w:snapToGrid w:val="0"/>
              <w:rPr>
                <w:rFonts w:hint="eastAsia"/>
                <w:color w:val="000000"/>
                <w:sz w:val="21"/>
                <w:szCs w:val="21"/>
              </w:rPr>
            </w:pPr>
          </w:p>
        </w:tc>
        <w:tc>
          <w:tcPr>
            <w:tcW w:w="484" w:type="pct"/>
            <w:vAlign w:val="center"/>
          </w:tcPr>
          <w:p w14:paraId="0FC4CD87">
            <w:pPr>
              <w:adjustRightInd w:val="0"/>
              <w:snapToGrid w:val="0"/>
              <w:jc w:val="center"/>
              <w:rPr>
                <w:rFonts w:hint="eastAsia"/>
                <w:color w:val="000000"/>
                <w:sz w:val="21"/>
                <w:szCs w:val="21"/>
              </w:rPr>
            </w:pPr>
            <w:r>
              <w:rPr>
                <w:rFonts w:hint="eastAsia"/>
                <w:color w:val="000000"/>
                <w:sz w:val="21"/>
                <w:szCs w:val="21"/>
              </w:rPr>
              <w:t>4</w:t>
            </w:r>
          </w:p>
        </w:tc>
        <w:tc>
          <w:tcPr>
            <w:tcW w:w="488" w:type="pct"/>
            <w:vAlign w:val="center"/>
          </w:tcPr>
          <w:p w14:paraId="0C0D705D">
            <w:pPr>
              <w:adjustRightInd w:val="0"/>
              <w:snapToGrid w:val="0"/>
              <w:jc w:val="center"/>
              <w:rPr>
                <w:rFonts w:hint="eastAsia"/>
                <w:color w:val="000000"/>
                <w:sz w:val="21"/>
                <w:szCs w:val="21"/>
              </w:rPr>
            </w:pPr>
          </w:p>
        </w:tc>
      </w:tr>
      <w:tr w14:paraId="295642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5B77D466">
            <w:pPr>
              <w:adjustRightInd w:val="0"/>
              <w:snapToGrid w:val="0"/>
              <w:jc w:val="center"/>
              <w:rPr>
                <w:rFonts w:hint="eastAsia"/>
                <w:color w:val="000000"/>
                <w:sz w:val="21"/>
                <w:szCs w:val="21"/>
              </w:rPr>
            </w:pPr>
            <w:r>
              <w:rPr>
                <w:rFonts w:hint="eastAsia"/>
                <w:color w:val="000000"/>
                <w:sz w:val="21"/>
                <w:szCs w:val="21"/>
              </w:rPr>
              <w:t>3</w:t>
            </w:r>
          </w:p>
        </w:tc>
        <w:tc>
          <w:tcPr>
            <w:tcW w:w="1771" w:type="pct"/>
            <w:vAlign w:val="center"/>
          </w:tcPr>
          <w:p w14:paraId="1F1C2134">
            <w:pPr>
              <w:adjustRightInd w:val="0"/>
              <w:snapToGrid w:val="0"/>
              <w:rPr>
                <w:rFonts w:hint="eastAsia"/>
                <w:color w:val="000000"/>
                <w:sz w:val="21"/>
                <w:szCs w:val="21"/>
              </w:rPr>
            </w:pPr>
            <w:r>
              <w:rPr>
                <w:rFonts w:hint="eastAsia"/>
                <w:sz w:val="21"/>
                <w:szCs w:val="21"/>
              </w:rPr>
              <w:t>厂区竖向布置方案合理，实现土石方量自身平衡，减少对生态环境的影响。</w:t>
            </w:r>
          </w:p>
        </w:tc>
        <w:tc>
          <w:tcPr>
            <w:tcW w:w="1892" w:type="pct"/>
            <w:vMerge w:val="continue"/>
            <w:vAlign w:val="center"/>
          </w:tcPr>
          <w:p w14:paraId="15327AB2">
            <w:pPr>
              <w:adjustRightInd w:val="0"/>
              <w:snapToGrid w:val="0"/>
              <w:rPr>
                <w:rFonts w:hint="eastAsia"/>
                <w:color w:val="000000"/>
                <w:sz w:val="21"/>
                <w:szCs w:val="21"/>
              </w:rPr>
            </w:pPr>
          </w:p>
        </w:tc>
        <w:tc>
          <w:tcPr>
            <w:tcW w:w="484" w:type="pct"/>
            <w:vAlign w:val="center"/>
          </w:tcPr>
          <w:p w14:paraId="4C99B7FC">
            <w:pPr>
              <w:adjustRightInd w:val="0"/>
              <w:snapToGrid w:val="0"/>
              <w:jc w:val="center"/>
              <w:rPr>
                <w:rFonts w:hint="eastAsia"/>
                <w:color w:val="000000"/>
                <w:sz w:val="21"/>
                <w:szCs w:val="21"/>
              </w:rPr>
            </w:pPr>
            <w:r>
              <w:rPr>
                <w:rFonts w:hint="eastAsia"/>
                <w:color w:val="000000"/>
                <w:sz w:val="21"/>
                <w:szCs w:val="21"/>
              </w:rPr>
              <w:t>3</w:t>
            </w:r>
          </w:p>
        </w:tc>
        <w:tc>
          <w:tcPr>
            <w:tcW w:w="488" w:type="pct"/>
            <w:vAlign w:val="center"/>
          </w:tcPr>
          <w:p w14:paraId="403416AA">
            <w:pPr>
              <w:adjustRightInd w:val="0"/>
              <w:snapToGrid w:val="0"/>
              <w:jc w:val="center"/>
              <w:rPr>
                <w:rFonts w:hint="eastAsia"/>
                <w:color w:val="000000"/>
                <w:sz w:val="21"/>
                <w:szCs w:val="21"/>
              </w:rPr>
            </w:pPr>
          </w:p>
        </w:tc>
      </w:tr>
      <w:tr w14:paraId="032081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6D46461E">
            <w:pPr>
              <w:adjustRightInd w:val="0"/>
              <w:snapToGrid w:val="0"/>
              <w:jc w:val="center"/>
              <w:rPr>
                <w:rFonts w:hint="eastAsia"/>
                <w:color w:val="000000"/>
                <w:sz w:val="21"/>
                <w:szCs w:val="21"/>
              </w:rPr>
            </w:pPr>
            <w:r>
              <w:rPr>
                <w:rFonts w:hint="eastAsia"/>
                <w:color w:val="000000"/>
                <w:sz w:val="21"/>
                <w:szCs w:val="21"/>
              </w:rPr>
              <w:t>4</w:t>
            </w:r>
          </w:p>
        </w:tc>
        <w:tc>
          <w:tcPr>
            <w:tcW w:w="1771" w:type="pct"/>
            <w:vAlign w:val="center"/>
          </w:tcPr>
          <w:p w14:paraId="3BFCD8DF">
            <w:pPr>
              <w:adjustRightInd w:val="0"/>
              <w:snapToGrid w:val="0"/>
              <w:rPr>
                <w:rFonts w:hint="eastAsia"/>
                <w:color w:val="000000"/>
                <w:sz w:val="21"/>
                <w:szCs w:val="21"/>
              </w:rPr>
            </w:pPr>
            <w:r>
              <w:rPr>
                <w:rFonts w:hint="eastAsia"/>
                <w:sz w:val="21"/>
                <w:szCs w:val="21"/>
              </w:rPr>
              <w:t>环境保护各项技术路线科学。液流电池做好防漏液收集措施，锂电池等做好电池着火后液体收集处理措施。噪声防护措施等科学合理，</w:t>
            </w:r>
            <w:r>
              <w:rPr>
                <w:sz w:val="21"/>
                <w:szCs w:val="21"/>
              </w:rPr>
              <w:t xml:space="preserve"> </w:t>
            </w:r>
            <w:r>
              <w:rPr>
                <w:rFonts w:hint="eastAsia"/>
                <w:sz w:val="21"/>
                <w:szCs w:val="21"/>
              </w:rPr>
              <w:t>技术成熟，运行效果好。</w:t>
            </w:r>
          </w:p>
        </w:tc>
        <w:tc>
          <w:tcPr>
            <w:tcW w:w="1892" w:type="pct"/>
            <w:vMerge w:val="continue"/>
            <w:vAlign w:val="center"/>
          </w:tcPr>
          <w:p w14:paraId="6E18B31C">
            <w:pPr>
              <w:adjustRightInd w:val="0"/>
              <w:snapToGrid w:val="0"/>
              <w:rPr>
                <w:rFonts w:hint="eastAsia"/>
                <w:color w:val="000000"/>
                <w:sz w:val="21"/>
                <w:szCs w:val="21"/>
              </w:rPr>
            </w:pPr>
          </w:p>
        </w:tc>
        <w:tc>
          <w:tcPr>
            <w:tcW w:w="484" w:type="pct"/>
            <w:vAlign w:val="center"/>
          </w:tcPr>
          <w:p w14:paraId="449C19AE">
            <w:pPr>
              <w:adjustRightInd w:val="0"/>
              <w:snapToGrid w:val="0"/>
              <w:jc w:val="center"/>
              <w:rPr>
                <w:rFonts w:hint="eastAsia"/>
                <w:color w:val="000000"/>
                <w:sz w:val="21"/>
                <w:szCs w:val="21"/>
              </w:rPr>
            </w:pPr>
            <w:r>
              <w:rPr>
                <w:rFonts w:hint="eastAsia"/>
                <w:color w:val="000000"/>
                <w:sz w:val="21"/>
                <w:szCs w:val="21"/>
              </w:rPr>
              <w:t>4</w:t>
            </w:r>
          </w:p>
        </w:tc>
        <w:tc>
          <w:tcPr>
            <w:tcW w:w="488" w:type="pct"/>
            <w:vAlign w:val="center"/>
          </w:tcPr>
          <w:p w14:paraId="33920041">
            <w:pPr>
              <w:adjustRightInd w:val="0"/>
              <w:snapToGrid w:val="0"/>
              <w:jc w:val="center"/>
              <w:rPr>
                <w:rFonts w:hint="eastAsia"/>
                <w:color w:val="000000"/>
                <w:sz w:val="21"/>
                <w:szCs w:val="21"/>
              </w:rPr>
            </w:pPr>
          </w:p>
        </w:tc>
      </w:tr>
      <w:tr w14:paraId="2A1853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114D4B5">
            <w:pPr>
              <w:adjustRightInd w:val="0"/>
              <w:snapToGrid w:val="0"/>
              <w:jc w:val="center"/>
              <w:rPr>
                <w:rFonts w:hint="eastAsia"/>
                <w:color w:val="000000"/>
                <w:sz w:val="21"/>
                <w:szCs w:val="21"/>
              </w:rPr>
            </w:pPr>
            <w:r>
              <w:rPr>
                <w:b/>
                <w:bCs/>
                <w:color w:val="000000"/>
                <w:sz w:val="21"/>
                <w:szCs w:val="21"/>
              </w:rPr>
              <w:t>5.6.4</w:t>
            </w:r>
          </w:p>
        </w:tc>
        <w:tc>
          <w:tcPr>
            <w:tcW w:w="1771" w:type="pct"/>
            <w:vAlign w:val="center"/>
          </w:tcPr>
          <w:p w14:paraId="6730E8FD">
            <w:pPr>
              <w:adjustRightInd w:val="0"/>
              <w:snapToGrid w:val="0"/>
              <w:rPr>
                <w:rFonts w:hint="eastAsia"/>
                <w:color w:val="000000"/>
                <w:sz w:val="21"/>
                <w:szCs w:val="21"/>
              </w:rPr>
            </w:pPr>
            <w:r>
              <w:rPr>
                <w:rFonts w:hint="eastAsia"/>
                <w:b/>
                <w:bCs/>
                <w:color w:val="000000"/>
                <w:sz w:val="21"/>
                <w:szCs w:val="21"/>
              </w:rPr>
              <w:t>综合效益</w:t>
            </w:r>
          </w:p>
        </w:tc>
        <w:tc>
          <w:tcPr>
            <w:tcW w:w="1892" w:type="pct"/>
            <w:vAlign w:val="center"/>
          </w:tcPr>
          <w:p w14:paraId="5A671C75">
            <w:pPr>
              <w:adjustRightInd w:val="0"/>
              <w:snapToGrid w:val="0"/>
              <w:rPr>
                <w:rFonts w:hint="eastAsia"/>
                <w:color w:val="000000"/>
                <w:sz w:val="21"/>
                <w:szCs w:val="21"/>
              </w:rPr>
            </w:pPr>
          </w:p>
        </w:tc>
        <w:tc>
          <w:tcPr>
            <w:tcW w:w="484" w:type="pct"/>
            <w:vAlign w:val="center"/>
          </w:tcPr>
          <w:p w14:paraId="40BB9995">
            <w:pPr>
              <w:adjustRightInd w:val="0"/>
              <w:snapToGrid w:val="0"/>
              <w:jc w:val="center"/>
              <w:rPr>
                <w:rFonts w:hint="eastAsia"/>
                <w:color w:val="000000"/>
                <w:sz w:val="21"/>
                <w:szCs w:val="21"/>
              </w:rPr>
            </w:pPr>
          </w:p>
        </w:tc>
        <w:tc>
          <w:tcPr>
            <w:tcW w:w="488" w:type="pct"/>
            <w:vAlign w:val="center"/>
          </w:tcPr>
          <w:p w14:paraId="77FFC43D">
            <w:pPr>
              <w:adjustRightInd w:val="0"/>
              <w:snapToGrid w:val="0"/>
              <w:jc w:val="center"/>
              <w:rPr>
                <w:rFonts w:hint="eastAsia"/>
                <w:color w:val="000000"/>
                <w:sz w:val="21"/>
                <w:szCs w:val="21"/>
              </w:rPr>
            </w:pPr>
          </w:p>
        </w:tc>
      </w:tr>
      <w:tr w14:paraId="265B73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024AC1D0">
            <w:pPr>
              <w:adjustRightInd w:val="0"/>
              <w:snapToGrid w:val="0"/>
              <w:jc w:val="center"/>
              <w:rPr>
                <w:rFonts w:hint="eastAsia"/>
                <w:color w:val="000000"/>
                <w:sz w:val="21"/>
                <w:szCs w:val="21"/>
              </w:rPr>
            </w:pPr>
            <w:r>
              <w:rPr>
                <w:rFonts w:hint="eastAsia"/>
                <w:color w:val="000000"/>
                <w:sz w:val="21"/>
                <w:szCs w:val="21"/>
              </w:rPr>
              <w:t>1</w:t>
            </w:r>
          </w:p>
        </w:tc>
        <w:tc>
          <w:tcPr>
            <w:tcW w:w="1771" w:type="pct"/>
            <w:vAlign w:val="center"/>
          </w:tcPr>
          <w:p w14:paraId="08F9FDC4">
            <w:pPr>
              <w:adjustRightInd w:val="0"/>
              <w:snapToGrid w:val="0"/>
              <w:rPr>
                <w:rFonts w:hint="eastAsia"/>
                <w:color w:val="000000"/>
                <w:sz w:val="21"/>
                <w:szCs w:val="21"/>
              </w:rPr>
            </w:pPr>
            <w:r>
              <w:rPr>
                <w:rFonts w:hint="eastAsia"/>
                <w:sz w:val="21"/>
                <w:szCs w:val="21"/>
              </w:rPr>
              <w:t>投资回报高。与同类同期工程相比较，综合投资省，重要经济技术指标处于领先水平。</w:t>
            </w:r>
          </w:p>
        </w:tc>
        <w:tc>
          <w:tcPr>
            <w:tcW w:w="1892" w:type="pct"/>
            <w:vMerge w:val="restart"/>
            <w:vAlign w:val="center"/>
          </w:tcPr>
          <w:p w14:paraId="7988FA54">
            <w:pPr>
              <w:jc w:val="left"/>
              <w:rPr>
                <w:rFonts w:hint="eastAsia"/>
                <w:sz w:val="21"/>
                <w:szCs w:val="21"/>
              </w:rPr>
            </w:pPr>
            <w:r>
              <w:rPr>
                <w:rFonts w:hint="eastAsia"/>
                <w:sz w:val="21"/>
                <w:szCs w:val="21"/>
              </w:rPr>
              <w:t>每项子目实得分根据现场实际情况按照标准分乘以相应系数进行评分：</w:t>
            </w:r>
          </w:p>
          <w:p w14:paraId="16F86D35">
            <w:pPr>
              <w:jc w:val="left"/>
              <w:rPr>
                <w:rFonts w:hint="eastAsia"/>
                <w:sz w:val="21"/>
                <w:szCs w:val="21"/>
              </w:rPr>
            </w:pPr>
            <w:r>
              <w:rPr>
                <w:rFonts w:hint="eastAsia"/>
                <w:sz w:val="21"/>
                <w:szCs w:val="21"/>
              </w:rPr>
              <w:t>1、措施到位，满足评价指标要求系数为1；</w:t>
            </w:r>
          </w:p>
          <w:p w14:paraId="538248D1">
            <w:pPr>
              <w:jc w:val="left"/>
              <w:rPr>
                <w:rFonts w:hint="eastAsia" w:cs="宋体"/>
                <w:color w:val="000000"/>
                <w:sz w:val="21"/>
                <w:szCs w:val="21"/>
              </w:rPr>
            </w:pPr>
            <w:r>
              <w:rPr>
                <w:rFonts w:hint="eastAsia"/>
                <w:sz w:val="21"/>
                <w:szCs w:val="21"/>
              </w:rPr>
              <w:t>2、措施到位，基本满足评价指标要求系数按照0.5~0.9酌情选取；</w:t>
            </w:r>
          </w:p>
          <w:p w14:paraId="48306D77">
            <w:pPr>
              <w:adjustRightInd w:val="0"/>
              <w:snapToGrid w:val="0"/>
              <w:rPr>
                <w:rFonts w:hint="eastAsia"/>
                <w:color w:val="000000"/>
                <w:sz w:val="21"/>
                <w:szCs w:val="21"/>
              </w:rPr>
            </w:pPr>
            <w:r>
              <w:rPr>
                <w:rFonts w:hint="eastAsia"/>
                <w:sz w:val="21"/>
                <w:szCs w:val="21"/>
              </w:rPr>
              <w:t>3、措施不到位，不满足评价指标要求，得0分。</w:t>
            </w:r>
          </w:p>
        </w:tc>
        <w:tc>
          <w:tcPr>
            <w:tcW w:w="484" w:type="pct"/>
            <w:vAlign w:val="center"/>
          </w:tcPr>
          <w:p w14:paraId="04E44B85">
            <w:pPr>
              <w:adjustRightInd w:val="0"/>
              <w:snapToGrid w:val="0"/>
              <w:jc w:val="center"/>
              <w:rPr>
                <w:rFonts w:hint="eastAsia"/>
                <w:color w:val="000000"/>
                <w:sz w:val="21"/>
                <w:szCs w:val="21"/>
              </w:rPr>
            </w:pPr>
            <w:r>
              <w:rPr>
                <w:rFonts w:hint="eastAsia"/>
                <w:color w:val="000000"/>
                <w:sz w:val="21"/>
                <w:szCs w:val="21"/>
              </w:rPr>
              <w:t>7</w:t>
            </w:r>
          </w:p>
        </w:tc>
        <w:tc>
          <w:tcPr>
            <w:tcW w:w="488" w:type="pct"/>
            <w:vAlign w:val="center"/>
          </w:tcPr>
          <w:p w14:paraId="4531E643">
            <w:pPr>
              <w:adjustRightInd w:val="0"/>
              <w:snapToGrid w:val="0"/>
              <w:jc w:val="center"/>
              <w:rPr>
                <w:rFonts w:hint="eastAsia"/>
                <w:color w:val="000000"/>
                <w:sz w:val="21"/>
                <w:szCs w:val="21"/>
              </w:rPr>
            </w:pPr>
          </w:p>
        </w:tc>
      </w:tr>
      <w:tr w14:paraId="3B5E92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D7D1D48">
            <w:pPr>
              <w:adjustRightInd w:val="0"/>
              <w:snapToGrid w:val="0"/>
              <w:jc w:val="center"/>
              <w:rPr>
                <w:rFonts w:hint="eastAsia"/>
                <w:color w:val="000000"/>
                <w:sz w:val="21"/>
                <w:szCs w:val="21"/>
              </w:rPr>
            </w:pPr>
            <w:r>
              <w:rPr>
                <w:rFonts w:hint="eastAsia"/>
                <w:color w:val="000000"/>
                <w:sz w:val="21"/>
                <w:szCs w:val="21"/>
              </w:rPr>
              <w:t>2</w:t>
            </w:r>
          </w:p>
        </w:tc>
        <w:tc>
          <w:tcPr>
            <w:tcW w:w="1771" w:type="pct"/>
            <w:vAlign w:val="center"/>
          </w:tcPr>
          <w:p w14:paraId="63D9165D">
            <w:pPr>
              <w:adjustRightInd w:val="0"/>
              <w:snapToGrid w:val="0"/>
              <w:rPr>
                <w:rFonts w:hint="eastAsia"/>
                <w:color w:val="000000"/>
                <w:sz w:val="21"/>
                <w:szCs w:val="21"/>
              </w:rPr>
            </w:pPr>
            <w:r>
              <w:rPr>
                <w:rFonts w:hint="eastAsia"/>
                <w:sz w:val="21"/>
                <w:szCs w:val="21"/>
              </w:rPr>
              <w:t>推动区域地方经济可持续发展。</w:t>
            </w:r>
          </w:p>
        </w:tc>
        <w:tc>
          <w:tcPr>
            <w:tcW w:w="1892" w:type="pct"/>
            <w:vMerge w:val="continue"/>
            <w:vAlign w:val="center"/>
          </w:tcPr>
          <w:p w14:paraId="1A3BEB5E">
            <w:pPr>
              <w:adjustRightInd w:val="0"/>
              <w:snapToGrid w:val="0"/>
              <w:rPr>
                <w:rFonts w:hint="eastAsia"/>
                <w:color w:val="000000"/>
                <w:sz w:val="21"/>
                <w:szCs w:val="21"/>
              </w:rPr>
            </w:pPr>
          </w:p>
        </w:tc>
        <w:tc>
          <w:tcPr>
            <w:tcW w:w="484" w:type="pct"/>
            <w:vAlign w:val="center"/>
          </w:tcPr>
          <w:p w14:paraId="07C1391D">
            <w:pPr>
              <w:adjustRightInd w:val="0"/>
              <w:snapToGrid w:val="0"/>
              <w:jc w:val="center"/>
              <w:rPr>
                <w:rFonts w:hint="eastAsia"/>
                <w:color w:val="000000"/>
                <w:sz w:val="21"/>
                <w:szCs w:val="21"/>
              </w:rPr>
            </w:pPr>
            <w:r>
              <w:rPr>
                <w:rFonts w:hint="eastAsia"/>
                <w:color w:val="000000"/>
                <w:sz w:val="21"/>
                <w:szCs w:val="21"/>
              </w:rPr>
              <w:t>6</w:t>
            </w:r>
          </w:p>
        </w:tc>
        <w:tc>
          <w:tcPr>
            <w:tcW w:w="488" w:type="pct"/>
            <w:vAlign w:val="center"/>
          </w:tcPr>
          <w:p w14:paraId="1AB8B759">
            <w:pPr>
              <w:adjustRightInd w:val="0"/>
              <w:snapToGrid w:val="0"/>
              <w:jc w:val="center"/>
              <w:rPr>
                <w:rFonts w:hint="eastAsia"/>
                <w:color w:val="000000"/>
                <w:sz w:val="21"/>
                <w:szCs w:val="21"/>
              </w:rPr>
            </w:pPr>
          </w:p>
        </w:tc>
      </w:tr>
      <w:tr w14:paraId="3841CC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3624F356">
            <w:pPr>
              <w:adjustRightInd w:val="0"/>
              <w:snapToGrid w:val="0"/>
              <w:jc w:val="center"/>
              <w:rPr>
                <w:rFonts w:hint="eastAsia"/>
                <w:color w:val="000000"/>
                <w:sz w:val="21"/>
                <w:szCs w:val="21"/>
              </w:rPr>
            </w:pPr>
            <w:r>
              <w:rPr>
                <w:rFonts w:hint="eastAsia"/>
                <w:color w:val="000000"/>
                <w:sz w:val="21"/>
                <w:szCs w:val="21"/>
              </w:rPr>
              <w:t>3</w:t>
            </w:r>
          </w:p>
        </w:tc>
        <w:tc>
          <w:tcPr>
            <w:tcW w:w="1771" w:type="pct"/>
            <w:vAlign w:val="center"/>
          </w:tcPr>
          <w:p w14:paraId="4297EE81">
            <w:pPr>
              <w:adjustRightInd w:val="0"/>
              <w:snapToGrid w:val="0"/>
              <w:rPr>
                <w:rFonts w:hint="eastAsia"/>
                <w:color w:val="000000"/>
                <w:sz w:val="21"/>
                <w:szCs w:val="21"/>
              </w:rPr>
            </w:pPr>
            <w:r>
              <w:rPr>
                <w:rFonts w:hint="eastAsia"/>
                <w:sz w:val="21"/>
                <w:szCs w:val="21"/>
              </w:rPr>
              <w:t>项目建设在技术方案、资源节约、环境保护、生态融合等方面亮点突出，社会满意度较高。</w:t>
            </w:r>
          </w:p>
        </w:tc>
        <w:tc>
          <w:tcPr>
            <w:tcW w:w="1892" w:type="pct"/>
            <w:vMerge w:val="continue"/>
            <w:vAlign w:val="center"/>
          </w:tcPr>
          <w:p w14:paraId="59A5908C">
            <w:pPr>
              <w:adjustRightInd w:val="0"/>
              <w:snapToGrid w:val="0"/>
              <w:rPr>
                <w:rFonts w:hint="eastAsia"/>
                <w:color w:val="000000"/>
                <w:sz w:val="21"/>
                <w:szCs w:val="21"/>
              </w:rPr>
            </w:pPr>
          </w:p>
        </w:tc>
        <w:tc>
          <w:tcPr>
            <w:tcW w:w="484" w:type="pct"/>
            <w:vAlign w:val="center"/>
          </w:tcPr>
          <w:p w14:paraId="3FA721DA">
            <w:pPr>
              <w:adjustRightInd w:val="0"/>
              <w:snapToGrid w:val="0"/>
              <w:jc w:val="center"/>
              <w:rPr>
                <w:rFonts w:hint="eastAsia"/>
                <w:color w:val="000000"/>
                <w:sz w:val="21"/>
                <w:szCs w:val="21"/>
              </w:rPr>
            </w:pPr>
            <w:r>
              <w:rPr>
                <w:rFonts w:hint="eastAsia"/>
                <w:color w:val="000000"/>
                <w:sz w:val="21"/>
                <w:szCs w:val="21"/>
              </w:rPr>
              <w:t>7</w:t>
            </w:r>
          </w:p>
        </w:tc>
        <w:tc>
          <w:tcPr>
            <w:tcW w:w="488" w:type="pct"/>
            <w:vAlign w:val="center"/>
          </w:tcPr>
          <w:p w14:paraId="09CA7D9E">
            <w:pPr>
              <w:adjustRightInd w:val="0"/>
              <w:snapToGrid w:val="0"/>
              <w:jc w:val="center"/>
              <w:rPr>
                <w:rFonts w:hint="eastAsia"/>
                <w:color w:val="000000"/>
                <w:sz w:val="21"/>
                <w:szCs w:val="21"/>
              </w:rPr>
            </w:pPr>
          </w:p>
        </w:tc>
      </w:tr>
      <w:tr w14:paraId="4E90C4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4F51E364">
            <w:pPr>
              <w:adjustRightInd w:val="0"/>
              <w:snapToGrid w:val="0"/>
              <w:jc w:val="center"/>
              <w:rPr>
                <w:rFonts w:hint="eastAsia"/>
                <w:color w:val="000000"/>
                <w:sz w:val="21"/>
                <w:szCs w:val="21"/>
              </w:rPr>
            </w:pPr>
            <w:r>
              <w:rPr>
                <w:b/>
                <w:bCs/>
                <w:color w:val="000000"/>
                <w:sz w:val="21"/>
                <w:szCs w:val="21"/>
              </w:rPr>
              <w:t>5.6.5</w:t>
            </w:r>
          </w:p>
        </w:tc>
        <w:tc>
          <w:tcPr>
            <w:tcW w:w="1771" w:type="pct"/>
            <w:vAlign w:val="center"/>
          </w:tcPr>
          <w:p w14:paraId="138D51D1">
            <w:pPr>
              <w:adjustRightInd w:val="0"/>
              <w:snapToGrid w:val="0"/>
              <w:rPr>
                <w:rFonts w:hint="eastAsia"/>
                <w:color w:val="000000"/>
                <w:sz w:val="21"/>
                <w:szCs w:val="21"/>
              </w:rPr>
            </w:pPr>
            <w:r>
              <w:rPr>
                <w:rFonts w:hint="eastAsia"/>
                <w:b/>
                <w:bCs/>
                <w:color w:val="000000"/>
                <w:sz w:val="21"/>
                <w:szCs w:val="21"/>
              </w:rPr>
              <w:t>科技创新</w:t>
            </w:r>
          </w:p>
        </w:tc>
        <w:tc>
          <w:tcPr>
            <w:tcW w:w="1892" w:type="pct"/>
            <w:vAlign w:val="center"/>
          </w:tcPr>
          <w:p w14:paraId="2F887447">
            <w:pPr>
              <w:adjustRightInd w:val="0"/>
              <w:snapToGrid w:val="0"/>
              <w:rPr>
                <w:rFonts w:hint="eastAsia"/>
                <w:color w:val="000000"/>
                <w:sz w:val="21"/>
                <w:szCs w:val="21"/>
              </w:rPr>
            </w:pPr>
          </w:p>
        </w:tc>
        <w:tc>
          <w:tcPr>
            <w:tcW w:w="484" w:type="pct"/>
            <w:vAlign w:val="center"/>
          </w:tcPr>
          <w:p w14:paraId="20E187DC">
            <w:pPr>
              <w:adjustRightInd w:val="0"/>
              <w:snapToGrid w:val="0"/>
              <w:jc w:val="center"/>
              <w:rPr>
                <w:rFonts w:hint="eastAsia"/>
                <w:color w:val="000000"/>
                <w:sz w:val="21"/>
                <w:szCs w:val="21"/>
              </w:rPr>
            </w:pPr>
          </w:p>
        </w:tc>
        <w:tc>
          <w:tcPr>
            <w:tcW w:w="488" w:type="pct"/>
            <w:vAlign w:val="center"/>
          </w:tcPr>
          <w:p w14:paraId="0725C204">
            <w:pPr>
              <w:adjustRightInd w:val="0"/>
              <w:snapToGrid w:val="0"/>
              <w:jc w:val="center"/>
              <w:rPr>
                <w:rFonts w:hint="eastAsia"/>
                <w:color w:val="000000"/>
                <w:sz w:val="21"/>
                <w:szCs w:val="21"/>
              </w:rPr>
            </w:pPr>
          </w:p>
        </w:tc>
      </w:tr>
      <w:tr w14:paraId="09E4D0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2D62E04">
            <w:pPr>
              <w:adjustRightInd w:val="0"/>
              <w:snapToGrid w:val="0"/>
              <w:jc w:val="center"/>
              <w:rPr>
                <w:rFonts w:hint="eastAsia"/>
                <w:color w:val="000000"/>
                <w:sz w:val="21"/>
                <w:szCs w:val="21"/>
              </w:rPr>
            </w:pPr>
            <w:r>
              <w:rPr>
                <w:rFonts w:hint="eastAsia"/>
                <w:color w:val="000000"/>
                <w:sz w:val="21"/>
                <w:szCs w:val="21"/>
              </w:rPr>
              <w:t>1</w:t>
            </w:r>
          </w:p>
        </w:tc>
        <w:tc>
          <w:tcPr>
            <w:tcW w:w="1771" w:type="pct"/>
            <w:vAlign w:val="center"/>
          </w:tcPr>
          <w:p w14:paraId="0DB00B06">
            <w:pPr>
              <w:adjustRightInd w:val="0"/>
              <w:snapToGrid w:val="0"/>
              <w:rPr>
                <w:rFonts w:hint="eastAsia"/>
                <w:color w:val="000000"/>
                <w:sz w:val="21"/>
                <w:szCs w:val="21"/>
              </w:rPr>
            </w:pPr>
            <w:r>
              <w:rPr>
                <w:rFonts w:hint="eastAsia"/>
                <w:sz w:val="21"/>
                <w:szCs w:val="21"/>
              </w:rPr>
              <w:t>电力工程项目因本身功能定位及独特的技术路线具有创新性。</w:t>
            </w:r>
          </w:p>
        </w:tc>
        <w:tc>
          <w:tcPr>
            <w:tcW w:w="1892" w:type="pct"/>
            <w:vMerge w:val="restart"/>
            <w:vAlign w:val="center"/>
          </w:tcPr>
          <w:p w14:paraId="35A3A82B">
            <w:pPr>
              <w:jc w:val="left"/>
              <w:rPr>
                <w:rFonts w:hint="eastAsia"/>
                <w:sz w:val="21"/>
                <w:szCs w:val="21"/>
              </w:rPr>
            </w:pPr>
            <w:r>
              <w:rPr>
                <w:rFonts w:hint="eastAsia"/>
                <w:sz w:val="21"/>
                <w:szCs w:val="21"/>
              </w:rPr>
              <w:t>每项子目实得分根据现场实际情况按照标准分乘以相应系数进行评分：</w:t>
            </w:r>
          </w:p>
          <w:p w14:paraId="62773BEE">
            <w:pPr>
              <w:jc w:val="left"/>
              <w:rPr>
                <w:rFonts w:hint="eastAsia"/>
                <w:sz w:val="21"/>
                <w:szCs w:val="21"/>
              </w:rPr>
            </w:pPr>
            <w:r>
              <w:rPr>
                <w:rFonts w:hint="eastAsia"/>
                <w:sz w:val="21"/>
                <w:szCs w:val="21"/>
              </w:rPr>
              <w:t>1、措施到位，满足评价指标要求系数为1；</w:t>
            </w:r>
          </w:p>
          <w:p w14:paraId="13431027">
            <w:pPr>
              <w:jc w:val="left"/>
              <w:rPr>
                <w:rFonts w:hint="eastAsia" w:cs="宋体"/>
                <w:color w:val="000000"/>
                <w:sz w:val="21"/>
                <w:szCs w:val="21"/>
              </w:rPr>
            </w:pPr>
            <w:r>
              <w:rPr>
                <w:rFonts w:hint="eastAsia"/>
                <w:sz w:val="21"/>
                <w:szCs w:val="21"/>
              </w:rPr>
              <w:t>2、措施到位，基本满足评价指标要求系数按照0.5~0.9酌情选取；</w:t>
            </w:r>
          </w:p>
          <w:p w14:paraId="0ECF50DB">
            <w:pPr>
              <w:adjustRightInd w:val="0"/>
              <w:snapToGrid w:val="0"/>
              <w:rPr>
                <w:rFonts w:hint="eastAsia"/>
                <w:color w:val="000000"/>
                <w:sz w:val="21"/>
                <w:szCs w:val="21"/>
              </w:rPr>
            </w:pPr>
            <w:r>
              <w:rPr>
                <w:rFonts w:hint="eastAsia"/>
                <w:sz w:val="21"/>
                <w:szCs w:val="21"/>
              </w:rPr>
              <w:t>3、措施不到位，不满足评价指标要求，得0分。</w:t>
            </w:r>
          </w:p>
        </w:tc>
        <w:tc>
          <w:tcPr>
            <w:tcW w:w="484" w:type="pct"/>
            <w:vAlign w:val="center"/>
          </w:tcPr>
          <w:p w14:paraId="425DAD3D">
            <w:pPr>
              <w:adjustRightInd w:val="0"/>
              <w:snapToGrid w:val="0"/>
              <w:jc w:val="center"/>
              <w:rPr>
                <w:rFonts w:hint="eastAsia"/>
                <w:color w:val="000000"/>
                <w:sz w:val="21"/>
                <w:szCs w:val="21"/>
              </w:rPr>
            </w:pPr>
            <w:r>
              <w:rPr>
                <w:rFonts w:hint="eastAsia"/>
                <w:color w:val="000000"/>
                <w:sz w:val="21"/>
                <w:szCs w:val="21"/>
              </w:rPr>
              <w:t>4</w:t>
            </w:r>
          </w:p>
        </w:tc>
        <w:tc>
          <w:tcPr>
            <w:tcW w:w="488" w:type="pct"/>
            <w:vAlign w:val="center"/>
          </w:tcPr>
          <w:p w14:paraId="1ECBC22C">
            <w:pPr>
              <w:adjustRightInd w:val="0"/>
              <w:snapToGrid w:val="0"/>
              <w:jc w:val="center"/>
              <w:rPr>
                <w:rFonts w:hint="eastAsia"/>
                <w:color w:val="000000"/>
                <w:sz w:val="21"/>
                <w:szCs w:val="21"/>
              </w:rPr>
            </w:pPr>
          </w:p>
        </w:tc>
      </w:tr>
      <w:tr w14:paraId="44FC07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2A245E45">
            <w:pPr>
              <w:adjustRightInd w:val="0"/>
              <w:snapToGrid w:val="0"/>
              <w:jc w:val="center"/>
              <w:rPr>
                <w:rFonts w:hint="eastAsia"/>
                <w:color w:val="000000"/>
                <w:sz w:val="21"/>
                <w:szCs w:val="21"/>
              </w:rPr>
            </w:pPr>
            <w:r>
              <w:rPr>
                <w:rFonts w:hint="eastAsia"/>
                <w:color w:val="000000"/>
                <w:sz w:val="21"/>
                <w:szCs w:val="21"/>
              </w:rPr>
              <w:t>2</w:t>
            </w:r>
          </w:p>
        </w:tc>
        <w:tc>
          <w:tcPr>
            <w:tcW w:w="1771" w:type="pct"/>
            <w:vAlign w:val="center"/>
          </w:tcPr>
          <w:p w14:paraId="5041563B">
            <w:pPr>
              <w:adjustRightInd w:val="0"/>
              <w:snapToGrid w:val="0"/>
              <w:rPr>
                <w:rFonts w:hint="eastAsia"/>
                <w:color w:val="000000"/>
                <w:sz w:val="21"/>
                <w:szCs w:val="21"/>
              </w:rPr>
            </w:pPr>
            <w:r>
              <w:rPr>
                <w:rFonts w:hint="eastAsia"/>
                <w:sz w:val="21"/>
                <w:szCs w:val="21"/>
              </w:rPr>
              <w:t>积极采用新技术、新工艺、新流程、新材料、新装备、新产品等技术创新成果。</w:t>
            </w:r>
          </w:p>
        </w:tc>
        <w:tc>
          <w:tcPr>
            <w:tcW w:w="1892" w:type="pct"/>
            <w:vMerge w:val="continue"/>
            <w:vAlign w:val="center"/>
          </w:tcPr>
          <w:p w14:paraId="7595F51D">
            <w:pPr>
              <w:adjustRightInd w:val="0"/>
              <w:snapToGrid w:val="0"/>
              <w:rPr>
                <w:rFonts w:hint="eastAsia"/>
                <w:color w:val="000000"/>
                <w:sz w:val="21"/>
                <w:szCs w:val="21"/>
              </w:rPr>
            </w:pPr>
          </w:p>
        </w:tc>
        <w:tc>
          <w:tcPr>
            <w:tcW w:w="484" w:type="pct"/>
            <w:vAlign w:val="center"/>
          </w:tcPr>
          <w:p w14:paraId="14E95804">
            <w:pPr>
              <w:adjustRightInd w:val="0"/>
              <w:snapToGrid w:val="0"/>
              <w:jc w:val="center"/>
              <w:rPr>
                <w:rFonts w:hint="eastAsia"/>
                <w:color w:val="000000"/>
                <w:sz w:val="21"/>
                <w:szCs w:val="21"/>
              </w:rPr>
            </w:pPr>
            <w:r>
              <w:rPr>
                <w:rFonts w:hint="eastAsia"/>
                <w:color w:val="000000"/>
                <w:sz w:val="21"/>
                <w:szCs w:val="21"/>
              </w:rPr>
              <w:t>6</w:t>
            </w:r>
          </w:p>
        </w:tc>
        <w:tc>
          <w:tcPr>
            <w:tcW w:w="488" w:type="pct"/>
            <w:vAlign w:val="center"/>
          </w:tcPr>
          <w:p w14:paraId="56E25C4E">
            <w:pPr>
              <w:adjustRightInd w:val="0"/>
              <w:snapToGrid w:val="0"/>
              <w:jc w:val="center"/>
              <w:rPr>
                <w:rFonts w:hint="eastAsia"/>
                <w:color w:val="000000"/>
                <w:sz w:val="21"/>
                <w:szCs w:val="21"/>
              </w:rPr>
            </w:pPr>
          </w:p>
        </w:tc>
      </w:tr>
      <w:tr w14:paraId="5DE007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365" w:type="pct"/>
            <w:vAlign w:val="center"/>
          </w:tcPr>
          <w:p w14:paraId="13C36FA2">
            <w:pPr>
              <w:adjustRightInd w:val="0"/>
              <w:snapToGrid w:val="0"/>
              <w:jc w:val="center"/>
              <w:rPr>
                <w:rFonts w:hint="eastAsia"/>
                <w:color w:val="000000"/>
                <w:sz w:val="21"/>
                <w:szCs w:val="21"/>
              </w:rPr>
            </w:pPr>
            <w:r>
              <w:rPr>
                <w:rFonts w:hint="eastAsia"/>
                <w:color w:val="000000"/>
                <w:sz w:val="21"/>
                <w:szCs w:val="21"/>
              </w:rPr>
              <w:t>3</w:t>
            </w:r>
          </w:p>
        </w:tc>
        <w:tc>
          <w:tcPr>
            <w:tcW w:w="1771" w:type="pct"/>
            <w:vAlign w:val="center"/>
          </w:tcPr>
          <w:p w14:paraId="4B9E4383">
            <w:pPr>
              <w:adjustRightInd w:val="0"/>
              <w:snapToGrid w:val="0"/>
              <w:rPr>
                <w:rFonts w:hint="eastAsia"/>
                <w:color w:val="000000"/>
                <w:sz w:val="21"/>
                <w:szCs w:val="21"/>
              </w:rPr>
            </w:pPr>
            <w:r>
              <w:rPr>
                <w:sz w:val="21"/>
                <w:szCs w:val="21"/>
              </w:rPr>
              <w:t>依托本工程取得的创新成果（课题、专利、专有技术、奖项、竞赛活动成果、国家示范试点、参编标准、期刊论文等），填补国内空白或处于国内领先水平。</w:t>
            </w:r>
          </w:p>
        </w:tc>
        <w:tc>
          <w:tcPr>
            <w:tcW w:w="1892" w:type="pct"/>
            <w:vMerge w:val="continue"/>
            <w:vAlign w:val="center"/>
          </w:tcPr>
          <w:p w14:paraId="1190D222">
            <w:pPr>
              <w:adjustRightInd w:val="0"/>
              <w:snapToGrid w:val="0"/>
              <w:rPr>
                <w:rFonts w:hint="eastAsia"/>
                <w:color w:val="000000"/>
                <w:sz w:val="21"/>
                <w:szCs w:val="21"/>
              </w:rPr>
            </w:pPr>
          </w:p>
        </w:tc>
        <w:tc>
          <w:tcPr>
            <w:tcW w:w="484" w:type="pct"/>
            <w:vAlign w:val="center"/>
          </w:tcPr>
          <w:p w14:paraId="7BDA1826">
            <w:pPr>
              <w:adjustRightInd w:val="0"/>
              <w:snapToGrid w:val="0"/>
              <w:jc w:val="center"/>
              <w:rPr>
                <w:rFonts w:hint="eastAsia"/>
                <w:color w:val="000000"/>
                <w:sz w:val="21"/>
                <w:szCs w:val="21"/>
              </w:rPr>
            </w:pPr>
            <w:r>
              <w:rPr>
                <w:rFonts w:hint="eastAsia"/>
                <w:color w:val="000000"/>
                <w:sz w:val="21"/>
                <w:szCs w:val="21"/>
              </w:rPr>
              <w:t>10</w:t>
            </w:r>
          </w:p>
        </w:tc>
        <w:tc>
          <w:tcPr>
            <w:tcW w:w="488" w:type="pct"/>
            <w:vAlign w:val="center"/>
          </w:tcPr>
          <w:p w14:paraId="78DD53AD">
            <w:pPr>
              <w:adjustRightInd w:val="0"/>
              <w:snapToGrid w:val="0"/>
              <w:jc w:val="center"/>
              <w:rPr>
                <w:rFonts w:hint="eastAsia"/>
                <w:color w:val="000000"/>
                <w:sz w:val="21"/>
                <w:szCs w:val="21"/>
              </w:rPr>
            </w:pPr>
          </w:p>
        </w:tc>
      </w:tr>
      <w:tr w14:paraId="2E6FD6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4028" w:type="pct"/>
            <w:gridSpan w:val="3"/>
            <w:vAlign w:val="center"/>
          </w:tcPr>
          <w:p w14:paraId="7679DEF8">
            <w:pPr>
              <w:adjustRightInd w:val="0"/>
              <w:snapToGrid w:val="0"/>
              <w:jc w:val="center"/>
              <w:rPr>
                <w:rFonts w:hint="eastAsia"/>
                <w:color w:val="000000"/>
                <w:sz w:val="21"/>
                <w:szCs w:val="21"/>
              </w:rPr>
            </w:pPr>
            <w:r>
              <w:rPr>
                <w:rFonts w:hint="eastAsia"/>
                <w:color w:val="000000"/>
                <w:sz w:val="21"/>
                <w:szCs w:val="21"/>
              </w:rPr>
              <w:t>合计</w:t>
            </w:r>
          </w:p>
        </w:tc>
        <w:tc>
          <w:tcPr>
            <w:tcW w:w="484" w:type="pct"/>
            <w:vAlign w:val="center"/>
          </w:tcPr>
          <w:p w14:paraId="3C6BCAFA">
            <w:pPr>
              <w:adjustRightInd w:val="0"/>
              <w:snapToGrid w:val="0"/>
              <w:jc w:val="center"/>
              <w:rPr>
                <w:rFonts w:hint="eastAsia"/>
                <w:color w:val="000000"/>
                <w:sz w:val="21"/>
                <w:szCs w:val="21"/>
              </w:rPr>
            </w:pPr>
          </w:p>
        </w:tc>
        <w:tc>
          <w:tcPr>
            <w:tcW w:w="488" w:type="pct"/>
            <w:vAlign w:val="center"/>
          </w:tcPr>
          <w:p w14:paraId="0E56AE77">
            <w:pPr>
              <w:adjustRightInd w:val="0"/>
              <w:snapToGrid w:val="0"/>
              <w:jc w:val="center"/>
              <w:rPr>
                <w:rFonts w:hint="eastAsia"/>
                <w:color w:val="000000"/>
                <w:sz w:val="21"/>
                <w:szCs w:val="21"/>
              </w:rPr>
            </w:pPr>
          </w:p>
        </w:tc>
      </w:tr>
      <w:tr w14:paraId="4E0C35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5000" w:type="pct"/>
            <w:gridSpan w:val="5"/>
          </w:tcPr>
          <w:p w14:paraId="137D6EB1">
            <w:pPr>
              <w:topLinePunct/>
              <w:adjustRightInd w:val="0"/>
              <w:snapToGrid w:val="0"/>
              <w:spacing w:line="300" w:lineRule="auto"/>
              <w:ind w:left="-57" w:right="-57"/>
              <w:rPr>
                <w:rFonts w:hint="eastAsia" w:cs="宋体"/>
                <w:kern w:val="0"/>
                <w:sz w:val="21"/>
                <w:szCs w:val="21"/>
                <w:lang w:bidi="ar"/>
              </w:rPr>
            </w:pPr>
            <w:r>
              <w:rPr>
                <w:rFonts w:hint="eastAsia" w:cs="宋体"/>
                <w:kern w:val="0"/>
                <w:sz w:val="21"/>
                <w:szCs w:val="21"/>
                <w:lang w:bidi="ar"/>
              </w:rPr>
              <w:t>评价结果实得分：</w:t>
            </w:r>
          </w:p>
        </w:tc>
      </w:tr>
      <w:tr w14:paraId="424128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5000" w:type="pct"/>
            <w:gridSpan w:val="5"/>
          </w:tcPr>
          <w:p w14:paraId="456F0D02">
            <w:pPr>
              <w:rPr>
                <w:rFonts w:hint="eastAsia" w:cs="宋体"/>
                <w:kern w:val="0"/>
                <w:sz w:val="21"/>
                <w:szCs w:val="21"/>
                <w:lang w:bidi="ar"/>
              </w:rPr>
            </w:pPr>
            <w:r>
              <w:rPr>
                <w:rFonts w:hint="eastAsia" w:cs="宋体"/>
                <w:kern w:val="0"/>
                <w:sz w:val="21"/>
                <w:szCs w:val="21"/>
                <w:lang w:bidi="ar"/>
              </w:rPr>
              <w:t>评价组成员：</w:t>
            </w:r>
          </w:p>
          <w:p w14:paraId="5052D4B3">
            <w:pPr>
              <w:jc w:val="right"/>
              <w:rPr>
                <w:rFonts w:hint="eastAsia" w:cs="宋体"/>
                <w:kern w:val="0"/>
                <w:sz w:val="21"/>
                <w:szCs w:val="21"/>
                <w:lang w:bidi="ar"/>
              </w:rPr>
            </w:pPr>
          </w:p>
          <w:p w14:paraId="14B6C21A">
            <w:pPr>
              <w:jc w:val="right"/>
              <w:rPr>
                <w:rFonts w:hint="eastAsia" w:cs="宋体"/>
                <w:kern w:val="0"/>
                <w:sz w:val="21"/>
                <w:szCs w:val="21"/>
                <w:lang w:bidi="ar"/>
              </w:rPr>
            </w:pPr>
            <w:r>
              <w:rPr>
                <w:rFonts w:hint="eastAsia" w:cs="宋体"/>
                <w:kern w:val="0"/>
                <w:sz w:val="21"/>
                <w:szCs w:val="21"/>
                <w:lang w:bidi="ar"/>
              </w:rPr>
              <w:t xml:space="preserve">                                                                                        评价日期：    年   月   日</w:t>
            </w:r>
          </w:p>
        </w:tc>
      </w:tr>
      <w:tr w14:paraId="59E584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rPr>
        <w:tc>
          <w:tcPr>
            <w:tcW w:w="5000" w:type="pct"/>
            <w:gridSpan w:val="5"/>
            <w:vAlign w:val="center"/>
          </w:tcPr>
          <w:p w14:paraId="58BE7408">
            <w:pPr>
              <w:textAlignment w:val="center"/>
              <w:rPr>
                <w:rFonts w:hint="eastAsia" w:cs="宋体"/>
                <w:kern w:val="0"/>
                <w:sz w:val="21"/>
                <w:szCs w:val="21"/>
                <w:lang w:bidi="ar"/>
              </w:rPr>
            </w:pPr>
            <w:r>
              <w:rPr>
                <w:rFonts w:hint="eastAsia" w:cs="宋体"/>
                <w:kern w:val="0"/>
                <w:sz w:val="21"/>
                <w:szCs w:val="21"/>
                <w:lang w:bidi="ar"/>
              </w:rPr>
              <w:t>注1：每个评价项目标准分扣完为止。</w:t>
            </w:r>
          </w:p>
          <w:p w14:paraId="1D762E93">
            <w:pPr>
              <w:textAlignment w:val="center"/>
              <w:rPr>
                <w:rFonts w:hint="eastAsia" w:cs="宋体"/>
                <w:kern w:val="0"/>
                <w:sz w:val="21"/>
                <w:szCs w:val="21"/>
                <w:lang w:bidi="ar"/>
              </w:rPr>
            </w:pPr>
            <w:r>
              <w:rPr>
                <w:rFonts w:hint="eastAsia" w:cs="宋体"/>
                <w:kern w:val="0"/>
                <w:sz w:val="21"/>
                <w:szCs w:val="21"/>
                <w:lang w:bidi="ar"/>
              </w:rPr>
              <w:t>注2：不涉及的评价项目标准分不计入总标准分，实得分</w:t>
            </w:r>
            <w:r>
              <w:rPr>
                <w:rFonts w:hint="eastAsia" w:cs="宋体"/>
                <w:kern w:val="0"/>
                <w:sz w:val="21"/>
                <w:szCs w:val="21"/>
                <w:vertAlign w:val="superscript"/>
                <w:lang w:bidi="ar"/>
              </w:rPr>
              <w:t xml:space="preserve"> </w:t>
            </w:r>
            <w:r>
              <w:rPr>
                <w:rFonts w:hint="eastAsia" w:cs="宋体"/>
                <w:kern w:val="0"/>
                <w:sz w:val="21"/>
                <w:szCs w:val="21"/>
                <w:lang w:bidi="ar"/>
              </w:rPr>
              <w:t>=</w:t>
            </w:r>
            <w:r>
              <w:rPr>
                <w:rFonts w:hint="eastAsia" w:cs="宋体"/>
                <w:kern w:val="0"/>
                <w:sz w:val="21"/>
                <w:szCs w:val="21"/>
                <w:vertAlign w:val="superscript"/>
                <w:lang w:bidi="ar"/>
              </w:rPr>
              <w:t xml:space="preserve"> </w:t>
            </w:r>
            <w:r>
              <w:rPr>
                <w:rFonts w:hint="eastAsia" w:cs="宋体"/>
                <w:kern w:val="0"/>
                <w:sz w:val="21"/>
                <w:szCs w:val="21"/>
                <w:lang w:bidi="ar"/>
              </w:rPr>
              <w:t>总得分/总标准分×100。</w:t>
            </w:r>
          </w:p>
        </w:tc>
      </w:tr>
    </w:tbl>
    <w:p w14:paraId="5524D702">
      <w:pPr>
        <w:rPr>
          <w:rFonts w:hint="eastAsia"/>
        </w:rPr>
      </w:pPr>
    </w:p>
    <w:p w14:paraId="01595174">
      <w:pPr>
        <w:widowControl w:val="0"/>
        <w:adjustRightInd w:val="0"/>
        <w:snapToGrid w:val="0"/>
        <w:jc w:val="left"/>
        <w:rPr>
          <w:rFonts w:hint="eastAsia"/>
          <w:sz w:val="21"/>
          <w:szCs w:val="21"/>
        </w:rPr>
      </w:pPr>
    </w:p>
    <w:p w14:paraId="2CFFE523">
      <w:pPr>
        <w:rPr>
          <w:rFonts w:hint="eastAsia"/>
          <w:sz w:val="21"/>
          <w:szCs w:val="21"/>
        </w:rPr>
      </w:pPr>
      <w:r>
        <w:rPr>
          <w:rFonts w:hint="eastAsia"/>
          <w:sz w:val="21"/>
          <w:szCs w:val="21"/>
        </w:rPr>
        <w:br w:type="page"/>
      </w:r>
    </w:p>
    <w:p w14:paraId="5CCFC58B">
      <w:pPr>
        <w:spacing w:before="120" w:beforeLines="50" w:after="240" w:afterLines="100"/>
        <w:jc w:val="center"/>
        <w:outlineLvl w:val="1"/>
        <w:rPr>
          <w:rFonts w:hint="eastAsia"/>
          <w:sz w:val="21"/>
          <w:szCs w:val="21"/>
        </w:rPr>
      </w:pPr>
      <w:bookmarkStart w:id="645" w:name="_Toc14886"/>
      <w:bookmarkStart w:id="646" w:name="_Toc15239"/>
      <w:r>
        <w:rPr>
          <w:rFonts w:hint="eastAsia"/>
          <w:sz w:val="21"/>
          <w:szCs w:val="21"/>
        </w:rPr>
        <w:t>附</w:t>
      </w:r>
      <w:r>
        <w:rPr>
          <w:sz w:val="21"/>
          <w:szCs w:val="21"/>
        </w:rPr>
        <w:t>录</w:t>
      </w:r>
      <w:r>
        <w:rPr>
          <w:rFonts w:hint="eastAsia"/>
          <w:sz w:val="21"/>
          <w:szCs w:val="21"/>
        </w:rPr>
        <w:t>C</w:t>
      </w:r>
      <w:r>
        <w:rPr>
          <w:sz w:val="21"/>
          <w:szCs w:val="21"/>
        </w:rPr>
        <w:t xml:space="preserve">  </w:t>
      </w:r>
      <w:r>
        <w:rPr>
          <w:rFonts w:hint="eastAsia"/>
          <w:sz w:val="21"/>
          <w:szCs w:val="21"/>
        </w:rPr>
        <w:t>绿色施工评价表</w:t>
      </w:r>
      <w:bookmarkEnd w:id="645"/>
      <w:bookmarkEnd w:id="646"/>
    </w:p>
    <w:p w14:paraId="29DA41E2">
      <w:pPr>
        <w:jc w:val="center"/>
        <w:rPr>
          <w:rFonts w:hint="eastAsia"/>
          <w:sz w:val="21"/>
          <w:szCs w:val="21"/>
        </w:rPr>
      </w:pPr>
      <w:r>
        <w:rPr>
          <w:rFonts w:hint="eastAsia"/>
          <w:sz w:val="21"/>
          <w:szCs w:val="21"/>
        </w:rPr>
        <w:t>表</w:t>
      </w:r>
      <w:r>
        <w:rPr>
          <w:sz w:val="21"/>
          <w:szCs w:val="21"/>
        </w:rPr>
        <w:t>C</w:t>
      </w:r>
      <w:r>
        <w:rPr>
          <w:rFonts w:hint="eastAsia"/>
          <w:sz w:val="21"/>
          <w:szCs w:val="21"/>
        </w:rPr>
        <w:t xml:space="preserve"> </w:t>
      </w:r>
      <w:r>
        <w:rPr>
          <w:sz w:val="21"/>
          <w:szCs w:val="21"/>
        </w:rPr>
        <w:t xml:space="preserve"> </w:t>
      </w:r>
      <w:r>
        <w:rPr>
          <w:rFonts w:hint="eastAsia"/>
          <w:sz w:val="21"/>
          <w:szCs w:val="21"/>
        </w:rPr>
        <w:t>绿色施工评价</w:t>
      </w:r>
      <w:r>
        <w:rPr>
          <w:sz w:val="21"/>
          <w:szCs w:val="21"/>
        </w:rPr>
        <w:t>表</w:t>
      </w:r>
    </w:p>
    <w:tbl>
      <w:tblPr>
        <w:tblStyle w:val="34"/>
        <w:tblW w:w="11511" w:type="dxa"/>
        <w:tblInd w:w="102" w:type="dxa"/>
        <w:tblLayout w:type="fixed"/>
        <w:tblCellMar>
          <w:top w:w="0" w:type="dxa"/>
          <w:left w:w="108" w:type="dxa"/>
          <w:bottom w:w="0" w:type="dxa"/>
          <w:right w:w="108" w:type="dxa"/>
        </w:tblCellMar>
      </w:tblPr>
      <w:tblGrid>
        <w:gridCol w:w="999"/>
        <w:gridCol w:w="4139"/>
        <w:gridCol w:w="4111"/>
        <w:gridCol w:w="1134"/>
        <w:gridCol w:w="1128"/>
      </w:tblGrid>
      <w:tr w14:paraId="5E089CE5">
        <w:trPr>
          <w:trHeight w:val="533" w:hRule="atLeast"/>
          <w:tblHeader/>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E5385">
            <w:pPr>
              <w:jc w:val="center"/>
              <w:textAlignment w:val="center"/>
              <w:rPr>
                <w:rFonts w:hint="eastAsia" w:cs="宋体"/>
                <w:b/>
                <w:bCs/>
                <w:sz w:val="21"/>
                <w:szCs w:val="21"/>
              </w:rPr>
            </w:pPr>
            <w:r>
              <w:rPr>
                <w:rFonts w:hint="eastAsia" w:cs="宋体"/>
                <w:b/>
                <w:bCs/>
                <w:kern w:val="0"/>
                <w:sz w:val="21"/>
                <w:szCs w:val="21"/>
                <w:lang w:bidi="ar"/>
              </w:rPr>
              <w:t>序号</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6D5AD">
            <w:pPr>
              <w:jc w:val="center"/>
              <w:textAlignment w:val="center"/>
              <w:rPr>
                <w:rFonts w:hint="eastAsia" w:cs="宋体"/>
                <w:b/>
                <w:bCs/>
                <w:sz w:val="21"/>
                <w:szCs w:val="21"/>
              </w:rPr>
            </w:pPr>
            <w:r>
              <w:rPr>
                <w:rFonts w:hint="eastAsia" w:cs="宋体"/>
                <w:b/>
                <w:bCs/>
                <w:kern w:val="0"/>
                <w:sz w:val="21"/>
                <w:szCs w:val="21"/>
                <w:lang w:bidi="ar"/>
              </w:rPr>
              <w:t>评价内容</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04F2C">
            <w:pPr>
              <w:jc w:val="center"/>
              <w:textAlignment w:val="center"/>
              <w:rPr>
                <w:rFonts w:hint="eastAsia" w:cs="宋体"/>
                <w:b/>
                <w:bCs/>
                <w:sz w:val="21"/>
                <w:szCs w:val="21"/>
              </w:rPr>
            </w:pPr>
            <w:r>
              <w:rPr>
                <w:rFonts w:hint="eastAsia" w:cs="宋体"/>
                <w:b/>
                <w:bCs/>
                <w:kern w:val="0"/>
                <w:sz w:val="21"/>
                <w:szCs w:val="21"/>
                <w:lang w:bidi="ar"/>
              </w:rPr>
              <w:t>评分标准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A3875">
            <w:pPr>
              <w:jc w:val="center"/>
              <w:textAlignment w:val="center"/>
              <w:rPr>
                <w:rFonts w:hint="eastAsia" w:cs="宋体"/>
                <w:b/>
                <w:bCs/>
                <w:sz w:val="21"/>
                <w:szCs w:val="21"/>
              </w:rPr>
            </w:pPr>
            <w:r>
              <w:rPr>
                <w:rFonts w:hint="eastAsia" w:cs="宋体"/>
                <w:b/>
                <w:bCs/>
                <w:kern w:val="0"/>
                <w:sz w:val="21"/>
                <w:szCs w:val="21"/>
                <w:lang w:bidi="ar"/>
              </w:rPr>
              <w:t>标准分</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4A270">
            <w:pPr>
              <w:jc w:val="center"/>
              <w:textAlignment w:val="center"/>
              <w:rPr>
                <w:rFonts w:hint="eastAsia" w:cs="宋体"/>
                <w:b/>
                <w:bCs/>
                <w:sz w:val="21"/>
                <w:szCs w:val="21"/>
              </w:rPr>
            </w:pPr>
            <w:r>
              <w:rPr>
                <w:rFonts w:hint="eastAsia" w:cs="宋体"/>
                <w:b/>
                <w:bCs/>
                <w:kern w:val="0"/>
                <w:sz w:val="21"/>
                <w:szCs w:val="21"/>
                <w:lang w:bidi="ar"/>
              </w:rPr>
              <w:t>实得分</w:t>
            </w:r>
          </w:p>
        </w:tc>
      </w:tr>
      <w:tr w14:paraId="38FC244E">
        <w:tblPrEx>
          <w:tblCellMar>
            <w:top w:w="0" w:type="dxa"/>
            <w:left w:w="108" w:type="dxa"/>
            <w:bottom w:w="0" w:type="dxa"/>
            <w:right w:w="108" w:type="dxa"/>
          </w:tblCellMar>
        </w:tblPrEx>
        <w:trPr>
          <w:trHeight w:val="615"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7E0D9">
            <w:pPr>
              <w:jc w:val="center"/>
              <w:textAlignment w:val="center"/>
              <w:rPr>
                <w:rFonts w:hint="eastAsia" w:cs="宋体"/>
                <w:b/>
                <w:bCs/>
                <w:kern w:val="0"/>
                <w:sz w:val="21"/>
                <w:szCs w:val="21"/>
                <w:lang w:bidi="ar"/>
              </w:rPr>
            </w:pPr>
            <w:r>
              <w:rPr>
                <w:rFonts w:hint="eastAsia" w:cs="宋体"/>
                <w:b/>
                <w:kern w:val="0"/>
                <w:sz w:val="21"/>
                <w:szCs w:val="21"/>
                <w:lang w:bidi="ar"/>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9AEA4">
            <w:pPr>
              <w:jc w:val="left"/>
              <w:textAlignment w:val="center"/>
              <w:rPr>
                <w:rFonts w:hint="eastAsia" w:cs="宋体"/>
                <w:b/>
                <w:bCs/>
                <w:kern w:val="0"/>
                <w:sz w:val="21"/>
                <w:szCs w:val="21"/>
                <w:lang w:bidi="ar"/>
              </w:rPr>
            </w:pPr>
            <w:r>
              <w:rPr>
                <w:rFonts w:hint="eastAsia" w:cs="宋体"/>
                <w:b/>
                <w:kern w:val="0"/>
                <w:sz w:val="21"/>
                <w:szCs w:val="21"/>
                <w:lang w:bidi="ar"/>
              </w:rPr>
              <w:t>绿色施工</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D79D5">
            <w:pPr>
              <w:jc w:val="left"/>
              <w:textAlignment w:val="center"/>
              <w:rPr>
                <w:rFonts w:hint="eastAsia" w:cs="宋体"/>
                <w:b/>
                <w:bCs/>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7B951">
            <w:pPr>
              <w:jc w:val="center"/>
              <w:textAlignment w:val="center"/>
              <w:rPr>
                <w:rFonts w:hint="eastAsia" w:cs="宋体"/>
                <w:b/>
                <w:bCs/>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D4991">
            <w:pPr>
              <w:jc w:val="center"/>
              <w:rPr>
                <w:rFonts w:hint="eastAsia" w:cs="宋体"/>
                <w:b/>
                <w:bCs/>
                <w:sz w:val="21"/>
                <w:szCs w:val="21"/>
              </w:rPr>
            </w:pPr>
          </w:p>
        </w:tc>
      </w:tr>
      <w:tr w14:paraId="3E6FBC40">
        <w:tblPrEx>
          <w:tblCellMar>
            <w:top w:w="0" w:type="dxa"/>
            <w:left w:w="108" w:type="dxa"/>
            <w:bottom w:w="0" w:type="dxa"/>
            <w:right w:w="108" w:type="dxa"/>
          </w:tblCellMar>
        </w:tblPrEx>
        <w:trPr>
          <w:trHeight w:val="615"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99C01">
            <w:pPr>
              <w:jc w:val="center"/>
              <w:textAlignment w:val="center"/>
              <w:rPr>
                <w:rFonts w:hint="eastAsia" w:cs="宋体"/>
                <w:kern w:val="0"/>
                <w:sz w:val="21"/>
                <w:szCs w:val="21"/>
                <w:lang w:bidi="ar"/>
              </w:rPr>
            </w:pPr>
            <w:r>
              <w:rPr>
                <w:rFonts w:hint="eastAsia" w:cs="宋体"/>
                <w:kern w:val="0"/>
                <w:sz w:val="21"/>
                <w:szCs w:val="21"/>
                <w:lang w:bidi="ar"/>
              </w:rPr>
              <w:t>6.1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299C5">
            <w:pPr>
              <w:jc w:val="left"/>
              <w:textAlignment w:val="center"/>
              <w:rPr>
                <w:rFonts w:hint="eastAsia" w:cs="宋体"/>
                <w:kern w:val="0"/>
                <w:sz w:val="21"/>
                <w:szCs w:val="21"/>
                <w:lang w:bidi="ar"/>
              </w:rPr>
            </w:pPr>
            <w:r>
              <w:rPr>
                <w:rFonts w:hint="eastAsia" w:cs="宋体"/>
                <w:kern w:val="0"/>
                <w:sz w:val="21"/>
                <w:szCs w:val="21"/>
                <w:lang w:bidi="ar"/>
              </w:rPr>
              <w:t>管理科学</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1F860">
            <w:pPr>
              <w:jc w:val="left"/>
              <w:textAlignment w:val="center"/>
              <w:rPr>
                <w:rFonts w:hint="eastAsia" w:cs="宋体"/>
                <w:b/>
                <w:bCs/>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649A">
            <w:pPr>
              <w:jc w:val="center"/>
              <w:textAlignment w:val="center"/>
              <w:rPr>
                <w:rFonts w:hint="eastAsia" w:cs="宋体"/>
                <w:b/>
                <w:bCs/>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A26CF">
            <w:pPr>
              <w:jc w:val="center"/>
              <w:rPr>
                <w:rFonts w:hint="eastAsia" w:cs="宋体"/>
                <w:b/>
                <w:bCs/>
                <w:sz w:val="21"/>
                <w:szCs w:val="21"/>
              </w:rPr>
            </w:pPr>
          </w:p>
        </w:tc>
      </w:tr>
      <w:tr w14:paraId="78F98494">
        <w:tblPrEx>
          <w:tblCellMar>
            <w:top w:w="0" w:type="dxa"/>
            <w:left w:w="108" w:type="dxa"/>
            <w:bottom w:w="0" w:type="dxa"/>
            <w:right w:w="108" w:type="dxa"/>
          </w:tblCellMar>
        </w:tblPrEx>
        <w:trPr>
          <w:trHeight w:val="615"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5B00D">
            <w:pPr>
              <w:jc w:val="center"/>
              <w:textAlignment w:val="center"/>
              <w:rPr>
                <w:rFonts w:hint="eastAsia" w:cs="宋体"/>
                <w:kern w:val="0"/>
                <w:sz w:val="21"/>
                <w:szCs w:val="21"/>
                <w:lang w:bidi="ar"/>
              </w:rPr>
            </w:pPr>
            <w:r>
              <w:rPr>
                <w:rFonts w:hint="eastAsia" w:cs="宋体"/>
                <w:kern w:val="0"/>
                <w:sz w:val="21"/>
                <w:szCs w:val="21"/>
                <w:lang w:bidi="ar"/>
              </w:rPr>
              <w:t>6.1.2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FC389">
            <w:pPr>
              <w:jc w:val="left"/>
              <w:textAlignment w:val="center"/>
              <w:rPr>
                <w:rFonts w:hint="eastAsia" w:cs="宋体"/>
                <w:kern w:val="0"/>
                <w:sz w:val="21"/>
                <w:szCs w:val="21"/>
                <w:lang w:bidi="ar"/>
              </w:rPr>
            </w:pPr>
            <w:r>
              <w:rPr>
                <w:rFonts w:hint="eastAsia" w:cs="宋体"/>
                <w:kern w:val="0"/>
                <w:sz w:val="21"/>
                <w:szCs w:val="21"/>
                <w:lang w:bidi="ar"/>
              </w:rPr>
              <w:t>组织管理</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D05F6">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A61C4">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58D46">
            <w:pPr>
              <w:jc w:val="center"/>
              <w:rPr>
                <w:rFonts w:hint="eastAsia" w:cs="宋体"/>
                <w:sz w:val="21"/>
                <w:szCs w:val="21"/>
              </w:rPr>
            </w:pPr>
          </w:p>
        </w:tc>
      </w:tr>
      <w:tr w14:paraId="3DDFC5A1">
        <w:tblPrEx>
          <w:tblCellMar>
            <w:top w:w="0" w:type="dxa"/>
            <w:left w:w="108" w:type="dxa"/>
            <w:bottom w:w="0" w:type="dxa"/>
            <w:right w:w="108" w:type="dxa"/>
          </w:tblCellMar>
        </w:tblPrEx>
        <w:trPr>
          <w:trHeight w:val="615"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00CEA">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C3D41">
            <w:pPr>
              <w:jc w:val="left"/>
              <w:textAlignment w:val="center"/>
              <w:rPr>
                <w:rFonts w:hint="eastAsia" w:cs="宋体"/>
                <w:kern w:val="0"/>
                <w:sz w:val="21"/>
                <w:szCs w:val="21"/>
                <w:lang w:bidi="ar"/>
              </w:rPr>
            </w:pPr>
            <w:r>
              <w:rPr>
                <w:rFonts w:hint="eastAsia" w:cs="宋体"/>
                <w:kern w:val="0"/>
                <w:sz w:val="21"/>
                <w:szCs w:val="21"/>
                <w:lang w:bidi="ar"/>
              </w:rPr>
              <w:t>建立绿色施工管理组织机构，明确工程参建各方绿色施工管理职责，施工单位明确绿色施工岗位职责。</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6D50F">
            <w:pPr>
              <w:jc w:val="left"/>
              <w:textAlignment w:val="center"/>
              <w:rPr>
                <w:rFonts w:hint="eastAsia" w:cs="宋体"/>
                <w:kern w:val="0"/>
                <w:sz w:val="21"/>
                <w:szCs w:val="21"/>
                <w:lang w:bidi="ar"/>
              </w:rPr>
            </w:pPr>
            <w:r>
              <w:rPr>
                <w:rFonts w:hint="eastAsia" w:cs="宋体"/>
                <w:kern w:val="0"/>
                <w:sz w:val="21"/>
                <w:szCs w:val="21"/>
                <w:lang w:bidi="ar"/>
              </w:rPr>
              <w:t>组织机构未建立或绿色施工管理职责不明确，扣0.5分；施工单位岗位职责缺失，扣0.5分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8703F">
            <w:pPr>
              <w:jc w:val="center"/>
              <w:textAlignment w:val="center"/>
              <w:rPr>
                <w:rFonts w:hint="eastAsia" w:cs="宋体"/>
                <w:kern w:val="0"/>
                <w:sz w:val="21"/>
                <w:szCs w:val="21"/>
                <w:lang w:bidi="ar"/>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70BE3">
            <w:pPr>
              <w:jc w:val="center"/>
              <w:rPr>
                <w:rFonts w:hint="eastAsia" w:cs="宋体"/>
                <w:sz w:val="21"/>
                <w:szCs w:val="21"/>
              </w:rPr>
            </w:pPr>
          </w:p>
        </w:tc>
      </w:tr>
      <w:tr w14:paraId="4E6AB3ED">
        <w:tblPrEx>
          <w:tblCellMar>
            <w:top w:w="0" w:type="dxa"/>
            <w:left w:w="108" w:type="dxa"/>
            <w:bottom w:w="0" w:type="dxa"/>
            <w:right w:w="108" w:type="dxa"/>
          </w:tblCellMar>
        </w:tblPrEx>
        <w:trPr>
          <w:trHeight w:val="615"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D73E0">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32FAB">
            <w:pPr>
              <w:jc w:val="left"/>
              <w:textAlignment w:val="center"/>
              <w:rPr>
                <w:rFonts w:hint="eastAsia" w:cs="宋体"/>
                <w:kern w:val="0"/>
                <w:sz w:val="21"/>
                <w:szCs w:val="21"/>
                <w:lang w:bidi="ar"/>
              </w:rPr>
            </w:pPr>
            <w:r>
              <w:rPr>
                <w:rFonts w:hint="eastAsia" w:cs="宋体"/>
                <w:kern w:val="0"/>
                <w:sz w:val="21"/>
                <w:szCs w:val="21"/>
                <w:lang w:bidi="ar"/>
              </w:rPr>
              <w:t>工程参建各方项目管理制度应涵盖绿色施工的相关要求。</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87E0C">
            <w:pPr>
              <w:jc w:val="left"/>
              <w:textAlignment w:val="center"/>
              <w:rPr>
                <w:rFonts w:hint="eastAsia" w:cs="宋体"/>
                <w:kern w:val="0"/>
                <w:sz w:val="21"/>
                <w:szCs w:val="21"/>
                <w:lang w:bidi="ar"/>
              </w:rPr>
            </w:pPr>
            <w:r>
              <w:rPr>
                <w:rFonts w:hint="eastAsia" w:cs="宋体"/>
                <w:kern w:val="0"/>
                <w:sz w:val="21"/>
                <w:szCs w:val="21"/>
                <w:lang w:bidi="ar"/>
              </w:rPr>
              <w:t>未建立项目管理制度或制度未涵盖绿色施工的相关内容，扣1分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884C7">
            <w:pPr>
              <w:jc w:val="center"/>
              <w:textAlignment w:val="center"/>
              <w:rPr>
                <w:rFonts w:hint="eastAsia" w:cs="宋体"/>
                <w:kern w:val="0"/>
                <w:sz w:val="21"/>
                <w:szCs w:val="21"/>
                <w:lang w:bidi="ar"/>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A87DA">
            <w:pPr>
              <w:jc w:val="center"/>
              <w:rPr>
                <w:rFonts w:hint="eastAsia" w:cs="宋体"/>
                <w:sz w:val="21"/>
                <w:szCs w:val="21"/>
              </w:rPr>
            </w:pPr>
          </w:p>
        </w:tc>
      </w:tr>
      <w:tr w14:paraId="35C8B2DA">
        <w:tblPrEx>
          <w:tblCellMar>
            <w:top w:w="0" w:type="dxa"/>
            <w:left w:w="108" w:type="dxa"/>
            <w:bottom w:w="0" w:type="dxa"/>
            <w:right w:w="108" w:type="dxa"/>
          </w:tblCellMar>
        </w:tblPrEx>
        <w:trPr>
          <w:trHeight w:val="615"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55CFE">
            <w:pPr>
              <w:jc w:val="center"/>
              <w:textAlignment w:val="center"/>
              <w:rPr>
                <w:rFonts w:hint="eastAsia" w:cs="宋体"/>
                <w:kern w:val="0"/>
                <w:sz w:val="21"/>
                <w:szCs w:val="21"/>
                <w:lang w:bidi="ar"/>
              </w:rPr>
            </w:pPr>
            <w:r>
              <w:rPr>
                <w:rFonts w:hint="eastAsia" w:cs="宋体"/>
                <w:kern w:val="0"/>
                <w:sz w:val="21"/>
                <w:szCs w:val="21"/>
                <w:lang w:bidi="ar"/>
              </w:rPr>
              <w:t>6.1.3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D6A92">
            <w:pPr>
              <w:jc w:val="left"/>
              <w:textAlignment w:val="center"/>
              <w:rPr>
                <w:rFonts w:hint="eastAsia" w:cs="宋体"/>
                <w:kern w:val="0"/>
                <w:sz w:val="21"/>
                <w:szCs w:val="21"/>
                <w:lang w:bidi="ar"/>
              </w:rPr>
            </w:pPr>
            <w:r>
              <w:rPr>
                <w:rFonts w:hint="eastAsia" w:cs="宋体"/>
                <w:kern w:val="0"/>
                <w:sz w:val="21"/>
                <w:szCs w:val="21"/>
                <w:lang w:bidi="ar"/>
              </w:rPr>
              <w:t>目标管理</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E24E6">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A7ECB">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F19AC">
            <w:pPr>
              <w:jc w:val="center"/>
              <w:rPr>
                <w:rFonts w:hint="eastAsia" w:cs="宋体"/>
                <w:sz w:val="21"/>
                <w:szCs w:val="21"/>
              </w:rPr>
            </w:pPr>
          </w:p>
        </w:tc>
      </w:tr>
      <w:tr w14:paraId="6878D224">
        <w:tblPrEx>
          <w:tblCellMar>
            <w:top w:w="0" w:type="dxa"/>
            <w:left w:w="108" w:type="dxa"/>
            <w:bottom w:w="0" w:type="dxa"/>
            <w:right w:w="108" w:type="dxa"/>
          </w:tblCellMar>
        </w:tblPrEx>
        <w:trPr>
          <w:trHeight w:val="615"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22717">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28BA6">
            <w:pPr>
              <w:jc w:val="left"/>
              <w:textAlignment w:val="center"/>
              <w:rPr>
                <w:rFonts w:hint="eastAsia" w:cs="宋体"/>
                <w:kern w:val="0"/>
                <w:sz w:val="21"/>
                <w:szCs w:val="21"/>
                <w:lang w:bidi="ar"/>
              </w:rPr>
            </w:pPr>
            <w:r>
              <w:rPr>
                <w:rFonts w:hint="eastAsia" w:cs="宋体"/>
                <w:kern w:val="0"/>
                <w:sz w:val="21"/>
                <w:szCs w:val="21"/>
                <w:lang w:bidi="ar"/>
              </w:rPr>
              <w:t>工程开工前，应在绿色施工影响因素分析的基础上制定绿色施工目标</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44788">
            <w:pPr>
              <w:jc w:val="left"/>
              <w:textAlignment w:val="center"/>
              <w:rPr>
                <w:rFonts w:hint="eastAsia" w:cs="宋体"/>
                <w:kern w:val="0"/>
                <w:sz w:val="21"/>
                <w:szCs w:val="21"/>
                <w:lang w:bidi="ar"/>
              </w:rPr>
            </w:pPr>
            <w:r>
              <w:rPr>
                <w:rFonts w:hint="eastAsia" w:cs="宋体"/>
                <w:kern w:val="0"/>
                <w:sz w:val="21"/>
                <w:szCs w:val="21"/>
                <w:lang w:bidi="ar"/>
              </w:rPr>
              <w:t>未制定绿色施工目标，扣1分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8F95C">
            <w:pPr>
              <w:jc w:val="center"/>
              <w:textAlignment w:val="center"/>
              <w:rPr>
                <w:rFonts w:hint="eastAsia" w:cs="宋体"/>
                <w:kern w:val="0"/>
                <w:sz w:val="21"/>
                <w:szCs w:val="21"/>
                <w:lang w:bidi="ar"/>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306CE">
            <w:pPr>
              <w:jc w:val="center"/>
              <w:rPr>
                <w:rFonts w:hint="eastAsia" w:cs="宋体"/>
                <w:sz w:val="21"/>
                <w:szCs w:val="21"/>
              </w:rPr>
            </w:pPr>
          </w:p>
        </w:tc>
      </w:tr>
      <w:tr w14:paraId="1605C506">
        <w:tblPrEx>
          <w:tblCellMar>
            <w:top w:w="0" w:type="dxa"/>
            <w:left w:w="108" w:type="dxa"/>
            <w:bottom w:w="0" w:type="dxa"/>
            <w:right w:w="108" w:type="dxa"/>
          </w:tblCellMar>
        </w:tblPrEx>
        <w:trPr>
          <w:trHeight w:val="615"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2AFF4">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50DAB">
            <w:pPr>
              <w:jc w:val="left"/>
              <w:textAlignment w:val="center"/>
              <w:rPr>
                <w:rFonts w:hint="eastAsia" w:cs="宋体"/>
                <w:kern w:val="0"/>
                <w:sz w:val="21"/>
                <w:szCs w:val="21"/>
                <w:lang w:bidi="ar"/>
              </w:rPr>
            </w:pPr>
            <w:r>
              <w:rPr>
                <w:rFonts w:hint="eastAsia" w:cs="宋体"/>
                <w:kern w:val="0"/>
                <w:sz w:val="21"/>
                <w:szCs w:val="21"/>
                <w:lang w:bidi="ar"/>
              </w:rPr>
              <w:t>绿色施工目标应分解为可量化的指标，并在专业分包合同中明确</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A0D80">
            <w:pPr>
              <w:jc w:val="left"/>
              <w:textAlignment w:val="center"/>
              <w:rPr>
                <w:rFonts w:hint="eastAsia" w:cs="宋体"/>
                <w:kern w:val="0"/>
                <w:sz w:val="21"/>
                <w:szCs w:val="21"/>
                <w:lang w:bidi="ar"/>
              </w:rPr>
            </w:pPr>
            <w:r>
              <w:rPr>
                <w:rFonts w:hint="eastAsia" w:cs="宋体"/>
                <w:kern w:val="0"/>
                <w:sz w:val="21"/>
                <w:szCs w:val="21"/>
                <w:lang w:bidi="ar"/>
              </w:rPr>
              <w:t>绿色施工目标未分解、分解的不可量化，扣0.5分，专业分包合同中未明确，扣0.5分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499B3">
            <w:pPr>
              <w:jc w:val="center"/>
              <w:textAlignment w:val="center"/>
              <w:rPr>
                <w:rFonts w:hint="eastAsia" w:cs="宋体"/>
                <w:kern w:val="0"/>
                <w:sz w:val="21"/>
                <w:szCs w:val="21"/>
                <w:lang w:bidi="ar"/>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95CB2">
            <w:pPr>
              <w:jc w:val="center"/>
              <w:rPr>
                <w:rFonts w:hint="eastAsia" w:cs="宋体"/>
                <w:sz w:val="21"/>
                <w:szCs w:val="21"/>
              </w:rPr>
            </w:pPr>
          </w:p>
        </w:tc>
      </w:tr>
      <w:tr w14:paraId="0F20F38A">
        <w:tblPrEx>
          <w:tblCellMar>
            <w:top w:w="0" w:type="dxa"/>
            <w:left w:w="108" w:type="dxa"/>
            <w:bottom w:w="0" w:type="dxa"/>
            <w:right w:w="108" w:type="dxa"/>
          </w:tblCellMar>
        </w:tblPrEx>
        <w:trPr>
          <w:trHeight w:val="615"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43F08">
            <w:pPr>
              <w:jc w:val="center"/>
              <w:textAlignment w:val="center"/>
              <w:rPr>
                <w:rFonts w:hint="eastAsia" w:cs="宋体"/>
                <w:kern w:val="0"/>
                <w:sz w:val="21"/>
                <w:szCs w:val="21"/>
                <w:lang w:bidi="ar"/>
              </w:rPr>
            </w:pPr>
            <w:r>
              <w:rPr>
                <w:rFonts w:hint="eastAsia" w:cs="宋体"/>
                <w:kern w:val="0"/>
                <w:sz w:val="21"/>
                <w:szCs w:val="21"/>
                <w:lang w:bidi="ar"/>
              </w:rPr>
              <w:t>6.1.4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31D86">
            <w:pPr>
              <w:jc w:val="left"/>
              <w:textAlignment w:val="center"/>
              <w:rPr>
                <w:rFonts w:hint="eastAsia" w:cs="宋体"/>
                <w:kern w:val="0"/>
                <w:sz w:val="21"/>
                <w:szCs w:val="21"/>
                <w:lang w:bidi="ar"/>
              </w:rPr>
            </w:pPr>
            <w:r>
              <w:rPr>
                <w:rFonts w:hint="eastAsia" w:cs="宋体"/>
                <w:kern w:val="0"/>
                <w:sz w:val="21"/>
                <w:szCs w:val="21"/>
                <w:lang w:bidi="ar"/>
              </w:rPr>
              <w:t>实施管理</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09532">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847D9">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941DF">
            <w:pPr>
              <w:jc w:val="center"/>
              <w:rPr>
                <w:rFonts w:hint="eastAsia" w:cs="宋体"/>
                <w:sz w:val="21"/>
                <w:szCs w:val="21"/>
              </w:rPr>
            </w:pPr>
          </w:p>
        </w:tc>
      </w:tr>
      <w:tr w14:paraId="6639AB30">
        <w:tblPrEx>
          <w:tblCellMar>
            <w:top w:w="0" w:type="dxa"/>
            <w:left w:w="108" w:type="dxa"/>
            <w:bottom w:w="0" w:type="dxa"/>
            <w:right w:w="108" w:type="dxa"/>
          </w:tblCellMar>
        </w:tblPrEx>
        <w:trPr>
          <w:trHeight w:val="615"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B9B58">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3713B">
            <w:pPr>
              <w:jc w:val="left"/>
              <w:textAlignment w:val="center"/>
              <w:rPr>
                <w:rFonts w:hint="eastAsia" w:cs="宋体"/>
                <w:kern w:val="0"/>
                <w:sz w:val="21"/>
                <w:szCs w:val="21"/>
                <w:lang w:bidi="ar"/>
              </w:rPr>
            </w:pPr>
            <w:r>
              <w:rPr>
                <w:rFonts w:hint="eastAsia" w:cs="宋体"/>
                <w:kern w:val="0"/>
                <w:sz w:val="21"/>
                <w:szCs w:val="21"/>
                <w:lang w:bidi="ar"/>
              </w:rPr>
              <w:t>应组织绿色施工相关规范、管理制度、绿色策划等文件的培训和交底。</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BE4C9">
            <w:pPr>
              <w:jc w:val="left"/>
              <w:textAlignment w:val="center"/>
              <w:rPr>
                <w:rFonts w:hint="eastAsia" w:cs="宋体"/>
                <w:kern w:val="0"/>
                <w:sz w:val="21"/>
                <w:szCs w:val="21"/>
                <w:lang w:bidi="ar"/>
              </w:rPr>
            </w:pPr>
            <w:r>
              <w:rPr>
                <w:rFonts w:hint="eastAsia" w:cs="宋体"/>
                <w:kern w:val="0"/>
                <w:sz w:val="21"/>
                <w:szCs w:val="21"/>
                <w:lang w:bidi="ar"/>
              </w:rPr>
              <w:t>培训不及时、不全面，扣0.5分；交底不及时、不全面，扣0.5分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4D2A0">
            <w:pPr>
              <w:jc w:val="center"/>
              <w:textAlignment w:val="center"/>
              <w:rPr>
                <w:rFonts w:hint="eastAsia" w:cs="宋体"/>
                <w:kern w:val="0"/>
                <w:sz w:val="21"/>
                <w:szCs w:val="21"/>
                <w:lang w:bidi="ar"/>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13BA4">
            <w:pPr>
              <w:jc w:val="center"/>
              <w:rPr>
                <w:rFonts w:hint="eastAsia" w:cs="宋体"/>
                <w:sz w:val="21"/>
                <w:szCs w:val="21"/>
              </w:rPr>
            </w:pPr>
          </w:p>
        </w:tc>
      </w:tr>
      <w:tr w14:paraId="11E65938">
        <w:tblPrEx>
          <w:tblCellMar>
            <w:top w:w="0" w:type="dxa"/>
            <w:left w:w="108" w:type="dxa"/>
            <w:bottom w:w="0" w:type="dxa"/>
            <w:right w:w="108" w:type="dxa"/>
          </w:tblCellMar>
        </w:tblPrEx>
        <w:trPr>
          <w:trHeight w:val="615"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93B82">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CD9B8">
            <w:pPr>
              <w:jc w:val="left"/>
              <w:textAlignment w:val="center"/>
              <w:rPr>
                <w:rFonts w:hint="eastAsia" w:cs="宋体"/>
                <w:kern w:val="0"/>
                <w:sz w:val="21"/>
                <w:szCs w:val="21"/>
                <w:lang w:bidi="ar"/>
              </w:rPr>
            </w:pPr>
            <w:r>
              <w:rPr>
                <w:rFonts w:hint="eastAsia" w:cs="宋体"/>
                <w:kern w:val="0"/>
                <w:sz w:val="21"/>
                <w:szCs w:val="21"/>
                <w:lang w:bidi="ar"/>
              </w:rPr>
              <w:t>绿色施工相关过程资料和实施记录等应进行规范管理。</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94C79">
            <w:pPr>
              <w:jc w:val="left"/>
              <w:textAlignment w:val="center"/>
              <w:rPr>
                <w:rFonts w:hint="eastAsia" w:cs="宋体"/>
                <w:kern w:val="0"/>
                <w:sz w:val="21"/>
                <w:szCs w:val="21"/>
                <w:lang w:bidi="ar"/>
              </w:rPr>
            </w:pPr>
            <w:r>
              <w:rPr>
                <w:rFonts w:hint="eastAsia" w:cs="宋体"/>
                <w:kern w:val="0"/>
                <w:sz w:val="21"/>
                <w:szCs w:val="21"/>
                <w:lang w:bidi="ar"/>
              </w:rPr>
              <w:t>过程资料、实时记录有缺失，扣1分；过程资料、实时记录与现场实际不符，扣1分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795A0">
            <w:pPr>
              <w:jc w:val="center"/>
              <w:textAlignment w:val="center"/>
              <w:rPr>
                <w:rFonts w:hint="eastAsia" w:cs="宋体"/>
                <w:kern w:val="0"/>
                <w:sz w:val="21"/>
                <w:szCs w:val="21"/>
                <w:lang w:bidi="ar"/>
              </w:rPr>
            </w:pPr>
            <w:r>
              <w:rPr>
                <w:rFonts w:hint="eastAsia" w:cs="宋体"/>
                <w:sz w:val="21"/>
                <w:szCs w:val="21"/>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3E289">
            <w:pPr>
              <w:jc w:val="center"/>
              <w:rPr>
                <w:rFonts w:hint="eastAsia" w:cs="宋体"/>
                <w:sz w:val="21"/>
                <w:szCs w:val="21"/>
              </w:rPr>
            </w:pPr>
          </w:p>
        </w:tc>
      </w:tr>
      <w:tr w14:paraId="099B53AA">
        <w:tblPrEx>
          <w:tblCellMar>
            <w:top w:w="0" w:type="dxa"/>
            <w:left w:w="108" w:type="dxa"/>
            <w:bottom w:w="0" w:type="dxa"/>
            <w:right w:w="108" w:type="dxa"/>
          </w:tblCellMar>
        </w:tblPrEx>
        <w:trPr>
          <w:trHeight w:val="615"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97CB4">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1EA8C">
            <w:pPr>
              <w:jc w:val="left"/>
              <w:textAlignment w:val="center"/>
              <w:rPr>
                <w:rFonts w:hint="eastAsia" w:cs="宋体"/>
                <w:kern w:val="0"/>
                <w:sz w:val="21"/>
                <w:szCs w:val="21"/>
                <w:lang w:bidi="ar"/>
              </w:rPr>
            </w:pPr>
            <w:r>
              <w:rPr>
                <w:rFonts w:hint="eastAsia" w:cs="宋体"/>
                <w:kern w:val="0"/>
                <w:sz w:val="21"/>
                <w:szCs w:val="21"/>
                <w:lang w:bidi="ar"/>
              </w:rPr>
              <w:t>实施阶段应对碳排放相关数据进行统计计算。</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FB895">
            <w:pPr>
              <w:jc w:val="left"/>
              <w:textAlignment w:val="center"/>
              <w:rPr>
                <w:rFonts w:hint="eastAsia" w:cs="宋体"/>
                <w:kern w:val="0"/>
                <w:sz w:val="21"/>
                <w:szCs w:val="21"/>
                <w:lang w:bidi="ar"/>
              </w:rPr>
            </w:pPr>
            <w:r>
              <w:rPr>
                <w:rFonts w:hint="eastAsia" w:cs="宋体"/>
                <w:kern w:val="0"/>
                <w:sz w:val="21"/>
                <w:szCs w:val="21"/>
                <w:lang w:bidi="ar"/>
              </w:rPr>
              <w:t>未统计碳排放数据的，扣1分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8D6AF">
            <w:pPr>
              <w:jc w:val="center"/>
              <w:textAlignment w:val="center"/>
              <w:rPr>
                <w:rFonts w:hint="eastAsia" w:cs="宋体"/>
                <w:kern w:val="0"/>
                <w:sz w:val="21"/>
                <w:szCs w:val="21"/>
                <w:lang w:bidi="ar"/>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0FE60">
            <w:pPr>
              <w:jc w:val="center"/>
              <w:rPr>
                <w:rFonts w:hint="eastAsia" w:cs="宋体"/>
                <w:sz w:val="21"/>
                <w:szCs w:val="21"/>
              </w:rPr>
            </w:pPr>
          </w:p>
        </w:tc>
      </w:tr>
      <w:tr w14:paraId="6FB79B8E">
        <w:tblPrEx>
          <w:tblCellMar>
            <w:top w:w="0" w:type="dxa"/>
            <w:left w:w="108" w:type="dxa"/>
            <w:bottom w:w="0" w:type="dxa"/>
            <w:right w:w="108" w:type="dxa"/>
          </w:tblCellMar>
        </w:tblPrEx>
        <w:trPr>
          <w:trHeight w:val="615"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54960">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C9D37">
            <w:pPr>
              <w:jc w:val="left"/>
              <w:textAlignment w:val="center"/>
              <w:rPr>
                <w:rFonts w:hint="eastAsia" w:cs="宋体"/>
                <w:kern w:val="0"/>
                <w:sz w:val="21"/>
                <w:szCs w:val="21"/>
                <w:lang w:bidi="ar"/>
              </w:rPr>
            </w:pPr>
            <w:r>
              <w:rPr>
                <w:rFonts w:hint="eastAsia" w:cs="宋体"/>
                <w:kern w:val="0"/>
                <w:sz w:val="21"/>
                <w:szCs w:val="21"/>
                <w:lang w:bidi="ar"/>
              </w:rPr>
              <w:t>应分阶段组织开展绿色施工自评价，进行量化指标的对比分析，制定措施，持续改进。</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81E29">
            <w:pPr>
              <w:jc w:val="left"/>
              <w:textAlignment w:val="center"/>
              <w:rPr>
                <w:rFonts w:hint="eastAsia" w:cs="宋体"/>
                <w:kern w:val="0"/>
                <w:sz w:val="21"/>
                <w:szCs w:val="21"/>
                <w:lang w:bidi="ar"/>
              </w:rPr>
            </w:pPr>
            <w:r>
              <w:rPr>
                <w:rFonts w:hint="eastAsia" w:cs="宋体"/>
                <w:kern w:val="0"/>
                <w:sz w:val="21"/>
                <w:szCs w:val="21"/>
                <w:lang w:bidi="ar"/>
              </w:rPr>
              <w:t>未组织自评价，扣1分；未对比分析、制定持续改进措施，扣1分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9DE84">
            <w:pPr>
              <w:jc w:val="center"/>
              <w:textAlignment w:val="center"/>
              <w:rPr>
                <w:rFonts w:hint="eastAsia" w:cs="宋体"/>
                <w:kern w:val="0"/>
                <w:sz w:val="21"/>
                <w:szCs w:val="21"/>
                <w:lang w:bidi="ar"/>
              </w:rPr>
            </w:pPr>
            <w:r>
              <w:rPr>
                <w:rFonts w:hint="eastAsia" w:cs="宋体"/>
                <w:sz w:val="21"/>
                <w:szCs w:val="21"/>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A3CB4">
            <w:pPr>
              <w:jc w:val="center"/>
              <w:rPr>
                <w:rFonts w:hint="eastAsia" w:cs="宋体"/>
                <w:sz w:val="21"/>
                <w:szCs w:val="21"/>
              </w:rPr>
            </w:pPr>
          </w:p>
        </w:tc>
      </w:tr>
      <w:tr w14:paraId="6D034EE6">
        <w:tblPrEx>
          <w:tblCellMar>
            <w:top w:w="0" w:type="dxa"/>
            <w:left w:w="108" w:type="dxa"/>
            <w:bottom w:w="0" w:type="dxa"/>
            <w:right w:w="108" w:type="dxa"/>
          </w:tblCellMar>
        </w:tblPrEx>
        <w:trPr>
          <w:trHeight w:val="508"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79271">
            <w:pPr>
              <w:jc w:val="center"/>
              <w:textAlignment w:val="center"/>
              <w:rPr>
                <w:rFonts w:hint="eastAsia" w:cs="宋体"/>
                <w:kern w:val="0"/>
                <w:sz w:val="21"/>
                <w:szCs w:val="21"/>
                <w:lang w:bidi="ar"/>
              </w:rPr>
            </w:pPr>
            <w:r>
              <w:rPr>
                <w:rFonts w:hint="eastAsia" w:cs="宋体"/>
                <w:kern w:val="0"/>
                <w:sz w:val="21"/>
                <w:szCs w:val="21"/>
                <w:lang w:bidi="ar"/>
              </w:rPr>
              <w:t xml:space="preserve">6.2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9DCA1">
            <w:pPr>
              <w:adjustRightInd w:val="0"/>
              <w:snapToGrid w:val="0"/>
              <w:spacing w:line="216" w:lineRule="auto"/>
              <w:jc w:val="left"/>
              <w:textAlignment w:val="center"/>
              <w:rPr>
                <w:rFonts w:hint="eastAsia" w:cs="宋体"/>
                <w:kern w:val="0"/>
                <w:sz w:val="21"/>
                <w:szCs w:val="21"/>
                <w:lang w:bidi="ar"/>
              </w:rPr>
            </w:pPr>
            <w:r>
              <w:rPr>
                <w:rFonts w:hint="eastAsia" w:cs="宋体"/>
                <w:kern w:val="0"/>
                <w:sz w:val="21"/>
                <w:szCs w:val="21"/>
                <w:lang w:bidi="ar"/>
              </w:rPr>
              <w:t>安全环保</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1F5C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E1B9E">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67E2C">
            <w:pPr>
              <w:jc w:val="center"/>
              <w:rPr>
                <w:rFonts w:hint="eastAsia" w:cs="宋体"/>
                <w:sz w:val="21"/>
                <w:szCs w:val="21"/>
              </w:rPr>
            </w:pPr>
          </w:p>
        </w:tc>
      </w:tr>
      <w:tr w14:paraId="771C35B3">
        <w:tblPrEx>
          <w:tblCellMar>
            <w:top w:w="0" w:type="dxa"/>
            <w:left w:w="108" w:type="dxa"/>
            <w:bottom w:w="0" w:type="dxa"/>
            <w:right w:w="108" w:type="dxa"/>
          </w:tblCellMar>
        </w:tblPrEx>
        <w:trPr>
          <w:trHeight w:val="508"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6C391">
            <w:pPr>
              <w:jc w:val="center"/>
              <w:textAlignment w:val="center"/>
              <w:rPr>
                <w:rFonts w:hint="eastAsia" w:cs="宋体"/>
                <w:kern w:val="0"/>
                <w:sz w:val="21"/>
                <w:szCs w:val="21"/>
                <w:lang w:bidi="ar"/>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96ED0">
            <w:pPr>
              <w:adjustRightInd w:val="0"/>
              <w:snapToGrid w:val="0"/>
              <w:spacing w:line="216" w:lineRule="auto"/>
              <w:jc w:val="left"/>
              <w:textAlignment w:val="center"/>
              <w:rPr>
                <w:rFonts w:hint="eastAsia" w:cs="宋体"/>
                <w:kern w:val="0"/>
                <w:sz w:val="21"/>
                <w:szCs w:val="21"/>
                <w:lang w:bidi="ar"/>
              </w:rPr>
            </w:pPr>
            <w:r>
              <w:rPr>
                <w:rFonts w:hint="eastAsia" w:cs="宋体"/>
                <w:kern w:val="0"/>
                <w:sz w:val="21"/>
                <w:szCs w:val="21"/>
                <w:lang w:bidi="ar"/>
              </w:rPr>
              <w:t>通用项</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CF2E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09EB5">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53E19">
            <w:pPr>
              <w:jc w:val="center"/>
              <w:rPr>
                <w:rFonts w:hint="eastAsia" w:cs="宋体"/>
                <w:sz w:val="21"/>
                <w:szCs w:val="21"/>
              </w:rPr>
            </w:pPr>
          </w:p>
        </w:tc>
      </w:tr>
      <w:tr w14:paraId="49350FE5">
        <w:tblPrEx>
          <w:tblCellMar>
            <w:top w:w="0" w:type="dxa"/>
            <w:left w:w="108" w:type="dxa"/>
            <w:bottom w:w="0" w:type="dxa"/>
            <w:right w:w="108" w:type="dxa"/>
          </w:tblCellMar>
        </w:tblPrEx>
        <w:trPr>
          <w:trHeight w:val="508"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50519">
            <w:pPr>
              <w:jc w:val="center"/>
              <w:textAlignment w:val="center"/>
              <w:rPr>
                <w:rFonts w:hint="eastAsia" w:cs="宋体"/>
                <w:kern w:val="0"/>
                <w:sz w:val="21"/>
                <w:szCs w:val="21"/>
                <w:lang w:bidi="ar"/>
              </w:rPr>
            </w:pPr>
            <w:r>
              <w:rPr>
                <w:rFonts w:hint="eastAsia" w:cs="宋体"/>
                <w:kern w:val="0"/>
                <w:sz w:val="21"/>
                <w:szCs w:val="21"/>
                <w:lang w:bidi="ar"/>
              </w:rPr>
              <w:t>6.2.2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1474E">
            <w:pPr>
              <w:adjustRightInd w:val="0"/>
              <w:snapToGrid w:val="0"/>
              <w:spacing w:line="216" w:lineRule="auto"/>
              <w:jc w:val="left"/>
              <w:textAlignment w:val="center"/>
              <w:rPr>
                <w:rFonts w:hint="eastAsia" w:cs="宋体"/>
                <w:kern w:val="0"/>
                <w:sz w:val="21"/>
                <w:szCs w:val="21"/>
                <w:lang w:bidi="ar"/>
              </w:rPr>
            </w:pPr>
            <w:r>
              <w:rPr>
                <w:rFonts w:hint="eastAsia" w:cs="宋体"/>
                <w:kern w:val="0"/>
                <w:sz w:val="21"/>
                <w:szCs w:val="21"/>
                <w:lang w:bidi="ar"/>
              </w:rPr>
              <w:t>生态环境保护与施工现场安全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95027">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4D9AF">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FEF88">
            <w:pPr>
              <w:jc w:val="center"/>
              <w:rPr>
                <w:rFonts w:hint="eastAsia" w:cs="宋体"/>
                <w:sz w:val="21"/>
                <w:szCs w:val="21"/>
              </w:rPr>
            </w:pPr>
          </w:p>
        </w:tc>
      </w:tr>
      <w:tr w14:paraId="1C181FCC">
        <w:trPr>
          <w:trHeight w:val="508"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F95B7">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F58EF">
            <w:pPr>
              <w:adjustRightInd w:val="0"/>
              <w:snapToGrid w:val="0"/>
              <w:spacing w:line="216" w:lineRule="auto"/>
              <w:jc w:val="left"/>
              <w:textAlignment w:val="center"/>
              <w:rPr>
                <w:rFonts w:hint="eastAsia" w:cs="宋体"/>
                <w:kern w:val="0"/>
                <w:sz w:val="21"/>
                <w:szCs w:val="21"/>
                <w:lang w:bidi="ar"/>
              </w:rPr>
            </w:pPr>
            <w:r>
              <w:rPr>
                <w:rFonts w:hint="eastAsia" w:cs="宋体"/>
                <w:kern w:val="0"/>
                <w:sz w:val="21"/>
                <w:szCs w:val="21"/>
                <w:lang w:bidi="ar"/>
              </w:rPr>
              <w:t>对环境因素和危险源进行识别与评价，制定针对性的应急预案、管理方案、管理措施。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39F4B">
            <w:pPr>
              <w:jc w:val="left"/>
              <w:rPr>
                <w:rFonts w:hint="eastAsia" w:cs="宋体"/>
                <w:sz w:val="21"/>
                <w:szCs w:val="21"/>
              </w:rPr>
            </w:pPr>
            <w:r>
              <w:rPr>
                <w:rFonts w:hint="eastAsia" w:cs="宋体"/>
                <w:kern w:val="0"/>
                <w:sz w:val="21"/>
                <w:szCs w:val="21"/>
                <w:lang w:bidi="ar"/>
              </w:rPr>
              <w:t>无环境因素和危险源识别与评价，或识别与评价内容与实际不符，扣0.5分；缺少应急预案、管理方案、管理措施等，或缺乏针对性，扣0.5分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2CB40">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C2946">
            <w:pPr>
              <w:jc w:val="center"/>
              <w:rPr>
                <w:rFonts w:hint="eastAsia" w:cs="宋体"/>
                <w:sz w:val="21"/>
                <w:szCs w:val="21"/>
              </w:rPr>
            </w:pPr>
          </w:p>
        </w:tc>
      </w:tr>
      <w:tr w14:paraId="6F4C0B88">
        <w:tblPrEx>
          <w:tblCellMar>
            <w:top w:w="0" w:type="dxa"/>
            <w:left w:w="108" w:type="dxa"/>
            <w:bottom w:w="0" w:type="dxa"/>
            <w:right w:w="108" w:type="dxa"/>
          </w:tblCellMar>
        </w:tblPrEx>
        <w:trPr>
          <w:trHeight w:val="467"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8A5E2">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0AD19">
            <w:pPr>
              <w:jc w:val="left"/>
              <w:textAlignment w:val="center"/>
              <w:rPr>
                <w:rFonts w:hint="eastAsia" w:cs="宋体"/>
                <w:kern w:val="0"/>
                <w:sz w:val="21"/>
                <w:szCs w:val="21"/>
                <w:lang w:bidi="ar"/>
              </w:rPr>
            </w:pPr>
            <w:r>
              <w:rPr>
                <w:rFonts w:hint="eastAsia" w:cs="宋体"/>
                <w:kern w:val="0"/>
                <w:sz w:val="21"/>
                <w:szCs w:val="21"/>
                <w:lang w:bidi="ar"/>
              </w:rPr>
              <w:t>安全生产标准化建设应满足《企业安全生产标准化基本规范》GB/T 33000的要求，实现安全健康管理系统化、岗位操作行为规范化、设备设施本质安全化、作业环境器具定置化，并持续改进。</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D8015">
            <w:pPr>
              <w:jc w:val="left"/>
              <w:rPr>
                <w:rFonts w:hint="eastAsia" w:cs="宋体"/>
                <w:sz w:val="21"/>
                <w:szCs w:val="21"/>
              </w:rPr>
            </w:pPr>
            <w:r>
              <w:rPr>
                <w:rFonts w:hint="eastAsia" w:cs="宋体"/>
                <w:kern w:val="0"/>
                <w:sz w:val="21"/>
                <w:szCs w:val="21"/>
                <w:lang w:bidi="ar"/>
              </w:rPr>
              <w:t>根据现场安全生产标准化建设情况酌情得分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783F7">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E6882">
            <w:pPr>
              <w:jc w:val="center"/>
              <w:rPr>
                <w:rFonts w:hint="eastAsia" w:cs="宋体"/>
                <w:sz w:val="21"/>
                <w:szCs w:val="21"/>
              </w:rPr>
            </w:pPr>
          </w:p>
        </w:tc>
      </w:tr>
      <w:tr w14:paraId="06BD0AC4">
        <w:tblPrEx>
          <w:tblCellMar>
            <w:top w:w="0" w:type="dxa"/>
            <w:left w:w="108" w:type="dxa"/>
            <w:bottom w:w="0" w:type="dxa"/>
            <w:right w:w="108" w:type="dxa"/>
          </w:tblCellMar>
        </w:tblPrEx>
        <w:trPr>
          <w:trHeight w:val="467"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3451C">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F21CF">
            <w:pPr>
              <w:jc w:val="left"/>
              <w:textAlignment w:val="center"/>
              <w:rPr>
                <w:rFonts w:hint="eastAsia" w:cs="宋体"/>
                <w:kern w:val="0"/>
                <w:sz w:val="21"/>
                <w:szCs w:val="21"/>
                <w:lang w:bidi="ar"/>
              </w:rPr>
            </w:pPr>
            <w:r>
              <w:rPr>
                <w:rFonts w:hint="eastAsia" w:cs="宋体"/>
                <w:kern w:val="0"/>
                <w:sz w:val="21"/>
                <w:szCs w:val="21"/>
                <w:lang w:bidi="ar"/>
              </w:rPr>
              <w:t>施工现场安全文明责任区应划分明确、职责清晰，施工现场整洁有序。</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0C57C">
            <w:pPr>
              <w:jc w:val="left"/>
              <w:rPr>
                <w:rFonts w:hint="eastAsia" w:cs="宋体"/>
                <w:sz w:val="21"/>
                <w:szCs w:val="21"/>
              </w:rPr>
            </w:pPr>
            <w:r>
              <w:rPr>
                <w:rFonts w:hint="eastAsia" w:cs="宋体"/>
                <w:kern w:val="0"/>
                <w:sz w:val="21"/>
                <w:szCs w:val="21"/>
                <w:lang w:bidi="ar"/>
              </w:rPr>
              <w:t>安全文明责任区划分不明确、职责不清晰，扣0.5分；施工现场不能满足整洁有序，扣0.5分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5043B">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031A3">
            <w:pPr>
              <w:jc w:val="center"/>
              <w:rPr>
                <w:rFonts w:hint="eastAsia" w:cs="宋体"/>
                <w:sz w:val="21"/>
                <w:szCs w:val="21"/>
              </w:rPr>
            </w:pPr>
          </w:p>
        </w:tc>
      </w:tr>
      <w:tr w14:paraId="69CE4A75">
        <w:tblPrEx>
          <w:tblCellMar>
            <w:top w:w="0" w:type="dxa"/>
            <w:left w:w="108" w:type="dxa"/>
            <w:bottom w:w="0" w:type="dxa"/>
            <w:right w:w="108" w:type="dxa"/>
          </w:tblCellMar>
        </w:tblPrEx>
        <w:trPr>
          <w:trHeight w:val="50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2BECC">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E576D">
            <w:pPr>
              <w:jc w:val="left"/>
              <w:textAlignment w:val="center"/>
              <w:rPr>
                <w:rFonts w:hint="eastAsia" w:cs="宋体"/>
                <w:kern w:val="0"/>
                <w:sz w:val="21"/>
                <w:szCs w:val="21"/>
                <w:lang w:bidi="ar"/>
              </w:rPr>
            </w:pPr>
            <w:r>
              <w:rPr>
                <w:rFonts w:hint="eastAsia" w:cs="宋体"/>
                <w:kern w:val="0"/>
                <w:sz w:val="21"/>
                <w:szCs w:val="21"/>
                <w:lang w:bidi="ar"/>
              </w:rPr>
              <w:t>施工现场应设置齐全、醒目的安全及环境保护的标识标志。</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CB6BB">
            <w:pPr>
              <w:jc w:val="left"/>
              <w:rPr>
                <w:rFonts w:hint="eastAsia" w:cs="宋体"/>
                <w:sz w:val="21"/>
                <w:szCs w:val="21"/>
              </w:rPr>
            </w:pPr>
            <w:r>
              <w:rPr>
                <w:rFonts w:hint="eastAsia" w:cs="宋体"/>
                <w:kern w:val="0"/>
                <w:sz w:val="21"/>
                <w:szCs w:val="21"/>
                <w:lang w:bidi="ar"/>
              </w:rPr>
              <w:t>安全及环境保护标识标志未设置，或设置不齐全、不醒目，扣0.5分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AFE5F">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D6592">
            <w:pPr>
              <w:jc w:val="center"/>
              <w:rPr>
                <w:rFonts w:hint="eastAsia" w:cs="宋体"/>
                <w:sz w:val="21"/>
                <w:szCs w:val="21"/>
              </w:rPr>
            </w:pPr>
          </w:p>
        </w:tc>
      </w:tr>
      <w:tr w14:paraId="22609C55">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B6217">
            <w:pPr>
              <w:jc w:val="center"/>
              <w:textAlignment w:val="center"/>
              <w:rPr>
                <w:rFonts w:hint="eastAsia" w:cs="宋体"/>
                <w:kern w:val="0"/>
                <w:sz w:val="21"/>
                <w:szCs w:val="21"/>
                <w:lang w:bidi="ar"/>
              </w:rPr>
            </w:pPr>
            <w:r>
              <w:rPr>
                <w:rFonts w:hint="eastAsia" w:cs="宋体"/>
                <w:kern w:val="0"/>
                <w:sz w:val="21"/>
                <w:szCs w:val="21"/>
                <w:lang w:bidi="ar"/>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EE24D">
            <w:pPr>
              <w:jc w:val="left"/>
              <w:textAlignment w:val="center"/>
              <w:rPr>
                <w:rFonts w:hint="eastAsia" w:cs="宋体"/>
                <w:kern w:val="0"/>
                <w:sz w:val="21"/>
                <w:szCs w:val="21"/>
                <w:lang w:bidi="ar"/>
              </w:rPr>
            </w:pPr>
            <w:r>
              <w:rPr>
                <w:rFonts w:hint="eastAsia" w:cs="宋体"/>
                <w:kern w:val="0"/>
                <w:sz w:val="21"/>
                <w:szCs w:val="21"/>
                <w:lang w:bidi="ar"/>
              </w:rPr>
              <w:t>危险品、废品及化学品管理应符合《危险化学品安全管理条例》国务院第591号令的要求。</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C648F">
            <w:pPr>
              <w:jc w:val="left"/>
              <w:rPr>
                <w:rFonts w:hint="eastAsia" w:cs="宋体"/>
                <w:sz w:val="21"/>
                <w:szCs w:val="21"/>
              </w:rPr>
            </w:pPr>
            <w:r>
              <w:rPr>
                <w:rFonts w:hint="eastAsia" w:cs="宋体"/>
                <w:kern w:val="0"/>
                <w:sz w:val="21"/>
                <w:szCs w:val="21"/>
                <w:lang w:bidi="ar"/>
              </w:rPr>
              <w:t>危险品、废品及化学品管理有违反条令的情况，扣0.5分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AB1D2">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48009">
            <w:pPr>
              <w:jc w:val="center"/>
              <w:rPr>
                <w:rFonts w:hint="eastAsia" w:cs="宋体"/>
                <w:sz w:val="21"/>
                <w:szCs w:val="21"/>
              </w:rPr>
            </w:pPr>
          </w:p>
        </w:tc>
      </w:tr>
      <w:tr w14:paraId="3F45D11E">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A3228">
            <w:pPr>
              <w:jc w:val="center"/>
              <w:textAlignment w:val="center"/>
              <w:rPr>
                <w:rFonts w:hint="eastAsia" w:cs="宋体"/>
                <w:kern w:val="0"/>
                <w:sz w:val="21"/>
                <w:szCs w:val="21"/>
                <w:lang w:bidi="ar"/>
              </w:rPr>
            </w:pPr>
            <w:r>
              <w:rPr>
                <w:sz w:val="21"/>
                <w:szCs w:val="21"/>
              </w:rPr>
              <w:t>6.2.</w:t>
            </w:r>
            <w:r>
              <w:rPr>
                <w:rFonts w:hint="eastAsia"/>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31B18">
            <w:pPr>
              <w:jc w:val="left"/>
              <w:textAlignment w:val="center"/>
              <w:rPr>
                <w:rFonts w:hint="eastAsia" w:cs="宋体"/>
                <w:kern w:val="0"/>
                <w:sz w:val="21"/>
                <w:szCs w:val="21"/>
                <w:lang w:bidi="ar"/>
              </w:rPr>
            </w:pPr>
            <w:r>
              <w:rPr>
                <w:sz w:val="21"/>
                <w:szCs w:val="21"/>
              </w:rPr>
              <w:t>扬尘控制</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35D96">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9EC54">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C2C22">
            <w:pPr>
              <w:jc w:val="center"/>
              <w:rPr>
                <w:rFonts w:hint="eastAsia" w:cs="宋体"/>
                <w:sz w:val="21"/>
                <w:szCs w:val="21"/>
              </w:rPr>
            </w:pPr>
          </w:p>
        </w:tc>
      </w:tr>
      <w:tr w14:paraId="0D36318A">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451A7">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D57C6">
            <w:pPr>
              <w:jc w:val="left"/>
              <w:textAlignment w:val="center"/>
              <w:rPr>
                <w:rFonts w:hint="eastAsia" w:cs="宋体"/>
                <w:kern w:val="0"/>
                <w:sz w:val="21"/>
                <w:szCs w:val="21"/>
                <w:lang w:bidi="ar"/>
              </w:rPr>
            </w:pPr>
            <w:r>
              <w:rPr>
                <w:rFonts w:hint="eastAsia"/>
                <w:sz w:val="21"/>
                <w:szCs w:val="21"/>
              </w:rPr>
              <w:t>施工现场应安装空气质量监测设备，施工期间连续监测扬尘数值，采取有效抑尘措施，PM2.5、PM10监测值不超过当地生态环境部门公布值。</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56CD142E">
            <w:pPr>
              <w:jc w:val="left"/>
              <w:rPr>
                <w:rFonts w:hint="eastAsia"/>
                <w:sz w:val="21"/>
                <w:szCs w:val="21"/>
              </w:rPr>
            </w:pPr>
            <w:r>
              <w:rPr>
                <w:rFonts w:hint="eastAsia"/>
                <w:sz w:val="21"/>
                <w:szCs w:val="21"/>
              </w:rPr>
              <w:t>每项子目实得分根据现场实际情况按照标准分乘以相应系数进行评分：</w:t>
            </w:r>
          </w:p>
          <w:p w14:paraId="148C0CF8">
            <w:pPr>
              <w:jc w:val="left"/>
              <w:rPr>
                <w:rFonts w:hint="eastAsia"/>
                <w:sz w:val="21"/>
                <w:szCs w:val="21"/>
              </w:rPr>
            </w:pPr>
            <w:r>
              <w:rPr>
                <w:rFonts w:hint="eastAsia"/>
                <w:sz w:val="21"/>
                <w:szCs w:val="21"/>
              </w:rPr>
              <w:t>1、措施到位，满足评价指标要求系数为1；</w:t>
            </w:r>
          </w:p>
          <w:p w14:paraId="5BDA3AEB">
            <w:pPr>
              <w:jc w:val="left"/>
              <w:rPr>
                <w:rFonts w:hint="eastAsia" w:cs="宋体"/>
                <w:sz w:val="21"/>
                <w:szCs w:val="21"/>
              </w:rPr>
            </w:pPr>
            <w:r>
              <w:rPr>
                <w:rFonts w:hint="eastAsia"/>
                <w:sz w:val="21"/>
                <w:szCs w:val="21"/>
              </w:rPr>
              <w:t>2、措施到位，基本满足评价指标要求系数按照0.5~0.9酌情选取；</w:t>
            </w:r>
          </w:p>
          <w:p w14:paraId="5E132562">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DFC8A">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E0F1A">
            <w:pPr>
              <w:jc w:val="center"/>
              <w:rPr>
                <w:rFonts w:hint="eastAsia" w:cs="宋体"/>
                <w:sz w:val="21"/>
                <w:szCs w:val="21"/>
              </w:rPr>
            </w:pPr>
          </w:p>
        </w:tc>
      </w:tr>
      <w:tr w14:paraId="7F631007">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72D7B">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8CA48">
            <w:pPr>
              <w:jc w:val="left"/>
              <w:textAlignment w:val="center"/>
              <w:rPr>
                <w:rFonts w:hint="eastAsia" w:cs="宋体"/>
                <w:kern w:val="0"/>
                <w:sz w:val="21"/>
                <w:szCs w:val="21"/>
                <w:lang w:bidi="ar"/>
              </w:rPr>
            </w:pPr>
            <w:r>
              <w:rPr>
                <w:rFonts w:hint="eastAsia"/>
                <w:sz w:val="21"/>
                <w:szCs w:val="21"/>
              </w:rPr>
              <w:t>施工现场的道路和材料加工区采取</w:t>
            </w:r>
            <w:r>
              <w:rPr>
                <w:sz w:val="21"/>
                <w:szCs w:val="21"/>
              </w:rPr>
              <w:t>混凝土硬化、铺砖</w:t>
            </w:r>
            <w:r>
              <w:rPr>
                <w:rFonts w:hint="eastAsia"/>
                <w:sz w:val="21"/>
                <w:szCs w:val="21"/>
              </w:rPr>
              <w:t>、</w:t>
            </w:r>
            <w:r>
              <w:rPr>
                <w:sz w:val="21"/>
                <w:szCs w:val="21"/>
              </w:rPr>
              <w:t>铺设碎石或炉渣垫层</w:t>
            </w:r>
            <w:r>
              <w:rPr>
                <w:rFonts w:hint="eastAsia"/>
                <w:sz w:val="21"/>
                <w:szCs w:val="21"/>
              </w:rPr>
              <w:t>等措施</w:t>
            </w:r>
            <w:r>
              <w:rPr>
                <w:sz w:val="21"/>
                <w:szCs w:val="21"/>
              </w:rPr>
              <w:t>，保证现场地面平整</w:t>
            </w:r>
            <w:r>
              <w:rPr>
                <w:rFonts w:hint="eastAsia"/>
                <w:sz w:val="21"/>
                <w:szCs w:val="21"/>
              </w:rPr>
              <w:t>、</w:t>
            </w:r>
            <w:r>
              <w:rPr>
                <w:sz w:val="21"/>
                <w:szCs w:val="21"/>
              </w:rPr>
              <w:t>坚实</w:t>
            </w:r>
            <w:r>
              <w:rPr>
                <w:rFonts w:hint="eastAsia"/>
                <w:sz w:val="21"/>
                <w:szCs w:val="21"/>
              </w:rPr>
              <w:t>，减少</w:t>
            </w:r>
            <w:r>
              <w:rPr>
                <w:sz w:val="21"/>
                <w:szCs w:val="21"/>
              </w:rPr>
              <w:t>浮土</w:t>
            </w:r>
            <w:r>
              <w:rPr>
                <w:rFonts w:hint="eastAsia"/>
                <w:sz w:val="21"/>
                <w:szCs w:val="21"/>
              </w:rPr>
              <w:t>扬尘</w:t>
            </w:r>
            <w:r>
              <w:rPr>
                <w:sz w:val="21"/>
                <w:szCs w:val="21"/>
              </w:rPr>
              <w:t>。</w:t>
            </w:r>
          </w:p>
        </w:tc>
        <w:tc>
          <w:tcPr>
            <w:tcW w:w="4111" w:type="dxa"/>
            <w:vMerge w:val="continue"/>
            <w:tcBorders>
              <w:left w:val="single" w:color="000000" w:sz="4" w:space="0"/>
              <w:right w:val="single" w:color="000000" w:sz="4" w:space="0"/>
            </w:tcBorders>
            <w:shd w:val="clear" w:color="auto" w:fill="auto"/>
            <w:vAlign w:val="center"/>
          </w:tcPr>
          <w:p w14:paraId="2CB51D1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9317A">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BEB6A">
            <w:pPr>
              <w:jc w:val="center"/>
              <w:rPr>
                <w:rFonts w:hint="eastAsia" w:cs="宋体"/>
                <w:sz w:val="21"/>
                <w:szCs w:val="21"/>
              </w:rPr>
            </w:pPr>
          </w:p>
        </w:tc>
      </w:tr>
      <w:tr w14:paraId="315983FC">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AEA89">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44557">
            <w:pPr>
              <w:jc w:val="left"/>
              <w:textAlignment w:val="center"/>
              <w:rPr>
                <w:rFonts w:hint="eastAsia" w:cs="宋体"/>
                <w:kern w:val="0"/>
                <w:sz w:val="21"/>
                <w:szCs w:val="21"/>
                <w:lang w:bidi="ar"/>
              </w:rPr>
            </w:pPr>
            <w:r>
              <w:rPr>
                <w:rFonts w:hint="eastAsia"/>
                <w:sz w:val="21"/>
                <w:szCs w:val="21"/>
              </w:rPr>
              <w:t>易产生扬尘的作业应采取防尘、抑尘及降尘措施。</w:t>
            </w:r>
          </w:p>
        </w:tc>
        <w:tc>
          <w:tcPr>
            <w:tcW w:w="4111" w:type="dxa"/>
            <w:vMerge w:val="continue"/>
            <w:tcBorders>
              <w:left w:val="single" w:color="000000" w:sz="4" w:space="0"/>
              <w:right w:val="single" w:color="000000" w:sz="4" w:space="0"/>
            </w:tcBorders>
            <w:shd w:val="clear" w:color="auto" w:fill="auto"/>
            <w:vAlign w:val="center"/>
          </w:tcPr>
          <w:p w14:paraId="04D4DD98">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5D287">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A7BBC">
            <w:pPr>
              <w:jc w:val="center"/>
              <w:rPr>
                <w:rFonts w:hint="eastAsia" w:cs="宋体"/>
                <w:sz w:val="21"/>
                <w:szCs w:val="21"/>
              </w:rPr>
            </w:pPr>
          </w:p>
        </w:tc>
      </w:tr>
      <w:tr w14:paraId="7AC4C356">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92639">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C4415">
            <w:pPr>
              <w:jc w:val="left"/>
              <w:textAlignment w:val="center"/>
              <w:rPr>
                <w:rFonts w:hint="eastAsia" w:cs="宋体"/>
                <w:kern w:val="0"/>
                <w:sz w:val="21"/>
                <w:szCs w:val="21"/>
                <w:lang w:bidi="ar"/>
              </w:rPr>
            </w:pPr>
            <w:r>
              <w:rPr>
                <w:rFonts w:hint="eastAsia"/>
                <w:sz w:val="21"/>
                <w:szCs w:val="21"/>
              </w:rPr>
              <w:t>施工现场</w:t>
            </w:r>
            <w:r>
              <w:rPr>
                <w:sz w:val="21"/>
                <w:szCs w:val="21"/>
              </w:rPr>
              <w:t>长时间闲置的裸露</w:t>
            </w:r>
            <w:r>
              <w:rPr>
                <w:rFonts w:hint="eastAsia"/>
                <w:sz w:val="21"/>
                <w:szCs w:val="21"/>
              </w:rPr>
              <w:t>区域</w:t>
            </w:r>
            <w:r>
              <w:rPr>
                <w:sz w:val="21"/>
                <w:szCs w:val="21"/>
              </w:rPr>
              <w:t>，</w:t>
            </w:r>
            <w:r>
              <w:rPr>
                <w:rFonts w:hint="eastAsia"/>
                <w:sz w:val="21"/>
                <w:szCs w:val="21"/>
              </w:rPr>
              <w:t>采取</w:t>
            </w:r>
            <w:r>
              <w:rPr>
                <w:sz w:val="21"/>
                <w:szCs w:val="21"/>
              </w:rPr>
              <w:t>覆盖密目网或临时绿化</w:t>
            </w:r>
            <w:r>
              <w:rPr>
                <w:rFonts w:hint="eastAsia"/>
                <w:sz w:val="21"/>
                <w:szCs w:val="21"/>
              </w:rPr>
              <w:t>、</w:t>
            </w:r>
            <w:r>
              <w:rPr>
                <w:sz w:val="21"/>
                <w:szCs w:val="21"/>
              </w:rPr>
              <w:t>铺贴透水植草砖</w:t>
            </w:r>
            <w:r>
              <w:rPr>
                <w:rFonts w:hint="eastAsia"/>
                <w:sz w:val="21"/>
                <w:szCs w:val="21"/>
              </w:rPr>
              <w:t>等措施。</w:t>
            </w:r>
          </w:p>
        </w:tc>
        <w:tc>
          <w:tcPr>
            <w:tcW w:w="4111" w:type="dxa"/>
            <w:vMerge w:val="continue"/>
            <w:tcBorders>
              <w:left w:val="single" w:color="000000" w:sz="4" w:space="0"/>
              <w:right w:val="single" w:color="000000" w:sz="4" w:space="0"/>
            </w:tcBorders>
            <w:shd w:val="clear" w:color="auto" w:fill="auto"/>
            <w:vAlign w:val="center"/>
          </w:tcPr>
          <w:p w14:paraId="5EBC9844">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A6337">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CE7C8">
            <w:pPr>
              <w:jc w:val="center"/>
              <w:rPr>
                <w:rFonts w:hint="eastAsia" w:cs="宋体"/>
                <w:sz w:val="21"/>
                <w:szCs w:val="21"/>
              </w:rPr>
            </w:pPr>
          </w:p>
        </w:tc>
      </w:tr>
      <w:tr w14:paraId="06DB197B">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6B8B8">
            <w:pPr>
              <w:jc w:val="center"/>
              <w:textAlignment w:val="center"/>
              <w:rPr>
                <w:rFonts w:hint="eastAsia" w:cs="宋体"/>
                <w:kern w:val="0"/>
                <w:sz w:val="21"/>
                <w:szCs w:val="21"/>
                <w:lang w:bidi="ar"/>
              </w:rPr>
            </w:pPr>
            <w:r>
              <w:rPr>
                <w:rFonts w:hint="eastAsia" w:cs="宋体"/>
                <w:kern w:val="0"/>
                <w:sz w:val="21"/>
                <w:szCs w:val="21"/>
                <w:lang w:bidi="ar"/>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95C0F">
            <w:pPr>
              <w:jc w:val="left"/>
              <w:textAlignment w:val="center"/>
              <w:rPr>
                <w:rFonts w:hint="eastAsia" w:cs="宋体"/>
                <w:kern w:val="0"/>
                <w:sz w:val="21"/>
                <w:szCs w:val="21"/>
                <w:lang w:bidi="ar"/>
              </w:rPr>
            </w:pPr>
            <w:r>
              <w:rPr>
                <w:rFonts w:hint="eastAsia"/>
                <w:sz w:val="21"/>
                <w:szCs w:val="21"/>
              </w:rPr>
              <w:t>施工现场使用散装水泥、干混砂浆等易飞扬和细颗粒材料应有密闭防尘措施，余料定期回收。</w:t>
            </w:r>
          </w:p>
        </w:tc>
        <w:tc>
          <w:tcPr>
            <w:tcW w:w="4111" w:type="dxa"/>
            <w:vMerge w:val="continue"/>
            <w:tcBorders>
              <w:left w:val="single" w:color="000000" w:sz="4" w:space="0"/>
              <w:right w:val="single" w:color="000000" w:sz="4" w:space="0"/>
            </w:tcBorders>
            <w:shd w:val="clear" w:color="auto" w:fill="auto"/>
            <w:vAlign w:val="center"/>
          </w:tcPr>
          <w:p w14:paraId="14FD96E6">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2BB50">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8CA06">
            <w:pPr>
              <w:jc w:val="center"/>
              <w:rPr>
                <w:rFonts w:hint="eastAsia" w:cs="宋体"/>
                <w:sz w:val="21"/>
                <w:szCs w:val="21"/>
              </w:rPr>
            </w:pPr>
          </w:p>
        </w:tc>
      </w:tr>
      <w:tr w14:paraId="3C3BB8FF">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D3A3C">
            <w:pPr>
              <w:jc w:val="center"/>
              <w:textAlignment w:val="center"/>
              <w:rPr>
                <w:rFonts w:hint="eastAsia" w:cs="宋体"/>
                <w:kern w:val="0"/>
                <w:sz w:val="21"/>
                <w:szCs w:val="21"/>
                <w:lang w:bidi="ar"/>
              </w:rPr>
            </w:pPr>
            <w:r>
              <w:rPr>
                <w:rFonts w:hint="eastAsia" w:cs="宋体"/>
                <w:kern w:val="0"/>
                <w:sz w:val="21"/>
                <w:szCs w:val="21"/>
                <w:lang w:bidi="ar"/>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FCC43">
            <w:pPr>
              <w:jc w:val="left"/>
              <w:textAlignment w:val="center"/>
              <w:rPr>
                <w:rFonts w:hint="eastAsia" w:cs="宋体"/>
                <w:kern w:val="0"/>
                <w:sz w:val="21"/>
                <w:szCs w:val="21"/>
                <w:lang w:bidi="ar"/>
              </w:rPr>
            </w:pPr>
            <w:r>
              <w:rPr>
                <w:rFonts w:hint="eastAsia"/>
                <w:sz w:val="21"/>
                <w:szCs w:val="21"/>
              </w:rPr>
              <w:t>现场车辆运输采取封闭及防污措施。</w:t>
            </w:r>
          </w:p>
        </w:tc>
        <w:tc>
          <w:tcPr>
            <w:tcW w:w="4111" w:type="dxa"/>
            <w:vMerge w:val="continue"/>
            <w:tcBorders>
              <w:left w:val="single" w:color="000000" w:sz="4" w:space="0"/>
              <w:right w:val="single" w:color="000000" w:sz="4" w:space="0"/>
            </w:tcBorders>
            <w:shd w:val="clear" w:color="auto" w:fill="auto"/>
            <w:vAlign w:val="center"/>
          </w:tcPr>
          <w:p w14:paraId="792C1694">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B2FB7">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25460">
            <w:pPr>
              <w:jc w:val="center"/>
              <w:rPr>
                <w:rFonts w:hint="eastAsia" w:cs="宋体"/>
                <w:sz w:val="21"/>
                <w:szCs w:val="21"/>
              </w:rPr>
            </w:pPr>
          </w:p>
        </w:tc>
      </w:tr>
      <w:tr w14:paraId="07F73A36">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4EB79">
            <w:pPr>
              <w:jc w:val="center"/>
              <w:textAlignment w:val="center"/>
              <w:rPr>
                <w:rFonts w:hint="eastAsia" w:cs="宋体"/>
                <w:kern w:val="0"/>
                <w:sz w:val="21"/>
                <w:szCs w:val="21"/>
                <w:lang w:bidi="ar"/>
              </w:rPr>
            </w:pPr>
            <w:r>
              <w:rPr>
                <w:rFonts w:hint="eastAsia" w:cs="宋体"/>
                <w:kern w:val="0"/>
                <w:sz w:val="21"/>
                <w:szCs w:val="21"/>
                <w:lang w:bidi="ar"/>
              </w:rPr>
              <w:t>7</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A5CD2">
            <w:pPr>
              <w:jc w:val="left"/>
              <w:textAlignment w:val="center"/>
              <w:rPr>
                <w:rFonts w:hint="eastAsia" w:cs="宋体"/>
                <w:kern w:val="0"/>
                <w:sz w:val="21"/>
                <w:szCs w:val="21"/>
                <w:lang w:bidi="ar"/>
              </w:rPr>
            </w:pPr>
            <w:r>
              <w:rPr>
                <w:rFonts w:hint="eastAsia"/>
                <w:sz w:val="21"/>
                <w:szCs w:val="21"/>
              </w:rPr>
              <w:t>现场易产生扬尘的建筑垃圾在存放、搬运过程中应有降尘措施。</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4907B24A">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F9E18">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0D70F">
            <w:pPr>
              <w:jc w:val="center"/>
              <w:rPr>
                <w:rFonts w:hint="eastAsia" w:cs="宋体"/>
                <w:sz w:val="21"/>
                <w:szCs w:val="21"/>
              </w:rPr>
            </w:pPr>
          </w:p>
        </w:tc>
      </w:tr>
      <w:tr w14:paraId="6B4C8FAC">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0E257">
            <w:pPr>
              <w:jc w:val="center"/>
              <w:textAlignment w:val="center"/>
              <w:rPr>
                <w:rFonts w:hint="eastAsia"/>
                <w:sz w:val="21"/>
                <w:szCs w:val="21"/>
              </w:rPr>
            </w:pPr>
            <w:r>
              <w:rPr>
                <w:sz w:val="21"/>
                <w:szCs w:val="21"/>
              </w:rPr>
              <w:t>6.2.</w:t>
            </w:r>
            <w:r>
              <w:rPr>
                <w:rFonts w:hint="eastAsia"/>
                <w:sz w:val="21"/>
                <w:szCs w:val="21"/>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7EA57">
            <w:pPr>
              <w:jc w:val="left"/>
              <w:textAlignment w:val="center"/>
              <w:rPr>
                <w:rFonts w:hint="eastAsia"/>
                <w:sz w:val="21"/>
                <w:szCs w:val="21"/>
              </w:rPr>
            </w:pPr>
            <w:r>
              <w:rPr>
                <w:sz w:val="21"/>
                <w:szCs w:val="21"/>
              </w:rPr>
              <w:t>水土污染控制</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5D111">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23B43">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85B1E">
            <w:pPr>
              <w:jc w:val="center"/>
              <w:rPr>
                <w:rFonts w:hint="eastAsia" w:cs="宋体"/>
                <w:sz w:val="21"/>
                <w:szCs w:val="21"/>
              </w:rPr>
            </w:pPr>
          </w:p>
        </w:tc>
      </w:tr>
      <w:tr w14:paraId="36A95A95">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0AA66">
            <w:pPr>
              <w:jc w:val="center"/>
              <w:textAlignment w:val="center"/>
              <w:rPr>
                <w:rFonts w:hint="eastAsia"/>
                <w:sz w:val="21"/>
                <w:szCs w:val="21"/>
              </w:rPr>
            </w:pPr>
            <w:r>
              <w:rPr>
                <w:rFonts w:hint="eastAsia"/>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60111">
            <w:pPr>
              <w:jc w:val="left"/>
              <w:textAlignment w:val="center"/>
              <w:rPr>
                <w:rFonts w:hint="eastAsia"/>
                <w:sz w:val="21"/>
                <w:szCs w:val="21"/>
              </w:rPr>
            </w:pPr>
            <w:r>
              <w:rPr>
                <w:rFonts w:hint="eastAsia"/>
                <w:sz w:val="21"/>
                <w:szCs w:val="21"/>
              </w:rPr>
              <w:t>施工现场污水排放应符合现行国家标准《污水综合排放标准》</w:t>
            </w:r>
            <w:r>
              <w:rPr>
                <w:sz w:val="21"/>
                <w:szCs w:val="21"/>
              </w:rPr>
              <w:t>GB</w:t>
            </w:r>
            <w:r>
              <w:rPr>
                <w:rFonts w:hint="eastAsia"/>
                <w:sz w:val="21"/>
                <w:szCs w:val="21"/>
              </w:rPr>
              <w:t xml:space="preserve"> </w:t>
            </w:r>
            <w:r>
              <w:rPr>
                <w:sz w:val="21"/>
                <w:szCs w:val="21"/>
              </w:rPr>
              <w:t>8978的要求。</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5A63C64F">
            <w:pPr>
              <w:jc w:val="left"/>
              <w:rPr>
                <w:rFonts w:hint="eastAsia"/>
                <w:sz w:val="21"/>
                <w:szCs w:val="21"/>
              </w:rPr>
            </w:pPr>
            <w:r>
              <w:rPr>
                <w:rFonts w:hint="eastAsia"/>
                <w:sz w:val="21"/>
                <w:szCs w:val="21"/>
              </w:rPr>
              <w:t>每项子目实得分根据现场实际情况按照标准分乘以相应系数进行评分：</w:t>
            </w:r>
          </w:p>
          <w:p w14:paraId="40BBBC6F">
            <w:pPr>
              <w:jc w:val="left"/>
              <w:rPr>
                <w:rFonts w:hint="eastAsia"/>
                <w:sz w:val="21"/>
                <w:szCs w:val="21"/>
              </w:rPr>
            </w:pPr>
            <w:r>
              <w:rPr>
                <w:rFonts w:hint="eastAsia"/>
                <w:sz w:val="21"/>
                <w:szCs w:val="21"/>
              </w:rPr>
              <w:t>1、措施到位，满足评价指标要求系数为1；</w:t>
            </w:r>
          </w:p>
          <w:p w14:paraId="7D38D233">
            <w:pPr>
              <w:jc w:val="left"/>
              <w:rPr>
                <w:rFonts w:hint="eastAsia" w:cs="宋体"/>
                <w:sz w:val="21"/>
                <w:szCs w:val="21"/>
              </w:rPr>
            </w:pPr>
            <w:r>
              <w:rPr>
                <w:rFonts w:hint="eastAsia"/>
                <w:sz w:val="21"/>
                <w:szCs w:val="21"/>
              </w:rPr>
              <w:t>2、措施到位，基本满足评价指标要求系数按照0.5~0.9酌情选取；</w:t>
            </w:r>
          </w:p>
          <w:p w14:paraId="07E4F39B">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22532">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9EF97">
            <w:pPr>
              <w:jc w:val="center"/>
              <w:rPr>
                <w:rFonts w:hint="eastAsia" w:cs="宋体"/>
                <w:sz w:val="21"/>
                <w:szCs w:val="21"/>
              </w:rPr>
            </w:pPr>
          </w:p>
        </w:tc>
      </w:tr>
      <w:tr w14:paraId="78E75931">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4E118">
            <w:pPr>
              <w:jc w:val="center"/>
              <w:textAlignment w:val="center"/>
              <w:rPr>
                <w:rFonts w:hint="eastAsia"/>
                <w:sz w:val="21"/>
                <w:szCs w:val="21"/>
              </w:rPr>
            </w:pPr>
            <w:r>
              <w:rPr>
                <w:rFonts w:hint="eastAsia"/>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C1CD3">
            <w:pPr>
              <w:jc w:val="left"/>
              <w:textAlignment w:val="center"/>
              <w:rPr>
                <w:rFonts w:hint="eastAsia"/>
                <w:sz w:val="21"/>
                <w:szCs w:val="21"/>
              </w:rPr>
            </w:pPr>
            <w:r>
              <w:rPr>
                <w:rFonts w:hint="eastAsia"/>
                <w:sz w:val="21"/>
                <w:szCs w:val="21"/>
              </w:rPr>
              <w:t>施工现场分区域设置污水控制设施：现场道路和材料堆放场周边设排水沟并保持畅通；搅拌站区域设置沉淀池；食堂设置沉淀池、隔油池；办公、生活区设置自动冲洗厕所，现场厕所设置化粪池，化粪池定期清理；</w:t>
            </w:r>
            <w:r>
              <w:rPr>
                <w:sz w:val="21"/>
                <w:szCs w:val="21"/>
              </w:rPr>
              <w:t>隔油池和化粪池做防渗处理，施工现场采用移动式厕所，定期清理。</w:t>
            </w:r>
          </w:p>
        </w:tc>
        <w:tc>
          <w:tcPr>
            <w:tcW w:w="4111" w:type="dxa"/>
            <w:vMerge w:val="continue"/>
            <w:tcBorders>
              <w:left w:val="single" w:color="000000" w:sz="4" w:space="0"/>
              <w:right w:val="single" w:color="000000" w:sz="4" w:space="0"/>
            </w:tcBorders>
            <w:shd w:val="clear" w:color="auto" w:fill="auto"/>
            <w:vAlign w:val="center"/>
          </w:tcPr>
          <w:p w14:paraId="452AB2F4">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00E7D">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88EB3">
            <w:pPr>
              <w:jc w:val="center"/>
              <w:rPr>
                <w:rFonts w:hint="eastAsia" w:cs="宋体"/>
                <w:sz w:val="21"/>
                <w:szCs w:val="21"/>
              </w:rPr>
            </w:pPr>
          </w:p>
        </w:tc>
      </w:tr>
      <w:tr w14:paraId="1B41B83B">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5A9DB">
            <w:pPr>
              <w:jc w:val="center"/>
              <w:textAlignment w:val="center"/>
              <w:rPr>
                <w:rFonts w:hint="eastAsia"/>
                <w:sz w:val="21"/>
                <w:szCs w:val="21"/>
              </w:rPr>
            </w:pPr>
            <w:r>
              <w:rPr>
                <w:rFonts w:hint="eastAsia"/>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2168B">
            <w:pPr>
              <w:jc w:val="left"/>
              <w:textAlignment w:val="center"/>
              <w:rPr>
                <w:rFonts w:hint="eastAsia"/>
                <w:sz w:val="21"/>
                <w:szCs w:val="21"/>
              </w:rPr>
            </w:pPr>
            <w:r>
              <w:rPr>
                <w:rFonts w:hint="eastAsia"/>
                <w:sz w:val="21"/>
                <w:szCs w:val="21"/>
              </w:rPr>
              <w:t>基坑降排水应采用动态管理措施，实时监测周边环境和地下水位，按需降水，需进行回灌施工时，对灌水进行处理，符合回灌要求的理化指标，减少对周边环境的影响。</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2907A020">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6A5FF">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AEE38">
            <w:pPr>
              <w:jc w:val="center"/>
              <w:rPr>
                <w:rFonts w:hint="eastAsia" w:cs="宋体"/>
                <w:sz w:val="21"/>
                <w:szCs w:val="21"/>
              </w:rPr>
            </w:pPr>
          </w:p>
        </w:tc>
      </w:tr>
      <w:tr w14:paraId="3E6F592D">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579C3">
            <w:pPr>
              <w:jc w:val="center"/>
              <w:textAlignment w:val="center"/>
              <w:rPr>
                <w:rFonts w:hint="eastAsia"/>
                <w:sz w:val="21"/>
                <w:szCs w:val="21"/>
              </w:rPr>
            </w:pPr>
            <w:r>
              <w:rPr>
                <w:sz w:val="21"/>
                <w:szCs w:val="21"/>
              </w:rPr>
              <w:t>6.2.</w:t>
            </w:r>
            <w:r>
              <w:rPr>
                <w:rFonts w:hint="eastAsia"/>
                <w:sz w:val="21"/>
                <w:szCs w:val="21"/>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D0EDF">
            <w:pPr>
              <w:jc w:val="left"/>
              <w:textAlignment w:val="center"/>
              <w:rPr>
                <w:rFonts w:hint="eastAsia"/>
                <w:sz w:val="21"/>
                <w:szCs w:val="21"/>
              </w:rPr>
            </w:pPr>
            <w:r>
              <w:rPr>
                <w:rFonts w:hint="eastAsia"/>
                <w:sz w:val="21"/>
                <w:szCs w:val="21"/>
              </w:rPr>
              <w:t>废气及有害气体排放控制</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06378">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4BFFF">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66578">
            <w:pPr>
              <w:jc w:val="center"/>
              <w:rPr>
                <w:rFonts w:hint="eastAsia" w:cs="宋体"/>
                <w:sz w:val="21"/>
                <w:szCs w:val="21"/>
              </w:rPr>
            </w:pPr>
          </w:p>
        </w:tc>
      </w:tr>
      <w:tr w14:paraId="18D371BB">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CF01C">
            <w:pPr>
              <w:jc w:val="center"/>
              <w:textAlignment w:val="center"/>
              <w:rPr>
                <w:rFonts w:hint="eastAsia"/>
                <w:sz w:val="21"/>
                <w:szCs w:val="21"/>
              </w:rPr>
            </w:pPr>
            <w:r>
              <w:rPr>
                <w:rFonts w:hint="eastAsia"/>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43710">
            <w:pPr>
              <w:jc w:val="left"/>
              <w:textAlignment w:val="center"/>
              <w:rPr>
                <w:rFonts w:hint="eastAsia"/>
                <w:sz w:val="21"/>
                <w:szCs w:val="21"/>
              </w:rPr>
            </w:pPr>
            <w:r>
              <w:rPr>
                <w:rFonts w:hint="eastAsia"/>
                <w:sz w:val="21"/>
                <w:szCs w:val="21"/>
              </w:rPr>
              <w:t>施工现场有害气体排放符合现行国家标准《大气污染物综合排放标准》</w:t>
            </w:r>
            <w:r>
              <w:rPr>
                <w:sz w:val="21"/>
                <w:szCs w:val="21"/>
              </w:rPr>
              <w:t xml:space="preserve">GB 16297 </w:t>
            </w:r>
            <w:r>
              <w:rPr>
                <w:rFonts w:hint="eastAsia"/>
                <w:sz w:val="21"/>
                <w:szCs w:val="21"/>
              </w:rPr>
              <w:t>的规定。</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68D1594C">
            <w:pPr>
              <w:jc w:val="left"/>
              <w:rPr>
                <w:rFonts w:hint="eastAsia"/>
                <w:sz w:val="21"/>
                <w:szCs w:val="21"/>
              </w:rPr>
            </w:pPr>
            <w:r>
              <w:rPr>
                <w:rFonts w:hint="eastAsia"/>
                <w:sz w:val="21"/>
                <w:szCs w:val="21"/>
              </w:rPr>
              <w:t>每项子目实得分根据现场实际情况按照标准分乘以相应系数进行评分：</w:t>
            </w:r>
          </w:p>
          <w:p w14:paraId="425B9572">
            <w:pPr>
              <w:jc w:val="left"/>
              <w:rPr>
                <w:rFonts w:hint="eastAsia"/>
                <w:sz w:val="21"/>
                <w:szCs w:val="21"/>
              </w:rPr>
            </w:pPr>
            <w:r>
              <w:rPr>
                <w:rFonts w:hint="eastAsia"/>
                <w:sz w:val="21"/>
                <w:szCs w:val="21"/>
              </w:rPr>
              <w:t>1、措施到位，满足评价指标要求系数为1；</w:t>
            </w:r>
          </w:p>
          <w:p w14:paraId="4E811247">
            <w:pPr>
              <w:jc w:val="left"/>
              <w:rPr>
                <w:rFonts w:hint="eastAsia" w:cs="宋体"/>
                <w:sz w:val="21"/>
                <w:szCs w:val="21"/>
              </w:rPr>
            </w:pPr>
            <w:r>
              <w:rPr>
                <w:rFonts w:hint="eastAsia"/>
                <w:sz w:val="21"/>
                <w:szCs w:val="21"/>
              </w:rPr>
              <w:t>2、措施到位，基本满足评价指标要求系数按照0.5~0.9酌情选取；</w:t>
            </w:r>
          </w:p>
          <w:p w14:paraId="48A6FBCB">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677F5">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4CA57">
            <w:pPr>
              <w:jc w:val="center"/>
              <w:rPr>
                <w:rFonts w:hint="eastAsia" w:cs="宋体"/>
                <w:sz w:val="21"/>
                <w:szCs w:val="21"/>
              </w:rPr>
            </w:pPr>
          </w:p>
        </w:tc>
      </w:tr>
      <w:tr w14:paraId="21436DC8">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ECBCF">
            <w:pPr>
              <w:jc w:val="center"/>
              <w:textAlignment w:val="center"/>
              <w:rPr>
                <w:rFonts w:hint="eastAsia"/>
                <w:sz w:val="21"/>
                <w:szCs w:val="21"/>
              </w:rPr>
            </w:pPr>
            <w:r>
              <w:rPr>
                <w:rFonts w:hint="eastAsia"/>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D7281">
            <w:pPr>
              <w:jc w:val="left"/>
              <w:textAlignment w:val="center"/>
              <w:rPr>
                <w:rFonts w:hint="eastAsia"/>
                <w:sz w:val="21"/>
                <w:szCs w:val="21"/>
              </w:rPr>
            </w:pPr>
            <w:r>
              <w:rPr>
                <w:rFonts w:hint="eastAsia"/>
                <w:sz w:val="21"/>
                <w:szCs w:val="21"/>
              </w:rPr>
              <w:t>入场车辆尾气排放符合国家年检要求；施工机械设备尾气排放符合当地政府要求。</w:t>
            </w:r>
          </w:p>
        </w:tc>
        <w:tc>
          <w:tcPr>
            <w:tcW w:w="4111" w:type="dxa"/>
            <w:vMerge w:val="continue"/>
            <w:tcBorders>
              <w:left w:val="single" w:color="000000" w:sz="4" w:space="0"/>
              <w:right w:val="single" w:color="000000" w:sz="4" w:space="0"/>
            </w:tcBorders>
            <w:shd w:val="clear" w:color="auto" w:fill="auto"/>
            <w:vAlign w:val="center"/>
          </w:tcPr>
          <w:p w14:paraId="6F3EA271">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AC941">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7945C">
            <w:pPr>
              <w:jc w:val="center"/>
              <w:rPr>
                <w:rFonts w:hint="eastAsia" w:cs="宋体"/>
                <w:sz w:val="21"/>
                <w:szCs w:val="21"/>
              </w:rPr>
            </w:pPr>
          </w:p>
        </w:tc>
      </w:tr>
      <w:tr w14:paraId="0D2ADB4E">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75BC3">
            <w:pPr>
              <w:jc w:val="center"/>
              <w:textAlignment w:val="center"/>
              <w:rPr>
                <w:rFonts w:hint="eastAsia"/>
                <w:sz w:val="21"/>
                <w:szCs w:val="21"/>
              </w:rPr>
            </w:pPr>
            <w:r>
              <w:rPr>
                <w:rFonts w:hint="eastAsia"/>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813F8">
            <w:pPr>
              <w:jc w:val="left"/>
              <w:textAlignment w:val="center"/>
              <w:rPr>
                <w:rFonts w:hint="eastAsia"/>
                <w:sz w:val="21"/>
                <w:szCs w:val="21"/>
              </w:rPr>
            </w:pPr>
            <w:r>
              <w:rPr>
                <w:rFonts w:hint="eastAsia"/>
                <w:sz w:val="21"/>
                <w:szCs w:val="21"/>
              </w:rPr>
              <w:t>项目部生活区厨房烟气排放采取净化措施。</w:t>
            </w:r>
          </w:p>
        </w:tc>
        <w:tc>
          <w:tcPr>
            <w:tcW w:w="4111" w:type="dxa"/>
            <w:vMerge w:val="continue"/>
            <w:tcBorders>
              <w:left w:val="single" w:color="000000" w:sz="4" w:space="0"/>
              <w:right w:val="single" w:color="000000" w:sz="4" w:space="0"/>
            </w:tcBorders>
            <w:shd w:val="clear" w:color="auto" w:fill="auto"/>
            <w:vAlign w:val="center"/>
          </w:tcPr>
          <w:p w14:paraId="0452D98E">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0C27F">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27EE4">
            <w:pPr>
              <w:jc w:val="center"/>
              <w:rPr>
                <w:rFonts w:hint="eastAsia" w:cs="宋体"/>
                <w:sz w:val="21"/>
                <w:szCs w:val="21"/>
              </w:rPr>
            </w:pPr>
          </w:p>
        </w:tc>
      </w:tr>
      <w:tr w14:paraId="3B2E1208">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BF728">
            <w:pPr>
              <w:jc w:val="center"/>
              <w:textAlignment w:val="center"/>
              <w:rPr>
                <w:rFonts w:hint="eastAsia"/>
                <w:sz w:val="21"/>
                <w:szCs w:val="21"/>
              </w:rPr>
            </w:pPr>
            <w:r>
              <w:rPr>
                <w:rFonts w:hint="eastAsia"/>
                <w:sz w:val="21"/>
                <w:szCs w:val="21"/>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59FBB">
            <w:pPr>
              <w:jc w:val="left"/>
              <w:textAlignment w:val="center"/>
              <w:rPr>
                <w:rFonts w:hint="eastAsia"/>
                <w:sz w:val="21"/>
                <w:szCs w:val="21"/>
              </w:rPr>
            </w:pPr>
            <w:r>
              <w:rPr>
                <w:rFonts w:hint="eastAsia"/>
                <w:sz w:val="21"/>
                <w:szCs w:val="21"/>
              </w:rPr>
              <w:t>施工现场进行喷漆、喷砂、除锈作业，应按照当地政府要求，采取有效措施。</w:t>
            </w:r>
          </w:p>
        </w:tc>
        <w:tc>
          <w:tcPr>
            <w:tcW w:w="4111" w:type="dxa"/>
            <w:vMerge w:val="continue"/>
            <w:tcBorders>
              <w:left w:val="single" w:color="000000" w:sz="4" w:space="0"/>
              <w:right w:val="single" w:color="000000" w:sz="4" w:space="0"/>
            </w:tcBorders>
            <w:shd w:val="clear" w:color="auto" w:fill="auto"/>
            <w:vAlign w:val="center"/>
          </w:tcPr>
          <w:p w14:paraId="5FBDBFD8">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5A580">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AE5C8">
            <w:pPr>
              <w:jc w:val="center"/>
              <w:rPr>
                <w:rFonts w:hint="eastAsia" w:cs="宋体"/>
                <w:sz w:val="21"/>
                <w:szCs w:val="21"/>
              </w:rPr>
            </w:pPr>
          </w:p>
        </w:tc>
      </w:tr>
      <w:tr w14:paraId="5789DA69">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697CB">
            <w:pPr>
              <w:jc w:val="center"/>
              <w:textAlignment w:val="center"/>
              <w:rPr>
                <w:rFonts w:hint="eastAsia"/>
                <w:sz w:val="21"/>
                <w:szCs w:val="21"/>
              </w:rPr>
            </w:pPr>
            <w:r>
              <w:rPr>
                <w:rFonts w:hint="eastAsia"/>
                <w:sz w:val="21"/>
                <w:szCs w:val="21"/>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A2D3F">
            <w:pPr>
              <w:jc w:val="left"/>
              <w:textAlignment w:val="center"/>
              <w:rPr>
                <w:rFonts w:hint="eastAsia"/>
                <w:sz w:val="21"/>
                <w:szCs w:val="21"/>
              </w:rPr>
            </w:pPr>
            <w:r>
              <w:rPr>
                <w:rFonts w:hint="eastAsia"/>
                <w:sz w:val="21"/>
                <w:szCs w:val="21"/>
              </w:rPr>
              <w:t>现场焊接烟尘应采取烟气收集净化措施。</w:t>
            </w:r>
          </w:p>
        </w:tc>
        <w:tc>
          <w:tcPr>
            <w:tcW w:w="4111" w:type="dxa"/>
            <w:vMerge w:val="continue"/>
            <w:tcBorders>
              <w:left w:val="single" w:color="000000" w:sz="4" w:space="0"/>
              <w:right w:val="single" w:color="000000" w:sz="4" w:space="0"/>
            </w:tcBorders>
            <w:shd w:val="clear" w:color="auto" w:fill="auto"/>
            <w:vAlign w:val="center"/>
          </w:tcPr>
          <w:p w14:paraId="3496B64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CC83F">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AE0AA">
            <w:pPr>
              <w:jc w:val="center"/>
              <w:rPr>
                <w:rFonts w:hint="eastAsia" w:cs="宋体"/>
                <w:sz w:val="21"/>
                <w:szCs w:val="21"/>
              </w:rPr>
            </w:pPr>
          </w:p>
        </w:tc>
      </w:tr>
      <w:tr w14:paraId="2917B4D8">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CC356">
            <w:pPr>
              <w:jc w:val="center"/>
              <w:textAlignment w:val="center"/>
              <w:rPr>
                <w:rFonts w:hint="eastAsia"/>
                <w:sz w:val="21"/>
                <w:szCs w:val="21"/>
              </w:rPr>
            </w:pPr>
            <w:r>
              <w:rPr>
                <w:rFonts w:hint="eastAsia"/>
                <w:sz w:val="21"/>
                <w:szCs w:val="21"/>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EA83C">
            <w:pPr>
              <w:jc w:val="left"/>
              <w:textAlignment w:val="center"/>
              <w:rPr>
                <w:rFonts w:hint="eastAsia"/>
                <w:sz w:val="21"/>
                <w:szCs w:val="21"/>
              </w:rPr>
            </w:pPr>
            <w:r>
              <w:rPr>
                <w:sz w:val="21"/>
                <w:szCs w:val="21"/>
              </w:rPr>
              <w:t>施工现场应设乙炔、氧气、油漆等危化品专用存放仓库或实施有效隔离，地面应做防渗处理，并与施工作业区、生产加工区、办公区、生活区、临时休息棚、值班棚保持安全距离，危险品存放处应设置明显的安全警示标志。</w:t>
            </w:r>
          </w:p>
        </w:tc>
        <w:tc>
          <w:tcPr>
            <w:tcW w:w="4111" w:type="dxa"/>
            <w:vMerge w:val="continue"/>
            <w:tcBorders>
              <w:left w:val="single" w:color="000000" w:sz="4" w:space="0"/>
              <w:right w:val="single" w:color="000000" w:sz="4" w:space="0"/>
            </w:tcBorders>
            <w:shd w:val="clear" w:color="auto" w:fill="auto"/>
            <w:vAlign w:val="center"/>
          </w:tcPr>
          <w:p w14:paraId="6DF8F882">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296F4">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5CEB4">
            <w:pPr>
              <w:jc w:val="center"/>
              <w:rPr>
                <w:rFonts w:hint="eastAsia" w:cs="宋体"/>
                <w:sz w:val="21"/>
                <w:szCs w:val="21"/>
              </w:rPr>
            </w:pPr>
          </w:p>
        </w:tc>
      </w:tr>
      <w:tr w14:paraId="6EA65CC2">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19A37">
            <w:pPr>
              <w:jc w:val="center"/>
              <w:textAlignment w:val="center"/>
              <w:rPr>
                <w:rFonts w:hint="eastAsia"/>
                <w:sz w:val="21"/>
                <w:szCs w:val="21"/>
              </w:rPr>
            </w:pPr>
            <w:r>
              <w:rPr>
                <w:rFonts w:hint="eastAsia"/>
                <w:sz w:val="21"/>
                <w:szCs w:val="21"/>
              </w:rPr>
              <w:t>7</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5D7FE">
            <w:pPr>
              <w:jc w:val="left"/>
              <w:textAlignment w:val="center"/>
              <w:rPr>
                <w:rFonts w:hint="eastAsia"/>
                <w:sz w:val="21"/>
                <w:szCs w:val="21"/>
              </w:rPr>
            </w:pPr>
            <w:r>
              <w:rPr>
                <w:rFonts w:hint="eastAsia"/>
                <w:sz w:val="21"/>
                <w:szCs w:val="21"/>
              </w:rPr>
              <w:t>对于化学品等有毒材料、油料的储存地，应有严格的隔水层设计，做好防渗漏及收集和处理工作。</w:t>
            </w:r>
          </w:p>
        </w:tc>
        <w:tc>
          <w:tcPr>
            <w:tcW w:w="4111" w:type="dxa"/>
            <w:vMerge w:val="continue"/>
            <w:tcBorders>
              <w:left w:val="single" w:color="000000" w:sz="4" w:space="0"/>
              <w:right w:val="single" w:color="000000" w:sz="4" w:space="0"/>
            </w:tcBorders>
            <w:shd w:val="clear" w:color="auto" w:fill="auto"/>
            <w:vAlign w:val="center"/>
          </w:tcPr>
          <w:p w14:paraId="3B3C04F7">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73B78">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125DD">
            <w:pPr>
              <w:jc w:val="center"/>
              <w:rPr>
                <w:rFonts w:hint="eastAsia" w:cs="宋体"/>
                <w:sz w:val="21"/>
                <w:szCs w:val="21"/>
              </w:rPr>
            </w:pPr>
          </w:p>
        </w:tc>
      </w:tr>
      <w:tr w14:paraId="02AA9A76">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177A2">
            <w:pPr>
              <w:jc w:val="center"/>
              <w:textAlignment w:val="center"/>
              <w:rPr>
                <w:rFonts w:hint="eastAsia"/>
                <w:sz w:val="21"/>
                <w:szCs w:val="21"/>
              </w:rPr>
            </w:pPr>
            <w:r>
              <w:rPr>
                <w:rFonts w:hint="eastAsia"/>
                <w:sz w:val="21"/>
                <w:szCs w:val="21"/>
              </w:rPr>
              <w:t>8</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7771E">
            <w:pPr>
              <w:jc w:val="left"/>
              <w:textAlignment w:val="center"/>
              <w:rPr>
                <w:rFonts w:hint="eastAsia"/>
                <w:sz w:val="21"/>
                <w:szCs w:val="21"/>
              </w:rPr>
            </w:pPr>
            <w:r>
              <w:rPr>
                <w:rFonts w:hint="eastAsia"/>
                <w:sz w:val="21"/>
                <w:szCs w:val="21"/>
              </w:rPr>
              <w:t>易挥发、易污染的液态材料，使用密闭容器存放。</w:t>
            </w:r>
          </w:p>
        </w:tc>
        <w:tc>
          <w:tcPr>
            <w:tcW w:w="4111" w:type="dxa"/>
            <w:vMerge w:val="continue"/>
            <w:tcBorders>
              <w:left w:val="single" w:color="000000" w:sz="4" w:space="0"/>
              <w:right w:val="single" w:color="000000" w:sz="4" w:space="0"/>
            </w:tcBorders>
            <w:shd w:val="clear" w:color="auto" w:fill="auto"/>
            <w:vAlign w:val="center"/>
          </w:tcPr>
          <w:p w14:paraId="06C177B8">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A7BB3">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86229">
            <w:pPr>
              <w:jc w:val="center"/>
              <w:rPr>
                <w:rFonts w:hint="eastAsia" w:cs="宋体"/>
                <w:sz w:val="21"/>
                <w:szCs w:val="21"/>
              </w:rPr>
            </w:pPr>
          </w:p>
        </w:tc>
      </w:tr>
      <w:tr w14:paraId="37A22468">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452FE">
            <w:pPr>
              <w:jc w:val="center"/>
              <w:textAlignment w:val="center"/>
              <w:rPr>
                <w:rFonts w:hint="eastAsia"/>
                <w:sz w:val="21"/>
                <w:szCs w:val="21"/>
              </w:rPr>
            </w:pPr>
            <w:r>
              <w:rPr>
                <w:rFonts w:hint="eastAsia"/>
                <w:sz w:val="21"/>
                <w:szCs w:val="21"/>
              </w:rPr>
              <w:t>9</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0C7F8">
            <w:pPr>
              <w:jc w:val="left"/>
              <w:textAlignment w:val="center"/>
              <w:rPr>
                <w:rFonts w:hint="eastAsia"/>
                <w:sz w:val="21"/>
                <w:szCs w:val="21"/>
              </w:rPr>
            </w:pPr>
            <w:r>
              <w:rPr>
                <w:rFonts w:hint="eastAsia"/>
                <w:sz w:val="21"/>
                <w:szCs w:val="21"/>
              </w:rPr>
              <w:t>蓄电池</w:t>
            </w:r>
            <w:r>
              <w:rPr>
                <w:sz w:val="21"/>
                <w:szCs w:val="21"/>
              </w:rPr>
              <w:t>安装应</w:t>
            </w:r>
            <w:r>
              <w:rPr>
                <w:rFonts w:hint="eastAsia"/>
                <w:sz w:val="21"/>
                <w:szCs w:val="21"/>
              </w:rPr>
              <w:t>采取防止</w:t>
            </w:r>
            <w:r>
              <w:rPr>
                <w:sz w:val="21"/>
                <w:szCs w:val="21"/>
              </w:rPr>
              <w:t>电池液泄漏</w:t>
            </w:r>
            <w:r>
              <w:rPr>
                <w:rFonts w:hint="eastAsia"/>
                <w:sz w:val="21"/>
                <w:szCs w:val="21"/>
              </w:rPr>
              <w:t>措施</w:t>
            </w:r>
            <w:r>
              <w:rPr>
                <w:sz w:val="21"/>
                <w:szCs w:val="21"/>
              </w:rPr>
              <w:t>。</w:t>
            </w:r>
          </w:p>
        </w:tc>
        <w:tc>
          <w:tcPr>
            <w:tcW w:w="4111" w:type="dxa"/>
            <w:vMerge w:val="continue"/>
            <w:tcBorders>
              <w:left w:val="single" w:color="000000" w:sz="4" w:space="0"/>
              <w:right w:val="single" w:color="000000" w:sz="4" w:space="0"/>
            </w:tcBorders>
            <w:shd w:val="clear" w:color="auto" w:fill="auto"/>
            <w:vAlign w:val="center"/>
          </w:tcPr>
          <w:p w14:paraId="29A462F1">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475F8">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E6A55">
            <w:pPr>
              <w:jc w:val="center"/>
              <w:rPr>
                <w:rFonts w:hint="eastAsia" w:cs="宋体"/>
                <w:sz w:val="21"/>
                <w:szCs w:val="21"/>
              </w:rPr>
            </w:pPr>
          </w:p>
        </w:tc>
      </w:tr>
      <w:tr w14:paraId="46FA0A50">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B8857">
            <w:pPr>
              <w:jc w:val="center"/>
              <w:textAlignment w:val="center"/>
              <w:rPr>
                <w:rFonts w:hint="eastAsia"/>
                <w:sz w:val="21"/>
                <w:szCs w:val="21"/>
              </w:rPr>
            </w:pPr>
            <w:r>
              <w:rPr>
                <w:rFonts w:hint="eastAsia"/>
                <w:sz w:val="21"/>
                <w:szCs w:val="21"/>
              </w:rPr>
              <w:t>10</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A5449">
            <w:pPr>
              <w:jc w:val="left"/>
              <w:textAlignment w:val="center"/>
              <w:rPr>
                <w:rFonts w:hint="eastAsia"/>
                <w:sz w:val="21"/>
                <w:szCs w:val="21"/>
              </w:rPr>
            </w:pPr>
            <w:r>
              <w:rPr>
                <w:rFonts w:hint="eastAsia"/>
                <w:sz w:val="21"/>
                <w:szCs w:val="21"/>
              </w:rPr>
              <w:t>室内配电装置</w:t>
            </w:r>
            <w:r>
              <w:rPr>
                <w:sz w:val="21"/>
                <w:szCs w:val="21"/>
              </w:rPr>
              <w:t>作业区域门窗孔洞应进行封堵，房间内清洁、通风良好，地面应安装气体监测报警装置。</w:t>
            </w:r>
          </w:p>
        </w:tc>
        <w:tc>
          <w:tcPr>
            <w:tcW w:w="4111" w:type="dxa"/>
            <w:vMerge w:val="continue"/>
            <w:tcBorders>
              <w:left w:val="single" w:color="000000" w:sz="4" w:space="0"/>
              <w:right w:val="single" w:color="000000" w:sz="4" w:space="0"/>
            </w:tcBorders>
            <w:shd w:val="clear" w:color="auto" w:fill="auto"/>
            <w:vAlign w:val="center"/>
          </w:tcPr>
          <w:p w14:paraId="11D056D4">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FC27C">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4BCC2">
            <w:pPr>
              <w:jc w:val="center"/>
              <w:rPr>
                <w:rFonts w:hint="eastAsia" w:cs="宋体"/>
                <w:sz w:val="21"/>
                <w:szCs w:val="21"/>
              </w:rPr>
            </w:pPr>
          </w:p>
        </w:tc>
      </w:tr>
      <w:tr w14:paraId="506A750B">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A6802">
            <w:pPr>
              <w:jc w:val="center"/>
              <w:textAlignment w:val="center"/>
              <w:rPr>
                <w:rFonts w:hint="eastAsia"/>
                <w:sz w:val="21"/>
                <w:szCs w:val="21"/>
              </w:rPr>
            </w:pPr>
            <w:r>
              <w:rPr>
                <w:rFonts w:hint="eastAsia"/>
                <w:sz w:val="21"/>
                <w:szCs w:val="21"/>
              </w:rPr>
              <w:t>11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4D4B7">
            <w:pPr>
              <w:jc w:val="left"/>
              <w:textAlignment w:val="center"/>
              <w:rPr>
                <w:rFonts w:hint="eastAsia"/>
                <w:sz w:val="21"/>
                <w:szCs w:val="21"/>
              </w:rPr>
            </w:pPr>
            <w:r>
              <w:rPr>
                <w:sz w:val="21"/>
                <w:szCs w:val="21"/>
              </w:rPr>
              <w:t>SF6</w:t>
            </w:r>
            <w:r>
              <w:rPr>
                <w:rFonts w:hint="eastAsia"/>
                <w:sz w:val="21"/>
                <w:szCs w:val="21"/>
              </w:rPr>
              <w:t>配电装置</w:t>
            </w:r>
            <w:r>
              <w:rPr>
                <w:sz w:val="21"/>
                <w:szCs w:val="21"/>
              </w:rPr>
              <w:t>应对设备气体管道采取防护措施，避免因管道受损致使SF6气体泄漏。</w:t>
            </w:r>
          </w:p>
        </w:tc>
        <w:tc>
          <w:tcPr>
            <w:tcW w:w="4111" w:type="dxa"/>
            <w:vMerge w:val="continue"/>
            <w:tcBorders>
              <w:left w:val="single" w:color="000000" w:sz="4" w:space="0"/>
              <w:right w:val="single" w:color="000000" w:sz="4" w:space="0"/>
            </w:tcBorders>
            <w:shd w:val="clear" w:color="auto" w:fill="auto"/>
            <w:vAlign w:val="center"/>
          </w:tcPr>
          <w:p w14:paraId="22014EF8">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F40E9">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9E2B1">
            <w:pPr>
              <w:jc w:val="center"/>
              <w:rPr>
                <w:rFonts w:hint="eastAsia" w:cs="宋体"/>
                <w:sz w:val="21"/>
                <w:szCs w:val="21"/>
              </w:rPr>
            </w:pPr>
          </w:p>
        </w:tc>
      </w:tr>
      <w:tr w14:paraId="7CA72B41">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9118C">
            <w:pPr>
              <w:jc w:val="center"/>
              <w:textAlignment w:val="center"/>
              <w:rPr>
                <w:rFonts w:hint="eastAsia"/>
                <w:sz w:val="21"/>
                <w:szCs w:val="21"/>
              </w:rPr>
            </w:pPr>
            <w:r>
              <w:rPr>
                <w:rFonts w:hint="eastAsia"/>
                <w:sz w:val="21"/>
                <w:szCs w:val="21"/>
              </w:rPr>
              <w:t>12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2E694">
            <w:pPr>
              <w:jc w:val="left"/>
              <w:textAlignment w:val="center"/>
              <w:rPr>
                <w:rFonts w:hint="eastAsia"/>
                <w:sz w:val="21"/>
                <w:szCs w:val="21"/>
              </w:rPr>
            </w:pPr>
            <w:r>
              <w:rPr>
                <w:rFonts w:hint="eastAsia"/>
                <w:sz w:val="21"/>
                <w:szCs w:val="21"/>
              </w:rPr>
              <w:t>抽真空、注气前，应对设备、气管、连接阀等进行检查，避免SF6气体泄漏。</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13147085">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D4D00">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FB2B1">
            <w:pPr>
              <w:jc w:val="center"/>
              <w:rPr>
                <w:rFonts w:hint="eastAsia" w:cs="宋体"/>
                <w:sz w:val="21"/>
                <w:szCs w:val="21"/>
              </w:rPr>
            </w:pPr>
          </w:p>
        </w:tc>
      </w:tr>
      <w:tr w14:paraId="55F2042D">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35FAA">
            <w:pPr>
              <w:jc w:val="center"/>
              <w:textAlignment w:val="center"/>
              <w:rPr>
                <w:rFonts w:hint="eastAsia"/>
                <w:sz w:val="21"/>
                <w:szCs w:val="21"/>
              </w:rPr>
            </w:pPr>
            <w:r>
              <w:rPr>
                <w:rFonts w:hint="eastAsia"/>
                <w:sz w:val="21"/>
                <w:szCs w:val="21"/>
              </w:rPr>
              <w:t>6.2.6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9CAC2">
            <w:pPr>
              <w:jc w:val="left"/>
              <w:textAlignment w:val="center"/>
              <w:rPr>
                <w:rFonts w:hint="eastAsia"/>
                <w:sz w:val="21"/>
                <w:szCs w:val="21"/>
              </w:rPr>
            </w:pPr>
            <w:r>
              <w:rPr>
                <w:rFonts w:hint="eastAsia" w:cs="宋体"/>
                <w:kern w:val="0"/>
                <w:sz w:val="21"/>
                <w:szCs w:val="21"/>
                <w:lang w:bidi="ar"/>
              </w:rPr>
              <w:t>光污染控制</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451A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EA547">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774A1">
            <w:pPr>
              <w:jc w:val="center"/>
              <w:rPr>
                <w:rFonts w:hint="eastAsia" w:cs="宋体"/>
                <w:sz w:val="21"/>
                <w:szCs w:val="21"/>
              </w:rPr>
            </w:pPr>
          </w:p>
        </w:tc>
      </w:tr>
      <w:tr w14:paraId="7AFCD719">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71B53">
            <w:pPr>
              <w:jc w:val="center"/>
              <w:textAlignment w:val="center"/>
              <w:rPr>
                <w:rFonts w:hint="eastAsia"/>
                <w:sz w:val="21"/>
                <w:szCs w:val="21"/>
              </w:rPr>
            </w:pPr>
            <w:r>
              <w:rPr>
                <w:rFonts w:hint="eastAsia"/>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01BFE">
            <w:pPr>
              <w:jc w:val="left"/>
              <w:textAlignment w:val="center"/>
              <w:rPr>
                <w:rFonts w:hint="eastAsia"/>
                <w:sz w:val="21"/>
                <w:szCs w:val="21"/>
              </w:rPr>
            </w:pPr>
            <w:r>
              <w:rPr>
                <w:rFonts w:hint="eastAsia"/>
                <w:sz w:val="21"/>
                <w:szCs w:val="21"/>
              </w:rPr>
              <w:t>避免或减少施工过程光污染，根据施工现场和周边环境情况，采取限时施工、遮光和全封闭等措施避免或减少施工过程中光污染。</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1F3E94C6">
            <w:pPr>
              <w:jc w:val="left"/>
              <w:rPr>
                <w:rFonts w:hint="eastAsia"/>
                <w:sz w:val="21"/>
                <w:szCs w:val="21"/>
              </w:rPr>
            </w:pPr>
            <w:r>
              <w:rPr>
                <w:rFonts w:hint="eastAsia"/>
                <w:sz w:val="21"/>
                <w:szCs w:val="21"/>
              </w:rPr>
              <w:t>每项子目实得分根据现场实际情况按照标准分乘以相应系数进行评分：</w:t>
            </w:r>
          </w:p>
          <w:p w14:paraId="3EDE3DEF">
            <w:pPr>
              <w:jc w:val="left"/>
              <w:rPr>
                <w:rFonts w:hint="eastAsia"/>
                <w:sz w:val="21"/>
                <w:szCs w:val="21"/>
              </w:rPr>
            </w:pPr>
            <w:r>
              <w:rPr>
                <w:rFonts w:hint="eastAsia"/>
                <w:sz w:val="21"/>
                <w:szCs w:val="21"/>
              </w:rPr>
              <w:t>1、措施到位，满足评价指标要求系数为1；</w:t>
            </w:r>
          </w:p>
          <w:p w14:paraId="6EFABE75">
            <w:pPr>
              <w:jc w:val="left"/>
              <w:rPr>
                <w:rFonts w:hint="eastAsia" w:cs="宋体"/>
                <w:sz w:val="21"/>
                <w:szCs w:val="21"/>
              </w:rPr>
            </w:pPr>
            <w:r>
              <w:rPr>
                <w:rFonts w:hint="eastAsia"/>
                <w:sz w:val="21"/>
                <w:szCs w:val="21"/>
              </w:rPr>
              <w:t>2、措施到位，基本满足评价指标要求系数按照0.5~0.9酌情选取；</w:t>
            </w:r>
          </w:p>
          <w:p w14:paraId="24697708">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8305D">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46469">
            <w:pPr>
              <w:jc w:val="center"/>
              <w:rPr>
                <w:rFonts w:hint="eastAsia" w:cs="宋体"/>
                <w:sz w:val="21"/>
                <w:szCs w:val="21"/>
              </w:rPr>
            </w:pPr>
          </w:p>
        </w:tc>
      </w:tr>
      <w:tr w14:paraId="716329AB">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4DACF">
            <w:pPr>
              <w:jc w:val="center"/>
              <w:textAlignment w:val="center"/>
              <w:rPr>
                <w:rFonts w:hint="eastAsia"/>
                <w:sz w:val="21"/>
                <w:szCs w:val="21"/>
              </w:rPr>
            </w:pPr>
            <w:r>
              <w:rPr>
                <w:rFonts w:hint="eastAsia"/>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B1370">
            <w:pPr>
              <w:jc w:val="left"/>
              <w:textAlignment w:val="center"/>
              <w:rPr>
                <w:rFonts w:hint="eastAsia"/>
                <w:sz w:val="21"/>
                <w:szCs w:val="21"/>
              </w:rPr>
            </w:pPr>
            <w:r>
              <w:rPr>
                <w:rFonts w:hint="eastAsia"/>
                <w:sz w:val="21"/>
                <w:szCs w:val="21"/>
              </w:rPr>
              <w:t>电焊作业避免电焊弧光外泄。钢结构、管道焊接部位应设置遮光棚，防止强光外射对施工外围区域造成影响。</w:t>
            </w:r>
          </w:p>
        </w:tc>
        <w:tc>
          <w:tcPr>
            <w:tcW w:w="4111" w:type="dxa"/>
            <w:vMerge w:val="continue"/>
            <w:tcBorders>
              <w:left w:val="single" w:color="000000" w:sz="4" w:space="0"/>
              <w:right w:val="single" w:color="000000" w:sz="4" w:space="0"/>
            </w:tcBorders>
            <w:shd w:val="clear" w:color="auto" w:fill="auto"/>
            <w:vAlign w:val="center"/>
          </w:tcPr>
          <w:p w14:paraId="3F857A2B">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C8C39">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C6749">
            <w:pPr>
              <w:jc w:val="center"/>
              <w:rPr>
                <w:rFonts w:hint="eastAsia" w:cs="宋体"/>
                <w:sz w:val="21"/>
                <w:szCs w:val="21"/>
              </w:rPr>
            </w:pPr>
          </w:p>
        </w:tc>
      </w:tr>
      <w:tr w14:paraId="6F4694DF">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27046">
            <w:pPr>
              <w:jc w:val="center"/>
              <w:textAlignment w:val="center"/>
              <w:rPr>
                <w:rFonts w:hint="eastAsia"/>
                <w:sz w:val="21"/>
                <w:szCs w:val="21"/>
              </w:rPr>
            </w:pPr>
            <w:r>
              <w:rPr>
                <w:rFonts w:hint="eastAsia"/>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9D752">
            <w:pPr>
              <w:jc w:val="left"/>
              <w:textAlignment w:val="center"/>
              <w:rPr>
                <w:rFonts w:hint="eastAsia"/>
                <w:sz w:val="21"/>
                <w:szCs w:val="21"/>
              </w:rPr>
            </w:pPr>
            <w:r>
              <w:rPr>
                <w:rFonts w:hint="eastAsia"/>
                <w:sz w:val="21"/>
                <w:szCs w:val="21"/>
              </w:rPr>
              <w:t>通过控制照明光线的角度，夜间室外照明灯加设灯罩，透光方向集中在施工范围内。</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57260681">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47906">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3C62E">
            <w:pPr>
              <w:jc w:val="center"/>
              <w:rPr>
                <w:rFonts w:hint="eastAsia" w:cs="宋体"/>
                <w:sz w:val="21"/>
                <w:szCs w:val="21"/>
              </w:rPr>
            </w:pPr>
          </w:p>
        </w:tc>
      </w:tr>
      <w:tr w14:paraId="5542EC61">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A17C4">
            <w:pPr>
              <w:jc w:val="center"/>
              <w:textAlignment w:val="center"/>
              <w:rPr>
                <w:rFonts w:hint="eastAsia"/>
                <w:sz w:val="21"/>
                <w:szCs w:val="21"/>
              </w:rPr>
            </w:pPr>
            <w:r>
              <w:rPr>
                <w:rFonts w:hint="eastAsia"/>
                <w:sz w:val="21"/>
                <w:szCs w:val="21"/>
              </w:rPr>
              <w:t>6.2.7</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E6B48">
            <w:pPr>
              <w:jc w:val="left"/>
              <w:textAlignment w:val="center"/>
              <w:rPr>
                <w:rFonts w:hint="eastAsia"/>
                <w:sz w:val="21"/>
                <w:szCs w:val="21"/>
              </w:rPr>
            </w:pPr>
            <w:r>
              <w:rPr>
                <w:rFonts w:hint="eastAsia" w:cs="宋体"/>
                <w:kern w:val="0"/>
                <w:sz w:val="21"/>
                <w:szCs w:val="21"/>
                <w:lang w:bidi="ar"/>
              </w:rPr>
              <w:t>噪声与振动控制</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68205">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6FAFF">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7C1D0">
            <w:pPr>
              <w:jc w:val="center"/>
              <w:rPr>
                <w:rFonts w:hint="eastAsia" w:cs="宋体"/>
                <w:sz w:val="21"/>
                <w:szCs w:val="21"/>
              </w:rPr>
            </w:pPr>
          </w:p>
        </w:tc>
      </w:tr>
      <w:tr w14:paraId="2D5BA91B">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31856">
            <w:pPr>
              <w:jc w:val="center"/>
              <w:textAlignment w:val="center"/>
              <w:rPr>
                <w:rFonts w:hint="eastAsia"/>
                <w:sz w:val="21"/>
                <w:szCs w:val="21"/>
              </w:rPr>
            </w:pPr>
            <w:r>
              <w:rPr>
                <w:rFonts w:hint="eastAsia"/>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95F93">
            <w:pPr>
              <w:jc w:val="left"/>
              <w:textAlignment w:val="center"/>
              <w:rPr>
                <w:rFonts w:hint="eastAsia"/>
                <w:sz w:val="21"/>
                <w:szCs w:val="21"/>
              </w:rPr>
            </w:pPr>
            <w:r>
              <w:rPr>
                <w:rFonts w:hint="eastAsia"/>
                <w:sz w:val="21"/>
                <w:szCs w:val="21"/>
              </w:rPr>
              <w:t>施工现场安装噪音监测设备，施工期间连续监测噪音数值，噪声排放符合现行国家标准《建筑施工场界环境噪声排放标准》</w:t>
            </w:r>
            <w:r>
              <w:rPr>
                <w:sz w:val="21"/>
                <w:szCs w:val="21"/>
              </w:rPr>
              <w:t>GB 12523</w:t>
            </w:r>
            <w:r>
              <w:rPr>
                <w:rFonts w:hint="eastAsia"/>
                <w:sz w:val="21"/>
                <w:szCs w:val="21"/>
              </w:rPr>
              <w:t>的规定。</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58547D6B">
            <w:pPr>
              <w:jc w:val="left"/>
              <w:rPr>
                <w:rFonts w:hint="eastAsia"/>
                <w:sz w:val="21"/>
                <w:szCs w:val="21"/>
              </w:rPr>
            </w:pPr>
            <w:r>
              <w:rPr>
                <w:rFonts w:hint="eastAsia"/>
                <w:sz w:val="21"/>
                <w:szCs w:val="21"/>
              </w:rPr>
              <w:t>每项子目实得分根据现场实际情况按照标准分乘以相应系数进行评分：</w:t>
            </w:r>
          </w:p>
          <w:p w14:paraId="3C5C44D1">
            <w:pPr>
              <w:jc w:val="left"/>
              <w:rPr>
                <w:rFonts w:hint="eastAsia"/>
                <w:sz w:val="21"/>
                <w:szCs w:val="21"/>
              </w:rPr>
            </w:pPr>
            <w:r>
              <w:rPr>
                <w:rFonts w:hint="eastAsia"/>
                <w:sz w:val="21"/>
                <w:szCs w:val="21"/>
              </w:rPr>
              <w:t>1、措施到位，满足评价指标要求系数为1；</w:t>
            </w:r>
          </w:p>
          <w:p w14:paraId="3AC8E2B0">
            <w:pPr>
              <w:jc w:val="left"/>
              <w:rPr>
                <w:rFonts w:hint="eastAsia" w:cs="宋体"/>
                <w:sz w:val="21"/>
                <w:szCs w:val="21"/>
              </w:rPr>
            </w:pPr>
            <w:r>
              <w:rPr>
                <w:rFonts w:hint="eastAsia"/>
                <w:sz w:val="21"/>
                <w:szCs w:val="21"/>
              </w:rPr>
              <w:t>2、措施到位，基本满足评价指标要求系数按照0.5~0.9酌情选取；</w:t>
            </w:r>
          </w:p>
          <w:p w14:paraId="47AD4ED5">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61380">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6F257">
            <w:pPr>
              <w:jc w:val="center"/>
              <w:rPr>
                <w:rFonts w:hint="eastAsia" w:cs="宋体"/>
                <w:sz w:val="21"/>
                <w:szCs w:val="21"/>
              </w:rPr>
            </w:pPr>
          </w:p>
        </w:tc>
      </w:tr>
      <w:tr w14:paraId="16A0AD78">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33ECF">
            <w:pPr>
              <w:jc w:val="center"/>
              <w:textAlignment w:val="center"/>
              <w:rPr>
                <w:rFonts w:hint="eastAsia"/>
                <w:sz w:val="21"/>
                <w:szCs w:val="21"/>
              </w:rPr>
            </w:pPr>
            <w:r>
              <w:rPr>
                <w:rFonts w:hint="eastAsia"/>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D6869">
            <w:pPr>
              <w:jc w:val="left"/>
              <w:textAlignment w:val="center"/>
              <w:rPr>
                <w:rFonts w:hint="eastAsia"/>
                <w:sz w:val="21"/>
                <w:szCs w:val="21"/>
              </w:rPr>
            </w:pPr>
            <w:r>
              <w:rPr>
                <w:rFonts w:hint="eastAsia"/>
                <w:sz w:val="21"/>
                <w:szCs w:val="21"/>
              </w:rPr>
              <w:t>合理安排工期，减少夜间施工，禁令时间内停止产生噪声的施工作业。</w:t>
            </w:r>
          </w:p>
        </w:tc>
        <w:tc>
          <w:tcPr>
            <w:tcW w:w="4111" w:type="dxa"/>
            <w:vMerge w:val="continue"/>
            <w:tcBorders>
              <w:left w:val="single" w:color="000000" w:sz="4" w:space="0"/>
              <w:right w:val="single" w:color="000000" w:sz="4" w:space="0"/>
            </w:tcBorders>
            <w:shd w:val="clear" w:color="auto" w:fill="auto"/>
            <w:vAlign w:val="center"/>
          </w:tcPr>
          <w:p w14:paraId="5EDB5C7C">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7E0CF">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81DEC">
            <w:pPr>
              <w:jc w:val="center"/>
              <w:rPr>
                <w:rFonts w:hint="eastAsia" w:cs="宋体"/>
                <w:sz w:val="21"/>
                <w:szCs w:val="21"/>
              </w:rPr>
            </w:pPr>
          </w:p>
        </w:tc>
      </w:tr>
      <w:tr w14:paraId="02F7491C">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B9A0E">
            <w:pPr>
              <w:jc w:val="center"/>
              <w:textAlignment w:val="center"/>
              <w:rPr>
                <w:rFonts w:hint="eastAsia"/>
                <w:sz w:val="21"/>
                <w:szCs w:val="21"/>
              </w:rPr>
            </w:pPr>
            <w:r>
              <w:rPr>
                <w:rFonts w:hint="eastAsia"/>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1CD2B">
            <w:pPr>
              <w:jc w:val="left"/>
              <w:textAlignment w:val="center"/>
              <w:rPr>
                <w:rFonts w:hint="eastAsia"/>
                <w:sz w:val="21"/>
                <w:szCs w:val="21"/>
              </w:rPr>
            </w:pPr>
            <w:r>
              <w:rPr>
                <w:rFonts w:hint="eastAsia"/>
                <w:sz w:val="21"/>
                <w:szCs w:val="21"/>
              </w:rPr>
              <w:t>合理布置施工场地，根据声波衰减的原理，高噪声设备远离噪声敏感区。</w:t>
            </w:r>
          </w:p>
        </w:tc>
        <w:tc>
          <w:tcPr>
            <w:tcW w:w="4111" w:type="dxa"/>
            <w:vMerge w:val="continue"/>
            <w:tcBorders>
              <w:left w:val="single" w:color="000000" w:sz="4" w:space="0"/>
              <w:right w:val="single" w:color="000000" w:sz="4" w:space="0"/>
            </w:tcBorders>
            <w:shd w:val="clear" w:color="auto" w:fill="auto"/>
            <w:vAlign w:val="center"/>
          </w:tcPr>
          <w:p w14:paraId="31E8F2C4">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624B1">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A6BD2">
            <w:pPr>
              <w:jc w:val="center"/>
              <w:rPr>
                <w:rFonts w:hint="eastAsia" w:cs="宋体"/>
                <w:sz w:val="21"/>
                <w:szCs w:val="21"/>
              </w:rPr>
            </w:pPr>
          </w:p>
        </w:tc>
      </w:tr>
      <w:tr w14:paraId="36E1470D">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C6759">
            <w:pPr>
              <w:jc w:val="center"/>
              <w:textAlignment w:val="center"/>
              <w:rPr>
                <w:rFonts w:hint="eastAsia"/>
                <w:sz w:val="21"/>
                <w:szCs w:val="21"/>
              </w:rPr>
            </w:pPr>
            <w:r>
              <w:rPr>
                <w:rFonts w:hint="eastAsia"/>
                <w:sz w:val="21"/>
                <w:szCs w:val="21"/>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5B9AB">
            <w:pPr>
              <w:jc w:val="left"/>
              <w:textAlignment w:val="center"/>
              <w:rPr>
                <w:rFonts w:hint="eastAsia"/>
                <w:sz w:val="21"/>
                <w:szCs w:val="21"/>
              </w:rPr>
            </w:pPr>
            <w:r>
              <w:rPr>
                <w:rFonts w:hint="eastAsia"/>
                <w:sz w:val="21"/>
                <w:szCs w:val="21"/>
              </w:rPr>
              <w:t>优先使用低噪音、低振动的施工机具。</w:t>
            </w:r>
          </w:p>
        </w:tc>
        <w:tc>
          <w:tcPr>
            <w:tcW w:w="4111" w:type="dxa"/>
            <w:vMerge w:val="continue"/>
            <w:tcBorders>
              <w:left w:val="single" w:color="000000" w:sz="4" w:space="0"/>
              <w:right w:val="single" w:color="000000" w:sz="4" w:space="0"/>
            </w:tcBorders>
            <w:shd w:val="clear" w:color="auto" w:fill="auto"/>
            <w:vAlign w:val="center"/>
          </w:tcPr>
          <w:p w14:paraId="1B40BB07">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3B038">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C226C">
            <w:pPr>
              <w:jc w:val="center"/>
              <w:rPr>
                <w:rFonts w:hint="eastAsia" w:cs="宋体"/>
                <w:sz w:val="21"/>
                <w:szCs w:val="21"/>
              </w:rPr>
            </w:pPr>
          </w:p>
        </w:tc>
      </w:tr>
      <w:tr w14:paraId="7BA233D5">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F91F0">
            <w:pPr>
              <w:jc w:val="center"/>
              <w:textAlignment w:val="center"/>
              <w:rPr>
                <w:rFonts w:hint="eastAsia"/>
                <w:sz w:val="21"/>
                <w:szCs w:val="21"/>
              </w:rPr>
            </w:pPr>
            <w:r>
              <w:rPr>
                <w:rFonts w:hint="eastAsia"/>
                <w:sz w:val="21"/>
                <w:szCs w:val="21"/>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EAAB0">
            <w:pPr>
              <w:jc w:val="left"/>
              <w:textAlignment w:val="center"/>
              <w:rPr>
                <w:rFonts w:hint="eastAsia"/>
                <w:sz w:val="21"/>
                <w:szCs w:val="21"/>
              </w:rPr>
            </w:pPr>
            <w:r>
              <w:rPr>
                <w:rFonts w:hint="eastAsia"/>
                <w:sz w:val="21"/>
                <w:szCs w:val="21"/>
              </w:rPr>
              <w:t>钢筋/木工加工场、</w:t>
            </w:r>
            <w:r>
              <w:rPr>
                <w:sz w:val="21"/>
                <w:szCs w:val="21"/>
              </w:rPr>
              <w:t>打桩机、搅拌机、电锯、振捣棒等强噪声</w:t>
            </w:r>
            <w:r>
              <w:rPr>
                <w:rFonts w:hint="eastAsia"/>
                <w:sz w:val="21"/>
                <w:szCs w:val="21"/>
              </w:rPr>
              <w:t>区域及</w:t>
            </w:r>
            <w:r>
              <w:rPr>
                <w:sz w:val="21"/>
                <w:szCs w:val="21"/>
              </w:rPr>
              <w:t>设备</w:t>
            </w:r>
            <w:r>
              <w:rPr>
                <w:rFonts w:hint="eastAsia"/>
                <w:sz w:val="21"/>
                <w:szCs w:val="21"/>
              </w:rPr>
              <w:t>周边应采取</w:t>
            </w:r>
            <w:r>
              <w:rPr>
                <w:sz w:val="21"/>
                <w:szCs w:val="21"/>
              </w:rPr>
              <w:t>吸声、隔声、隔振、阻尼等</w:t>
            </w:r>
            <w:r>
              <w:rPr>
                <w:rFonts w:hint="eastAsia"/>
                <w:sz w:val="21"/>
                <w:szCs w:val="21"/>
              </w:rPr>
              <w:t>降噪措施</w:t>
            </w:r>
            <w:r>
              <w:rPr>
                <w:sz w:val="21"/>
                <w:szCs w:val="21"/>
              </w:rPr>
              <w:t>。</w:t>
            </w:r>
            <w:r>
              <w:rPr>
                <w:rFonts w:hint="eastAsia"/>
                <w:sz w:val="21"/>
                <w:szCs w:val="21"/>
              </w:rPr>
              <w:t>对于混凝土输送泵、现场砂浆搅拌机等能产生较大噪音的设备宜进行全封闭处理，采用搭设防噪棚、内部安装阻燃吸音棉，控制噪音的传播。</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3926D736">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B1215">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1637C">
            <w:pPr>
              <w:jc w:val="center"/>
              <w:rPr>
                <w:rFonts w:hint="eastAsia" w:cs="宋体"/>
                <w:sz w:val="21"/>
                <w:szCs w:val="21"/>
              </w:rPr>
            </w:pPr>
          </w:p>
        </w:tc>
      </w:tr>
      <w:tr w14:paraId="693BEF28">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B5D87">
            <w:pPr>
              <w:jc w:val="center"/>
              <w:textAlignment w:val="center"/>
              <w:rPr>
                <w:rFonts w:hint="eastAsia"/>
                <w:sz w:val="21"/>
                <w:szCs w:val="21"/>
              </w:rPr>
            </w:pPr>
            <w:r>
              <w:rPr>
                <w:rFonts w:hint="eastAsia"/>
                <w:sz w:val="21"/>
                <w:szCs w:val="21"/>
              </w:rPr>
              <w:t>6.2.8</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FD44C">
            <w:pPr>
              <w:jc w:val="left"/>
              <w:textAlignment w:val="center"/>
              <w:rPr>
                <w:rFonts w:hint="eastAsia"/>
                <w:sz w:val="21"/>
                <w:szCs w:val="21"/>
              </w:rPr>
            </w:pPr>
            <w:r>
              <w:rPr>
                <w:rFonts w:hint="eastAsia" w:cs="宋体"/>
                <w:kern w:val="0"/>
                <w:sz w:val="21"/>
                <w:szCs w:val="21"/>
                <w:lang w:bidi="ar"/>
              </w:rPr>
              <w:t>施工用地以及设施保护</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00954">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2AB50">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31291">
            <w:pPr>
              <w:jc w:val="center"/>
              <w:rPr>
                <w:rFonts w:hint="eastAsia" w:cs="宋体"/>
                <w:sz w:val="21"/>
                <w:szCs w:val="21"/>
              </w:rPr>
            </w:pPr>
          </w:p>
        </w:tc>
      </w:tr>
      <w:tr w14:paraId="40EC186E">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2D15C">
            <w:pPr>
              <w:jc w:val="center"/>
              <w:textAlignment w:val="center"/>
              <w:rPr>
                <w:rFonts w:hint="eastAsia"/>
                <w:sz w:val="21"/>
                <w:szCs w:val="21"/>
              </w:rPr>
            </w:pPr>
            <w:r>
              <w:rPr>
                <w:rFonts w:hint="eastAsia"/>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68B9D">
            <w:pPr>
              <w:jc w:val="left"/>
              <w:textAlignment w:val="center"/>
              <w:rPr>
                <w:rFonts w:hint="eastAsia"/>
                <w:sz w:val="21"/>
                <w:szCs w:val="21"/>
              </w:rPr>
            </w:pPr>
            <w:r>
              <w:rPr>
                <w:rFonts w:hint="eastAsia"/>
                <w:sz w:val="21"/>
                <w:szCs w:val="21"/>
              </w:rPr>
              <w:t>应采取</w:t>
            </w:r>
            <w:r>
              <w:rPr>
                <w:sz w:val="21"/>
                <w:szCs w:val="21"/>
              </w:rPr>
              <w:t>保护施工现场原有建</w:t>
            </w:r>
            <w:r>
              <w:rPr>
                <w:rFonts w:hint="eastAsia"/>
                <w:sz w:val="21"/>
                <w:szCs w:val="21"/>
              </w:rPr>
              <w:t>（构）</w:t>
            </w:r>
            <w:r>
              <w:rPr>
                <w:sz w:val="21"/>
                <w:szCs w:val="21"/>
              </w:rPr>
              <w:t>筑物、道路和管线等</w:t>
            </w:r>
            <w:r>
              <w:rPr>
                <w:rFonts w:hint="eastAsia"/>
                <w:sz w:val="21"/>
                <w:szCs w:val="21"/>
              </w:rPr>
              <w:t>措施</w:t>
            </w:r>
            <w:r>
              <w:rPr>
                <w:sz w:val="21"/>
                <w:szCs w:val="21"/>
              </w:rPr>
              <w:t>。</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0E96F409">
            <w:pPr>
              <w:jc w:val="left"/>
              <w:rPr>
                <w:rFonts w:hint="eastAsia"/>
                <w:sz w:val="21"/>
                <w:szCs w:val="21"/>
              </w:rPr>
            </w:pPr>
            <w:r>
              <w:rPr>
                <w:rFonts w:hint="eastAsia"/>
                <w:sz w:val="21"/>
                <w:szCs w:val="21"/>
              </w:rPr>
              <w:t>每项子目实得分根据现场实际情况按照标准分乘以相应系数进行评分：</w:t>
            </w:r>
          </w:p>
          <w:p w14:paraId="501CA342">
            <w:pPr>
              <w:jc w:val="left"/>
              <w:rPr>
                <w:rFonts w:hint="eastAsia"/>
                <w:sz w:val="21"/>
                <w:szCs w:val="21"/>
              </w:rPr>
            </w:pPr>
            <w:r>
              <w:rPr>
                <w:rFonts w:hint="eastAsia"/>
                <w:sz w:val="21"/>
                <w:szCs w:val="21"/>
              </w:rPr>
              <w:t>1、措施到位，满足评价指标要求系数为1；</w:t>
            </w:r>
          </w:p>
          <w:p w14:paraId="75AFF856">
            <w:pPr>
              <w:jc w:val="left"/>
              <w:rPr>
                <w:rFonts w:hint="eastAsia" w:cs="宋体"/>
                <w:sz w:val="21"/>
                <w:szCs w:val="21"/>
              </w:rPr>
            </w:pPr>
            <w:r>
              <w:rPr>
                <w:rFonts w:hint="eastAsia"/>
                <w:sz w:val="21"/>
                <w:szCs w:val="21"/>
              </w:rPr>
              <w:t>2、措施到位，基本满足评价指标要求系数按照0.5~0.9酌情选取；</w:t>
            </w:r>
          </w:p>
          <w:p w14:paraId="7AD6E184">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682E9">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8E528">
            <w:pPr>
              <w:jc w:val="center"/>
              <w:rPr>
                <w:rFonts w:hint="eastAsia" w:cs="宋体"/>
                <w:sz w:val="21"/>
                <w:szCs w:val="21"/>
              </w:rPr>
            </w:pPr>
          </w:p>
        </w:tc>
      </w:tr>
      <w:tr w14:paraId="024AE8BE">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21931">
            <w:pPr>
              <w:jc w:val="center"/>
              <w:textAlignment w:val="center"/>
              <w:rPr>
                <w:rFonts w:hint="eastAsia"/>
                <w:sz w:val="21"/>
                <w:szCs w:val="21"/>
              </w:rPr>
            </w:pPr>
            <w:r>
              <w:rPr>
                <w:rFonts w:hint="eastAsia"/>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D2F7E">
            <w:pPr>
              <w:jc w:val="left"/>
              <w:textAlignment w:val="center"/>
              <w:rPr>
                <w:rFonts w:hint="eastAsia"/>
                <w:sz w:val="21"/>
                <w:szCs w:val="21"/>
              </w:rPr>
            </w:pPr>
            <w:r>
              <w:rPr>
                <w:sz w:val="21"/>
                <w:szCs w:val="21"/>
              </w:rPr>
              <w:t>对深基坑施工方案进行优化，减少土方开挖和回填量，最大限度地减少对土地的扰动，</w:t>
            </w:r>
            <w:r>
              <w:rPr>
                <w:rFonts w:hint="eastAsia"/>
                <w:sz w:val="21"/>
                <w:szCs w:val="21"/>
              </w:rPr>
              <w:t>采取</w:t>
            </w:r>
            <w:r>
              <w:rPr>
                <w:sz w:val="21"/>
                <w:szCs w:val="21"/>
              </w:rPr>
              <w:t>科学</w:t>
            </w:r>
            <w:r>
              <w:rPr>
                <w:rFonts w:hint="eastAsia"/>
                <w:sz w:val="21"/>
                <w:szCs w:val="21"/>
              </w:rPr>
              <w:t>合理的</w:t>
            </w:r>
            <w:r>
              <w:rPr>
                <w:sz w:val="21"/>
                <w:szCs w:val="21"/>
              </w:rPr>
              <w:t>水土资源保护</w:t>
            </w:r>
            <w:r>
              <w:rPr>
                <w:rFonts w:hint="eastAsia"/>
                <w:sz w:val="21"/>
                <w:szCs w:val="21"/>
              </w:rPr>
              <w:t>方法</w:t>
            </w:r>
            <w:r>
              <w:rPr>
                <w:sz w:val="21"/>
                <w:szCs w:val="21"/>
              </w:rPr>
              <w:t>。</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46539B36">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6476E">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EFC89">
            <w:pPr>
              <w:jc w:val="center"/>
              <w:rPr>
                <w:rFonts w:hint="eastAsia" w:cs="宋体"/>
                <w:sz w:val="21"/>
                <w:szCs w:val="21"/>
              </w:rPr>
            </w:pPr>
          </w:p>
        </w:tc>
      </w:tr>
      <w:tr w14:paraId="3C7E60B1">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F73C1">
            <w:pPr>
              <w:jc w:val="center"/>
              <w:textAlignment w:val="center"/>
              <w:rPr>
                <w:rFonts w:hint="eastAsia"/>
                <w:sz w:val="21"/>
                <w:szCs w:val="21"/>
              </w:rPr>
            </w:pPr>
            <w:r>
              <w:rPr>
                <w:rFonts w:hint="eastAsia" w:cs="宋体"/>
                <w:kern w:val="0"/>
                <w:sz w:val="21"/>
                <w:szCs w:val="21"/>
                <w:lang w:bidi="ar"/>
              </w:rPr>
              <w:t>6.2.9</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86578">
            <w:pPr>
              <w:jc w:val="left"/>
              <w:textAlignment w:val="center"/>
              <w:rPr>
                <w:rFonts w:hint="eastAsia" w:cs="宋体"/>
                <w:kern w:val="0"/>
                <w:sz w:val="21"/>
                <w:szCs w:val="21"/>
                <w:lang w:bidi="ar"/>
              </w:rPr>
            </w:pPr>
            <w:r>
              <w:rPr>
                <w:rFonts w:hint="eastAsia" w:cs="宋体"/>
                <w:kern w:val="0"/>
                <w:sz w:val="21"/>
                <w:szCs w:val="21"/>
                <w:lang w:bidi="ar"/>
              </w:rPr>
              <w:t>职业健康管理</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97979">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5D85F">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A7DF0">
            <w:pPr>
              <w:jc w:val="center"/>
              <w:rPr>
                <w:rFonts w:hint="eastAsia" w:cs="宋体"/>
                <w:sz w:val="21"/>
                <w:szCs w:val="21"/>
              </w:rPr>
            </w:pPr>
          </w:p>
        </w:tc>
      </w:tr>
      <w:tr w14:paraId="1C26DD35">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02D8E">
            <w:pPr>
              <w:jc w:val="center"/>
              <w:textAlignment w:val="center"/>
              <w:rPr>
                <w:rFonts w:hint="eastAsia"/>
                <w:sz w:val="21"/>
                <w:szCs w:val="21"/>
              </w:rPr>
            </w:pPr>
            <w:r>
              <w:rPr>
                <w:rFonts w:hint="eastAsia"/>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096D3">
            <w:pPr>
              <w:jc w:val="left"/>
              <w:textAlignment w:val="center"/>
              <w:rPr>
                <w:rFonts w:hint="eastAsia" w:cs="宋体"/>
                <w:kern w:val="0"/>
                <w:sz w:val="21"/>
                <w:szCs w:val="21"/>
                <w:lang w:bidi="ar"/>
              </w:rPr>
            </w:pPr>
            <w:r>
              <w:rPr>
                <w:sz w:val="21"/>
                <w:szCs w:val="21"/>
              </w:rPr>
              <w:t>合理配备个人劳动防护用品和卫生防疫用品。</w:t>
            </w:r>
            <w:r>
              <w:rPr>
                <w:rFonts w:hint="eastAsia"/>
                <w:sz w:val="21"/>
                <w:szCs w:val="21"/>
              </w:rPr>
              <w:t>从事有毒、有害、有刺激性气味和强光、强噪声施工人员，应佩戴相应的防护器具和劳动保护用品。</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5DD6E841">
            <w:pPr>
              <w:jc w:val="left"/>
              <w:rPr>
                <w:rFonts w:hint="eastAsia"/>
                <w:sz w:val="21"/>
                <w:szCs w:val="21"/>
              </w:rPr>
            </w:pPr>
            <w:r>
              <w:rPr>
                <w:rFonts w:hint="eastAsia"/>
                <w:sz w:val="21"/>
                <w:szCs w:val="21"/>
              </w:rPr>
              <w:t>每项子目实得分根据现场实际情况按照标准分乘以相应系数进行评分：</w:t>
            </w:r>
          </w:p>
          <w:p w14:paraId="1898EA05">
            <w:pPr>
              <w:jc w:val="left"/>
              <w:rPr>
                <w:rFonts w:hint="eastAsia"/>
                <w:sz w:val="21"/>
                <w:szCs w:val="21"/>
              </w:rPr>
            </w:pPr>
            <w:r>
              <w:rPr>
                <w:rFonts w:hint="eastAsia"/>
                <w:sz w:val="21"/>
                <w:szCs w:val="21"/>
              </w:rPr>
              <w:t>1、措施到位，满足评价指标要求系数为1；</w:t>
            </w:r>
          </w:p>
          <w:p w14:paraId="3D568494">
            <w:pPr>
              <w:jc w:val="left"/>
              <w:rPr>
                <w:rFonts w:hint="eastAsia" w:cs="宋体"/>
                <w:sz w:val="21"/>
                <w:szCs w:val="21"/>
              </w:rPr>
            </w:pPr>
            <w:r>
              <w:rPr>
                <w:rFonts w:hint="eastAsia"/>
                <w:sz w:val="21"/>
                <w:szCs w:val="21"/>
              </w:rPr>
              <w:t>2、措施到位，基本满足评价指标要求系数按照0.5~0.9酌情选取；</w:t>
            </w:r>
          </w:p>
          <w:p w14:paraId="3B28F589">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06575">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1076D">
            <w:pPr>
              <w:jc w:val="center"/>
              <w:rPr>
                <w:rFonts w:hint="eastAsia" w:cs="宋体"/>
                <w:sz w:val="21"/>
                <w:szCs w:val="21"/>
              </w:rPr>
            </w:pPr>
          </w:p>
        </w:tc>
      </w:tr>
      <w:tr w14:paraId="14E284DB">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0F05B">
            <w:pPr>
              <w:jc w:val="center"/>
              <w:textAlignment w:val="center"/>
              <w:rPr>
                <w:rFonts w:hint="eastAsia"/>
                <w:sz w:val="21"/>
                <w:szCs w:val="21"/>
              </w:rPr>
            </w:pPr>
            <w:r>
              <w:rPr>
                <w:rFonts w:hint="eastAsia"/>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18C15">
            <w:pPr>
              <w:jc w:val="left"/>
              <w:textAlignment w:val="center"/>
              <w:rPr>
                <w:rFonts w:hint="eastAsia" w:cs="宋体"/>
                <w:kern w:val="0"/>
                <w:sz w:val="21"/>
                <w:szCs w:val="21"/>
                <w:lang w:bidi="ar"/>
              </w:rPr>
            </w:pPr>
            <w:r>
              <w:rPr>
                <w:sz w:val="21"/>
                <w:szCs w:val="21"/>
              </w:rPr>
              <w:t>建立</w:t>
            </w:r>
            <w:r>
              <w:rPr>
                <w:rFonts w:hint="eastAsia"/>
                <w:sz w:val="21"/>
                <w:szCs w:val="21"/>
              </w:rPr>
              <w:t>职业</w:t>
            </w:r>
            <w:r>
              <w:rPr>
                <w:sz w:val="21"/>
                <w:szCs w:val="21"/>
              </w:rPr>
              <w:t>健康检查制度，组织上岗前检查和定期检查，健全职业健康档案，做好</w:t>
            </w:r>
            <w:r>
              <w:rPr>
                <w:rFonts w:hint="eastAsia"/>
                <w:sz w:val="21"/>
                <w:szCs w:val="21"/>
              </w:rPr>
              <w:t>人员</w:t>
            </w:r>
            <w:r>
              <w:rPr>
                <w:sz w:val="21"/>
                <w:szCs w:val="21"/>
              </w:rPr>
              <w:t>健康跟踪管理。</w:t>
            </w:r>
          </w:p>
        </w:tc>
        <w:tc>
          <w:tcPr>
            <w:tcW w:w="4111" w:type="dxa"/>
            <w:vMerge w:val="continue"/>
            <w:tcBorders>
              <w:left w:val="single" w:color="000000" w:sz="4" w:space="0"/>
              <w:right w:val="single" w:color="000000" w:sz="4" w:space="0"/>
            </w:tcBorders>
            <w:shd w:val="clear" w:color="auto" w:fill="auto"/>
            <w:vAlign w:val="center"/>
          </w:tcPr>
          <w:p w14:paraId="0937BDE0">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BEF5A">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A1348">
            <w:pPr>
              <w:jc w:val="center"/>
              <w:rPr>
                <w:rFonts w:hint="eastAsia" w:cs="宋体"/>
                <w:sz w:val="21"/>
                <w:szCs w:val="21"/>
              </w:rPr>
            </w:pPr>
          </w:p>
        </w:tc>
      </w:tr>
      <w:tr w14:paraId="44B73E7C">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F74EA">
            <w:pPr>
              <w:jc w:val="center"/>
              <w:textAlignment w:val="center"/>
              <w:rPr>
                <w:rFonts w:hint="eastAsia"/>
                <w:sz w:val="21"/>
                <w:szCs w:val="21"/>
              </w:rPr>
            </w:pPr>
            <w:r>
              <w:rPr>
                <w:rFonts w:hint="eastAsia"/>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5070E">
            <w:pPr>
              <w:jc w:val="left"/>
              <w:textAlignment w:val="center"/>
              <w:rPr>
                <w:rFonts w:hint="eastAsia" w:cs="宋体"/>
                <w:kern w:val="0"/>
                <w:sz w:val="21"/>
                <w:szCs w:val="21"/>
                <w:lang w:bidi="ar"/>
              </w:rPr>
            </w:pPr>
            <w:r>
              <w:rPr>
                <w:rFonts w:hint="eastAsia" w:cs="宋体"/>
                <w:kern w:val="0"/>
                <w:sz w:val="21"/>
                <w:szCs w:val="21"/>
                <w:lang w:bidi="ar"/>
              </w:rPr>
              <w:t>制定职业病预防措施，定期对从事有职业病危害作业的人员进行体检，现场设置医务室或与当地医院签订医疗协议，制定人员健康应急预案。</w:t>
            </w:r>
          </w:p>
        </w:tc>
        <w:tc>
          <w:tcPr>
            <w:tcW w:w="4111" w:type="dxa"/>
            <w:vMerge w:val="continue"/>
            <w:tcBorders>
              <w:left w:val="single" w:color="000000" w:sz="4" w:space="0"/>
              <w:right w:val="single" w:color="000000" w:sz="4" w:space="0"/>
            </w:tcBorders>
            <w:shd w:val="clear" w:color="auto" w:fill="auto"/>
            <w:vAlign w:val="center"/>
          </w:tcPr>
          <w:p w14:paraId="30EC79F4">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F659F">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A78C1">
            <w:pPr>
              <w:jc w:val="center"/>
              <w:rPr>
                <w:rFonts w:hint="eastAsia" w:cs="宋体"/>
                <w:sz w:val="21"/>
                <w:szCs w:val="21"/>
              </w:rPr>
            </w:pPr>
          </w:p>
        </w:tc>
      </w:tr>
      <w:tr w14:paraId="2FCA3434">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4E1A1">
            <w:pPr>
              <w:jc w:val="center"/>
              <w:textAlignment w:val="center"/>
              <w:rPr>
                <w:rFonts w:hint="eastAsia"/>
                <w:sz w:val="21"/>
                <w:szCs w:val="21"/>
              </w:rPr>
            </w:pPr>
            <w:r>
              <w:rPr>
                <w:rFonts w:hint="eastAsia"/>
                <w:sz w:val="21"/>
                <w:szCs w:val="21"/>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0BB60">
            <w:pPr>
              <w:jc w:val="left"/>
              <w:textAlignment w:val="center"/>
              <w:rPr>
                <w:rFonts w:hint="eastAsia" w:cs="宋体"/>
                <w:kern w:val="0"/>
                <w:sz w:val="21"/>
                <w:szCs w:val="21"/>
                <w:lang w:bidi="ar"/>
              </w:rPr>
            </w:pPr>
            <w:r>
              <w:rPr>
                <w:rFonts w:hint="eastAsia" w:cs="宋体"/>
                <w:kern w:val="0"/>
                <w:sz w:val="21"/>
                <w:szCs w:val="21"/>
                <w:lang w:bidi="ar"/>
              </w:rPr>
              <w:t>合理布置施工场地，保护生活及办公区不受施工活动、周边环境不利影响。员工宿舍具备良好的居住条件，保持通风与干净整洁，设置专职管理人员。</w:t>
            </w:r>
          </w:p>
        </w:tc>
        <w:tc>
          <w:tcPr>
            <w:tcW w:w="4111" w:type="dxa"/>
            <w:vMerge w:val="continue"/>
            <w:tcBorders>
              <w:left w:val="single" w:color="000000" w:sz="4" w:space="0"/>
              <w:right w:val="single" w:color="000000" w:sz="4" w:space="0"/>
            </w:tcBorders>
            <w:shd w:val="clear" w:color="auto" w:fill="auto"/>
            <w:vAlign w:val="center"/>
          </w:tcPr>
          <w:p w14:paraId="66111C34">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3D7EC">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F5B31">
            <w:pPr>
              <w:jc w:val="center"/>
              <w:rPr>
                <w:rFonts w:hint="eastAsia" w:cs="宋体"/>
                <w:sz w:val="21"/>
                <w:szCs w:val="21"/>
              </w:rPr>
            </w:pPr>
          </w:p>
        </w:tc>
      </w:tr>
      <w:tr w14:paraId="24244EE7">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17AB7">
            <w:pPr>
              <w:jc w:val="center"/>
              <w:textAlignment w:val="center"/>
              <w:rPr>
                <w:rFonts w:hint="eastAsia"/>
                <w:sz w:val="21"/>
                <w:szCs w:val="21"/>
              </w:rPr>
            </w:pPr>
            <w:r>
              <w:rPr>
                <w:rFonts w:hint="eastAsia"/>
                <w:sz w:val="21"/>
                <w:szCs w:val="21"/>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DB7CB">
            <w:pPr>
              <w:jc w:val="left"/>
              <w:textAlignment w:val="center"/>
              <w:rPr>
                <w:rFonts w:hint="eastAsia" w:cs="宋体"/>
                <w:kern w:val="0"/>
                <w:sz w:val="21"/>
                <w:szCs w:val="21"/>
                <w:lang w:bidi="ar"/>
              </w:rPr>
            </w:pPr>
            <w:r>
              <w:rPr>
                <w:rFonts w:hint="eastAsia" w:cs="宋体"/>
                <w:kern w:val="0"/>
                <w:sz w:val="21"/>
                <w:szCs w:val="21"/>
                <w:lang w:bidi="ar"/>
              </w:rPr>
              <w:t>员工食堂符合卫生防疫要求，定期对饮用水及饮食卫生进行检查，预防肠道疾病的发生，严防食物中毒，门窗及洞口设置纱窗，门下方设置不低于0.6m的防鼠挡板。</w:t>
            </w:r>
          </w:p>
        </w:tc>
        <w:tc>
          <w:tcPr>
            <w:tcW w:w="4111" w:type="dxa"/>
            <w:vMerge w:val="continue"/>
            <w:tcBorders>
              <w:left w:val="single" w:color="000000" w:sz="4" w:space="0"/>
              <w:right w:val="single" w:color="000000" w:sz="4" w:space="0"/>
            </w:tcBorders>
            <w:shd w:val="clear" w:color="auto" w:fill="auto"/>
            <w:vAlign w:val="center"/>
          </w:tcPr>
          <w:p w14:paraId="1B509D39">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C4934">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14441">
            <w:pPr>
              <w:jc w:val="center"/>
              <w:rPr>
                <w:rFonts w:hint="eastAsia" w:cs="宋体"/>
                <w:sz w:val="21"/>
                <w:szCs w:val="21"/>
              </w:rPr>
            </w:pPr>
          </w:p>
        </w:tc>
      </w:tr>
      <w:tr w14:paraId="71AB2DAD">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3ACDE">
            <w:pPr>
              <w:jc w:val="center"/>
              <w:textAlignment w:val="center"/>
              <w:rPr>
                <w:rFonts w:hint="eastAsia"/>
                <w:sz w:val="21"/>
                <w:szCs w:val="21"/>
              </w:rPr>
            </w:pPr>
            <w:r>
              <w:rPr>
                <w:rFonts w:hint="eastAsia"/>
                <w:sz w:val="21"/>
                <w:szCs w:val="21"/>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B75EC">
            <w:pPr>
              <w:jc w:val="left"/>
              <w:textAlignment w:val="center"/>
              <w:rPr>
                <w:rFonts w:hint="eastAsia" w:cs="宋体"/>
                <w:kern w:val="0"/>
                <w:sz w:val="21"/>
                <w:szCs w:val="21"/>
                <w:lang w:bidi="ar"/>
              </w:rPr>
            </w:pPr>
            <w:r>
              <w:rPr>
                <w:rFonts w:hint="eastAsia" w:cs="宋体"/>
                <w:kern w:val="0"/>
                <w:sz w:val="21"/>
                <w:szCs w:val="21"/>
                <w:lang w:bidi="ar"/>
              </w:rPr>
              <w:t>尘、毒作业场所确保良好的通风、除尘及防止中毒措施，采取消除粉尘、灰尘飘洒的措施。</w:t>
            </w:r>
          </w:p>
        </w:tc>
        <w:tc>
          <w:tcPr>
            <w:tcW w:w="4111" w:type="dxa"/>
            <w:vMerge w:val="continue"/>
            <w:tcBorders>
              <w:left w:val="single" w:color="000000" w:sz="4" w:space="0"/>
              <w:right w:val="single" w:color="000000" w:sz="4" w:space="0"/>
            </w:tcBorders>
            <w:shd w:val="clear" w:color="auto" w:fill="auto"/>
            <w:vAlign w:val="center"/>
          </w:tcPr>
          <w:p w14:paraId="1E27BE32">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8475F">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70518">
            <w:pPr>
              <w:jc w:val="center"/>
              <w:rPr>
                <w:rFonts w:hint="eastAsia" w:cs="宋体"/>
                <w:sz w:val="21"/>
                <w:szCs w:val="21"/>
              </w:rPr>
            </w:pPr>
          </w:p>
        </w:tc>
      </w:tr>
      <w:tr w14:paraId="7FE2067F">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43C62">
            <w:pPr>
              <w:jc w:val="center"/>
              <w:textAlignment w:val="center"/>
              <w:rPr>
                <w:rFonts w:hint="eastAsia"/>
                <w:sz w:val="21"/>
                <w:szCs w:val="21"/>
              </w:rPr>
            </w:pPr>
            <w:r>
              <w:rPr>
                <w:rFonts w:hint="eastAsia"/>
                <w:sz w:val="21"/>
                <w:szCs w:val="21"/>
              </w:rPr>
              <w:t>7</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D633A">
            <w:pPr>
              <w:jc w:val="left"/>
              <w:textAlignment w:val="center"/>
              <w:rPr>
                <w:rFonts w:hint="eastAsia" w:cs="宋体"/>
                <w:kern w:val="0"/>
                <w:sz w:val="21"/>
                <w:szCs w:val="21"/>
                <w:lang w:bidi="ar"/>
              </w:rPr>
            </w:pPr>
            <w:r>
              <w:rPr>
                <w:rFonts w:hint="eastAsia" w:cs="宋体"/>
                <w:kern w:val="0"/>
                <w:sz w:val="21"/>
                <w:szCs w:val="21"/>
                <w:lang w:bidi="ar"/>
              </w:rPr>
              <w:t>办公及生活区应设置消防设施、报警装置、应急疏散通道、标志标识、应急照明等设施，并设专人管理。</w:t>
            </w:r>
          </w:p>
        </w:tc>
        <w:tc>
          <w:tcPr>
            <w:tcW w:w="4111" w:type="dxa"/>
            <w:vMerge w:val="continue"/>
            <w:tcBorders>
              <w:left w:val="single" w:color="000000" w:sz="4" w:space="0"/>
              <w:right w:val="single" w:color="000000" w:sz="4" w:space="0"/>
            </w:tcBorders>
            <w:shd w:val="clear" w:color="auto" w:fill="auto"/>
            <w:vAlign w:val="center"/>
          </w:tcPr>
          <w:p w14:paraId="7B2489EC">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C2BA1">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293F0">
            <w:pPr>
              <w:jc w:val="center"/>
              <w:rPr>
                <w:rFonts w:hint="eastAsia" w:cs="宋体"/>
                <w:sz w:val="21"/>
                <w:szCs w:val="21"/>
              </w:rPr>
            </w:pPr>
          </w:p>
        </w:tc>
      </w:tr>
      <w:tr w14:paraId="601FE233">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02BB4">
            <w:pPr>
              <w:jc w:val="center"/>
              <w:textAlignment w:val="center"/>
              <w:rPr>
                <w:rFonts w:hint="eastAsia"/>
                <w:sz w:val="21"/>
                <w:szCs w:val="21"/>
              </w:rPr>
            </w:pPr>
            <w:r>
              <w:rPr>
                <w:rFonts w:hint="eastAsia"/>
                <w:sz w:val="21"/>
                <w:szCs w:val="21"/>
              </w:rPr>
              <w:t>8</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94BB7">
            <w:pPr>
              <w:jc w:val="left"/>
              <w:textAlignment w:val="center"/>
              <w:rPr>
                <w:rFonts w:hint="eastAsia" w:cs="宋体"/>
                <w:kern w:val="0"/>
                <w:sz w:val="21"/>
                <w:szCs w:val="21"/>
                <w:lang w:bidi="ar"/>
              </w:rPr>
            </w:pPr>
            <w:r>
              <w:rPr>
                <w:rFonts w:hint="eastAsia" w:cs="宋体"/>
                <w:kern w:val="0"/>
                <w:sz w:val="21"/>
                <w:szCs w:val="21"/>
                <w:lang w:bidi="ar"/>
              </w:rPr>
              <w:t>施工现场人车分流，并有隔离措施。</w:t>
            </w:r>
          </w:p>
        </w:tc>
        <w:tc>
          <w:tcPr>
            <w:tcW w:w="4111" w:type="dxa"/>
            <w:vMerge w:val="continue"/>
            <w:tcBorders>
              <w:left w:val="single" w:color="000000" w:sz="4" w:space="0"/>
              <w:right w:val="single" w:color="000000" w:sz="4" w:space="0"/>
            </w:tcBorders>
            <w:shd w:val="clear" w:color="auto" w:fill="auto"/>
            <w:vAlign w:val="center"/>
          </w:tcPr>
          <w:p w14:paraId="0F1A9595">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93067">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28688">
            <w:pPr>
              <w:jc w:val="center"/>
              <w:rPr>
                <w:rFonts w:hint="eastAsia" w:cs="宋体"/>
                <w:sz w:val="21"/>
                <w:szCs w:val="21"/>
              </w:rPr>
            </w:pPr>
          </w:p>
        </w:tc>
      </w:tr>
      <w:tr w14:paraId="2C9070E1">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5B3B7">
            <w:pPr>
              <w:jc w:val="center"/>
              <w:textAlignment w:val="center"/>
              <w:rPr>
                <w:rFonts w:hint="eastAsia"/>
                <w:sz w:val="21"/>
                <w:szCs w:val="21"/>
              </w:rPr>
            </w:pPr>
            <w:r>
              <w:rPr>
                <w:rFonts w:hint="eastAsia"/>
                <w:sz w:val="21"/>
                <w:szCs w:val="21"/>
              </w:rPr>
              <w:t>9</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C509E">
            <w:pPr>
              <w:jc w:val="left"/>
              <w:textAlignment w:val="center"/>
              <w:rPr>
                <w:rFonts w:hint="eastAsia" w:cs="宋体"/>
                <w:kern w:val="0"/>
                <w:sz w:val="21"/>
                <w:szCs w:val="21"/>
                <w:lang w:bidi="ar"/>
              </w:rPr>
            </w:pPr>
            <w:r>
              <w:rPr>
                <w:rFonts w:hint="eastAsia" w:cs="宋体"/>
                <w:kern w:val="0"/>
                <w:sz w:val="21"/>
                <w:szCs w:val="21"/>
                <w:lang w:bidi="ar"/>
              </w:rPr>
              <w:t>施工现场有毒有害物品存放等处设置醒目安全标志，配备应急设施。</w:t>
            </w:r>
          </w:p>
        </w:tc>
        <w:tc>
          <w:tcPr>
            <w:tcW w:w="4111" w:type="dxa"/>
            <w:vMerge w:val="continue"/>
            <w:tcBorders>
              <w:left w:val="single" w:color="000000" w:sz="4" w:space="0"/>
              <w:right w:val="single" w:color="000000" w:sz="4" w:space="0"/>
            </w:tcBorders>
            <w:shd w:val="clear" w:color="auto" w:fill="auto"/>
            <w:vAlign w:val="center"/>
          </w:tcPr>
          <w:p w14:paraId="21ED8EC6">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AFF72">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69720">
            <w:pPr>
              <w:jc w:val="center"/>
              <w:rPr>
                <w:rFonts w:hint="eastAsia" w:cs="宋体"/>
                <w:sz w:val="21"/>
                <w:szCs w:val="21"/>
              </w:rPr>
            </w:pPr>
          </w:p>
        </w:tc>
      </w:tr>
      <w:tr w14:paraId="7F4723BC">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741CD">
            <w:pPr>
              <w:jc w:val="center"/>
              <w:textAlignment w:val="center"/>
              <w:rPr>
                <w:rFonts w:hint="eastAsia"/>
                <w:sz w:val="21"/>
                <w:szCs w:val="21"/>
              </w:rPr>
            </w:pPr>
            <w:r>
              <w:rPr>
                <w:rFonts w:hint="eastAsia"/>
                <w:sz w:val="21"/>
                <w:szCs w:val="21"/>
              </w:rPr>
              <w:t>10</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43C0D">
            <w:pPr>
              <w:jc w:val="left"/>
              <w:textAlignment w:val="center"/>
              <w:rPr>
                <w:rFonts w:hint="eastAsia" w:cs="宋体"/>
                <w:kern w:val="0"/>
                <w:sz w:val="21"/>
                <w:szCs w:val="21"/>
                <w:lang w:bidi="ar"/>
              </w:rPr>
            </w:pPr>
            <w:r>
              <w:rPr>
                <w:rFonts w:hint="eastAsia" w:cs="宋体"/>
                <w:kern w:val="0"/>
                <w:sz w:val="21"/>
                <w:szCs w:val="21"/>
                <w:lang w:bidi="ar"/>
              </w:rPr>
              <w:t>深井、密闭环境、防水和室内装修施工时，应设置通风设施。</w:t>
            </w:r>
          </w:p>
        </w:tc>
        <w:tc>
          <w:tcPr>
            <w:tcW w:w="4111" w:type="dxa"/>
            <w:vMerge w:val="continue"/>
            <w:tcBorders>
              <w:left w:val="single" w:color="000000" w:sz="4" w:space="0"/>
              <w:right w:val="single" w:color="000000" w:sz="4" w:space="0"/>
            </w:tcBorders>
            <w:shd w:val="clear" w:color="auto" w:fill="auto"/>
            <w:vAlign w:val="center"/>
          </w:tcPr>
          <w:p w14:paraId="61708BB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E141A">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5EAA1">
            <w:pPr>
              <w:jc w:val="center"/>
              <w:rPr>
                <w:rFonts w:hint="eastAsia" w:cs="宋体"/>
                <w:sz w:val="21"/>
                <w:szCs w:val="21"/>
              </w:rPr>
            </w:pPr>
          </w:p>
        </w:tc>
      </w:tr>
      <w:tr w14:paraId="0213D7F9">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2F03C">
            <w:pPr>
              <w:jc w:val="center"/>
              <w:textAlignment w:val="center"/>
              <w:rPr>
                <w:rFonts w:hint="eastAsia"/>
                <w:sz w:val="21"/>
                <w:szCs w:val="21"/>
              </w:rPr>
            </w:pPr>
            <w:r>
              <w:rPr>
                <w:rFonts w:hint="eastAsia"/>
                <w:sz w:val="21"/>
                <w:szCs w:val="21"/>
              </w:rPr>
              <w:t>11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72143">
            <w:pPr>
              <w:jc w:val="left"/>
              <w:textAlignment w:val="center"/>
              <w:rPr>
                <w:rFonts w:hint="eastAsia" w:cs="宋体"/>
                <w:kern w:val="0"/>
                <w:sz w:val="21"/>
                <w:szCs w:val="21"/>
                <w:lang w:bidi="ar"/>
              </w:rPr>
            </w:pPr>
            <w:r>
              <w:rPr>
                <w:rFonts w:hint="eastAsia" w:cs="宋体"/>
                <w:kern w:val="0"/>
                <w:sz w:val="21"/>
                <w:szCs w:val="21"/>
                <w:lang w:bidi="ar"/>
              </w:rPr>
              <w:t>施工现场设置安全教育体验区，对施工人员进行安全教育和安全施工知识培训。</w:t>
            </w:r>
          </w:p>
        </w:tc>
        <w:tc>
          <w:tcPr>
            <w:tcW w:w="4111" w:type="dxa"/>
            <w:vMerge w:val="continue"/>
            <w:tcBorders>
              <w:left w:val="single" w:color="000000" w:sz="4" w:space="0"/>
              <w:right w:val="single" w:color="000000" w:sz="4" w:space="0"/>
            </w:tcBorders>
            <w:shd w:val="clear" w:color="auto" w:fill="auto"/>
            <w:vAlign w:val="center"/>
          </w:tcPr>
          <w:p w14:paraId="6603DDA8">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B5976">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3DF21">
            <w:pPr>
              <w:jc w:val="center"/>
              <w:rPr>
                <w:rFonts w:hint="eastAsia" w:cs="宋体"/>
                <w:sz w:val="21"/>
                <w:szCs w:val="21"/>
              </w:rPr>
            </w:pPr>
          </w:p>
        </w:tc>
      </w:tr>
      <w:tr w14:paraId="40C07EF3">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11CFC">
            <w:pPr>
              <w:jc w:val="center"/>
              <w:textAlignment w:val="center"/>
              <w:rPr>
                <w:rFonts w:hint="eastAsia" w:cs="宋体"/>
                <w:kern w:val="0"/>
                <w:sz w:val="21"/>
                <w:szCs w:val="21"/>
                <w:lang w:bidi="ar"/>
              </w:rPr>
            </w:pPr>
            <w:r>
              <w:rPr>
                <w:rFonts w:hint="eastAsia" w:cs="宋体"/>
                <w:kern w:val="0"/>
                <w:sz w:val="21"/>
                <w:szCs w:val="21"/>
                <w:lang w:bidi="ar"/>
              </w:rPr>
              <w:t>12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1CBDD">
            <w:pPr>
              <w:jc w:val="left"/>
              <w:textAlignment w:val="center"/>
              <w:rPr>
                <w:rFonts w:hint="eastAsia" w:cs="宋体"/>
                <w:kern w:val="0"/>
                <w:sz w:val="21"/>
                <w:szCs w:val="21"/>
                <w:lang w:bidi="ar"/>
              </w:rPr>
            </w:pPr>
            <w:r>
              <w:rPr>
                <w:rFonts w:hint="eastAsia" w:cs="宋体"/>
                <w:kern w:val="0"/>
                <w:sz w:val="21"/>
                <w:szCs w:val="21"/>
                <w:lang w:bidi="ar"/>
              </w:rPr>
              <w:t>生活区设置密闭式垃圾箱，垃圾分类存放，使用彩色垃圾箱，并在箱体上喷涂垃圾种类便于区分，垃圾箱附近定期灭蝇，每天产生的垃圾及时清运。</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43869F5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CE14C">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BD5AA">
            <w:pPr>
              <w:jc w:val="center"/>
              <w:rPr>
                <w:rFonts w:hint="eastAsia" w:cs="宋体"/>
                <w:sz w:val="21"/>
                <w:szCs w:val="21"/>
              </w:rPr>
            </w:pPr>
          </w:p>
        </w:tc>
      </w:tr>
      <w:tr w14:paraId="12D76C78">
        <w:tblPrEx>
          <w:tblCellMar>
            <w:top w:w="0" w:type="dxa"/>
            <w:left w:w="108" w:type="dxa"/>
            <w:bottom w:w="0" w:type="dxa"/>
            <w:right w:w="108" w:type="dxa"/>
          </w:tblCellMar>
        </w:tblPrEx>
        <w:trPr>
          <w:trHeight w:val="45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2FFDA">
            <w:pPr>
              <w:jc w:val="center"/>
              <w:textAlignment w:val="center"/>
              <w:rPr>
                <w:rFonts w:hint="eastAsia" w:cs="宋体"/>
                <w:kern w:val="0"/>
                <w:sz w:val="21"/>
                <w:szCs w:val="21"/>
                <w:lang w:bidi="ar"/>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E244A">
            <w:pPr>
              <w:jc w:val="left"/>
              <w:textAlignment w:val="center"/>
              <w:rPr>
                <w:rFonts w:hint="eastAsia" w:cs="宋体"/>
                <w:kern w:val="0"/>
                <w:sz w:val="21"/>
                <w:szCs w:val="21"/>
                <w:lang w:bidi="ar"/>
              </w:rPr>
            </w:pPr>
            <w:r>
              <w:rPr>
                <w:rFonts w:hint="eastAsia" w:cs="宋体"/>
                <w:kern w:val="0"/>
                <w:sz w:val="21"/>
                <w:szCs w:val="21"/>
                <w:lang w:bidi="ar"/>
              </w:rPr>
              <w:t>专用项</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2F968">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6F268">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E61B6">
            <w:pPr>
              <w:jc w:val="center"/>
              <w:rPr>
                <w:rFonts w:hint="eastAsia" w:cs="宋体"/>
                <w:sz w:val="21"/>
                <w:szCs w:val="21"/>
              </w:rPr>
            </w:pPr>
          </w:p>
        </w:tc>
      </w:tr>
      <w:tr w14:paraId="111E1C42">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8FA0D">
            <w:pPr>
              <w:jc w:val="center"/>
              <w:textAlignment w:val="center"/>
              <w:rPr>
                <w:rFonts w:hint="eastAsia" w:cs="宋体"/>
                <w:kern w:val="0"/>
                <w:sz w:val="21"/>
                <w:szCs w:val="21"/>
                <w:lang w:bidi="ar"/>
              </w:rPr>
            </w:pPr>
            <w:r>
              <w:rPr>
                <w:rFonts w:hint="eastAsia" w:cs="宋体"/>
                <w:kern w:val="0"/>
                <w:sz w:val="21"/>
                <w:szCs w:val="21"/>
                <w:lang w:bidi="ar"/>
              </w:rPr>
              <w:t>6.2.10</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DC958">
            <w:pPr>
              <w:jc w:val="left"/>
              <w:rPr>
                <w:rFonts w:hint="eastAsia"/>
                <w:sz w:val="21"/>
                <w:szCs w:val="21"/>
              </w:rPr>
            </w:pPr>
            <w:r>
              <w:rPr>
                <w:rFonts w:hint="eastAsia" w:cs="宋体"/>
                <w:kern w:val="0"/>
                <w:sz w:val="21"/>
                <w:szCs w:val="21"/>
                <w:lang w:bidi="ar"/>
              </w:rPr>
              <w:t>火电工程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2224B">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A4B53">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86BD8">
            <w:pPr>
              <w:jc w:val="center"/>
              <w:rPr>
                <w:rFonts w:hint="eastAsia" w:cs="宋体"/>
                <w:sz w:val="21"/>
                <w:szCs w:val="21"/>
              </w:rPr>
            </w:pPr>
          </w:p>
        </w:tc>
      </w:tr>
      <w:tr w14:paraId="161AE907">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EBAD6">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279AF">
            <w:pPr>
              <w:jc w:val="left"/>
              <w:rPr>
                <w:rFonts w:hint="eastAsia"/>
                <w:sz w:val="21"/>
                <w:szCs w:val="21"/>
              </w:rPr>
            </w:pPr>
            <w:r>
              <w:rPr>
                <w:rFonts w:hint="eastAsia" w:cs="宋体"/>
                <w:kern w:val="0"/>
                <w:sz w:val="21"/>
                <w:szCs w:val="21"/>
                <w:lang w:bidi="ar"/>
              </w:rPr>
              <w:t>燃煤发电工程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31586">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DA58C">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4CD0A">
            <w:pPr>
              <w:jc w:val="center"/>
              <w:rPr>
                <w:rFonts w:hint="eastAsia" w:cs="宋体"/>
                <w:sz w:val="21"/>
                <w:szCs w:val="21"/>
              </w:rPr>
            </w:pPr>
          </w:p>
        </w:tc>
      </w:tr>
      <w:tr w14:paraId="431E30A3">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A76B4">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8A3F9">
            <w:pPr>
              <w:jc w:val="left"/>
              <w:rPr>
                <w:rFonts w:hint="eastAsia" w:cs="宋体"/>
                <w:sz w:val="21"/>
                <w:szCs w:val="21"/>
              </w:rPr>
            </w:pPr>
            <w:r>
              <w:rPr>
                <w:sz w:val="21"/>
                <w:szCs w:val="21"/>
              </w:rPr>
              <w:t>烟尘、二氧化硫、氮氧化物等大气污染物排放浓度满足各地要求。</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3F972CFF">
            <w:pPr>
              <w:jc w:val="left"/>
              <w:rPr>
                <w:rFonts w:hint="eastAsia"/>
                <w:sz w:val="21"/>
                <w:szCs w:val="21"/>
              </w:rPr>
            </w:pPr>
            <w:r>
              <w:rPr>
                <w:rFonts w:hint="eastAsia"/>
                <w:sz w:val="21"/>
                <w:szCs w:val="21"/>
              </w:rPr>
              <w:t>每项子目实得分根据现场实际情况按照标准分乘以相应系数进行评分：</w:t>
            </w:r>
          </w:p>
          <w:p w14:paraId="25A60C8D">
            <w:pPr>
              <w:jc w:val="left"/>
              <w:rPr>
                <w:rFonts w:hint="eastAsia"/>
                <w:sz w:val="21"/>
                <w:szCs w:val="21"/>
              </w:rPr>
            </w:pPr>
            <w:r>
              <w:rPr>
                <w:rFonts w:hint="eastAsia"/>
                <w:sz w:val="21"/>
                <w:szCs w:val="21"/>
              </w:rPr>
              <w:t>1、措施到位，满足评价指标要求系数为1；</w:t>
            </w:r>
          </w:p>
          <w:p w14:paraId="6E3C55DC">
            <w:pPr>
              <w:jc w:val="left"/>
              <w:rPr>
                <w:rFonts w:hint="eastAsia" w:cs="宋体"/>
                <w:sz w:val="21"/>
                <w:szCs w:val="21"/>
              </w:rPr>
            </w:pPr>
            <w:r>
              <w:rPr>
                <w:rFonts w:hint="eastAsia"/>
                <w:sz w:val="21"/>
                <w:szCs w:val="21"/>
              </w:rPr>
              <w:t>2、措施到位，基本满足评价指标要求系数按照0.5~0.9酌情选取；</w:t>
            </w:r>
          </w:p>
          <w:p w14:paraId="1BB6D48E">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51A56">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02B68">
            <w:pPr>
              <w:jc w:val="center"/>
              <w:rPr>
                <w:rFonts w:hint="eastAsia" w:cs="宋体"/>
                <w:sz w:val="21"/>
                <w:szCs w:val="21"/>
              </w:rPr>
            </w:pPr>
          </w:p>
        </w:tc>
      </w:tr>
      <w:tr w14:paraId="0171AECF">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CC0CB">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D14F2">
            <w:pPr>
              <w:jc w:val="left"/>
              <w:rPr>
                <w:rFonts w:hint="eastAsia" w:cs="宋体"/>
                <w:sz w:val="21"/>
                <w:szCs w:val="21"/>
              </w:rPr>
            </w:pPr>
            <w:r>
              <w:rPr>
                <w:sz w:val="21"/>
                <w:szCs w:val="21"/>
              </w:rPr>
              <w:t>锅炉化学清洗废液及设备、管道冲洗废水、废油等有毒有害废弃物及时回收且交有资质的单位处理，严禁废液外排。</w:t>
            </w:r>
          </w:p>
        </w:tc>
        <w:tc>
          <w:tcPr>
            <w:tcW w:w="4111" w:type="dxa"/>
            <w:vMerge w:val="continue"/>
            <w:tcBorders>
              <w:left w:val="single" w:color="000000" w:sz="4" w:space="0"/>
              <w:right w:val="single" w:color="000000" w:sz="4" w:space="0"/>
            </w:tcBorders>
            <w:shd w:val="clear" w:color="auto" w:fill="auto"/>
            <w:vAlign w:val="center"/>
          </w:tcPr>
          <w:p w14:paraId="69D962A6">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A793B">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9C119">
            <w:pPr>
              <w:jc w:val="center"/>
              <w:rPr>
                <w:rFonts w:hint="eastAsia" w:cs="宋体"/>
                <w:sz w:val="21"/>
                <w:szCs w:val="21"/>
              </w:rPr>
            </w:pPr>
          </w:p>
        </w:tc>
      </w:tr>
      <w:tr w14:paraId="4D9D6D33">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BDCB2">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E538F">
            <w:pPr>
              <w:jc w:val="left"/>
              <w:rPr>
                <w:rFonts w:hint="eastAsia"/>
                <w:sz w:val="21"/>
                <w:szCs w:val="21"/>
              </w:rPr>
            </w:pPr>
            <w:r>
              <w:rPr>
                <w:sz w:val="21"/>
                <w:szCs w:val="21"/>
              </w:rPr>
              <w:t>锅炉清洗</w:t>
            </w:r>
            <w:r>
              <w:rPr>
                <w:rFonts w:hint="eastAsia"/>
                <w:sz w:val="21"/>
                <w:szCs w:val="21"/>
              </w:rPr>
              <w:t>应为施工人员配备防护服、手套、护目镜、呼吸过滤器、面罩等设备，用以保护施工</w:t>
            </w:r>
            <w:r>
              <w:rPr>
                <w:sz w:val="21"/>
                <w:szCs w:val="21"/>
              </w:rPr>
              <w:t>过程中接触联氨、氨水人员。</w:t>
            </w:r>
          </w:p>
        </w:tc>
        <w:tc>
          <w:tcPr>
            <w:tcW w:w="4111" w:type="dxa"/>
            <w:vMerge w:val="continue"/>
            <w:tcBorders>
              <w:left w:val="single" w:color="000000" w:sz="4" w:space="0"/>
              <w:right w:val="single" w:color="000000" w:sz="4" w:space="0"/>
            </w:tcBorders>
            <w:shd w:val="clear" w:color="auto" w:fill="auto"/>
            <w:vAlign w:val="center"/>
          </w:tcPr>
          <w:p w14:paraId="7BB87171">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5017F">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75250">
            <w:pPr>
              <w:jc w:val="center"/>
              <w:rPr>
                <w:rFonts w:hint="eastAsia" w:cs="宋体"/>
                <w:sz w:val="21"/>
                <w:szCs w:val="21"/>
              </w:rPr>
            </w:pPr>
          </w:p>
        </w:tc>
      </w:tr>
      <w:tr w14:paraId="1D955803">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328D4">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204AF">
            <w:pPr>
              <w:jc w:val="left"/>
              <w:rPr>
                <w:rFonts w:hint="eastAsia"/>
                <w:sz w:val="21"/>
                <w:szCs w:val="21"/>
              </w:rPr>
            </w:pPr>
            <w:r>
              <w:rPr>
                <w:sz w:val="21"/>
                <w:szCs w:val="21"/>
              </w:rPr>
              <w:t>锅炉烟风道及汽机中低压管道等喷砂、抛丸、切割等易产生扬尘或噪声场所采取防尘降噪措施，高空电焊作业采取避免电焊弧光外泄遮挡措施。</w:t>
            </w:r>
          </w:p>
        </w:tc>
        <w:tc>
          <w:tcPr>
            <w:tcW w:w="4111" w:type="dxa"/>
            <w:vMerge w:val="continue"/>
            <w:tcBorders>
              <w:left w:val="single" w:color="000000" w:sz="4" w:space="0"/>
              <w:right w:val="single" w:color="000000" w:sz="4" w:space="0"/>
            </w:tcBorders>
            <w:shd w:val="clear" w:color="auto" w:fill="auto"/>
            <w:vAlign w:val="center"/>
          </w:tcPr>
          <w:p w14:paraId="0EAAAC35">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D1FD5">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AF928">
            <w:pPr>
              <w:jc w:val="center"/>
              <w:rPr>
                <w:rFonts w:hint="eastAsia" w:cs="宋体"/>
                <w:sz w:val="21"/>
                <w:szCs w:val="21"/>
              </w:rPr>
            </w:pPr>
          </w:p>
        </w:tc>
      </w:tr>
      <w:tr w14:paraId="0A225C76">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E34D3">
            <w:pPr>
              <w:jc w:val="center"/>
              <w:textAlignment w:val="center"/>
              <w:rPr>
                <w:rFonts w:hint="eastAsia" w:cs="宋体"/>
                <w:kern w:val="0"/>
                <w:sz w:val="21"/>
                <w:szCs w:val="21"/>
                <w:lang w:bidi="ar"/>
              </w:rPr>
            </w:pPr>
            <w:r>
              <w:rPr>
                <w:rFonts w:hint="eastAsia" w:cs="宋体"/>
                <w:kern w:val="0"/>
                <w:sz w:val="21"/>
                <w:szCs w:val="21"/>
                <w:lang w:bidi="ar"/>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D2BF1">
            <w:pPr>
              <w:jc w:val="left"/>
              <w:rPr>
                <w:rFonts w:hint="eastAsia"/>
                <w:sz w:val="21"/>
                <w:szCs w:val="21"/>
              </w:rPr>
            </w:pPr>
            <w:r>
              <w:rPr>
                <w:sz w:val="21"/>
                <w:szCs w:val="21"/>
              </w:rPr>
              <w:t>锅炉吹管前发布公告、告知厂区区域噪音影响，并确认周边区域收到相应告知</w:t>
            </w:r>
            <w:r>
              <w:rPr>
                <w:rFonts w:hint="eastAsia"/>
                <w:sz w:val="21"/>
                <w:szCs w:val="21"/>
              </w:rPr>
              <w:t>；</w:t>
            </w:r>
            <w:r>
              <w:rPr>
                <w:sz w:val="21"/>
                <w:szCs w:val="21"/>
              </w:rPr>
              <w:t>吹管期间，</w:t>
            </w:r>
            <w:r>
              <w:rPr>
                <w:rFonts w:hint="eastAsia"/>
                <w:sz w:val="21"/>
                <w:szCs w:val="21"/>
              </w:rPr>
              <w:t>设置有效的消音措施。</w:t>
            </w:r>
          </w:p>
        </w:tc>
        <w:tc>
          <w:tcPr>
            <w:tcW w:w="4111" w:type="dxa"/>
            <w:vMerge w:val="continue"/>
            <w:tcBorders>
              <w:left w:val="single" w:color="000000" w:sz="4" w:space="0"/>
              <w:right w:val="single" w:color="000000" w:sz="4" w:space="0"/>
            </w:tcBorders>
            <w:shd w:val="clear" w:color="auto" w:fill="auto"/>
            <w:vAlign w:val="center"/>
          </w:tcPr>
          <w:p w14:paraId="1C2B7340">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128A7">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176AB">
            <w:pPr>
              <w:jc w:val="center"/>
              <w:rPr>
                <w:rFonts w:hint="eastAsia" w:cs="宋体"/>
                <w:sz w:val="21"/>
                <w:szCs w:val="21"/>
              </w:rPr>
            </w:pPr>
          </w:p>
        </w:tc>
      </w:tr>
      <w:tr w14:paraId="2450888A">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1C247">
            <w:pPr>
              <w:jc w:val="center"/>
              <w:textAlignment w:val="center"/>
              <w:rPr>
                <w:rFonts w:hint="eastAsia" w:cs="宋体"/>
                <w:kern w:val="0"/>
                <w:sz w:val="21"/>
                <w:szCs w:val="21"/>
                <w:lang w:bidi="ar"/>
              </w:rPr>
            </w:pPr>
            <w:r>
              <w:rPr>
                <w:rFonts w:hint="eastAsia" w:cs="宋体"/>
                <w:kern w:val="0"/>
                <w:sz w:val="21"/>
                <w:szCs w:val="21"/>
                <w:lang w:bidi="ar"/>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70C76">
            <w:pPr>
              <w:jc w:val="left"/>
              <w:rPr>
                <w:rFonts w:hint="eastAsia"/>
                <w:sz w:val="21"/>
                <w:szCs w:val="21"/>
              </w:rPr>
            </w:pPr>
            <w:r>
              <w:rPr>
                <w:sz w:val="21"/>
                <w:szCs w:val="21"/>
              </w:rPr>
              <w:t>保温防腐施工采取措施减少对环境的污染</w:t>
            </w:r>
            <w:r>
              <w:rPr>
                <w:rFonts w:hint="eastAsia"/>
                <w:sz w:val="21"/>
                <w:szCs w:val="21"/>
              </w:rPr>
              <w:t>，</w:t>
            </w:r>
            <w:r>
              <w:rPr>
                <w:sz w:val="21"/>
                <w:szCs w:val="21"/>
              </w:rPr>
              <w:t>产生的废弃物及时清理并合法处置。</w:t>
            </w:r>
          </w:p>
        </w:tc>
        <w:tc>
          <w:tcPr>
            <w:tcW w:w="4111" w:type="dxa"/>
            <w:vMerge w:val="continue"/>
            <w:tcBorders>
              <w:left w:val="single" w:color="000000" w:sz="4" w:space="0"/>
              <w:right w:val="single" w:color="000000" w:sz="4" w:space="0"/>
            </w:tcBorders>
            <w:shd w:val="clear" w:color="auto" w:fill="auto"/>
            <w:vAlign w:val="center"/>
          </w:tcPr>
          <w:p w14:paraId="2B35EF9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492AC">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BBA22">
            <w:pPr>
              <w:jc w:val="center"/>
              <w:rPr>
                <w:rFonts w:hint="eastAsia" w:cs="宋体"/>
                <w:sz w:val="21"/>
                <w:szCs w:val="21"/>
              </w:rPr>
            </w:pPr>
          </w:p>
        </w:tc>
      </w:tr>
      <w:tr w14:paraId="3F4329DC">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2D5F9">
            <w:pPr>
              <w:jc w:val="center"/>
              <w:textAlignment w:val="center"/>
              <w:rPr>
                <w:rFonts w:hint="eastAsia" w:cs="宋体"/>
                <w:kern w:val="0"/>
                <w:sz w:val="21"/>
                <w:szCs w:val="21"/>
                <w:lang w:bidi="ar"/>
              </w:rPr>
            </w:pPr>
            <w:r>
              <w:rPr>
                <w:rFonts w:hint="eastAsia" w:cs="宋体"/>
                <w:kern w:val="0"/>
                <w:sz w:val="21"/>
                <w:szCs w:val="21"/>
                <w:lang w:bidi="ar"/>
              </w:rPr>
              <w:t>7)</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78201">
            <w:pPr>
              <w:jc w:val="left"/>
              <w:rPr>
                <w:rFonts w:hint="eastAsia"/>
                <w:sz w:val="21"/>
                <w:szCs w:val="21"/>
              </w:rPr>
            </w:pPr>
            <w:r>
              <w:rPr>
                <w:sz w:val="21"/>
                <w:szCs w:val="21"/>
              </w:rPr>
              <w:t>燃油系统油循环完成后，清理滤油器</w:t>
            </w:r>
            <w:r>
              <w:rPr>
                <w:rFonts w:hint="eastAsia"/>
                <w:sz w:val="21"/>
                <w:szCs w:val="21"/>
              </w:rPr>
              <w:t>应采取避免污染地面的措施</w:t>
            </w:r>
            <w:r>
              <w:rPr>
                <w:sz w:val="21"/>
                <w:szCs w:val="21"/>
              </w:rPr>
              <w:t>。</w:t>
            </w:r>
          </w:p>
        </w:tc>
        <w:tc>
          <w:tcPr>
            <w:tcW w:w="4111" w:type="dxa"/>
            <w:vMerge w:val="continue"/>
            <w:tcBorders>
              <w:left w:val="single" w:color="000000" w:sz="4" w:space="0"/>
              <w:right w:val="single" w:color="000000" w:sz="4" w:space="0"/>
            </w:tcBorders>
            <w:shd w:val="clear" w:color="auto" w:fill="auto"/>
            <w:vAlign w:val="center"/>
          </w:tcPr>
          <w:p w14:paraId="72B34451">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0BD1A">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37B04">
            <w:pPr>
              <w:jc w:val="center"/>
              <w:rPr>
                <w:rFonts w:hint="eastAsia" w:cs="宋体"/>
                <w:sz w:val="21"/>
                <w:szCs w:val="21"/>
              </w:rPr>
            </w:pPr>
          </w:p>
        </w:tc>
      </w:tr>
      <w:tr w14:paraId="0965212C">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9BBDC">
            <w:pPr>
              <w:jc w:val="center"/>
              <w:textAlignment w:val="center"/>
              <w:rPr>
                <w:rFonts w:hint="eastAsia" w:cs="宋体"/>
                <w:kern w:val="0"/>
                <w:sz w:val="21"/>
                <w:szCs w:val="21"/>
                <w:lang w:bidi="ar"/>
              </w:rPr>
            </w:pPr>
            <w:r>
              <w:rPr>
                <w:rFonts w:hint="eastAsia" w:cs="宋体"/>
                <w:kern w:val="0"/>
                <w:sz w:val="21"/>
                <w:szCs w:val="21"/>
                <w:lang w:bidi="ar"/>
              </w:rPr>
              <w:t>8)</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89FB8">
            <w:pPr>
              <w:jc w:val="left"/>
              <w:rPr>
                <w:rFonts w:hint="eastAsia"/>
                <w:sz w:val="21"/>
                <w:szCs w:val="21"/>
              </w:rPr>
            </w:pPr>
            <w:r>
              <w:rPr>
                <w:sz w:val="21"/>
                <w:szCs w:val="21"/>
              </w:rPr>
              <w:t>辅机设备循环用油、废油，统一回收处理。</w:t>
            </w:r>
          </w:p>
        </w:tc>
        <w:tc>
          <w:tcPr>
            <w:tcW w:w="4111" w:type="dxa"/>
            <w:vMerge w:val="continue"/>
            <w:tcBorders>
              <w:left w:val="single" w:color="000000" w:sz="4" w:space="0"/>
              <w:right w:val="single" w:color="000000" w:sz="4" w:space="0"/>
            </w:tcBorders>
            <w:shd w:val="clear" w:color="auto" w:fill="auto"/>
            <w:vAlign w:val="center"/>
          </w:tcPr>
          <w:p w14:paraId="1A34238C">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47332">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42DFE">
            <w:pPr>
              <w:jc w:val="center"/>
              <w:rPr>
                <w:rFonts w:hint="eastAsia" w:cs="宋体"/>
                <w:sz w:val="21"/>
                <w:szCs w:val="21"/>
              </w:rPr>
            </w:pPr>
          </w:p>
        </w:tc>
      </w:tr>
      <w:tr w14:paraId="79E069F1">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65BCC">
            <w:pPr>
              <w:jc w:val="center"/>
              <w:textAlignment w:val="center"/>
              <w:rPr>
                <w:rFonts w:hint="eastAsia" w:cs="宋体"/>
                <w:kern w:val="0"/>
                <w:sz w:val="21"/>
                <w:szCs w:val="21"/>
                <w:lang w:bidi="ar"/>
              </w:rPr>
            </w:pPr>
            <w:r>
              <w:rPr>
                <w:rFonts w:hint="eastAsia" w:cs="宋体"/>
                <w:kern w:val="0"/>
                <w:sz w:val="21"/>
                <w:szCs w:val="21"/>
                <w:lang w:bidi="ar"/>
              </w:rPr>
              <w:t>9)</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C472B">
            <w:pPr>
              <w:jc w:val="left"/>
              <w:rPr>
                <w:rFonts w:hint="eastAsia"/>
                <w:sz w:val="21"/>
                <w:szCs w:val="21"/>
              </w:rPr>
            </w:pPr>
            <w:r>
              <w:rPr>
                <w:sz w:val="21"/>
                <w:szCs w:val="21"/>
              </w:rPr>
              <w:t>现场放射源保管使用按《放射性同位素与射线装置安全和防护条例》（国务院第449</w:t>
            </w:r>
            <w:r>
              <w:rPr>
                <w:rFonts w:hint="eastAsia"/>
                <w:sz w:val="21"/>
                <w:szCs w:val="21"/>
              </w:rPr>
              <w:t>号令）制订安全使用和防护措施。</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7873474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3AA4A">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8DE2E">
            <w:pPr>
              <w:jc w:val="center"/>
              <w:rPr>
                <w:rFonts w:hint="eastAsia" w:cs="宋体"/>
                <w:sz w:val="21"/>
                <w:szCs w:val="21"/>
              </w:rPr>
            </w:pPr>
          </w:p>
        </w:tc>
      </w:tr>
      <w:tr w14:paraId="0557D788">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D3D96">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060DB">
            <w:pPr>
              <w:jc w:val="left"/>
              <w:rPr>
                <w:rFonts w:hint="eastAsia" w:cs="宋体"/>
                <w:sz w:val="21"/>
                <w:szCs w:val="21"/>
              </w:rPr>
            </w:pPr>
            <w:r>
              <w:rPr>
                <w:rFonts w:hint="eastAsia" w:cs="宋体"/>
                <w:kern w:val="0"/>
                <w:sz w:val="21"/>
                <w:szCs w:val="21"/>
                <w:lang w:bidi="ar"/>
              </w:rPr>
              <w:t>燃气蒸汽联合循环发电工程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0A8B1">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48750">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7C908">
            <w:pPr>
              <w:jc w:val="center"/>
              <w:rPr>
                <w:rFonts w:hint="eastAsia" w:cs="宋体"/>
                <w:sz w:val="21"/>
                <w:szCs w:val="21"/>
              </w:rPr>
            </w:pPr>
          </w:p>
        </w:tc>
      </w:tr>
      <w:tr w14:paraId="57FDC98B">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4228C">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E19CB">
            <w:pPr>
              <w:jc w:val="left"/>
              <w:rPr>
                <w:rFonts w:hint="eastAsia" w:cs="宋体"/>
                <w:sz w:val="21"/>
                <w:szCs w:val="21"/>
              </w:rPr>
            </w:pPr>
            <w:r>
              <w:rPr>
                <w:rFonts w:hint="eastAsia"/>
                <w:sz w:val="21"/>
                <w:szCs w:val="21"/>
              </w:rPr>
              <w:t>执行燃煤发电工程</w:t>
            </w:r>
            <w:r>
              <w:rPr>
                <w:sz w:val="21"/>
                <w:szCs w:val="21"/>
              </w:rPr>
              <w:t>1）-9）条。</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50905EC8">
            <w:pPr>
              <w:jc w:val="left"/>
              <w:rPr>
                <w:rFonts w:hint="eastAsia"/>
                <w:sz w:val="21"/>
                <w:szCs w:val="21"/>
              </w:rPr>
            </w:pPr>
            <w:r>
              <w:rPr>
                <w:rFonts w:hint="eastAsia"/>
                <w:sz w:val="21"/>
                <w:szCs w:val="21"/>
              </w:rPr>
              <w:t>每项子目实得分根据现场实际情况按照标准分乘以相应系数进行评分：</w:t>
            </w:r>
          </w:p>
          <w:p w14:paraId="4D90F6EC">
            <w:pPr>
              <w:jc w:val="left"/>
              <w:rPr>
                <w:rFonts w:hint="eastAsia"/>
                <w:sz w:val="21"/>
                <w:szCs w:val="21"/>
              </w:rPr>
            </w:pPr>
            <w:r>
              <w:rPr>
                <w:rFonts w:hint="eastAsia"/>
                <w:sz w:val="21"/>
                <w:szCs w:val="21"/>
              </w:rPr>
              <w:t>1、措施到位，满足评价指标要求系数为1；</w:t>
            </w:r>
          </w:p>
          <w:p w14:paraId="4D5D9486">
            <w:pPr>
              <w:jc w:val="left"/>
              <w:rPr>
                <w:rFonts w:hint="eastAsia" w:cs="宋体"/>
                <w:sz w:val="21"/>
                <w:szCs w:val="21"/>
              </w:rPr>
            </w:pPr>
            <w:r>
              <w:rPr>
                <w:rFonts w:hint="eastAsia"/>
                <w:sz w:val="21"/>
                <w:szCs w:val="21"/>
              </w:rPr>
              <w:t>2、措施到位，基本满足评价指标要求系数按照0.5~0.9酌情选取；</w:t>
            </w:r>
          </w:p>
          <w:p w14:paraId="1A17BBE3">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FB9D3">
            <w:pPr>
              <w:jc w:val="center"/>
              <w:rPr>
                <w:rFonts w:hint="eastAsia" w:cs="宋体"/>
                <w:sz w:val="21"/>
                <w:szCs w:val="21"/>
              </w:rPr>
            </w:pPr>
            <w:r>
              <w:rPr>
                <w:rFonts w:hint="eastAsia" w:cs="宋体"/>
                <w:sz w:val="21"/>
                <w:szCs w:val="21"/>
              </w:rPr>
              <w:t>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89CA1">
            <w:pPr>
              <w:jc w:val="center"/>
              <w:rPr>
                <w:rFonts w:hint="eastAsia" w:cs="宋体"/>
                <w:sz w:val="21"/>
                <w:szCs w:val="21"/>
              </w:rPr>
            </w:pPr>
          </w:p>
        </w:tc>
      </w:tr>
      <w:tr w14:paraId="74DF91F2">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9B97B">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D714F">
            <w:pPr>
              <w:jc w:val="left"/>
              <w:rPr>
                <w:rFonts w:hint="eastAsia" w:cs="宋体"/>
                <w:sz w:val="21"/>
                <w:szCs w:val="21"/>
              </w:rPr>
            </w:pPr>
            <w:r>
              <w:rPr>
                <w:sz w:val="21"/>
                <w:szCs w:val="21"/>
              </w:rPr>
              <w:t>燃气泄露量控制应达标。</w:t>
            </w:r>
          </w:p>
        </w:tc>
        <w:tc>
          <w:tcPr>
            <w:tcW w:w="4111" w:type="dxa"/>
            <w:vMerge w:val="continue"/>
            <w:tcBorders>
              <w:left w:val="single" w:color="000000" w:sz="4" w:space="0"/>
              <w:right w:val="single" w:color="000000" w:sz="4" w:space="0"/>
            </w:tcBorders>
            <w:shd w:val="clear" w:color="auto" w:fill="auto"/>
            <w:vAlign w:val="center"/>
          </w:tcPr>
          <w:p w14:paraId="3BB0C46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C9CE9">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C4E2A">
            <w:pPr>
              <w:jc w:val="center"/>
              <w:rPr>
                <w:rFonts w:hint="eastAsia" w:cs="宋体"/>
                <w:sz w:val="21"/>
                <w:szCs w:val="21"/>
              </w:rPr>
            </w:pPr>
          </w:p>
        </w:tc>
      </w:tr>
      <w:tr w14:paraId="3401242B">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EF84F">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8D13B">
            <w:pPr>
              <w:jc w:val="left"/>
              <w:rPr>
                <w:rFonts w:hint="eastAsia" w:cs="宋体"/>
                <w:sz w:val="21"/>
                <w:szCs w:val="21"/>
              </w:rPr>
            </w:pPr>
            <w:r>
              <w:rPr>
                <w:sz w:val="21"/>
                <w:szCs w:val="21"/>
              </w:rPr>
              <w:t>燃机底板表面</w:t>
            </w:r>
            <w:r>
              <w:rPr>
                <w:rFonts w:hint="eastAsia"/>
                <w:sz w:val="21"/>
                <w:szCs w:val="21"/>
              </w:rPr>
              <w:t>清理所用的</w:t>
            </w:r>
            <w:r>
              <w:rPr>
                <w:sz w:val="21"/>
                <w:szCs w:val="21"/>
              </w:rPr>
              <w:t>煤油</w:t>
            </w:r>
            <w:r>
              <w:rPr>
                <w:rFonts w:hint="eastAsia"/>
                <w:sz w:val="21"/>
                <w:szCs w:val="21"/>
              </w:rPr>
              <w:t>应</w:t>
            </w:r>
            <w:r>
              <w:rPr>
                <w:sz w:val="21"/>
                <w:szCs w:val="21"/>
              </w:rPr>
              <w:t>统一回收处理</w:t>
            </w:r>
            <w:r>
              <w:rPr>
                <w:rFonts w:hint="eastAsia"/>
                <w:sz w:val="21"/>
                <w:szCs w:val="21"/>
              </w:rPr>
              <w:t>。</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463F98CE">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5DE8C">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74DD0">
            <w:pPr>
              <w:jc w:val="center"/>
              <w:rPr>
                <w:rFonts w:hint="eastAsia" w:cs="宋体"/>
                <w:sz w:val="21"/>
                <w:szCs w:val="21"/>
              </w:rPr>
            </w:pPr>
          </w:p>
        </w:tc>
      </w:tr>
      <w:tr w14:paraId="6763210E">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545FC">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AAF82">
            <w:pPr>
              <w:jc w:val="left"/>
              <w:rPr>
                <w:rFonts w:hint="eastAsia" w:cs="宋体"/>
                <w:sz w:val="21"/>
                <w:szCs w:val="21"/>
              </w:rPr>
            </w:pPr>
            <w:r>
              <w:rPr>
                <w:rFonts w:hint="eastAsia" w:cs="宋体"/>
                <w:kern w:val="0"/>
                <w:sz w:val="21"/>
                <w:szCs w:val="21"/>
                <w:lang w:bidi="ar"/>
              </w:rPr>
              <w:t>垃圾焚烧发电工程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BFBB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3C3F7">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1AE93">
            <w:pPr>
              <w:jc w:val="center"/>
              <w:rPr>
                <w:rFonts w:hint="eastAsia" w:cs="宋体"/>
                <w:sz w:val="21"/>
                <w:szCs w:val="21"/>
              </w:rPr>
            </w:pPr>
          </w:p>
        </w:tc>
      </w:tr>
      <w:tr w14:paraId="14F1203B">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80640">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4C23B">
            <w:pPr>
              <w:jc w:val="left"/>
              <w:rPr>
                <w:rFonts w:hint="eastAsia" w:cs="宋体"/>
                <w:sz w:val="21"/>
                <w:szCs w:val="21"/>
              </w:rPr>
            </w:pPr>
            <w:r>
              <w:rPr>
                <w:rFonts w:hint="eastAsia"/>
                <w:sz w:val="21"/>
                <w:szCs w:val="21"/>
              </w:rPr>
              <w:t>执行燃煤发电工程</w:t>
            </w:r>
            <w:r>
              <w:rPr>
                <w:sz w:val="21"/>
                <w:szCs w:val="21"/>
              </w:rPr>
              <w:t>1）-9）条。</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056C2A61">
            <w:pPr>
              <w:jc w:val="left"/>
              <w:rPr>
                <w:rFonts w:hint="eastAsia"/>
                <w:sz w:val="21"/>
                <w:szCs w:val="21"/>
              </w:rPr>
            </w:pPr>
            <w:r>
              <w:rPr>
                <w:rFonts w:hint="eastAsia"/>
                <w:sz w:val="21"/>
                <w:szCs w:val="21"/>
              </w:rPr>
              <w:t>每项子目实得分根据现场实际情况按照标准分乘以相应系数进行评分：</w:t>
            </w:r>
          </w:p>
          <w:p w14:paraId="21A26FA8">
            <w:pPr>
              <w:jc w:val="left"/>
              <w:rPr>
                <w:rFonts w:hint="eastAsia"/>
                <w:sz w:val="21"/>
                <w:szCs w:val="21"/>
              </w:rPr>
            </w:pPr>
            <w:r>
              <w:rPr>
                <w:rFonts w:hint="eastAsia"/>
                <w:sz w:val="21"/>
                <w:szCs w:val="21"/>
              </w:rPr>
              <w:t>1、措施到位，满足评价指标要求系数为1；</w:t>
            </w:r>
          </w:p>
          <w:p w14:paraId="6FA23E25">
            <w:pPr>
              <w:jc w:val="left"/>
              <w:rPr>
                <w:rFonts w:hint="eastAsia" w:cs="宋体"/>
                <w:sz w:val="21"/>
                <w:szCs w:val="21"/>
              </w:rPr>
            </w:pPr>
            <w:r>
              <w:rPr>
                <w:rFonts w:hint="eastAsia"/>
                <w:sz w:val="21"/>
                <w:szCs w:val="21"/>
              </w:rPr>
              <w:t>2、措施到位，基本满足评价指标要求系数按照0.5~0.9酌情选取；</w:t>
            </w:r>
          </w:p>
          <w:p w14:paraId="3E370189">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2B46B">
            <w:pPr>
              <w:jc w:val="center"/>
              <w:rPr>
                <w:rFonts w:hint="eastAsia" w:cs="宋体"/>
                <w:sz w:val="21"/>
                <w:szCs w:val="21"/>
              </w:rPr>
            </w:pPr>
            <w:r>
              <w:rPr>
                <w:rFonts w:hint="eastAsia" w:cs="宋体"/>
                <w:sz w:val="21"/>
                <w:szCs w:val="21"/>
              </w:rPr>
              <w:t>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049EF">
            <w:pPr>
              <w:jc w:val="center"/>
              <w:rPr>
                <w:rFonts w:hint="eastAsia" w:cs="宋体"/>
                <w:sz w:val="21"/>
                <w:szCs w:val="21"/>
              </w:rPr>
            </w:pPr>
          </w:p>
        </w:tc>
      </w:tr>
      <w:tr w14:paraId="3515E331">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E3913">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045DF">
            <w:pPr>
              <w:jc w:val="left"/>
              <w:rPr>
                <w:rFonts w:hint="eastAsia" w:cs="宋体"/>
                <w:sz w:val="21"/>
                <w:szCs w:val="21"/>
              </w:rPr>
            </w:pPr>
            <w:r>
              <w:rPr>
                <w:sz w:val="21"/>
                <w:szCs w:val="21"/>
              </w:rPr>
              <w:t>垃圾仓</w:t>
            </w:r>
            <w:r>
              <w:rPr>
                <w:rFonts w:hint="eastAsia"/>
                <w:sz w:val="21"/>
                <w:szCs w:val="21"/>
              </w:rPr>
              <w:t>的</w:t>
            </w:r>
            <w:r>
              <w:rPr>
                <w:sz w:val="21"/>
                <w:szCs w:val="21"/>
              </w:rPr>
              <w:t>安全、耐久性</w:t>
            </w:r>
            <w:r>
              <w:rPr>
                <w:rFonts w:hint="eastAsia"/>
                <w:sz w:val="21"/>
                <w:szCs w:val="21"/>
              </w:rPr>
              <w:t>应</w:t>
            </w:r>
            <w:r>
              <w:rPr>
                <w:sz w:val="21"/>
                <w:szCs w:val="21"/>
              </w:rPr>
              <w:t>检测合格，满足结构安全和环境安全要求。</w:t>
            </w:r>
          </w:p>
        </w:tc>
        <w:tc>
          <w:tcPr>
            <w:tcW w:w="4111" w:type="dxa"/>
            <w:vMerge w:val="continue"/>
            <w:tcBorders>
              <w:left w:val="single" w:color="000000" w:sz="4" w:space="0"/>
              <w:right w:val="single" w:color="000000" w:sz="4" w:space="0"/>
            </w:tcBorders>
            <w:shd w:val="clear" w:color="auto" w:fill="auto"/>
            <w:vAlign w:val="center"/>
          </w:tcPr>
          <w:p w14:paraId="45D57027">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C5C04">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2C2BF">
            <w:pPr>
              <w:jc w:val="center"/>
              <w:rPr>
                <w:rFonts w:hint="eastAsia" w:cs="宋体"/>
                <w:sz w:val="21"/>
                <w:szCs w:val="21"/>
              </w:rPr>
            </w:pPr>
          </w:p>
        </w:tc>
      </w:tr>
      <w:tr w14:paraId="626327BA">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9A56C">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BD2D0">
            <w:pPr>
              <w:jc w:val="left"/>
              <w:rPr>
                <w:rFonts w:hint="eastAsia" w:cs="宋体"/>
                <w:sz w:val="21"/>
                <w:szCs w:val="21"/>
              </w:rPr>
            </w:pPr>
            <w:r>
              <w:rPr>
                <w:sz w:val="21"/>
                <w:szCs w:val="21"/>
              </w:rPr>
              <w:t>垃圾焚烧发电</w:t>
            </w:r>
            <w:r>
              <w:rPr>
                <w:rFonts w:hint="eastAsia"/>
                <w:sz w:val="21"/>
                <w:szCs w:val="21"/>
              </w:rPr>
              <w:t>机组</w:t>
            </w:r>
            <w:r>
              <w:rPr>
                <w:sz w:val="21"/>
                <w:szCs w:val="21"/>
              </w:rPr>
              <w:t>排放烟气中颗粒物、二氧化硫、氮氧化物、氯化氢、重金属及其他化合物、二噁英类等污染物排放浓度满足各地要求。</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74A34057">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82E16">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CCBCC">
            <w:pPr>
              <w:jc w:val="center"/>
              <w:rPr>
                <w:rFonts w:hint="eastAsia" w:cs="宋体"/>
                <w:sz w:val="21"/>
                <w:szCs w:val="21"/>
              </w:rPr>
            </w:pPr>
          </w:p>
        </w:tc>
      </w:tr>
      <w:tr w14:paraId="222A6356">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7E383">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FE35F">
            <w:pPr>
              <w:jc w:val="left"/>
              <w:rPr>
                <w:rFonts w:hint="eastAsia" w:cs="宋体"/>
                <w:sz w:val="21"/>
                <w:szCs w:val="21"/>
              </w:rPr>
            </w:pPr>
            <w:r>
              <w:rPr>
                <w:rFonts w:hint="eastAsia" w:cs="宋体"/>
                <w:kern w:val="0"/>
                <w:sz w:val="21"/>
                <w:szCs w:val="21"/>
                <w:lang w:bidi="ar"/>
              </w:rPr>
              <w:t>生物质发电工程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271A0">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DF737">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1EEFF">
            <w:pPr>
              <w:jc w:val="center"/>
              <w:rPr>
                <w:rFonts w:hint="eastAsia" w:cs="宋体"/>
                <w:sz w:val="21"/>
                <w:szCs w:val="21"/>
              </w:rPr>
            </w:pPr>
          </w:p>
        </w:tc>
      </w:tr>
      <w:tr w14:paraId="29DD9C90">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1A4A6">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64CF2">
            <w:pPr>
              <w:jc w:val="left"/>
              <w:rPr>
                <w:rFonts w:hint="eastAsia" w:cs="宋体"/>
                <w:sz w:val="21"/>
                <w:szCs w:val="21"/>
              </w:rPr>
            </w:pPr>
            <w:r>
              <w:rPr>
                <w:rFonts w:hint="eastAsia"/>
                <w:sz w:val="21"/>
                <w:szCs w:val="21"/>
              </w:rPr>
              <w:t>执行燃煤发电工程</w:t>
            </w:r>
            <w:r>
              <w:rPr>
                <w:sz w:val="21"/>
                <w:szCs w:val="21"/>
              </w:rPr>
              <w:t>1）-9）条。</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2B52F">
            <w:pPr>
              <w:jc w:val="left"/>
              <w:rPr>
                <w:rFonts w:hint="eastAsia"/>
                <w:sz w:val="21"/>
                <w:szCs w:val="21"/>
              </w:rPr>
            </w:pPr>
            <w:r>
              <w:rPr>
                <w:rFonts w:hint="eastAsia"/>
                <w:sz w:val="21"/>
                <w:szCs w:val="21"/>
              </w:rPr>
              <w:t>每项子目实得分根据现场实际情况按照标准分乘以相应系数进行评分：</w:t>
            </w:r>
          </w:p>
          <w:p w14:paraId="372D9AAD">
            <w:pPr>
              <w:jc w:val="left"/>
              <w:rPr>
                <w:rFonts w:hint="eastAsia"/>
                <w:sz w:val="21"/>
                <w:szCs w:val="21"/>
              </w:rPr>
            </w:pPr>
            <w:r>
              <w:rPr>
                <w:rFonts w:hint="eastAsia"/>
                <w:sz w:val="21"/>
                <w:szCs w:val="21"/>
              </w:rPr>
              <w:t>1、措施到位，满足评价指标要求系数为1；</w:t>
            </w:r>
          </w:p>
          <w:p w14:paraId="6B93A714">
            <w:pPr>
              <w:jc w:val="left"/>
              <w:rPr>
                <w:rFonts w:hint="eastAsia" w:cs="宋体"/>
                <w:sz w:val="21"/>
                <w:szCs w:val="21"/>
              </w:rPr>
            </w:pPr>
            <w:r>
              <w:rPr>
                <w:rFonts w:hint="eastAsia"/>
                <w:sz w:val="21"/>
                <w:szCs w:val="21"/>
              </w:rPr>
              <w:t>2、措施到位，基本满足评价指标要求系数按照0.5~0.9酌情选取；</w:t>
            </w:r>
          </w:p>
          <w:p w14:paraId="1A7D8801">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74AD4">
            <w:pPr>
              <w:jc w:val="center"/>
              <w:rPr>
                <w:rFonts w:hint="eastAsia" w:cs="宋体"/>
                <w:sz w:val="21"/>
                <w:szCs w:val="21"/>
              </w:rPr>
            </w:pPr>
            <w:r>
              <w:rPr>
                <w:rFonts w:hint="eastAsia" w:cs="宋体"/>
                <w:sz w:val="21"/>
                <w:szCs w:val="21"/>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E9742">
            <w:pPr>
              <w:jc w:val="center"/>
              <w:rPr>
                <w:rFonts w:hint="eastAsia" w:cs="宋体"/>
                <w:sz w:val="21"/>
                <w:szCs w:val="21"/>
              </w:rPr>
            </w:pPr>
          </w:p>
        </w:tc>
      </w:tr>
      <w:tr w14:paraId="25D02029">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C1522">
            <w:pPr>
              <w:jc w:val="center"/>
              <w:textAlignment w:val="center"/>
              <w:rPr>
                <w:rFonts w:hint="eastAsia" w:cs="宋体"/>
                <w:kern w:val="0"/>
                <w:sz w:val="21"/>
                <w:szCs w:val="21"/>
                <w:lang w:bidi="ar"/>
              </w:rPr>
            </w:pPr>
            <w:r>
              <w:rPr>
                <w:rFonts w:hint="eastAsia" w:cs="宋体"/>
                <w:kern w:val="0"/>
                <w:sz w:val="21"/>
                <w:szCs w:val="21"/>
                <w:lang w:bidi="ar"/>
              </w:rPr>
              <w:t>6.2.11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38481">
            <w:pPr>
              <w:jc w:val="left"/>
              <w:rPr>
                <w:rFonts w:hint="eastAsia" w:cs="宋体"/>
                <w:sz w:val="21"/>
                <w:szCs w:val="21"/>
              </w:rPr>
            </w:pPr>
            <w:r>
              <w:rPr>
                <w:rFonts w:hint="eastAsia" w:cs="宋体"/>
                <w:kern w:val="0"/>
                <w:sz w:val="21"/>
                <w:szCs w:val="21"/>
                <w:lang w:bidi="ar"/>
              </w:rPr>
              <w:t>水力发电（含抽水蓄能）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F29D2">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438ED">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8BB8E">
            <w:pPr>
              <w:jc w:val="center"/>
              <w:rPr>
                <w:rFonts w:hint="eastAsia" w:cs="宋体"/>
                <w:sz w:val="21"/>
                <w:szCs w:val="21"/>
              </w:rPr>
            </w:pPr>
          </w:p>
        </w:tc>
      </w:tr>
      <w:tr w14:paraId="33404034">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E9C30">
            <w:pPr>
              <w:jc w:val="center"/>
              <w:textAlignment w:val="center"/>
              <w:rPr>
                <w:rFonts w:hint="eastAsia" w:cs="宋体"/>
                <w:kern w:val="0"/>
                <w:sz w:val="21"/>
                <w:szCs w:val="21"/>
                <w:lang w:bidi="ar"/>
              </w:rPr>
            </w:pPr>
            <w:r>
              <w:rPr>
                <w:rFonts w:hint="eastAsia" w:cs="宋体"/>
                <w:kern w:val="0"/>
                <w:sz w:val="21"/>
                <w:szCs w:val="21"/>
                <w:lang w:bidi="ar"/>
              </w:rPr>
              <w:t>1</w:t>
            </w:r>
            <w:r>
              <w:rPr>
                <w:rFonts w:cs="宋体"/>
                <w:kern w:val="0"/>
                <w:sz w:val="21"/>
                <w:szCs w:val="21"/>
                <w:lang w:bidi="ar"/>
              </w:rPr>
              <w:t>)</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AA85D">
            <w:pPr>
              <w:jc w:val="left"/>
              <w:rPr>
                <w:rFonts w:hint="eastAsia" w:cs="宋体"/>
                <w:kern w:val="0"/>
                <w:sz w:val="21"/>
                <w:szCs w:val="21"/>
                <w:lang w:bidi="ar"/>
              </w:rPr>
            </w:pPr>
            <w:r>
              <w:rPr>
                <w:rFonts w:hint="eastAsia" w:cs="宋体"/>
                <w:kern w:val="0"/>
                <w:sz w:val="21"/>
                <w:szCs w:val="21"/>
                <w:lang w:bidi="ar"/>
              </w:rPr>
              <w:t>水电站施工过程中应减轻对周边生态环境的扰动，临时用地应及时覆绿，采取有效的水土保持措施。</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68C9EA33">
            <w:pPr>
              <w:rPr>
                <w:rFonts w:hint="eastAsia" w:cs="宋体"/>
                <w:sz w:val="21"/>
                <w:szCs w:val="21"/>
              </w:rPr>
            </w:pPr>
            <w:r>
              <w:rPr>
                <w:rFonts w:hint="eastAsia" w:cs="宋体"/>
                <w:sz w:val="21"/>
                <w:szCs w:val="21"/>
              </w:rPr>
              <w:t>每项子目实得分根据现场实际情况按照标准分乘以相应系数进行评分：</w:t>
            </w:r>
          </w:p>
          <w:p w14:paraId="252A8E74">
            <w:pPr>
              <w:rPr>
                <w:rFonts w:hint="eastAsia" w:cs="宋体"/>
                <w:sz w:val="21"/>
                <w:szCs w:val="21"/>
              </w:rPr>
            </w:pPr>
            <w:r>
              <w:rPr>
                <w:rFonts w:hint="eastAsia" w:cs="宋体"/>
                <w:sz w:val="21"/>
                <w:szCs w:val="21"/>
              </w:rPr>
              <w:t>1、措施到位，满足评价指标要求系数为1；</w:t>
            </w:r>
          </w:p>
          <w:p w14:paraId="6CA7CF81">
            <w:pPr>
              <w:rPr>
                <w:rFonts w:hint="eastAsia" w:cs="宋体"/>
                <w:sz w:val="21"/>
                <w:szCs w:val="21"/>
              </w:rPr>
            </w:pPr>
            <w:r>
              <w:rPr>
                <w:rFonts w:hint="eastAsia" w:cs="宋体"/>
                <w:sz w:val="21"/>
                <w:szCs w:val="21"/>
              </w:rPr>
              <w:t>2、措施到位，基本满足评价指标要求系数按照0.5~0.9酌情选取；</w:t>
            </w:r>
          </w:p>
          <w:p w14:paraId="7CD0801F">
            <w:pPr>
              <w:jc w:val="left"/>
              <w:rPr>
                <w:rFonts w:hint="eastAsia" w:cs="宋体"/>
                <w:sz w:val="21"/>
                <w:szCs w:val="21"/>
              </w:rPr>
            </w:pPr>
            <w:r>
              <w:rPr>
                <w:rFonts w:hint="eastAsia" w:cs="宋体"/>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013A1">
            <w:pPr>
              <w:jc w:val="center"/>
              <w:rPr>
                <w:rFonts w:hint="eastAsia" w:cs="宋体"/>
                <w:sz w:val="21"/>
                <w:szCs w:val="21"/>
              </w:rPr>
            </w:pPr>
            <w:r>
              <w:rPr>
                <w:rFonts w:hint="eastAsia" w:cs="宋体"/>
                <w:sz w:val="21"/>
                <w:szCs w:val="21"/>
              </w:rPr>
              <w:t>0</w:t>
            </w:r>
            <w:r>
              <w:rPr>
                <w:rFonts w:cs="宋体"/>
                <w:sz w:val="21"/>
                <w:szCs w:val="21"/>
              </w:rPr>
              <w:t>.4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DF6C1">
            <w:pPr>
              <w:jc w:val="center"/>
              <w:rPr>
                <w:rFonts w:hint="eastAsia" w:cs="宋体"/>
                <w:sz w:val="21"/>
                <w:szCs w:val="21"/>
              </w:rPr>
            </w:pPr>
          </w:p>
        </w:tc>
      </w:tr>
      <w:tr w14:paraId="299FC54E">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BC88F">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9DC3B">
            <w:pPr>
              <w:jc w:val="left"/>
              <w:rPr>
                <w:rFonts w:hint="eastAsia" w:cs="宋体"/>
                <w:kern w:val="0"/>
                <w:sz w:val="21"/>
                <w:szCs w:val="21"/>
                <w:lang w:bidi="ar"/>
              </w:rPr>
            </w:pPr>
            <w:r>
              <w:rPr>
                <w:rFonts w:hint="eastAsia" w:cs="宋体"/>
                <w:kern w:val="0"/>
                <w:sz w:val="21"/>
                <w:szCs w:val="21"/>
                <w:lang w:bidi="ar"/>
              </w:rPr>
              <w:t>受工程建设影响的特有鱼类保护措施合理，鱼类增殖站、过鱼设施等工程措施运行良好。</w:t>
            </w:r>
          </w:p>
        </w:tc>
        <w:tc>
          <w:tcPr>
            <w:tcW w:w="4111" w:type="dxa"/>
            <w:vMerge w:val="continue"/>
            <w:tcBorders>
              <w:left w:val="single" w:color="000000" w:sz="4" w:space="0"/>
              <w:right w:val="single" w:color="000000" w:sz="4" w:space="0"/>
            </w:tcBorders>
            <w:shd w:val="clear" w:color="auto" w:fill="auto"/>
            <w:vAlign w:val="center"/>
          </w:tcPr>
          <w:p w14:paraId="6002ABC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5FF03">
            <w:pPr>
              <w:jc w:val="center"/>
              <w:rPr>
                <w:rFonts w:hint="eastAsia" w:cs="宋体"/>
                <w:sz w:val="21"/>
                <w:szCs w:val="21"/>
              </w:rPr>
            </w:pPr>
            <w:r>
              <w:rPr>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4F59F">
            <w:pPr>
              <w:jc w:val="center"/>
              <w:rPr>
                <w:rFonts w:hint="eastAsia" w:cs="宋体"/>
                <w:sz w:val="21"/>
                <w:szCs w:val="21"/>
              </w:rPr>
            </w:pPr>
          </w:p>
        </w:tc>
      </w:tr>
      <w:tr w14:paraId="2D3ECA4E">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11494">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F6A67">
            <w:pPr>
              <w:jc w:val="left"/>
              <w:rPr>
                <w:rFonts w:hint="eastAsia" w:cs="宋体"/>
                <w:kern w:val="0"/>
                <w:sz w:val="21"/>
                <w:szCs w:val="21"/>
                <w:lang w:bidi="ar"/>
              </w:rPr>
            </w:pPr>
            <w:r>
              <w:rPr>
                <w:rFonts w:hint="eastAsia" w:cs="宋体"/>
                <w:kern w:val="0"/>
                <w:sz w:val="21"/>
                <w:szCs w:val="21"/>
                <w:lang w:bidi="ar"/>
              </w:rPr>
              <w:t>水库淹没区内特有的动物、植物保护措施合理，效果良好。</w:t>
            </w:r>
          </w:p>
        </w:tc>
        <w:tc>
          <w:tcPr>
            <w:tcW w:w="4111" w:type="dxa"/>
            <w:vMerge w:val="continue"/>
            <w:tcBorders>
              <w:left w:val="single" w:color="000000" w:sz="4" w:space="0"/>
              <w:right w:val="single" w:color="000000" w:sz="4" w:space="0"/>
            </w:tcBorders>
            <w:shd w:val="clear" w:color="auto" w:fill="auto"/>
            <w:vAlign w:val="center"/>
          </w:tcPr>
          <w:p w14:paraId="4B81B5FA">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F1960">
            <w:pPr>
              <w:jc w:val="center"/>
              <w:rPr>
                <w:rFonts w:hint="eastAsia" w:cs="宋体"/>
                <w:sz w:val="21"/>
                <w:szCs w:val="21"/>
              </w:rPr>
            </w:pPr>
            <w:r>
              <w:rPr>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D64C0">
            <w:pPr>
              <w:jc w:val="center"/>
              <w:rPr>
                <w:rFonts w:hint="eastAsia" w:cs="宋体"/>
                <w:sz w:val="21"/>
                <w:szCs w:val="21"/>
              </w:rPr>
            </w:pPr>
          </w:p>
        </w:tc>
      </w:tr>
      <w:tr w14:paraId="34ACECE3">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3E0C9">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35FAE">
            <w:pPr>
              <w:jc w:val="left"/>
              <w:rPr>
                <w:rFonts w:hint="eastAsia" w:cs="宋体"/>
                <w:kern w:val="0"/>
                <w:sz w:val="21"/>
                <w:szCs w:val="21"/>
                <w:lang w:bidi="ar"/>
              </w:rPr>
            </w:pPr>
            <w:r>
              <w:rPr>
                <w:rFonts w:hint="eastAsia" w:cs="宋体"/>
                <w:kern w:val="0"/>
                <w:sz w:val="21"/>
                <w:szCs w:val="21"/>
                <w:lang w:bidi="ar"/>
              </w:rPr>
              <w:t>边坡开挖施工作业，采取有效拦挡措施，避免石渣入江。</w:t>
            </w:r>
          </w:p>
        </w:tc>
        <w:tc>
          <w:tcPr>
            <w:tcW w:w="4111" w:type="dxa"/>
            <w:vMerge w:val="continue"/>
            <w:tcBorders>
              <w:left w:val="single" w:color="000000" w:sz="4" w:space="0"/>
              <w:right w:val="single" w:color="000000" w:sz="4" w:space="0"/>
            </w:tcBorders>
            <w:shd w:val="clear" w:color="auto" w:fill="auto"/>
            <w:vAlign w:val="center"/>
          </w:tcPr>
          <w:p w14:paraId="26EA55D4">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B61AA">
            <w:pPr>
              <w:jc w:val="center"/>
              <w:rPr>
                <w:rFonts w:hint="eastAsia" w:cs="宋体"/>
                <w:sz w:val="21"/>
                <w:szCs w:val="21"/>
              </w:rPr>
            </w:pPr>
            <w:r>
              <w:rPr>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E5A5A">
            <w:pPr>
              <w:jc w:val="center"/>
              <w:rPr>
                <w:rFonts w:hint="eastAsia" w:cs="宋体"/>
                <w:sz w:val="21"/>
                <w:szCs w:val="21"/>
              </w:rPr>
            </w:pPr>
          </w:p>
        </w:tc>
      </w:tr>
      <w:tr w14:paraId="19EC34A2">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89129">
            <w:pPr>
              <w:jc w:val="center"/>
              <w:textAlignment w:val="center"/>
              <w:rPr>
                <w:rFonts w:hint="eastAsia" w:cs="宋体"/>
                <w:kern w:val="0"/>
                <w:sz w:val="21"/>
                <w:szCs w:val="21"/>
                <w:lang w:bidi="ar"/>
              </w:rPr>
            </w:pPr>
            <w:r>
              <w:rPr>
                <w:rFonts w:hint="eastAsia" w:cs="宋体"/>
                <w:kern w:val="0"/>
                <w:sz w:val="21"/>
                <w:szCs w:val="21"/>
                <w:lang w:bidi="ar"/>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5C3CA">
            <w:pPr>
              <w:jc w:val="left"/>
              <w:rPr>
                <w:rFonts w:hint="eastAsia" w:cs="宋体"/>
                <w:kern w:val="0"/>
                <w:sz w:val="21"/>
                <w:szCs w:val="21"/>
                <w:lang w:bidi="ar"/>
              </w:rPr>
            </w:pPr>
            <w:r>
              <w:rPr>
                <w:rFonts w:hint="eastAsia" w:cs="宋体"/>
                <w:kern w:val="0"/>
                <w:sz w:val="21"/>
                <w:szCs w:val="21"/>
                <w:lang w:bidi="ar"/>
              </w:rPr>
              <w:t>爆破开挖施工使用的火工材料管理规范，专用仓库储存，专用车辆运输，专业人员操作。</w:t>
            </w:r>
          </w:p>
        </w:tc>
        <w:tc>
          <w:tcPr>
            <w:tcW w:w="4111" w:type="dxa"/>
            <w:vMerge w:val="continue"/>
            <w:tcBorders>
              <w:left w:val="single" w:color="000000" w:sz="4" w:space="0"/>
              <w:right w:val="single" w:color="000000" w:sz="4" w:space="0"/>
            </w:tcBorders>
            <w:shd w:val="clear" w:color="auto" w:fill="auto"/>
            <w:vAlign w:val="center"/>
          </w:tcPr>
          <w:p w14:paraId="4024D375">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0F662">
            <w:pPr>
              <w:jc w:val="center"/>
              <w:rPr>
                <w:rFonts w:hint="eastAsia" w:cs="宋体"/>
                <w:sz w:val="21"/>
                <w:szCs w:val="21"/>
              </w:rPr>
            </w:pPr>
            <w:r>
              <w:rPr>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9075C">
            <w:pPr>
              <w:jc w:val="center"/>
              <w:rPr>
                <w:rFonts w:hint="eastAsia" w:cs="宋体"/>
                <w:sz w:val="21"/>
                <w:szCs w:val="21"/>
              </w:rPr>
            </w:pPr>
          </w:p>
        </w:tc>
      </w:tr>
      <w:tr w14:paraId="527333CF">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BE706">
            <w:pPr>
              <w:jc w:val="center"/>
              <w:textAlignment w:val="center"/>
              <w:rPr>
                <w:rFonts w:hint="eastAsia" w:cs="宋体"/>
                <w:kern w:val="0"/>
                <w:sz w:val="21"/>
                <w:szCs w:val="21"/>
                <w:lang w:bidi="ar"/>
              </w:rPr>
            </w:pPr>
            <w:r>
              <w:rPr>
                <w:rFonts w:hint="eastAsia" w:cs="宋体"/>
                <w:kern w:val="0"/>
                <w:sz w:val="21"/>
                <w:szCs w:val="21"/>
                <w:lang w:bidi="ar"/>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A7F2F">
            <w:pPr>
              <w:jc w:val="left"/>
              <w:rPr>
                <w:rFonts w:hint="eastAsia" w:cs="宋体"/>
                <w:kern w:val="0"/>
                <w:sz w:val="21"/>
                <w:szCs w:val="21"/>
                <w:lang w:bidi="ar"/>
              </w:rPr>
            </w:pPr>
            <w:r>
              <w:rPr>
                <w:rFonts w:hint="eastAsia" w:cs="宋体"/>
                <w:kern w:val="0"/>
                <w:sz w:val="21"/>
                <w:szCs w:val="21"/>
                <w:lang w:bidi="ar"/>
              </w:rPr>
              <w:t>泄洪预警设施运行正常，泄洪前发布公告，并确认预警区域收到相应告知。</w:t>
            </w:r>
          </w:p>
        </w:tc>
        <w:tc>
          <w:tcPr>
            <w:tcW w:w="4111" w:type="dxa"/>
            <w:vMerge w:val="continue"/>
            <w:tcBorders>
              <w:left w:val="single" w:color="000000" w:sz="4" w:space="0"/>
              <w:right w:val="single" w:color="000000" w:sz="4" w:space="0"/>
            </w:tcBorders>
            <w:shd w:val="clear" w:color="auto" w:fill="auto"/>
            <w:vAlign w:val="center"/>
          </w:tcPr>
          <w:p w14:paraId="397E1C25">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A8AD6">
            <w:pPr>
              <w:jc w:val="center"/>
              <w:rPr>
                <w:rFonts w:hint="eastAsia" w:cs="宋体"/>
                <w:sz w:val="21"/>
                <w:szCs w:val="21"/>
              </w:rPr>
            </w:pPr>
            <w:r>
              <w:rPr>
                <w:sz w:val="21"/>
                <w:szCs w:val="21"/>
              </w:rPr>
              <w:t>0.3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D13F3">
            <w:pPr>
              <w:jc w:val="center"/>
              <w:rPr>
                <w:rFonts w:hint="eastAsia" w:cs="宋体"/>
                <w:sz w:val="21"/>
                <w:szCs w:val="21"/>
              </w:rPr>
            </w:pPr>
          </w:p>
        </w:tc>
      </w:tr>
      <w:tr w14:paraId="6017B017">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76092">
            <w:pPr>
              <w:jc w:val="center"/>
              <w:textAlignment w:val="center"/>
              <w:rPr>
                <w:rFonts w:hint="eastAsia" w:cs="宋体"/>
                <w:kern w:val="0"/>
                <w:sz w:val="21"/>
                <w:szCs w:val="21"/>
                <w:lang w:bidi="ar"/>
              </w:rPr>
            </w:pPr>
            <w:r>
              <w:rPr>
                <w:rFonts w:hint="eastAsia" w:cs="宋体"/>
                <w:kern w:val="0"/>
                <w:sz w:val="21"/>
                <w:szCs w:val="21"/>
                <w:lang w:bidi="ar"/>
              </w:rPr>
              <w:t>7)</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088BF">
            <w:pPr>
              <w:jc w:val="left"/>
              <w:rPr>
                <w:rFonts w:hint="eastAsia" w:cs="宋体"/>
                <w:kern w:val="0"/>
                <w:sz w:val="21"/>
                <w:szCs w:val="21"/>
                <w:lang w:bidi="ar"/>
              </w:rPr>
            </w:pPr>
            <w:r>
              <w:rPr>
                <w:rFonts w:hint="eastAsia" w:cs="宋体"/>
                <w:kern w:val="0"/>
                <w:sz w:val="21"/>
                <w:szCs w:val="21"/>
                <w:lang w:bidi="ar"/>
              </w:rPr>
              <w:t>对易发泥石流、山体滑坡等地质灾害工程项目的生活办公营地、生产设备设施、施工现场及周边环境开展地质灾害隐患排查，制定和落实防范措施。</w:t>
            </w:r>
          </w:p>
        </w:tc>
        <w:tc>
          <w:tcPr>
            <w:tcW w:w="4111" w:type="dxa"/>
            <w:vMerge w:val="continue"/>
            <w:tcBorders>
              <w:left w:val="single" w:color="000000" w:sz="4" w:space="0"/>
              <w:right w:val="single" w:color="000000" w:sz="4" w:space="0"/>
            </w:tcBorders>
            <w:shd w:val="clear" w:color="auto" w:fill="auto"/>
            <w:vAlign w:val="center"/>
          </w:tcPr>
          <w:p w14:paraId="5C6ADAB5">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52AFF">
            <w:pPr>
              <w:jc w:val="center"/>
              <w:rPr>
                <w:rFonts w:hint="eastAsia" w:cs="宋体"/>
                <w:sz w:val="21"/>
                <w:szCs w:val="21"/>
              </w:rPr>
            </w:pPr>
            <w:r>
              <w:rPr>
                <w:sz w:val="21"/>
                <w:szCs w:val="21"/>
              </w:rPr>
              <w:t>0.3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F38EE">
            <w:pPr>
              <w:jc w:val="center"/>
              <w:rPr>
                <w:rFonts w:hint="eastAsia" w:cs="宋体"/>
                <w:sz w:val="21"/>
                <w:szCs w:val="21"/>
              </w:rPr>
            </w:pPr>
          </w:p>
        </w:tc>
      </w:tr>
      <w:tr w14:paraId="0FF8A75B">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B53F4">
            <w:pPr>
              <w:jc w:val="center"/>
              <w:textAlignment w:val="center"/>
              <w:rPr>
                <w:rFonts w:hint="eastAsia" w:cs="宋体"/>
                <w:kern w:val="0"/>
                <w:sz w:val="21"/>
                <w:szCs w:val="21"/>
                <w:lang w:bidi="ar"/>
              </w:rPr>
            </w:pPr>
            <w:r>
              <w:rPr>
                <w:rFonts w:hint="eastAsia" w:cs="宋体"/>
                <w:kern w:val="0"/>
                <w:sz w:val="21"/>
                <w:szCs w:val="21"/>
                <w:lang w:bidi="ar"/>
              </w:rPr>
              <w:t>8)</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0613A">
            <w:pPr>
              <w:jc w:val="left"/>
              <w:rPr>
                <w:rFonts w:hint="eastAsia" w:cs="宋体"/>
                <w:kern w:val="0"/>
                <w:sz w:val="21"/>
                <w:szCs w:val="21"/>
                <w:lang w:bidi="ar"/>
              </w:rPr>
            </w:pPr>
            <w:r>
              <w:rPr>
                <w:rFonts w:hint="eastAsia" w:cs="宋体"/>
                <w:kern w:val="0"/>
                <w:sz w:val="21"/>
                <w:szCs w:val="21"/>
                <w:lang w:bidi="ar"/>
              </w:rPr>
              <w:t>边坡、洞室喷混凝土施工采用湿喷工艺，减轻环境污染。</w:t>
            </w:r>
          </w:p>
        </w:tc>
        <w:tc>
          <w:tcPr>
            <w:tcW w:w="4111" w:type="dxa"/>
            <w:vMerge w:val="continue"/>
            <w:tcBorders>
              <w:left w:val="single" w:color="000000" w:sz="4" w:space="0"/>
              <w:right w:val="single" w:color="000000" w:sz="4" w:space="0"/>
            </w:tcBorders>
            <w:shd w:val="clear" w:color="auto" w:fill="auto"/>
            <w:vAlign w:val="center"/>
          </w:tcPr>
          <w:p w14:paraId="727EC0A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133DD">
            <w:pPr>
              <w:jc w:val="center"/>
              <w:rPr>
                <w:rFonts w:hint="eastAsia" w:cs="宋体"/>
                <w:sz w:val="21"/>
                <w:szCs w:val="21"/>
              </w:rPr>
            </w:pPr>
            <w:r>
              <w:rPr>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F687F">
            <w:pPr>
              <w:jc w:val="center"/>
              <w:rPr>
                <w:rFonts w:hint="eastAsia" w:cs="宋体"/>
                <w:sz w:val="21"/>
                <w:szCs w:val="21"/>
              </w:rPr>
            </w:pPr>
          </w:p>
        </w:tc>
      </w:tr>
      <w:tr w14:paraId="78427C53">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91205">
            <w:pPr>
              <w:jc w:val="center"/>
              <w:textAlignment w:val="center"/>
              <w:rPr>
                <w:rFonts w:hint="eastAsia" w:cs="宋体"/>
                <w:kern w:val="0"/>
                <w:sz w:val="21"/>
                <w:szCs w:val="21"/>
                <w:lang w:bidi="ar"/>
              </w:rPr>
            </w:pPr>
            <w:r>
              <w:rPr>
                <w:rFonts w:hint="eastAsia" w:cs="宋体"/>
                <w:kern w:val="0"/>
                <w:sz w:val="21"/>
                <w:szCs w:val="21"/>
                <w:lang w:bidi="ar"/>
              </w:rPr>
              <w:t>9</w:t>
            </w:r>
            <w:r>
              <w:rPr>
                <w:rFonts w:cs="宋体"/>
                <w:kern w:val="0"/>
                <w:sz w:val="21"/>
                <w:szCs w:val="21"/>
                <w:lang w:bidi="ar"/>
              </w:rPr>
              <w:t>)</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519FE">
            <w:pPr>
              <w:jc w:val="left"/>
              <w:rPr>
                <w:rFonts w:hint="eastAsia" w:cs="宋体"/>
                <w:kern w:val="0"/>
                <w:sz w:val="21"/>
                <w:szCs w:val="21"/>
                <w:lang w:bidi="ar"/>
              </w:rPr>
            </w:pPr>
            <w:r>
              <w:rPr>
                <w:rFonts w:hint="eastAsia" w:cs="宋体"/>
                <w:kern w:val="0"/>
                <w:sz w:val="21"/>
                <w:szCs w:val="21"/>
                <w:lang w:bidi="ar"/>
              </w:rPr>
              <w:t>地下洞室施工时，通风设施运行正常，空气质量满足要求。</w:t>
            </w:r>
          </w:p>
        </w:tc>
        <w:tc>
          <w:tcPr>
            <w:tcW w:w="4111" w:type="dxa"/>
            <w:vMerge w:val="continue"/>
            <w:tcBorders>
              <w:left w:val="single" w:color="000000" w:sz="4" w:space="0"/>
              <w:right w:val="single" w:color="000000" w:sz="4" w:space="0"/>
            </w:tcBorders>
            <w:shd w:val="clear" w:color="auto" w:fill="auto"/>
            <w:vAlign w:val="center"/>
          </w:tcPr>
          <w:p w14:paraId="4872E66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D37E2">
            <w:pPr>
              <w:jc w:val="center"/>
              <w:rPr>
                <w:rFonts w:hint="eastAsia" w:cs="宋体"/>
                <w:sz w:val="21"/>
                <w:szCs w:val="21"/>
              </w:rPr>
            </w:pPr>
            <w:r>
              <w:rPr>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5C3B9">
            <w:pPr>
              <w:jc w:val="center"/>
              <w:rPr>
                <w:rFonts w:hint="eastAsia" w:cs="宋体"/>
                <w:sz w:val="21"/>
                <w:szCs w:val="21"/>
              </w:rPr>
            </w:pPr>
          </w:p>
        </w:tc>
      </w:tr>
      <w:tr w14:paraId="65BDF7D7">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8807A">
            <w:pPr>
              <w:jc w:val="center"/>
              <w:textAlignment w:val="center"/>
              <w:rPr>
                <w:rFonts w:hint="eastAsia" w:cs="宋体"/>
                <w:kern w:val="0"/>
                <w:sz w:val="21"/>
                <w:szCs w:val="21"/>
                <w:lang w:bidi="ar"/>
              </w:rPr>
            </w:pPr>
            <w:r>
              <w:rPr>
                <w:rFonts w:hint="eastAsia" w:cs="宋体"/>
                <w:kern w:val="0"/>
                <w:sz w:val="21"/>
                <w:szCs w:val="21"/>
                <w:lang w:bidi="ar"/>
              </w:rPr>
              <w:t>1</w:t>
            </w:r>
            <w:r>
              <w:rPr>
                <w:rFonts w:cs="宋体"/>
                <w:kern w:val="0"/>
                <w:sz w:val="21"/>
                <w:szCs w:val="21"/>
                <w:lang w:bidi="ar"/>
              </w:rPr>
              <w:t>0)</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599C5">
            <w:pPr>
              <w:jc w:val="left"/>
              <w:rPr>
                <w:rFonts w:hint="eastAsia" w:cs="宋体"/>
                <w:kern w:val="0"/>
                <w:sz w:val="21"/>
                <w:szCs w:val="21"/>
                <w:lang w:bidi="ar"/>
              </w:rPr>
            </w:pPr>
            <w:r>
              <w:rPr>
                <w:rFonts w:hint="eastAsia" w:cs="宋体"/>
                <w:kern w:val="0"/>
                <w:sz w:val="21"/>
                <w:szCs w:val="21"/>
                <w:lang w:bidi="ar"/>
              </w:rPr>
              <w:t>采取有效措施防止施工废污水对水环境的污染，做好水环境保护，减缓工程施工和运行对区域水环境的不利影响，不因工程施工降低水质级别。</w:t>
            </w:r>
          </w:p>
        </w:tc>
        <w:tc>
          <w:tcPr>
            <w:tcW w:w="4111" w:type="dxa"/>
            <w:vMerge w:val="continue"/>
            <w:tcBorders>
              <w:left w:val="single" w:color="000000" w:sz="4" w:space="0"/>
              <w:right w:val="single" w:color="000000" w:sz="4" w:space="0"/>
            </w:tcBorders>
            <w:shd w:val="clear" w:color="auto" w:fill="auto"/>
            <w:vAlign w:val="center"/>
          </w:tcPr>
          <w:p w14:paraId="2EF8DF0D">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1D050">
            <w:pPr>
              <w:jc w:val="center"/>
              <w:rPr>
                <w:rFonts w:hint="eastAsia" w:cs="宋体"/>
                <w:sz w:val="21"/>
                <w:szCs w:val="21"/>
              </w:rPr>
            </w:pPr>
            <w:r>
              <w:rPr>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157B1">
            <w:pPr>
              <w:jc w:val="center"/>
              <w:rPr>
                <w:rFonts w:hint="eastAsia" w:cs="宋体"/>
                <w:sz w:val="21"/>
                <w:szCs w:val="21"/>
              </w:rPr>
            </w:pPr>
          </w:p>
        </w:tc>
      </w:tr>
      <w:tr w14:paraId="7990C7F6">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9EB71">
            <w:pPr>
              <w:jc w:val="center"/>
              <w:textAlignment w:val="center"/>
              <w:rPr>
                <w:rFonts w:hint="eastAsia" w:cs="宋体"/>
                <w:kern w:val="0"/>
                <w:sz w:val="21"/>
                <w:szCs w:val="21"/>
                <w:lang w:bidi="ar"/>
              </w:rPr>
            </w:pPr>
            <w:r>
              <w:rPr>
                <w:rFonts w:hint="eastAsia" w:cs="宋体"/>
                <w:kern w:val="0"/>
                <w:sz w:val="21"/>
                <w:szCs w:val="21"/>
                <w:lang w:bidi="ar"/>
              </w:rPr>
              <w:t>1</w:t>
            </w:r>
            <w:r>
              <w:rPr>
                <w:rFonts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A1CF4">
            <w:pPr>
              <w:jc w:val="left"/>
              <w:rPr>
                <w:rFonts w:hint="eastAsia" w:cs="宋体"/>
                <w:kern w:val="0"/>
                <w:sz w:val="21"/>
                <w:szCs w:val="21"/>
                <w:lang w:bidi="ar"/>
              </w:rPr>
            </w:pPr>
            <w:r>
              <w:rPr>
                <w:rFonts w:hint="eastAsia" w:cs="宋体"/>
                <w:kern w:val="0"/>
                <w:sz w:val="21"/>
                <w:szCs w:val="21"/>
                <w:lang w:bidi="ar"/>
              </w:rPr>
              <w:t>帷幕灌浆、固结灌浆、接缝灌浆等灌浆施工应收集、处理污水、废液，严禁外排，污水处理合格后回用。</w:t>
            </w:r>
          </w:p>
        </w:tc>
        <w:tc>
          <w:tcPr>
            <w:tcW w:w="4111" w:type="dxa"/>
            <w:vMerge w:val="continue"/>
            <w:tcBorders>
              <w:left w:val="single" w:color="000000" w:sz="4" w:space="0"/>
              <w:right w:val="single" w:color="000000" w:sz="4" w:space="0"/>
            </w:tcBorders>
            <w:shd w:val="clear" w:color="auto" w:fill="auto"/>
            <w:vAlign w:val="center"/>
          </w:tcPr>
          <w:p w14:paraId="5CA57A61">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4CEDA">
            <w:pPr>
              <w:jc w:val="center"/>
              <w:rPr>
                <w:rFonts w:hint="eastAsia" w:cs="宋体"/>
                <w:sz w:val="21"/>
                <w:szCs w:val="21"/>
              </w:rPr>
            </w:pPr>
            <w:r>
              <w:rPr>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06572">
            <w:pPr>
              <w:jc w:val="center"/>
              <w:rPr>
                <w:rFonts w:hint="eastAsia" w:cs="宋体"/>
                <w:sz w:val="21"/>
                <w:szCs w:val="21"/>
              </w:rPr>
            </w:pPr>
          </w:p>
        </w:tc>
      </w:tr>
      <w:tr w14:paraId="3AE96AE2">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42AD1">
            <w:pPr>
              <w:jc w:val="center"/>
              <w:textAlignment w:val="center"/>
              <w:rPr>
                <w:rFonts w:hint="eastAsia" w:cs="宋体"/>
                <w:kern w:val="0"/>
                <w:sz w:val="21"/>
                <w:szCs w:val="21"/>
                <w:lang w:bidi="ar"/>
              </w:rPr>
            </w:pPr>
            <w:r>
              <w:rPr>
                <w:rFonts w:hint="eastAsia" w:cs="宋体"/>
                <w:kern w:val="0"/>
                <w:sz w:val="21"/>
                <w:szCs w:val="21"/>
                <w:lang w:bidi="ar"/>
              </w:rPr>
              <w:t>1</w:t>
            </w:r>
            <w:r>
              <w:rPr>
                <w:rFonts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B76E8">
            <w:pPr>
              <w:jc w:val="left"/>
              <w:rPr>
                <w:rFonts w:hint="eastAsia" w:cs="宋体"/>
                <w:kern w:val="0"/>
                <w:sz w:val="21"/>
                <w:szCs w:val="21"/>
                <w:lang w:bidi="ar"/>
              </w:rPr>
            </w:pPr>
            <w:r>
              <w:rPr>
                <w:rFonts w:hint="eastAsia" w:cs="宋体"/>
                <w:kern w:val="0"/>
                <w:sz w:val="21"/>
                <w:szCs w:val="21"/>
                <w:lang w:bidi="ar"/>
              </w:rPr>
              <w:t>设备、管道冲洗废水、废油等有毒有害废弃物及时回收处理，严禁废液外排。</w:t>
            </w:r>
          </w:p>
        </w:tc>
        <w:tc>
          <w:tcPr>
            <w:tcW w:w="4111" w:type="dxa"/>
            <w:vMerge w:val="continue"/>
            <w:tcBorders>
              <w:left w:val="single" w:color="000000" w:sz="4" w:space="0"/>
              <w:right w:val="single" w:color="000000" w:sz="4" w:space="0"/>
            </w:tcBorders>
            <w:shd w:val="clear" w:color="auto" w:fill="auto"/>
            <w:vAlign w:val="center"/>
          </w:tcPr>
          <w:p w14:paraId="170D7A1A">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1E66C">
            <w:pPr>
              <w:jc w:val="center"/>
              <w:rPr>
                <w:rFonts w:hint="eastAsia" w:cs="宋体"/>
                <w:sz w:val="21"/>
                <w:szCs w:val="21"/>
              </w:rPr>
            </w:pPr>
            <w:r>
              <w:rPr>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1B92A">
            <w:pPr>
              <w:jc w:val="center"/>
              <w:rPr>
                <w:rFonts w:hint="eastAsia" w:cs="宋体"/>
                <w:sz w:val="21"/>
                <w:szCs w:val="21"/>
              </w:rPr>
            </w:pPr>
          </w:p>
        </w:tc>
      </w:tr>
      <w:tr w14:paraId="3B5C8A31">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625DD">
            <w:pPr>
              <w:jc w:val="center"/>
              <w:textAlignment w:val="center"/>
              <w:rPr>
                <w:rFonts w:hint="eastAsia" w:cs="宋体"/>
                <w:kern w:val="0"/>
                <w:sz w:val="21"/>
                <w:szCs w:val="21"/>
                <w:lang w:bidi="ar"/>
              </w:rPr>
            </w:pPr>
            <w:r>
              <w:rPr>
                <w:rFonts w:cs="宋体"/>
                <w:kern w:val="0"/>
                <w:sz w:val="21"/>
                <w:szCs w:val="21"/>
                <w:lang w:bidi="ar"/>
              </w:rPr>
              <w:t>13</w:t>
            </w:r>
            <w:r>
              <w:rPr>
                <w:rFonts w:hint="eastAsia" w:cs="宋体"/>
                <w:kern w:val="0"/>
                <w:sz w:val="21"/>
                <w:szCs w:val="21"/>
                <w:lang w:bidi="ar"/>
              </w:rPr>
              <w:t>)</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746E3">
            <w:pPr>
              <w:jc w:val="left"/>
              <w:rPr>
                <w:rFonts w:hint="eastAsia" w:cs="宋体"/>
                <w:kern w:val="0"/>
                <w:sz w:val="21"/>
                <w:szCs w:val="21"/>
                <w:lang w:bidi="ar"/>
              </w:rPr>
            </w:pPr>
            <w:r>
              <w:rPr>
                <w:rFonts w:hint="eastAsia" w:cs="宋体"/>
                <w:kern w:val="0"/>
                <w:sz w:val="21"/>
                <w:szCs w:val="21"/>
                <w:lang w:bidi="ar"/>
              </w:rPr>
              <w:t>泄洪消能建筑物运行良好，雾化轻、噪音小。</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0AC71D67">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FAEF8">
            <w:pPr>
              <w:jc w:val="center"/>
              <w:rPr>
                <w:rFonts w:hint="eastAsia" w:cs="宋体"/>
                <w:sz w:val="21"/>
                <w:szCs w:val="21"/>
              </w:rPr>
            </w:pPr>
            <w:r>
              <w:rPr>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81C90">
            <w:pPr>
              <w:jc w:val="center"/>
              <w:rPr>
                <w:rFonts w:hint="eastAsia" w:cs="宋体"/>
                <w:sz w:val="21"/>
                <w:szCs w:val="21"/>
              </w:rPr>
            </w:pPr>
          </w:p>
        </w:tc>
      </w:tr>
      <w:tr w14:paraId="7722A4E5">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E5762">
            <w:pPr>
              <w:jc w:val="center"/>
              <w:textAlignment w:val="center"/>
              <w:rPr>
                <w:rFonts w:hint="eastAsia" w:cs="Times New Roman"/>
                <w:sz w:val="21"/>
                <w:szCs w:val="21"/>
              </w:rPr>
            </w:pPr>
            <w:r>
              <w:rPr>
                <w:rFonts w:hint="eastAsia" w:cs="宋体"/>
                <w:kern w:val="0"/>
                <w:sz w:val="21"/>
                <w:szCs w:val="21"/>
                <w:lang w:bidi="ar"/>
              </w:rPr>
              <w:t>6.2.12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B45C8">
            <w:pPr>
              <w:adjustRightInd w:val="0"/>
              <w:snapToGrid w:val="0"/>
              <w:jc w:val="left"/>
              <w:rPr>
                <w:rFonts w:hint="eastAsia" w:cs="Times New Roman"/>
                <w:sz w:val="21"/>
                <w:szCs w:val="21"/>
              </w:rPr>
            </w:pPr>
            <w:r>
              <w:rPr>
                <w:rFonts w:hint="eastAsia" w:cs="宋体"/>
                <w:kern w:val="0"/>
                <w:sz w:val="21"/>
                <w:szCs w:val="21"/>
                <w:lang w:bidi="ar"/>
              </w:rPr>
              <w:t>风力发电</w:t>
            </w:r>
          </w:p>
        </w:tc>
        <w:tc>
          <w:tcPr>
            <w:tcW w:w="4111" w:type="dxa"/>
            <w:tcBorders>
              <w:top w:val="single" w:color="000000" w:sz="4" w:space="0"/>
              <w:left w:val="single" w:color="000000" w:sz="4" w:space="0"/>
              <w:right w:val="single" w:color="000000" w:sz="4" w:space="0"/>
            </w:tcBorders>
            <w:shd w:val="clear" w:color="auto" w:fill="auto"/>
            <w:vAlign w:val="center"/>
          </w:tcPr>
          <w:p w14:paraId="7B10FB2B">
            <w:pPr>
              <w:jc w:val="left"/>
              <w:rPr>
                <w:rFonts w:hint="eastAsia"/>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0A7F1">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7A430">
            <w:pPr>
              <w:jc w:val="center"/>
              <w:rPr>
                <w:rFonts w:hint="eastAsia" w:cs="宋体"/>
                <w:sz w:val="21"/>
                <w:szCs w:val="21"/>
              </w:rPr>
            </w:pPr>
          </w:p>
        </w:tc>
      </w:tr>
      <w:tr w14:paraId="59366922">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CCEC5">
            <w:pPr>
              <w:jc w:val="center"/>
              <w:textAlignment w:val="center"/>
              <w:rPr>
                <w:rFonts w:hint="eastAsia" w:cs="Times New Roman"/>
                <w:sz w:val="21"/>
                <w:szCs w:val="21"/>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50C7E">
            <w:pPr>
              <w:adjustRightInd w:val="0"/>
              <w:snapToGrid w:val="0"/>
              <w:jc w:val="left"/>
              <w:rPr>
                <w:rFonts w:hint="eastAsia" w:cs="Times New Roman"/>
                <w:sz w:val="21"/>
                <w:szCs w:val="21"/>
              </w:rPr>
            </w:pPr>
            <w:r>
              <w:rPr>
                <w:rFonts w:hint="eastAsia" w:cs="宋体"/>
                <w:kern w:val="0"/>
                <w:sz w:val="21"/>
                <w:szCs w:val="21"/>
                <w:lang w:bidi="ar"/>
              </w:rPr>
              <w:t>陆上风电</w:t>
            </w:r>
          </w:p>
        </w:tc>
        <w:tc>
          <w:tcPr>
            <w:tcW w:w="4111" w:type="dxa"/>
            <w:tcBorders>
              <w:top w:val="single" w:color="000000" w:sz="4" w:space="0"/>
              <w:left w:val="single" w:color="000000" w:sz="4" w:space="0"/>
              <w:right w:val="single" w:color="000000" w:sz="4" w:space="0"/>
            </w:tcBorders>
            <w:shd w:val="clear" w:color="auto" w:fill="auto"/>
            <w:vAlign w:val="center"/>
          </w:tcPr>
          <w:p w14:paraId="492D2F11">
            <w:pPr>
              <w:jc w:val="left"/>
              <w:rPr>
                <w:rFonts w:hint="eastAsia"/>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36B3A">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577EC">
            <w:pPr>
              <w:jc w:val="center"/>
              <w:rPr>
                <w:rFonts w:hint="eastAsia" w:cs="宋体"/>
                <w:sz w:val="21"/>
                <w:szCs w:val="21"/>
              </w:rPr>
            </w:pPr>
          </w:p>
        </w:tc>
      </w:tr>
      <w:tr w14:paraId="5BD14CA0">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C135F">
            <w:pPr>
              <w:jc w:val="center"/>
              <w:textAlignment w:val="center"/>
              <w:rPr>
                <w:rFonts w:hint="eastAsia" w:cs="宋体"/>
                <w:kern w:val="0"/>
                <w:sz w:val="21"/>
                <w:szCs w:val="21"/>
                <w:lang w:bidi="ar"/>
              </w:rPr>
            </w:pPr>
            <w:r>
              <w:rPr>
                <w:rFonts w:cs="Times New Roman"/>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FEB12">
            <w:pPr>
              <w:adjustRightInd w:val="0"/>
              <w:snapToGrid w:val="0"/>
              <w:jc w:val="left"/>
              <w:rPr>
                <w:rFonts w:hint="eastAsia" w:cs="宋体"/>
                <w:kern w:val="0"/>
                <w:sz w:val="21"/>
                <w:szCs w:val="21"/>
                <w:lang w:bidi="ar"/>
              </w:rPr>
            </w:pPr>
            <w:r>
              <w:rPr>
                <w:rFonts w:hint="eastAsia" w:cs="Times New Roman"/>
                <w:sz w:val="21"/>
                <w:szCs w:val="21"/>
              </w:rPr>
              <w:t>风机基础基坑在开挖前进行开挖方案论证，做到开挖量最小、对土体扰动最小、保护周边自然生态环境。</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5159D6EC">
            <w:pPr>
              <w:jc w:val="left"/>
              <w:rPr>
                <w:rFonts w:hint="eastAsia"/>
                <w:sz w:val="21"/>
                <w:szCs w:val="21"/>
              </w:rPr>
            </w:pPr>
            <w:r>
              <w:rPr>
                <w:rFonts w:hint="eastAsia"/>
                <w:sz w:val="21"/>
                <w:szCs w:val="21"/>
              </w:rPr>
              <w:t>每项子目实得分根据现场实际情况按照标准分乘以相应系数进行评分：</w:t>
            </w:r>
          </w:p>
          <w:p w14:paraId="7E96FD36">
            <w:pPr>
              <w:jc w:val="left"/>
              <w:rPr>
                <w:rFonts w:hint="eastAsia"/>
                <w:sz w:val="21"/>
                <w:szCs w:val="21"/>
              </w:rPr>
            </w:pPr>
            <w:r>
              <w:rPr>
                <w:rFonts w:hint="eastAsia"/>
                <w:sz w:val="21"/>
                <w:szCs w:val="21"/>
              </w:rPr>
              <w:t>1、措施到位，满足评价指标要求系数为1；</w:t>
            </w:r>
          </w:p>
          <w:p w14:paraId="017D0CE3">
            <w:pPr>
              <w:jc w:val="left"/>
              <w:rPr>
                <w:rFonts w:hint="eastAsia" w:cs="宋体"/>
                <w:sz w:val="21"/>
                <w:szCs w:val="21"/>
              </w:rPr>
            </w:pPr>
            <w:r>
              <w:rPr>
                <w:rFonts w:hint="eastAsia"/>
                <w:sz w:val="21"/>
                <w:szCs w:val="21"/>
              </w:rPr>
              <w:t>2、措施到位，基本满足评价指标要求系数按照0.5~0.9酌情选取；</w:t>
            </w:r>
          </w:p>
          <w:p w14:paraId="35641524">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BD427">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6CBD0">
            <w:pPr>
              <w:jc w:val="center"/>
              <w:rPr>
                <w:rFonts w:hint="eastAsia" w:cs="宋体"/>
                <w:sz w:val="21"/>
                <w:szCs w:val="21"/>
              </w:rPr>
            </w:pPr>
          </w:p>
          <w:p w14:paraId="02D5B6C5">
            <w:pPr>
              <w:jc w:val="center"/>
              <w:rPr>
                <w:rFonts w:hint="eastAsia" w:cs="宋体"/>
                <w:sz w:val="21"/>
                <w:szCs w:val="21"/>
              </w:rPr>
            </w:pPr>
          </w:p>
        </w:tc>
      </w:tr>
      <w:tr w14:paraId="55526922">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584A6">
            <w:pPr>
              <w:jc w:val="center"/>
              <w:textAlignment w:val="center"/>
              <w:rPr>
                <w:rFonts w:hint="eastAsia" w:cs="宋体"/>
                <w:kern w:val="0"/>
                <w:sz w:val="21"/>
                <w:szCs w:val="21"/>
                <w:lang w:bidi="ar"/>
              </w:rPr>
            </w:pPr>
            <w:r>
              <w:rPr>
                <w:rFonts w:cs="Times New Roman"/>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E9BB6">
            <w:pPr>
              <w:adjustRightInd w:val="0"/>
              <w:snapToGrid w:val="0"/>
              <w:jc w:val="left"/>
              <w:rPr>
                <w:rFonts w:hint="eastAsia" w:cs="宋体"/>
                <w:kern w:val="0"/>
                <w:sz w:val="21"/>
                <w:szCs w:val="21"/>
                <w:lang w:bidi="ar"/>
              </w:rPr>
            </w:pPr>
            <w:r>
              <w:rPr>
                <w:rFonts w:hint="eastAsia" w:cs="Times New Roman"/>
                <w:sz w:val="21"/>
                <w:szCs w:val="21"/>
              </w:rPr>
              <w:t>风电场道路在满足大件运输前提下，选择合理的坡度和转弯半径，并尽量减少道路土石方量，避免大量挖方填方。</w:t>
            </w:r>
          </w:p>
        </w:tc>
        <w:tc>
          <w:tcPr>
            <w:tcW w:w="4111" w:type="dxa"/>
            <w:vMerge w:val="continue"/>
            <w:tcBorders>
              <w:left w:val="single" w:color="000000" w:sz="4" w:space="0"/>
              <w:right w:val="single" w:color="000000" w:sz="4" w:space="0"/>
            </w:tcBorders>
            <w:shd w:val="clear" w:color="auto" w:fill="auto"/>
            <w:vAlign w:val="center"/>
          </w:tcPr>
          <w:p w14:paraId="285872EE">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DD7D2">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D7871">
            <w:pPr>
              <w:jc w:val="center"/>
              <w:rPr>
                <w:rFonts w:hint="eastAsia" w:cs="宋体"/>
                <w:sz w:val="21"/>
                <w:szCs w:val="21"/>
              </w:rPr>
            </w:pPr>
          </w:p>
        </w:tc>
      </w:tr>
      <w:tr w14:paraId="58F64F80">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80E46">
            <w:pPr>
              <w:jc w:val="center"/>
              <w:textAlignment w:val="center"/>
              <w:rPr>
                <w:rFonts w:hint="eastAsia" w:cs="宋体"/>
                <w:kern w:val="0"/>
                <w:sz w:val="21"/>
                <w:szCs w:val="21"/>
                <w:lang w:bidi="ar"/>
              </w:rPr>
            </w:pPr>
            <w:r>
              <w:rPr>
                <w:rFonts w:hint="eastAsia" w:cs="Times New Roman"/>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873DD">
            <w:pPr>
              <w:adjustRightInd w:val="0"/>
              <w:snapToGrid w:val="0"/>
              <w:jc w:val="left"/>
              <w:rPr>
                <w:rFonts w:hint="eastAsia" w:cs="宋体"/>
                <w:kern w:val="0"/>
                <w:sz w:val="21"/>
                <w:szCs w:val="21"/>
                <w:lang w:bidi="ar"/>
              </w:rPr>
            </w:pPr>
            <w:r>
              <w:rPr>
                <w:rFonts w:hint="eastAsia" w:cs="Times New Roman"/>
                <w:sz w:val="21"/>
                <w:szCs w:val="21"/>
              </w:rPr>
              <w:t>风电施工中破坏植被、造成裸土的区域，应覆盖砂石或种植速生草种，以减少土壤侵蚀，施工结束后尽快恢复原有植被。</w:t>
            </w:r>
          </w:p>
        </w:tc>
        <w:tc>
          <w:tcPr>
            <w:tcW w:w="4111" w:type="dxa"/>
            <w:vMerge w:val="continue"/>
            <w:tcBorders>
              <w:left w:val="single" w:color="000000" w:sz="4" w:space="0"/>
              <w:right w:val="single" w:color="000000" w:sz="4" w:space="0"/>
            </w:tcBorders>
            <w:shd w:val="clear" w:color="auto" w:fill="auto"/>
            <w:vAlign w:val="center"/>
          </w:tcPr>
          <w:p w14:paraId="5331B65B">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DAF6E">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FD7CB">
            <w:pPr>
              <w:jc w:val="center"/>
              <w:rPr>
                <w:rFonts w:hint="eastAsia" w:cs="宋体"/>
                <w:sz w:val="21"/>
                <w:szCs w:val="21"/>
              </w:rPr>
            </w:pPr>
          </w:p>
        </w:tc>
      </w:tr>
      <w:tr w14:paraId="2B9F389D">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4C9A6">
            <w:pPr>
              <w:jc w:val="center"/>
              <w:textAlignment w:val="center"/>
              <w:rPr>
                <w:rFonts w:hint="eastAsia" w:cs="宋体"/>
                <w:kern w:val="0"/>
                <w:sz w:val="21"/>
                <w:szCs w:val="21"/>
                <w:lang w:bidi="ar"/>
              </w:rPr>
            </w:pPr>
            <w:r>
              <w:rPr>
                <w:rFonts w:hint="eastAsia" w:cs="Times New Roman"/>
                <w:sz w:val="21"/>
                <w:szCs w:val="21"/>
              </w:rPr>
              <w:t>4）</w:t>
            </w:r>
          </w:p>
          <w:p w14:paraId="5BC8D193">
            <w:pPr>
              <w:jc w:val="center"/>
              <w:textAlignment w:val="center"/>
              <w:rPr>
                <w:rFonts w:hint="eastAsia" w:cs="宋体"/>
                <w:kern w:val="0"/>
                <w:sz w:val="21"/>
                <w:szCs w:val="21"/>
                <w:lang w:bidi="ar"/>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CE060">
            <w:pPr>
              <w:adjustRightInd w:val="0"/>
              <w:snapToGrid w:val="0"/>
              <w:rPr>
                <w:rFonts w:hint="eastAsia" w:cs="宋体"/>
                <w:kern w:val="0"/>
                <w:sz w:val="21"/>
                <w:szCs w:val="21"/>
                <w:lang w:bidi="ar"/>
              </w:rPr>
            </w:pPr>
            <w:r>
              <w:rPr>
                <w:rFonts w:hint="eastAsia" w:cs="Times New Roman"/>
                <w:sz w:val="21"/>
                <w:szCs w:val="21"/>
              </w:rPr>
              <w:t>风机运输车辆、吊装机械等定期维护保养，使其保持良好的运行状态。采取使用清洁燃油，安装尾气净化装置等措施减少车辆尾气中有害物质的含量。</w:t>
            </w:r>
          </w:p>
        </w:tc>
        <w:tc>
          <w:tcPr>
            <w:tcW w:w="4111" w:type="dxa"/>
            <w:vMerge w:val="continue"/>
            <w:tcBorders>
              <w:left w:val="single" w:color="000000" w:sz="4" w:space="0"/>
              <w:right w:val="single" w:color="000000" w:sz="4" w:space="0"/>
            </w:tcBorders>
            <w:shd w:val="clear" w:color="auto" w:fill="auto"/>
            <w:vAlign w:val="center"/>
          </w:tcPr>
          <w:p w14:paraId="68D892E5">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85B18">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B83E2">
            <w:pPr>
              <w:jc w:val="center"/>
              <w:rPr>
                <w:rFonts w:hint="eastAsia" w:cs="宋体"/>
                <w:sz w:val="21"/>
                <w:szCs w:val="21"/>
              </w:rPr>
            </w:pPr>
          </w:p>
        </w:tc>
      </w:tr>
      <w:tr w14:paraId="041FB38A">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BABC4">
            <w:pPr>
              <w:jc w:val="center"/>
              <w:textAlignment w:val="center"/>
              <w:rPr>
                <w:rFonts w:hint="eastAsia" w:cs="宋体"/>
                <w:kern w:val="0"/>
                <w:sz w:val="21"/>
                <w:szCs w:val="21"/>
                <w:lang w:bidi="ar"/>
              </w:rPr>
            </w:pPr>
            <w:r>
              <w:rPr>
                <w:rFonts w:hint="eastAsia" w:cs="Times New Roman"/>
                <w:sz w:val="21"/>
                <w:szCs w:val="21"/>
              </w:rPr>
              <w:t>5</w:t>
            </w:r>
            <w:r>
              <w:rPr>
                <w:rFonts w:cs="Times New Roman"/>
                <w:sz w:val="21"/>
                <w:szCs w:val="21"/>
              </w:rPr>
              <w:t>）</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931AD">
            <w:pPr>
              <w:adjustRightInd w:val="0"/>
              <w:snapToGrid w:val="0"/>
              <w:rPr>
                <w:rFonts w:hint="eastAsia" w:cs="宋体"/>
                <w:kern w:val="0"/>
                <w:sz w:val="21"/>
                <w:szCs w:val="21"/>
                <w:lang w:bidi="ar"/>
              </w:rPr>
            </w:pPr>
            <w:r>
              <w:rPr>
                <w:rFonts w:cs="Times New Roman"/>
                <w:sz w:val="21"/>
                <w:szCs w:val="21"/>
              </w:rPr>
              <w:t>风机安装过程中严禁垃圾空中抛洒，风机内垃圾应集中存放并由专人负责清理运至指定地点集中处理。</w:t>
            </w:r>
          </w:p>
        </w:tc>
        <w:tc>
          <w:tcPr>
            <w:tcW w:w="4111" w:type="dxa"/>
            <w:vMerge w:val="continue"/>
            <w:tcBorders>
              <w:left w:val="single" w:color="000000" w:sz="4" w:space="0"/>
              <w:right w:val="single" w:color="000000" w:sz="4" w:space="0"/>
            </w:tcBorders>
            <w:shd w:val="clear" w:color="auto" w:fill="auto"/>
            <w:vAlign w:val="center"/>
          </w:tcPr>
          <w:p w14:paraId="2BC3B1E2">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C04A5">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AE3BD">
            <w:pPr>
              <w:jc w:val="center"/>
              <w:rPr>
                <w:rFonts w:hint="eastAsia" w:cs="宋体"/>
                <w:sz w:val="21"/>
                <w:szCs w:val="21"/>
              </w:rPr>
            </w:pPr>
          </w:p>
        </w:tc>
      </w:tr>
      <w:tr w14:paraId="1C9AA0CD">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75B7F">
            <w:pPr>
              <w:jc w:val="center"/>
              <w:textAlignment w:val="center"/>
              <w:rPr>
                <w:rFonts w:hint="eastAsia" w:cs="宋体"/>
                <w:kern w:val="0"/>
                <w:sz w:val="21"/>
                <w:szCs w:val="21"/>
                <w:lang w:bidi="ar"/>
              </w:rPr>
            </w:pPr>
            <w:r>
              <w:rPr>
                <w:rFonts w:hint="eastAsia" w:cs="Times New Roman"/>
                <w:sz w:val="21"/>
                <w:szCs w:val="21"/>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DF0FA">
            <w:pPr>
              <w:adjustRightInd w:val="0"/>
              <w:snapToGrid w:val="0"/>
              <w:rPr>
                <w:rFonts w:hint="eastAsia" w:cs="宋体"/>
                <w:kern w:val="0"/>
                <w:sz w:val="21"/>
                <w:szCs w:val="21"/>
                <w:lang w:bidi="ar"/>
              </w:rPr>
            </w:pPr>
            <w:r>
              <w:rPr>
                <w:rFonts w:hint="eastAsia" w:cs="Times New Roman"/>
                <w:sz w:val="21"/>
                <w:szCs w:val="21"/>
              </w:rPr>
              <w:t>风力发电机吊装、大型起重机装拆等危险性较大分部分项工程专项施工方案应经审批及专家论证后执行。</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26D2787E">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55329">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4407C">
            <w:pPr>
              <w:jc w:val="center"/>
              <w:rPr>
                <w:rFonts w:hint="eastAsia" w:cs="宋体"/>
                <w:sz w:val="21"/>
                <w:szCs w:val="21"/>
              </w:rPr>
            </w:pPr>
          </w:p>
        </w:tc>
      </w:tr>
      <w:tr w14:paraId="734B2977">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7A472">
            <w:pPr>
              <w:jc w:val="center"/>
              <w:textAlignment w:val="center"/>
              <w:rPr>
                <w:rFonts w:hint="eastAsia" w:cs="Times New Roman"/>
                <w:sz w:val="21"/>
                <w:szCs w:val="21"/>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CB0A8">
            <w:pPr>
              <w:adjustRightInd w:val="0"/>
              <w:snapToGrid w:val="0"/>
              <w:rPr>
                <w:rFonts w:hint="eastAsia" w:cs="Times New Roman"/>
                <w:sz w:val="21"/>
                <w:szCs w:val="21"/>
              </w:rPr>
            </w:pPr>
            <w:r>
              <w:rPr>
                <w:rFonts w:hint="eastAsia" w:cs="宋体"/>
                <w:kern w:val="0"/>
                <w:sz w:val="21"/>
                <w:szCs w:val="21"/>
                <w:lang w:bidi="ar"/>
              </w:rPr>
              <w:t>海上风电</w:t>
            </w:r>
          </w:p>
        </w:tc>
        <w:tc>
          <w:tcPr>
            <w:tcW w:w="4111" w:type="dxa"/>
            <w:tcBorders>
              <w:top w:val="single" w:color="000000" w:sz="4" w:space="0"/>
              <w:left w:val="single" w:color="000000" w:sz="4" w:space="0"/>
              <w:right w:val="single" w:color="000000" w:sz="4" w:space="0"/>
            </w:tcBorders>
            <w:shd w:val="clear" w:color="auto" w:fill="auto"/>
            <w:vAlign w:val="center"/>
          </w:tcPr>
          <w:p w14:paraId="1AE217FE">
            <w:pPr>
              <w:jc w:val="left"/>
              <w:rPr>
                <w:rFonts w:hint="eastAsia"/>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F2198">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8B882">
            <w:pPr>
              <w:jc w:val="center"/>
              <w:rPr>
                <w:rFonts w:hint="eastAsia" w:cs="宋体"/>
                <w:sz w:val="21"/>
                <w:szCs w:val="21"/>
              </w:rPr>
            </w:pPr>
          </w:p>
        </w:tc>
      </w:tr>
      <w:tr w14:paraId="7EFF30BE">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2BD0F">
            <w:pPr>
              <w:jc w:val="center"/>
              <w:textAlignment w:val="center"/>
              <w:rPr>
                <w:rFonts w:hint="eastAsia" w:cs="宋体"/>
                <w:kern w:val="0"/>
                <w:sz w:val="21"/>
                <w:szCs w:val="21"/>
                <w:lang w:bidi="ar"/>
              </w:rPr>
            </w:pPr>
            <w:r>
              <w:rPr>
                <w:rFonts w:hint="eastAsia" w:cs="Times New Roman"/>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BA19F">
            <w:pPr>
              <w:adjustRightInd w:val="0"/>
              <w:snapToGrid w:val="0"/>
              <w:rPr>
                <w:rFonts w:hint="eastAsia" w:cs="Times New Roman"/>
                <w:sz w:val="21"/>
                <w:szCs w:val="21"/>
              </w:rPr>
            </w:pPr>
            <w:r>
              <w:rPr>
                <w:rFonts w:hint="eastAsia" w:cs="Times New Roman"/>
                <w:sz w:val="21"/>
                <w:szCs w:val="21"/>
              </w:rPr>
              <w:t>海上风电作业人员应按规定持有《海上设施工作人员海上交通安全技能培训合格证明》或相应等效的培训合格证，参加内部安全教育及培训，确保出海前熟悉作业区域的气象海况、工况条件和安全要求等。</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24941AF1">
            <w:pPr>
              <w:jc w:val="left"/>
              <w:rPr>
                <w:rFonts w:hint="eastAsia"/>
                <w:sz w:val="21"/>
                <w:szCs w:val="21"/>
              </w:rPr>
            </w:pPr>
            <w:r>
              <w:rPr>
                <w:rFonts w:hint="eastAsia"/>
                <w:sz w:val="21"/>
                <w:szCs w:val="21"/>
              </w:rPr>
              <w:t>每项子目实得分根据现场实际情况按照标准分乘以相应系数进行评分：</w:t>
            </w:r>
          </w:p>
          <w:p w14:paraId="60DA62A5">
            <w:pPr>
              <w:jc w:val="left"/>
              <w:rPr>
                <w:rFonts w:hint="eastAsia"/>
                <w:sz w:val="21"/>
                <w:szCs w:val="21"/>
              </w:rPr>
            </w:pPr>
            <w:r>
              <w:rPr>
                <w:rFonts w:hint="eastAsia"/>
                <w:sz w:val="21"/>
                <w:szCs w:val="21"/>
              </w:rPr>
              <w:t>1、措施到位，满足评价指标要求系数为1；</w:t>
            </w:r>
          </w:p>
          <w:p w14:paraId="35073EA4">
            <w:pPr>
              <w:jc w:val="left"/>
              <w:rPr>
                <w:rFonts w:hint="eastAsia" w:cs="宋体"/>
                <w:sz w:val="21"/>
                <w:szCs w:val="21"/>
              </w:rPr>
            </w:pPr>
            <w:r>
              <w:rPr>
                <w:rFonts w:hint="eastAsia"/>
                <w:sz w:val="21"/>
                <w:szCs w:val="21"/>
              </w:rPr>
              <w:t>2、措施到位，基本满足评价指标要求系数按照0.5~0.9酌情选取；</w:t>
            </w:r>
          </w:p>
          <w:p w14:paraId="71FAE63A">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F384E">
            <w:pPr>
              <w:jc w:val="center"/>
              <w:rPr>
                <w:rFonts w:hint="eastAsia" w:cs="宋体"/>
                <w:sz w:val="21"/>
                <w:szCs w:val="21"/>
              </w:rPr>
            </w:pPr>
            <w:r>
              <w:rPr>
                <w:rFonts w:hint="eastAsia" w:cs="宋体"/>
                <w:sz w:val="21"/>
                <w:szCs w:val="21"/>
              </w:rPr>
              <w:t>0.3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FDE46">
            <w:pPr>
              <w:jc w:val="center"/>
              <w:rPr>
                <w:rFonts w:hint="eastAsia" w:cs="宋体"/>
                <w:sz w:val="21"/>
                <w:szCs w:val="21"/>
              </w:rPr>
            </w:pPr>
          </w:p>
        </w:tc>
      </w:tr>
      <w:tr w14:paraId="52241074">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DD90B">
            <w:pPr>
              <w:jc w:val="center"/>
              <w:textAlignment w:val="center"/>
              <w:rPr>
                <w:rFonts w:hint="eastAsia" w:cs="宋体"/>
                <w:kern w:val="0"/>
                <w:sz w:val="21"/>
                <w:szCs w:val="21"/>
                <w:lang w:bidi="ar"/>
              </w:rPr>
            </w:pPr>
            <w:r>
              <w:rPr>
                <w:rFonts w:hint="eastAsia" w:cs="Times New Roman"/>
                <w:sz w:val="21"/>
                <w:szCs w:val="21"/>
              </w:rPr>
              <w:t>2）</w:t>
            </w:r>
          </w:p>
          <w:p w14:paraId="0B7C43C1">
            <w:pPr>
              <w:jc w:val="center"/>
              <w:textAlignment w:val="center"/>
              <w:rPr>
                <w:rFonts w:hint="eastAsia" w:cs="宋体"/>
                <w:kern w:val="0"/>
                <w:sz w:val="21"/>
                <w:szCs w:val="21"/>
                <w:lang w:bidi="ar"/>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004E7">
            <w:pPr>
              <w:adjustRightInd w:val="0"/>
              <w:snapToGrid w:val="0"/>
              <w:rPr>
                <w:rFonts w:hint="eastAsia" w:cs="Times New Roman"/>
                <w:sz w:val="21"/>
                <w:szCs w:val="21"/>
              </w:rPr>
            </w:pPr>
            <w:r>
              <w:rPr>
                <w:rFonts w:hint="eastAsia" w:cs="Times New Roman"/>
                <w:sz w:val="21"/>
                <w:szCs w:val="21"/>
              </w:rPr>
              <w:t>应建立出海人员动态管理台账，对出海作业各类人员（船员、海上风电作业人员、临时性出海人员）进行管理。</w:t>
            </w:r>
          </w:p>
        </w:tc>
        <w:tc>
          <w:tcPr>
            <w:tcW w:w="4111" w:type="dxa"/>
            <w:vMerge w:val="continue"/>
            <w:tcBorders>
              <w:left w:val="single" w:color="000000" w:sz="4" w:space="0"/>
              <w:right w:val="single" w:color="000000" w:sz="4" w:space="0"/>
            </w:tcBorders>
            <w:shd w:val="clear" w:color="auto" w:fill="auto"/>
            <w:vAlign w:val="center"/>
          </w:tcPr>
          <w:p w14:paraId="6808D7D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CA58D">
            <w:pPr>
              <w:jc w:val="center"/>
              <w:rPr>
                <w:rFonts w:hint="eastAsia" w:cs="宋体"/>
                <w:sz w:val="21"/>
                <w:szCs w:val="21"/>
              </w:rPr>
            </w:pPr>
            <w:r>
              <w:rPr>
                <w:rFonts w:hint="eastAsia" w:cs="宋体"/>
                <w:sz w:val="21"/>
                <w:szCs w:val="21"/>
              </w:rPr>
              <w:t>0.3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7DB47">
            <w:pPr>
              <w:jc w:val="center"/>
              <w:rPr>
                <w:rFonts w:hint="eastAsia" w:cs="宋体"/>
                <w:sz w:val="21"/>
                <w:szCs w:val="21"/>
              </w:rPr>
            </w:pPr>
          </w:p>
        </w:tc>
      </w:tr>
      <w:tr w14:paraId="2B10131D">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80DED">
            <w:pPr>
              <w:jc w:val="center"/>
              <w:textAlignment w:val="center"/>
              <w:rPr>
                <w:rFonts w:hint="eastAsia" w:cs="宋体"/>
                <w:kern w:val="0"/>
                <w:sz w:val="21"/>
                <w:szCs w:val="21"/>
                <w:lang w:bidi="ar"/>
              </w:rPr>
            </w:pPr>
            <w:r>
              <w:rPr>
                <w:rFonts w:hint="eastAsia" w:cs="Times New Roman"/>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B2A7F">
            <w:pPr>
              <w:adjustRightInd w:val="0"/>
              <w:snapToGrid w:val="0"/>
              <w:rPr>
                <w:rFonts w:hint="eastAsia" w:cs="Times New Roman"/>
                <w:sz w:val="21"/>
                <w:szCs w:val="21"/>
              </w:rPr>
            </w:pPr>
            <w:r>
              <w:rPr>
                <w:rFonts w:hint="eastAsia" w:cs="Times New Roman"/>
                <w:sz w:val="21"/>
                <w:szCs w:val="21"/>
              </w:rPr>
              <w:t>应根据作业需要开展船舶稳性、系泊、强度、压载作业、插拔桩、船舶载荷工况、风浪载荷等相关计算及校核。</w:t>
            </w:r>
          </w:p>
        </w:tc>
        <w:tc>
          <w:tcPr>
            <w:tcW w:w="4111" w:type="dxa"/>
            <w:vMerge w:val="continue"/>
            <w:tcBorders>
              <w:left w:val="single" w:color="000000" w:sz="4" w:space="0"/>
              <w:right w:val="single" w:color="000000" w:sz="4" w:space="0"/>
            </w:tcBorders>
            <w:shd w:val="clear" w:color="auto" w:fill="auto"/>
            <w:vAlign w:val="center"/>
          </w:tcPr>
          <w:p w14:paraId="447A051B">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2B4C7">
            <w:pPr>
              <w:jc w:val="center"/>
              <w:rPr>
                <w:rFonts w:hint="eastAsia" w:cs="宋体"/>
                <w:sz w:val="21"/>
                <w:szCs w:val="21"/>
              </w:rPr>
            </w:pPr>
            <w:r>
              <w:rPr>
                <w:rFonts w:hint="eastAsia" w:cs="宋体"/>
                <w:sz w:val="21"/>
                <w:szCs w:val="21"/>
              </w:rPr>
              <w:t>0.3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E019A">
            <w:pPr>
              <w:jc w:val="center"/>
              <w:rPr>
                <w:rFonts w:hint="eastAsia" w:cs="宋体"/>
                <w:sz w:val="21"/>
                <w:szCs w:val="21"/>
              </w:rPr>
            </w:pPr>
          </w:p>
        </w:tc>
      </w:tr>
      <w:tr w14:paraId="6A60F31C">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A12C8">
            <w:pPr>
              <w:jc w:val="center"/>
              <w:textAlignment w:val="center"/>
              <w:rPr>
                <w:rFonts w:hint="eastAsia" w:cs="宋体"/>
                <w:kern w:val="0"/>
                <w:sz w:val="21"/>
                <w:szCs w:val="21"/>
                <w:lang w:bidi="ar"/>
              </w:rPr>
            </w:pPr>
            <w:r>
              <w:rPr>
                <w:rFonts w:hint="eastAsia" w:cs="Times New Roman"/>
                <w:sz w:val="21"/>
                <w:szCs w:val="21"/>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F54ED">
            <w:pPr>
              <w:adjustRightInd w:val="0"/>
              <w:snapToGrid w:val="0"/>
              <w:rPr>
                <w:rFonts w:hint="eastAsia" w:cs="Times New Roman"/>
                <w:sz w:val="21"/>
                <w:szCs w:val="21"/>
              </w:rPr>
            </w:pPr>
            <w:r>
              <w:rPr>
                <w:rFonts w:hint="eastAsia" w:cs="Times New Roman"/>
                <w:sz w:val="21"/>
                <w:szCs w:val="21"/>
              </w:rPr>
              <w:t>沉桩作业应制定防溜桩工作措施，并落实执行。</w:t>
            </w:r>
          </w:p>
        </w:tc>
        <w:tc>
          <w:tcPr>
            <w:tcW w:w="4111" w:type="dxa"/>
            <w:vMerge w:val="continue"/>
            <w:tcBorders>
              <w:left w:val="single" w:color="000000" w:sz="4" w:space="0"/>
              <w:right w:val="single" w:color="000000" w:sz="4" w:space="0"/>
            </w:tcBorders>
            <w:shd w:val="clear" w:color="auto" w:fill="auto"/>
            <w:vAlign w:val="center"/>
          </w:tcPr>
          <w:p w14:paraId="6519F2DE">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728A2">
            <w:pPr>
              <w:jc w:val="center"/>
              <w:rPr>
                <w:rFonts w:hint="eastAsia" w:cs="宋体"/>
                <w:sz w:val="21"/>
                <w:szCs w:val="21"/>
              </w:rPr>
            </w:pPr>
            <w:r>
              <w:rPr>
                <w:rFonts w:hint="eastAsia" w:cs="宋体"/>
                <w:sz w:val="21"/>
                <w:szCs w:val="21"/>
              </w:rPr>
              <w:t>0.3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E9D99">
            <w:pPr>
              <w:jc w:val="center"/>
              <w:rPr>
                <w:rFonts w:hint="eastAsia" w:cs="宋体"/>
                <w:sz w:val="21"/>
                <w:szCs w:val="21"/>
              </w:rPr>
            </w:pPr>
          </w:p>
        </w:tc>
      </w:tr>
      <w:tr w14:paraId="3C0F301F">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B752E">
            <w:pPr>
              <w:jc w:val="center"/>
              <w:textAlignment w:val="center"/>
              <w:rPr>
                <w:rFonts w:hint="eastAsia" w:cs="宋体"/>
                <w:kern w:val="0"/>
                <w:sz w:val="21"/>
                <w:szCs w:val="21"/>
                <w:lang w:bidi="ar"/>
              </w:rPr>
            </w:pPr>
            <w:r>
              <w:rPr>
                <w:rFonts w:hint="eastAsia" w:cs="Times New Roman"/>
                <w:sz w:val="21"/>
                <w:szCs w:val="21"/>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B30CA">
            <w:pPr>
              <w:adjustRightInd w:val="0"/>
              <w:snapToGrid w:val="0"/>
              <w:rPr>
                <w:rFonts w:hint="eastAsia" w:cs="Times New Roman"/>
                <w:sz w:val="21"/>
                <w:szCs w:val="21"/>
              </w:rPr>
            </w:pPr>
            <w:r>
              <w:rPr>
                <w:rFonts w:hint="eastAsia" w:cs="Times New Roman"/>
                <w:sz w:val="21"/>
                <w:szCs w:val="21"/>
              </w:rPr>
              <w:t>海缆敷设作业应制定防止走锚措施，并落实警戒。</w:t>
            </w:r>
          </w:p>
        </w:tc>
        <w:tc>
          <w:tcPr>
            <w:tcW w:w="4111" w:type="dxa"/>
            <w:vMerge w:val="continue"/>
            <w:tcBorders>
              <w:left w:val="single" w:color="000000" w:sz="4" w:space="0"/>
              <w:right w:val="single" w:color="000000" w:sz="4" w:space="0"/>
            </w:tcBorders>
            <w:shd w:val="clear" w:color="auto" w:fill="auto"/>
            <w:vAlign w:val="center"/>
          </w:tcPr>
          <w:p w14:paraId="397B8F5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80F1F">
            <w:pPr>
              <w:jc w:val="center"/>
              <w:rPr>
                <w:rFonts w:hint="eastAsia" w:cs="宋体"/>
                <w:sz w:val="21"/>
                <w:szCs w:val="21"/>
              </w:rPr>
            </w:pPr>
            <w:r>
              <w:rPr>
                <w:rFonts w:hint="eastAsia" w:cs="宋体"/>
                <w:sz w:val="21"/>
                <w:szCs w:val="21"/>
              </w:rPr>
              <w:t>0.3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8E96A">
            <w:pPr>
              <w:jc w:val="center"/>
              <w:rPr>
                <w:rFonts w:hint="eastAsia" w:cs="宋体"/>
                <w:sz w:val="21"/>
                <w:szCs w:val="21"/>
              </w:rPr>
            </w:pPr>
          </w:p>
        </w:tc>
      </w:tr>
      <w:tr w14:paraId="276D7434">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5D9F9">
            <w:pPr>
              <w:jc w:val="center"/>
              <w:textAlignment w:val="center"/>
              <w:rPr>
                <w:rFonts w:hint="eastAsia" w:cs="宋体"/>
                <w:kern w:val="0"/>
                <w:sz w:val="21"/>
                <w:szCs w:val="21"/>
                <w:lang w:bidi="ar"/>
              </w:rPr>
            </w:pPr>
            <w:r>
              <w:rPr>
                <w:rFonts w:hint="eastAsia" w:cs="Times New Roman"/>
                <w:sz w:val="21"/>
                <w:szCs w:val="21"/>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7EE97">
            <w:pPr>
              <w:adjustRightInd w:val="0"/>
              <w:snapToGrid w:val="0"/>
              <w:rPr>
                <w:rFonts w:hint="eastAsia" w:cs="Times New Roman"/>
                <w:sz w:val="21"/>
                <w:szCs w:val="21"/>
              </w:rPr>
            </w:pPr>
            <w:r>
              <w:rPr>
                <w:rFonts w:hint="eastAsia" w:cs="Times New Roman"/>
                <w:sz w:val="21"/>
                <w:szCs w:val="21"/>
              </w:rPr>
              <w:t>施工及运输单位应建立船舶值守制度，施工过程中船机抛锚期间，应当安排船员值守瞭望，避免船机走锚发生安全事故。</w:t>
            </w:r>
          </w:p>
        </w:tc>
        <w:tc>
          <w:tcPr>
            <w:tcW w:w="4111" w:type="dxa"/>
            <w:vMerge w:val="continue"/>
            <w:tcBorders>
              <w:left w:val="single" w:color="000000" w:sz="4" w:space="0"/>
              <w:right w:val="single" w:color="000000" w:sz="4" w:space="0"/>
            </w:tcBorders>
            <w:shd w:val="clear" w:color="auto" w:fill="auto"/>
            <w:vAlign w:val="center"/>
          </w:tcPr>
          <w:p w14:paraId="7808D51E">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4DDEF">
            <w:pPr>
              <w:jc w:val="center"/>
              <w:rPr>
                <w:rFonts w:hint="eastAsia" w:cs="宋体"/>
                <w:sz w:val="21"/>
                <w:szCs w:val="21"/>
              </w:rPr>
            </w:pPr>
            <w:r>
              <w:rPr>
                <w:rFonts w:hint="eastAsia" w:cs="宋体"/>
                <w:sz w:val="21"/>
                <w:szCs w:val="21"/>
              </w:rPr>
              <w:t>0.3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2BB05">
            <w:pPr>
              <w:jc w:val="center"/>
              <w:rPr>
                <w:rFonts w:hint="eastAsia" w:cs="宋体"/>
                <w:sz w:val="21"/>
                <w:szCs w:val="21"/>
              </w:rPr>
            </w:pPr>
          </w:p>
        </w:tc>
      </w:tr>
      <w:tr w14:paraId="22B4F690">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FAA03">
            <w:pPr>
              <w:jc w:val="center"/>
              <w:textAlignment w:val="center"/>
              <w:rPr>
                <w:rFonts w:hint="eastAsia" w:cs="宋体"/>
                <w:kern w:val="0"/>
                <w:sz w:val="21"/>
                <w:szCs w:val="21"/>
                <w:lang w:bidi="ar"/>
              </w:rPr>
            </w:pPr>
            <w:r>
              <w:rPr>
                <w:rFonts w:hint="eastAsia" w:cs="Times New Roman"/>
                <w:sz w:val="21"/>
                <w:szCs w:val="21"/>
              </w:rPr>
              <w:t>7）</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9F4A1">
            <w:pPr>
              <w:adjustRightInd w:val="0"/>
              <w:snapToGrid w:val="0"/>
              <w:rPr>
                <w:rFonts w:hint="eastAsia" w:cs="Times New Roman"/>
                <w:sz w:val="21"/>
                <w:szCs w:val="21"/>
              </w:rPr>
            </w:pPr>
            <w:r>
              <w:rPr>
                <w:rFonts w:hint="eastAsia" w:cs="Times New Roman"/>
                <w:sz w:val="21"/>
                <w:szCs w:val="21"/>
              </w:rPr>
              <w:t>应加强天气和海浪预报管理，根据气象、海浪预报信息，合理安排海上作业窗口期，保障施工安全风险可控。</w:t>
            </w:r>
          </w:p>
        </w:tc>
        <w:tc>
          <w:tcPr>
            <w:tcW w:w="4111" w:type="dxa"/>
            <w:vMerge w:val="continue"/>
            <w:tcBorders>
              <w:left w:val="single" w:color="000000" w:sz="4" w:space="0"/>
              <w:right w:val="single" w:color="000000" w:sz="4" w:space="0"/>
            </w:tcBorders>
            <w:shd w:val="clear" w:color="auto" w:fill="auto"/>
            <w:vAlign w:val="center"/>
          </w:tcPr>
          <w:p w14:paraId="2C2A9F87">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6CC1D">
            <w:pPr>
              <w:jc w:val="center"/>
              <w:rPr>
                <w:rFonts w:hint="eastAsia" w:cs="宋体"/>
                <w:sz w:val="21"/>
                <w:szCs w:val="21"/>
              </w:rPr>
            </w:pPr>
            <w:r>
              <w:rPr>
                <w:rFonts w:hint="eastAsia" w:cs="宋体"/>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17F14">
            <w:pPr>
              <w:jc w:val="center"/>
              <w:rPr>
                <w:rFonts w:hint="eastAsia" w:cs="宋体"/>
                <w:sz w:val="21"/>
                <w:szCs w:val="21"/>
              </w:rPr>
            </w:pPr>
          </w:p>
        </w:tc>
      </w:tr>
      <w:tr w14:paraId="62E9F64F">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3B30E">
            <w:pPr>
              <w:jc w:val="center"/>
              <w:textAlignment w:val="center"/>
              <w:rPr>
                <w:rFonts w:hint="eastAsia" w:cs="宋体"/>
                <w:kern w:val="0"/>
                <w:sz w:val="21"/>
                <w:szCs w:val="21"/>
                <w:lang w:bidi="ar"/>
              </w:rPr>
            </w:pPr>
            <w:r>
              <w:rPr>
                <w:rFonts w:hint="eastAsia" w:cs="Times New Roman"/>
                <w:sz w:val="21"/>
                <w:szCs w:val="21"/>
              </w:rPr>
              <w:t>8）</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8D129">
            <w:pPr>
              <w:adjustRightInd w:val="0"/>
              <w:snapToGrid w:val="0"/>
              <w:rPr>
                <w:rFonts w:hint="eastAsia" w:cs="Times New Roman"/>
                <w:sz w:val="21"/>
                <w:szCs w:val="21"/>
              </w:rPr>
            </w:pPr>
            <w:r>
              <w:rPr>
                <w:rFonts w:hint="eastAsia" w:cs="Times New Roman"/>
                <w:sz w:val="21"/>
                <w:szCs w:val="21"/>
              </w:rPr>
              <w:t>应优化施工方案，尽可能缩短水下作业时间，避免施工悬浮物剧烈扩散对海洋环境的影响。</w:t>
            </w:r>
          </w:p>
        </w:tc>
        <w:tc>
          <w:tcPr>
            <w:tcW w:w="4111" w:type="dxa"/>
            <w:vMerge w:val="continue"/>
            <w:tcBorders>
              <w:left w:val="single" w:color="000000" w:sz="4" w:space="0"/>
              <w:right w:val="single" w:color="000000" w:sz="4" w:space="0"/>
            </w:tcBorders>
            <w:shd w:val="clear" w:color="auto" w:fill="auto"/>
            <w:vAlign w:val="center"/>
          </w:tcPr>
          <w:p w14:paraId="02DD1120">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6BC95">
            <w:pPr>
              <w:jc w:val="center"/>
              <w:rPr>
                <w:rFonts w:hint="eastAsia" w:cs="宋体"/>
                <w:sz w:val="21"/>
                <w:szCs w:val="21"/>
              </w:rPr>
            </w:pPr>
            <w:r>
              <w:rPr>
                <w:rFonts w:hint="eastAsia" w:cs="宋体"/>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D96AB">
            <w:pPr>
              <w:jc w:val="center"/>
              <w:rPr>
                <w:rFonts w:hint="eastAsia" w:cs="宋体"/>
                <w:sz w:val="21"/>
                <w:szCs w:val="21"/>
              </w:rPr>
            </w:pPr>
          </w:p>
        </w:tc>
      </w:tr>
      <w:tr w14:paraId="35299BDF">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B2CE2">
            <w:pPr>
              <w:jc w:val="center"/>
              <w:textAlignment w:val="center"/>
              <w:rPr>
                <w:rFonts w:hint="eastAsia" w:cs="宋体"/>
                <w:kern w:val="0"/>
                <w:sz w:val="21"/>
                <w:szCs w:val="21"/>
                <w:lang w:bidi="ar"/>
              </w:rPr>
            </w:pPr>
            <w:r>
              <w:rPr>
                <w:rFonts w:hint="eastAsia" w:cs="Times New Roman"/>
                <w:sz w:val="21"/>
                <w:szCs w:val="21"/>
              </w:rPr>
              <w:t>9）</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5C16E">
            <w:pPr>
              <w:adjustRightInd w:val="0"/>
              <w:snapToGrid w:val="0"/>
              <w:rPr>
                <w:rFonts w:hint="eastAsia" w:cs="Times New Roman"/>
                <w:sz w:val="21"/>
                <w:szCs w:val="21"/>
              </w:rPr>
            </w:pPr>
            <w:r>
              <w:rPr>
                <w:rFonts w:hint="eastAsia" w:cs="Times New Roman"/>
                <w:sz w:val="21"/>
                <w:szCs w:val="21"/>
              </w:rPr>
              <w:t>应制定降噪措施，对船载发动机进行噪声治理，严格检测施工噪声分贝值，保证满足施工场所噪音限值要求。</w:t>
            </w:r>
          </w:p>
        </w:tc>
        <w:tc>
          <w:tcPr>
            <w:tcW w:w="4111" w:type="dxa"/>
            <w:vMerge w:val="continue"/>
            <w:tcBorders>
              <w:left w:val="single" w:color="000000" w:sz="4" w:space="0"/>
              <w:right w:val="single" w:color="000000" w:sz="4" w:space="0"/>
            </w:tcBorders>
            <w:shd w:val="clear" w:color="auto" w:fill="auto"/>
            <w:vAlign w:val="center"/>
          </w:tcPr>
          <w:p w14:paraId="2DAA5EF2">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9366A">
            <w:pPr>
              <w:jc w:val="center"/>
              <w:rPr>
                <w:rFonts w:hint="eastAsia" w:cs="宋体"/>
                <w:sz w:val="21"/>
                <w:szCs w:val="21"/>
              </w:rPr>
            </w:pPr>
            <w:r>
              <w:rPr>
                <w:rFonts w:hint="eastAsia" w:cs="宋体"/>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96BCF">
            <w:pPr>
              <w:jc w:val="center"/>
              <w:rPr>
                <w:rFonts w:hint="eastAsia" w:cs="宋体"/>
                <w:sz w:val="21"/>
                <w:szCs w:val="21"/>
              </w:rPr>
            </w:pPr>
          </w:p>
        </w:tc>
      </w:tr>
      <w:tr w14:paraId="3D8A70CA">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D9248">
            <w:pPr>
              <w:jc w:val="center"/>
              <w:textAlignment w:val="center"/>
              <w:rPr>
                <w:rFonts w:hint="eastAsia" w:cs="宋体"/>
                <w:kern w:val="0"/>
                <w:sz w:val="21"/>
                <w:szCs w:val="21"/>
                <w:lang w:bidi="ar"/>
              </w:rPr>
            </w:pPr>
            <w:r>
              <w:rPr>
                <w:rFonts w:hint="eastAsia" w:cs="Times New Roman"/>
                <w:sz w:val="21"/>
                <w:szCs w:val="21"/>
              </w:rPr>
              <w:t>10）</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18695">
            <w:pPr>
              <w:adjustRightInd w:val="0"/>
              <w:snapToGrid w:val="0"/>
              <w:rPr>
                <w:rFonts w:hint="eastAsia" w:cs="Times New Roman"/>
                <w:sz w:val="21"/>
                <w:szCs w:val="21"/>
              </w:rPr>
            </w:pPr>
            <w:r>
              <w:rPr>
                <w:rFonts w:hint="eastAsia" w:cs="Times New Roman"/>
                <w:sz w:val="21"/>
                <w:szCs w:val="21"/>
              </w:rPr>
              <w:t>应制定油污和粉尘控制措施，严禁在船舶上焚烧废弃物，定期清理船舶卫生，防止产生过多粉尘。</w:t>
            </w:r>
          </w:p>
        </w:tc>
        <w:tc>
          <w:tcPr>
            <w:tcW w:w="4111" w:type="dxa"/>
            <w:vMerge w:val="continue"/>
            <w:tcBorders>
              <w:left w:val="single" w:color="000000" w:sz="4" w:space="0"/>
              <w:right w:val="single" w:color="000000" w:sz="4" w:space="0"/>
            </w:tcBorders>
            <w:shd w:val="clear" w:color="auto" w:fill="auto"/>
            <w:vAlign w:val="center"/>
          </w:tcPr>
          <w:p w14:paraId="36C4E556">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EDA9A">
            <w:pPr>
              <w:jc w:val="center"/>
              <w:rPr>
                <w:rFonts w:hint="eastAsia" w:cs="宋体"/>
                <w:sz w:val="21"/>
                <w:szCs w:val="21"/>
              </w:rPr>
            </w:pPr>
            <w:r>
              <w:rPr>
                <w:rFonts w:hint="eastAsia" w:cs="宋体"/>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50EEC">
            <w:pPr>
              <w:jc w:val="center"/>
              <w:rPr>
                <w:rFonts w:hint="eastAsia" w:cs="宋体"/>
                <w:sz w:val="21"/>
                <w:szCs w:val="21"/>
              </w:rPr>
            </w:pPr>
          </w:p>
        </w:tc>
      </w:tr>
      <w:tr w14:paraId="7DAB1388">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5D55F">
            <w:pPr>
              <w:jc w:val="center"/>
              <w:textAlignment w:val="center"/>
              <w:rPr>
                <w:rFonts w:hint="eastAsia" w:cs="宋体"/>
                <w:kern w:val="0"/>
                <w:sz w:val="21"/>
                <w:szCs w:val="21"/>
                <w:lang w:bidi="ar"/>
              </w:rPr>
            </w:pPr>
            <w:r>
              <w:rPr>
                <w:rFonts w:hint="eastAsia" w:cs="Times New Roman"/>
                <w:sz w:val="21"/>
                <w:szCs w:val="21"/>
              </w:rPr>
              <w:t>11）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744C5">
            <w:pPr>
              <w:adjustRightInd w:val="0"/>
              <w:snapToGrid w:val="0"/>
              <w:rPr>
                <w:rFonts w:hint="eastAsia" w:cs="Times New Roman"/>
                <w:sz w:val="21"/>
                <w:szCs w:val="21"/>
              </w:rPr>
            </w:pPr>
            <w:r>
              <w:rPr>
                <w:rFonts w:hint="eastAsia" w:cs="Times New Roman"/>
                <w:sz w:val="21"/>
                <w:szCs w:val="21"/>
              </w:rPr>
              <w:t>施工期船舶生活污水、含油污水收集后交由具有船舶污染物接收处置资质的单位回收处理，不得随意排放入海。</w:t>
            </w:r>
          </w:p>
        </w:tc>
        <w:tc>
          <w:tcPr>
            <w:tcW w:w="4111" w:type="dxa"/>
            <w:vMerge w:val="continue"/>
            <w:tcBorders>
              <w:left w:val="single" w:color="000000" w:sz="4" w:space="0"/>
              <w:right w:val="single" w:color="000000" w:sz="4" w:space="0"/>
            </w:tcBorders>
            <w:shd w:val="clear" w:color="auto" w:fill="auto"/>
            <w:vAlign w:val="center"/>
          </w:tcPr>
          <w:p w14:paraId="670640AA">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B9757">
            <w:pPr>
              <w:jc w:val="center"/>
              <w:rPr>
                <w:rFonts w:hint="eastAsia" w:cs="宋体"/>
                <w:sz w:val="21"/>
                <w:szCs w:val="21"/>
              </w:rPr>
            </w:pPr>
            <w:r>
              <w:rPr>
                <w:rFonts w:hint="eastAsia" w:cs="宋体"/>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9DFC9">
            <w:pPr>
              <w:jc w:val="center"/>
              <w:rPr>
                <w:rFonts w:hint="eastAsia" w:cs="宋体"/>
                <w:sz w:val="21"/>
                <w:szCs w:val="21"/>
              </w:rPr>
            </w:pPr>
          </w:p>
        </w:tc>
      </w:tr>
      <w:tr w14:paraId="02534048">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94FBB">
            <w:pPr>
              <w:jc w:val="center"/>
              <w:textAlignment w:val="center"/>
              <w:rPr>
                <w:rFonts w:hint="eastAsia" w:cs="宋体"/>
                <w:kern w:val="0"/>
                <w:sz w:val="21"/>
                <w:szCs w:val="21"/>
                <w:lang w:bidi="ar"/>
              </w:rPr>
            </w:pPr>
            <w:r>
              <w:rPr>
                <w:rFonts w:hint="eastAsia" w:cs="Times New Roman"/>
                <w:sz w:val="21"/>
                <w:szCs w:val="21"/>
              </w:rPr>
              <w:t>12）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46E36">
            <w:pPr>
              <w:adjustRightInd w:val="0"/>
              <w:snapToGrid w:val="0"/>
              <w:rPr>
                <w:rFonts w:hint="eastAsia" w:cs="Times New Roman"/>
                <w:sz w:val="21"/>
                <w:szCs w:val="21"/>
              </w:rPr>
            </w:pPr>
            <w:r>
              <w:rPr>
                <w:rFonts w:hint="eastAsia" w:cs="Times New Roman"/>
                <w:sz w:val="21"/>
                <w:szCs w:val="21"/>
              </w:rPr>
              <w:t>船舶修理及日常维修所产生的废机油、废弃物等应有专门的收集箱，定期处理。</w:t>
            </w:r>
          </w:p>
        </w:tc>
        <w:tc>
          <w:tcPr>
            <w:tcW w:w="4111" w:type="dxa"/>
            <w:vMerge w:val="continue"/>
            <w:tcBorders>
              <w:left w:val="single" w:color="000000" w:sz="4" w:space="0"/>
              <w:right w:val="single" w:color="000000" w:sz="4" w:space="0"/>
            </w:tcBorders>
            <w:shd w:val="clear" w:color="auto" w:fill="auto"/>
            <w:vAlign w:val="center"/>
          </w:tcPr>
          <w:p w14:paraId="57D4C6B6">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81DB2">
            <w:pPr>
              <w:jc w:val="center"/>
              <w:rPr>
                <w:rFonts w:hint="eastAsia" w:cs="宋体"/>
                <w:sz w:val="21"/>
                <w:szCs w:val="21"/>
              </w:rPr>
            </w:pPr>
            <w:r>
              <w:rPr>
                <w:rFonts w:hint="eastAsia" w:cs="宋体"/>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7E685">
            <w:pPr>
              <w:jc w:val="center"/>
              <w:rPr>
                <w:rFonts w:hint="eastAsia" w:cs="宋体"/>
                <w:sz w:val="21"/>
                <w:szCs w:val="21"/>
              </w:rPr>
            </w:pPr>
          </w:p>
        </w:tc>
      </w:tr>
      <w:tr w14:paraId="3DDE5D31">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5B3F7">
            <w:pPr>
              <w:jc w:val="center"/>
              <w:textAlignment w:val="center"/>
              <w:rPr>
                <w:rFonts w:hint="eastAsia" w:cs="宋体"/>
                <w:kern w:val="0"/>
                <w:sz w:val="21"/>
                <w:szCs w:val="21"/>
                <w:lang w:bidi="ar"/>
              </w:rPr>
            </w:pPr>
            <w:r>
              <w:rPr>
                <w:rFonts w:hint="eastAsia" w:cs="Times New Roman"/>
                <w:sz w:val="21"/>
                <w:szCs w:val="21"/>
              </w:rPr>
              <w:t>13）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5F235">
            <w:pPr>
              <w:adjustRightInd w:val="0"/>
              <w:snapToGrid w:val="0"/>
              <w:rPr>
                <w:rFonts w:hint="eastAsia" w:cs="Times New Roman"/>
                <w:sz w:val="21"/>
                <w:szCs w:val="21"/>
              </w:rPr>
            </w:pPr>
            <w:r>
              <w:rPr>
                <w:rFonts w:hint="eastAsia" w:cs="Times New Roman"/>
                <w:sz w:val="21"/>
                <w:szCs w:val="21"/>
              </w:rPr>
              <w:t>制定施工现场废弃物管理计划，对现场垃圾进行统一规划处置，严禁将生活垃圾、粪便等倾倒入海中。</w:t>
            </w:r>
          </w:p>
        </w:tc>
        <w:tc>
          <w:tcPr>
            <w:tcW w:w="4111" w:type="dxa"/>
            <w:vMerge w:val="continue"/>
            <w:tcBorders>
              <w:left w:val="single" w:color="000000" w:sz="4" w:space="0"/>
              <w:right w:val="single" w:color="000000" w:sz="4" w:space="0"/>
            </w:tcBorders>
            <w:shd w:val="clear" w:color="auto" w:fill="auto"/>
            <w:vAlign w:val="center"/>
          </w:tcPr>
          <w:p w14:paraId="1D09C62E">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48DFB">
            <w:pPr>
              <w:jc w:val="center"/>
              <w:rPr>
                <w:rFonts w:hint="eastAsia" w:cs="宋体"/>
                <w:sz w:val="21"/>
                <w:szCs w:val="21"/>
              </w:rPr>
            </w:pPr>
            <w:r>
              <w:rPr>
                <w:rFonts w:hint="eastAsia" w:cs="宋体"/>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7A3AA">
            <w:pPr>
              <w:jc w:val="center"/>
              <w:rPr>
                <w:rFonts w:hint="eastAsia" w:cs="宋体"/>
                <w:sz w:val="21"/>
                <w:szCs w:val="21"/>
              </w:rPr>
            </w:pPr>
          </w:p>
        </w:tc>
      </w:tr>
      <w:tr w14:paraId="19890F21">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9EFA1">
            <w:pPr>
              <w:jc w:val="center"/>
              <w:textAlignment w:val="center"/>
              <w:rPr>
                <w:rFonts w:hint="eastAsia" w:cs="宋体"/>
                <w:kern w:val="0"/>
                <w:sz w:val="21"/>
                <w:szCs w:val="21"/>
                <w:lang w:bidi="ar"/>
              </w:rPr>
            </w:pPr>
            <w:r>
              <w:rPr>
                <w:rFonts w:hint="eastAsia" w:cs="Times New Roman"/>
                <w:sz w:val="21"/>
                <w:szCs w:val="21"/>
              </w:rPr>
              <w:t>14）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AAA44">
            <w:pPr>
              <w:adjustRightInd w:val="0"/>
              <w:snapToGrid w:val="0"/>
              <w:rPr>
                <w:rFonts w:hint="eastAsia" w:cs="Times New Roman"/>
                <w:sz w:val="21"/>
                <w:szCs w:val="21"/>
              </w:rPr>
            </w:pPr>
            <w:r>
              <w:rPr>
                <w:rFonts w:hint="eastAsia" w:cs="Times New Roman"/>
                <w:sz w:val="21"/>
                <w:szCs w:val="21"/>
              </w:rPr>
              <w:t>施工计划及进度安排应尽量避开鱼类产卵高峰期、鸟类迁徙期、繁殖期。</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01429DB7">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932FE">
            <w:pPr>
              <w:jc w:val="center"/>
              <w:rPr>
                <w:rFonts w:hint="eastAsia" w:cs="宋体"/>
                <w:sz w:val="21"/>
                <w:szCs w:val="21"/>
              </w:rPr>
            </w:pPr>
            <w:r>
              <w:rPr>
                <w:rFonts w:hint="eastAsia" w:cs="宋体"/>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63F59">
            <w:pPr>
              <w:jc w:val="center"/>
              <w:rPr>
                <w:rFonts w:hint="eastAsia" w:cs="宋体"/>
                <w:sz w:val="21"/>
                <w:szCs w:val="21"/>
              </w:rPr>
            </w:pPr>
          </w:p>
        </w:tc>
      </w:tr>
      <w:tr w14:paraId="75D1F2FB">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617A4">
            <w:pPr>
              <w:jc w:val="center"/>
              <w:textAlignment w:val="center"/>
              <w:rPr>
                <w:rFonts w:hint="eastAsia" w:cs="宋体"/>
                <w:kern w:val="0"/>
                <w:sz w:val="21"/>
                <w:szCs w:val="21"/>
                <w:lang w:bidi="ar"/>
              </w:rPr>
            </w:pPr>
            <w:r>
              <w:rPr>
                <w:rFonts w:hint="eastAsia" w:cs="宋体"/>
                <w:kern w:val="0"/>
                <w:sz w:val="21"/>
                <w:szCs w:val="21"/>
                <w:lang w:bidi="ar"/>
              </w:rPr>
              <w:t>6.2.13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5C052">
            <w:pPr>
              <w:jc w:val="left"/>
              <w:rPr>
                <w:rFonts w:hint="eastAsia" w:cs="宋体"/>
                <w:kern w:val="0"/>
                <w:sz w:val="21"/>
                <w:szCs w:val="21"/>
                <w:lang w:bidi="ar"/>
              </w:rPr>
            </w:pPr>
            <w:r>
              <w:rPr>
                <w:rFonts w:hint="eastAsia" w:cs="宋体"/>
                <w:kern w:val="0"/>
                <w:sz w:val="21"/>
                <w:szCs w:val="21"/>
                <w:lang w:bidi="ar"/>
              </w:rPr>
              <w:t>太阳能发电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0108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63BD8">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2A789">
            <w:pPr>
              <w:jc w:val="center"/>
              <w:rPr>
                <w:rFonts w:hint="eastAsia" w:cs="宋体"/>
                <w:sz w:val="21"/>
                <w:szCs w:val="21"/>
              </w:rPr>
            </w:pPr>
          </w:p>
        </w:tc>
      </w:tr>
      <w:tr w14:paraId="46E84EA8">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37A94">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228C1">
            <w:pPr>
              <w:jc w:val="left"/>
              <w:rPr>
                <w:rFonts w:hint="eastAsia" w:cs="宋体"/>
                <w:kern w:val="0"/>
                <w:sz w:val="21"/>
                <w:szCs w:val="21"/>
                <w:lang w:bidi="ar"/>
              </w:rPr>
            </w:pPr>
            <w:r>
              <w:rPr>
                <w:rFonts w:hint="eastAsia" w:cs="宋体"/>
                <w:kern w:val="0"/>
                <w:sz w:val="21"/>
                <w:szCs w:val="21"/>
                <w:lang w:bidi="ar"/>
              </w:rPr>
              <w:t>陆上光伏发电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2354E">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3A5DC">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ECF6D">
            <w:pPr>
              <w:jc w:val="center"/>
              <w:rPr>
                <w:rFonts w:hint="eastAsia" w:cs="宋体"/>
                <w:sz w:val="21"/>
                <w:szCs w:val="21"/>
              </w:rPr>
            </w:pPr>
          </w:p>
        </w:tc>
      </w:tr>
      <w:tr w14:paraId="4C2E07DB">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E5680">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953AC">
            <w:pPr>
              <w:jc w:val="left"/>
              <w:rPr>
                <w:rFonts w:hint="eastAsia" w:cs="宋体"/>
                <w:kern w:val="0"/>
                <w:sz w:val="21"/>
                <w:szCs w:val="21"/>
                <w:lang w:bidi="ar"/>
              </w:rPr>
            </w:pPr>
            <w:r>
              <w:rPr>
                <w:rFonts w:hint="eastAsia" w:cs="宋体"/>
                <w:kern w:val="0"/>
                <w:sz w:val="21"/>
                <w:szCs w:val="21"/>
                <w:lang w:bidi="ar"/>
              </w:rPr>
              <w:t>基础浇筑过程中应减少对环境的破坏，基础质量应检验合格</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413BF242">
            <w:pPr>
              <w:jc w:val="left"/>
              <w:rPr>
                <w:rFonts w:hint="eastAsia" w:cs="宋体"/>
                <w:sz w:val="21"/>
                <w:szCs w:val="21"/>
              </w:rPr>
            </w:pPr>
            <w:r>
              <w:rPr>
                <w:rFonts w:hint="eastAsia" w:cs="宋体"/>
                <w:sz w:val="21"/>
                <w:szCs w:val="21"/>
              </w:rPr>
              <w:t>每项子目实得分根据现场实际情况按照标准分乘以相应系数进行评分：</w:t>
            </w:r>
          </w:p>
          <w:p w14:paraId="33C9A2B9">
            <w:pPr>
              <w:jc w:val="left"/>
              <w:rPr>
                <w:rFonts w:hint="eastAsia" w:cs="宋体"/>
                <w:sz w:val="21"/>
                <w:szCs w:val="21"/>
              </w:rPr>
            </w:pPr>
            <w:r>
              <w:rPr>
                <w:rFonts w:hint="eastAsia" w:cs="宋体"/>
                <w:sz w:val="21"/>
                <w:szCs w:val="21"/>
              </w:rPr>
              <w:t>1、措施到位，满足评价指标要求系数为1；</w:t>
            </w:r>
          </w:p>
          <w:p w14:paraId="59745764">
            <w:pPr>
              <w:jc w:val="left"/>
              <w:rPr>
                <w:rFonts w:hint="eastAsia" w:cs="宋体"/>
                <w:sz w:val="21"/>
                <w:szCs w:val="21"/>
              </w:rPr>
            </w:pPr>
            <w:r>
              <w:rPr>
                <w:rFonts w:hint="eastAsia" w:cs="宋体"/>
                <w:sz w:val="21"/>
                <w:szCs w:val="21"/>
              </w:rPr>
              <w:t>2、措施到位，基本满足评价指标要求系数按照0.5~0.9酌情选取；</w:t>
            </w:r>
          </w:p>
          <w:p w14:paraId="5F497C68">
            <w:pPr>
              <w:jc w:val="left"/>
              <w:rPr>
                <w:rFonts w:hint="eastAsia" w:cs="宋体"/>
                <w:sz w:val="21"/>
                <w:szCs w:val="21"/>
              </w:rPr>
            </w:pPr>
            <w:r>
              <w:rPr>
                <w:rFonts w:hint="eastAsia" w:cs="宋体"/>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67CE5">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2323C">
            <w:pPr>
              <w:jc w:val="center"/>
              <w:rPr>
                <w:rFonts w:hint="eastAsia" w:cs="宋体"/>
                <w:sz w:val="21"/>
                <w:szCs w:val="21"/>
              </w:rPr>
            </w:pPr>
          </w:p>
        </w:tc>
      </w:tr>
      <w:tr w14:paraId="230EEDFC">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03128">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A81C8">
            <w:pPr>
              <w:jc w:val="left"/>
              <w:rPr>
                <w:rFonts w:hint="eastAsia" w:cs="宋体"/>
                <w:kern w:val="0"/>
                <w:sz w:val="21"/>
                <w:szCs w:val="21"/>
                <w:lang w:bidi="ar"/>
              </w:rPr>
            </w:pPr>
            <w:r>
              <w:rPr>
                <w:rFonts w:hint="eastAsia" w:cs="宋体"/>
                <w:kern w:val="0"/>
                <w:sz w:val="21"/>
                <w:szCs w:val="21"/>
                <w:lang w:bidi="ar"/>
              </w:rPr>
              <w:t>光伏支架施工应符合《光伏发电站施工规范》GB50794的规定</w:t>
            </w:r>
          </w:p>
        </w:tc>
        <w:tc>
          <w:tcPr>
            <w:tcW w:w="4111" w:type="dxa"/>
            <w:vMerge w:val="continue"/>
            <w:tcBorders>
              <w:left w:val="single" w:color="000000" w:sz="4" w:space="0"/>
              <w:right w:val="single" w:color="000000" w:sz="4" w:space="0"/>
            </w:tcBorders>
            <w:shd w:val="clear" w:color="auto" w:fill="auto"/>
            <w:vAlign w:val="center"/>
          </w:tcPr>
          <w:p w14:paraId="53719C9D">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20D66">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8DE25">
            <w:pPr>
              <w:jc w:val="center"/>
              <w:rPr>
                <w:rFonts w:hint="eastAsia" w:cs="宋体"/>
                <w:sz w:val="21"/>
                <w:szCs w:val="21"/>
              </w:rPr>
            </w:pPr>
          </w:p>
        </w:tc>
      </w:tr>
      <w:tr w14:paraId="112C25F6">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CAD66">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4D528">
            <w:pPr>
              <w:jc w:val="left"/>
              <w:rPr>
                <w:rFonts w:hint="eastAsia" w:cs="宋体"/>
                <w:kern w:val="0"/>
                <w:sz w:val="21"/>
                <w:szCs w:val="21"/>
                <w:lang w:bidi="ar"/>
              </w:rPr>
            </w:pPr>
            <w:r>
              <w:rPr>
                <w:rFonts w:hint="eastAsia" w:cs="宋体"/>
                <w:kern w:val="0"/>
                <w:sz w:val="21"/>
                <w:szCs w:val="21"/>
                <w:lang w:bidi="ar"/>
              </w:rPr>
              <w:t>应做好光伏组件的卸车、搬运、开箱等过程保护，安装过程中不应踩踏，不应触碰金属带电部位，废弃光伏组件不应随意丢弃</w:t>
            </w:r>
          </w:p>
        </w:tc>
        <w:tc>
          <w:tcPr>
            <w:tcW w:w="4111" w:type="dxa"/>
            <w:vMerge w:val="continue"/>
            <w:tcBorders>
              <w:left w:val="single" w:color="000000" w:sz="4" w:space="0"/>
              <w:right w:val="single" w:color="000000" w:sz="4" w:space="0"/>
            </w:tcBorders>
            <w:shd w:val="clear" w:color="auto" w:fill="auto"/>
            <w:vAlign w:val="center"/>
          </w:tcPr>
          <w:p w14:paraId="691234B9">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D8B33">
            <w:pPr>
              <w:jc w:val="center"/>
              <w:rPr>
                <w:rFonts w:hint="eastAsia" w:cs="宋体"/>
                <w:sz w:val="21"/>
                <w:szCs w:val="21"/>
              </w:rPr>
            </w:pPr>
            <w:r>
              <w:rPr>
                <w:rFonts w:hint="eastAsia" w:cs="宋体"/>
                <w:sz w:val="21"/>
                <w:szCs w:val="21"/>
              </w:rPr>
              <w:t>0.6</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2163E">
            <w:pPr>
              <w:jc w:val="center"/>
              <w:rPr>
                <w:rFonts w:hint="eastAsia" w:cs="宋体"/>
                <w:sz w:val="21"/>
                <w:szCs w:val="21"/>
              </w:rPr>
            </w:pPr>
          </w:p>
        </w:tc>
      </w:tr>
      <w:tr w14:paraId="3F45DA9D">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9153F">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10BA6">
            <w:pPr>
              <w:jc w:val="left"/>
              <w:rPr>
                <w:rFonts w:hint="eastAsia" w:cs="宋体"/>
                <w:kern w:val="0"/>
                <w:sz w:val="21"/>
                <w:szCs w:val="21"/>
                <w:lang w:bidi="ar"/>
              </w:rPr>
            </w:pPr>
            <w:r>
              <w:rPr>
                <w:rFonts w:hint="eastAsia" w:cs="宋体"/>
                <w:kern w:val="0"/>
                <w:sz w:val="21"/>
                <w:szCs w:val="21"/>
                <w:lang w:bidi="ar"/>
              </w:rPr>
              <w:t>逆变器、汇流箱及箱式变压器安装调试过程中应确保输入及输出侧均由明显断开点</w:t>
            </w:r>
          </w:p>
        </w:tc>
        <w:tc>
          <w:tcPr>
            <w:tcW w:w="4111" w:type="dxa"/>
            <w:vMerge w:val="continue"/>
            <w:tcBorders>
              <w:left w:val="single" w:color="000000" w:sz="4" w:space="0"/>
              <w:right w:val="single" w:color="000000" w:sz="4" w:space="0"/>
            </w:tcBorders>
            <w:shd w:val="clear" w:color="auto" w:fill="auto"/>
            <w:vAlign w:val="center"/>
          </w:tcPr>
          <w:p w14:paraId="73D89926">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82956">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69CB0">
            <w:pPr>
              <w:jc w:val="center"/>
              <w:rPr>
                <w:rFonts w:hint="eastAsia" w:cs="宋体"/>
                <w:sz w:val="21"/>
                <w:szCs w:val="21"/>
              </w:rPr>
            </w:pPr>
          </w:p>
        </w:tc>
      </w:tr>
      <w:tr w14:paraId="75AD1167">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0883B">
            <w:pPr>
              <w:jc w:val="center"/>
              <w:textAlignment w:val="center"/>
              <w:rPr>
                <w:rFonts w:hint="eastAsia" w:cs="宋体"/>
                <w:kern w:val="0"/>
                <w:sz w:val="21"/>
                <w:szCs w:val="21"/>
                <w:lang w:bidi="ar"/>
              </w:rPr>
            </w:pPr>
            <w:r>
              <w:rPr>
                <w:rFonts w:hint="eastAsia" w:cs="宋体"/>
                <w:kern w:val="0"/>
                <w:sz w:val="21"/>
                <w:szCs w:val="21"/>
                <w:lang w:bidi="ar"/>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73F69">
            <w:pPr>
              <w:jc w:val="left"/>
              <w:rPr>
                <w:rFonts w:hint="eastAsia" w:cs="宋体"/>
                <w:kern w:val="0"/>
                <w:sz w:val="21"/>
                <w:szCs w:val="21"/>
                <w:lang w:bidi="ar"/>
              </w:rPr>
            </w:pPr>
            <w:r>
              <w:rPr>
                <w:rFonts w:hint="eastAsia" w:cs="宋体"/>
                <w:kern w:val="0"/>
                <w:sz w:val="21"/>
                <w:szCs w:val="21"/>
                <w:lang w:bidi="ar"/>
              </w:rPr>
              <w:t>打桩机、运输及吊装等施工机械应定期维护保养，使其保持良好的运行状态</w:t>
            </w:r>
          </w:p>
        </w:tc>
        <w:tc>
          <w:tcPr>
            <w:tcW w:w="4111" w:type="dxa"/>
            <w:vMerge w:val="continue"/>
            <w:tcBorders>
              <w:left w:val="single" w:color="000000" w:sz="4" w:space="0"/>
              <w:right w:val="single" w:color="000000" w:sz="4" w:space="0"/>
            </w:tcBorders>
            <w:shd w:val="clear" w:color="auto" w:fill="auto"/>
            <w:vAlign w:val="center"/>
          </w:tcPr>
          <w:p w14:paraId="79A88245">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A9D2E">
            <w:pPr>
              <w:jc w:val="center"/>
              <w:rPr>
                <w:rFonts w:hint="eastAsia" w:cs="宋体"/>
                <w:sz w:val="21"/>
                <w:szCs w:val="21"/>
              </w:rPr>
            </w:pPr>
            <w:r>
              <w:rPr>
                <w:rFonts w:hint="eastAsia" w:cs="宋体"/>
                <w:sz w:val="21"/>
                <w:szCs w:val="21"/>
              </w:rPr>
              <w:t>0.6</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CE153">
            <w:pPr>
              <w:jc w:val="center"/>
              <w:rPr>
                <w:rFonts w:hint="eastAsia" w:cs="宋体"/>
                <w:sz w:val="21"/>
                <w:szCs w:val="21"/>
              </w:rPr>
            </w:pPr>
          </w:p>
        </w:tc>
      </w:tr>
      <w:tr w14:paraId="244243E4">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19DF9">
            <w:pPr>
              <w:jc w:val="center"/>
              <w:textAlignment w:val="center"/>
              <w:rPr>
                <w:rFonts w:hint="eastAsia" w:cs="宋体"/>
                <w:kern w:val="0"/>
                <w:sz w:val="21"/>
                <w:szCs w:val="21"/>
                <w:lang w:bidi="ar"/>
              </w:rPr>
            </w:pPr>
            <w:r>
              <w:rPr>
                <w:rFonts w:hint="eastAsia" w:cs="宋体"/>
                <w:kern w:val="0"/>
                <w:sz w:val="21"/>
                <w:szCs w:val="21"/>
                <w:lang w:bidi="ar"/>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60F2F">
            <w:pPr>
              <w:jc w:val="left"/>
              <w:rPr>
                <w:rFonts w:hint="eastAsia" w:cs="宋体"/>
                <w:kern w:val="0"/>
                <w:sz w:val="21"/>
                <w:szCs w:val="21"/>
                <w:lang w:bidi="ar"/>
              </w:rPr>
            </w:pPr>
            <w:r>
              <w:rPr>
                <w:rFonts w:hint="eastAsia" w:cs="宋体"/>
                <w:kern w:val="0"/>
                <w:sz w:val="21"/>
                <w:szCs w:val="21"/>
                <w:lang w:bidi="ar"/>
              </w:rPr>
              <w:t>光伏阵列区道路施工应减少土石方量，避免大量挖方填方，大件运输时合理设置道路坡度和转弯半径</w:t>
            </w:r>
          </w:p>
        </w:tc>
        <w:tc>
          <w:tcPr>
            <w:tcW w:w="4111" w:type="dxa"/>
            <w:vMerge w:val="continue"/>
            <w:tcBorders>
              <w:left w:val="single" w:color="000000" w:sz="4" w:space="0"/>
              <w:right w:val="single" w:color="000000" w:sz="4" w:space="0"/>
            </w:tcBorders>
            <w:shd w:val="clear" w:color="auto" w:fill="auto"/>
            <w:vAlign w:val="center"/>
          </w:tcPr>
          <w:p w14:paraId="45D13A9E">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29040">
            <w:pPr>
              <w:jc w:val="center"/>
              <w:rPr>
                <w:rFonts w:hint="eastAsia" w:cs="宋体"/>
                <w:sz w:val="21"/>
                <w:szCs w:val="21"/>
              </w:rPr>
            </w:pPr>
            <w:r>
              <w:rPr>
                <w:rFonts w:hint="eastAsia" w:cs="宋体"/>
                <w:sz w:val="21"/>
                <w:szCs w:val="21"/>
              </w:rPr>
              <w:t>0.9</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49A59">
            <w:pPr>
              <w:jc w:val="center"/>
              <w:rPr>
                <w:rFonts w:hint="eastAsia" w:cs="宋体"/>
                <w:sz w:val="21"/>
                <w:szCs w:val="21"/>
              </w:rPr>
            </w:pPr>
          </w:p>
        </w:tc>
      </w:tr>
      <w:tr w14:paraId="65C82707">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34989">
            <w:pPr>
              <w:jc w:val="center"/>
              <w:textAlignment w:val="center"/>
              <w:rPr>
                <w:rFonts w:hint="eastAsia" w:cs="宋体"/>
                <w:kern w:val="0"/>
                <w:sz w:val="21"/>
                <w:szCs w:val="21"/>
                <w:lang w:bidi="ar"/>
              </w:rPr>
            </w:pPr>
            <w:r>
              <w:rPr>
                <w:rFonts w:hint="eastAsia" w:cs="宋体"/>
                <w:kern w:val="0"/>
                <w:sz w:val="21"/>
                <w:szCs w:val="21"/>
                <w:lang w:bidi="ar"/>
              </w:rPr>
              <w:t>7）</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8E017">
            <w:pPr>
              <w:jc w:val="left"/>
              <w:rPr>
                <w:rFonts w:hint="eastAsia" w:cs="宋体"/>
                <w:kern w:val="0"/>
                <w:sz w:val="21"/>
                <w:szCs w:val="21"/>
                <w:lang w:bidi="ar"/>
              </w:rPr>
            </w:pPr>
            <w:r>
              <w:rPr>
                <w:rFonts w:hint="eastAsia" w:cs="宋体"/>
                <w:kern w:val="0"/>
                <w:sz w:val="21"/>
                <w:szCs w:val="21"/>
                <w:lang w:bidi="ar"/>
              </w:rPr>
              <w:t>变电站区域、场内集电线路施工前应进行封闭，光伏发电站阵列区施工前应完成围护结构工程施工</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2AD9AB99">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8CCDE">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85B02">
            <w:pPr>
              <w:jc w:val="center"/>
              <w:rPr>
                <w:rFonts w:hint="eastAsia" w:cs="宋体"/>
                <w:sz w:val="21"/>
                <w:szCs w:val="21"/>
              </w:rPr>
            </w:pPr>
          </w:p>
        </w:tc>
      </w:tr>
      <w:tr w14:paraId="62817570">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E2670">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569EF">
            <w:pPr>
              <w:jc w:val="left"/>
              <w:rPr>
                <w:rFonts w:hint="eastAsia" w:cs="宋体"/>
                <w:kern w:val="0"/>
                <w:sz w:val="21"/>
                <w:szCs w:val="21"/>
                <w:lang w:bidi="ar"/>
              </w:rPr>
            </w:pPr>
            <w:r>
              <w:rPr>
                <w:rFonts w:hint="eastAsia" w:cs="宋体"/>
                <w:kern w:val="0"/>
                <w:sz w:val="21"/>
                <w:szCs w:val="21"/>
                <w:lang w:bidi="ar"/>
              </w:rPr>
              <w:t>水上光伏发电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DC819">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22B7E">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B5464">
            <w:pPr>
              <w:jc w:val="center"/>
              <w:rPr>
                <w:rFonts w:hint="eastAsia" w:cs="宋体"/>
                <w:sz w:val="21"/>
                <w:szCs w:val="21"/>
              </w:rPr>
            </w:pPr>
          </w:p>
        </w:tc>
      </w:tr>
      <w:tr w14:paraId="3CCD8685">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3464C">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C87B6">
            <w:pPr>
              <w:jc w:val="left"/>
              <w:rPr>
                <w:rFonts w:hint="eastAsia" w:cs="宋体"/>
                <w:kern w:val="0"/>
                <w:sz w:val="21"/>
                <w:szCs w:val="21"/>
                <w:lang w:bidi="ar"/>
              </w:rPr>
            </w:pPr>
            <w:r>
              <w:rPr>
                <w:rFonts w:hint="eastAsia" w:cs="宋体"/>
                <w:kern w:val="0"/>
                <w:sz w:val="21"/>
                <w:szCs w:val="21"/>
                <w:lang w:bidi="ar"/>
              </w:rPr>
              <w:t>水上光伏作业人员应按规定持有相关水上设施工作人员安全技能培训合格证明或相应等效的培训合格证，参加内部安全教育及培训，确保熟悉作业区域的气象水况、工况条件和安全要求等</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455F0A23">
            <w:pPr>
              <w:jc w:val="left"/>
              <w:rPr>
                <w:rFonts w:hint="eastAsia" w:cs="宋体"/>
                <w:sz w:val="21"/>
                <w:szCs w:val="21"/>
              </w:rPr>
            </w:pPr>
            <w:r>
              <w:rPr>
                <w:rFonts w:hint="eastAsia" w:cs="宋体"/>
                <w:sz w:val="21"/>
                <w:szCs w:val="21"/>
              </w:rPr>
              <w:t>每项子目实得分根据现场实际情况按照标准分乘以相应系数进行评分：</w:t>
            </w:r>
          </w:p>
          <w:p w14:paraId="6A14C351">
            <w:pPr>
              <w:jc w:val="left"/>
              <w:rPr>
                <w:rFonts w:hint="eastAsia" w:cs="宋体"/>
                <w:sz w:val="21"/>
                <w:szCs w:val="21"/>
              </w:rPr>
            </w:pPr>
            <w:r>
              <w:rPr>
                <w:rFonts w:hint="eastAsia" w:cs="宋体"/>
                <w:sz w:val="21"/>
                <w:szCs w:val="21"/>
              </w:rPr>
              <w:t>1、措施到位，满足评价指标要求系数为1；</w:t>
            </w:r>
          </w:p>
          <w:p w14:paraId="3995FC21">
            <w:pPr>
              <w:jc w:val="left"/>
              <w:rPr>
                <w:rFonts w:hint="eastAsia" w:cs="宋体"/>
                <w:sz w:val="21"/>
                <w:szCs w:val="21"/>
              </w:rPr>
            </w:pPr>
            <w:r>
              <w:rPr>
                <w:rFonts w:hint="eastAsia" w:cs="宋体"/>
                <w:sz w:val="21"/>
                <w:szCs w:val="21"/>
              </w:rPr>
              <w:t>2、措施到位，基本满足评价指标要求系数按照0.5~0.9酌情选取；</w:t>
            </w:r>
          </w:p>
          <w:p w14:paraId="49F64193">
            <w:pPr>
              <w:jc w:val="left"/>
              <w:rPr>
                <w:rFonts w:hint="eastAsia" w:cs="宋体"/>
                <w:sz w:val="21"/>
                <w:szCs w:val="21"/>
              </w:rPr>
            </w:pPr>
            <w:r>
              <w:rPr>
                <w:rFonts w:hint="eastAsia" w:cs="宋体"/>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E781A">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22CCE">
            <w:pPr>
              <w:jc w:val="center"/>
              <w:rPr>
                <w:rFonts w:hint="eastAsia" w:cs="宋体"/>
                <w:sz w:val="21"/>
                <w:szCs w:val="21"/>
              </w:rPr>
            </w:pPr>
          </w:p>
        </w:tc>
      </w:tr>
      <w:tr w14:paraId="418B245A">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E7230">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F6C0F">
            <w:pPr>
              <w:jc w:val="left"/>
              <w:rPr>
                <w:rFonts w:hint="eastAsia" w:cs="宋体"/>
                <w:kern w:val="0"/>
                <w:sz w:val="21"/>
                <w:szCs w:val="21"/>
                <w:lang w:bidi="ar"/>
              </w:rPr>
            </w:pPr>
            <w:r>
              <w:rPr>
                <w:rFonts w:hint="eastAsia" w:cs="宋体"/>
                <w:kern w:val="0"/>
                <w:sz w:val="21"/>
                <w:szCs w:val="21"/>
                <w:lang w:bidi="ar"/>
              </w:rPr>
              <w:t>应建立水上作业人员动态管理台账，对水上作业各类人员（船员、安装作业人员、临时水上作业人员）进行管理</w:t>
            </w:r>
          </w:p>
        </w:tc>
        <w:tc>
          <w:tcPr>
            <w:tcW w:w="4111" w:type="dxa"/>
            <w:vMerge w:val="continue"/>
            <w:tcBorders>
              <w:left w:val="single" w:color="000000" w:sz="4" w:space="0"/>
              <w:right w:val="single" w:color="000000" w:sz="4" w:space="0"/>
            </w:tcBorders>
            <w:shd w:val="clear" w:color="auto" w:fill="auto"/>
            <w:vAlign w:val="center"/>
          </w:tcPr>
          <w:p w14:paraId="55C1665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12C11">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4750C">
            <w:pPr>
              <w:jc w:val="center"/>
              <w:rPr>
                <w:rFonts w:hint="eastAsia" w:cs="宋体"/>
                <w:sz w:val="21"/>
                <w:szCs w:val="21"/>
              </w:rPr>
            </w:pPr>
          </w:p>
        </w:tc>
      </w:tr>
      <w:tr w14:paraId="5EADC65B">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E661E">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04312">
            <w:pPr>
              <w:jc w:val="left"/>
              <w:rPr>
                <w:rFonts w:hint="eastAsia" w:cs="宋体"/>
                <w:kern w:val="0"/>
                <w:sz w:val="21"/>
                <w:szCs w:val="21"/>
                <w:lang w:bidi="ar"/>
              </w:rPr>
            </w:pPr>
            <w:r>
              <w:rPr>
                <w:rFonts w:hint="eastAsia" w:cs="宋体"/>
                <w:kern w:val="0"/>
                <w:sz w:val="21"/>
                <w:szCs w:val="21"/>
                <w:lang w:bidi="ar"/>
              </w:rPr>
              <w:t>水上光伏应设置水上运输通道，并设置安全标志标识，注明水深、水位等关键信息，应配备救生衣</w:t>
            </w:r>
          </w:p>
        </w:tc>
        <w:tc>
          <w:tcPr>
            <w:tcW w:w="4111" w:type="dxa"/>
            <w:vMerge w:val="continue"/>
            <w:tcBorders>
              <w:left w:val="single" w:color="000000" w:sz="4" w:space="0"/>
              <w:right w:val="single" w:color="000000" w:sz="4" w:space="0"/>
            </w:tcBorders>
            <w:shd w:val="clear" w:color="auto" w:fill="auto"/>
            <w:vAlign w:val="center"/>
          </w:tcPr>
          <w:p w14:paraId="0A39EFE5">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4DC4F">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4C4C7">
            <w:pPr>
              <w:jc w:val="center"/>
              <w:rPr>
                <w:rFonts w:hint="eastAsia" w:cs="宋体"/>
                <w:sz w:val="21"/>
                <w:szCs w:val="21"/>
              </w:rPr>
            </w:pPr>
          </w:p>
        </w:tc>
      </w:tr>
      <w:tr w14:paraId="56B4364D">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F7683">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2572E">
            <w:pPr>
              <w:jc w:val="left"/>
              <w:rPr>
                <w:rFonts w:hint="eastAsia" w:cs="宋体"/>
                <w:kern w:val="0"/>
                <w:sz w:val="21"/>
                <w:szCs w:val="21"/>
                <w:lang w:bidi="ar"/>
              </w:rPr>
            </w:pPr>
            <w:r>
              <w:rPr>
                <w:rFonts w:hint="eastAsia" w:cs="宋体"/>
                <w:kern w:val="0"/>
                <w:sz w:val="21"/>
                <w:szCs w:val="21"/>
                <w:lang w:bidi="ar"/>
              </w:rPr>
              <w:t>施工前应制定周边环境保护的控制措施，应定期监测水质、空气等环境保护指标，施工过程中采取有效措施做好环境保护工作，减少工程施工对环境的负面影响</w:t>
            </w:r>
          </w:p>
        </w:tc>
        <w:tc>
          <w:tcPr>
            <w:tcW w:w="4111" w:type="dxa"/>
            <w:vMerge w:val="continue"/>
            <w:tcBorders>
              <w:left w:val="single" w:color="000000" w:sz="4" w:space="0"/>
              <w:right w:val="single" w:color="000000" w:sz="4" w:space="0"/>
            </w:tcBorders>
            <w:shd w:val="clear" w:color="auto" w:fill="auto"/>
            <w:vAlign w:val="center"/>
          </w:tcPr>
          <w:p w14:paraId="6C27668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49186">
            <w:pPr>
              <w:jc w:val="center"/>
              <w:rPr>
                <w:rFonts w:hint="eastAsia" w:cs="宋体"/>
                <w:sz w:val="21"/>
                <w:szCs w:val="21"/>
              </w:rPr>
            </w:pPr>
            <w:r>
              <w:rPr>
                <w:rFonts w:hint="eastAsia" w:cs="宋体"/>
                <w:sz w:val="21"/>
                <w:szCs w:val="21"/>
              </w:rPr>
              <w:t>0.6</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F84BD">
            <w:pPr>
              <w:jc w:val="center"/>
              <w:rPr>
                <w:rFonts w:hint="eastAsia" w:cs="宋体"/>
                <w:sz w:val="21"/>
                <w:szCs w:val="21"/>
              </w:rPr>
            </w:pPr>
          </w:p>
        </w:tc>
      </w:tr>
      <w:tr w14:paraId="372F0B96">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41A89">
            <w:pPr>
              <w:jc w:val="center"/>
              <w:textAlignment w:val="center"/>
              <w:rPr>
                <w:rFonts w:hint="eastAsia" w:cs="宋体"/>
                <w:kern w:val="0"/>
                <w:sz w:val="21"/>
                <w:szCs w:val="21"/>
                <w:lang w:bidi="ar"/>
              </w:rPr>
            </w:pPr>
            <w:r>
              <w:rPr>
                <w:rFonts w:hint="eastAsia" w:cs="宋体"/>
                <w:kern w:val="0"/>
                <w:sz w:val="21"/>
                <w:szCs w:val="21"/>
                <w:lang w:bidi="ar"/>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AEF8E">
            <w:pPr>
              <w:jc w:val="left"/>
              <w:rPr>
                <w:rFonts w:hint="eastAsia" w:cs="宋体"/>
                <w:kern w:val="0"/>
                <w:sz w:val="21"/>
                <w:szCs w:val="21"/>
                <w:lang w:bidi="ar"/>
              </w:rPr>
            </w:pPr>
            <w:r>
              <w:rPr>
                <w:rFonts w:hint="eastAsia" w:cs="宋体"/>
                <w:kern w:val="0"/>
                <w:sz w:val="21"/>
                <w:szCs w:val="21"/>
                <w:lang w:bidi="ar"/>
              </w:rPr>
              <w:t>水下电缆敷设施工中，应采取相应水体保护措施，防治水质污染</w:t>
            </w:r>
          </w:p>
        </w:tc>
        <w:tc>
          <w:tcPr>
            <w:tcW w:w="4111" w:type="dxa"/>
            <w:vMerge w:val="continue"/>
            <w:tcBorders>
              <w:left w:val="single" w:color="000000" w:sz="4" w:space="0"/>
              <w:right w:val="single" w:color="000000" w:sz="4" w:space="0"/>
            </w:tcBorders>
            <w:shd w:val="clear" w:color="auto" w:fill="auto"/>
            <w:vAlign w:val="center"/>
          </w:tcPr>
          <w:p w14:paraId="4A55091B">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B27A7">
            <w:pPr>
              <w:jc w:val="center"/>
              <w:rPr>
                <w:rFonts w:hint="eastAsia" w:cs="宋体"/>
                <w:sz w:val="21"/>
                <w:szCs w:val="21"/>
              </w:rPr>
            </w:pPr>
            <w:r>
              <w:rPr>
                <w:rFonts w:hint="eastAsia" w:cs="宋体"/>
                <w:sz w:val="21"/>
                <w:szCs w:val="21"/>
              </w:rPr>
              <w:t>0.6</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CF926">
            <w:pPr>
              <w:jc w:val="center"/>
              <w:rPr>
                <w:rFonts w:hint="eastAsia" w:cs="宋体"/>
                <w:sz w:val="21"/>
                <w:szCs w:val="21"/>
              </w:rPr>
            </w:pPr>
          </w:p>
        </w:tc>
      </w:tr>
      <w:tr w14:paraId="200B92B1">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C38BC">
            <w:pPr>
              <w:jc w:val="center"/>
              <w:textAlignment w:val="center"/>
              <w:rPr>
                <w:rFonts w:hint="eastAsia" w:cs="宋体"/>
                <w:kern w:val="0"/>
                <w:sz w:val="21"/>
                <w:szCs w:val="21"/>
                <w:lang w:bidi="ar"/>
              </w:rPr>
            </w:pPr>
            <w:r>
              <w:rPr>
                <w:rFonts w:hint="eastAsia" w:cs="宋体"/>
                <w:kern w:val="0"/>
                <w:sz w:val="21"/>
                <w:szCs w:val="21"/>
                <w:lang w:bidi="ar"/>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94375">
            <w:pPr>
              <w:jc w:val="left"/>
              <w:rPr>
                <w:rFonts w:hint="eastAsia" w:cs="宋体"/>
                <w:kern w:val="0"/>
                <w:sz w:val="21"/>
                <w:szCs w:val="21"/>
                <w:lang w:bidi="ar"/>
              </w:rPr>
            </w:pPr>
            <w:r>
              <w:rPr>
                <w:rFonts w:hint="eastAsia" w:cs="宋体"/>
                <w:kern w:val="0"/>
                <w:sz w:val="21"/>
                <w:szCs w:val="21"/>
                <w:lang w:bidi="ar"/>
              </w:rPr>
              <w:t>不应触碰光伏组件金属带电部位</w:t>
            </w:r>
          </w:p>
        </w:tc>
        <w:tc>
          <w:tcPr>
            <w:tcW w:w="4111" w:type="dxa"/>
            <w:vMerge w:val="continue"/>
            <w:tcBorders>
              <w:left w:val="single" w:color="000000" w:sz="4" w:space="0"/>
              <w:right w:val="single" w:color="000000" w:sz="4" w:space="0"/>
            </w:tcBorders>
            <w:shd w:val="clear" w:color="auto" w:fill="auto"/>
            <w:vAlign w:val="center"/>
          </w:tcPr>
          <w:p w14:paraId="481DE46D">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10C6E">
            <w:pPr>
              <w:jc w:val="center"/>
              <w:rPr>
                <w:rFonts w:hint="eastAsia" w:cs="宋体"/>
                <w:sz w:val="21"/>
                <w:szCs w:val="21"/>
              </w:rPr>
            </w:pPr>
            <w:r>
              <w:rPr>
                <w:rFonts w:hint="eastAsia" w:cs="宋体"/>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6A1D8">
            <w:pPr>
              <w:jc w:val="center"/>
              <w:rPr>
                <w:rFonts w:hint="eastAsia" w:cs="宋体"/>
                <w:sz w:val="21"/>
                <w:szCs w:val="21"/>
              </w:rPr>
            </w:pPr>
          </w:p>
        </w:tc>
      </w:tr>
      <w:tr w14:paraId="4872DFB2">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7651E">
            <w:pPr>
              <w:jc w:val="center"/>
              <w:textAlignment w:val="center"/>
              <w:rPr>
                <w:rFonts w:hint="eastAsia" w:cs="宋体"/>
                <w:kern w:val="0"/>
                <w:sz w:val="21"/>
                <w:szCs w:val="21"/>
                <w:lang w:bidi="ar"/>
              </w:rPr>
            </w:pPr>
            <w:r>
              <w:rPr>
                <w:rFonts w:hint="eastAsia" w:cs="宋体"/>
                <w:kern w:val="0"/>
                <w:sz w:val="21"/>
                <w:szCs w:val="21"/>
                <w:lang w:bidi="ar"/>
              </w:rPr>
              <w:t>7）</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F2169">
            <w:pPr>
              <w:jc w:val="left"/>
              <w:rPr>
                <w:rFonts w:hint="eastAsia" w:cs="宋体"/>
                <w:kern w:val="0"/>
                <w:sz w:val="21"/>
                <w:szCs w:val="21"/>
                <w:lang w:bidi="ar"/>
              </w:rPr>
            </w:pPr>
            <w:r>
              <w:rPr>
                <w:rFonts w:hint="eastAsia" w:cs="宋体"/>
                <w:kern w:val="0"/>
                <w:sz w:val="21"/>
                <w:szCs w:val="21"/>
                <w:lang w:bidi="ar"/>
              </w:rPr>
              <w:t>应加强天气预报管理，根据气象、水文预报信息，合理安排水上作业窗口期，保障施工安全风险可控</w:t>
            </w:r>
          </w:p>
        </w:tc>
        <w:tc>
          <w:tcPr>
            <w:tcW w:w="4111" w:type="dxa"/>
            <w:vMerge w:val="continue"/>
            <w:tcBorders>
              <w:left w:val="single" w:color="000000" w:sz="4" w:space="0"/>
              <w:right w:val="single" w:color="000000" w:sz="4" w:space="0"/>
            </w:tcBorders>
            <w:shd w:val="clear" w:color="auto" w:fill="auto"/>
            <w:vAlign w:val="center"/>
          </w:tcPr>
          <w:p w14:paraId="4C71C08A">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450AA">
            <w:pPr>
              <w:jc w:val="center"/>
              <w:rPr>
                <w:rFonts w:hint="eastAsia" w:cs="宋体"/>
                <w:sz w:val="21"/>
                <w:szCs w:val="21"/>
              </w:rPr>
            </w:pPr>
            <w:r>
              <w:rPr>
                <w:rFonts w:hint="eastAsia" w:cs="宋体"/>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75E21">
            <w:pPr>
              <w:jc w:val="center"/>
              <w:rPr>
                <w:rFonts w:hint="eastAsia" w:cs="宋体"/>
                <w:sz w:val="21"/>
                <w:szCs w:val="21"/>
              </w:rPr>
            </w:pPr>
          </w:p>
        </w:tc>
      </w:tr>
      <w:tr w14:paraId="605B90C5">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C82FB">
            <w:pPr>
              <w:jc w:val="center"/>
              <w:textAlignment w:val="center"/>
              <w:rPr>
                <w:rFonts w:hint="eastAsia" w:cs="宋体"/>
                <w:kern w:val="0"/>
                <w:sz w:val="21"/>
                <w:szCs w:val="21"/>
                <w:lang w:bidi="ar"/>
              </w:rPr>
            </w:pPr>
            <w:r>
              <w:rPr>
                <w:rFonts w:hint="eastAsia" w:cs="宋体"/>
                <w:kern w:val="0"/>
                <w:sz w:val="21"/>
                <w:szCs w:val="21"/>
                <w:lang w:bidi="ar"/>
              </w:rPr>
              <w:t>8）</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9D6C9">
            <w:pPr>
              <w:jc w:val="left"/>
              <w:rPr>
                <w:rFonts w:hint="eastAsia" w:cs="宋体"/>
                <w:kern w:val="0"/>
                <w:sz w:val="21"/>
                <w:szCs w:val="21"/>
                <w:lang w:bidi="ar"/>
              </w:rPr>
            </w:pPr>
            <w:r>
              <w:rPr>
                <w:rFonts w:hint="eastAsia" w:cs="宋体"/>
                <w:kern w:val="0"/>
                <w:sz w:val="21"/>
                <w:szCs w:val="21"/>
                <w:lang w:bidi="ar"/>
              </w:rPr>
              <w:t>应优化施工方案，尽可能缩短水下作业时间，避免施工悬浮物扩散对水体环境的影响</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30F1C3B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F515A">
            <w:pPr>
              <w:jc w:val="center"/>
              <w:rPr>
                <w:rFonts w:hint="eastAsia" w:cs="宋体"/>
                <w:sz w:val="21"/>
                <w:szCs w:val="21"/>
              </w:rPr>
            </w:pPr>
            <w:r>
              <w:rPr>
                <w:rFonts w:hint="eastAsia" w:cs="宋体"/>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0B0CE">
            <w:pPr>
              <w:jc w:val="center"/>
              <w:rPr>
                <w:rFonts w:hint="eastAsia" w:cs="宋体"/>
                <w:sz w:val="21"/>
                <w:szCs w:val="21"/>
              </w:rPr>
            </w:pPr>
          </w:p>
        </w:tc>
      </w:tr>
      <w:tr w14:paraId="1B1F09C3">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DCFC7">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8C295">
            <w:pPr>
              <w:jc w:val="left"/>
              <w:rPr>
                <w:rFonts w:hint="eastAsia" w:cs="宋体"/>
                <w:kern w:val="0"/>
                <w:sz w:val="21"/>
                <w:szCs w:val="21"/>
                <w:lang w:bidi="ar"/>
              </w:rPr>
            </w:pPr>
            <w:r>
              <w:rPr>
                <w:rFonts w:hint="eastAsia" w:cs="宋体"/>
                <w:kern w:val="0"/>
                <w:sz w:val="21"/>
                <w:szCs w:val="21"/>
                <w:lang w:bidi="ar"/>
              </w:rPr>
              <w:t>光热发电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DBE4C">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A404E">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1A9E2">
            <w:pPr>
              <w:jc w:val="center"/>
              <w:rPr>
                <w:rFonts w:hint="eastAsia" w:cs="宋体"/>
                <w:sz w:val="21"/>
                <w:szCs w:val="21"/>
              </w:rPr>
            </w:pPr>
          </w:p>
        </w:tc>
      </w:tr>
      <w:tr w14:paraId="25CD14A6">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63C55">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54F17">
            <w:pPr>
              <w:jc w:val="left"/>
              <w:rPr>
                <w:rFonts w:hint="eastAsia" w:cs="宋体"/>
                <w:kern w:val="0"/>
                <w:sz w:val="21"/>
                <w:szCs w:val="21"/>
                <w:lang w:bidi="ar"/>
              </w:rPr>
            </w:pPr>
            <w:r>
              <w:rPr>
                <w:rFonts w:hint="eastAsia" w:cs="宋体"/>
                <w:kern w:val="0"/>
                <w:sz w:val="21"/>
                <w:szCs w:val="21"/>
                <w:lang w:bidi="ar"/>
              </w:rPr>
              <w:t>光热发电站集热场施工前应完成网围栏工程施工</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06B7E067">
            <w:pPr>
              <w:jc w:val="left"/>
              <w:rPr>
                <w:rFonts w:hint="eastAsia" w:cs="宋体"/>
                <w:sz w:val="21"/>
                <w:szCs w:val="21"/>
              </w:rPr>
            </w:pPr>
            <w:r>
              <w:rPr>
                <w:rFonts w:hint="eastAsia" w:cs="宋体"/>
                <w:sz w:val="21"/>
                <w:szCs w:val="21"/>
              </w:rPr>
              <w:t>每项子目实得分根据现场实际情况按照标准分乘以相应系数进行评分：</w:t>
            </w:r>
          </w:p>
          <w:p w14:paraId="572887FD">
            <w:pPr>
              <w:jc w:val="left"/>
              <w:rPr>
                <w:rFonts w:hint="eastAsia" w:cs="宋体"/>
                <w:sz w:val="21"/>
                <w:szCs w:val="21"/>
              </w:rPr>
            </w:pPr>
            <w:r>
              <w:rPr>
                <w:rFonts w:hint="eastAsia" w:cs="宋体"/>
                <w:sz w:val="21"/>
                <w:szCs w:val="21"/>
              </w:rPr>
              <w:t>1、措施到位，满足评价指标要求系数为1；</w:t>
            </w:r>
          </w:p>
          <w:p w14:paraId="48F5D412">
            <w:pPr>
              <w:jc w:val="left"/>
              <w:rPr>
                <w:rFonts w:hint="eastAsia" w:cs="宋体"/>
                <w:sz w:val="21"/>
                <w:szCs w:val="21"/>
              </w:rPr>
            </w:pPr>
            <w:r>
              <w:rPr>
                <w:rFonts w:hint="eastAsia" w:cs="宋体"/>
                <w:sz w:val="21"/>
                <w:szCs w:val="21"/>
              </w:rPr>
              <w:t>2、措施到位，基本满足评价指标要求系数按照0.5~0.9酌情选取；</w:t>
            </w:r>
          </w:p>
          <w:p w14:paraId="19D5843E">
            <w:pPr>
              <w:jc w:val="left"/>
              <w:rPr>
                <w:rFonts w:hint="eastAsia" w:cs="宋体"/>
                <w:sz w:val="21"/>
                <w:szCs w:val="21"/>
              </w:rPr>
            </w:pPr>
            <w:r>
              <w:rPr>
                <w:rFonts w:hint="eastAsia" w:cs="宋体"/>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EFFDD">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A83C0">
            <w:pPr>
              <w:jc w:val="center"/>
              <w:rPr>
                <w:rFonts w:hint="eastAsia" w:cs="宋体"/>
                <w:sz w:val="21"/>
                <w:szCs w:val="21"/>
              </w:rPr>
            </w:pPr>
          </w:p>
        </w:tc>
      </w:tr>
      <w:tr w14:paraId="7DF30705">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DEB1D">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183F7">
            <w:pPr>
              <w:jc w:val="left"/>
              <w:rPr>
                <w:rFonts w:hint="eastAsia" w:cs="宋体"/>
                <w:kern w:val="0"/>
                <w:sz w:val="21"/>
                <w:szCs w:val="21"/>
                <w:lang w:bidi="ar"/>
              </w:rPr>
            </w:pPr>
            <w:r>
              <w:rPr>
                <w:rFonts w:hint="eastAsia" w:cs="宋体"/>
                <w:kern w:val="0"/>
                <w:sz w:val="21"/>
                <w:szCs w:val="21"/>
                <w:lang w:bidi="ar"/>
              </w:rPr>
              <w:t>光热电站集热场内施工中喷砂、抛丸、切割等易产生扬尘或噪声场所应采取防尘降噪措施，高空电焊作业采取避免电焊弧光外泄遮挡措施</w:t>
            </w:r>
          </w:p>
        </w:tc>
        <w:tc>
          <w:tcPr>
            <w:tcW w:w="4111" w:type="dxa"/>
            <w:vMerge w:val="continue"/>
            <w:tcBorders>
              <w:left w:val="single" w:color="000000" w:sz="4" w:space="0"/>
              <w:right w:val="single" w:color="000000" w:sz="4" w:space="0"/>
            </w:tcBorders>
            <w:shd w:val="clear" w:color="auto" w:fill="auto"/>
            <w:vAlign w:val="center"/>
          </w:tcPr>
          <w:p w14:paraId="224058B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786D3">
            <w:pPr>
              <w:jc w:val="center"/>
              <w:rPr>
                <w:rFonts w:hint="eastAsia" w:cs="宋体"/>
                <w:sz w:val="21"/>
                <w:szCs w:val="21"/>
              </w:rPr>
            </w:pPr>
            <w:r>
              <w:rPr>
                <w:rFonts w:hint="eastAsia" w:cs="宋体"/>
                <w:sz w:val="21"/>
                <w:szCs w:val="21"/>
              </w:rPr>
              <w:t>1.6</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BFE2E">
            <w:pPr>
              <w:jc w:val="center"/>
              <w:rPr>
                <w:rFonts w:hint="eastAsia" w:cs="宋体"/>
                <w:sz w:val="21"/>
                <w:szCs w:val="21"/>
              </w:rPr>
            </w:pPr>
          </w:p>
        </w:tc>
      </w:tr>
      <w:tr w14:paraId="0ED6A2C5">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142A0">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5DF0D">
            <w:pPr>
              <w:jc w:val="left"/>
              <w:rPr>
                <w:rFonts w:hint="eastAsia" w:cs="宋体"/>
                <w:kern w:val="0"/>
                <w:sz w:val="21"/>
                <w:szCs w:val="21"/>
                <w:lang w:bidi="ar"/>
              </w:rPr>
            </w:pPr>
            <w:r>
              <w:rPr>
                <w:rFonts w:hint="eastAsia" w:cs="宋体"/>
                <w:kern w:val="0"/>
                <w:sz w:val="21"/>
                <w:szCs w:val="21"/>
                <w:lang w:bidi="ar"/>
              </w:rPr>
              <w:t>不应踩踏定日镜等易碎部件</w:t>
            </w:r>
          </w:p>
        </w:tc>
        <w:tc>
          <w:tcPr>
            <w:tcW w:w="4111" w:type="dxa"/>
            <w:vMerge w:val="continue"/>
            <w:tcBorders>
              <w:left w:val="single" w:color="000000" w:sz="4" w:space="0"/>
              <w:right w:val="single" w:color="000000" w:sz="4" w:space="0"/>
            </w:tcBorders>
            <w:shd w:val="clear" w:color="auto" w:fill="auto"/>
            <w:vAlign w:val="center"/>
          </w:tcPr>
          <w:p w14:paraId="708AB0FD">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4CDC1">
            <w:pPr>
              <w:jc w:val="center"/>
              <w:rPr>
                <w:rFonts w:hint="eastAsia" w:cs="宋体"/>
                <w:sz w:val="21"/>
                <w:szCs w:val="21"/>
              </w:rPr>
            </w:pPr>
            <w:r>
              <w:rPr>
                <w:rFonts w:hint="eastAsia" w:cs="宋体"/>
                <w:sz w:val="21"/>
                <w:szCs w:val="21"/>
              </w:rPr>
              <w:t>1.2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61D16">
            <w:pPr>
              <w:jc w:val="center"/>
              <w:rPr>
                <w:rFonts w:hint="eastAsia" w:cs="宋体"/>
                <w:sz w:val="21"/>
                <w:szCs w:val="21"/>
              </w:rPr>
            </w:pPr>
          </w:p>
        </w:tc>
      </w:tr>
      <w:tr w14:paraId="3573522E">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F27DF">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97AB7">
            <w:pPr>
              <w:jc w:val="left"/>
              <w:rPr>
                <w:rFonts w:hint="eastAsia" w:cs="宋体"/>
                <w:kern w:val="0"/>
                <w:sz w:val="21"/>
                <w:szCs w:val="21"/>
                <w:lang w:bidi="ar"/>
              </w:rPr>
            </w:pPr>
            <w:r>
              <w:rPr>
                <w:rFonts w:hint="eastAsia" w:cs="宋体"/>
                <w:kern w:val="0"/>
                <w:sz w:val="21"/>
                <w:szCs w:val="21"/>
                <w:lang w:bidi="ar"/>
              </w:rPr>
              <w:t>集热场内大型设备安装、集热塔施工、大型起重机装拆等危险性较大分部分项工程专项施工方案应经审批及专家论证后执行</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5B859D1D">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94B2F">
            <w:pPr>
              <w:jc w:val="center"/>
              <w:rPr>
                <w:rFonts w:hint="eastAsia" w:cs="宋体"/>
                <w:sz w:val="21"/>
                <w:szCs w:val="21"/>
              </w:rPr>
            </w:pPr>
            <w:r>
              <w:rPr>
                <w:rFonts w:hint="eastAsia" w:cs="宋体"/>
                <w:sz w:val="21"/>
                <w:szCs w:val="21"/>
              </w:rPr>
              <w:t>1.2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62843">
            <w:pPr>
              <w:jc w:val="center"/>
              <w:rPr>
                <w:rFonts w:hint="eastAsia" w:cs="宋体"/>
                <w:sz w:val="21"/>
                <w:szCs w:val="21"/>
              </w:rPr>
            </w:pPr>
          </w:p>
        </w:tc>
      </w:tr>
      <w:tr w14:paraId="32C38324">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47F43">
            <w:pPr>
              <w:jc w:val="center"/>
              <w:textAlignment w:val="center"/>
              <w:rPr>
                <w:rFonts w:hint="eastAsia" w:cs="宋体"/>
                <w:kern w:val="0"/>
                <w:sz w:val="21"/>
                <w:szCs w:val="21"/>
                <w:lang w:bidi="ar"/>
              </w:rPr>
            </w:pPr>
            <w:r>
              <w:rPr>
                <w:rFonts w:hint="eastAsia" w:cs="宋体"/>
                <w:kern w:val="0"/>
                <w:sz w:val="21"/>
                <w:szCs w:val="21"/>
                <w:lang w:bidi="ar"/>
              </w:rPr>
              <w:t>6.2.14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2EAEF">
            <w:pPr>
              <w:jc w:val="left"/>
              <w:rPr>
                <w:rFonts w:hint="eastAsia" w:cs="宋体"/>
                <w:kern w:val="0"/>
                <w:sz w:val="21"/>
                <w:szCs w:val="21"/>
                <w:lang w:bidi="ar"/>
              </w:rPr>
            </w:pPr>
            <w:r>
              <w:rPr>
                <w:rFonts w:hint="eastAsia" w:cs="宋体"/>
                <w:kern w:val="0"/>
                <w:sz w:val="21"/>
                <w:szCs w:val="21"/>
                <w:lang w:bidi="ar"/>
              </w:rPr>
              <w:t>输变电工程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B922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23537">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0330F">
            <w:pPr>
              <w:jc w:val="center"/>
              <w:rPr>
                <w:rFonts w:hint="eastAsia" w:cs="宋体"/>
                <w:sz w:val="21"/>
                <w:szCs w:val="21"/>
              </w:rPr>
            </w:pPr>
          </w:p>
        </w:tc>
      </w:tr>
      <w:tr w14:paraId="4B13D363">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ADADE">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B2183">
            <w:pPr>
              <w:jc w:val="left"/>
              <w:rPr>
                <w:rFonts w:hint="eastAsia" w:cs="宋体"/>
                <w:kern w:val="0"/>
                <w:sz w:val="21"/>
                <w:szCs w:val="21"/>
                <w:lang w:bidi="ar"/>
              </w:rPr>
            </w:pPr>
            <w:r>
              <w:rPr>
                <w:rFonts w:hint="eastAsia" w:cs="宋体"/>
                <w:kern w:val="0"/>
                <w:sz w:val="21"/>
                <w:szCs w:val="21"/>
                <w:lang w:bidi="ar"/>
              </w:rPr>
              <w:t>变电（换流）站</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14E2C">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0AE92">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606E8">
            <w:pPr>
              <w:jc w:val="center"/>
              <w:rPr>
                <w:rFonts w:hint="eastAsia" w:cs="宋体"/>
                <w:sz w:val="21"/>
                <w:szCs w:val="21"/>
              </w:rPr>
            </w:pPr>
          </w:p>
        </w:tc>
      </w:tr>
      <w:tr w14:paraId="7992F641">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16663">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1D39C">
            <w:pPr>
              <w:jc w:val="left"/>
              <w:rPr>
                <w:rFonts w:hint="eastAsia" w:cs="宋体"/>
                <w:kern w:val="0"/>
                <w:sz w:val="21"/>
                <w:szCs w:val="21"/>
                <w:lang w:bidi="ar"/>
              </w:rPr>
            </w:pPr>
            <w:r>
              <w:rPr>
                <w:rFonts w:hint="eastAsia" w:cs="宋体"/>
                <w:kern w:val="0"/>
                <w:sz w:val="21"/>
                <w:szCs w:val="21"/>
                <w:lang w:bidi="ar"/>
              </w:rPr>
              <w:t>变电站土石方工程施工应加强场地保护，施工中减少场地干扰、保护基地环境。</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FD3E0">
            <w:pPr>
              <w:jc w:val="left"/>
              <w:rPr>
                <w:rFonts w:hint="eastAsia" w:cs="宋体"/>
                <w:sz w:val="21"/>
                <w:szCs w:val="21"/>
              </w:rPr>
            </w:pPr>
            <w:r>
              <w:rPr>
                <w:rFonts w:hint="eastAsia" w:cs="宋体"/>
                <w:kern w:val="0"/>
                <w:sz w:val="21"/>
                <w:szCs w:val="21"/>
                <w:lang w:bidi="ar"/>
              </w:rPr>
              <w:t>无减少场地干扰、保护基地环境的措施，扣0.5分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007CC">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80BA0">
            <w:pPr>
              <w:jc w:val="center"/>
              <w:rPr>
                <w:rFonts w:hint="eastAsia" w:cs="宋体"/>
                <w:sz w:val="21"/>
                <w:szCs w:val="21"/>
              </w:rPr>
            </w:pPr>
          </w:p>
        </w:tc>
      </w:tr>
      <w:tr w14:paraId="4F80384C">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E02A5">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81E20">
            <w:pPr>
              <w:jc w:val="left"/>
              <w:rPr>
                <w:rFonts w:hint="eastAsia" w:cs="宋体"/>
                <w:kern w:val="0"/>
                <w:sz w:val="21"/>
                <w:szCs w:val="21"/>
                <w:lang w:bidi="ar"/>
              </w:rPr>
            </w:pPr>
            <w:r>
              <w:rPr>
                <w:rFonts w:hint="eastAsia" w:cs="宋体"/>
                <w:kern w:val="0"/>
                <w:sz w:val="21"/>
                <w:szCs w:val="21"/>
                <w:lang w:bidi="ar"/>
              </w:rPr>
              <w:t>变电站凝土灌注桩施工使用泥浆护壁成孔时，施工现场设置专用泥浆池，并及时清理沉淀的废渣。</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89594">
            <w:pPr>
              <w:jc w:val="left"/>
              <w:rPr>
                <w:rFonts w:hint="eastAsia" w:cs="宋体"/>
                <w:sz w:val="21"/>
                <w:szCs w:val="21"/>
              </w:rPr>
            </w:pPr>
            <w:r>
              <w:rPr>
                <w:rFonts w:hint="eastAsia" w:cs="宋体"/>
                <w:kern w:val="0"/>
                <w:sz w:val="21"/>
                <w:szCs w:val="21"/>
                <w:lang w:bidi="ar"/>
              </w:rPr>
              <w:t>灌注桩施工未设置专用泥浆池，且无泥浆/土方（固化）外运协议，扣</w:t>
            </w:r>
            <w:r>
              <w:rPr>
                <w:rFonts w:hint="eastAsia" w:cs="宋体"/>
                <w:sz w:val="21"/>
                <w:szCs w:val="21"/>
              </w:rPr>
              <w:t>0.25</w:t>
            </w:r>
            <w:r>
              <w:rPr>
                <w:rFonts w:hint="eastAsia" w:cs="宋体"/>
                <w:kern w:val="0"/>
                <w:sz w:val="21"/>
                <w:szCs w:val="21"/>
                <w:lang w:bidi="ar"/>
              </w:rPr>
              <w:t>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F3472">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BBF8D">
            <w:pPr>
              <w:jc w:val="center"/>
              <w:rPr>
                <w:rFonts w:hint="eastAsia" w:cs="宋体"/>
                <w:sz w:val="21"/>
                <w:szCs w:val="21"/>
              </w:rPr>
            </w:pPr>
          </w:p>
        </w:tc>
      </w:tr>
      <w:tr w14:paraId="0941C9E9">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C9EAB">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FBE8A">
            <w:pPr>
              <w:jc w:val="left"/>
              <w:rPr>
                <w:rFonts w:hint="eastAsia" w:cs="宋体"/>
                <w:kern w:val="0"/>
                <w:sz w:val="21"/>
                <w:szCs w:val="21"/>
                <w:lang w:bidi="ar"/>
              </w:rPr>
            </w:pPr>
            <w:r>
              <w:rPr>
                <w:rFonts w:hint="eastAsia" w:cs="宋体"/>
                <w:kern w:val="0"/>
                <w:sz w:val="21"/>
                <w:szCs w:val="21"/>
                <w:lang w:bidi="ar"/>
              </w:rPr>
              <w:t>变电站主控楼钢结构防火涂料喷涂施工时，采取防止涂料外泄的专项措施，减少对环境的污染。</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DABB7">
            <w:pPr>
              <w:jc w:val="left"/>
              <w:rPr>
                <w:rFonts w:hint="eastAsia" w:cs="宋体"/>
                <w:sz w:val="21"/>
                <w:szCs w:val="21"/>
              </w:rPr>
            </w:pPr>
            <w:r>
              <w:rPr>
                <w:rFonts w:hint="eastAsia" w:cs="宋体"/>
                <w:kern w:val="0"/>
                <w:sz w:val="21"/>
                <w:szCs w:val="21"/>
                <w:lang w:bidi="ar"/>
              </w:rPr>
              <w:t>钢结构防火涂料喷涂无纺织外泄的措施，扣</w:t>
            </w:r>
            <w:r>
              <w:rPr>
                <w:rFonts w:hint="eastAsia" w:cs="宋体"/>
                <w:sz w:val="21"/>
                <w:szCs w:val="21"/>
              </w:rPr>
              <w:t>0.25</w:t>
            </w:r>
            <w:r>
              <w:rPr>
                <w:rFonts w:hint="eastAsia" w:cs="宋体"/>
                <w:kern w:val="0"/>
                <w:sz w:val="21"/>
                <w:szCs w:val="21"/>
                <w:lang w:bidi="ar"/>
              </w:rPr>
              <w:t>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187C9">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3110C">
            <w:pPr>
              <w:jc w:val="center"/>
              <w:rPr>
                <w:rFonts w:hint="eastAsia" w:cs="宋体"/>
                <w:sz w:val="21"/>
                <w:szCs w:val="21"/>
              </w:rPr>
            </w:pPr>
          </w:p>
        </w:tc>
      </w:tr>
      <w:tr w14:paraId="4E4C0513">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BAD3C">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1BC79">
            <w:pPr>
              <w:jc w:val="left"/>
              <w:rPr>
                <w:rFonts w:hint="eastAsia" w:cs="宋体"/>
                <w:kern w:val="0"/>
                <w:sz w:val="21"/>
                <w:szCs w:val="21"/>
                <w:lang w:bidi="ar"/>
              </w:rPr>
            </w:pPr>
            <w:r>
              <w:rPr>
                <w:rFonts w:hint="eastAsia" w:cs="宋体"/>
                <w:kern w:val="0"/>
                <w:sz w:val="21"/>
                <w:szCs w:val="21"/>
                <w:lang w:bidi="ar"/>
              </w:rPr>
              <w:t>变电站涂膜防水层施工材料采用封闭容器存放，余料应及时回收；宜采用滚涂或涂刷工艺，当采用喷涂工艺时，采取遮挡等防止污染的措施。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85A74">
            <w:pPr>
              <w:jc w:val="left"/>
              <w:rPr>
                <w:rFonts w:hint="eastAsia" w:cs="宋体"/>
                <w:sz w:val="21"/>
                <w:szCs w:val="21"/>
              </w:rPr>
            </w:pPr>
            <w:r>
              <w:rPr>
                <w:rFonts w:hint="eastAsia" w:cs="宋体"/>
                <w:kern w:val="0"/>
                <w:sz w:val="21"/>
                <w:szCs w:val="21"/>
                <w:lang w:bidi="ar"/>
              </w:rPr>
              <w:t>涂膜防水材料未采取封闭容器储存，扣1分；采取喷涂作业时，无遮挡等防止污染的措施，0.5分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2EE94">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786D2">
            <w:pPr>
              <w:jc w:val="center"/>
              <w:rPr>
                <w:rFonts w:hint="eastAsia" w:cs="宋体"/>
                <w:sz w:val="21"/>
                <w:szCs w:val="21"/>
              </w:rPr>
            </w:pPr>
          </w:p>
        </w:tc>
      </w:tr>
      <w:tr w14:paraId="29D865AB">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B7B20">
            <w:pPr>
              <w:jc w:val="center"/>
              <w:textAlignment w:val="center"/>
              <w:rPr>
                <w:rFonts w:hint="eastAsia" w:cs="宋体"/>
                <w:kern w:val="0"/>
                <w:sz w:val="21"/>
                <w:szCs w:val="21"/>
                <w:lang w:bidi="ar"/>
              </w:rPr>
            </w:pPr>
            <w:r>
              <w:rPr>
                <w:rFonts w:hint="eastAsia" w:cs="宋体"/>
                <w:kern w:val="0"/>
                <w:sz w:val="21"/>
                <w:szCs w:val="21"/>
                <w:lang w:bidi="ar"/>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F5092">
            <w:pPr>
              <w:jc w:val="left"/>
              <w:rPr>
                <w:rFonts w:hint="eastAsia" w:cs="宋体"/>
                <w:kern w:val="0"/>
                <w:sz w:val="21"/>
                <w:szCs w:val="21"/>
                <w:lang w:bidi="ar"/>
              </w:rPr>
            </w:pPr>
            <w:r>
              <w:rPr>
                <w:rFonts w:hint="eastAsia" w:cs="宋体"/>
                <w:kern w:val="0"/>
                <w:sz w:val="21"/>
                <w:szCs w:val="21"/>
                <w:lang w:bidi="ar"/>
              </w:rPr>
              <w:t>装饰装修工程中不采用沥青类、煤焦油类等材料作为室内防腐、防潮处理剂。</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2B1A1">
            <w:pPr>
              <w:jc w:val="left"/>
              <w:rPr>
                <w:rFonts w:hint="eastAsia" w:cs="宋体"/>
                <w:sz w:val="21"/>
                <w:szCs w:val="21"/>
              </w:rPr>
            </w:pPr>
            <w:r>
              <w:rPr>
                <w:rFonts w:hint="eastAsia" w:cs="宋体"/>
                <w:kern w:val="0"/>
                <w:sz w:val="21"/>
                <w:szCs w:val="21"/>
                <w:lang w:bidi="ar"/>
              </w:rPr>
              <w:t>采用沥青类、煤焦油类等材料作为室内防腐、防潮处理剂，扣0.25分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536FF">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B8F61">
            <w:pPr>
              <w:jc w:val="center"/>
              <w:rPr>
                <w:rFonts w:hint="eastAsia" w:cs="宋体"/>
                <w:sz w:val="21"/>
                <w:szCs w:val="21"/>
              </w:rPr>
            </w:pPr>
          </w:p>
        </w:tc>
      </w:tr>
      <w:tr w14:paraId="03CBCC59">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10B0A">
            <w:pPr>
              <w:jc w:val="center"/>
              <w:textAlignment w:val="center"/>
              <w:rPr>
                <w:rFonts w:hint="eastAsia" w:cs="宋体"/>
                <w:kern w:val="0"/>
                <w:sz w:val="21"/>
                <w:szCs w:val="21"/>
                <w:lang w:bidi="ar"/>
              </w:rPr>
            </w:pPr>
            <w:r>
              <w:rPr>
                <w:rFonts w:hint="eastAsia" w:cs="宋体"/>
                <w:kern w:val="0"/>
                <w:sz w:val="21"/>
                <w:szCs w:val="21"/>
                <w:lang w:bidi="ar"/>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16822">
            <w:pPr>
              <w:jc w:val="left"/>
              <w:rPr>
                <w:rFonts w:hint="eastAsia" w:cs="宋体"/>
                <w:kern w:val="0"/>
                <w:sz w:val="21"/>
                <w:szCs w:val="21"/>
                <w:lang w:bidi="ar"/>
              </w:rPr>
            </w:pPr>
            <w:r>
              <w:rPr>
                <w:rFonts w:hint="eastAsia" w:cs="宋体"/>
                <w:kern w:val="0"/>
                <w:sz w:val="21"/>
                <w:szCs w:val="21"/>
                <w:lang w:bidi="ar"/>
              </w:rPr>
              <w:t>变电站地基换填法施工过程中，回填土施工采取防止扬尘的措施。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4B099">
            <w:pPr>
              <w:jc w:val="left"/>
              <w:rPr>
                <w:rFonts w:hint="eastAsia" w:cs="宋体"/>
                <w:sz w:val="21"/>
                <w:szCs w:val="21"/>
              </w:rPr>
            </w:pPr>
            <w:r>
              <w:rPr>
                <w:rFonts w:hint="eastAsia" w:cs="宋体"/>
                <w:kern w:val="0"/>
                <w:sz w:val="21"/>
                <w:szCs w:val="21"/>
                <w:lang w:bidi="ar"/>
              </w:rPr>
              <w:t>换填施工，无防尘措施，扣0.25分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7CC06">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AF87E">
            <w:pPr>
              <w:jc w:val="center"/>
              <w:rPr>
                <w:rFonts w:hint="eastAsia" w:cs="宋体"/>
                <w:sz w:val="21"/>
                <w:szCs w:val="21"/>
              </w:rPr>
            </w:pPr>
          </w:p>
        </w:tc>
      </w:tr>
      <w:tr w14:paraId="7EA4DD7B">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B2C41">
            <w:pPr>
              <w:jc w:val="center"/>
              <w:textAlignment w:val="center"/>
              <w:rPr>
                <w:rFonts w:hint="eastAsia" w:cs="宋体"/>
                <w:kern w:val="0"/>
                <w:sz w:val="21"/>
                <w:szCs w:val="21"/>
                <w:lang w:bidi="ar"/>
              </w:rPr>
            </w:pPr>
            <w:r>
              <w:rPr>
                <w:rFonts w:hint="eastAsia" w:cs="宋体"/>
                <w:kern w:val="0"/>
                <w:sz w:val="21"/>
                <w:szCs w:val="21"/>
                <w:lang w:bidi="ar"/>
              </w:rPr>
              <w:t>7）</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D7CBF">
            <w:pPr>
              <w:jc w:val="left"/>
              <w:rPr>
                <w:rFonts w:hint="eastAsia" w:cs="宋体"/>
                <w:kern w:val="0"/>
                <w:sz w:val="21"/>
                <w:szCs w:val="21"/>
                <w:lang w:bidi="ar"/>
              </w:rPr>
            </w:pPr>
            <w:r>
              <w:rPr>
                <w:rFonts w:hint="eastAsia" w:cs="宋体"/>
                <w:kern w:val="0"/>
                <w:sz w:val="21"/>
                <w:szCs w:val="21"/>
                <w:lang w:bidi="ar"/>
              </w:rPr>
              <w:t>不间断电源安装应防止电池液泄漏，废旧电池应回收。</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7A200">
            <w:pPr>
              <w:jc w:val="left"/>
              <w:rPr>
                <w:rFonts w:hint="eastAsia" w:cs="宋体"/>
                <w:sz w:val="21"/>
                <w:szCs w:val="21"/>
              </w:rPr>
            </w:pPr>
            <w:r>
              <w:rPr>
                <w:rFonts w:hint="eastAsia" w:cs="宋体"/>
                <w:kern w:val="0"/>
                <w:sz w:val="21"/>
                <w:szCs w:val="21"/>
                <w:lang w:bidi="ar"/>
              </w:rPr>
              <w:t>不间断电源安装无防止电池液泄漏得措施，扣0.25分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EA228">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FAF4C">
            <w:pPr>
              <w:jc w:val="center"/>
              <w:rPr>
                <w:rFonts w:hint="eastAsia" w:cs="宋体"/>
                <w:sz w:val="21"/>
                <w:szCs w:val="21"/>
              </w:rPr>
            </w:pPr>
          </w:p>
        </w:tc>
      </w:tr>
      <w:tr w14:paraId="0B22855C">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1C6F3">
            <w:pPr>
              <w:jc w:val="center"/>
              <w:textAlignment w:val="center"/>
              <w:rPr>
                <w:rFonts w:hint="eastAsia" w:cs="宋体"/>
                <w:kern w:val="0"/>
                <w:sz w:val="21"/>
                <w:szCs w:val="21"/>
                <w:lang w:bidi="ar"/>
              </w:rPr>
            </w:pPr>
            <w:r>
              <w:rPr>
                <w:rFonts w:hint="eastAsia" w:cs="宋体"/>
                <w:kern w:val="0"/>
                <w:sz w:val="21"/>
                <w:szCs w:val="21"/>
                <w:lang w:bidi="ar"/>
              </w:rPr>
              <w:t>8）</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A1725">
            <w:pPr>
              <w:jc w:val="left"/>
              <w:rPr>
                <w:rFonts w:hint="eastAsia" w:cs="宋体"/>
                <w:kern w:val="0"/>
                <w:sz w:val="21"/>
                <w:szCs w:val="21"/>
                <w:lang w:bidi="ar"/>
              </w:rPr>
            </w:pPr>
            <w:r>
              <w:rPr>
                <w:rFonts w:hint="eastAsia" w:cs="宋体"/>
                <w:kern w:val="0"/>
                <w:sz w:val="21"/>
                <w:szCs w:val="21"/>
                <w:lang w:bidi="ar"/>
              </w:rPr>
              <w:t>绝缘油到场后使用专用油罐堆放在指定区域，严禁使用储放过其他油类或不清洁的容器，严禁直接放置于草坪、土壤上。堆放地面设置严格的防油措施，如铺设耐腐蚀性防油布，做好防渗漏及收集工作。废油、残油应统一回收处理并做好记录。</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6A922">
            <w:pPr>
              <w:jc w:val="left"/>
              <w:rPr>
                <w:rFonts w:hint="eastAsia" w:cs="宋体"/>
                <w:sz w:val="21"/>
                <w:szCs w:val="21"/>
              </w:rPr>
            </w:pPr>
            <w:r>
              <w:rPr>
                <w:rFonts w:hint="eastAsia" w:cs="宋体"/>
                <w:kern w:val="0"/>
                <w:sz w:val="21"/>
                <w:szCs w:val="21"/>
                <w:lang w:bidi="ar"/>
              </w:rPr>
              <w:t>绝缘油未使用专用油罐存放扣0.25分；油罐直接放置草坪或地面土壤上扣0.25分；堆放地面未采取隔油措施扣0.25分，残油未规范处理扣0.25分；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323CA">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0DD31">
            <w:pPr>
              <w:jc w:val="center"/>
              <w:rPr>
                <w:rFonts w:hint="eastAsia" w:cs="宋体"/>
                <w:sz w:val="21"/>
                <w:szCs w:val="21"/>
              </w:rPr>
            </w:pPr>
          </w:p>
        </w:tc>
      </w:tr>
      <w:tr w14:paraId="6DA19859">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2C4C2">
            <w:pPr>
              <w:jc w:val="center"/>
              <w:textAlignment w:val="center"/>
              <w:rPr>
                <w:rFonts w:hint="eastAsia" w:cs="宋体"/>
                <w:kern w:val="0"/>
                <w:sz w:val="21"/>
                <w:szCs w:val="21"/>
                <w:lang w:bidi="ar"/>
              </w:rPr>
            </w:pPr>
            <w:r>
              <w:rPr>
                <w:rFonts w:hint="eastAsia" w:cs="宋体"/>
                <w:kern w:val="0"/>
                <w:sz w:val="21"/>
                <w:szCs w:val="21"/>
                <w:lang w:bidi="ar"/>
              </w:rPr>
              <w:t>9）</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31201">
            <w:pPr>
              <w:jc w:val="left"/>
              <w:rPr>
                <w:rFonts w:hint="eastAsia" w:cs="宋体"/>
                <w:kern w:val="0"/>
                <w:sz w:val="21"/>
                <w:szCs w:val="21"/>
                <w:lang w:bidi="ar"/>
              </w:rPr>
            </w:pPr>
            <w:r>
              <w:rPr>
                <w:rFonts w:hint="eastAsia" w:cs="宋体"/>
                <w:kern w:val="0"/>
                <w:sz w:val="21"/>
                <w:szCs w:val="21"/>
                <w:lang w:bidi="ar"/>
              </w:rPr>
              <w:t>油浸式变压器（电抗器）在真空注油、热油循环、滤油前，应对设备、油管、连接阀等进行检查，并用新油进行冲洗，避免工作中泄漏的绝缘油及杂质进入器身。滤油前，油浸式变压器（电抗器）、滤油设备及油管路应采取防泄漏措施并可靠接地。</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68DCD">
            <w:pPr>
              <w:jc w:val="left"/>
              <w:rPr>
                <w:rFonts w:hint="eastAsia" w:cs="宋体"/>
                <w:sz w:val="21"/>
                <w:szCs w:val="21"/>
              </w:rPr>
            </w:pPr>
            <w:r>
              <w:rPr>
                <w:rFonts w:hint="eastAsia" w:cs="宋体"/>
                <w:kern w:val="0"/>
                <w:sz w:val="21"/>
                <w:szCs w:val="21"/>
                <w:lang w:bidi="ar"/>
              </w:rPr>
              <w:t>油浸式变压器（电抗器）油务作业时未检查阀门且接地措施不完善扣</w:t>
            </w:r>
            <w:r>
              <w:rPr>
                <w:rFonts w:hint="eastAsia" w:cs="宋体"/>
                <w:sz w:val="21"/>
                <w:szCs w:val="21"/>
              </w:rPr>
              <w:t>0.25</w:t>
            </w:r>
            <w:r>
              <w:rPr>
                <w:rFonts w:hint="eastAsia" w:cs="宋体"/>
                <w:kern w:val="0"/>
                <w:sz w:val="21"/>
                <w:szCs w:val="21"/>
                <w:lang w:bidi="ar"/>
              </w:rPr>
              <w:t>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AB85B">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F4E74">
            <w:pPr>
              <w:jc w:val="center"/>
              <w:rPr>
                <w:rFonts w:hint="eastAsia" w:cs="宋体"/>
                <w:sz w:val="21"/>
                <w:szCs w:val="21"/>
              </w:rPr>
            </w:pPr>
          </w:p>
        </w:tc>
      </w:tr>
      <w:tr w14:paraId="6A6E2E75">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E70DC">
            <w:pPr>
              <w:jc w:val="center"/>
              <w:textAlignment w:val="center"/>
              <w:rPr>
                <w:rFonts w:hint="eastAsia" w:cs="宋体"/>
                <w:kern w:val="0"/>
                <w:sz w:val="21"/>
                <w:szCs w:val="21"/>
                <w:lang w:bidi="ar"/>
              </w:rPr>
            </w:pPr>
            <w:r>
              <w:rPr>
                <w:rFonts w:hint="eastAsia" w:cs="宋体"/>
                <w:kern w:val="0"/>
                <w:sz w:val="21"/>
                <w:szCs w:val="21"/>
                <w:lang w:bidi="ar"/>
              </w:rPr>
              <w:t>10）</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CA2BB">
            <w:pPr>
              <w:jc w:val="left"/>
              <w:rPr>
                <w:rFonts w:hint="eastAsia" w:cs="宋体"/>
                <w:kern w:val="0"/>
                <w:sz w:val="21"/>
                <w:szCs w:val="21"/>
                <w:lang w:bidi="ar"/>
              </w:rPr>
            </w:pPr>
            <w:r>
              <w:rPr>
                <w:rFonts w:hint="eastAsia" w:cs="宋体"/>
                <w:kern w:val="0"/>
                <w:sz w:val="21"/>
                <w:szCs w:val="21"/>
                <w:lang w:bidi="ar"/>
              </w:rPr>
              <w:t>油浸式变压器（电抗器）内检人员应着连体防尘服（防尘服无帽时需佩戴防尘帽）、佩戴鞋套等个人防尘用品。器身检查时，梯子与变压器（电抗器）搭接处应做好防护措施。内检后，浸油的鞋套、手套、抹布应做好回收处理，不得随意丢弃污染环境。</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BAEAE">
            <w:pPr>
              <w:jc w:val="left"/>
              <w:rPr>
                <w:rFonts w:hint="eastAsia" w:cs="宋体"/>
                <w:sz w:val="21"/>
                <w:szCs w:val="21"/>
              </w:rPr>
            </w:pPr>
            <w:r>
              <w:rPr>
                <w:rFonts w:hint="eastAsia" w:cs="宋体"/>
                <w:kern w:val="0"/>
                <w:sz w:val="21"/>
                <w:szCs w:val="21"/>
                <w:lang w:bidi="ar"/>
              </w:rPr>
              <w:t>浸油的鞋套、手套、抹布未集中处理且无记录扣0.5分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945BF">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55F84">
            <w:pPr>
              <w:jc w:val="center"/>
              <w:rPr>
                <w:rFonts w:hint="eastAsia" w:cs="宋体"/>
                <w:sz w:val="21"/>
                <w:szCs w:val="21"/>
              </w:rPr>
            </w:pPr>
          </w:p>
        </w:tc>
      </w:tr>
      <w:tr w14:paraId="756563FE">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920BD">
            <w:pPr>
              <w:jc w:val="center"/>
              <w:textAlignment w:val="center"/>
              <w:rPr>
                <w:rFonts w:hint="eastAsia" w:cs="宋体"/>
                <w:kern w:val="0"/>
                <w:sz w:val="21"/>
                <w:szCs w:val="21"/>
                <w:lang w:bidi="ar"/>
              </w:rPr>
            </w:pPr>
            <w:r>
              <w:rPr>
                <w:rFonts w:hint="eastAsia" w:cs="宋体"/>
                <w:kern w:val="0"/>
                <w:sz w:val="21"/>
                <w:szCs w:val="21"/>
                <w:lang w:bidi="ar"/>
              </w:rPr>
              <w:t>11）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9AB28">
            <w:pPr>
              <w:jc w:val="left"/>
              <w:rPr>
                <w:rFonts w:hint="eastAsia" w:cs="宋体"/>
                <w:kern w:val="0"/>
                <w:sz w:val="21"/>
                <w:szCs w:val="21"/>
                <w:lang w:bidi="ar"/>
              </w:rPr>
            </w:pPr>
            <w:r>
              <w:rPr>
                <w:rFonts w:hint="eastAsia" w:cs="宋体"/>
                <w:kern w:val="0"/>
                <w:sz w:val="21"/>
                <w:szCs w:val="21"/>
                <w:lang w:bidi="ar"/>
              </w:rPr>
              <w:t>GIS配电装置安装应满足无尘化要求，施工区域的环境洁净度需达到百万级以上。</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7F5B8">
            <w:pPr>
              <w:jc w:val="left"/>
              <w:rPr>
                <w:rFonts w:hint="eastAsia" w:cs="宋体"/>
                <w:sz w:val="21"/>
                <w:szCs w:val="21"/>
              </w:rPr>
            </w:pPr>
            <w:r>
              <w:rPr>
                <w:rFonts w:hint="eastAsia" w:cs="宋体"/>
                <w:kern w:val="0"/>
                <w:sz w:val="21"/>
                <w:szCs w:val="21"/>
                <w:lang w:bidi="ar"/>
              </w:rPr>
              <w:t>GIS配电装置安装作业区域未安装气体监测报警装置扣</w:t>
            </w:r>
            <w:r>
              <w:rPr>
                <w:rFonts w:hint="eastAsia" w:cs="宋体"/>
                <w:sz w:val="21"/>
                <w:szCs w:val="21"/>
              </w:rPr>
              <w:t>0.25</w:t>
            </w:r>
            <w:r>
              <w:rPr>
                <w:rFonts w:hint="eastAsia" w:cs="宋体"/>
                <w:kern w:val="0"/>
                <w:sz w:val="21"/>
                <w:szCs w:val="21"/>
                <w:lang w:bidi="ar"/>
              </w:rPr>
              <w:t>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A8C08">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ACFDE">
            <w:pPr>
              <w:jc w:val="center"/>
              <w:rPr>
                <w:rFonts w:hint="eastAsia" w:cs="宋体"/>
                <w:sz w:val="21"/>
                <w:szCs w:val="21"/>
              </w:rPr>
            </w:pPr>
          </w:p>
        </w:tc>
      </w:tr>
      <w:tr w14:paraId="2E87AAD8">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9FA23">
            <w:pPr>
              <w:jc w:val="center"/>
              <w:textAlignment w:val="center"/>
              <w:rPr>
                <w:rFonts w:hint="eastAsia" w:cs="宋体"/>
                <w:kern w:val="0"/>
                <w:sz w:val="21"/>
                <w:szCs w:val="21"/>
                <w:lang w:bidi="ar"/>
              </w:rPr>
            </w:pPr>
            <w:r>
              <w:rPr>
                <w:rFonts w:hint="eastAsia" w:cs="宋体"/>
                <w:kern w:val="0"/>
                <w:sz w:val="21"/>
                <w:szCs w:val="21"/>
                <w:lang w:bidi="ar"/>
              </w:rPr>
              <w:t>12）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DFC16">
            <w:pPr>
              <w:jc w:val="left"/>
              <w:rPr>
                <w:rFonts w:hint="eastAsia" w:cs="宋体"/>
                <w:kern w:val="0"/>
                <w:sz w:val="21"/>
                <w:szCs w:val="21"/>
                <w:lang w:bidi="ar"/>
              </w:rPr>
            </w:pPr>
            <w:r>
              <w:rPr>
                <w:rFonts w:hint="eastAsia" w:cs="宋体"/>
                <w:kern w:val="0"/>
                <w:sz w:val="21"/>
                <w:szCs w:val="21"/>
                <w:lang w:bidi="ar"/>
              </w:rPr>
              <w:t>气体绝缘开关设备在抽真空、注气前，应对设备、气管、连接阀等进行检查，避免绝缘气体泄漏。气体绝缘开关设备安装结束后应进行绝缘气体检漏，如有泄露，应及时采取临时封堵措施。若现场无法有效处理，应迅速使用气体回收装置回收气体，并安排返厂检修。</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CBCFE">
            <w:pPr>
              <w:jc w:val="left"/>
              <w:rPr>
                <w:rFonts w:hint="eastAsia" w:cs="宋体"/>
                <w:sz w:val="21"/>
                <w:szCs w:val="21"/>
              </w:rPr>
            </w:pPr>
            <w:r>
              <w:rPr>
                <w:rFonts w:hint="eastAsia" w:cs="宋体"/>
                <w:kern w:val="0"/>
                <w:sz w:val="21"/>
                <w:szCs w:val="21"/>
                <w:lang w:bidi="ar"/>
              </w:rPr>
              <w:t>气体绝缘开关设备在抽真空、注气前，未对设备、气管、连接阀等进行检查，未见相关记录扣</w:t>
            </w:r>
            <w:r>
              <w:rPr>
                <w:rFonts w:hint="eastAsia" w:cs="宋体"/>
                <w:sz w:val="21"/>
                <w:szCs w:val="21"/>
              </w:rPr>
              <w:t>0.25</w:t>
            </w:r>
            <w:r>
              <w:rPr>
                <w:rFonts w:hint="eastAsia" w:cs="宋体"/>
                <w:kern w:val="0"/>
                <w:sz w:val="21"/>
                <w:szCs w:val="21"/>
                <w:lang w:bidi="ar"/>
              </w:rPr>
              <w:t>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B56C8">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D0FE5">
            <w:pPr>
              <w:jc w:val="center"/>
              <w:rPr>
                <w:rFonts w:hint="eastAsia" w:cs="宋体"/>
                <w:sz w:val="21"/>
                <w:szCs w:val="21"/>
              </w:rPr>
            </w:pPr>
          </w:p>
        </w:tc>
      </w:tr>
      <w:tr w14:paraId="2948D741">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1F49D">
            <w:pPr>
              <w:jc w:val="center"/>
              <w:textAlignment w:val="center"/>
              <w:rPr>
                <w:rFonts w:hint="eastAsia" w:cs="宋体"/>
                <w:kern w:val="0"/>
                <w:sz w:val="21"/>
                <w:szCs w:val="21"/>
                <w:lang w:bidi="ar"/>
              </w:rPr>
            </w:pPr>
            <w:r>
              <w:rPr>
                <w:rFonts w:hint="eastAsia" w:cs="宋体"/>
                <w:kern w:val="0"/>
                <w:sz w:val="21"/>
                <w:szCs w:val="21"/>
                <w:lang w:bidi="ar"/>
              </w:rPr>
              <w:t>13）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20433">
            <w:pPr>
              <w:jc w:val="left"/>
              <w:rPr>
                <w:rFonts w:hint="eastAsia" w:cs="宋体"/>
                <w:kern w:val="0"/>
                <w:sz w:val="21"/>
                <w:szCs w:val="21"/>
                <w:lang w:bidi="ar"/>
              </w:rPr>
            </w:pPr>
            <w:r>
              <w:rPr>
                <w:rFonts w:hint="eastAsia" w:cs="宋体"/>
                <w:kern w:val="0"/>
                <w:sz w:val="21"/>
                <w:szCs w:val="21"/>
                <w:lang w:bidi="ar"/>
              </w:rPr>
              <w:t>软母线采用液压压接时，应对液压器械及其管路采取防液压油泄漏污染措施。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7F835">
            <w:pPr>
              <w:jc w:val="left"/>
              <w:rPr>
                <w:rFonts w:hint="eastAsia" w:cs="宋体"/>
                <w:sz w:val="21"/>
                <w:szCs w:val="21"/>
              </w:rPr>
            </w:pPr>
            <w:r>
              <w:rPr>
                <w:rFonts w:hint="eastAsia" w:cs="宋体"/>
                <w:kern w:val="0"/>
                <w:sz w:val="21"/>
                <w:szCs w:val="21"/>
                <w:lang w:bidi="ar"/>
              </w:rPr>
              <w:t>软母线采用液压压接时，未对液压器械及其管路采取防液压油泄漏污染措施，无相关记录扣</w:t>
            </w:r>
            <w:r>
              <w:rPr>
                <w:rFonts w:hint="eastAsia" w:cs="宋体"/>
                <w:sz w:val="21"/>
                <w:szCs w:val="21"/>
              </w:rPr>
              <w:t>0.25</w:t>
            </w:r>
            <w:r>
              <w:rPr>
                <w:rFonts w:hint="eastAsia" w:cs="宋体"/>
                <w:kern w:val="0"/>
                <w:sz w:val="21"/>
                <w:szCs w:val="21"/>
                <w:lang w:bidi="ar"/>
              </w:rPr>
              <w:t>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A07BC">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78226">
            <w:pPr>
              <w:jc w:val="center"/>
              <w:rPr>
                <w:rFonts w:hint="eastAsia" w:cs="宋体"/>
                <w:sz w:val="21"/>
                <w:szCs w:val="21"/>
              </w:rPr>
            </w:pPr>
          </w:p>
        </w:tc>
      </w:tr>
      <w:tr w14:paraId="7B49C9A7">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69E38">
            <w:pPr>
              <w:jc w:val="center"/>
              <w:textAlignment w:val="center"/>
              <w:rPr>
                <w:rFonts w:hint="eastAsia" w:cs="宋体"/>
                <w:kern w:val="0"/>
                <w:sz w:val="21"/>
                <w:szCs w:val="21"/>
                <w:lang w:bidi="ar"/>
              </w:rPr>
            </w:pPr>
            <w:r>
              <w:rPr>
                <w:rFonts w:hint="eastAsia" w:cs="宋体"/>
                <w:kern w:val="0"/>
                <w:sz w:val="21"/>
                <w:szCs w:val="21"/>
                <w:lang w:bidi="ar"/>
              </w:rPr>
              <w:t>14）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0C0BB">
            <w:pPr>
              <w:jc w:val="left"/>
              <w:rPr>
                <w:rFonts w:hint="eastAsia" w:cs="宋体"/>
                <w:kern w:val="0"/>
                <w:sz w:val="21"/>
                <w:szCs w:val="21"/>
                <w:lang w:bidi="ar"/>
              </w:rPr>
            </w:pPr>
            <w:r>
              <w:rPr>
                <w:rFonts w:hint="eastAsia" w:cs="宋体"/>
                <w:kern w:val="0"/>
                <w:sz w:val="21"/>
                <w:szCs w:val="21"/>
                <w:lang w:bidi="ar"/>
              </w:rPr>
              <w:t>电缆头制作、二次接线产生的固体废物，如电缆绝缘皮、线芯碎头等应集中回收处理。</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E9F7A">
            <w:pPr>
              <w:jc w:val="left"/>
              <w:rPr>
                <w:rFonts w:hint="eastAsia" w:cs="宋体"/>
                <w:sz w:val="21"/>
                <w:szCs w:val="21"/>
              </w:rPr>
            </w:pPr>
            <w:r>
              <w:rPr>
                <w:rFonts w:hint="eastAsia" w:cs="宋体"/>
                <w:kern w:val="0"/>
                <w:sz w:val="21"/>
                <w:szCs w:val="21"/>
                <w:lang w:bidi="ar"/>
              </w:rPr>
              <w:t>电缆头制作、二次接线产生的固体废物未集中处理，且无记录扣</w:t>
            </w:r>
            <w:r>
              <w:rPr>
                <w:rFonts w:hint="eastAsia" w:cs="宋体"/>
                <w:sz w:val="21"/>
                <w:szCs w:val="21"/>
              </w:rPr>
              <w:t>0.25</w:t>
            </w:r>
            <w:r>
              <w:rPr>
                <w:rFonts w:hint="eastAsia" w:cs="宋体"/>
                <w:kern w:val="0"/>
                <w:sz w:val="21"/>
                <w:szCs w:val="21"/>
                <w:lang w:bidi="ar"/>
              </w:rPr>
              <w:t>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8C11F">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585C6">
            <w:pPr>
              <w:jc w:val="center"/>
              <w:rPr>
                <w:rFonts w:hint="eastAsia" w:cs="宋体"/>
                <w:sz w:val="21"/>
                <w:szCs w:val="21"/>
              </w:rPr>
            </w:pPr>
          </w:p>
        </w:tc>
      </w:tr>
      <w:tr w14:paraId="28566DB2">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A0BDE">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63BC2">
            <w:pPr>
              <w:jc w:val="left"/>
              <w:rPr>
                <w:rFonts w:hint="eastAsia" w:cs="宋体"/>
                <w:kern w:val="0"/>
                <w:sz w:val="21"/>
                <w:szCs w:val="21"/>
                <w:lang w:bidi="ar"/>
              </w:rPr>
            </w:pPr>
            <w:r>
              <w:rPr>
                <w:rFonts w:hint="eastAsia" w:cs="宋体"/>
                <w:kern w:val="0"/>
                <w:sz w:val="21"/>
                <w:szCs w:val="21"/>
                <w:lang w:bidi="ar"/>
              </w:rPr>
              <w:t>架空线路工程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F61D5">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918D9">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B0909">
            <w:pPr>
              <w:jc w:val="center"/>
              <w:rPr>
                <w:rFonts w:hint="eastAsia" w:cs="宋体"/>
                <w:sz w:val="21"/>
                <w:szCs w:val="21"/>
              </w:rPr>
            </w:pPr>
          </w:p>
        </w:tc>
      </w:tr>
      <w:tr w14:paraId="40232D96">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B0DD3">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E080F">
            <w:pPr>
              <w:jc w:val="left"/>
              <w:rPr>
                <w:rFonts w:hint="eastAsia" w:cs="宋体"/>
                <w:kern w:val="0"/>
                <w:sz w:val="21"/>
                <w:szCs w:val="21"/>
                <w:lang w:bidi="ar"/>
              </w:rPr>
            </w:pPr>
            <w:r>
              <w:rPr>
                <w:rFonts w:hint="eastAsia" w:cs="宋体"/>
                <w:kern w:val="0"/>
                <w:sz w:val="21"/>
                <w:szCs w:val="21"/>
                <w:lang w:bidi="ar"/>
              </w:rPr>
              <w:t>架空线路基础施工现场应通过设置沉淀池、加装污水处理设备等措施降低废水污染。</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7E7F7">
            <w:pPr>
              <w:jc w:val="left"/>
              <w:rPr>
                <w:rFonts w:hint="eastAsia" w:cs="宋体"/>
                <w:sz w:val="21"/>
                <w:szCs w:val="21"/>
              </w:rPr>
            </w:pPr>
            <w:r>
              <w:rPr>
                <w:rStyle w:val="102"/>
                <w:rFonts w:hint="default"/>
                <w:lang w:bidi="ar"/>
              </w:rPr>
              <w:t>施工现场无</w:t>
            </w:r>
            <w:r>
              <w:rPr>
                <w:rStyle w:val="103"/>
                <w:rFonts w:ascii="宋体" w:hAnsi="宋体" w:eastAsia="宋体"/>
                <w:lang w:bidi="ar"/>
              </w:rPr>
              <w:t>沉淀池、加装污水处理设备等降低废水污染措施，扣1分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AB144">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F62EF">
            <w:pPr>
              <w:jc w:val="center"/>
              <w:rPr>
                <w:rFonts w:hint="eastAsia" w:cs="宋体"/>
                <w:sz w:val="21"/>
                <w:szCs w:val="21"/>
              </w:rPr>
            </w:pPr>
          </w:p>
        </w:tc>
      </w:tr>
      <w:tr w14:paraId="2669AD47">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8A744">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59207">
            <w:pPr>
              <w:jc w:val="left"/>
              <w:rPr>
                <w:rFonts w:hint="eastAsia" w:cs="宋体"/>
                <w:kern w:val="0"/>
                <w:sz w:val="21"/>
                <w:szCs w:val="21"/>
                <w:lang w:bidi="ar"/>
              </w:rPr>
            </w:pPr>
            <w:r>
              <w:rPr>
                <w:rFonts w:hint="eastAsia" w:cs="宋体"/>
                <w:kern w:val="0"/>
                <w:sz w:val="21"/>
                <w:szCs w:val="21"/>
                <w:lang w:bidi="ar"/>
              </w:rPr>
              <w:t>架空线路施工机械应设隔油布，防止油污渗漏；危险品、化学品应存放在专用仓库或进行有效隔离，存放处应设明显标志。包装、线盘材料采用木质材料，应符合植物检疫要求，到场后应及时消杀，防止虫害传播。</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FE478">
            <w:pPr>
              <w:jc w:val="left"/>
              <w:rPr>
                <w:rFonts w:hint="eastAsia" w:cs="宋体"/>
                <w:sz w:val="21"/>
                <w:szCs w:val="21"/>
              </w:rPr>
            </w:pPr>
            <w:r>
              <w:rPr>
                <w:rFonts w:hint="eastAsia" w:cs="宋体"/>
                <w:kern w:val="0"/>
                <w:sz w:val="21"/>
                <w:szCs w:val="21"/>
                <w:lang w:bidi="ar"/>
              </w:rPr>
              <w:t>施工现场无油污、危险品防渗漏措施，扣0.5；包装、线盘材料采用木质材料，不符合职务检疫要求，扣0.5分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CA5D7">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2DF34">
            <w:pPr>
              <w:jc w:val="center"/>
              <w:rPr>
                <w:rFonts w:hint="eastAsia" w:cs="宋体"/>
                <w:sz w:val="21"/>
                <w:szCs w:val="21"/>
              </w:rPr>
            </w:pPr>
          </w:p>
        </w:tc>
      </w:tr>
      <w:tr w14:paraId="0092E4F1">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93909">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DE99C">
            <w:pPr>
              <w:jc w:val="left"/>
              <w:rPr>
                <w:rFonts w:hint="eastAsia" w:cs="宋体"/>
                <w:kern w:val="0"/>
                <w:sz w:val="21"/>
                <w:szCs w:val="21"/>
                <w:lang w:bidi="ar"/>
              </w:rPr>
            </w:pPr>
            <w:r>
              <w:rPr>
                <w:rFonts w:hint="eastAsia" w:cs="宋体"/>
                <w:kern w:val="0"/>
                <w:sz w:val="21"/>
                <w:szCs w:val="21"/>
                <w:lang w:bidi="ar"/>
              </w:rPr>
              <w:t>平地及符合条件的地区，架空线路基础应采用预拌混凝土；不具备条件采用自拌混凝土时，水泥应有密闭防尘措施，搅拌机宜有封闭降噪和防尘措施。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7C943">
            <w:pPr>
              <w:jc w:val="left"/>
              <w:rPr>
                <w:rFonts w:hint="eastAsia" w:cs="宋体"/>
                <w:sz w:val="21"/>
                <w:szCs w:val="21"/>
              </w:rPr>
            </w:pPr>
            <w:r>
              <w:rPr>
                <w:rFonts w:hint="eastAsia" w:cs="宋体"/>
                <w:kern w:val="0"/>
                <w:sz w:val="21"/>
                <w:szCs w:val="21"/>
                <w:lang w:bidi="ar"/>
              </w:rPr>
              <w:t>采用自拌混凝土时，无防尘措施，扣1分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0BCAC">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2E833">
            <w:pPr>
              <w:jc w:val="center"/>
              <w:rPr>
                <w:rFonts w:hint="eastAsia" w:cs="宋体"/>
                <w:sz w:val="21"/>
                <w:szCs w:val="21"/>
              </w:rPr>
            </w:pPr>
          </w:p>
        </w:tc>
      </w:tr>
      <w:tr w14:paraId="5508956B">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5A122">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355F1">
            <w:pPr>
              <w:jc w:val="left"/>
              <w:rPr>
                <w:rFonts w:hint="eastAsia" w:cs="宋体"/>
                <w:kern w:val="0"/>
                <w:sz w:val="21"/>
                <w:szCs w:val="21"/>
                <w:lang w:bidi="ar"/>
              </w:rPr>
            </w:pPr>
            <w:r>
              <w:rPr>
                <w:rFonts w:hint="eastAsia" w:cs="宋体"/>
                <w:kern w:val="0"/>
                <w:sz w:val="21"/>
                <w:szCs w:val="21"/>
                <w:lang w:bidi="ar"/>
              </w:rPr>
              <w:t>采用抱杆组立铁塔时，需合理布置地锚坑、拉线和控制绳，塔材堆放及组装区域的设置也应合理。导引绳牵引和导地线展放施工中，宜采用无人机、牵张机等机械设备，以减少对树木和植被的破坏。放线时，应悬空展放导引绳和导地线，并采用张力放线方式，以减少通道开辟和树木砍伐。</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4D38F">
            <w:pPr>
              <w:jc w:val="left"/>
              <w:rPr>
                <w:rFonts w:hint="eastAsia" w:cs="宋体"/>
                <w:sz w:val="21"/>
                <w:szCs w:val="21"/>
              </w:rPr>
            </w:pPr>
            <w:r>
              <w:rPr>
                <w:rFonts w:hint="eastAsia" w:cs="宋体"/>
                <w:kern w:val="0"/>
                <w:sz w:val="21"/>
                <w:szCs w:val="21"/>
                <w:lang w:bidi="ar"/>
              </w:rPr>
              <w:t>查看抱杆组塔的现场及施工方案，无减少树木砍伐、通道开辟措施的，扣1分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4DE62">
            <w:pPr>
              <w:jc w:val="center"/>
              <w:rPr>
                <w:rFonts w:hint="eastAsia" w:cs="宋体"/>
                <w:sz w:val="21"/>
                <w:szCs w:val="21"/>
              </w:rPr>
            </w:pPr>
            <w:r>
              <w:rPr>
                <w:rFonts w:hint="eastAsia" w:cs="宋体"/>
                <w:sz w:val="21"/>
                <w:szCs w:val="21"/>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40960">
            <w:pPr>
              <w:jc w:val="center"/>
              <w:rPr>
                <w:rFonts w:hint="eastAsia" w:cs="宋体"/>
                <w:sz w:val="21"/>
                <w:szCs w:val="21"/>
              </w:rPr>
            </w:pPr>
          </w:p>
        </w:tc>
      </w:tr>
      <w:tr w14:paraId="0D70CBBF">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91924">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649CE">
            <w:pPr>
              <w:jc w:val="left"/>
              <w:rPr>
                <w:rFonts w:hint="eastAsia" w:cs="宋体"/>
                <w:kern w:val="0"/>
                <w:sz w:val="21"/>
                <w:szCs w:val="21"/>
                <w:lang w:bidi="ar"/>
              </w:rPr>
            </w:pPr>
            <w:r>
              <w:rPr>
                <w:rFonts w:hint="eastAsia" w:cs="宋体"/>
                <w:kern w:val="0"/>
                <w:sz w:val="21"/>
                <w:szCs w:val="21"/>
                <w:lang w:bidi="ar"/>
              </w:rPr>
              <w:t>电缆工程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A2181">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41826">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F2BD1">
            <w:pPr>
              <w:jc w:val="center"/>
              <w:rPr>
                <w:rFonts w:hint="eastAsia" w:cs="宋体"/>
                <w:sz w:val="21"/>
                <w:szCs w:val="21"/>
              </w:rPr>
            </w:pPr>
          </w:p>
        </w:tc>
      </w:tr>
      <w:tr w14:paraId="3B1CF38B">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50833">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84DA3">
            <w:pPr>
              <w:jc w:val="left"/>
              <w:rPr>
                <w:rFonts w:hint="eastAsia" w:cs="宋体"/>
                <w:kern w:val="0"/>
                <w:sz w:val="21"/>
                <w:szCs w:val="21"/>
                <w:lang w:bidi="ar"/>
              </w:rPr>
            </w:pPr>
            <w:r>
              <w:rPr>
                <w:rFonts w:hint="eastAsia" w:cs="宋体"/>
                <w:kern w:val="0"/>
                <w:sz w:val="21"/>
                <w:szCs w:val="21"/>
                <w:lang w:bidi="ar"/>
              </w:rPr>
              <w:t>电缆土建施工中，应采取措施避免施工噪声、振动、水质和土壤污染及地表下沉等对周边环境造成影响。</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7607F">
            <w:pPr>
              <w:jc w:val="left"/>
              <w:rPr>
                <w:rFonts w:hint="eastAsia" w:cs="宋体"/>
                <w:sz w:val="21"/>
                <w:szCs w:val="21"/>
              </w:rPr>
            </w:pPr>
            <w:r>
              <w:rPr>
                <w:rFonts w:hint="eastAsia" w:cs="宋体"/>
                <w:kern w:val="0"/>
                <w:sz w:val="21"/>
                <w:szCs w:val="21"/>
                <w:lang w:bidi="ar"/>
              </w:rPr>
              <w:t>施工方案和现场无环境保护措施，扣1分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DD2C2">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B4899">
            <w:pPr>
              <w:jc w:val="center"/>
              <w:rPr>
                <w:rFonts w:hint="eastAsia" w:cs="宋体"/>
                <w:sz w:val="21"/>
                <w:szCs w:val="21"/>
              </w:rPr>
            </w:pPr>
          </w:p>
        </w:tc>
      </w:tr>
      <w:tr w14:paraId="58BF7249">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7ECCB">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404A9">
            <w:pPr>
              <w:jc w:val="left"/>
              <w:rPr>
                <w:rFonts w:hint="eastAsia" w:cs="宋体"/>
                <w:kern w:val="0"/>
                <w:sz w:val="21"/>
                <w:szCs w:val="21"/>
                <w:lang w:bidi="ar"/>
              </w:rPr>
            </w:pPr>
            <w:r>
              <w:rPr>
                <w:rFonts w:hint="eastAsia" w:cs="宋体"/>
                <w:kern w:val="0"/>
                <w:sz w:val="21"/>
                <w:szCs w:val="21"/>
                <w:lang w:bidi="ar"/>
              </w:rPr>
              <w:t>木质包装电缆盘或光缆盘材料应符合植物检疫要求，到场后应及时进行消杀，防止虫害传播，施工结束后及时回收处理。</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383DD">
            <w:pPr>
              <w:jc w:val="left"/>
              <w:rPr>
                <w:rFonts w:hint="eastAsia" w:cs="宋体"/>
                <w:sz w:val="21"/>
                <w:szCs w:val="21"/>
              </w:rPr>
            </w:pPr>
            <w:r>
              <w:rPr>
                <w:rFonts w:hint="eastAsia" w:cs="宋体"/>
                <w:kern w:val="0"/>
                <w:sz w:val="21"/>
                <w:szCs w:val="21"/>
                <w:lang w:bidi="ar"/>
              </w:rPr>
              <w:t>包装、线盘材料采用木质材料，不符合职务检疫要求，扣0.5分，未及时进行消杀扣0.5分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67F2A">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94BD9">
            <w:pPr>
              <w:jc w:val="center"/>
              <w:rPr>
                <w:rFonts w:hint="eastAsia" w:cs="宋体"/>
                <w:sz w:val="21"/>
                <w:szCs w:val="21"/>
              </w:rPr>
            </w:pPr>
          </w:p>
        </w:tc>
      </w:tr>
      <w:tr w14:paraId="2112949D">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04C09">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1D63B">
            <w:pPr>
              <w:jc w:val="left"/>
              <w:rPr>
                <w:rFonts w:hint="eastAsia" w:cs="宋体"/>
                <w:kern w:val="0"/>
                <w:sz w:val="21"/>
                <w:szCs w:val="21"/>
                <w:lang w:bidi="ar"/>
              </w:rPr>
            </w:pPr>
            <w:r>
              <w:rPr>
                <w:rFonts w:hint="eastAsia" w:cs="宋体"/>
                <w:kern w:val="0"/>
                <w:sz w:val="21"/>
                <w:szCs w:val="21"/>
                <w:lang w:bidi="ar"/>
              </w:rPr>
              <w:t>电缆变压器终端进筒、封闭式组合电器终端进仓时应做好绝缘油、气的回收工作。</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44A8F">
            <w:pPr>
              <w:jc w:val="left"/>
              <w:rPr>
                <w:rFonts w:hint="eastAsia" w:cs="宋体"/>
                <w:sz w:val="21"/>
                <w:szCs w:val="21"/>
              </w:rPr>
            </w:pPr>
            <w:r>
              <w:rPr>
                <w:rFonts w:hint="eastAsia" w:cs="宋体"/>
                <w:kern w:val="0"/>
                <w:sz w:val="21"/>
                <w:szCs w:val="21"/>
                <w:lang w:bidi="ar"/>
              </w:rPr>
              <w:t>无绝缘油、气的回收扣1分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D2178">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9EA69">
            <w:pPr>
              <w:jc w:val="center"/>
              <w:rPr>
                <w:rFonts w:hint="eastAsia" w:cs="宋体"/>
                <w:sz w:val="21"/>
                <w:szCs w:val="21"/>
              </w:rPr>
            </w:pPr>
          </w:p>
        </w:tc>
      </w:tr>
      <w:tr w14:paraId="13AD59CD">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C1609">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650A6">
            <w:pPr>
              <w:jc w:val="left"/>
              <w:rPr>
                <w:rFonts w:hint="eastAsia" w:cs="宋体"/>
                <w:kern w:val="0"/>
                <w:sz w:val="21"/>
                <w:szCs w:val="21"/>
                <w:lang w:bidi="ar"/>
              </w:rPr>
            </w:pPr>
            <w:r>
              <w:rPr>
                <w:rFonts w:hint="eastAsia" w:cs="宋体"/>
                <w:kern w:val="0"/>
                <w:sz w:val="21"/>
                <w:szCs w:val="21"/>
                <w:lang w:bidi="ar"/>
              </w:rPr>
              <w:t>电缆接头制作现场宜配备吸尘器，对电缆绝缘主体进行打磨时应做好绝缘、半导电颗粒的清理工作。电缆接头制作时，应在制作区域下方铺设垫布等物品，防止沥青滴落。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0FA67">
            <w:pPr>
              <w:jc w:val="left"/>
              <w:rPr>
                <w:rFonts w:hint="eastAsia" w:cs="宋体"/>
                <w:sz w:val="21"/>
                <w:szCs w:val="21"/>
              </w:rPr>
            </w:pPr>
            <w:r>
              <w:rPr>
                <w:rStyle w:val="102"/>
                <w:rFonts w:hint="default"/>
                <w:lang w:bidi="ar"/>
              </w:rPr>
              <w:t>电</w:t>
            </w:r>
            <w:r>
              <w:rPr>
                <w:rFonts w:hint="eastAsia" w:cs="宋体"/>
                <w:kern w:val="0"/>
                <w:sz w:val="21"/>
                <w:szCs w:val="21"/>
                <w:lang w:bidi="ar"/>
              </w:rPr>
              <w:t>缆接头制作现场无绝缘、半导电颗粒的清理，扣0.5分。电缆接头制作，无防沥青滴落措施，扣0.5分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2EBE8">
            <w:pPr>
              <w:jc w:val="center"/>
              <w:rPr>
                <w:rFonts w:hint="eastAsia" w:cs="宋体"/>
                <w:sz w:val="21"/>
                <w:szCs w:val="21"/>
              </w:rPr>
            </w:pPr>
            <w:r>
              <w:rPr>
                <w:rFonts w:hint="eastAsia" w:cs="宋体"/>
                <w:sz w:val="21"/>
                <w:szCs w:val="21"/>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0D663">
            <w:pPr>
              <w:jc w:val="center"/>
              <w:rPr>
                <w:rFonts w:hint="eastAsia" w:cs="宋体"/>
                <w:sz w:val="21"/>
                <w:szCs w:val="21"/>
              </w:rPr>
            </w:pPr>
          </w:p>
        </w:tc>
      </w:tr>
      <w:tr w14:paraId="5CFA1858">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ACC09">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268CF">
            <w:pPr>
              <w:jc w:val="left"/>
              <w:rPr>
                <w:rFonts w:hint="eastAsia" w:cs="宋体"/>
                <w:kern w:val="0"/>
                <w:sz w:val="21"/>
                <w:szCs w:val="21"/>
                <w:lang w:bidi="ar"/>
              </w:rPr>
            </w:pPr>
            <w:r>
              <w:rPr>
                <w:rFonts w:hint="eastAsia" w:cs="宋体"/>
                <w:kern w:val="0"/>
                <w:sz w:val="21"/>
                <w:szCs w:val="21"/>
                <w:lang w:bidi="ar"/>
              </w:rPr>
              <w:t>海底电缆工程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BAAA2">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DF618">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6F0A1">
            <w:pPr>
              <w:jc w:val="center"/>
              <w:rPr>
                <w:rFonts w:hint="eastAsia" w:cs="宋体"/>
                <w:sz w:val="21"/>
                <w:szCs w:val="21"/>
              </w:rPr>
            </w:pPr>
          </w:p>
        </w:tc>
      </w:tr>
      <w:tr w14:paraId="74EA8EA6">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4C93B">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88711">
            <w:pPr>
              <w:jc w:val="left"/>
              <w:rPr>
                <w:rFonts w:hint="eastAsia" w:cs="宋体"/>
                <w:kern w:val="0"/>
                <w:sz w:val="21"/>
                <w:szCs w:val="21"/>
                <w:lang w:bidi="ar"/>
              </w:rPr>
            </w:pPr>
            <w:r>
              <w:rPr>
                <w:rFonts w:hint="eastAsia" w:cs="宋体"/>
                <w:kern w:val="0"/>
                <w:sz w:val="21"/>
                <w:szCs w:val="21"/>
                <w:lang w:bidi="ar"/>
              </w:rPr>
              <w:t>选取符合环保标准的施工船舶，船舶应配备废弃物处理设施和防污染系统。船舶设备应选用低噪音设备，燃油、燃气设备的尾气排放必须符合国家相关标准，对施工船舶产生的生活垃圾、废油和其他有害物质进行严格管理和处理，确保不直接排放入海。</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27E94">
            <w:pPr>
              <w:jc w:val="left"/>
              <w:rPr>
                <w:rFonts w:hint="eastAsia" w:cs="宋体"/>
                <w:sz w:val="21"/>
                <w:szCs w:val="21"/>
              </w:rPr>
            </w:pPr>
            <w:r>
              <w:rPr>
                <w:rFonts w:hint="eastAsia" w:cs="宋体"/>
                <w:kern w:val="0"/>
                <w:sz w:val="21"/>
                <w:szCs w:val="21"/>
                <w:lang w:bidi="ar"/>
              </w:rPr>
              <w:t>施工船舶无废弃物处理设施和防污染系统，扣1分；船舶产生的尾气、生活垃圾、废油和其他有害物质无管理和处理措施，扣1分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ECC2E">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BE770">
            <w:pPr>
              <w:jc w:val="center"/>
              <w:rPr>
                <w:rFonts w:hint="eastAsia" w:cs="宋体"/>
                <w:sz w:val="21"/>
                <w:szCs w:val="21"/>
              </w:rPr>
            </w:pPr>
          </w:p>
        </w:tc>
      </w:tr>
      <w:tr w14:paraId="01B3A41E">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F63C6">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38B4D">
            <w:pPr>
              <w:jc w:val="left"/>
              <w:rPr>
                <w:rFonts w:hint="eastAsia" w:cs="宋体"/>
                <w:kern w:val="0"/>
                <w:sz w:val="21"/>
                <w:szCs w:val="21"/>
                <w:lang w:bidi="ar"/>
              </w:rPr>
            </w:pPr>
            <w:r>
              <w:rPr>
                <w:rFonts w:hint="eastAsia" w:cs="宋体"/>
                <w:kern w:val="0"/>
                <w:sz w:val="21"/>
                <w:szCs w:val="21"/>
                <w:lang w:bidi="ar"/>
              </w:rPr>
              <w:t>登陆施工作业期间，应定期洒水或进行绿化，安装围栏，对易产生扬尘的材料进行覆盖或封闭处理，减少产生扬尘的工序。</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40A27">
            <w:pPr>
              <w:jc w:val="left"/>
              <w:rPr>
                <w:rFonts w:hint="eastAsia" w:cs="宋体"/>
                <w:sz w:val="21"/>
                <w:szCs w:val="21"/>
              </w:rPr>
            </w:pPr>
            <w:r>
              <w:rPr>
                <w:rFonts w:hint="eastAsia" w:cs="宋体"/>
                <w:kern w:val="0"/>
                <w:sz w:val="21"/>
                <w:szCs w:val="21"/>
                <w:lang w:bidi="ar"/>
              </w:rPr>
              <w:t>登陆施工现场，无减少扬尘措施，扣1分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63356">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C5ACA">
            <w:pPr>
              <w:jc w:val="center"/>
              <w:rPr>
                <w:rFonts w:hint="eastAsia" w:cs="宋体"/>
                <w:sz w:val="21"/>
                <w:szCs w:val="21"/>
              </w:rPr>
            </w:pPr>
          </w:p>
        </w:tc>
      </w:tr>
      <w:tr w14:paraId="14B61815">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BD73B">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CE573">
            <w:pPr>
              <w:jc w:val="left"/>
              <w:rPr>
                <w:rFonts w:hint="eastAsia" w:cs="宋体"/>
                <w:kern w:val="0"/>
                <w:sz w:val="21"/>
                <w:szCs w:val="21"/>
                <w:lang w:bidi="ar"/>
              </w:rPr>
            </w:pPr>
            <w:r>
              <w:rPr>
                <w:rFonts w:hint="eastAsia" w:cs="宋体"/>
                <w:kern w:val="0"/>
                <w:sz w:val="21"/>
                <w:szCs w:val="21"/>
                <w:lang w:bidi="ar"/>
              </w:rPr>
              <w:t>尽量避开海洋生物的繁殖和迁徙季节进行施工，在施工区域设置缓冲区，保护海洋牧场等生态敏感区。</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B56A7">
            <w:pPr>
              <w:jc w:val="left"/>
              <w:rPr>
                <w:rFonts w:hint="eastAsia" w:cs="宋体"/>
                <w:sz w:val="21"/>
                <w:szCs w:val="21"/>
              </w:rPr>
            </w:pPr>
            <w:r>
              <w:rPr>
                <w:rFonts w:hint="eastAsia" w:cs="宋体"/>
                <w:kern w:val="0"/>
                <w:sz w:val="21"/>
                <w:szCs w:val="21"/>
                <w:lang w:bidi="ar"/>
              </w:rPr>
              <w:t>施工区无保护海洋牧场等措施，扣1分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81164">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02988">
            <w:pPr>
              <w:jc w:val="center"/>
              <w:rPr>
                <w:rFonts w:hint="eastAsia" w:cs="宋体"/>
                <w:sz w:val="21"/>
                <w:szCs w:val="21"/>
              </w:rPr>
            </w:pPr>
          </w:p>
        </w:tc>
      </w:tr>
      <w:tr w14:paraId="38B48D90">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690A8">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84B41">
            <w:pPr>
              <w:jc w:val="left"/>
              <w:rPr>
                <w:rFonts w:hint="eastAsia" w:cs="宋体"/>
                <w:kern w:val="0"/>
                <w:sz w:val="21"/>
                <w:szCs w:val="21"/>
                <w:lang w:bidi="ar"/>
              </w:rPr>
            </w:pPr>
            <w:r>
              <w:rPr>
                <w:rFonts w:hint="eastAsia" w:cs="宋体"/>
                <w:kern w:val="0"/>
                <w:sz w:val="21"/>
                <w:szCs w:val="21"/>
                <w:lang w:bidi="ar"/>
              </w:rPr>
              <w:t>海底电缆敷设期间在满足设计埋深的情况下应尽可能避免过度的冲喷操作以降低对海底床面的破坏及对底栖生物的影响。</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BEEBB">
            <w:pPr>
              <w:jc w:val="left"/>
              <w:rPr>
                <w:rFonts w:hint="eastAsia" w:cs="宋体"/>
                <w:sz w:val="21"/>
                <w:szCs w:val="21"/>
              </w:rPr>
            </w:pPr>
            <w:r>
              <w:rPr>
                <w:rFonts w:hint="eastAsia" w:cs="宋体"/>
                <w:kern w:val="0"/>
                <w:sz w:val="21"/>
                <w:szCs w:val="21"/>
                <w:lang w:bidi="ar"/>
              </w:rPr>
              <w:t>电缆敷设时无降低对海底床面的破坏及对底栖生物的措施，扣1分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247EA">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D9686">
            <w:pPr>
              <w:jc w:val="center"/>
              <w:rPr>
                <w:rFonts w:hint="eastAsia" w:cs="宋体"/>
                <w:sz w:val="21"/>
                <w:szCs w:val="21"/>
              </w:rPr>
            </w:pPr>
          </w:p>
        </w:tc>
      </w:tr>
      <w:tr w14:paraId="50ACC3A1">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7A2F6">
            <w:pPr>
              <w:jc w:val="center"/>
              <w:textAlignment w:val="center"/>
              <w:rPr>
                <w:rFonts w:hint="eastAsia" w:cs="宋体"/>
                <w:kern w:val="0"/>
                <w:sz w:val="21"/>
                <w:szCs w:val="21"/>
                <w:lang w:bidi="ar"/>
              </w:rPr>
            </w:pPr>
            <w:r>
              <w:rPr>
                <w:rFonts w:hint="eastAsia" w:cs="宋体"/>
                <w:kern w:val="0"/>
                <w:sz w:val="21"/>
                <w:szCs w:val="21"/>
                <w:lang w:bidi="ar"/>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35C16">
            <w:pPr>
              <w:jc w:val="left"/>
              <w:rPr>
                <w:rFonts w:hint="eastAsia" w:cs="宋体"/>
                <w:kern w:val="0"/>
                <w:sz w:val="21"/>
                <w:szCs w:val="21"/>
                <w:lang w:bidi="ar"/>
              </w:rPr>
            </w:pPr>
            <w:r>
              <w:rPr>
                <w:rFonts w:hint="eastAsia" w:cs="宋体"/>
                <w:kern w:val="0"/>
                <w:sz w:val="21"/>
                <w:szCs w:val="21"/>
                <w:lang w:bidi="ar"/>
              </w:rPr>
              <w:t>路由附近有环境敏感区域时，应选取合适的潮汐时刻进行施工，减少因施工造成的悬浮泥沙侵入环境敏感区域。</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06B9E">
            <w:pPr>
              <w:jc w:val="left"/>
              <w:rPr>
                <w:rFonts w:hint="eastAsia" w:cs="宋体"/>
                <w:sz w:val="21"/>
                <w:szCs w:val="21"/>
              </w:rPr>
            </w:pPr>
            <w:r>
              <w:rPr>
                <w:rFonts w:hint="eastAsia" w:cs="宋体"/>
                <w:kern w:val="0"/>
                <w:sz w:val="21"/>
                <w:szCs w:val="21"/>
                <w:lang w:bidi="ar"/>
              </w:rPr>
              <w:t>作业计划不合理，扣1分。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D7782">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E95FD">
            <w:pPr>
              <w:jc w:val="center"/>
              <w:rPr>
                <w:rFonts w:hint="eastAsia" w:cs="宋体"/>
                <w:sz w:val="21"/>
                <w:szCs w:val="21"/>
              </w:rPr>
            </w:pPr>
          </w:p>
        </w:tc>
      </w:tr>
      <w:tr w14:paraId="5C7D9AB9">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9E496">
            <w:pPr>
              <w:jc w:val="center"/>
              <w:textAlignment w:val="center"/>
              <w:rPr>
                <w:rFonts w:hint="eastAsia" w:cs="宋体"/>
                <w:kern w:val="0"/>
                <w:sz w:val="21"/>
                <w:szCs w:val="21"/>
                <w:lang w:bidi="ar"/>
              </w:rPr>
            </w:pPr>
            <w:r>
              <w:rPr>
                <w:rFonts w:hint="eastAsia" w:cs="宋体"/>
                <w:kern w:val="0"/>
                <w:sz w:val="21"/>
                <w:szCs w:val="21"/>
                <w:lang w:bidi="ar"/>
              </w:rPr>
              <w:t>6.2.15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313F3">
            <w:pPr>
              <w:jc w:val="left"/>
              <w:rPr>
                <w:rFonts w:hint="eastAsia" w:cs="宋体"/>
                <w:kern w:val="0"/>
                <w:sz w:val="21"/>
                <w:szCs w:val="21"/>
                <w:lang w:bidi="ar"/>
              </w:rPr>
            </w:pPr>
            <w:r>
              <w:rPr>
                <w:rFonts w:hint="eastAsia" w:cs="宋体"/>
                <w:kern w:val="0"/>
                <w:sz w:val="21"/>
                <w:szCs w:val="21"/>
                <w:lang w:bidi="ar"/>
              </w:rPr>
              <w:t xml:space="preserve"> 电力储能工程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139BA">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0765B">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9361C">
            <w:pPr>
              <w:jc w:val="center"/>
              <w:rPr>
                <w:rFonts w:hint="eastAsia" w:cs="宋体"/>
                <w:sz w:val="21"/>
                <w:szCs w:val="21"/>
              </w:rPr>
            </w:pPr>
          </w:p>
        </w:tc>
      </w:tr>
      <w:tr w14:paraId="7143D2F9">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5A125">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3DE89">
            <w:pPr>
              <w:jc w:val="left"/>
              <w:rPr>
                <w:rFonts w:hint="eastAsia" w:cs="宋体"/>
                <w:kern w:val="0"/>
                <w:sz w:val="21"/>
                <w:szCs w:val="21"/>
                <w:lang w:bidi="ar"/>
              </w:rPr>
            </w:pPr>
            <w:r>
              <w:rPr>
                <w:rFonts w:hint="eastAsia" w:cs="宋体"/>
                <w:kern w:val="0"/>
                <w:sz w:val="21"/>
                <w:szCs w:val="21"/>
              </w:rPr>
              <w:t>电化学（锂电、液流、燃料电池、钠离子、铅酸、铅炭）储能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CFC4B">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7B0DE">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93CF1">
            <w:pPr>
              <w:jc w:val="center"/>
              <w:rPr>
                <w:rFonts w:hint="eastAsia" w:cs="宋体"/>
                <w:sz w:val="21"/>
                <w:szCs w:val="21"/>
              </w:rPr>
            </w:pPr>
          </w:p>
        </w:tc>
      </w:tr>
      <w:tr w14:paraId="2539993D">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18A19">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BD3CD">
            <w:pPr>
              <w:jc w:val="left"/>
              <w:rPr>
                <w:rFonts w:hint="eastAsia" w:cs="宋体"/>
                <w:kern w:val="0"/>
                <w:sz w:val="21"/>
                <w:szCs w:val="21"/>
                <w:lang w:bidi="ar"/>
              </w:rPr>
            </w:pPr>
            <w:r>
              <w:rPr>
                <w:sz w:val="21"/>
                <w:szCs w:val="21"/>
              </w:rPr>
              <w:t>施工单位及运维单位应根据不同类型的储能</w:t>
            </w:r>
            <w:r>
              <w:rPr>
                <w:rFonts w:hint="eastAsia"/>
                <w:sz w:val="21"/>
                <w:szCs w:val="21"/>
              </w:rPr>
              <w:t>电池</w:t>
            </w:r>
            <w:r>
              <w:rPr>
                <w:sz w:val="21"/>
                <w:szCs w:val="21"/>
              </w:rPr>
              <w:t>特性，针对储能场站火灾、电解液泄露等突发事故建立应急预案，并进行过每年至少1次应急演练，应有文件记录可查验，建设方和总包方应监督实施。</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66991678">
            <w:pPr>
              <w:jc w:val="left"/>
              <w:rPr>
                <w:rFonts w:hint="eastAsia"/>
                <w:sz w:val="21"/>
                <w:szCs w:val="21"/>
              </w:rPr>
            </w:pPr>
            <w:r>
              <w:rPr>
                <w:rFonts w:hint="eastAsia"/>
                <w:sz w:val="21"/>
                <w:szCs w:val="21"/>
              </w:rPr>
              <w:t>每项子目实得分根据现场实际情况按照标准分乘以相应系数进行评分：</w:t>
            </w:r>
          </w:p>
          <w:p w14:paraId="19FFDFE0">
            <w:pPr>
              <w:jc w:val="left"/>
              <w:rPr>
                <w:rFonts w:hint="eastAsia"/>
                <w:sz w:val="21"/>
                <w:szCs w:val="21"/>
              </w:rPr>
            </w:pPr>
            <w:r>
              <w:rPr>
                <w:rFonts w:hint="eastAsia"/>
                <w:sz w:val="21"/>
                <w:szCs w:val="21"/>
              </w:rPr>
              <w:t>1、措施到位，满足评价指标要求系数为1；</w:t>
            </w:r>
          </w:p>
          <w:p w14:paraId="083C4588">
            <w:pPr>
              <w:jc w:val="left"/>
              <w:rPr>
                <w:rFonts w:hint="eastAsia" w:cs="宋体"/>
                <w:sz w:val="21"/>
                <w:szCs w:val="21"/>
              </w:rPr>
            </w:pPr>
            <w:r>
              <w:rPr>
                <w:rFonts w:hint="eastAsia"/>
                <w:sz w:val="21"/>
                <w:szCs w:val="21"/>
              </w:rPr>
              <w:t>2、措施到位，基本满足评价指标要求系数按照0.5~0.9酌情选取；</w:t>
            </w:r>
          </w:p>
          <w:p w14:paraId="0B442BE1">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4166D">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D3C93">
            <w:pPr>
              <w:jc w:val="center"/>
              <w:rPr>
                <w:rFonts w:hint="eastAsia" w:cs="宋体"/>
                <w:sz w:val="21"/>
                <w:szCs w:val="21"/>
              </w:rPr>
            </w:pPr>
          </w:p>
        </w:tc>
      </w:tr>
      <w:tr w14:paraId="35C8EA10">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877BA">
            <w:pPr>
              <w:jc w:val="center"/>
              <w:textAlignment w:val="center"/>
              <w:rPr>
                <w:rFonts w:hint="eastAsia" w:cs="宋体"/>
                <w:kern w:val="0"/>
                <w:sz w:val="21"/>
                <w:szCs w:val="21"/>
                <w:lang w:bidi="ar"/>
              </w:rPr>
            </w:pPr>
            <w:r>
              <w:rPr>
                <w:rFonts w:hint="eastAsia" w:cs="宋体"/>
                <w:kern w:val="0"/>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5E7C0">
            <w:pPr>
              <w:jc w:val="left"/>
              <w:rPr>
                <w:rFonts w:hint="eastAsia" w:cs="宋体"/>
                <w:kern w:val="0"/>
                <w:sz w:val="21"/>
                <w:szCs w:val="21"/>
                <w:lang w:bidi="ar"/>
              </w:rPr>
            </w:pPr>
            <w:r>
              <w:rPr>
                <w:sz w:val="21"/>
                <w:szCs w:val="21"/>
              </w:rPr>
              <w:t>电化学储能电站更换下来的废旧电池及其他电气设备，应妥善转移到危废品库中，并对危废品库中的物品加强管理，采取防止丢失的措施，不可移交给没有处理资质的企业或单位，并建立相应台账。</w:t>
            </w:r>
          </w:p>
        </w:tc>
        <w:tc>
          <w:tcPr>
            <w:tcW w:w="4111" w:type="dxa"/>
            <w:vMerge w:val="continue"/>
            <w:tcBorders>
              <w:left w:val="single" w:color="000000" w:sz="4" w:space="0"/>
              <w:right w:val="single" w:color="000000" w:sz="4" w:space="0"/>
            </w:tcBorders>
            <w:shd w:val="clear" w:color="auto" w:fill="auto"/>
            <w:vAlign w:val="center"/>
          </w:tcPr>
          <w:p w14:paraId="612867AC">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E10CB">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71763">
            <w:pPr>
              <w:jc w:val="center"/>
              <w:rPr>
                <w:rFonts w:hint="eastAsia" w:cs="宋体"/>
                <w:sz w:val="21"/>
                <w:szCs w:val="21"/>
              </w:rPr>
            </w:pPr>
          </w:p>
        </w:tc>
      </w:tr>
      <w:tr w14:paraId="110172E9">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82B05">
            <w:pPr>
              <w:jc w:val="center"/>
              <w:textAlignment w:val="center"/>
              <w:rPr>
                <w:rFonts w:hint="eastAsia" w:cs="宋体"/>
                <w:kern w:val="0"/>
                <w:sz w:val="21"/>
                <w:szCs w:val="21"/>
                <w:lang w:bidi="ar"/>
              </w:rPr>
            </w:pPr>
            <w:r>
              <w:rPr>
                <w:rFonts w:hint="eastAsia" w:cs="宋体"/>
                <w:kern w:val="0"/>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75C65">
            <w:pPr>
              <w:rPr>
                <w:rFonts w:hint="eastAsia"/>
                <w:sz w:val="21"/>
                <w:szCs w:val="21"/>
              </w:rPr>
            </w:pPr>
            <w:r>
              <w:rPr>
                <w:sz w:val="21"/>
                <w:szCs w:val="21"/>
              </w:rPr>
              <w:t>施工单位在施工前应根据电池类型，编制储能设施安全施工专篇，包括但不限于对有毒原料加料（全钒液流电池电解液及原料）、电池正负极电缆接线防误接、电缆接线牢固性等危险源识别及安全防范进行系统梳理总结，采取有效措施。</w:t>
            </w:r>
          </w:p>
          <w:p w14:paraId="62107903">
            <w:pPr>
              <w:jc w:val="left"/>
              <w:rPr>
                <w:rFonts w:hint="eastAsia" w:cs="宋体"/>
                <w:kern w:val="0"/>
                <w:sz w:val="21"/>
                <w:szCs w:val="21"/>
                <w:lang w:bidi="ar"/>
              </w:rPr>
            </w:pPr>
          </w:p>
        </w:tc>
        <w:tc>
          <w:tcPr>
            <w:tcW w:w="4111" w:type="dxa"/>
            <w:vMerge w:val="continue"/>
            <w:tcBorders>
              <w:left w:val="single" w:color="000000" w:sz="4" w:space="0"/>
              <w:right w:val="single" w:color="000000" w:sz="4" w:space="0"/>
            </w:tcBorders>
            <w:shd w:val="clear" w:color="auto" w:fill="auto"/>
            <w:vAlign w:val="center"/>
          </w:tcPr>
          <w:p w14:paraId="2CFF5EA1">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E0799">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672DD">
            <w:pPr>
              <w:jc w:val="center"/>
              <w:rPr>
                <w:rFonts w:hint="eastAsia" w:cs="宋体"/>
                <w:sz w:val="21"/>
                <w:szCs w:val="21"/>
              </w:rPr>
            </w:pPr>
          </w:p>
        </w:tc>
      </w:tr>
      <w:tr w14:paraId="707C6305">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21A66">
            <w:pPr>
              <w:jc w:val="center"/>
              <w:textAlignment w:val="center"/>
              <w:rPr>
                <w:rFonts w:hint="eastAsia" w:cs="宋体"/>
                <w:kern w:val="0"/>
                <w:sz w:val="21"/>
                <w:szCs w:val="21"/>
                <w:lang w:bidi="ar"/>
              </w:rPr>
            </w:pPr>
            <w:r>
              <w:rPr>
                <w:rFonts w:hint="eastAsia" w:cs="宋体"/>
                <w:kern w:val="0"/>
                <w:sz w:val="21"/>
                <w:szCs w:val="21"/>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BBF62">
            <w:pPr>
              <w:jc w:val="left"/>
              <w:rPr>
                <w:rFonts w:hint="eastAsia" w:cs="宋体"/>
                <w:kern w:val="0"/>
                <w:sz w:val="21"/>
                <w:szCs w:val="21"/>
                <w:lang w:bidi="ar"/>
              </w:rPr>
            </w:pPr>
            <w:r>
              <w:rPr>
                <w:sz w:val="21"/>
                <w:szCs w:val="21"/>
              </w:rPr>
              <w:t>电化学储能电站正常运行时无生产用废水废液废气产生，仅有人员值班产生的生活废水。火灾后收集处理废液</w:t>
            </w:r>
            <w:r>
              <w:rPr>
                <w:rFonts w:hint="eastAsia"/>
                <w:sz w:val="21"/>
                <w:szCs w:val="21"/>
              </w:rPr>
              <w:t>，</w:t>
            </w:r>
            <w:r>
              <w:rPr>
                <w:sz w:val="21"/>
                <w:szCs w:val="21"/>
              </w:rPr>
              <w:t>由专业厂家处理后达标才能排出</w:t>
            </w:r>
            <w:r>
              <w:rPr>
                <w:rFonts w:hint="eastAsia"/>
                <w:sz w:val="21"/>
                <w:szCs w:val="21"/>
              </w:rPr>
              <w:t>。</w:t>
            </w:r>
          </w:p>
        </w:tc>
        <w:tc>
          <w:tcPr>
            <w:tcW w:w="4111" w:type="dxa"/>
            <w:vMerge w:val="continue"/>
            <w:tcBorders>
              <w:left w:val="single" w:color="000000" w:sz="4" w:space="0"/>
              <w:right w:val="single" w:color="000000" w:sz="4" w:space="0"/>
            </w:tcBorders>
            <w:shd w:val="clear" w:color="auto" w:fill="auto"/>
            <w:vAlign w:val="center"/>
          </w:tcPr>
          <w:p w14:paraId="7149BDA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ECD6C">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B82F9">
            <w:pPr>
              <w:jc w:val="center"/>
              <w:rPr>
                <w:rFonts w:hint="eastAsia" w:cs="宋体"/>
                <w:sz w:val="21"/>
                <w:szCs w:val="21"/>
              </w:rPr>
            </w:pPr>
          </w:p>
        </w:tc>
      </w:tr>
      <w:tr w14:paraId="30C56281">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FAB7A">
            <w:pPr>
              <w:jc w:val="center"/>
              <w:textAlignment w:val="center"/>
              <w:rPr>
                <w:rFonts w:hint="eastAsia" w:cs="宋体"/>
                <w:kern w:val="0"/>
                <w:sz w:val="21"/>
                <w:szCs w:val="21"/>
                <w:lang w:bidi="ar"/>
              </w:rPr>
            </w:pPr>
            <w:r>
              <w:rPr>
                <w:rFonts w:hint="eastAsia" w:cs="宋体"/>
                <w:kern w:val="0"/>
                <w:sz w:val="21"/>
                <w:szCs w:val="21"/>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2607A">
            <w:pPr>
              <w:jc w:val="left"/>
              <w:rPr>
                <w:rFonts w:hint="eastAsia" w:cs="宋体"/>
                <w:kern w:val="0"/>
                <w:sz w:val="21"/>
                <w:szCs w:val="21"/>
                <w:lang w:bidi="ar"/>
              </w:rPr>
            </w:pPr>
            <w:r>
              <w:rPr>
                <w:sz w:val="21"/>
                <w:szCs w:val="21"/>
              </w:rPr>
              <w:t>电化学储能系统通常由多个子系统组成，如电池管理系统、能量转换系统等，施工时的</w:t>
            </w:r>
            <w:r>
              <w:rPr>
                <w:rFonts w:hint="eastAsia"/>
                <w:sz w:val="21"/>
                <w:szCs w:val="21"/>
              </w:rPr>
              <w:t>电缆接线和调试工作较为复杂，施工单位、系统集成厂家、调试单位应密切配合。</w:t>
            </w:r>
          </w:p>
        </w:tc>
        <w:tc>
          <w:tcPr>
            <w:tcW w:w="4111" w:type="dxa"/>
            <w:vMerge w:val="continue"/>
            <w:tcBorders>
              <w:left w:val="single" w:color="000000" w:sz="4" w:space="0"/>
              <w:right w:val="single" w:color="000000" w:sz="4" w:space="0"/>
            </w:tcBorders>
            <w:shd w:val="clear" w:color="auto" w:fill="auto"/>
            <w:vAlign w:val="center"/>
          </w:tcPr>
          <w:p w14:paraId="398C1D95">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7C14F">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FC7EA">
            <w:pPr>
              <w:jc w:val="center"/>
              <w:rPr>
                <w:rFonts w:hint="eastAsia" w:cs="宋体"/>
                <w:sz w:val="21"/>
                <w:szCs w:val="21"/>
              </w:rPr>
            </w:pPr>
          </w:p>
        </w:tc>
      </w:tr>
      <w:tr w14:paraId="65483966">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0CA81">
            <w:pPr>
              <w:jc w:val="center"/>
              <w:textAlignment w:val="center"/>
              <w:rPr>
                <w:rFonts w:hint="eastAsia" w:cs="宋体"/>
                <w:kern w:val="0"/>
                <w:sz w:val="21"/>
                <w:szCs w:val="21"/>
                <w:lang w:bidi="ar"/>
              </w:rPr>
            </w:pPr>
            <w:r>
              <w:rPr>
                <w:rFonts w:hint="eastAsia" w:cs="宋体"/>
                <w:kern w:val="0"/>
                <w:sz w:val="21"/>
                <w:szCs w:val="21"/>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56FF5">
            <w:pPr>
              <w:jc w:val="left"/>
              <w:rPr>
                <w:rFonts w:hint="eastAsia" w:cs="宋体"/>
                <w:kern w:val="0"/>
                <w:sz w:val="21"/>
                <w:szCs w:val="21"/>
                <w:lang w:bidi="ar"/>
              </w:rPr>
            </w:pPr>
            <w:r>
              <w:rPr>
                <w:rFonts w:hint="eastAsia"/>
                <w:sz w:val="21"/>
                <w:szCs w:val="21"/>
              </w:rPr>
              <w:t>施工地点的环境条件，如温度、湿度、海拔等，会对储能系统的性能和安全性产生影响，施工中需要充分考虑并采取相应的措施。</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05E4F395">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14BFC">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CC682">
            <w:pPr>
              <w:jc w:val="center"/>
              <w:rPr>
                <w:rFonts w:hint="eastAsia" w:cs="宋体"/>
                <w:sz w:val="21"/>
                <w:szCs w:val="21"/>
              </w:rPr>
            </w:pPr>
          </w:p>
        </w:tc>
      </w:tr>
      <w:tr w14:paraId="28320948">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EE588">
            <w:pPr>
              <w:jc w:val="center"/>
              <w:textAlignment w:val="center"/>
              <w:rPr>
                <w:rFonts w:hint="eastAsia" w:cs="宋体"/>
                <w:kern w:val="0"/>
                <w:sz w:val="21"/>
                <w:szCs w:val="21"/>
                <w:lang w:bidi="ar"/>
              </w:rPr>
            </w:pPr>
            <w:r>
              <w:rPr>
                <w:rFonts w:hint="eastAsia" w:cs="宋体"/>
                <w:kern w:val="0"/>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86654">
            <w:pPr>
              <w:jc w:val="left"/>
              <w:rPr>
                <w:rFonts w:hint="eastAsia" w:cs="宋体"/>
                <w:kern w:val="0"/>
                <w:sz w:val="21"/>
                <w:szCs w:val="21"/>
                <w:lang w:bidi="ar"/>
              </w:rPr>
            </w:pPr>
            <w:r>
              <w:rPr>
                <w:rFonts w:hint="eastAsia" w:cs="宋体"/>
                <w:kern w:val="0"/>
                <w:sz w:val="21"/>
                <w:szCs w:val="21"/>
              </w:rPr>
              <w:t>飞轮储能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A68C7">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25FFB">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8E7D1">
            <w:pPr>
              <w:jc w:val="center"/>
              <w:rPr>
                <w:rFonts w:hint="eastAsia" w:cs="宋体"/>
                <w:sz w:val="21"/>
                <w:szCs w:val="21"/>
              </w:rPr>
            </w:pPr>
          </w:p>
        </w:tc>
      </w:tr>
      <w:tr w14:paraId="06F80CCF">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AC628">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0AC72">
            <w:pPr>
              <w:jc w:val="left"/>
              <w:rPr>
                <w:rFonts w:hint="eastAsia" w:cs="宋体"/>
                <w:kern w:val="0"/>
                <w:sz w:val="21"/>
                <w:szCs w:val="21"/>
                <w:lang w:bidi="ar"/>
              </w:rPr>
            </w:pPr>
            <w:r>
              <w:rPr>
                <w:sz w:val="21"/>
                <w:szCs w:val="21"/>
              </w:rPr>
              <w:t>施工单位及运维单位应根据飞轮设备特性，针对</w:t>
            </w:r>
            <w:r>
              <w:rPr>
                <w:rFonts w:hint="eastAsia"/>
                <w:sz w:val="21"/>
                <w:szCs w:val="21"/>
              </w:rPr>
              <w:t>飞轮</w:t>
            </w:r>
            <w:r>
              <w:rPr>
                <w:sz w:val="21"/>
                <w:szCs w:val="21"/>
              </w:rPr>
              <w:t>设备火灾、</w:t>
            </w:r>
            <w:r>
              <w:rPr>
                <w:rFonts w:hint="eastAsia"/>
                <w:sz w:val="21"/>
                <w:szCs w:val="21"/>
              </w:rPr>
              <w:t>飞轮</w:t>
            </w:r>
            <w:r>
              <w:rPr>
                <w:sz w:val="21"/>
                <w:szCs w:val="21"/>
              </w:rPr>
              <w:t>失控等突发事故建立应急预案，并进行过每年至少1次应急演练，应有文件记录可查验，建设方和总包方应监督实施。</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62D468EE">
            <w:pPr>
              <w:jc w:val="left"/>
              <w:rPr>
                <w:rFonts w:hint="eastAsia"/>
                <w:sz w:val="21"/>
                <w:szCs w:val="21"/>
              </w:rPr>
            </w:pPr>
            <w:r>
              <w:rPr>
                <w:rFonts w:hint="eastAsia"/>
                <w:sz w:val="21"/>
                <w:szCs w:val="21"/>
              </w:rPr>
              <w:t>每项子目实得分根据现场实际情况按照标准分乘以相应系数进行评分：</w:t>
            </w:r>
          </w:p>
          <w:p w14:paraId="09CA524C">
            <w:pPr>
              <w:jc w:val="left"/>
              <w:rPr>
                <w:rFonts w:hint="eastAsia"/>
                <w:sz w:val="21"/>
                <w:szCs w:val="21"/>
              </w:rPr>
            </w:pPr>
            <w:r>
              <w:rPr>
                <w:rFonts w:hint="eastAsia"/>
                <w:sz w:val="21"/>
                <w:szCs w:val="21"/>
              </w:rPr>
              <w:t>1、措施到位，满足评价指标要求系数为1；</w:t>
            </w:r>
          </w:p>
          <w:p w14:paraId="31C3ED4D">
            <w:pPr>
              <w:jc w:val="left"/>
              <w:rPr>
                <w:rFonts w:hint="eastAsia" w:cs="宋体"/>
                <w:sz w:val="21"/>
                <w:szCs w:val="21"/>
              </w:rPr>
            </w:pPr>
            <w:r>
              <w:rPr>
                <w:rFonts w:hint="eastAsia"/>
                <w:sz w:val="21"/>
                <w:szCs w:val="21"/>
              </w:rPr>
              <w:t>2、措施到位，基本满足评价指标要求系数按照0.5~0.9酌情选取；</w:t>
            </w:r>
          </w:p>
          <w:p w14:paraId="44736595">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CF154">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2E214">
            <w:pPr>
              <w:jc w:val="center"/>
              <w:rPr>
                <w:rFonts w:hint="eastAsia" w:cs="宋体"/>
                <w:sz w:val="21"/>
                <w:szCs w:val="21"/>
              </w:rPr>
            </w:pPr>
          </w:p>
        </w:tc>
      </w:tr>
      <w:tr w14:paraId="20C95128">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01845">
            <w:pPr>
              <w:jc w:val="center"/>
              <w:textAlignment w:val="center"/>
              <w:rPr>
                <w:rFonts w:hint="eastAsia" w:cs="宋体"/>
                <w:kern w:val="0"/>
                <w:sz w:val="21"/>
                <w:szCs w:val="21"/>
                <w:lang w:bidi="ar"/>
              </w:rPr>
            </w:pPr>
            <w:r>
              <w:rPr>
                <w:rFonts w:hint="eastAsia" w:cs="宋体"/>
                <w:kern w:val="0"/>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FFC51">
            <w:pPr>
              <w:jc w:val="left"/>
              <w:rPr>
                <w:rFonts w:hint="eastAsia" w:cs="宋体"/>
                <w:kern w:val="0"/>
                <w:sz w:val="21"/>
                <w:szCs w:val="21"/>
                <w:lang w:bidi="ar"/>
              </w:rPr>
            </w:pPr>
            <w:r>
              <w:rPr>
                <w:sz w:val="21"/>
                <w:szCs w:val="21"/>
              </w:rPr>
              <w:t>飞轮在调试运行时，应做好人员安全防护，人员不应滞留在飞轮设备旁边。</w:t>
            </w:r>
          </w:p>
        </w:tc>
        <w:tc>
          <w:tcPr>
            <w:tcW w:w="4111" w:type="dxa"/>
            <w:vMerge w:val="continue"/>
            <w:tcBorders>
              <w:left w:val="single" w:color="000000" w:sz="4" w:space="0"/>
              <w:right w:val="single" w:color="000000" w:sz="4" w:space="0"/>
            </w:tcBorders>
            <w:shd w:val="clear" w:color="auto" w:fill="auto"/>
            <w:vAlign w:val="center"/>
          </w:tcPr>
          <w:p w14:paraId="19FF5C9C">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09473">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C006D">
            <w:pPr>
              <w:jc w:val="center"/>
              <w:rPr>
                <w:rFonts w:hint="eastAsia" w:cs="宋体"/>
                <w:sz w:val="21"/>
                <w:szCs w:val="21"/>
              </w:rPr>
            </w:pPr>
          </w:p>
        </w:tc>
      </w:tr>
      <w:tr w14:paraId="15AD6FB1">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B3329">
            <w:pPr>
              <w:jc w:val="center"/>
              <w:textAlignment w:val="center"/>
              <w:rPr>
                <w:rFonts w:hint="eastAsia" w:cs="宋体"/>
                <w:kern w:val="0"/>
                <w:sz w:val="21"/>
                <w:szCs w:val="21"/>
                <w:lang w:bidi="ar"/>
              </w:rPr>
            </w:pPr>
            <w:r>
              <w:rPr>
                <w:rFonts w:hint="eastAsia" w:cs="宋体"/>
                <w:kern w:val="0"/>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69E9D">
            <w:pPr>
              <w:jc w:val="left"/>
              <w:rPr>
                <w:rFonts w:hint="eastAsia" w:cs="宋体"/>
                <w:kern w:val="0"/>
                <w:sz w:val="21"/>
                <w:szCs w:val="21"/>
                <w:lang w:bidi="ar"/>
              </w:rPr>
            </w:pPr>
            <w:r>
              <w:rPr>
                <w:sz w:val="21"/>
                <w:szCs w:val="21"/>
              </w:rPr>
              <w:t>施工单位在施工前应编制飞轮储能设施安全施工专篇，对告诉旋转设备及部件等危险源识别及安全防范进行系统梳理总结，采取有效措施。</w:t>
            </w:r>
          </w:p>
        </w:tc>
        <w:tc>
          <w:tcPr>
            <w:tcW w:w="4111" w:type="dxa"/>
            <w:vMerge w:val="continue"/>
            <w:tcBorders>
              <w:left w:val="single" w:color="000000" w:sz="4" w:space="0"/>
              <w:right w:val="single" w:color="000000" w:sz="4" w:space="0"/>
            </w:tcBorders>
            <w:shd w:val="clear" w:color="auto" w:fill="auto"/>
            <w:vAlign w:val="center"/>
          </w:tcPr>
          <w:p w14:paraId="4C9FA408">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4AD2F">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4BB97">
            <w:pPr>
              <w:jc w:val="center"/>
              <w:rPr>
                <w:rFonts w:hint="eastAsia" w:cs="宋体"/>
                <w:sz w:val="21"/>
                <w:szCs w:val="21"/>
              </w:rPr>
            </w:pPr>
          </w:p>
        </w:tc>
      </w:tr>
      <w:tr w14:paraId="679906FC">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298FE">
            <w:pPr>
              <w:jc w:val="center"/>
              <w:textAlignment w:val="center"/>
              <w:rPr>
                <w:rFonts w:hint="eastAsia" w:cs="宋体"/>
                <w:kern w:val="0"/>
                <w:sz w:val="21"/>
                <w:szCs w:val="21"/>
                <w:lang w:bidi="ar"/>
              </w:rPr>
            </w:pPr>
            <w:r>
              <w:rPr>
                <w:rFonts w:hint="eastAsia" w:cs="宋体"/>
                <w:kern w:val="0"/>
                <w:sz w:val="21"/>
                <w:szCs w:val="21"/>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40AE3">
            <w:pPr>
              <w:jc w:val="left"/>
              <w:rPr>
                <w:rFonts w:hint="eastAsia" w:cs="宋体"/>
                <w:kern w:val="0"/>
                <w:sz w:val="21"/>
                <w:szCs w:val="21"/>
                <w:lang w:bidi="ar"/>
              </w:rPr>
            </w:pPr>
            <w:r>
              <w:rPr>
                <w:rFonts w:hint="eastAsia"/>
                <w:sz w:val="21"/>
                <w:szCs w:val="21"/>
              </w:rPr>
              <w:t>施工过程中对飞轮设备基础和支撑结构的施工质量严格要求，具备良好的抗震、抗振性能，严格控制安装误差，确保系统的正常运行和性能发挥。</w:t>
            </w:r>
          </w:p>
        </w:tc>
        <w:tc>
          <w:tcPr>
            <w:tcW w:w="4111" w:type="dxa"/>
            <w:vMerge w:val="continue"/>
            <w:tcBorders>
              <w:left w:val="single" w:color="000000" w:sz="4" w:space="0"/>
              <w:right w:val="single" w:color="000000" w:sz="4" w:space="0"/>
            </w:tcBorders>
            <w:shd w:val="clear" w:color="auto" w:fill="auto"/>
            <w:vAlign w:val="center"/>
          </w:tcPr>
          <w:p w14:paraId="3AB26C4C">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18489">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66F4E">
            <w:pPr>
              <w:jc w:val="center"/>
              <w:rPr>
                <w:rFonts w:hint="eastAsia" w:cs="宋体"/>
                <w:sz w:val="21"/>
                <w:szCs w:val="21"/>
              </w:rPr>
            </w:pPr>
          </w:p>
        </w:tc>
      </w:tr>
      <w:tr w14:paraId="51774ABC">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DD0ED">
            <w:pPr>
              <w:jc w:val="center"/>
              <w:textAlignment w:val="center"/>
              <w:rPr>
                <w:rFonts w:hint="eastAsia" w:cs="宋体"/>
                <w:kern w:val="0"/>
                <w:sz w:val="21"/>
                <w:szCs w:val="21"/>
                <w:lang w:bidi="ar"/>
              </w:rPr>
            </w:pPr>
            <w:r>
              <w:rPr>
                <w:rFonts w:hint="eastAsia" w:cs="宋体"/>
                <w:kern w:val="0"/>
                <w:sz w:val="21"/>
                <w:szCs w:val="21"/>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51D11">
            <w:pPr>
              <w:jc w:val="left"/>
              <w:rPr>
                <w:rFonts w:hint="eastAsia" w:cs="宋体"/>
                <w:kern w:val="0"/>
                <w:sz w:val="21"/>
                <w:szCs w:val="21"/>
                <w:lang w:bidi="ar"/>
              </w:rPr>
            </w:pPr>
            <w:r>
              <w:rPr>
                <w:sz w:val="21"/>
                <w:szCs w:val="21"/>
              </w:rPr>
              <w:t>飞轮主设备内部零部件对灰尘、</w:t>
            </w:r>
            <w:r>
              <w:rPr>
                <w:rFonts w:hint="eastAsia"/>
                <w:sz w:val="21"/>
                <w:szCs w:val="21"/>
              </w:rPr>
              <w:t>杂质等较为敏感，施工过程中不应在设备厂家不在场的情况下擅自拆卸破坏内部清洁度，影响设备性能和寿命。</w:t>
            </w:r>
          </w:p>
        </w:tc>
        <w:tc>
          <w:tcPr>
            <w:tcW w:w="4111" w:type="dxa"/>
            <w:vMerge w:val="continue"/>
            <w:tcBorders>
              <w:left w:val="single" w:color="000000" w:sz="4" w:space="0"/>
              <w:right w:val="single" w:color="000000" w:sz="4" w:space="0"/>
            </w:tcBorders>
            <w:shd w:val="clear" w:color="auto" w:fill="auto"/>
            <w:vAlign w:val="center"/>
          </w:tcPr>
          <w:p w14:paraId="4FA8F08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FBB8A">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A70D4">
            <w:pPr>
              <w:jc w:val="center"/>
              <w:rPr>
                <w:rFonts w:hint="eastAsia" w:cs="宋体"/>
                <w:sz w:val="21"/>
                <w:szCs w:val="21"/>
              </w:rPr>
            </w:pPr>
          </w:p>
        </w:tc>
      </w:tr>
      <w:tr w14:paraId="1ADD6324">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AE057">
            <w:pPr>
              <w:jc w:val="center"/>
              <w:textAlignment w:val="center"/>
              <w:rPr>
                <w:rFonts w:hint="eastAsia" w:cs="宋体"/>
                <w:kern w:val="0"/>
                <w:sz w:val="21"/>
                <w:szCs w:val="21"/>
                <w:lang w:bidi="ar"/>
              </w:rPr>
            </w:pPr>
            <w:r>
              <w:rPr>
                <w:rFonts w:hint="eastAsia" w:cs="宋体"/>
                <w:kern w:val="0"/>
                <w:sz w:val="21"/>
                <w:szCs w:val="21"/>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D65D6">
            <w:pPr>
              <w:jc w:val="left"/>
              <w:rPr>
                <w:rFonts w:hint="eastAsia" w:cs="宋体"/>
                <w:kern w:val="0"/>
                <w:sz w:val="21"/>
                <w:szCs w:val="21"/>
                <w:lang w:bidi="ar"/>
              </w:rPr>
            </w:pPr>
            <w:r>
              <w:rPr>
                <w:sz w:val="21"/>
                <w:szCs w:val="21"/>
              </w:rPr>
              <w:t>飞轮系统</w:t>
            </w:r>
            <w:r>
              <w:rPr>
                <w:rFonts w:hint="eastAsia"/>
                <w:sz w:val="21"/>
                <w:szCs w:val="21"/>
              </w:rPr>
              <w:t>的调试和检测环节较为复杂，需要专业的设备和技术人员进行精确的参数调整和性能测试，一般应由厂家主导完成，施工单位积极配合。</w:t>
            </w:r>
          </w:p>
        </w:tc>
        <w:tc>
          <w:tcPr>
            <w:tcW w:w="4111" w:type="dxa"/>
            <w:vMerge w:val="continue"/>
            <w:tcBorders>
              <w:left w:val="single" w:color="000000" w:sz="4" w:space="0"/>
              <w:right w:val="single" w:color="000000" w:sz="4" w:space="0"/>
            </w:tcBorders>
            <w:shd w:val="clear" w:color="auto" w:fill="auto"/>
            <w:vAlign w:val="center"/>
          </w:tcPr>
          <w:p w14:paraId="3038A2BA">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78733">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A69E6">
            <w:pPr>
              <w:jc w:val="center"/>
              <w:rPr>
                <w:rFonts w:hint="eastAsia" w:cs="宋体"/>
                <w:sz w:val="21"/>
                <w:szCs w:val="21"/>
              </w:rPr>
            </w:pPr>
          </w:p>
        </w:tc>
      </w:tr>
      <w:tr w14:paraId="2A49C07D">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1139A">
            <w:pPr>
              <w:jc w:val="center"/>
              <w:textAlignment w:val="center"/>
              <w:rPr>
                <w:rFonts w:hint="eastAsia" w:cs="宋体"/>
                <w:kern w:val="0"/>
                <w:sz w:val="21"/>
                <w:szCs w:val="21"/>
                <w:lang w:bidi="ar"/>
              </w:rPr>
            </w:pPr>
            <w:r>
              <w:rPr>
                <w:rFonts w:hint="eastAsia" w:cs="宋体"/>
                <w:kern w:val="0"/>
                <w:sz w:val="21"/>
                <w:szCs w:val="21"/>
              </w:rPr>
              <w:t>7）</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9C547">
            <w:pPr>
              <w:jc w:val="left"/>
              <w:rPr>
                <w:rFonts w:hint="eastAsia" w:cs="宋体"/>
                <w:kern w:val="0"/>
                <w:sz w:val="21"/>
                <w:szCs w:val="21"/>
                <w:lang w:bidi="ar"/>
              </w:rPr>
            </w:pPr>
            <w:r>
              <w:rPr>
                <w:sz w:val="21"/>
                <w:szCs w:val="21"/>
              </w:rPr>
              <w:t>飞轮主设备</w:t>
            </w:r>
            <w:r>
              <w:rPr>
                <w:rFonts w:hint="eastAsia"/>
                <w:sz w:val="21"/>
                <w:szCs w:val="21"/>
              </w:rPr>
              <w:t>在飞轮丼内安装就位后，施工单位应有在暴雨天气采取排水或防止水进入飞轮丼的措施。</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62A1EF76">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C6452">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1918D">
            <w:pPr>
              <w:jc w:val="center"/>
              <w:rPr>
                <w:rFonts w:hint="eastAsia" w:cs="宋体"/>
                <w:sz w:val="21"/>
                <w:szCs w:val="21"/>
              </w:rPr>
            </w:pPr>
          </w:p>
        </w:tc>
      </w:tr>
      <w:tr w14:paraId="724E2429">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A5552">
            <w:pPr>
              <w:jc w:val="center"/>
              <w:textAlignment w:val="center"/>
              <w:rPr>
                <w:rFonts w:hint="eastAsia" w:cs="宋体"/>
                <w:kern w:val="0"/>
                <w:sz w:val="21"/>
                <w:szCs w:val="21"/>
                <w:lang w:bidi="ar"/>
              </w:rPr>
            </w:pPr>
            <w:r>
              <w:rPr>
                <w:rFonts w:hint="eastAsia" w:cs="宋体"/>
                <w:kern w:val="0"/>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829CC">
            <w:pPr>
              <w:jc w:val="left"/>
              <w:rPr>
                <w:rFonts w:hint="eastAsia" w:cs="宋体"/>
                <w:kern w:val="0"/>
                <w:sz w:val="21"/>
                <w:szCs w:val="21"/>
                <w:lang w:bidi="ar"/>
              </w:rPr>
            </w:pPr>
            <w:r>
              <w:rPr>
                <w:rFonts w:hint="eastAsia" w:cs="宋体"/>
                <w:kern w:val="0"/>
                <w:sz w:val="21"/>
                <w:szCs w:val="21"/>
              </w:rPr>
              <w:t>压缩空气储能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82604">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7360E">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17F52">
            <w:pPr>
              <w:jc w:val="center"/>
              <w:rPr>
                <w:rFonts w:hint="eastAsia" w:cs="宋体"/>
                <w:sz w:val="21"/>
                <w:szCs w:val="21"/>
              </w:rPr>
            </w:pPr>
          </w:p>
        </w:tc>
      </w:tr>
      <w:tr w14:paraId="6863C256">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E1BA7">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798BB">
            <w:pPr>
              <w:jc w:val="left"/>
              <w:rPr>
                <w:rFonts w:hint="eastAsia" w:cs="宋体"/>
                <w:kern w:val="0"/>
                <w:sz w:val="21"/>
                <w:szCs w:val="21"/>
                <w:lang w:bidi="ar"/>
              </w:rPr>
            </w:pPr>
            <w:r>
              <w:rPr>
                <w:sz w:val="21"/>
                <w:szCs w:val="21"/>
              </w:rPr>
              <w:t>施工单位及运维单位应根据</w:t>
            </w:r>
            <w:r>
              <w:rPr>
                <w:rFonts w:hint="eastAsia"/>
                <w:sz w:val="21"/>
                <w:szCs w:val="21"/>
              </w:rPr>
              <w:t>压缩空气</w:t>
            </w:r>
            <w:r>
              <w:rPr>
                <w:sz w:val="21"/>
                <w:szCs w:val="21"/>
              </w:rPr>
              <w:t>储能设备特性，针对</w:t>
            </w:r>
            <w:r>
              <w:rPr>
                <w:rFonts w:hint="eastAsia"/>
                <w:sz w:val="21"/>
                <w:szCs w:val="21"/>
              </w:rPr>
              <w:t>压缩</w:t>
            </w:r>
            <w:r>
              <w:rPr>
                <w:sz w:val="21"/>
                <w:szCs w:val="21"/>
              </w:rPr>
              <w:t>空气场站火灾、</w:t>
            </w:r>
            <w:r>
              <w:rPr>
                <w:rFonts w:hint="eastAsia"/>
                <w:sz w:val="21"/>
                <w:szCs w:val="21"/>
              </w:rPr>
              <w:t>压缩空气非正常</w:t>
            </w:r>
            <w:r>
              <w:rPr>
                <w:sz w:val="21"/>
                <w:szCs w:val="21"/>
              </w:rPr>
              <w:t>泄露等突发事故建立应急预案，并进行过每年至少1次应急演练，应有文件记录可查验，建设方和总包方应监督实施。</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0E7B0738">
            <w:pPr>
              <w:jc w:val="left"/>
              <w:rPr>
                <w:rFonts w:hint="eastAsia"/>
                <w:sz w:val="21"/>
                <w:szCs w:val="21"/>
              </w:rPr>
            </w:pPr>
            <w:r>
              <w:rPr>
                <w:rFonts w:hint="eastAsia"/>
                <w:sz w:val="21"/>
                <w:szCs w:val="21"/>
              </w:rPr>
              <w:t>每项子目实得分根据现场实际情况按照标准分乘以相应系数进行评分：</w:t>
            </w:r>
          </w:p>
          <w:p w14:paraId="20D0952F">
            <w:pPr>
              <w:jc w:val="left"/>
              <w:rPr>
                <w:rFonts w:hint="eastAsia"/>
                <w:sz w:val="21"/>
                <w:szCs w:val="21"/>
              </w:rPr>
            </w:pPr>
            <w:r>
              <w:rPr>
                <w:rFonts w:hint="eastAsia"/>
                <w:sz w:val="21"/>
                <w:szCs w:val="21"/>
              </w:rPr>
              <w:t>1、措施到位，满足评价指标要求系数为1；</w:t>
            </w:r>
          </w:p>
          <w:p w14:paraId="7CF7FB7F">
            <w:pPr>
              <w:jc w:val="left"/>
              <w:rPr>
                <w:rFonts w:hint="eastAsia" w:cs="宋体"/>
                <w:sz w:val="21"/>
                <w:szCs w:val="21"/>
              </w:rPr>
            </w:pPr>
            <w:r>
              <w:rPr>
                <w:rFonts w:hint="eastAsia"/>
                <w:sz w:val="21"/>
                <w:szCs w:val="21"/>
              </w:rPr>
              <w:t>2、措施到位，基本满足评价指标要求系数按照0.5~0.9酌情选取；</w:t>
            </w:r>
          </w:p>
          <w:p w14:paraId="507825A8">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974E0">
            <w:pPr>
              <w:jc w:val="center"/>
              <w:rPr>
                <w:rFonts w:hint="eastAsia" w:cs="宋体"/>
                <w:sz w:val="21"/>
                <w:szCs w:val="21"/>
              </w:rPr>
            </w:pPr>
            <w:r>
              <w:rPr>
                <w:rFonts w:hint="eastAsia" w:cs="宋体"/>
                <w:sz w:val="21"/>
                <w:szCs w:val="21"/>
              </w:rPr>
              <w:t>1.3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57CDC">
            <w:pPr>
              <w:jc w:val="center"/>
              <w:rPr>
                <w:rFonts w:hint="eastAsia" w:cs="宋体"/>
                <w:sz w:val="21"/>
                <w:szCs w:val="21"/>
              </w:rPr>
            </w:pPr>
          </w:p>
        </w:tc>
      </w:tr>
      <w:tr w14:paraId="246667C2">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342D8">
            <w:pPr>
              <w:jc w:val="center"/>
              <w:textAlignment w:val="center"/>
              <w:rPr>
                <w:rFonts w:hint="eastAsia" w:cs="宋体"/>
                <w:kern w:val="0"/>
                <w:sz w:val="21"/>
                <w:szCs w:val="21"/>
                <w:lang w:bidi="ar"/>
              </w:rPr>
            </w:pPr>
            <w:r>
              <w:rPr>
                <w:rFonts w:hint="eastAsia" w:cs="宋体"/>
                <w:kern w:val="0"/>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83E00">
            <w:pPr>
              <w:jc w:val="left"/>
              <w:rPr>
                <w:rFonts w:hint="eastAsia" w:cs="宋体"/>
                <w:kern w:val="0"/>
                <w:sz w:val="21"/>
                <w:szCs w:val="21"/>
                <w:lang w:bidi="ar"/>
              </w:rPr>
            </w:pPr>
            <w:r>
              <w:rPr>
                <w:sz w:val="21"/>
                <w:szCs w:val="21"/>
              </w:rPr>
              <w:t>压缩空气调试阶段，人员应远离可能产生空气泄露的区域。</w:t>
            </w:r>
          </w:p>
        </w:tc>
        <w:tc>
          <w:tcPr>
            <w:tcW w:w="4111" w:type="dxa"/>
            <w:vMerge w:val="continue"/>
            <w:tcBorders>
              <w:left w:val="single" w:color="000000" w:sz="4" w:space="0"/>
              <w:right w:val="single" w:color="000000" w:sz="4" w:space="0"/>
            </w:tcBorders>
            <w:shd w:val="clear" w:color="auto" w:fill="auto"/>
            <w:vAlign w:val="center"/>
          </w:tcPr>
          <w:p w14:paraId="19FF3E3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1E6D8">
            <w:pPr>
              <w:jc w:val="center"/>
              <w:rPr>
                <w:rFonts w:hint="eastAsia" w:cs="宋体"/>
                <w:sz w:val="21"/>
                <w:szCs w:val="21"/>
              </w:rPr>
            </w:pPr>
            <w:r>
              <w:rPr>
                <w:rFonts w:hint="eastAsia" w:cs="宋体"/>
                <w:sz w:val="21"/>
                <w:szCs w:val="21"/>
              </w:rPr>
              <w:t>1.3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1CEC7">
            <w:pPr>
              <w:jc w:val="center"/>
              <w:rPr>
                <w:rFonts w:hint="eastAsia" w:cs="宋体"/>
                <w:sz w:val="21"/>
                <w:szCs w:val="21"/>
              </w:rPr>
            </w:pPr>
          </w:p>
        </w:tc>
      </w:tr>
      <w:tr w14:paraId="7AB60724">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7518D">
            <w:pPr>
              <w:jc w:val="center"/>
              <w:textAlignment w:val="center"/>
              <w:rPr>
                <w:rFonts w:hint="eastAsia" w:cs="宋体"/>
                <w:kern w:val="0"/>
                <w:sz w:val="21"/>
                <w:szCs w:val="21"/>
                <w:lang w:bidi="ar"/>
              </w:rPr>
            </w:pPr>
            <w:r>
              <w:rPr>
                <w:rFonts w:hint="eastAsia" w:cs="宋体"/>
                <w:kern w:val="0"/>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03A0E">
            <w:pPr>
              <w:jc w:val="left"/>
              <w:rPr>
                <w:rFonts w:hint="eastAsia" w:cs="宋体"/>
                <w:kern w:val="0"/>
                <w:sz w:val="21"/>
                <w:szCs w:val="21"/>
                <w:lang w:bidi="ar"/>
              </w:rPr>
            </w:pPr>
            <w:r>
              <w:rPr>
                <w:sz w:val="21"/>
                <w:szCs w:val="21"/>
              </w:rPr>
              <w:t>施工单位在施工前应编制压缩空气储能设施安全施工专篇，对高温高压危险点等危险源识别及安全防范进行系统梳理总结，采取有效措施。</w:t>
            </w:r>
          </w:p>
        </w:tc>
        <w:tc>
          <w:tcPr>
            <w:tcW w:w="4111" w:type="dxa"/>
            <w:vMerge w:val="continue"/>
            <w:tcBorders>
              <w:left w:val="single" w:color="000000" w:sz="4" w:space="0"/>
              <w:right w:val="single" w:color="000000" w:sz="4" w:space="0"/>
            </w:tcBorders>
            <w:shd w:val="clear" w:color="auto" w:fill="auto"/>
            <w:vAlign w:val="center"/>
          </w:tcPr>
          <w:p w14:paraId="72F00EE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81891">
            <w:pPr>
              <w:jc w:val="center"/>
              <w:rPr>
                <w:rFonts w:hint="eastAsia" w:cs="宋体"/>
                <w:sz w:val="21"/>
                <w:szCs w:val="21"/>
              </w:rPr>
            </w:pPr>
            <w:r>
              <w:rPr>
                <w:rFonts w:hint="eastAsia" w:cs="宋体"/>
                <w:sz w:val="21"/>
                <w:szCs w:val="21"/>
              </w:rPr>
              <w:t>1.2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3677D">
            <w:pPr>
              <w:jc w:val="center"/>
              <w:rPr>
                <w:rFonts w:hint="eastAsia" w:cs="宋体"/>
                <w:sz w:val="21"/>
                <w:szCs w:val="21"/>
              </w:rPr>
            </w:pPr>
          </w:p>
        </w:tc>
      </w:tr>
      <w:tr w14:paraId="71C3CB71">
        <w:tblPrEx>
          <w:tblCellMar>
            <w:top w:w="0" w:type="dxa"/>
            <w:left w:w="108" w:type="dxa"/>
            <w:bottom w:w="0" w:type="dxa"/>
            <w:right w:w="108" w:type="dxa"/>
          </w:tblCellMar>
        </w:tblPrEx>
        <w:trPr>
          <w:trHeight w:val="6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CDD06">
            <w:pPr>
              <w:jc w:val="center"/>
              <w:textAlignment w:val="center"/>
              <w:rPr>
                <w:rFonts w:hint="eastAsia" w:cs="宋体"/>
                <w:kern w:val="0"/>
                <w:sz w:val="21"/>
                <w:szCs w:val="21"/>
                <w:lang w:bidi="ar"/>
              </w:rPr>
            </w:pPr>
            <w:r>
              <w:rPr>
                <w:rFonts w:hint="eastAsia" w:cs="宋体"/>
                <w:kern w:val="0"/>
                <w:sz w:val="21"/>
                <w:szCs w:val="21"/>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80D38">
            <w:pPr>
              <w:jc w:val="left"/>
              <w:rPr>
                <w:rFonts w:hint="eastAsia" w:cs="宋体"/>
                <w:kern w:val="0"/>
                <w:sz w:val="21"/>
                <w:szCs w:val="21"/>
                <w:lang w:bidi="ar"/>
              </w:rPr>
            </w:pPr>
            <w:r>
              <w:rPr>
                <w:rFonts w:hint="eastAsia"/>
                <w:sz w:val="21"/>
                <w:szCs w:val="21"/>
              </w:rPr>
              <w:t>压缩空气储能系统，对管道的密封性和耐压性要求高，安装工艺复杂，对密封材料和施工工艺要求严格。</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501FCF3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E7CAD">
            <w:pPr>
              <w:jc w:val="center"/>
              <w:rPr>
                <w:rFonts w:hint="eastAsia" w:cs="宋体"/>
                <w:sz w:val="21"/>
                <w:szCs w:val="21"/>
              </w:rPr>
            </w:pPr>
            <w:r>
              <w:rPr>
                <w:rFonts w:hint="eastAsia" w:cs="宋体"/>
                <w:sz w:val="21"/>
                <w:szCs w:val="21"/>
              </w:rPr>
              <w:t>1.2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1DC0E">
            <w:pPr>
              <w:jc w:val="center"/>
              <w:rPr>
                <w:rFonts w:hint="eastAsia" w:cs="宋体"/>
                <w:sz w:val="21"/>
                <w:szCs w:val="21"/>
              </w:rPr>
            </w:pPr>
          </w:p>
        </w:tc>
      </w:tr>
      <w:tr w14:paraId="29B0344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09D64">
            <w:pPr>
              <w:jc w:val="center"/>
              <w:textAlignment w:val="center"/>
              <w:rPr>
                <w:rFonts w:hint="eastAsia" w:cs="宋体"/>
                <w:kern w:val="0"/>
                <w:sz w:val="21"/>
                <w:szCs w:val="21"/>
                <w:lang w:bidi="ar"/>
              </w:rPr>
            </w:pPr>
            <w:r>
              <w:rPr>
                <w:rFonts w:hint="eastAsia" w:cs="宋体"/>
                <w:kern w:val="0"/>
                <w:sz w:val="21"/>
                <w:szCs w:val="21"/>
                <w:lang w:bidi="ar"/>
              </w:rPr>
              <w:t xml:space="preserve">6.3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30289">
            <w:pPr>
              <w:jc w:val="left"/>
              <w:textAlignment w:val="center"/>
              <w:rPr>
                <w:rFonts w:hint="eastAsia" w:cs="宋体"/>
                <w:kern w:val="0"/>
                <w:sz w:val="21"/>
                <w:szCs w:val="21"/>
                <w:lang w:bidi="ar"/>
              </w:rPr>
            </w:pPr>
            <w:r>
              <w:rPr>
                <w:rFonts w:hint="eastAsia" w:cs="宋体"/>
                <w:kern w:val="0"/>
                <w:sz w:val="21"/>
                <w:szCs w:val="21"/>
                <w:lang w:bidi="ar"/>
              </w:rPr>
              <w:t>资源节约</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50954">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3A0E5">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0790A">
            <w:pPr>
              <w:jc w:val="left"/>
              <w:textAlignment w:val="center"/>
              <w:rPr>
                <w:rFonts w:hint="eastAsia" w:cs="宋体"/>
                <w:kern w:val="0"/>
                <w:sz w:val="21"/>
                <w:szCs w:val="21"/>
                <w:lang w:bidi="ar"/>
              </w:rPr>
            </w:pPr>
          </w:p>
        </w:tc>
      </w:tr>
      <w:tr w14:paraId="684B4C00">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136E4">
            <w:pPr>
              <w:jc w:val="center"/>
              <w:textAlignment w:val="center"/>
              <w:rPr>
                <w:rFonts w:hint="eastAsia" w:cs="宋体"/>
                <w:kern w:val="0"/>
                <w:sz w:val="21"/>
                <w:szCs w:val="21"/>
                <w:lang w:bidi="ar"/>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3B925">
            <w:pPr>
              <w:jc w:val="left"/>
              <w:textAlignment w:val="center"/>
              <w:rPr>
                <w:rFonts w:hint="eastAsia" w:cs="宋体"/>
                <w:kern w:val="0"/>
                <w:sz w:val="21"/>
                <w:szCs w:val="21"/>
                <w:lang w:bidi="ar"/>
              </w:rPr>
            </w:pPr>
            <w:r>
              <w:rPr>
                <w:rFonts w:hint="eastAsia" w:cs="宋体"/>
                <w:kern w:val="0"/>
                <w:sz w:val="21"/>
                <w:szCs w:val="21"/>
                <w:lang w:bidi="ar"/>
              </w:rPr>
              <w:t>Ⅰ  材料节约与循环利用通用项</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2A4FF">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09B55">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3FDC6">
            <w:pPr>
              <w:jc w:val="left"/>
              <w:textAlignment w:val="center"/>
              <w:rPr>
                <w:rFonts w:hint="eastAsia" w:cs="宋体"/>
                <w:kern w:val="0"/>
                <w:sz w:val="21"/>
                <w:szCs w:val="21"/>
                <w:lang w:bidi="ar"/>
              </w:rPr>
            </w:pPr>
          </w:p>
        </w:tc>
      </w:tr>
      <w:tr w14:paraId="0ACFE81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F8940">
            <w:pPr>
              <w:jc w:val="center"/>
              <w:textAlignment w:val="center"/>
              <w:rPr>
                <w:rFonts w:hint="eastAsia" w:cs="宋体"/>
                <w:kern w:val="0"/>
                <w:sz w:val="21"/>
                <w:szCs w:val="21"/>
                <w:lang w:bidi="ar"/>
              </w:rPr>
            </w:pPr>
            <w:r>
              <w:rPr>
                <w:rFonts w:hint="eastAsia" w:cs="宋体"/>
                <w:kern w:val="0"/>
                <w:sz w:val="21"/>
                <w:szCs w:val="21"/>
                <w:lang w:bidi="ar"/>
              </w:rPr>
              <w:t>6.3.1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1204A">
            <w:pPr>
              <w:jc w:val="left"/>
              <w:textAlignment w:val="center"/>
              <w:rPr>
                <w:rFonts w:hint="eastAsia" w:cs="宋体"/>
                <w:kern w:val="0"/>
                <w:sz w:val="21"/>
                <w:szCs w:val="21"/>
                <w:lang w:bidi="ar"/>
              </w:rPr>
            </w:pPr>
            <w:r>
              <w:rPr>
                <w:rFonts w:hint="eastAsia" w:cs="宋体"/>
                <w:kern w:val="0"/>
                <w:sz w:val="21"/>
                <w:szCs w:val="21"/>
                <w:lang w:bidi="ar"/>
              </w:rPr>
              <w:t>通用项</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067A9">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5A1C1">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B170B">
            <w:pPr>
              <w:jc w:val="left"/>
              <w:textAlignment w:val="center"/>
              <w:rPr>
                <w:rFonts w:hint="eastAsia" w:cs="宋体"/>
                <w:kern w:val="0"/>
                <w:sz w:val="21"/>
                <w:szCs w:val="21"/>
                <w:lang w:bidi="ar"/>
              </w:rPr>
            </w:pPr>
          </w:p>
        </w:tc>
      </w:tr>
      <w:tr w14:paraId="5CBA8C6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7DE85">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0938B">
            <w:pPr>
              <w:jc w:val="left"/>
              <w:textAlignment w:val="center"/>
              <w:rPr>
                <w:rFonts w:hint="eastAsia" w:cs="宋体"/>
                <w:kern w:val="0"/>
                <w:sz w:val="21"/>
                <w:szCs w:val="21"/>
                <w:lang w:bidi="ar"/>
              </w:rPr>
            </w:pPr>
            <w:r>
              <w:rPr>
                <w:rFonts w:hint="eastAsia" w:cs="宋体"/>
                <w:kern w:val="0"/>
                <w:sz w:val="21"/>
                <w:szCs w:val="21"/>
                <w:lang w:bidi="ar"/>
              </w:rPr>
              <w:t>材料节约措施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925AC">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6F9CD">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9D76F">
            <w:pPr>
              <w:jc w:val="left"/>
              <w:textAlignment w:val="center"/>
              <w:rPr>
                <w:rFonts w:hint="eastAsia" w:cs="宋体"/>
                <w:kern w:val="0"/>
                <w:sz w:val="21"/>
                <w:szCs w:val="21"/>
                <w:lang w:bidi="ar"/>
              </w:rPr>
            </w:pPr>
          </w:p>
        </w:tc>
      </w:tr>
      <w:tr w14:paraId="044A2053">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81830">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4D70E">
            <w:pPr>
              <w:jc w:val="left"/>
              <w:textAlignment w:val="center"/>
              <w:rPr>
                <w:rFonts w:hint="eastAsia" w:cs="宋体"/>
                <w:kern w:val="0"/>
                <w:sz w:val="21"/>
                <w:szCs w:val="21"/>
                <w:lang w:bidi="ar"/>
              </w:rPr>
            </w:pPr>
            <w:r>
              <w:rPr>
                <w:sz w:val="21"/>
                <w:szCs w:val="21"/>
              </w:rPr>
              <w:t>材料选用应科学合理。应优先选用绿色、环保材料，宜优先选用建筑垃圾制作的材料。</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B2A67">
            <w:pPr>
              <w:jc w:val="left"/>
              <w:textAlignment w:val="center"/>
              <w:rPr>
                <w:rFonts w:hint="eastAsia" w:cs="宋体"/>
                <w:kern w:val="0"/>
                <w:sz w:val="21"/>
                <w:szCs w:val="21"/>
                <w:lang w:bidi="ar"/>
              </w:rPr>
            </w:pPr>
            <w:r>
              <w:rPr>
                <w:rFonts w:hint="eastAsia"/>
                <w:sz w:val="21"/>
                <w:szCs w:val="21"/>
              </w:rPr>
              <w:t>未优先选用</w:t>
            </w:r>
            <w:r>
              <w:rPr>
                <w:sz w:val="21"/>
                <w:szCs w:val="21"/>
              </w:rPr>
              <w:t>绿色、环保材料</w:t>
            </w:r>
            <w:r>
              <w:rPr>
                <w:rFonts w:hint="eastAsia"/>
                <w:sz w:val="21"/>
                <w:szCs w:val="21"/>
              </w:rPr>
              <w:t>，未</w:t>
            </w:r>
            <w:r>
              <w:rPr>
                <w:sz w:val="21"/>
                <w:szCs w:val="21"/>
              </w:rPr>
              <w:t>优先选用建筑垃圾制作的材料</w:t>
            </w:r>
            <w:r>
              <w:rPr>
                <w:rFonts w:hint="eastAsia"/>
                <w:sz w:val="21"/>
                <w:szCs w:val="21"/>
              </w:rPr>
              <w:t>，扣1分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65DB3">
            <w:pPr>
              <w:jc w:val="center"/>
              <w:textAlignment w:val="center"/>
              <w:rPr>
                <w:rFonts w:hint="eastAsia" w:cs="宋体"/>
                <w:kern w:val="0"/>
                <w:sz w:val="21"/>
                <w:szCs w:val="21"/>
                <w:lang w:bidi="ar"/>
              </w:rPr>
            </w:pPr>
            <w:r>
              <w:rPr>
                <w:rFonts w:hint="eastAsia" w:cs="宋体"/>
                <w:kern w:val="0"/>
                <w:sz w:val="21"/>
                <w:szCs w:val="21"/>
                <w:lang w:bidi="ar"/>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58348">
            <w:pPr>
              <w:jc w:val="left"/>
              <w:textAlignment w:val="center"/>
              <w:rPr>
                <w:rFonts w:hint="eastAsia" w:cs="宋体"/>
                <w:kern w:val="0"/>
                <w:sz w:val="21"/>
                <w:szCs w:val="21"/>
                <w:lang w:bidi="ar"/>
              </w:rPr>
            </w:pPr>
          </w:p>
        </w:tc>
      </w:tr>
      <w:tr w14:paraId="18A1C42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6C85A">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0E104">
            <w:pPr>
              <w:jc w:val="left"/>
              <w:textAlignment w:val="center"/>
              <w:rPr>
                <w:rFonts w:hint="eastAsia" w:cs="宋体"/>
                <w:kern w:val="0"/>
                <w:sz w:val="21"/>
                <w:szCs w:val="21"/>
                <w:lang w:bidi="ar"/>
              </w:rPr>
            </w:pPr>
            <w:r>
              <w:rPr>
                <w:sz w:val="21"/>
                <w:szCs w:val="21"/>
              </w:rPr>
              <w:t>制定合理的材料进场计划，精细化材料进场及仓储管理。应根据工程施工进度，合理安排材料采购、进场的时间和批次；应制定并严格执行材料领用</w:t>
            </w:r>
            <w:r>
              <w:rPr>
                <w:rFonts w:hint="eastAsia"/>
                <w:sz w:val="21"/>
                <w:szCs w:val="21"/>
              </w:rPr>
              <w:t>制度</w:t>
            </w:r>
            <w:r>
              <w:rPr>
                <w:sz w:val="21"/>
                <w:szCs w:val="21"/>
              </w:rPr>
              <w:t>，教育</w:t>
            </w:r>
            <w:r>
              <w:rPr>
                <w:rFonts w:hint="eastAsia"/>
                <w:sz w:val="21"/>
                <w:szCs w:val="21"/>
              </w:rPr>
              <w:t>并监督</w:t>
            </w:r>
            <w:r>
              <w:rPr>
                <w:sz w:val="21"/>
                <w:szCs w:val="21"/>
              </w:rPr>
              <w:t>施工人员正确合理使用材料。</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51265">
            <w:pPr>
              <w:jc w:val="left"/>
              <w:textAlignment w:val="center"/>
              <w:rPr>
                <w:rFonts w:hint="eastAsia" w:cs="宋体"/>
                <w:kern w:val="0"/>
                <w:sz w:val="21"/>
                <w:szCs w:val="21"/>
                <w:lang w:bidi="ar"/>
              </w:rPr>
            </w:pPr>
            <w:r>
              <w:rPr>
                <w:rFonts w:hint="eastAsia" w:cs="宋体"/>
                <w:kern w:val="0"/>
                <w:sz w:val="21"/>
                <w:szCs w:val="21"/>
                <w:lang w:bidi="ar"/>
              </w:rPr>
              <w:t>未制定合理的材料进场计划，未</w:t>
            </w:r>
            <w:r>
              <w:rPr>
                <w:sz w:val="21"/>
                <w:szCs w:val="21"/>
              </w:rPr>
              <w:t>安排合理材料采购、进场的时间和批次</w:t>
            </w:r>
            <w:r>
              <w:rPr>
                <w:rFonts w:hint="eastAsia"/>
                <w:sz w:val="21"/>
                <w:szCs w:val="21"/>
              </w:rPr>
              <w:t>，扣0.5分；未</w:t>
            </w:r>
            <w:r>
              <w:rPr>
                <w:sz w:val="21"/>
                <w:szCs w:val="21"/>
              </w:rPr>
              <w:t>制定并严格执行材料领用</w:t>
            </w:r>
            <w:r>
              <w:rPr>
                <w:rFonts w:hint="eastAsia"/>
                <w:sz w:val="21"/>
                <w:szCs w:val="21"/>
              </w:rPr>
              <w:t>制度，扣0.5分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F9286">
            <w:pPr>
              <w:jc w:val="center"/>
              <w:textAlignment w:val="center"/>
              <w:rPr>
                <w:rFonts w:hint="eastAsia" w:cs="宋体"/>
                <w:kern w:val="0"/>
                <w:sz w:val="21"/>
                <w:szCs w:val="21"/>
                <w:lang w:bidi="ar"/>
              </w:rPr>
            </w:pPr>
            <w:r>
              <w:rPr>
                <w:rFonts w:hint="eastAsia" w:cs="宋体"/>
                <w:kern w:val="0"/>
                <w:sz w:val="21"/>
                <w:szCs w:val="21"/>
                <w:lang w:bidi="ar"/>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4CC64">
            <w:pPr>
              <w:jc w:val="left"/>
              <w:textAlignment w:val="center"/>
              <w:rPr>
                <w:rFonts w:hint="eastAsia" w:cs="宋体"/>
                <w:kern w:val="0"/>
                <w:sz w:val="21"/>
                <w:szCs w:val="21"/>
                <w:lang w:bidi="ar"/>
              </w:rPr>
            </w:pPr>
          </w:p>
        </w:tc>
      </w:tr>
      <w:tr w14:paraId="08F8BF9D">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F3CB4">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876C5">
            <w:pPr>
              <w:jc w:val="left"/>
              <w:textAlignment w:val="center"/>
              <w:rPr>
                <w:rFonts w:hint="eastAsia" w:cs="宋体"/>
                <w:kern w:val="0"/>
                <w:sz w:val="21"/>
                <w:szCs w:val="21"/>
                <w:lang w:bidi="ar"/>
              </w:rPr>
            </w:pPr>
            <w:r>
              <w:rPr>
                <w:sz w:val="21"/>
                <w:szCs w:val="21"/>
              </w:rPr>
              <w:t>制定材料节约技术方案及措施。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131F2">
            <w:pPr>
              <w:jc w:val="left"/>
              <w:textAlignment w:val="center"/>
              <w:rPr>
                <w:rFonts w:hint="eastAsia" w:cs="宋体"/>
                <w:kern w:val="0"/>
                <w:sz w:val="21"/>
                <w:szCs w:val="21"/>
                <w:lang w:bidi="ar"/>
              </w:rPr>
            </w:pPr>
            <w:r>
              <w:rPr>
                <w:rFonts w:hint="eastAsia" w:cs="宋体"/>
                <w:kern w:val="0"/>
                <w:sz w:val="21"/>
                <w:szCs w:val="21"/>
                <w:lang w:bidi="ar"/>
              </w:rPr>
              <w:t>未制定</w:t>
            </w:r>
            <w:r>
              <w:rPr>
                <w:sz w:val="21"/>
                <w:szCs w:val="21"/>
              </w:rPr>
              <w:t>材料节约技术方案及措施</w:t>
            </w:r>
            <w:r>
              <w:rPr>
                <w:rFonts w:hint="eastAsia"/>
                <w:sz w:val="21"/>
                <w:szCs w:val="21"/>
              </w:rPr>
              <w:t>，扣1分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5C43D">
            <w:pPr>
              <w:jc w:val="center"/>
              <w:textAlignment w:val="center"/>
              <w:rPr>
                <w:rFonts w:hint="eastAsia" w:cs="宋体"/>
                <w:kern w:val="0"/>
                <w:sz w:val="21"/>
                <w:szCs w:val="21"/>
                <w:lang w:bidi="ar"/>
              </w:rPr>
            </w:pPr>
            <w:r>
              <w:rPr>
                <w:rFonts w:hint="eastAsia" w:cs="宋体"/>
                <w:kern w:val="0"/>
                <w:sz w:val="21"/>
                <w:szCs w:val="21"/>
                <w:lang w:bidi="ar"/>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64241">
            <w:pPr>
              <w:jc w:val="left"/>
              <w:textAlignment w:val="center"/>
              <w:rPr>
                <w:rFonts w:hint="eastAsia" w:cs="宋体"/>
                <w:kern w:val="0"/>
                <w:sz w:val="21"/>
                <w:szCs w:val="21"/>
                <w:lang w:bidi="ar"/>
              </w:rPr>
            </w:pPr>
          </w:p>
        </w:tc>
      </w:tr>
      <w:tr w14:paraId="75E01E9F">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B9139">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F117A">
            <w:pPr>
              <w:jc w:val="left"/>
              <w:textAlignment w:val="center"/>
              <w:rPr>
                <w:rFonts w:hint="eastAsia" w:cs="宋体"/>
                <w:kern w:val="0"/>
                <w:sz w:val="21"/>
                <w:szCs w:val="21"/>
                <w:lang w:bidi="ar"/>
              </w:rPr>
            </w:pPr>
            <w:r>
              <w:rPr>
                <w:sz w:val="21"/>
                <w:szCs w:val="21"/>
              </w:rPr>
              <w:t>优化材料的配料、下料方案，材料节约量应比定额损耗量低30%。</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E19A9">
            <w:pPr>
              <w:jc w:val="left"/>
              <w:textAlignment w:val="center"/>
              <w:rPr>
                <w:rFonts w:hint="eastAsia" w:cs="宋体"/>
                <w:kern w:val="0"/>
                <w:sz w:val="21"/>
                <w:szCs w:val="21"/>
                <w:lang w:bidi="ar"/>
              </w:rPr>
            </w:pPr>
            <w:r>
              <w:rPr>
                <w:sz w:val="21"/>
                <w:szCs w:val="21"/>
              </w:rPr>
              <w:t>材料节约量比定额损耗量</w:t>
            </w:r>
            <w:r>
              <w:rPr>
                <w:rFonts w:hint="eastAsia"/>
                <w:sz w:val="21"/>
                <w:szCs w:val="21"/>
              </w:rPr>
              <w:t>高于</w:t>
            </w:r>
            <w:r>
              <w:rPr>
                <w:sz w:val="21"/>
                <w:szCs w:val="21"/>
              </w:rPr>
              <w:t>30%</w:t>
            </w:r>
            <w:r>
              <w:rPr>
                <w:rFonts w:hint="eastAsia"/>
                <w:sz w:val="21"/>
                <w:szCs w:val="21"/>
              </w:rPr>
              <w:t>的，扣1分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B45E8">
            <w:pPr>
              <w:jc w:val="center"/>
              <w:textAlignment w:val="center"/>
              <w:rPr>
                <w:rFonts w:hint="eastAsia" w:cs="宋体"/>
                <w:kern w:val="0"/>
                <w:sz w:val="21"/>
                <w:szCs w:val="21"/>
                <w:lang w:bidi="ar"/>
              </w:rPr>
            </w:pPr>
            <w:r>
              <w:rPr>
                <w:rFonts w:hint="eastAsia" w:cs="宋体"/>
                <w:kern w:val="0"/>
                <w:sz w:val="21"/>
                <w:szCs w:val="21"/>
                <w:lang w:bidi="ar"/>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5A322">
            <w:pPr>
              <w:jc w:val="left"/>
              <w:textAlignment w:val="center"/>
              <w:rPr>
                <w:rFonts w:hint="eastAsia" w:cs="宋体"/>
                <w:kern w:val="0"/>
                <w:sz w:val="21"/>
                <w:szCs w:val="21"/>
                <w:lang w:bidi="ar"/>
              </w:rPr>
            </w:pPr>
          </w:p>
        </w:tc>
      </w:tr>
      <w:tr w14:paraId="7ED6DF9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3C0B5">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4BED6">
            <w:pPr>
              <w:jc w:val="left"/>
              <w:textAlignment w:val="center"/>
              <w:rPr>
                <w:rFonts w:hint="eastAsia" w:cs="宋体"/>
                <w:kern w:val="0"/>
                <w:sz w:val="21"/>
                <w:szCs w:val="21"/>
                <w:lang w:bidi="ar"/>
              </w:rPr>
            </w:pPr>
            <w:r>
              <w:rPr>
                <w:rFonts w:hint="eastAsia" w:cs="宋体"/>
                <w:kern w:val="0"/>
                <w:sz w:val="21"/>
                <w:szCs w:val="21"/>
                <w:lang w:bidi="ar"/>
              </w:rPr>
              <w:t>材料循环再利用措施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A04D7">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87191">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989C4">
            <w:pPr>
              <w:jc w:val="left"/>
              <w:textAlignment w:val="center"/>
              <w:rPr>
                <w:rFonts w:hint="eastAsia" w:cs="宋体"/>
                <w:kern w:val="0"/>
                <w:sz w:val="21"/>
                <w:szCs w:val="21"/>
                <w:lang w:bidi="ar"/>
              </w:rPr>
            </w:pPr>
          </w:p>
        </w:tc>
      </w:tr>
      <w:tr w14:paraId="4A0BE88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DB22D">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932E8">
            <w:pPr>
              <w:jc w:val="left"/>
              <w:textAlignment w:val="center"/>
              <w:rPr>
                <w:rFonts w:hint="eastAsia" w:cs="宋体"/>
                <w:kern w:val="0"/>
                <w:sz w:val="21"/>
                <w:szCs w:val="21"/>
                <w:lang w:bidi="ar"/>
              </w:rPr>
            </w:pPr>
            <w:r>
              <w:rPr>
                <w:sz w:val="21"/>
                <w:szCs w:val="21"/>
              </w:rPr>
              <w:t>选用耐用、维护与拆卸方便的周转材料，选用可重复使用的材料比重应大于70%</w:t>
            </w:r>
            <w:r>
              <w:rPr>
                <w:rFonts w:hint="eastAsia"/>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2977D">
            <w:pPr>
              <w:jc w:val="left"/>
              <w:textAlignment w:val="center"/>
              <w:rPr>
                <w:rFonts w:hint="eastAsia" w:cs="宋体"/>
                <w:kern w:val="0"/>
                <w:sz w:val="21"/>
                <w:szCs w:val="21"/>
                <w:lang w:bidi="ar"/>
              </w:rPr>
            </w:pPr>
            <w:r>
              <w:rPr>
                <w:sz w:val="21"/>
                <w:szCs w:val="21"/>
              </w:rPr>
              <w:t>选用可重复使用的材料比重</w:t>
            </w:r>
            <w:r>
              <w:rPr>
                <w:rFonts w:hint="eastAsia"/>
                <w:sz w:val="21"/>
                <w:szCs w:val="21"/>
              </w:rPr>
              <w:t>不</w:t>
            </w:r>
            <w:r>
              <w:rPr>
                <w:sz w:val="21"/>
                <w:szCs w:val="21"/>
              </w:rPr>
              <w:t>大于70%</w:t>
            </w:r>
            <w:r>
              <w:rPr>
                <w:rFonts w:hint="eastAsia"/>
                <w:sz w:val="21"/>
                <w:szCs w:val="21"/>
              </w:rPr>
              <w:t>的，扣0.5分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A92DD">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11D3F">
            <w:pPr>
              <w:jc w:val="left"/>
              <w:textAlignment w:val="center"/>
              <w:rPr>
                <w:rFonts w:hint="eastAsia" w:cs="宋体"/>
                <w:kern w:val="0"/>
                <w:sz w:val="21"/>
                <w:szCs w:val="21"/>
                <w:lang w:bidi="ar"/>
              </w:rPr>
            </w:pPr>
          </w:p>
        </w:tc>
      </w:tr>
      <w:tr w14:paraId="632C805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5744A">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B1985">
            <w:pPr>
              <w:jc w:val="left"/>
              <w:textAlignment w:val="center"/>
              <w:rPr>
                <w:rFonts w:hint="eastAsia" w:cs="宋体"/>
                <w:kern w:val="0"/>
                <w:sz w:val="21"/>
                <w:szCs w:val="21"/>
                <w:lang w:bidi="ar"/>
              </w:rPr>
            </w:pPr>
            <w:r>
              <w:rPr>
                <w:sz w:val="21"/>
                <w:szCs w:val="21"/>
              </w:rPr>
              <w:t>应选用可重复周转使用的模板、脚手架等材料。</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EC69A">
            <w:pPr>
              <w:jc w:val="left"/>
              <w:textAlignment w:val="center"/>
              <w:rPr>
                <w:rFonts w:hint="eastAsia" w:cs="宋体"/>
                <w:kern w:val="0"/>
                <w:sz w:val="21"/>
                <w:szCs w:val="21"/>
                <w:lang w:bidi="ar"/>
              </w:rPr>
            </w:pPr>
            <w:r>
              <w:rPr>
                <w:sz w:val="21"/>
                <w:szCs w:val="21"/>
              </w:rPr>
              <w:t>模板、脚手架等材料</w:t>
            </w:r>
            <w:r>
              <w:rPr>
                <w:rFonts w:hint="eastAsia"/>
                <w:sz w:val="21"/>
                <w:szCs w:val="21"/>
              </w:rPr>
              <w:t>未选用</w:t>
            </w:r>
            <w:r>
              <w:rPr>
                <w:sz w:val="21"/>
                <w:szCs w:val="21"/>
              </w:rPr>
              <w:t>可重复周转使用</w:t>
            </w:r>
            <w:r>
              <w:rPr>
                <w:rFonts w:hint="eastAsia"/>
                <w:sz w:val="21"/>
                <w:szCs w:val="21"/>
              </w:rPr>
              <w:t>的材料，扣0.5分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5E021">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43830">
            <w:pPr>
              <w:jc w:val="left"/>
              <w:textAlignment w:val="center"/>
              <w:rPr>
                <w:rFonts w:hint="eastAsia" w:cs="宋体"/>
                <w:kern w:val="0"/>
                <w:sz w:val="21"/>
                <w:szCs w:val="21"/>
                <w:lang w:bidi="ar"/>
              </w:rPr>
            </w:pPr>
          </w:p>
        </w:tc>
      </w:tr>
      <w:tr w14:paraId="1F28A61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4BA49">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B6833">
            <w:pPr>
              <w:jc w:val="left"/>
              <w:textAlignment w:val="center"/>
              <w:rPr>
                <w:rFonts w:hint="eastAsia" w:cs="宋体"/>
                <w:kern w:val="0"/>
                <w:sz w:val="21"/>
                <w:szCs w:val="21"/>
                <w:lang w:bidi="ar"/>
              </w:rPr>
            </w:pPr>
            <w:r>
              <w:rPr>
                <w:sz w:val="21"/>
                <w:szCs w:val="21"/>
              </w:rPr>
              <w:t>办公、生活区</w:t>
            </w:r>
            <w:r>
              <w:rPr>
                <w:rFonts w:hint="eastAsia"/>
                <w:sz w:val="21"/>
                <w:szCs w:val="21"/>
              </w:rPr>
              <w:t>临建设施宜预制装配化。</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932AA">
            <w:pPr>
              <w:jc w:val="left"/>
              <w:textAlignment w:val="center"/>
              <w:rPr>
                <w:rFonts w:hint="eastAsia" w:cs="宋体"/>
                <w:kern w:val="0"/>
                <w:sz w:val="21"/>
                <w:szCs w:val="21"/>
                <w:lang w:bidi="ar"/>
              </w:rPr>
            </w:pPr>
            <w:r>
              <w:rPr>
                <w:sz w:val="21"/>
                <w:szCs w:val="21"/>
              </w:rPr>
              <w:t>办公、生活区</w:t>
            </w:r>
            <w:r>
              <w:rPr>
                <w:rFonts w:hint="eastAsia"/>
                <w:sz w:val="21"/>
                <w:szCs w:val="21"/>
              </w:rPr>
              <w:t>临建设施未采用预制装配化，扣0.5分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957D6">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B6970">
            <w:pPr>
              <w:jc w:val="left"/>
              <w:textAlignment w:val="center"/>
              <w:rPr>
                <w:rFonts w:hint="eastAsia" w:cs="宋体"/>
                <w:kern w:val="0"/>
                <w:sz w:val="21"/>
                <w:szCs w:val="21"/>
                <w:lang w:bidi="ar"/>
              </w:rPr>
            </w:pPr>
          </w:p>
        </w:tc>
      </w:tr>
      <w:tr w14:paraId="2163563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95165">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47CA3">
            <w:pPr>
              <w:jc w:val="left"/>
              <w:textAlignment w:val="center"/>
              <w:rPr>
                <w:rFonts w:hint="eastAsia" w:cs="宋体"/>
                <w:kern w:val="0"/>
                <w:sz w:val="21"/>
                <w:szCs w:val="21"/>
                <w:lang w:bidi="ar"/>
              </w:rPr>
            </w:pPr>
            <w:r>
              <w:rPr>
                <w:sz w:val="21"/>
                <w:szCs w:val="21"/>
              </w:rPr>
              <w:t>安全文明施工及防护设施应采用可回收材料制作，实现标准化、可拆迁重复利用。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E5740">
            <w:pPr>
              <w:jc w:val="left"/>
              <w:textAlignment w:val="center"/>
              <w:rPr>
                <w:rFonts w:hint="eastAsia" w:cs="宋体"/>
                <w:kern w:val="0"/>
                <w:sz w:val="21"/>
                <w:szCs w:val="21"/>
                <w:lang w:bidi="ar"/>
              </w:rPr>
            </w:pPr>
            <w:r>
              <w:rPr>
                <w:sz w:val="21"/>
                <w:szCs w:val="21"/>
              </w:rPr>
              <w:t>安全文明施工及防护设施</w:t>
            </w:r>
            <w:r>
              <w:rPr>
                <w:rFonts w:hint="eastAsia"/>
                <w:sz w:val="21"/>
                <w:szCs w:val="21"/>
              </w:rPr>
              <w:t>未</w:t>
            </w:r>
            <w:r>
              <w:rPr>
                <w:sz w:val="21"/>
                <w:szCs w:val="21"/>
              </w:rPr>
              <w:t>采用可回收材料制作</w:t>
            </w:r>
            <w:r>
              <w:rPr>
                <w:rFonts w:hint="eastAsia"/>
                <w:sz w:val="21"/>
                <w:szCs w:val="21"/>
              </w:rPr>
              <w:t>，扣0.5分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60A85">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E42BE">
            <w:pPr>
              <w:jc w:val="left"/>
              <w:textAlignment w:val="center"/>
              <w:rPr>
                <w:rFonts w:hint="eastAsia" w:cs="宋体"/>
                <w:kern w:val="0"/>
                <w:sz w:val="21"/>
                <w:szCs w:val="21"/>
                <w:lang w:bidi="ar"/>
              </w:rPr>
            </w:pPr>
          </w:p>
        </w:tc>
      </w:tr>
      <w:tr w14:paraId="47848D8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FDBCA">
            <w:pPr>
              <w:jc w:val="center"/>
              <w:textAlignment w:val="center"/>
              <w:rPr>
                <w:rFonts w:hint="eastAsia" w:cs="宋体"/>
                <w:kern w:val="0"/>
                <w:sz w:val="21"/>
                <w:szCs w:val="21"/>
                <w:lang w:bidi="ar"/>
              </w:rPr>
            </w:pPr>
            <w:r>
              <w:rPr>
                <w:rFonts w:hint="eastAsia" w:cs="宋体"/>
                <w:kern w:val="0"/>
                <w:sz w:val="21"/>
                <w:szCs w:val="21"/>
                <w:lang w:bidi="ar"/>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FC3BA">
            <w:pPr>
              <w:jc w:val="left"/>
              <w:textAlignment w:val="center"/>
              <w:rPr>
                <w:rFonts w:hint="eastAsia" w:cs="宋体"/>
                <w:kern w:val="0"/>
                <w:sz w:val="21"/>
                <w:szCs w:val="21"/>
                <w:lang w:bidi="ar"/>
              </w:rPr>
            </w:pPr>
            <w:r>
              <w:rPr>
                <w:sz w:val="21"/>
                <w:szCs w:val="21"/>
              </w:rPr>
              <w:t>保温防腐材料</w:t>
            </w:r>
            <w:r>
              <w:rPr>
                <w:rFonts w:hint="eastAsia"/>
                <w:sz w:val="21"/>
                <w:szCs w:val="21"/>
              </w:rPr>
              <w:t>应</w:t>
            </w:r>
            <w:r>
              <w:rPr>
                <w:sz w:val="21"/>
                <w:szCs w:val="21"/>
              </w:rPr>
              <w:t>合理安排进厂次序，限额领料；充分利用保温边角料，降低材料损耗</w:t>
            </w:r>
            <w:r>
              <w:rPr>
                <w:rFonts w:hint="eastAsia"/>
                <w:sz w:val="21"/>
                <w:szCs w:val="21"/>
              </w:rPr>
              <w:t>；现场成品</w:t>
            </w:r>
            <w:r>
              <w:rPr>
                <w:sz w:val="21"/>
                <w:szCs w:val="21"/>
              </w:rPr>
              <w:t>保温防腐材料</w:t>
            </w:r>
            <w:r>
              <w:rPr>
                <w:rFonts w:hint="eastAsia"/>
                <w:sz w:val="21"/>
                <w:szCs w:val="21"/>
              </w:rPr>
              <w:t>应有完善的成品保护措施，避免二次污染与破坏造成返工。</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48D69">
            <w:pPr>
              <w:jc w:val="left"/>
              <w:textAlignment w:val="center"/>
              <w:rPr>
                <w:rFonts w:hint="eastAsia" w:cs="宋体"/>
                <w:kern w:val="0"/>
                <w:sz w:val="21"/>
                <w:szCs w:val="21"/>
                <w:lang w:bidi="ar"/>
              </w:rPr>
            </w:pPr>
            <w:r>
              <w:rPr>
                <w:rFonts w:hint="eastAsia" w:cs="宋体"/>
                <w:kern w:val="0"/>
                <w:sz w:val="21"/>
                <w:szCs w:val="21"/>
                <w:lang w:bidi="ar"/>
              </w:rPr>
              <w:t>根据保温材料管理、使用情况得分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1E2FD">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DE8B0">
            <w:pPr>
              <w:jc w:val="left"/>
              <w:textAlignment w:val="center"/>
              <w:rPr>
                <w:rFonts w:hint="eastAsia" w:cs="宋体"/>
                <w:kern w:val="0"/>
                <w:sz w:val="21"/>
                <w:szCs w:val="21"/>
                <w:lang w:bidi="ar"/>
              </w:rPr>
            </w:pPr>
          </w:p>
        </w:tc>
      </w:tr>
      <w:tr w14:paraId="4D523CE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6CCA9">
            <w:pPr>
              <w:jc w:val="center"/>
              <w:textAlignment w:val="center"/>
              <w:rPr>
                <w:rFonts w:hint="eastAsia" w:cs="宋体"/>
                <w:kern w:val="0"/>
                <w:sz w:val="21"/>
                <w:szCs w:val="21"/>
                <w:lang w:bidi="ar"/>
              </w:rPr>
            </w:pPr>
            <w:r>
              <w:rPr>
                <w:rFonts w:hint="eastAsia" w:cs="宋体"/>
                <w:kern w:val="0"/>
                <w:sz w:val="21"/>
                <w:szCs w:val="21"/>
                <w:lang w:bidi="ar"/>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64DF5">
            <w:pPr>
              <w:jc w:val="left"/>
              <w:textAlignment w:val="center"/>
              <w:rPr>
                <w:rFonts w:hint="eastAsia" w:cs="宋体"/>
                <w:kern w:val="0"/>
                <w:sz w:val="21"/>
                <w:szCs w:val="21"/>
                <w:lang w:bidi="ar"/>
              </w:rPr>
            </w:pPr>
            <w:r>
              <w:rPr>
                <w:sz w:val="21"/>
                <w:szCs w:val="21"/>
              </w:rPr>
              <w:t>采用可移动、可重复利用的活动电源盘基础底座，并利用废旧模板刷漆作为基础平面。移动式电源盘基础可实现快速移位，一次投入，重复循环利用。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96C53">
            <w:pPr>
              <w:jc w:val="left"/>
              <w:textAlignment w:val="center"/>
              <w:rPr>
                <w:rFonts w:hint="eastAsia" w:cs="宋体"/>
                <w:kern w:val="0"/>
                <w:sz w:val="21"/>
                <w:szCs w:val="21"/>
                <w:lang w:bidi="ar"/>
              </w:rPr>
            </w:pPr>
            <w:r>
              <w:rPr>
                <w:rFonts w:hint="eastAsia" w:cs="宋体"/>
                <w:kern w:val="0"/>
                <w:sz w:val="21"/>
                <w:szCs w:val="21"/>
                <w:lang w:bidi="ar"/>
              </w:rPr>
              <w:t>根据电源盘管理、使用情况得分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D6819">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F468D">
            <w:pPr>
              <w:jc w:val="left"/>
              <w:textAlignment w:val="center"/>
              <w:rPr>
                <w:rFonts w:hint="eastAsia" w:cs="宋体"/>
                <w:kern w:val="0"/>
                <w:sz w:val="21"/>
                <w:szCs w:val="21"/>
                <w:lang w:bidi="ar"/>
              </w:rPr>
            </w:pPr>
          </w:p>
        </w:tc>
      </w:tr>
      <w:tr w14:paraId="54D3EF93">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848A8">
            <w:pPr>
              <w:jc w:val="center"/>
              <w:textAlignment w:val="center"/>
              <w:rPr>
                <w:rFonts w:hint="eastAsia" w:cs="宋体"/>
                <w:kern w:val="0"/>
                <w:sz w:val="21"/>
                <w:szCs w:val="21"/>
                <w:lang w:bidi="ar"/>
              </w:rPr>
            </w:pPr>
            <w:r>
              <w:rPr>
                <w:rFonts w:hint="eastAsia" w:cs="宋体"/>
                <w:kern w:val="0"/>
                <w:sz w:val="21"/>
                <w:szCs w:val="21"/>
                <w:lang w:bidi="ar"/>
              </w:rPr>
              <w:t>7）</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838D6">
            <w:pPr>
              <w:jc w:val="left"/>
              <w:textAlignment w:val="center"/>
              <w:rPr>
                <w:rFonts w:hint="eastAsia" w:cs="宋体"/>
                <w:kern w:val="0"/>
                <w:sz w:val="21"/>
                <w:szCs w:val="21"/>
                <w:lang w:bidi="ar"/>
              </w:rPr>
            </w:pPr>
            <w:r>
              <w:rPr>
                <w:rFonts w:hint="eastAsia"/>
                <w:sz w:val="21"/>
                <w:szCs w:val="21"/>
              </w:rPr>
              <w:t>现场钢材、木材、管材等边角料</w:t>
            </w:r>
            <w:r>
              <w:rPr>
                <w:sz w:val="21"/>
                <w:szCs w:val="21"/>
              </w:rPr>
              <w:t>集中</w:t>
            </w:r>
            <w:r>
              <w:rPr>
                <w:rFonts w:hint="eastAsia"/>
                <w:sz w:val="21"/>
                <w:szCs w:val="21"/>
              </w:rPr>
              <w:t>分类</w:t>
            </w:r>
            <w:r>
              <w:rPr>
                <w:sz w:val="21"/>
                <w:szCs w:val="21"/>
              </w:rPr>
              <w:t>管理，</w:t>
            </w:r>
            <w:r>
              <w:rPr>
                <w:rFonts w:hint="eastAsia"/>
                <w:sz w:val="21"/>
                <w:szCs w:val="21"/>
              </w:rPr>
              <w:t>根据材料特点及现场实际</w:t>
            </w:r>
            <w:r>
              <w:rPr>
                <w:sz w:val="21"/>
                <w:szCs w:val="21"/>
              </w:rPr>
              <w:t>回收后二次利用。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9417B">
            <w:pPr>
              <w:jc w:val="left"/>
              <w:textAlignment w:val="center"/>
              <w:rPr>
                <w:rFonts w:hint="eastAsia" w:cs="宋体"/>
                <w:kern w:val="0"/>
                <w:sz w:val="21"/>
                <w:szCs w:val="21"/>
                <w:lang w:bidi="ar"/>
              </w:rPr>
            </w:pPr>
            <w:r>
              <w:rPr>
                <w:rFonts w:hint="eastAsia" w:cs="宋体"/>
                <w:kern w:val="0"/>
                <w:sz w:val="21"/>
                <w:szCs w:val="21"/>
                <w:lang w:bidi="ar"/>
              </w:rPr>
              <w:t>根据钢材、木材、管材等边角料管理、使用情况得分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2006C">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70912">
            <w:pPr>
              <w:jc w:val="left"/>
              <w:textAlignment w:val="center"/>
              <w:rPr>
                <w:rFonts w:hint="eastAsia" w:cs="宋体"/>
                <w:kern w:val="0"/>
                <w:sz w:val="21"/>
                <w:szCs w:val="21"/>
                <w:lang w:bidi="ar"/>
              </w:rPr>
            </w:pPr>
          </w:p>
        </w:tc>
      </w:tr>
      <w:tr w14:paraId="63B0C90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AB3CA">
            <w:pPr>
              <w:jc w:val="center"/>
              <w:textAlignment w:val="center"/>
              <w:rPr>
                <w:rFonts w:hint="eastAsia" w:cs="宋体"/>
                <w:kern w:val="0"/>
                <w:sz w:val="21"/>
                <w:szCs w:val="21"/>
                <w:lang w:bidi="ar"/>
              </w:rPr>
            </w:pPr>
            <w:r>
              <w:rPr>
                <w:rFonts w:hint="eastAsia" w:cs="宋体"/>
                <w:kern w:val="0"/>
                <w:sz w:val="21"/>
                <w:szCs w:val="21"/>
                <w:lang w:bidi="ar"/>
              </w:rPr>
              <w:t>8）</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040FA">
            <w:pPr>
              <w:jc w:val="left"/>
              <w:textAlignment w:val="center"/>
              <w:rPr>
                <w:rFonts w:hint="eastAsia" w:cs="宋体"/>
                <w:kern w:val="0"/>
                <w:sz w:val="21"/>
                <w:szCs w:val="21"/>
                <w:lang w:bidi="ar"/>
              </w:rPr>
            </w:pPr>
            <w:r>
              <w:rPr>
                <w:sz w:val="21"/>
                <w:szCs w:val="21"/>
              </w:rPr>
              <w:t>钢筋、管道等焊接作业，可利用废旧模板设置维护挡板；大钢结构焊接区域宜搭设简易可移动支架，并悬挂防火帆布，支架可拆卸循环利用。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95C36">
            <w:pPr>
              <w:jc w:val="left"/>
              <w:textAlignment w:val="center"/>
              <w:rPr>
                <w:rFonts w:hint="eastAsia" w:cs="宋体"/>
                <w:kern w:val="0"/>
                <w:sz w:val="21"/>
                <w:szCs w:val="21"/>
                <w:lang w:bidi="ar"/>
              </w:rPr>
            </w:pPr>
            <w:r>
              <w:rPr>
                <w:rFonts w:hint="eastAsia" w:cs="宋体"/>
                <w:kern w:val="0"/>
                <w:sz w:val="21"/>
                <w:szCs w:val="21"/>
                <w:lang w:bidi="ar"/>
              </w:rPr>
              <w:t>根据焊接作业管理，防护措施使用情况得分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34F97">
            <w:pPr>
              <w:jc w:val="center"/>
              <w:textAlignment w:val="center"/>
              <w:rPr>
                <w:rFonts w:hint="eastAsia" w:cs="宋体"/>
                <w:kern w:val="0"/>
                <w:sz w:val="21"/>
                <w:szCs w:val="21"/>
                <w:lang w:bidi="ar"/>
              </w:rPr>
            </w:pPr>
            <w:r>
              <w:rPr>
                <w:rFonts w:hint="eastAsia" w:cs="宋体"/>
                <w:kern w:val="0"/>
                <w:sz w:val="21"/>
                <w:szCs w:val="21"/>
                <w:lang w:bidi="ar"/>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15B19">
            <w:pPr>
              <w:jc w:val="left"/>
              <w:textAlignment w:val="center"/>
              <w:rPr>
                <w:rFonts w:hint="eastAsia" w:cs="宋体"/>
                <w:kern w:val="0"/>
                <w:sz w:val="21"/>
                <w:szCs w:val="21"/>
                <w:lang w:bidi="ar"/>
              </w:rPr>
            </w:pPr>
          </w:p>
        </w:tc>
      </w:tr>
      <w:tr w14:paraId="3FF5D26F">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D613F">
            <w:pPr>
              <w:jc w:val="center"/>
              <w:textAlignment w:val="center"/>
              <w:rPr>
                <w:rFonts w:hint="eastAsia" w:cs="宋体"/>
                <w:kern w:val="0"/>
                <w:sz w:val="21"/>
                <w:szCs w:val="21"/>
                <w:lang w:bidi="ar"/>
              </w:rPr>
            </w:pPr>
            <w:r>
              <w:rPr>
                <w:rFonts w:hint="eastAsia" w:cs="宋体"/>
                <w:kern w:val="0"/>
                <w:sz w:val="21"/>
                <w:szCs w:val="21"/>
                <w:lang w:bidi="ar"/>
              </w:rPr>
              <w:t>9）</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874D8">
            <w:pPr>
              <w:jc w:val="left"/>
              <w:textAlignment w:val="center"/>
              <w:rPr>
                <w:rFonts w:hint="eastAsia" w:cs="宋体"/>
                <w:kern w:val="0"/>
                <w:sz w:val="21"/>
                <w:szCs w:val="21"/>
                <w:lang w:bidi="ar"/>
              </w:rPr>
            </w:pPr>
            <w:r>
              <w:rPr>
                <w:sz w:val="21"/>
                <w:szCs w:val="21"/>
              </w:rPr>
              <w:t>施工现场的木工加工场、钢筋加工场等采用工具式型钢、钢管脚手架、模板等周转设备料搭设</w:t>
            </w:r>
            <w:r>
              <w:rPr>
                <w:rFonts w:hint="eastAsia"/>
                <w:sz w:val="21"/>
                <w:szCs w:val="21"/>
              </w:rPr>
              <w:t>，</w:t>
            </w:r>
            <w:r>
              <w:rPr>
                <w:sz w:val="21"/>
                <w:szCs w:val="21"/>
              </w:rPr>
              <w:t>做到可重复利用，减少一次性物资投入。</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75CD4">
            <w:pPr>
              <w:jc w:val="left"/>
              <w:textAlignment w:val="center"/>
              <w:rPr>
                <w:rFonts w:hint="eastAsia" w:cs="宋体"/>
                <w:kern w:val="0"/>
                <w:sz w:val="21"/>
                <w:szCs w:val="21"/>
                <w:lang w:bidi="ar"/>
              </w:rPr>
            </w:pPr>
            <w:r>
              <w:rPr>
                <w:rFonts w:hint="eastAsia"/>
                <w:sz w:val="21"/>
                <w:szCs w:val="21"/>
              </w:rPr>
              <w:t>根据</w:t>
            </w:r>
            <w:r>
              <w:rPr>
                <w:sz w:val="21"/>
                <w:szCs w:val="21"/>
              </w:rPr>
              <w:t>木工加工场、钢筋加工场</w:t>
            </w:r>
            <w:r>
              <w:rPr>
                <w:rFonts w:hint="eastAsia"/>
                <w:sz w:val="21"/>
                <w:szCs w:val="21"/>
              </w:rPr>
              <w:t>的搭设情况得分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13378">
            <w:pPr>
              <w:jc w:val="center"/>
              <w:textAlignment w:val="center"/>
              <w:rPr>
                <w:rFonts w:hint="eastAsia" w:cs="宋体"/>
                <w:kern w:val="0"/>
                <w:sz w:val="21"/>
                <w:szCs w:val="21"/>
                <w:lang w:bidi="ar"/>
              </w:rPr>
            </w:pPr>
            <w:r>
              <w:rPr>
                <w:rFonts w:hint="eastAsia" w:cs="宋体"/>
                <w:kern w:val="0"/>
                <w:sz w:val="21"/>
                <w:szCs w:val="21"/>
                <w:lang w:bidi="ar"/>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03F35">
            <w:pPr>
              <w:jc w:val="left"/>
              <w:textAlignment w:val="center"/>
              <w:rPr>
                <w:rFonts w:hint="eastAsia" w:cs="宋体"/>
                <w:kern w:val="0"/>
                <w:sz w:val="21"/>
                <w:szCs w:val="21"/>
                <w:lang w:bidi="ar"/>
              </w:rPr>
            </w:pPr>
          </w:p>
        </w:tc>
      </w:tr>
      <w:tr w14:paraId="490C938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6C1AB">
            <w:pPr>
              <w:jc w:val="center"/>
              <w:textAlignment w:val="center"/>
              <w:rPr>
                <w:rFonts w:hint="eastAsia" w:cs="宋体"/>
                <w:kern w:val="0"/>
                <w:sz w:val="21"/>
                <w:szCs w:val="21"/>
                <w:lang w:bidi="ar"/>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092B1">
            <w:pPr>
              <w:jc w:val="left"/>
              <w:textAlignment w:val="center"/>
              <w:rPr>
                <w:rFonts w:hint="eastAsia" w:cs="宋体"/>
                <w:kern w:val="0"/>
                <w:sz w:val="21"/>
                <w:szCs w:val="21"/>
                <w:lang w:bidi="ar"/>
              </w:rPr>
            </w:pPr>
            <w:r>
              <w:rPr>
                <w:rFonts w:hint="eastAsia" w:cs="宋体"/>
                <w:kern w:val="0"/>
                <w:sz w:val="21"/>
                <w:szCs w:val="21"/>
                <w:lang w:bidi="ar"/>
              </w:rPr>
              <w:t>专用项</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85469">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B1E41">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482DA">
            <w:pPr>
              <w:jc w:val="left"/>
              <w:textAlignment w:val="center"/>
              <w:rPr>
                <w:rFonts w:hint="eastAsia" w:cs="宋体"/>
                <w:kern w:val="0"/>
                <w:sz w:val="21"/>
                <w:szCs w:val="21"/>
                <w:lang w:bidi="ar"/>
              </w:rPr>
            </w:pPr>
          </w:p>
        </w:tc>
      </w:tr>
      <w:tr w14:paraId="6F86719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37915">
            <w:pPr>
              <w:jc w:val="center"/>
              <w:textAlignment w:val="center"/>
              <w:rPr>
                <w:rFonts w:hint="eastAsia" w:cs="宋体"/>
                <w:kern w:val="0"/>
                <w:sz w:val="21"/>
                <w:szCs w:val="21"/>
                <w:lang w:bidi="ar"/>
              </w:rPr>
            </w:pPr>
            <w:r>
              <w:rPr>
                <w:rFonts w:hint="eastAsia" w:cs="宋体"/>
                <w:kern w:val="0"/>
                <w:sz w:val="21"/>
                <w:szCs w:val="21"/>
                <w:lang w:bidi="ar"/>
              </w:rPr>
              <w:t>6.3.2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8DD78">
            <w:pPr>
              <w:jc w:val="left"/>
              <w:textAlignment w:val="center"/>
              <w:rPr>
                <w:rFonts w:hint="eastAsia" w:cs="宋体"/>
                <w:kern w:val="0"/>
                <w:sz w:val="21"/>
                <w:szCs w:val="21"/>
                <w:lang w:bidi="ar"/>
              </w:rPr>
            </w:pPr>
            <w:r>
              <w:rPr>
                <w:rFonts w:hint="eastAsia" w:cs="宋体"/>
                <w:kern w:val="0"/>
                <w:sz w:val="21"/>
                <w:szCs w:val="21"/>
                <w:lang w:bidi="ar"/>
              </w:rPr>
              <w:t>火电工程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4F8F9">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031A8">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DB005">
            <w:pPr>
              <w:jc w:val="left"/>
              <w:textAlignment w:val="center"/>
              <w:rPr>
                <w:rFonts w:hint="eastAsia" w:cs="宋体"/>
                <w:kern w:val="0"/>
                <w:sz w:val="21"/>
                <w:szCs w:val="21"/>
                <w:lang w:bidi="ar"/>
              </w:rPr>
            </w:pPr>
          </w:p>
        </w:tc>
      </w:tr>
      <w:tr w14:paraId="3B78EB0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F9D49">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1AE0C">
            <w:pPr>
              <w:jc w:val="left"/>
              <w:textAlignment w:val="center"/>
              <w:rPr>
                <w:rFonts w:hint="eastAsia" w:cs="宋体"/>
                <w:kern w:val="0"/>
                <w:sz w:val="21"/>
                <w:szCs w:val="21"/>
                <w:lang w:bidi="ar"/>
              </w:rPr>
            </w:pPr>
            <w:r>
              <w:rPr>
                <w:rFonts w:hint="eastAsia" w:cs="宋体"/>
                <w:kern w:val="0"/>
                <w:sz w:val="21"/>
                <w:szCs w:val="21"/>
                <w:lang w:bidi="ar"/>
              </w:rPr>
              <w:t>燃煤发电工程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EC280">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86E8E">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6376B">
            <w:pPr>
              <w:jc w:val="left"/>
              <w:textAlignment w:val="center"/>
              <w:rPr>
                <w:rFonts w:hint="eastAsia" w:cs="宋体"/>
                <w:kern w:val="0"/>
                <w:sz w:val="21"/>
                <w:szCs w:val="21"/>
                <w:lang w:bidi="ar"/>
              </w:rPr>
            </w:pPr>
          </w:p>
        </w:tc>
      </w:tr>
      <w:tr w14:paraId="42183B7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E09D8">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C7F2E">
            <w:pPr>
              <w:jc w:val="left"/>
              <w:textAlignment w:val="center"/>
              <w:rPr>
                <w:rFonts w:hint="eastAsia" w:cs="宋体"/>
                <w:kern w:val="0"/>
                <w:sz w:val="21"/>
                <w:szCs w:val="21"/>
                <w:lang w:bidi="ar"/>
              </w:rPr>
            </w:pPr>
            <w:r>
              <w:rPr>
                <w:sz w:val="21"/>
                <w:szCs w:val="21"/>
              </w:rPr>
              <w:t>锅炉钢架、烟风道、四大管道及中低压管道采用工厂制作、现场拼装的方式</w:t>
            </w:r>
            <w:r>
              <w:rPr>
                <w:rFonts w:hint="eastAsia"/>
                <w:sz w:val="21"/>
                <w:szCs w:val="21"/>
              </w:rPr>
              <w:t>，钢结构安装</w:t>
            </w:r>
            <w:r>
              <w:rPr>
                <w:sz w:val="21"/>
                <w:szCs w:val="21"/>
              </w:rPr>
              <w:t>采用分段吊装</w:t>
            </w:r>
            <w:r>
              <w:rPr>
                <w:rFonts w:hint="eastAsia"/>
                <w:sz w:val="21"/>
                <w:szCs w:val="21"/>
              </w:rPr>
              <w:t>、</w:t>
            </w:r>
            <w:r>
              <w:rPr>
                <w:sz w:val="21"/>
                <w:szCs w:val="21"/>
              </w:rPr>
              <w:t>整体提升</w:t>
            </w:r>
            <w:r>
              <w:rPr>
                <w:rFonts w:hint="eastAsia"/>
                <w:sz w:val="21"/>
                <w:szCs w:val="21"/>
              </w:rPr>
              <w:t>、</w:t>
            </w:r>
            <w:r>
              <w:rPr>
                <w:sz w:val="21"/>
                <w:szCs w:val="21"/>
              </w:rPr>
              <w:t>滑移、顶升等安装方法，减少措施</w:t>
            </w:r>
            <w:r>
              <w:rPr>
                <w:rFonts w:hint="eastAsia"/>
                <w:sz w:val="21"/>
                <w:szCs w:val="21"/>
              </w:rPr>
              <w:t>性钢材</w:t>
            </w:r>
            <w:r>
              <w:rPr>
                <w:sz w:val="21"/>
                <w:szCs w:val="21"/>
              </w:rPr>
              <w:t>用量</w:t>
            </w:r>
            <w:r>
              <w:rPr>
                <w:rFonts w:hint="eastAsia"/>
                <w:sz w:val="21"/>
                <w:szCs w:val="21"/>
              </w:rPr>
              <w:t>。</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6B17EE23">
            <w:pPr>
              <w:jc w:val="left"/>
              <w:rPr>
                <w:rFonts w:hint="eastAsia"/>
                <w:sz w:val="21"/>
                <w:szCs w:val="21"/>
              </w:rPr>
            </w:pPr>
            <w:r>
              <w:rPr>
                <w:rFonts w:hint="eastAsia"/>
                <w:sz w:val="21"/>
                <w:szCs w:val="21"/>
              </w:rPr>
              <w:t>根据现场实际情况按照标准分乘以相应系数进行评分：</w:t>
            </w:r>
          </w:p>
          <w:p w14:paraId="10179A2C">
            <w:pPr>
              <w:jc w:val="left"/>
              <w:rPr>
                <w:rFonts w:hint="eastAsia"/>
                <w:sz w:val="21"/>
                <w:szCs w:val="21"/>
              </w:rPr>
            </w:pPr>
            <w:r>
              <w:rPr>
                <w:rFonts w:hint="eastAsia"/>
                <w:sz w:val="21"/>
                <w:szCs w:val="21"/>
              </w:rPr>
              <w:t>1、措施到位，满足评价指标要求系数为1；</w:t>
            </w:r>
          </w:p>
          <w:p w14:paraId="74823B5C">
            <w:pPr>
              <w:jc w:val="left"/>
              <w:rPr>
                <w:rFonts w:hint="eastAsia" w:cs="宋体"/>
                <w:sz w:val="21"/>
                <w:szCs w:val="21"/>
              </w:rPr>
            </w:pPr>
            <w:r>
              <w:rPr>
                <w:rFonts w:hint="eastAsia"/>
                <w:sz w:val="21"/>
                <w:szCs w:val="21"/>
              </w:rPr>
              <w:t>2、措施到位，基本满足评价指标要求系数按照0.5~0.9酌情选取；</w:t>
            </w:r>
          </w:p>
          <w:p w14:paraId="432C2D29">
            <w:pPr>
              <w:jc w:val="left"/>
              <w:textAlignment w:val="center"/>
              <w:rPr>
                <w:rFonts w:hint="eastAsia" w:cs="宋体"/>
                <w:kern w:val="0"/>
                <w:sz w:val="21"/>
                <w:szCs w:val="21"/>
                <w:lang w:bidi="ar"/>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D57BD">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B98F8">
            <w:pPr>
              <w:jc w:val="left"/>
              <w:textAlignment w:val="center"/>
              <w:rPr>
                <w:rFonts w:hint="eastAsia" w:cs="宋体"/>
                <w:kern w:val="0"/>
                <w:sz w:val="21"/>
                <w:szCs w:val="21"/>
                <w:lang w:bidi="ar"/>
              </w:rPr>
            </w:pPr>
          </w:p>
        </w:tc>
      </w:tr>
      <w:tr w14:paraId="621E657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ED246">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5932E">
            <w:pPr>
              <w:jc w:val="left"/>
              <w:textAlignment w:val="center"/>
              <w:rPr>
                <w:rFonts w:hint="eastAsia" w:cs="宋体"/>
                <w:kern w:val="0"/>
                <w:sz w:val="21"/>
                <w:szCs w:val="21"/>
                <w:lang w:bidi="ar"/>
              </w:rPr>
            </w:pPr>
            <w:r>
              <w:rPr>
                <w:sz w:val="21"/>
                <w:szCs w:val="21"/>
              </w:rPr>
              <w:t>锅炉本体管排等组合时，合理安排组合顺序，充分利用场地,提高场地使用效率，减少组合支架钢材的使用量。</w:t>
            </w:r>
          </w:p>
        </w:tc>
        <w:tc>
          <w:tcPr>
            <w:tcW w:w="4111" w:type="dxa"/>
            <w:vMerge w:val="continue"/>
            <w:tcBorders>
              <w:left w:val="single" w:color="000000" w:sz="4" w:space="0"/>
              <w:right w:val="single" w:color="000000" w:sz="4" w:space="0"/>
            </w:tcBorders>
            <w:shd w:val="clear" w:color="auto" w:fill="auto"/>
            <w:vAlign w:val="center"/>
          </w:tcPr>
          <w:p w14:paraId="15AC3E0E">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559C2">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12392">
            <w:pPr>
              <w:jc w:val="left"/>
              <w:textAlignment w:val="center"/>
              <w:rPr>
                <w:rFonts w:hint="eastAsia" w:cs="宋体"/>
                <w:kern w:val="0"/>
                <w:sz w:val="21"/>
                <w:szCs w:val="21"/>
                <w:lang w:bidi="ar"/>
              </w:rPr>
            </w:pPr>
          </w:p>
        </w:tc>
      </w:tr>
      <w:tr w14:paraId="23C35D9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66BE1">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569AF">
            <w:pPr>
              <w:jc w:val="left"/>
              <w:textAlignment w:val="center"/>
              <w:rPr>
                <w:rFonts w:hint="eastAsia" w:cs="宋体"/>
                <w:kern w:val="0"/>
                <w:sz w:val="21"/>
                <w:szCs w:val="21"/>
                <w:lang w:bidi="ar"/>
              </w:rPr>
            </w:pPr>
            <w:r>
              <w:rPr>
                <w:sz w:val="21"/>
                <w:szCs w:val="21"/>
              </w:rPr>
              <w:t>循环水管</w:t>
            </w:r>
            <w:r>
              <w:rPr>
                <w:rFonts w:hint="eastAsia"/>
                <w:sz w:val="21"/>
                <w:szCs w:val="21"/>
              </w:rPr>
              <w:t>道</w:t>
            </w:r>
            <w:r>
              <w:rPr>
                <w:sz w:val="21"/>
                <w:szCs w:val="21"/>
              </w:rPr>
              <w:t>对口、焊接时，</w:t>
            </w:r>
            <w:r>
              <w:rPr>
                <w:rFonts w:hint="eastAsia"/>
                <w:sz w:val="21"/>
                <w:szCs w:val="21"/>
              </w:rPr>
              <w:t>采用</w:t>
            </w:r>
            <w:r>
              <w:rPr>
                <w:sz w:val="21"/>
                <w:szCs w:val="21"/>
              </w:rPr>
              <w:t>管道对口一体化装置</w:t>
            </w:r>
            <w:r>
              <w:rPr>
                <w:rFonts w:hint="eastAsia"/>
                <w:sz w:val="21"/>
                <w:szCs w:val="21"/>
              </w:rPr>
              <w:t>，减少</w:t>
            </w:r>
            <w:r>
              <w:rPr>
                <w:sz w:val="21"/>
                <w:szCs w:val="21"/>
              </w:rPr>
              <w:t>人工、</w:t>
            </w:r>
            <w:r>
              <w:rPr>
                <w:rFonts w:hint="eastAsia"/>
                <w:sz w:val="21"/>
                <w:szCs w:val="21"/>
              </w:rPr>
              <w:t>周转性</w:t>
            </w:r>
            <w:r>
              <w:rPr>
                <w:sz w:val="21"/>
                <w:szCs w:val="21"/>
              </w:rPr>
              <w:t>材料</w:t>
            </w:r>
            <w:r>
              <w:rPr>
                <w:rFonts w:hint="eastAsia"/>
                <w:sz w:val="21"/>
                <w:szCs w:val="21"/>
              </w:rPr>
              <w:t>投入</w:t>
            </w:r>
            <w:r>
              <w:rPr>
                <w:sz w:val="21"/>
                <w:szCs w:val="21"/>
              </w:rPr>
              <w:t>。</w:t>
            </w:r>
          </w:p>
        </w:tc>
        <w:tc>
          <w:tcPr>
            <w:tcW w:w="4111" w:type="dxa"/>
            <w:vMerge w:val="continue"/>
            <w:tcBorders>
              <w:left w:val="single" w:color="000000" w:sz="4" w:space="0"/>
              <w:right w:val="single" w:color="000000" w:sz="4" w:space="0"/>
            </w:tcBorders>
            <w:shd w:val="clear" w:color="auto" w:fill="auto"/>
            <w:vAlign w:val="center"/>
          </w:tcPr>
          <w:p w14:paraId="4EB43B56">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52722">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B3BD7">
            <w:pPr>
              <w:jc w:val="left"/>
              <w:textAlignment w:val="center"/>
              <w:rPr>
                <w:rFonts w:hint="eastAsia" w:cs="宋体"/>
                <w:kern w:val="0"/>
                <w:sz w:val="21"/>
                <w:szCs w:val="21"/>
                <w:lang w:bidi="ar"/>
              </w:rPr>
            </w:pPr>
          </w:p>
        </w:tc>
      </w:tr>
      <w:tr w14:paraId="6A26F6F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9D2A1">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2387D">
            <w:pPr>
              <w:jc w:val="left"/>
              <w:textAlignment w:val="center"/>
              <w:rPr>
                <w:rFonts w:hint="eastAsia" w:cs="宋体"/>
                <w:kern w:val="0"/>
                <w:sz w:val="21"/>
                <w:szCs w:val="21"/>
                <w:lang w:bidi="ar"/>
              </w:rPr>
            </w:pPr>
            <w:r>
              <w:rPr>
                <w:sz w:val="21"/>
                <w:szCs w:val="21"/>
              </w:rPr>
              <w:t>烟风道制作时，应提前绘图策划，优化设计，减少制作材料的使用。</w:t>
            </w:r>
          </w:p>
        </w:tc>
        <w:tc>
          <w:tcPr>
            <w:tcW w:w="4111" w:type="dxa"/>
            <w:vMerge w:val="continue"/>
            <w:tcBorders>
              <w:left w:val="single" w:color="000000" w:sz="4" w:space="0"/>
              <w:right w:val="single" w:color="000000" w:sz="4" w:space="0"/>
            </w:tcBorders>
            <w:shd w:val="clear" w:color="auto" w:fill="auto"/>
            <w:vAlign w:val="center"/>
          </w:tcPr>
          <w:p w14:paraId="507DF09F">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4DC1B">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CB135">
            <w:pPr>
              <w:jc w:val="left"/>
              <w:textAlignment w:val="center"/>
              <w:rPr>
                <w:rFonts w:hint="eastAsia" w:cs="宋体"/>
                <w:kern w:val="0"/>
                <w:sz w:val="21"/>
                <w:szCs w:val="21"/>
                <w:lang w:bidi="ar"/>
              </w:rPr>
            </w:pPr>
          </w:p>
        </w:tc>
      </w:tr>
      <w:tr w14:paraId="73286E85">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D9B8D">
            <w:pPr>
              <w:jc w:val="center"/>
              <w:textAlignment w:val="center"/>
              <w:rPr>
                <w:rFonts w:hint="eastAsia" w:cs="宋体"/>
                <w:kern w:val="0"/>
                <w:sz w:val="21"/>
                <w:szCs w:val="21"/>
                <w:lang w:bidi="ar"/>
              </w:rPr>
            </w:pPr>
            <w:r>
              <w:rPr>
                <w:rFonts w:hint="eastAsia" w:cs="宋体"/>
                <w:kern w:val="0"/>
                <w:sz w:val="21"/>
                <w:szCs w:val="21"/>
                <w:lang w:bidi="ar"/>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55C0C">
            <w:pPr>
              <w:jc w:val="left"/>
              <w:textAlignment w:val="center"/>
              <w:rPr>
                <w:rFonts w:hint="eastAsia" w:cs="宋体"/>
                <w:kern w:val="0"/>
                <w:sz w:val="21"/>
                <w:szCs w:val="21"/>
                <w:lang w:bidi="ar"/>
              </w:rPr>
            </w:pPr>
            <w:r>
              <w:rPr>
                <w:sz w:val="21"/>
                <w:szCs w:val="21"/>
              </w:rPr>
              <w:t>根据相关图纸和实际情况，对疏放水管道、取样管道</w:t>
            </w:r>
            <w:r>
              <w:rPr>
                <w:rFonts w:hint="eastAsia"/>
                <w:sz w:val="21"/>
                <w:szCs w:val="21"/>
              </w:rPr>
              <w:t>、</w:t>
            </w:r>
            <w:r>
              <w:rPr>
                <w:sz w:val="21"/>
                <w:szCs w:val="21"/>
              </w:rPr>
              <w:t>放空气管道做</w:t>
            </w:r>
            <w:r>
              <w:rPr>
                <w:rFonts w:hint="eastAsia"/>
                <w:sz w:val="21"/>
                <w:szCs w:val="21"/>
              </w:rPr>
              <w:t>优化设计，</w:t>
            </w:r>
            <w:r>
              <w:rPr>
                <w:sz w:val="21"/>
                <w:szCs w:val="21"/>
              </w:rPr>
              <w:t>集中布置</w:t>
            </w:r>
            <w:r>
              <w:rPr>
                <w:rFonts w:hint="eastAsia"/>
                <w:sz w:val="21"/>
                <w:szCs w:val="21"/>
              </w:rPr>
              <w:t>，减少材料用量。</w:t>
            </w:r>
          </w:p>
        </w:tc>
        <w:tc>
          <w:tcPr>
            <w:tcW w:w="4111" w:type="dxa"/>
            <w:vMerge w:val="continue"/>
            <w:tcBorders>
              <w:left w:val="single" w:color="000000" w:sz="4" w:space="0"/>
              <w:right w:val="single" w:color="000000" w:sz="4" w:space="0"/>
            </w:tcBorders>
            <w:shd w:val="clear" w:color="auto" w:fill="auto"/>
            <w:vAlign w:val="center"/>
          </w:tcPr>
          <w:p w14:paraId="3DC8FA86">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FA910">
            <w:pPr>
              <w:jc w:val="center"/>
              <w:textAlignment w:val="center"/>
              <w:rPr>
                <w:rFonts w:hint="eastAsia" w:cs="宋体"/>
                <w:kern w:val="0"/>
                <w:sz w:val="21"/>
                <w:szCs w:val="21"/>
                <w:lang w:bidi="ar"/>
              </w:rPr>
            </w:pPr>
            <w:r>
              <w:rPr>
                <w:rFonts w:hint="eastAsia" w:cs="宋体"/>
                <w:kern w:val="0"/>
                <w:sz w:val="21"/>
                <w:szCs w:val="21"/>
                <w:lang w:bidi="ar"/>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5C878">
            <w:pPr>
              <w:jc w:val="left"/>
              <w:textAlignment w:val="center"/>
              <w:rPr>
                <w:rFonts w:hint="eastAsia" w:cs="宋体"/>
                <w:kern w:val="0"/>
                <w:sz w:val="21"/>
                <w:szCs w:val="21"/>
                <w:lang w:bidi="ar"/>
              </w:rPr>
            </w:pPr>
          </w:p>
        </w:tc>
      </w:tr>
      <w:tr w14:paraId="4C2840E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4D6BB">
            <w:pPr>
              <w:jc w:val="center"/>
              <w:textAlignment w:val="center"/>
              <w:rPr>
                <w:rFonts w:hint="eastAsia" w:cs="宋体"/>
                <w:kern w:val="0"/>
                <w:sz w:val="21"/>
                <w:szCs w:val="21"/>
                <w:lang w:bidi="ar"/>
              </w:rPr>
            </w:pPr>
            <w:r>
              <w:rPr>
                <w:rFonts w:hint="eastAsia" w:cs="宋体"/>
                <w:kern w:val="0"/>
                <w:sz w:val="21"/>
                <w:szCs w:val="21"/>
                <w:lang w:bidi="ar"/>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EABDC">
            <w:pPr>
              <w:jc w:val="left"/>
              <w:textAlignment w:val="center"/>
              <w:rPr>
                <w:rFonts w:hint="eastAsia" w:cs="宋体"/>
                <w:kern w:val="0"/>
                <w:sz w:val="21"/>
                <w:szCs w:val="21"/>
                <w:lang w:bidi="ar"/>
              </w:rPr>
            </w:pPr>
            <w:r>
              <w:rPr>
                <w:sz w:val="21"/>
                <w:szCs w:val="21"/>
              </w:rPr>
              <w:t>除氧器等大型设备安装拖运就位</w:t>
            </w:r>
            <w:r>
              <w:rPr>
                <w:rFonts w:hint="eastAsia"/>
                <w:sz w:val="21"/>
                <w:szCs w:val="21"/>
              </w:rPr>
              <w:t>时利用过轨吊轨道作为拖运轨道，减少措施性材料的投入。</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3E23EE5D">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C3EA7">
            <w:pPr>
              <w:jc w:val="center"/>
              <w:textAlignment w:val="center"/>
              <w:rPr>
                <w:rFonts w:hint="eastAsia" w:cs="宋体"/>
                <w:kern w:val="0"/>
                <w:sz w:val="21"/>
                <w:szCs w:val="21"/>
                <w:lang w:bidi="ar"/>
              </w:rPr>
            </w:pPr>
            <w:r>
              <w:rPr>
                <w:rFonts w:hint="eastAsia" w:cs="宋体"/>
                <w:kern w:val="0"/>
                <w:sz w:val="21"/>
                <w:szCs w:val="21"/>
                <w:lang w:bidi="ar"/>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C507A">
            <w:pPr>
              <w:jc w:val="left"/>
              <w:textAlignment w:val="center"/>
              <w:rPr>
                <w:rFonts w:hint="eastAsia" w:cs="宋体"/>
                <w:kern w:val="0"/>
                <w:sz w:val="21"/>
                <w:szCs w:val="21"/>
                <w:lang w:bidi="ar"/>
              </w:rPr>
            </w:pPr>
          </w:p>
        </w:tc>
      </w:tr>
      <w:tr w14:paraId="36C61CA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F6717">
            <w:pPr>
              <w:jc w:val="center"/>
              <w:textAlignment w:val="center"/>
              <w:rPr>
                <w:rFonts w:hint="eastAsia" w:cs="宋体"/>
                <w:kern w:val="0"/>
                <w:sz w:val="21"/>
                <w:szCs w:val="21"/>
                <w:lang w:bidi="ar"/>
              </w:rPr>
            </w:pPr>
            <w:r>
              <w:rPr>
                <w:rFonts w:hint="eastAsia" w:cs="宋体"/>
                <w:kern w:val="0"/>
                <w:sz w:val="21"/>
                <w:szCs w:val="21"/>
                <w:lang w:bidi="ar"/>
              </w:rPr>
              <w:t xml:space="preserve">2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2B086">
            <w:pPr>
              <w:jc w:val="left"/>
              <w:textAlignment w:val="center"/>
              <w:rPr>
                <w:rFonts w:hint="eastAsia" w:cs="宋体"/>
                <w:kern w:val="0"/>
                <w:sz w:val="21"/>
                <w:szCs w:val="21"/>
                <w:lang w:bidi="ar"/>
              </w:rPr>
            </w:pPr>
            <w:r>
              <w:rPr>
                <w:rFonts w:hint="eastAsia" w:cs="宋体"/>
                <w:kern w:val="0"/>
                <w:sz w:val="21"/>
                <w:szCs w:val="21"/>
                <w:lang w:bidi="ar"/>
              </w:rPr>
              <w:t>燃气蒸汽联合循环发电工程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AF65A">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97CDD">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7FD88">
            <w:pPr>
              <w:jc w:val="left"/>
              <w:textAlignment w:val="center"/>
              <w:rPr>
                <w:rFonts w:hint="eastAsia" w:cs="宋体"/>
                <w:kern w:val="0"/>
                <w:sz w:val="21"/>
                <w:szCs w:val="21"/>
                <w:lang w:bidi="ar"/>
              </w:rPr>
            </w:pPr>
          </w:p>
        </w:tc>
      </w:tr>
      <w:tr w14:paraId="7C2AF2C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7039E">
            <w:pPr>
              <w:jc w:val="center"/>
              <w:textAlignment w:val="center"/>
              <w:rPr>
                <w:rFonts w:hint="eastAsia" w:cs="宋体"/>
                <w:kern w:val="0"/>
                <w:sz w:val="21"/>
                <w:szCs w:val="21"/>
                <w:lang w:bidi="ar"/>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2BE61">
            <w:pPr>
              <w:jc w:val="left"/>
              <w:textAlignment w:val="center"/>
              <w:rPr>
                <w:rFonts w:hint="eastAsia" w:cs="宋体"/>
                <w:kern w:val="0"/>
                <w:sz w:val="21"/>
                <w:szCs w:val="21"/>
                <w:lang w:bidi="ar"/>
              </w:rPr>
            </w:pPr>
            <w:r>
              <w:rPr>
                <w:rFonts w:hint="eastAsia"/>
                <w:sz w:val="21"/>
                <w:szCs w:val="21"/>
              </w:rPr>
              <w:t>执行燃煤发电工程</w:t>
            </w:r>
            <w:r>
              <w:rPr>
                <w:sz w:val="21"/>
                <w:szCs w:val="21"/>
              </w:rPr>
              <w:t>1）-5）条。</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E845A">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846DE">
            <w:pPr>
              <w:jc w:val="center"/>
              <w:textAlignment w:val="center"/>
              <w:rPr>
                <w:rFonts w:hint="eastAsia" w:cs="宋体"/>
                <w:kern w:val="0"/>
                <w:sz w:val="21"/>
                <w:szCs w:val="21"/>
                <w:lang w:bidi="ar"/>
              </w:rPr>
            </w:pPr>
            <w:r>
              <w:rPr>
                <w:rFonts w:hint="eastAsia" w:cs="宋体"/>
                <w:kern w:val="0"/>
                <w:sz w:val="21"/>
                <w:szCs w:val="21"/>
                <w:lang w:bidi="ar"/>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361C8">
            <w:pPr>
              <w:jc w:val="left"/>
              <w:textAlignment w:val="center"/>
              <w:rPr>
                <w:rFonts w:hint="eastAsia" w:cs="宋体"/>
                <w:kern w:val="0"/>
                <w:sz w:val="21"/>
                <w:szCs w:val="21"/>
                <w:lang w:bidi="ar"/>
              </w:rPr>
            </w:pPr>
          </w:p>
        </w:tc>
      </w:tr>
      <w:tr w14:paraId="45750B6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17559">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F86EA">
            <w:pPr>
              <w:jc w:val="left"/>
              <w:textAlignment w:val="center"/>
              <w:rPr>
                <w:rFonts w:hint="eastAsia" w:cs="宋体"/>
                <w:kern w:val="0"/>
                <w:sz w:val="21"/>
                <w:szCs w:val="21"/>
                <w:lang w:bidi="ar"/>
              </w:rPr>
            </w:pPr>
            <w:r>
              <w:rPr>
                <w:rFonts w:hint="eastAsia" w:cs="宋体"/>
                <w:kern w:val="0"/>
                <w:sz w:val="21"/>
                <w:szCs w:val="21"/>
                <w:lang w:bidi="ar"/>
              </w:rPr>
              <w:t>垃圾焚烧发电工程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77F98">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6DA16">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95F2C">
            <w:pPr>
              <w:jc w:val="left"/>
              <w:textAlignment w:val="center"/>
              <w:rPr>
                <w:rFonts w:hint="eastAsia" w:cs="宋体"/>
                <w:kern w:val="0"/>
                <w:sz w:val="21"/>
                <w:szCs w:val="21"/>
                <w:lang w:bidi="ar"/>
              </w:rPr>
            </w:pPr>
          </w:p>
        </w:tc>
      </w:tr>
      <w:tr w14:paraId="082F4F6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24D66">
            <w:pPr>
              <w:jc w:val="center"/>
              <w:textAlignment w:val="center"/>
              <w:rPr>
                <w:rFonts w:hint="eastAsia" w:cs="宋体"/>
                <w:kern w:val="0"/>
                <w:sz w:val="21"/>
                <w:szCs w:val="21"/>
                <w:lang w:bidi="ar"/>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00EA2">
            <w:pPr>
              <w:jc w:val="left"/>
              <w:textAlignment w:val="center"/>
              <w:rPr>
                <w:rFonts w:hint="eastAsia" w:cs="宋体"/>
                <w:kern w:val="0"/>
                <w:sz w:val="21"/>
                <w:szCs w:val="21"/>
                <w:lang w:bidi="ar"/>
              </w:rPr>
            </w:pPr>
            <w:r>
              <w:rPr>
                <w:rFonts w:hint="eastAsia"/>
                <w:sz w:val="21"/>
                <w:szCs w:val="21"/>
              </w:rPr>
              <w:t>执行燃煤发电工程</w:t>
            </w:r>
            <w:r>
              <w:rPr>
                <w:sz w:val="21"/>
                <w:szCs w:val="21"/>
              </w:rPr>
              <w:t>1）-5）条。</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E28C2">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E4E06">
            <w:pPr>
              <w:jc w:val="center"/>
              <w:textAlignment w:val="center"/>
              <w:rPr>
                <w:rFonts w:hint="eastAsia" w:cs="宋体"/>
                <w:kern w:val="0"/>
                <w:sz w:val="21"/>
                <w:szCs w:val="21"/>
                <w:lang w:bidi="ar"/>
              </w:rPr>
            </w:pPr>
            <w:r>
              <w:rPr>
                <w:rFonts w:hint="eastAsia" w:cs="宋体"/>
                <w:kern w:val="0"/>
                <w:sz w:val="21"/>
                <w:szCs w:val="21"/>
                <w:lang w:bidi="ar"/>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43B2F">
            <w:pPr>
              <w:jc w:val="left"/>
              <w:textAlignment w:val="center"/>
              <w:rPr>
                <w:rFonts w:hint="eastAsia" w:cs="宋体"/>
                <w:kern w:val="0"/>
                <w:sz w:val="21"/>
                <w:szCs w:val="21"/>
                <w:lang w:bidi="ar"/>
              </w:rPr>
            </w:pPr>
          </w:p>
        </w:tc>
      </w:tr>
      <w:tr w14:paraId="245550D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69171">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6602A">
            <w:pPr>
              <w:jc w:val="left"/>
              <w:textAlignment w:val="center"/>
              <w:rPr>
                <w:rFonts w:hint="eastAsia" w:cs="宋体"/>
                <w:kern w:val="0"/>
                <w:sz w:val="21"/>
                <w:szCs w:val="21"/>
                <w:lang w:bidi="ar"/>
              </w:rPr>
            </w:pPr>
            <w:r>
              <w:rPr>
                <w:rFonts w:hint="eastAsia" w:cs="宋体"/>
                <w:kern w:val="0"/>
                <w:sz w:val="21"/>
                <w:szCs w:val="21"/>
                <w:lang w:bidi="ar"/>
              </w:rPr>
              <w:t>生物质发电工程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3E301">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87C99">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0CE41">
            <w:pPr>
              <w:jc w:val="left"/>
              <w:textAlignment w:val="center"/>
              <w:rPr>
                <w:rFonts w:hint="eastAsia" w:cs="宋体"/>
                <w:kern w:val="0"/>
                <w:sz w:val="21"/>
                <w:szCs w:val="21"/>
                <w:lang w:bidi="ar"/>
              </w:rPr>
            </w:pPr>
          </w:p>
        </w:tc>
      </w:tr>
      <w:tr w14:paraId="48B28DC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ABE36">
            <w:pPr>
              <w:jc w:val="center"/>
              <w:textAlignment w:val="center"/>
              <w:rPr>
                <w:rFonts w:hint="eastAsia" w:cs="宋体"/>
                <w:kern w:val="0"/>
                <w:sz w:val="21"/>
                <w:szCs w:val="21"/>
                <w:lang w:bidi="ar"/>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01EB8">
            <w:pPr>
              <w:jc w:val="left"/>
              <w:textAlignment w:val="center"/>
              <w:rPr>
                <w:rFonts w:hint="eastAsia" w:cs="宋体"/>
                <w:kern w:val="0"/>
                <w:sz w:val="21"/>
                <w:szCs w:val="21"/>
                <w:lang w:bidi="ar"/>
              </w:rPr>
            </w:pPr>
            <w:r>
              <w:rPr>
                <w:rFonts w:hint="eastAsia"/>
                <w:sz w:val="21"/>
                <w:szCs w:val="21"/>
              </w:rPr>
              <w:t>执行燃煤发电工程</w:t>
            </w:r>
            <w:r>
              <w:rPr>
                <w:sz w:val="21"/>
                <w:szCs w:val="21"/>
              </w:rPr>
              <w:t>1）-5）条。</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7517D">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DD752">
            <w:pPr>
              <w:jc w:val="center"/>
              <w:textAlignment w:val="center"/>
              <w:rPr>
                <w:rFonts w:hint="eastAsia" w:cs="宋体"/>
                <w:kern w:val="0"/>
                <w:sz w:val="21"/>
                <w:szCs w:val="21"/>
                <w:lang w:bidi="ar"/>
              </w:rPr>
            </w:pPr>
            <w:r>
              <w:rPr>
                <w:rFonts w:hint="eastAsia" w:cs="宋体"/>
                <w:kern w:val="0"/>
                <w:sz w:val="21"/>
                <w:szCs w:val="21"/>
                <w:lang w:bidi="ar"/>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A0D06">
            <w:pPr>
              <w:jc w:val="left"/>
              <w:textAlignment w:val="center"/>
              <w:rPr>
                <w:rFonts w:hint="eastAsia" w:cs="宋体"/>
                <w:kern w:val="0"/>
                <w:sz w:val="21"/>
                <w:szCs w:val="21"/>
                <w:lang w:bidi="ar"/>
              </w:rPr>
            </w:pPr>
          </w:p>
        </w:tc>
      </w:tr>
      <w:tr w14:paraId="50A1D48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5C2AB">
            <w:pPr>
              <w:jc w:val="center"/>
              <w:textAlignment w:val="center"/>
              <w:rPr>
                <w:rFonts w:hint="eastAsia" w:cs="宋体"/>
                <w:kern w:val="0"/>
                <w:sz w:val="21"/>
                <w:szCs w:val="21"/>
                <w:lang w:bidi="ar"/>
              </w:rPr>
            </w:pPr>
            <w:r>
              <w:rPr>
                <w:rFonts w:hint="eastAsia" w:cs="宋体"/>
                <w:kern w:val="0"/>
                <w:sz w:val="21"/>
                <w:szCs w:val="21"/>
                <w:lang w:bidi="ar"/>
              </w:rPr>
              <w:t xml:space="preserve">6.3.3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9D683">
            <w:pPr>
              <w:jc w:val="left"/>
              <w:textAlignment w:val="center"/>
              <w:rPr>
                <w:rFonts w:hint="eastAsia" w:cs="宋体"/>
                <w:kern w:val="0"/>
                <w:sz w:val="21"/>
                <w:szCs w:val="21"/>
                <w:lang w:bidi="ar"/>
              </w:rPr>
            </w:pPr>
            <w:r>
              <w:rPr>
                <w:rFonts w:hint="eastAsia" w:cs="宋体"/>
                <w:kern w:val="0"/>
                <w:sz w:val="21"/>
                <w:szCs w:val="21"/>
                <w:lang w:bidi="ar"/>
              </w:rPr>
              <w:t>水力发电（含抽水蓄能）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748DD">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327FF">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20FB8">
            <w:pPr>
              <w:jc w:val="left"/>
              <w:textAlignment w:val="center"/>
              <w:rPr>
                <w:rFonts w:hint="eastAsia" w:cs="宋体"/>
                <w:kern w:val="0"/>
                <w:sz w:val="21"/>
                <w:szCs w:val="21"/>
                <w:lang w:bidi="ar"/>
              </w:rPr>
            </w:pPr>
          </w:p>
        </w:tc>
      </w:tr>
      <w:tr w14:paraId="251BC27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2C183">
            <w:pPr>
              <w:jc w:val="center"/>
              <w:textAlignment w:val="center"/>
              <w:rPr>
                <w:rFonts w:hint="eastAsia" w:cs="宋体"/>
                <w:kern w:val="0"/>
                <w:sz w:val="21"/>
                <w:szCs w:val="21"/>
                <w:lang w:bidi="ar"/>
              </w:rPr>
            </w:pPr>
            <w:r>
              <w:rPr>
                <w:rFonts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6BE91">
            <w:pPr>
              <w:jc w:val="left"/>
              <w:textAlignment w:val="center"/>
              <w:rPr>
                <w:rFonts w:hint="eastAsia" w:cs="宋体"/>
                <w:kern w:val="0"/>
                <w:sz w:val="21"/>
                <w:szCs w:val="21"/>
                <w:lang w:bidi="ar"/>
              </w:rPr>
            </w:pPr>
            <w:r>
              <w:rPr>
                <w:rFonts w:hint="eastAsia" w:cs="宋体"/>
                <w:bCs/>
                <w:kern w:val="0"/>
                <w:sz w:val="21"/>
                <w:szCs w:val="21"/>
                <w:lang w:bidi="ar"/>
              </w:rPr>
              <w:t>优化大坝、厂房等水工大体积混凝土配合比设计，通过添加粉煤灰、工业废料、矿山废渣等，减少水泥用量。</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05E9A3CF">
            <w:pPr>
              <w:jc w:val="left"/>
              <w:textAlignment w:val="center"/>
              <w:rPr>
                <w:rFonts w:hint="eastAsia" w:cs="宋体"/>
                <w:bCs/>
                <w:kern w:val="0"/>
                <w:sz w:val="21"/>
                <w:szCs w:val="21"/>
                <w:lang w:bidi="ar"/>
              </w:rPr>
            </w:pPr>
            <w:r>
              <w:rPr>
                <w:rFonts w:hint="eastAsia" w:cs="宋体"/>
                <w:bCs/>
                <w:kern w:val="0"/>
                <w:sz w:val="21"/>
                <w:szCs w:val="21"/>
                <w:lang w:bidi="ar"/>
              </w:rPr>
              <w:t>每项子目实得分根据现场实际情况按照标准分乘以相应系数进行评分：</w:t>
            </w:r>
          </w:p>
          <w:p w14:paraId="6F3DFB96">
            <w:pPr>
              <w:jc w:val="left"/>
              <w:textAlignment w:val="center"/>
              <w:rPr>
                <w:rFonts w:hint="eastAsia" w:cs="宋体"/>
                <w:bCs/>
                <w:kern w:val="0"/>
                <w:sz w:val="21"/>
                <w:szCs w:val="21"/>
                <w:lang w:bidi="ar"/>
              </w:rPr>
            </w:pPr>
            <w:r>
              <w:rPr>
                <w:rFonts w:hint="eastAsia" w:cs="宋体"/>
                <w:bCs/>
                <w:kern w:val="0"/>
                <w:sz w:val="21"/>
                <w:szCs w:val="21"/>
                <w:lang w:bidi="ar"/>
              </w:rPr>
              <w:t>1、措施到位，满足评价指标要求系数为1；</w:t>
            </w:r>
          </w:p>
          <w:p w14:paraId="37E99CF5">
            <w:pPr>
              <w:jc w:val="left"/>
              <w:textAlignment w:val="center"/>
              <w:rPr>
                <w:rFonts w:hint="eastAsia" w:cs="宋体"/>
                <w:bCs/>
                <w:kern w:val="0"/>
                <w:sz w:val="21"/>
                <w:szCs w:val="21"/>
                <w:lang w:bidi="ar"/>
              </w:rPr>
            </w:pPr>
            <w:r>
              <w:rPr>
                <w:rFonts w:hint="eastAsia" w:cs="宋体"/>
                <w:bCs/>
                <w:kern w:val="0"/>
                <w:sz w:val="21"/>
                <w:szCs w:val="21"/>
                <w:lang w:bidi="ar"/>
              </w:rPr>
              <w:t>2、措施到位，基本满足评价指标要求系数按照0.5~0.9酌情选取；</w:t>
            </w:r>
          </w:p>
          <w:p w14:paraId="18373966">
            <w:pPr>
              <w:jc w:val="left"/>
              <w:textAlignment w:val="center"/>
              <w:rPr>
                <w:rFonts w:hint="eastAsia" w:cs="宋体"/>
                <w:kern w:val="0"/>
                <w:sz w:val="21"/>
                <w:szCs w:val="21"/>
                <w:lang w:bidi="ar"/>
              </w:rPr>
            </w:pPr>
            <w:r>
              <w:rPr>
                <w:rFonts w:hint="eastAsia" w:cs="宋体"/>
                <w:bCs/>
                <w:kern w:val="0"/>
                <w:sz w:val="21"/>
                <w:szCs w:val="21"/>
                <w:lang w:bidi="ar"/>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1C218">
            <w:pPr>
              <w:jc w:val="center"/>
              <w:textAlignment w:val="center"/>
              <w:rPr>
                <w:rFonts w:hint="eastAsia" w:cs="宋体"/>
                <w:kern w:val="0"/>
                <w:sz w:val="21"/>
                <w:szCs w:val="21"/>
                <w:lang w:bidi="ar"/>
              </w:rPr>
            </w:pPr>
            <w:r>
              <w:rPr>
                <w:rFonts w:hint="eastAsia" w:cs="宋体"/>
                <w:bCs/>
                <w:kern w:val="0"/>
                <w:sz w:val="21"/>
                <w:szCs w:val="21"/>
                <w:lang w:bidi="ar"/>
              </w:rPr>
              <w:t>0</w:t>
            </w:r>
            <w:r>
              <w:rPr>
                <w:rFonts w:cs="宋体"/>
                <w:bCs/>
                <w:kern w:val="0"/>
                <w:sz w:val="21"/>
                <w:szCs w:val="21"/>
                <w:lang w:bidi="ar"/>
              </w:rPr>
              <w:t>.4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FC37F">
            <w:pPr>
              <w:jc w:val="left"/>
              <w:textAlignment w:val="center"/>
              <w:rPr>
                <w:rFonts w:hint="eastAsia" w:cs="宋体"/>
                <w:kern w:val="0"/>
                <w:sz w:val="21"/>
                <w:szCs w:val="21"/>
                <w:lang w:bidi="ar"/>
              </w:rPr>
            </w:pPr>
          </w:p>
        </w:tc>
      </w:tr>
      <w:tr w14:paraId="43CD122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13038">
            <w:pPr>
              <w:jc w:val="center"/>
              <w:textAlignment w:val="center"/>
              <w:rPr>
                <w:rFonts w:hint="eastAsia" w:cs="宋体"/>
                <w:kern w:val="0"/>
                <w:sz w:val="21"/>
                <w:szCs w:val="21"/>
                <w:lang w:bidi="ar"/>
              </w:rPr>
            </w:pPr>
            <w:r>
              <w:rPr>
                <w:rFonts w:cs="宋体"/>
                <w:kern w:val="0"/>
                <w:sz w:val="21"/>
                <w:szCs w:val="21"/>
                <w:lang w:bidi="ar"/>
              </w:rPr>
              <w:t>2</w:t>
            </w:r>
            <w:r>
              <w:rPr>
                <w:rFonts w:hint="eastAsia" w:cs="宋体"/>
                <w:kern w:val="0"/>
                <w:sz w:val="21"/>
                <w:szCs w:val="21"/>
                <w:lang w:bidi="ar"/>
              </w:rPr>
              <w:t>）</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3A306">
            <w:pPr>
              <w:jc w:val="left"/>
              <w:textAlignment w:val="center"/>
              <w:rPr>
                <w:rFonts w:hint="eastAsia" w:cs="宋体"/>
                <w:kern w:val="0"/>
                <w:sz w:val="21"/>
                <w:szCs w:val="21"/>
                <w:lang w:bidi="ar"/>
              </w:rPr>
            </w:pPr>
            <w:r>
              <w:rPr>
                <w:rFonts w:hint="eastAsia" w:cs="宋体"/>
                <w:bCs/>
                <w:kern w:val="0"/>
                <w:sz w:val="21"/>
                <w:szCs w:val="21"/>
                <w:lang w:bidi="ar"/>
              </w:rPr>
              <w:t>大坝混凝土浇筑优先采用大型整体钢模板和定型钢模板，施工过程中做好模板保护，提高模板循环利用率，节约模板用量。</w:t>
            </w:r>
          </w:p>
        </w:tc>
        <w:tc>
          <w:tcPr>
            <w:tcW w:w="4111" w:type="dxa"/>
            <w:vMerge w:val="continue"/>
            <w:tcBorders>
              <w:left w:val="single" w:color="000000" w:sz="4" w:space="0"/>
              <w:right w:val="single" w:color="000000" w:sz="4" w:space="0"/>
            </w:tcBorders>
            <w:shd w:val="clear" w:color="auto" w:fill="auto"/>
            <w:vAlign w:val="center"/>
          </w:tcPr>
          <w:p w14:paraId="65B1C603">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66111">
            <w:pPr>
              <w:jc w:val="center"/>
              <w:textAlignment w:val="center"/>
              <w:rPr>
                <w:rFonts w:hint="eastAsia" w:cs="宋体"/>
                <w:kern w:val="0"/>
                <w:sz w:val="21"/>
                <w:szCs w:val="21"/>
                <w:lang w:bidi="ar"/>
              </w:rPr>
            </w:pPr>
            <w:r>
              <w:rPr>
                <w:rFonts w:hint="eastAsia" w:cs="宋体"/>
                <w:bCs/>
                <w:kern w:val="0"/>
                <w:sz w:val="21"/>
                <w:szCs w:val="21"/>
                <w:lang w:bidi="ar"/>
              </w:rPr>
              <w:t>0</w:t>
            </w:r>
            <w:r>
              <w:rPr>
                <w:rFonts w:cs="宋体"/>
                <w:bCs/>
                <w:kern w:val="0"/>
                <w:sz w:val="21"/>
                <w:szCs w:val="21"/>
                <w:lang w:bidi="ar"/>
              </w:rPr>
              <w:t>.3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6AC4E">
            <w:pPr>
              <w:jc w:val="left"/>
              <w:textAlignment w:val="center"/>
              <w:rPr>
                <w:rFonts w:hint="eastAsia" w:cs="宋体"/>
                <w:kern w:val="0"/>
                <w:sz w:val="21"/>
                <w:szCs w:val="21"/>
                <w:lang w:bidi="ar"/>
              </w:rPr>
            </w:pPr>
          </w:p>
        </w:tc>
      </w:tr>
      <w:tr w14:paraId="5E364B5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EA954">
            <w:pPr>
              <w:jc w:val="center"/>
              <w:textAlignment w:val="center"/>
              <w:rPr>
                <w:rFonts w:hint="eastAsia" w:cs="宋体"/>
                <w:kern w:val="0"/>
                <w:sz w:val="21"/>
                <w:szCs w:val="21"/>
                <w:lang w:bidi="ar"/>
              </w:rPr>
            </w:pPr>
            <w:r>
              <w:rPr>
                <w:rFonts w:hint="eastAsia" w:cs="宋体"/>
                <w:kern w:val="0"/>
                <w:sz w:val="21"/>
                <w:szCs w:val="21"/>
                <w:lang w:bidi="ar"/>
              </w:rPr>
              <w:t>3</w:t>
            </w:r>
            <w:r>
              <w:rPr>
                <w:rFonts w:cs="宋体"/>
                <w:kern w:val="0"/>
                <w:sz w:val="21"/>
                <w:szCs w:val="21"/>
                <w:lang w:bidi="ar"/>
              </w:rPr>
              <w:t>)</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2CDB6">
            <w:pPr>
              <w:jc w:val="left"/>
              <w:textAlignment w:val="center"/>
              <w:rPr>
                <w:rFonts w:hint="eastAsia" w:cs="宋体"/>
                <w:kern w:val="0"/>
                <w:sz w:val="21"/>
                <w:szCs w:val="21"/>
                <w:lang w:bidi="ar"/>
              </w:rPr>
            </w:pPr>
            <w:r>
              <w:rPr>
                <w:rFonts w:hint="eastAsia" w:cs="宋体"/>
                <w:bCs/>
                <w:kern w:val="0"/>
                <w:sz w:val="21"/>
                <w:szCs w:val="21"/>
                <w:lang w:bidi="ar"/>
              </w:rPr>
              <w:t>合理使用开挖渣料，有用渣料破碎作为混凝土骨料、坝体或围堰填筑料，无用渣料用于平整施工场地、临时道路。</w:t>
            </w:r>
          </w:p>
        </w:tc>
        <w:tc>
          <w:tcPr>
            <w:tcW w:w="4111" w:type="dxa"/>
            <w:vMerge w:val="continue"/>
            <w:tcBorders>
              <w:left w:val="single" w:color="000000" w:sz="4" w:space="0"/>
              <w:right w:val="single" w:color="000000" w:sz="4" w:space="0"/>
            </w:tcBorders>
            <w:shd w:val="clear" w:color="auto" w:fill="auto"/>
            <w:vAlign w:val="center"/>
          </w:tcPr>
          <w:p w14:paraId="18CAA2ED">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90F7A">
            <w:pPr>
              <w:jc w:val="center"/>
              <w:textAlignment w:val="center"/>
              <w:rPr>
                <w:rFonts w:hint="eastAsia" w:cs="宋体"/>
                <w:kern w:val="0"/>
                <w:sz w:val="21"/>
                <w:szCs w:val="21"/>
                <w:lang w:bidi="ar"/>
              </w:rPr>
            </w:pPr>
            <w:r>
              <w:rPr>
                <w:rFonts w:hint="eastAsia" w:cs="宋体"/>
                <w:bCs/>
                <w:kern w:val="0"/>
                <w:sz w:val="21"/>
                <w:szCs w:val="21"/>
                <w:lang w:bidi="ar"/>
              </w:rPr>
              <w:t>0</w:t>
            </w:r>
            <w:r>
              <w:rPr>
                <w:rFonts w:cs="宋体"/>
                <w:bCs/>
                <w:kern w:val="0"/>
                <w:sz w:val="21"/>
                <w:szCs w:val="21"/>
                <w:lang w:bidi="ar"/>
              </w:rPr>
              <w:t>.4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389B3">
            <w:pPr>
              <w:jc w:val="left"/>
              <w:textAlignment w:val="center"/>
              <w:rPr>
                <w:rFonts w:hint="eastAsia" w:cs="宋体"/>
                <w:kern w:val="0"/>
                <w:sz w:val="21"/>
                <w:szCs w:val="21"/>
                <w:lang w:bidi="ar"/>
              </w:rPr>
            </w:pPr>
          </w:p>
        </w:tc>
      </w:tr>
      <w:tr w14:paraId="0C54B78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5A5CB">
            <w:pPr>
              <w:jc w:val="center"/>
              <w:textAlignment w:val="center"/>
              <w:rPr>
                <w:rFonts w:hint="eastAsia" w:cs="宋体"/>
                <w:kern w:val="0"/>
                <w:sz w:val="21"/>
                <w:szCs w:val="21"/>
                <w:lang w:bidi="ar"/>
              </w:rPr>
            </w:pPr>
            <w:r>
              <w:rPr>
                <w:rFonts w:hint="eastAsia" w:cs="宋体"/>
                <w:kern w:val="0"/>
                <w:sz w:val="21"/>
                <w:szCs w:val="21"/>
                <w:lang w:bidi="ar"/>
              </w:rPr>
              <w:t>4</w:t>
            </w:r>
            <w:r>
              <w:rPr>
                <w:rFonts w:cs="宋体"/>
                <w:kern w:val="0"/>
                <w:sz w:val="21"/>
                <w:szCs w:val="21"/>
                <w:lang w:bidi="ar"/>
              </w:rPr>
              <w:t>)</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63E60">
            <w:pPr>
              <w:jc w:val="left"/>
              <w:textAlignment w:val="center"/>
              <w:rPr>
                <w:rFonts w:hint="eastAsia" w:cs="宋体"/>
                <w:kern w:val="0"/>
                <w:sz w:val="21"/>
                <w:szCs w:val="21"/>
                <w:lang w:bidi="ar"/>
              </w:rPr>
            </w:pPr>
            <w:r>
              <w:rPr>
                <w:rFonts w:hint="eastAsia" w:cs="宋体"/>
                <w:bCs/>
                <w:kern w:val="0"/>
                <w:sz w:val="21"/>
                <w:szCs w:val="21"/>
                <w:lang w:bidi="ar"/>
              </w:rPr>
              <w:t>风道、桥架、管路、支吊架等采用工厂制作、现场拼装的方式，钢结构安装采用分段吊装、整体提升、滑移、顶升等安装方法，减少措施性钢材用量。</w:t>
            </w:r>
          </w:p>
        </w:tc>
        <w:tc>
          <w:tcPr>
            <w:tcW w:w="4111" w:type="dxa"/>
            <w:vMerge w:val="continue"/>
            <w:tcBorders>
              <w:left w:val="single" w:color="000000" w:sz="4" w:space="0"/>
              <w:right w:val="single" w:color="000000" w:sz="4" w:space="0"/>
            </w:tcBorders>
            <w:shd w:val="clear" w:color="auto" w:fill="auto"/>
            <w:vAlign w:val="center"/>
          </w:tcPr>
          <w:p w14:paraId="58F3DCB7">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72B47">
            <w:pPr>
              <w:jc w:val="center"/>
              <w:textAlignment w:val="center"/>
              <w:rPr>
                <w:rFonts w:hint="eastAsia" w:cs="宋体"/>
                <w:kern w:val="0"/>
                <w:sz w:val="21"/>
                <w:szCs w:val="21"/>
                <w:lang w:bidi="ar"/>
              </w:rPr>
            </w:pPr>
            <w:r>
              <w:rPr>
                <w:rFonts w:hint="eastAsia" w:cs="宋体"/>
                <w:bCs/>
                <w:kern w:val="0"/>
                <w:sz w:val="21"/>
                <w:szCs w:val="21"/>
                <w:lang w:bidi="ar"/>
              </w:rPr>
              <w:t>0</w:t>
            </w:r>
            <w:r>
              <w:rPr>
                <w:rFonts w:cs="宋体"/>
                <w:bCs/>
                <w:kern w:val="0"/>
                <w:sz w:val="21"/>
                <w:szCs w:val="21"/>
                <w:lang w:bidi="ar"/>
              </w:rPr>
              <w:t>.3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4119D">
            <w:pPr>
              <w:jc w:val="left"/>
              <w:textAlignment w:val="center"/>
              <w:rPr>
                <w:rFonts w:hint="eastAsia" w:cs="宋体"/>
                <w:kern w:val="0"/>
                <w:sz w:val="21"/>
                <w:szCs w:val="21"/>
                <w:lang w:bidi="ar"/>
              </w:rPr>
            </w:pPr>
          </w:p>
        </w:tc>
      </w:tr>
      <w:tr w14:paraId="62327BE7">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1D438">
            <w:pPr>
              <w:jc w:val="center"/>
              <w:textAlignment w:val="center"/>
              <w:rPr>
                <w:rFonts w:hint="eastAsia" w:cs="宋体"/>
                <w:kern w:val="0"/>
                <w:sz w:val="21"/>
                <w:szCs w:val="21"/>
                <w:lang w:bidi="ar"/>
              </w:rPr>
            </w:pPr>
            <w:r>
              <w:rPr>
                <w:rFonts w:hint="eastAsia" w:cs="宋体"/>
                <w:kern w:val="0"/>
                <w:sz w:val="21"/>
                <w:szCs w:val="21"/>
                <w:lang w:bidi="ar"/>
              </w:rPr>
              <w:t>5</w:t>
            </w:r>
            <w:r>
              <w:rPr>
                <w:rFonts w:cs="宋体"/>
                <w:kern w:val="0"/>
                <w:sz w:val="21"/>
                <w:szCs w:val="21"/>
                <w:lang w:bidi="ar"/>
              </w:rPr>
              <w:t>)</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72CD4">
            <w:pPr>
              <w:jc w:val="left"/>
              <w:textAlignment w:val="center"/>
              <w:rPr>
                <w:rFonts w:hint="eastAsia" w:cs="宋体"/>
                <w:kern w:val="0"/>
                <w:sz w:val="21"/>
                <w:szCs w:val="21"/>
                <w:lang w:bidi="ar"/>
              </w:rPr>
            </w:pPr>
            <w:r>
              <w:rPr>
                <w:rFonts w:hint="eastAsia" w:cs="宋体"/>
                <w:bCs/>
                <w:kern w:val="0"/>
                <w:sz w:val="21"/>
                <w:szCs w:val="21"/>
                <w:lang w:bidi="ar"/>
              </w:rPr>
              <w:t>采用智能灌浆系统进行灌浆施工，减少浆液损失，节约水泥用量。</w:t>
            </w:r>
          </w:p>
        </w:tc>
        <w:tc>
          <w:tcPr>
            <w:tcW w:w="4111" w:type="dxa"/>
            <w:vMerge w:val="continue"/>
            <w:tcBorders>
              <w:left w:val="single" w:color="000000" w:sz="4" w:space="0"/>
              <w:right w:val="single" w:color="000000" w:sz="4" w:space="0"/>
            </w:tcBorders>
            <w:shd w:val="clear" w:color="auto" w:fill="auto"/>
            <w:vAlign w:val="center"/>
          </w:tcPr>
          <w:p w14:paraId="2A4F9B9B">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153F0">
            <w:pPr>
              <w:jc w:val="center"/>
              <w:textAlignment w:val="center"/>
              <w:rPr>
                <w:rFonts w:hint="eastAsia" w:cs="宋体"/>
                <w:kern w:val="0"/>
                <w:sz w:val="21"/>
                <w:szCs w:val="21"/>
                <w:lang w:bidi="ar"/>
              </w:rPr>
            </w:pPr>
            <w:r>
              <w:rPr>
                <w:rFonts w:hint="eastAsia" w:cs="宋体"/>
                <w:bCs/>
                <w:kern w:val="0"/>
                <w:sz w:val="21"/>
                <w:szCs w:val="21"/>
                <w:lang w:bidi="ar"/>
              </w:rPr>
              <w:t>0</w:t>
            </w:r>
            <w:r>
              <w:rPr>
                <w:rFonts w:cs="宋体"/>
                <w:bCs/>
                <w:kern w:val="0"/>
                <w:sz w:val="21"/>
                <w:szCs w:val="21"/>
                <w:lang w:bidi="ar"/>
              </w:rPr>
              <w:t>.3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DF4BA">
            <w:pPr>
              <w:jc w:val="left"/>
              <w:textAlignment w:val="center"/>
              <w:rPr>
                <w:rFonts w:hint="eastAsia" w:cs="宋体"/>
                <w:kern w:val="0"/>
                <w:sz w:val="21"/>
                <w:szCs w:val="21"/>
                <w:lang w:bidi="ar"/>
              </w:rPr>
            </w:pPr>
          </w:p>
        </w:tc>
      </w:tr>
      <w:tr w14:paraId="20FA7C2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84255">
            <w:pPr>
              <w:jc w:val="center"/>
              <w:textAlignment w:val="center"/>
              <w:rPr>
                <w:rFonts w:hint="eastAsia" w:cs="宋体"/>
                <w:kern w:val="0"/>
                <w:sz w:val="21"/>
                <w:szCs w:val="21"/>
                <w:lang w:bidi="ar"/>
              </w:rPr>
            </w:pPr>
            <w:r>
              <w:rPr>
                <w:rFonts w:hint="eastAsia" w:cs="宋体"/>
                <w:kern w:val="0"/>
                <w:sz w:val="21"/>
                <w:szCs w:val="21"/>
                <w:lang w:bidi="ar"/>
              </w:rPr>
              <w:t>6</w:t>
            </w:r>
            <w:r>
              <w:rPr>
                <w:rFonts w:cs="宋体"/>
                <w:kern w:val="0"/>
                <w:sz w:val="21"/>
                <w:szCs w:val="21"/>
                <w:lang w:bidi="ar"/>
              </w:rPr>
              <w:t>)</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5828F">
            <w:pPr>
              <w:jc w:val="left"/>
              <w:textAlignment w:val="center"/>
              <w:rPr>
                <w:rFonts w:hint="eastAsia" w:cs="宋体"/>
                <w:kern w:val="0"/>
                <w:sz w:val="21"/>
                <w:szCs w:val="21"/>
                <w:lang w:bidi="ar"/>
              </w:rPr>
            </w:pPr>
            <w:r>
              <w:rPr>
                <w:rFonts w:hint="eastAsia" w:cs="宋体"/>
                <w:bCs/>
                <w:kern w:val="0"/>
                <w:sz w:val="21"/>
                <w:szCs w:val="21"/>
                <w:lang w:bidi="ar"/>
              </w:rPr>
              <w:t>厂房、主变室、开关站等部位吊顶、地砖、墙砖施工宜进行二次设计，减少材料损耗，提高装修装饰效果。</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1E8E6CF6">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6D802">
            <w:pPr>
              <w:jc w:val="center"/>
              <w:textAlignment w:val="center"/>
              <w:rPr>
                <w:rFonts w:hint="eastAsia" w:cs="宋体"/>
                <w:kern w:val="0"/>
                <w:sz w:val="21"/>
                <w:szCs w:val="21"/>
                <w:lang w:bidi="ar"/>
              </w:rPr>
            </w:pPr>
            <w:r>
              <w:rPr>
                <w:rFonts w:hint="eastAsia" w:cs="宋体"/>
                <w:bCs/>
                <w:kern w:val="0"/>
                <w:sz w:val="21"/>
                <w:szCs w:val="21"/>
                <w:lang w:bidi="ar"/>
              </w:rPr>
              <w:t>0</w:t>
            </w:r>
            <w:r>
              <w:rPr>
                <w:rFonts w:cs="宋体"/>
                <w:bCs/>
                <w:kern w:val="0"/>
                <w:sz w:val="21"/>
                <w:szCs w:val="21"/>
                <w:lang w:bidi="ar"/>
              </w:rPr>
              <w:t>.3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998E0">
            <w:pPr>
              <w:jc w:val="left"/>
              <w:textAlignment w:val="center"/>
              <w:rPr>
                <w:rFonts w:hint="eastAsia" w:cs="宋体"/>
                <w:kern w:val="0"/>
                <w:sz w:val="21"/>
                <w:szCs w:val="21"/>
                <w:lang w:bidi="ar"/>
              </w:rPr>
            </w:pPr>
          </w:p>
        </w:tc>
      </w:tr>
      <w:tr w14:paraId="2B41982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AAA08">
            <w:pPr>
              <w:jc w:val="center"/>
              <w:textAlignment w:val="center"/>
              <w:rPr>
                <w:rFonts w:hint="eastAsia" w:cs="宋体"/>
                <w:kern w:val="0"/>
                <w:sz w:val="21"/>
                <w:szCs w:val="21"/>
                <w:lang w:bidi="ar"/>
              </w:rPr>
            </w:pPr>
            <w:r>
              <w:rPr>
                <w:rFonts w:hint="eastAsia" w:cs="宋体"/>
                <w:kern w:val="0"/>
                <w:sz w:val="21"/>
                <w:szCs w:val="21"/>
                <w:lang w:bidi="ar"/>
              </w:rPr>
              <w:t xml:space="preserve">6.3.4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9CD06">
            <w:pPr>
              <w:jc w:val="left"/>
              <w:textAlignment w:val="center"/>
              <w:rPr>
                <w:rFonts w:hint="eastAsia" w:cs="宋体"/>
                <w:kern w:val="0"/>
                <w:sz w:val="21"/>
                <w:szCs w:val="21"/>
                <w:lang w:bidi="ar"/>
              </w:rPr>
            </w:pPr>
            <w:r>
              <w:rPr>
                <w:rFonts w:hint="eastAsia" w:cs="宋体"/>
                <w:kern w:val="0"/>
                <w:sz w:val="21"/>
                <w:szCs w:val="21"/>
                <w:lang w:bidi="ar"/>
              </w:rPr>
              <w:t>风力发电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B2A09">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8605B">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548AC">
            <w:pPr>
              <w:jc w:val="left"/>
              <w:textAlignment w:val="center"/>
              <w:rPr>
                <w:rFonts w:hint="eastAsia" w:cs="宋体"/>
                <w:kern w:val="0"/>
                <w:sz w:val="21"/>
                <w:szCs w:val="21"/>
                <w:lang w:bidi="ar"/>
              </w:rPr>
            </w:pPr>
          </w:p>
        </w:tc>
      </w:tr>
      <w:tr w14:paraId="5849CEED">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69CFC">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12558">
            <w:pPr>
              <w:jc w:val="left"/>
              <w:textAlignment w:val="center"/>
              <w:rPr>
                <w:rFonts w:hint="eastAsia" w:cs="宋体"/>
                <w:kern w:val="0"/>
                <w:sz w:val="21"/>
                <w:szCs w:val="21"/>
                <w:lang w:bidi="ar"/>
              </w:rPr>
            </w:pPr>
            <w:r>
              <w:rPr>
                <w:rFonts w:hint="eastAsia" w:cs="宋体"/>
                <w:kern w:val="0"/>
                <w:sz w:val="21"/>
                <w:szCs w:val="21"/>
                <w:lang w:bidi="ar"/>
              </w:rPr>
              <w:t>陆上风电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28AD8">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54D45">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230E0">
            <w:pPr>
              <w:jc w:val="left"/>
              <w:textAlignment w:val="center"/>
              <w:rPr>
                <w:rFonts w:hint="eastAsia" w:cs="宋体"/>
                <w:kern w:val="0"/>
                <w:sz w:val="21"/>
                <w:szCs w:val="21"/>
                <w:lang w:bidi="ar"/>
              </w:rPr>
            </w:pPr>
          </w:p>
        </w:tc>
      </w:tr>
      <w:tr w14:paraId="2D6B727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433DD">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66FFE">
            <w:pPr>
              <w:adjustRightInd w:val="0"/>
              <w:snapToGrid w:val="0"/>
              <w:rPr>
                <w:rFonts w:hint="eastAsia" w:cs="Times New Roman"/>
                <w:sz w:val="21"/>
                <w:szCs w:val="21"/>
              </w:rPr>
            </w:pPr>
            <w:r>
              <w:rPr>
                <w:rFonts w:hint="eastAsia" w:cs="Times New Roman"/>
                <w:sz w:val="21"/>
                <w:szCs w:val="21"/>
              </w:rPr>
              <w:t>风机基础钢筋应用数字化加工、加工厂集中加工、信息化管理等方式实现精准下料和定制化采购，降低基础钢筋损耗率。</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68531A6B">
            <w:pPr>
              <w:jc w:val="left"/>
              <w:rPr>
                <w:rFonts w:hint="eastAsia"/>
                <w:sz w:val="21"/>
                <w:szCs w:val="21"/>
              </w:rPr>
            </w:pPr>
            <w:r>
              <w:rPr>
                <w:rFonts w:hint="eastAsia"/>
                <w:sz w:val="21"/>
                <w:szCs w:val="21"/>
              </w:rPr>
              <w:t>根据现场实际情况按照标准分乘以相应系数进行评分：</w:t>
            </w:r>
          </w:p>
          <w:p w14:paraId="57296F15">
            <w:pPr>
              <w:jc w:val="left"/>
              <w:rPr>
                <w:rFonts w:hint="eastAsia"/>
                <w:sz w:val="21"/>
                <w:szCs w:val="21"/>
              </w:rPr>
            </w:pPr>
            <w:r>
              <w:rPr>
                <w:rFonts w:hint="eastAsia"/>
                <w:sz w:val="21"/>
                <w:szCs w:val="21"/>
              </w:rPr>
              <w:t>1、措施到位，满足评价指标要求系数为1；</w:t>
            </w:r>
          </w:p>
          <w:p w14:paraId="6B976E44">
            <w:pPr>
              <w:jc w:val="left"/>
              <w:rPr>
                <w:rFonts w:hint="eastAsia" w:cs="宋体"/>
                <w:sz w:val="21"/>
                <w:szCs w:val="21"/>
              </w:rPr>
            </w:pPr>
            <w:r>
              <w:rPr>
                <w:rFonts w:hint="eastAsia"/>
                <w:sz w:val="21"/>
                <w:szCs w:val="21"/>
              </w:rPr>
              <w:t>2、措施到位，基本满足评价指标要求系数按照0.5~0.9酌情选取；</w:t>
            </w:r>
          </w:p>
          <w:p w14:paraId="2B6E074A">
            <w:pPr>
              <w:jc w:val="left"/>
              <w:textAlignment w:val="center"/>
              <w:rPr>
                <w:rFonts w:hint="eastAsia" w:cs="宋体"/>
                <w:kern w:val="0"/>
                <w:sz w:val="21"/>
                <w:szCs w:val="21"/>
                <w:lang w:bidi="ar"/>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A5A9B">
            <w:pPr>
              <w:jc w:val="center"/>
              <w:textAlignment w:val="center"/>
              <w:rPr>
                <w:rFonts w:hint="eastAsia" w:cs="宋体"/>
                <w:kern w:val="0"/>
                <w:sz w:val="21"/>
                <w:szCs w:val="21"/>
                <w:lang w:bidi="ar"/>
              </w:rPr>
            </w:pPr>
            <w:r>
              <w:rPr>
                <w:rFonts w:hint="eastAsia" w:cs="宋体"/>
                <w:kern w:val="0"/>
                <w:sz w:val="21"/>
                <w:szCs w:val="21"/>
                <w:lang w:bidi="ar"/>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2B30B">
            <w:pPr>
              <w:jc w:val="left"/>
              <w:textAlignment w:val="center"/>
              <w:rPr>
                <w:rFonts w:hint="eastAsia" w:cs="宋体"/>
                <w:kern w:val="0"/>
                <w:sz w:val="21"/>
                <w:szCs w:val="21"/>
                <w:lang w:bidi="ar"/>
              </w:rPr>
            </w:pPr>
          </w:p>
        </w:tc>
      </w:tr>
      <w:tr w14:paraId="4802E922">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2B498">
            <w:pPr>
              <w:jc w:val="center"/>
              <w:textAlignment w:val="center"/>
              <w:rPr>
                <w:rFonts w:hint="eastAsia" w:cs="宋体"/>
                <w:kern w:val="0"/>
                <w:sz w:val="21"/>
                <w:szCs w:val="21"/>
                <w:lang w:bidi="ar"/>
              </w:rPr>
            </w:pPr>
            <w:r>
              <w:rPr>
                <w:rFonts w:hint="eastAsia" w:cs="Times New Roman"/>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6E6A2">
            <w:pPr>
              <w:adjustRightInd w:val="0"/>
              <w:snapToGrid w:val="0"/>
              <w:rPr>
                <w:rFonts w:hint="eastAsia" w:cs="Times New Roman"/>
                <w:sz w:val="21"/>
                <w:szCs w:val="21"/>
              </w:rPr>
            </w:pPr>
            <w:r>
              <w:rPr>
                <w:rFonts w:hint="eastAsia" w:cs="Times New Roman"/>
                <w:sz w:val="21"/>
                <w:szCs w:val="21"/>
              </w:rPr>
              <w:t>优化风机基础大体积混凝土配合比设计，减少水泥用量。</w:t>
            </w:r>
          </w:p>
        </w:tc>
        <w:tc>
          <w:tcPr>
            <w:tcW w:w="4111" w:type="dxa"/>
            <w:vMerge w:val="continue"/>
            <w:tcBorders>
              <w:left w:val="single" w:color="000000" w:sz="4" w:space="0"/>
              <w:right w:val="single" w:color="000000" w:sz="4" w:space="0"/>
            </w:tcBorders>
            <w:shd w:val="clear" w:color="auto" w:fill="auto"/>
            <w:vAlign w:val="center"/>
          </w:tcPr>
          <w:p w14:paraId="63EAD6A0">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8A90B">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9DA91">
            <w:pPr>
              <w:jc w:val="left"/>
              <w:textAlignment w:val="center"/>
              <w:rPr>
                <w:rFonts w:hint="eastAsia" w:cs="宋体"/>
                <w:kern w:val="0"/>
                <w:sz w:val="21"/>
                <w:szCs w:val="21"/>
                <w:lang w:bidi="ar"/>
              </w:rPr>
            </w:pPr>
          </w:p>
        </w:tc>
      </w:tr>
      <w:tr w14:paraId="2FD0B57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68BF4">
            <w:pPr>
              <w:jc w:val="center"/>
              <w:textAlignment w:val="center"/>
              <w:rPr>
                <w:rFonts w:hint="eastAsia" w:cs="宋体"/>
                <w:kern w:val="0"/>
                <w:sz w:val="21"/>
                <w:szCs w:val="21"/>
                <w:lang w:bidi="ar"/>
              </w:rPr>
            </w:pPr>
            <w:r>
              <w:rPr>
                <w:rFonts w:hint="eastAsia" w:cs="Times New Roman"/>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3D7E0">
            <w:pPr>
              <w:adjustRightInd w:val="0"/>
              <w:snapToGrid w:val="0"/>
              <w:rPr>
                <w:rFonts w:hint="eastAsia" w:cs="Times New Roman"/>
                <w:sz w:val="21"/>
                <w:szCs w:val="21"/>
              </w:rPr>
            </w:pPr>
            <w:r>
              <w:rPr>
                <w:rFonts w:hint="eastAsia" w:cs="Times New Roman"/>
                <w:sz w:val="21"/>
                <w:szCs w:val="21"/>
              </w:rPr>
              <w:t>准确计算风机基础混凝土浇筑量，有控制混凝土搅拌量超出浇筑量产生废料的措施。</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1A1D63C0">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87924">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C435B">
            <w:pPr>
              <w:jc w:val="left"/>
              <w:textAlignment w:val="center"/>
              <w:rPr>
                <w:rFonts w:hint="eastAsia" w:cs="宋体"/>
                <w:kern w:val="0"/>
                <w:sz w:val="21"/>
                <w:szCs w:val="21"/>
                <w:lang w:bidi="ar"/>
              </w:rPr>
            </w:pPr>
          </w:p>
        </w:tc>
      </w:tr>
      <w:tr w14:paraId="32442B33">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EE4BB">
            <w:pPr>
              <w:jc w:val="center"/>
              <w:textAlignment w:val="center"/>
              <w:rPr>
                <w:rFonts w:hint="eastAsia" w:cs="Times New Roman"/>
                <w:sz w:val="21"/>
                <w:szCs w:val="21"/>
              </w:rPr>
            </w:pPr>
            <w:r>
              <w:rPr>
                <w:rFonts w:hint="eastAsia" w:cs="Times New Roman"/>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9CADA">
            <w:pPr>
              <w:adjustRightInd w:val="0"/>
              <w:snapToGrid w:val="0"/>
              <w:rPr>
                <w:rFonts w:hint="eastAsia" w:cs="Times New Roman"/>
                <w:sz w:val="21"/>
                <w:szCs w:val="21"/>
              </w:rPr>
            </w:pPr>
            <w:r>
              <w:rPr>
                <w:rFonts w:hint="eastAsia" w:cs="宋体"/>
                <w:kern w:val="0"/>
                <w:sz w:val="21"/>
                <w:szCs w:val="21"/>
                <w:lang w:bidi="ar"/>
              </w:rPr>
              <w:t>海上风电</w:t>
            </w:r>
          </w:p>
        </w:tc>
        <w:tc>
          <w:tcPr>
            <w:tcW w:w="4111" w:type="dxa"/>
            <w:tcBorders>
              <w:left w:val="single" w:color="000000" w:sz="4" w:space="0"/>
              <w:bottom w:val="single" w:color="000000" w:sz="4" w:space="0"/>
              <w:right w:val="single" w:color="000000" w:sz="4" w:space="0"/>
            </w:tcBorders>
            <w:shd w:val="clear" w:color="auto" w:fill="auto"/>
            <w:vAlign w:val="center"/>
          </w:tcPr>
          <w:p w14:paraId="1E57DCD9">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02788">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956D0">
            <w:pPr>
              <w:jc w:val="left"/>
              <w:textAlignment w:val="center"/>
              <w:rPr>
                <w:rFonts w:hint="eastAsia" w:cs="宋体"/>
                <w:kern w:val="0"/>
                <w:sz w:val="21"/>
                <w:szCs w:val="21"/>
                <w:lang w:bidi="ar"/>
              </w:rPr>
            </w:pPr>
          </w:p>
        </w:tc>
      </w:tr>
      <w:tr w14:paraId="5E6E610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A21DC">
            <w:pPr>
              <w:jc w:val="center"/>
              <w:textAlignment w:val="center"/>
              <w:rPr>
                <w:rFonts w:hint="eastAsia" w:cs="宋体"/>
                <w:kern w:val="0"/>
                <w:sz w:val="21"/>
                <w:szCs w:val="21"/>
                <w:lang w:bidi="ar"/>
              </w:rPr>
            </w:pPr>
            <w:r>
              <w:rPr>
                <w:rFonts w:hint="eastAsia" w:cs="Times New Roman"/>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1E90F">
            <w:pPr>
              <w:adjustRightInd w:val="0"/>
              <w:snapToGrid w:val="0"/>
              <w:rPr>
                <w:rFonts w:hint="eastAsia" w:cs="Times New Roman"/>
                <w:sz w:val="21"/>
                <w:szCs w:val="21"/>
              </w:rPr>
            </w:pPr>
            <w:r>
              <w:rPr>
                <w:rFonts w:hint="eastAsia" w:cs="Times New Roman"/>
                <w:sz w:val="21"/>
                <w:szCs w:val="21"/>
              </w:rPr>
              <w:t>钢管桩、塔架等大宗钢结构采用工厂制作的方式，钢结构采用分段制作、整体提升、滑移、拼装等方法，提高材料利用率、减少措施性钢材用量。</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5EC6D344">
            <w:pPr>
              <w:jc w:val="left"/>
              <w:rPr>
                <w:rFonts w:hint="eastAsia"/>
                <w:sz w:val="21"/>
                <w:szCs w:val="21"/>
              </w:rPr>
            </w:pPr>
            <w:r>
              <w:rPr>
                <w:rFonts w:hint="eastAsia"/>
                <w:sz w:val="21"/>
                <w:szCs w:val="21"/>
              </w:rPr>
              <w:t>根据现场实际情况按照标准分乘以相应系数进行评分：</w:t>
            </w:r>
          </w:p>
          <w:p w14:paraId="0CA3CA59">
            <w:pPr>
              <w:jc w:val="left"/>
              <w:rPr>
                <w:rFonts w:hint="eastAsia"/>
                <w:sz w:val="21"/>
                <w:szCs w:val="21"/>
              </w:rPr>
            </w:pPr>
            <w:r>
              <w:rPr>
                <w:rFonts w:hint="eastAsia"/>
                <w:sz w:val="21"/>
                <w:szCs w:val="21"/>
              </w:rPr>
              <w:t>1、措施到位，满足评价指标要求系数为1；</w:t>
            </w:r>
          </w:p>
          <w:p w14:paraId="0296685D">
            <w:pPr>
              <w:jc w:val="left"/>
              <w:rPr>
                <w:rFonts w:hint="eastAsia" w:cs="宋体"/>
                <w:sz w:val="21"/>
                <w:szCs w:val="21"/>
              </w:rPr>
            </w:pPr>
            <w:r>
              <w:rPr>
                <w:rFonts w:hint="eastAsia"/>
                <w:sz w:val="21"/>
                <w:szCs w:val="21"/>
              </w:rPr>
              <w:t>2、措施到位，基本满足评价指标要求系数按照0.5~0.9酌情选取；</w:t>
            </w:r>
          </w:p>
          <w:p w14:paraId="5F2E7BD2">
            <w:pPr>
              <w:jc w:val="left"/>
              <w:textAlignment w:val="center"/>
              <w:rPr>
                <w:rFonts w:hint="eastAsia" w:cs="宋体"/>
                <w:kern w:val="0"/>
                <w:sz w:val="21"/>
                <w:szCs w:val="21"/>
                <w:lang w:bidi="ar"/>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0FE70">
            <w:pPr>
              <w:jc w:val="center"/>
              <w:textAlignment w:val="center"/>
              <w:rPr>
                <w:rFonts w:hint="eastAsia" w:cs="宋体"/>
                <w:kern w:val="0"/>
                <w:sz w:val="21"/>
                <w:szCs w:val="21"/>
                <w:lang w:bidi="ar"/>
              </w:rPr>
            </w:pPr>
            <w:r>
              <w:rPr>
                <w:rFonts w:hint="eastAsia" w:cs="宋体"/>
                <w:kern w:val="0"/>
                <w:sz w:val="21"/>
                <w:szCs w:val="21"/>
                <w:lang w:bidi="ar"/>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DBC51">
            <w:pPr>
              <w:jc w:val="left"/>
              <w:textAlignment w:val="center"/>
              <w:rPr>
                <w:rFonts w:hint="eastAsia" w:cs="宋体"/>
                <w:kern w:val="0"/>
                <w:sz w:val="21"/>
                <w:szCs w:val="21"/>
                <w:lang w:bidi="ar"/>
              </w:rPr>
            </w:pPr>
          </w:p>
        </w:tc>
      </w:tr>
      <w:tr w14:paraId="176BD92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CBE61">
            <w:pPr>
              <w:jc w:val="center"/>
              <w:textAlignment w:val="center"/>
              <w:rPr>
                <w:rFonts w:hint="eastAsia" w:cs="宋体"/>
                <w:kern w:val="0"/>
                <w:sz w:val="21"/>
                <w:szCs w:val="21"/>
                <w:lang w:bidi="ar"/>
              </w:rPr>
            </w:pPr>
            <w:r>
              <w:rPr>
                <w:rFonts w:hint="eastAsia" w:cs="Times New Roman"/>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0669A">
            <w:pPr>
              <w:adjustRightInd w:val="0"/>
              <w:snapToGrid w:val="0"/>
              <w:rPr>
                <w:rFonts w:hint="eastAsia" w:cs="Times New Roman"/>
                <w:sz w:val="21"/>
                <w:szCs w:val="21"/>
              </w:rPr>
            </w:pPr>
            <w:r>
              <w:rPr>
                <w:rFonts w:hint="eastAsia" w:cs="Times New Roman"/>
                <w:sz w:val="21"/>
                <w:szCs w:val="21"/>
              </w:rPr>
              <w:t>钢结构和设备的海上运输安装的绑扎件、吊梁、吊装框架、施工平台等施工临建及临时围挡采用可周转重复利用材料。</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001D1A36">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32B42">
            <w:pPr>
              <w:jc w:val="center"/>
              <w:textAlignment w:val="center"/>
              <w:rPr>
                <w:rFonts w:hint="eastAsia" w:cs="宋体"/>
                <w:kern w:val="0"/>
                <w:sz w:val="21"/>
                <w:szCs w:val="21"/>
                <w:lang w:bidi="ar"/>
              </w:rPr>
            </w:pPr>
            <w:r>
              <w:rPr>
                <w:rFonts w:hint="eastAsia" w:cs="宋体"/>
                <w:kern w:val="0"/>
                <w:sz w:val="21"/>
                <w:szCs w:val="21"/>
                <w:lang w:bidi="ar"/>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F722B">
            <w:pPr>
              <w:jc w:val="left"/>
              <w:textAlignment w:val="center"/>
              <w:rPr>
                <w:rFonts w:hint="eastAsia" w:cs="宋体"/>
                <w:kern w:val="0"/>
                <w:sz w:val="21"/>
                <w:szCs w:val="21"/>
                <w:lang w:bidi="ar"/>
              </w:rPr>
            </w:pPr>
          </w:p>
        </w:tc>
      </w:tr>
      <w:tr w14:paraId="5857971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5840F">
            <w:pPr>
              <w:jc w:val="center"/>
              <w:textAlignment w:val="center"/>
              <w:rPr>
                <w:rFonts w:hint="eastAsia" w:cs="宋体"/>
                <w:kern w:val="0"/>
                <w:sz w:val="21"/>
                <w:szCs w:val="21"/>
                <w:lang w:bidi="ar"/>
              </w:rPr>
            </w:pPr>
            <w:r>
              <w:rPr>
                <w:rFonts w:hint="eastAsia" w:cs="宋体"/>
                <w:kern w:val="0"/>
                <w:sz w:val="21"/>
                <w:szCs w:val="21"/>
                <w:lang w:bidi="ar"/>
              </w:rPr>
              <w:t xml:space="preserve">6.3.5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7E858">
            <w:pPr>
              <w:jc w:val="left"/>
              <w:rPr>
                <w:rFonts w:hint="eastAsia" w:cs="宋体"/>
                <w:kern w:val="0"/>
                <w:sz w:val="21"/>
                <w:szCs w:val="21"/>
                <w:lang w:bidi="ar"/>
              </w:rPr>
            </w:pPr>
            <w:r>
              <w:rPr>
                <w:rFonts w:hint="eastAsia" w:cs="宋体"/>
                <w:kern w:val="0"/>
                <w:sz w:val="21"/>
                <w:szCs w:val="21"/>
                <w:lang w:bidi="ar"/>
              </w:rPr>
              <w:t>太阳能发电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98151">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2B1F4">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1B9F5">
            <w:pPr>
              <w:jc w:val="left"/>
              <w:textAlignment w:val="center"/>
              <w:rPr>
                <w:rFonts w:hint="eastAsia" w:cs="宋体"/>
                <w:kern w:val="0"/>
                <w:sz w:val="21"/>
                <w:szCs w:val="21"/>
                <w:lang w:bidi="ar"/>
              </w:rPr>
            </w:pPr>
          </w:p>
        </w:tc>
      </w:tr>
      <w:tr w14:paraId="03C879F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C11D7">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53FB3">
            <w:pPr>
              <w:jc w:val="left"/>
              <w:rPr>
                <w:rFonts w:hint="eastAsia" w:cs="宋体"/>
                <w:sz w:val="21"/>
                <w:szCs w:val="21"/>
              </w:rPr>
            </w:pPr>
            <w:r>
              <w:rPr>
                <w:rFonts w:hint="eastAsia" w:cs="宋体"/>
                <w:kern w:val="0"/>
                <w:sz w:val="21"/>
                <w:szCs w:val="21"/>
                <w:lang w:bidi="ar"/>
              </w:rPr>
              <w:t>陆上光伏发电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95A4B">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9C5CA">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5A85A">
            <w:pPr>
              <w:jc w:val="left"/>
              <w:textAlignment w:val="center"/>
              <w:rPr>
                <w:rFonts w:hint="eastAsia" w:cs="宋体"/>
                <w:kern w:val="0"/>
                <w:sz w:val="21"/>
                <w:szCs w:val="21"/>
                <w:lang w:bidi="ar"/>
              </w:rPr>
            </w:pPr>
          </w:p>
        </w:tc>
      </w:tr>
      <w:tr w14:paraId="6095C01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B902F">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72F4C">
            <w:pPr>
              <w:jc w:val="left"/>
              <w:rPr>
                <w:rFonts w:hint="eastAsia" w:cs="宋体"/>
                <w:kern w:val="0"/>
                <w:sz w:val="21"/>
                <w:szCs w:val="21"/>
                <w:lang w:bidi="ar"/>
              </w:rPr>
            </w:pPr>
            <w:r>
              <w:rPr>
                <w:rFonts w:hint="eastAsia" w:cs="宋体"/>
                <w:kern w:val="0"/>
                <w:sz w:val="21"/>
                <w:szCs w:val="21"/>
                <w:lang w:bidi="ar"/>
              </w:rPr>
              <w:t>应优化基础施工方案，减少基础混凝土浇筑用量</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6F3E3060">
            <w:pPr>
              <w:jc w:val="left"/>
              <w:rPr>
                <w:rFonts w:hint="eastAsia"/>
                <w:sz w:val="21"/>
                <w:szCs w:val="21"/>
              </w:rPr>
            </w:pPr>
            <w:r>
              <w:rPr>
                <w:rFonts w:hint="eastAsia"/>
                <w:sz w:val="21"/>
                <w:szCs w:val="21"/>
              </w:rPr>
              <w:t>根据现场实际情况按照标准分乘以相应系数进行评分：</w:t>
            </w:r>
          </w:p>
          <w:p w14:paraId="3FD2D4CD">
            <w:pPr>
              <w:jc w:val="left"/>
              <w:rPr>
                <w:rFonts w:hint="eastAsia"/>
                <w:sz w:val="21"/>
                <w:szCs w:val="21"/>
              </w:rPr>
            </w:pPr>
            <w:r>
              <w:rPr>
                <w:rFonts w:hint="eastAsia"/>
                <w:sz w:val="21"/>
                <w:szCs w:val="21"/>
              </w:rPr>
              <w:t>1、措施到位，满足评价指标要求系数为1；</w:t>
            </w:r>
          </w:p>
          <w:p w14:paraId="163A951E">
            <w:pPr>
              <w:jc w:val="left"/>
              <w:rPr>
                <w:rFonts w:hint="eastAsia" w:cs="宋体"/>
                <w:sz w:val="21"/>
                <w:szCs w:val="21"/>
              </w:rPr>
            </w:pPr>
            <w:r>
              <w:rPr>
                <w:rFonts w:hint="eastAsia"/>
                <w:sz w:val="21"/>
                <w:szCs w:val="21"/>
              </w:rPr>
              <w:t>2、措施到位，基本满足评价指标要求系数按照0.5~0.9酌情选取；</w:t>
            </w:r>
          </w:p>
          <w:p w14:paraId="60774ECD">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7036F">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BA7EA">
            <w:pPr>
              <w:jc w:val="center"/>
              <w:rPr>
                <w:rFonts w:hint="eastAsia" w:cs="宋体"/>
                <w:sz w:val="21"/>
                <w:szCs w:val="21"/>
              </w:rPr>
            </w:pPr>
          </w:p>
        </w:tc>
      </w:tr>
      <w:tr w14:paraId="62A7F49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7AEA3">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39376">
            <w:pPr>
              <w:jc w:val="left"/>
              <w:rPr>
                <w:rFonts w:hint="eastAsia" w:cs="宋体"/>
                <w:kern w:val="0"/>
                <w:sz w:val="21"/>
                <w:szCs w:val="21"/>
                <w:lang w:bidi="ar"/>
              </w:rPr>
            </w:pPr>
            <w:r>
              <w:rPr>
                <w:rFonts w:hint="eastAsia" w:cs="宋体"/>
                <w:kern w:val="0"/>
                <w:sz w:val="21"/>
                <w:szCs w:val="21"/>
                <w:lang w:bidi="ar"/>
              </w:rPr>
              <w:t>优化光伏组件安装方案，采取合理的二次倒运方案，降低施工过程损坏</w:t>
            </w:r>
          </w:p>
        </w:tc>
        <w:tc>
          <w:tcPr>
            <w:tcW w:w="4111" w:type="dxa"/>
            <w:vMerge w:val="continue"/>
            <w:tcBorders>
              <w:left w:val="single" w:color="000000" w:sz="4" w:space="0"/>
              <w:right w:val="single" w:color="000000" w:sz="4" w:space="0"/>
            </w:tcBorders>
            <w:shd w:val="clear" w:color="auto" w:fill="auto"/>
            <w:vAlign w:val="center"/>
          </w:tcPr>
          <w:p w14:paraId="766CCD3C">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A7FEA">
            <w:pPr>
              <w:jc w:val="center"/>
              <w:rPr>
                <w:rFonts w:hint="eastAsia" w:cs="宋体"/>
                <w:sz w:val="21"/>
                <w:szCs w:val="21"/>
              </w:rPr>
            </w:pPr>
            <w:r>
              <w:rPr>
                <w:rFonts w:hint="eastAsia" w:cs="宋体"/>
                <w:sz w:val="21"/>
                <w:szCs w:val="21"/>
              </w:rPr>
              <w:t>0.2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A1D6E">
            <w:pPr>
              <w:jc w:val="center"/>
              <w:rPr>
                <w:rFonts w:hint="eastAsia" w:cs="宋体"/>
                <w:sz w:val="21"/>
                <w:szCs w:val="21"/>
              </w:rPr>
            </w:pPr>
          </w:p>
        </w:tc>
      </w:tr>
      <w:tr w14:paraId="49224D0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FAAA9">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2F2C1">
            <w:pPr>
              <w:jc w:val="left"/>
              <w:rPr>
                <w:rFonts w:hint="eastAsia" w:cs="宋体"/>
                <w:kern w:val="0"/>
                <w:sz w:val="21"/>
                <w:szCs w:val="21"/>
                <w:lang w:bidi="ar"/>
              </w:rPr>
            </w:pPr>
            <w:r>
              <w:rPr>
                <w:rFonts w:hint="eastAsia" w:cs="宋体"/>
                <w:kern w:val="0"/>
                <w:sz w:val="21"/>
                <w:szCs w:val="21"/>
                <w:lang w:bidi="ar"/>
              </w:rPr>
              <w:t>优化电缆敷设施工方案，并科学合理地进行路径优化、电缆分盘，减少电缆接头，电缆施工损耗率相较额定损耗率减少50%</w:t>
            </w:r>
          </w:p>
        </w:tc>
        <w:tc>
          <w:tcPr>
            <w:tcW w:w="4111" w:type="dxa"/>
            <w:vMerge w:val="continue"/>
            <w:tcBorders>
              <w:left w:val="single" w:color="000000" w:sz="4" w:space="0"/>
              <w:right w:val="single" w:color="000000" w:sz="4" w:space="0"/>
            </w:tcBorders>
            <w:shd w:val="clear" w:color="auto" w:fill="auto"/>
            <w:vAlign w:val="center"/>
          </w:tcPr>
          <w:p w14:paraId="44C7BC64">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31FD8">
            <w:pPr>
              <w:jc w:val="center"/>
              <w:rPr>
                <w:rFonts w:hint="eastAsia" w:cs="宋体"/>
                <w:sz w:val="21"/>
                <w:szCs w:val="21"/>
              </w:rPr>
            </w:pPr>
            <w:r>
              <w:rPr>
                <w:rFonts w:hint="eastAsia" w:cs="宋体"/>
                <w:sz w:val="21"/>
                <w:szCs w:val="21"/>
              </w:rPr>
              <w:t>0.2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9814D">
            <w:pPr>
              <w:jc w:val="center"/>
              <w:rPr>
                <w:rFonts w:hint="eastAsia" w:cs="宋体"/>
                <w:sz w:val="21"/>
                <w:szCs w:val="21"/>
              </w:rPr>
            </w:pPr>
          </w:p>
        </w:tc>
      </w:tr>
      <w:tr w14:paraId="6F1AB5BB">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1C828">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86C5E">
            <w:pPr>
              <w:jc w:val="left"/>
              <w:rPr>
                <w:rFonts w:hint="eastAsia" w:cs="宋体"/>
                <w:kern w:val="0"/>
                <w:sz w:val="21"/>
                <w:szCs w:val="21"/>
                <w:lang w:bidi="ar"/>
              </w:rPr>
            </w:pPr>
            <w:r>
              <w:rPr>
                <w:rFonts w:hint="eastAsia" w:cs="宋体"/>
                <w:kern w:val="0"/>
                <w:sz w:val="21"/>
                <w:szCs w:val="21"/>
                <w:lang w:bidi="ar"/>
              </w:rPr>
              <w:t>优化光伏电站接地敷设方案，减少钢材用量</w:t>
            </w:r>
          </w:p>
        </w:tc>
        <w:tc>
          <w:tcPr>
            <w:tcW w:w="4111" w:type="dxa"/>
            <w:vMerge w:val="continue"/>
            <w:tcBorders>
              <w:left w:val="single" w:color="000000" w:sz="4" w:space="0"/>
              <w:right w:val="single" w:color="000000" w:sz="4" w:space="0"/>
            </w:tcBorders>
            <w:shd w:val="clear" w:color="auto" w:fill="auto"/>
            <w:vAlign w:val="center"/>
          </w:tcPr>
          <w:p w14:paraId="4B8210B7">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809A8">
            <w:pPr>
              <w:jc w:val="center"/>
              <w:rPr>
                <w:rFonts w:hint="eastAsia" w:cs="宋体"/>
                <w:sz w:val="21"/>
                <w:szCs w:val="21"/>
              </w:rPr>
            </w:pPr>
            <w:r>
              <w:rPr>
                <w:rFonts w:hint="eastAsia" w:cs="宋体"/>
                <w:sz w:val="21"/>
                <w:szCs w:val="21"/>
              </w:rPr>
              <w:t>0.2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74F51">
            <w:pPr>
              <w:jc w:val="center"/>
              <w:rPr>
                <w:rFonts w:hint="eastAsia" w:cs="宋体"/>
                <w:sz w:val="21"/>
                <w:szCs w:val="21"/>
              </w:rPr>
            </w:pPr>
          </w:p>
        </w:tc>
      </w:tr>
      <w:tr w14:paraId="1AD171D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AC8EF">
            <w:pPr>
              <w:jc w:val="center"/>
              <w:textAlignment w:val="center"/>
              <w:rPr>
                <w:rFonts w:hint="eastAsia" w:cs="宋体"/>
                <w:kern w:val="0"/>
                <w:sz w:val="21"/>
                <w:szCs w:val="21"/>
                <w:lang w:bidi="ar"/>
              </w:rPr>
            </w:pPr>
            <w:r>
              <w:rPr>
                <w:rFonts w:hint="eastAsia" w:cs="宋体"/>
                <w:kern w:val="0"/>
                <w:sz w:val="21"/>
                <w:szCs w:val="21"/>
                <w:lang w:bidi="ar"/>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B585C">
            <w:pPr>
              <w:jc w:val="left"/>
              <w:rPr>
                <w:rFonts w:hint="eastAsia" w:cs="宋体"/>
                <w:kern w:val="0"/>
                <w:sz w:val="21"/>
                <w:szCs w:val="21"/>
                <w:lang w:bidi="ar"/>
              </w:rPr>
            </w:pPr>
            <w:r>
              <w:rPr>
                <w:rFonts w:hint="eastAsia" w:cs="宋体"/>
                <w:kern w:val="0"/>
                <w:sz w:val="21"/>
                <w:szCs w:val="21"/>
                <w:lang w:bidi="ar"/>
              </w:rPr>
              <w:t>优化光伏发电站内集电线路路径，减少导线和光缆用量</w:t>
            </w:r>
          </w:p>
        </w:tc>
        <w:tc>
          <w:tcPr>
            <w:tcW w:w="4111" w:type="dxa"/>
            <w:vMerge w:val="continue"/>
            <w:tcBorders>
              <w:left w:val="single" w:color="000000" w:sz="4" w:space="0"/>
              <w:right w:val="single" w:color="000000" w:sz="4" w:space="0"/>
            </w:tcBorders>
            <w:shd w:val="clear" w:color="auto" w:fill="auto"/>
            <w:vAlign w:val="center"/>
          </w:tcPr>
          <w:p w14:paraId="44398BAD">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045E9">
            <w:pPr>
              <w:jc w:val="center"/>
              <w:rPr>
                <w:rFonts w:hint="eastAsia" w:cs="宋体"/>
                <w:sz w:val="21"/>
                <w:szCs w:val="21"/>
              </w:rPr>
            </w:pPr>
            <w:r>
              <w:rPr>
                <w:rFonts w:hint="eastAsia" w:cs="宋体"/>
                <w:sz w:val="21"/>
                <w:szCs w:val="21"/>
              </w:rPr>
              <w:t>0.2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6E238">
            <w:pPr>
              <w:jc w:val="center"/>
              <w:rPr>
                <w:rFonts w:hint="eastAsia" w:cs="宋体"/>
                <w:sz w:val="21"/>
                <w:szCs w:val="21"/>
              </w:rPr>
            </w:pPr>
          </w:p>
        </w:tc>
      </w:tr>
      <w:tr w14:paraId="4ABB367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7E897">
            <w:pPr>
              <w:jc w:val="center"/>
              <w:textAlignment w:val="center"/>
              <w:rPr>
                <w:rFonts w:hint="eastAsia" w:cs="宋体"/>
                <w:kern w:val="0"/>
                <w:sz w:val="21"/>
                <w:szCs w:val="21"/>
                <w:lang w:bidi="ar"/>
              </w:rPr>
            </w:pPr>
            <w:r>
              <w:rPr>
                <w:rFonts w:hint="eastAsia" w:cs="宋体"/>
                <w:kern w:val="0"/>
                <w:sz w:val="21"/>
                <w:szCs w:val="21"/>
                <w:lang w:bidi="ar"/>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2D340">
            <w:pPr>
              <w:jc w:val="left"/>
              <w:rPr>
                <w:rFonts w:hint="eastAsia" w:cs="宋体"/>
                <w:kern w:val="0"/>
                <w:sz w:val="21"/>
                <w:szCs w:val="21"/>
                <w:lang w:bidi="ar"/>
              </w:rPr>
            </w:pPr>
            <w:r>
              <w:rPr>
                <w:rFonts w:hint="eastAsia" w:cs="宋体"/>
                <w:kern w:val="0"/>
                <w:sz w:val="21"/>
                <w:szCs w:val="21"/>
                <w:lang w:bidi="ar"/>
              </w:rPr>
              <w:t>优化光伏子阵区道路路径，减少材料损耗</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221F3BC2">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43E8C">
            <w:pPr>
              <w:jc w:val="center"/>
              <w:rPr>
                <w:rFonts w:hint="eastAsia" w:cs="宋体"/>
                <w:sz w:val="21"/>
                <w:szCs w:val="21"/>
              </w:rPr>
            </w:pPr>
            <w:r>
              <w:rPr>
                <w:rFonts w:hint="eastAsia" w:cs="宋体"/>
                <w:sz w:val="21"/>
                <w:szCs w:val="21"/>
              </w:rPr>
              <w:t>0.2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035C3">
            <w:pPr>
              <w:jc w:val="center"/>
              <w:rPr>
                <w:rFonts w:hint="eastAsia" w:cs="宋体"/>
                <w:sz w:val="21"/>
                <w:szCs w:val="21"/>
              </w:rPr>
            </w:pPr>
          </w:p>
        </w:tc>
      </w:tr>
      <w:tr w14:paraId="4BE4D80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4FE53">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D6522">
            <w:pPr>
              <w:jc w:val="left"/>
              <w:rPr>
                <w:rFonts w:hint="eastAsia" w:cs="宋体"/>
                <w:kern w:val="0"/>
                <w:sz w:val="21"/>
                <w:szCs w:val="21"/>
                <w:lang w:bidi="ar"/>
              </w:rPr>
            </w:pPr>
            <w:r>
              <w:rPr>
                <w:rFonts w:hint="eastAsia" w:cs="宋体"/>
                <w:kern w:val="0"/>
                <w:sz w:val="21"/>
                <w:szCs w:val="21"/>
                <w:lang w:bidi="ar"/>
              </w:rPr>
              <w:t>水上光伏发电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D9EEC">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687D9">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64794">
            <w:pPr>
              <w:jc w:val="center"/>
              <w:rPr>
                <w:rFonts w:hint="eastAsia" w:cs="宋体"/>
                <w:sz w:val="21"/>
                <w:szCs w:val="21"/>
              </w:rPr>
            </w:pPr>
          </w:p>
        </w:tc>
      </w:tr>
      <w:tr w14:paraId="339FB4A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F4CAC">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D1FB4">
            <w:pPr>
              <w:jc w:val="left"/>
              <w:rPr>
                <w:rFonts w:hint="eastAsia" w:cs="宋体"/>
                <w:kern w:val="0"/>
                <w:sz w:val="21"/>
                <w:szCs w:val="21"/>
                <w:lang w:bidi="ar"/>
              </w:rPr>
            </w:pPr>
            <w:r>
              <w:rPr>
                <w:rFonts w:hint="eastAsia" w:cs="宋体"/>
                <w:kern w:val="0"/>
                <w:sz w:val="21"/>
                <w:szCs w:val="21"/>
                <w:lang w:bidi="ar"/>
              </w:rPr>
              <w:t>优化水上光伏的浮体布置，减少材料用量</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5D65FF3A">
            <w:pPr>
              <w:jc w:val="left"/>
              <w:rPr>
                <w:rFonts w:hint="eastAsia" w:cs="宋体"/>
                <w:sz w:val="21"/>
                <w:szCs w:val="21"/>
              </w:rPr>
            </w:pPr>
            <w:r>
              <w:rPr>
                <w:rFonts w:hint="eastAsia" w:cs="宋体"/>
                <w:sz w:val="21"/>
                <w:szCs w:val="21"/>
              </w:rPr>
              <w:t>根据现场实际情况按照标准分乘以相应系数进行评分：</w:t>
            </w:r>
          </w:p>
          <w:p w14:paraId="2CFD2ECF">
            <w:pPr>
              <w:jc w:val="left"/>
              <w:rPr>
                <w:rFonts w:hint="eastAsia" w:cs="宋体"/>
                <w:sz w:val="21"/>
                <w:szCs w:val="21"/>
              </w:rPr>
            </w:pPr>
            <w:r>
              <w:rPr>
                <w:rFonts w:hint="eastAsia" w:cs="宋体"/>
                <w:sz w:val="21"/>
                <w:szCs w:val="21"/>
              </w:rPr>
              <w:t>1、措施到位，满足评价指标要求系数为1；</w:t>
            </w:r>
          </w:p>
          <w:p w14:paraId="07F993C5">
            <w:pPr>
              <w:jc w:val="left"/>
              <w:rPr>
                <w:rFonts w:hint="eastAsia" w:cs="宋体"/>
                <w:sz w:val="21"/>
                <w:szCs w:val="21"/>
              </w:rPr>
            </w:pPr>
            <w:r>
              <w:rPr>
                <w:rFonts w:hint="eastAsia" w:cs="宋体"/>
                <w:sz w:val="21"/>
                <w:szCs w:val="21"/>
              </w:rPr>
              <w:t>2、措施到位，基本满足评价指标要求系数按照0.5~0.9酌情选取；</w:t>
            </w:r>
          </w:p>
          <w:p w14:paraId="0CA69482">
            <w:pPr>
              <w:jc w:val="left"/>
              <w:rPr>
                <w:rFonts w:hint="eastAsia" w:cs="宋体"/>
                <w:sz w:val="21"/>
                <w:szCs w:val="21"/>
              </w:rPr>
            </w:pPr>
            <w:r>
              <w:rPr>
                <w:rFonts w:hint="eastAsia" w:cs="宋体"/>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BEB95">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9A15A">
            <w:pPr>
              <w:jc w:val="center"/>
              <w:rPr>
                <w:rFonts w:hint="eastAsia" w:cs="宋体"/>
                <w:sz w:val="21"/>
                <w:szCs w:val="21"/>
              </w:rPr>
            </w:pPr>
          </w:p>
        </w:tc>
      </w:tr>
      <w:tr w14:paraId="0F15C12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2B5BA">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25D7C">
            <w:pPr>
              <w:jc w:val="left"/>
              <w:rPr>
                <w:rFonts w:hint="eastAsia" w:cs="宋体"/>
                <w:kern w:val="0"/>
                <w:sz w:val="21"/>
                <w:szCs w:val="21"/>
                <w:lang w:bidi="ar"/>
              </w:rPr>
            </w:pPr>
            <w:r>
              <w:rPr>
                <w:rFonts w:hint="eastAsia" w:cs="宋体"/>
                <w:kern w:val="0"/>
                <w:sz w:val="21"/>
                <w:szCs w:val="21"/>
                <w:lang w:bidi="ar"/>
              </w:rPr>
              <w:t>光伏组件安装方案应科学可行，光伏组件水上倒运应合理，减少施工过程损坏</w:t>
            </w:r>
          </w:p>
        </w:tc>
        <w:tc>
          <w:tcPr>
            <w:tcW w:w="4111" w:type="dxa"/>
            <w:vMerge w:val="continue"/>
            <w:tcBorders>
              <w:left w:val="single" w:color="000000" w:sz="4" w:space="0"/>
              <w:right w:val="single" w:color="000000" w:sz="4" w:space="0"/>
            </w:tcBorders>
            <w:shd w:val="clear" w:color="auto" w:fill="auto"/>
            <w:vAlign w:val="center"/>
          </w:tcPr>
          <w:p w14:paraId="2CA951BD">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18484">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5B963">
            <w:pPr>
              <w:jc w:val="center"/>
              <w:rPr>
                <w:rFonts w:hint="eastAsia" w:cs="宋体"/>
                <w:sz w:val="21"/>
                <w:szCs w:val="21"/>
              </w:rPr>
            </w:pPr>
          </w:p>
        </w:tc>
      </w:tr>
      <w:tr w14:paraId="1B4E76D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F4211">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664AA">
            <w:pPr>
              <w:jc w:val="left"/>
              <w:rPr>
                <w:rFonts w:hint="eastAsia" w:cs="宋体"/>
                <w:kern w:val="0"/>
                <w:sz w:val="21"/>
                <w:szCs w:val="21"/>
                <w:lang w:bidi="ar"/>
              </w:rPr>
            </w:pPr>
            <w:r>
              <w:rPr>
                <w:rFonts w:hint="eastAsia" w:cs="宋体"/>
                <w:kern w:val="0"/>
                <w:sz w:val="21"/>
                <w:szCs w:val="21"/>
                <w:lang w:bidi="ar"/>
              </w:rPr>
              <w:t>优化电缆敷设施工方案，并科学合理地进行电缆分盘，减少电缆接头，电缆施工损耗率相较额定损耗率减少50%</w:t>
            </w:r>
          </w:p>
        </w:tc>
        <w:tc>
          <w:tcPr>
            <w:tcW w:w="4111" w:type="dxa"/>
            <w:vMerge w:val="continue"/>
            <w:tcBorders>
              <w:left w:val="single" w:color="000000" w:sz="4" w:space="0"/>
              <w:right w:val="single" w:color="000000" w:sz="4" w:space="0"/>
            </w:tcBorders>
            <w:shd w:val="clear" w:color="auto" w:fill="auto"/>
            <w:vAlign w:val="center"/>
          </w:tcPr>
          <w:p w14:paraId="5840831B">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2893C">
            <w:pPr>
              <w:jc w:val="center"/>
              <w:rPr>
                <w:rFonts w:hint="eastAsia" w:cs="宋体"/>
                <w:sz w:val="21"/>
                <w:szCs w:val="21"/>
              </w:rPr>
            </w:pPr>
            <w:r>
              <w:rPr>
                <w:rFonts w:hint="eastAsia" w:cs="宋体"/>
                <w:sz w:val="21"/>
                <w:szCs w:val="21"/>
              </w:rPr>
              <w:t>0.2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7A841">
            <w:pPr>
              <w:jc w:val="center"/>
              <w:rPr>
                <w:rFonts w:hint="eastAsia" w:cs="宋体"/>
                <w:sz w:val="21"/>
                <w:szCs w:val="21"/>
              </w:rPr>
            </w:pPr>
          </w:p>
        </w:tc>
      </w:tr>
      <w:tr w14:paraId="696406D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1FCE9">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03237">
            <w:pPr>
              <w:jc w:val="left"/>
              <w:rPr>
                <w:rFonts w:hint="eastAsia" w:cs="宋体"/>
                <w:kern w:val="0"/>
                <w:sz w:val="21"/>
                <w:szCs w:val="21"/>
                <w:lang w:bidi="ar"/>
              </w:rPr>
            </w:pPr>
            <w:r>
              <w:rPr>
                <w:rFonts w:hint="eastAsia" w:cs="宋体"/>
                <w:kern w:val="0"/>
                <w:sz w:val="21"/>
                <w:szCs w:val="21"/>
                <w:lang w:bidi="ar"/>
              </w:rPr>
              <w:t>优化水上光伏发电项目检修航道</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2C532AF8">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42E69">
            <w:pPr>
              <w:jc w:val="center"/>
              <w:rPr>
                <w:rFonts w:hint="eastAsia" w:cs="宋体"/>
                <w:sz w:val="21"/>
                <w:szCs w:val="21"/>
              </w:rPr>
            </w:pPr>
            <w:r>
              <w:rPr>
                <w:rFonts w:hint="eastAsia" w:cs="宋体"/>
                <w:sz w:val="21"/>
                <w:szCs w:val="21"/>
              </w:rPr>
              <w:t>0.2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51C1A">
            <w:pPr>
              <w:jc w:val="center"/>
              <w:rPr>
                <w:rFonts w:hint="eastAsia" w:cs="宋体"/>
                <w:sz w:val="21"/>
                <w:szCs w:val="21"/>
              </w:rPr>
            </w:pPr>
          </w:p>
        </w:tc>
      </w:tr>
      <w:tr w14:paraId="44E7CE1F">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7F1AD">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F45D3">
            <w:pPr>
              <w:jc w:val="left"/>
              <w:rPr>
                <w:rFonts w:hint="eastAsia" w:cs="宋体"/>
                <w:kern w:val="0"/>
                <w:sz w:val="21"/>
                <w:szCs w:val="21"/>
                <w:lang w:bidi="ar"/>
              </w:rPr>
            </w:pPr>
            <w:r>
              <w:rPr>
                <w:rFonts w:hint="eastAsia" w:cs="宋体"/>
                <w:kern w:val="0"/>
                <w:sz w:val="21"/>
                <w:szCs w:val="21"/>
                <w:lang w:bidi="ar"/>
              </w:rPr>
              <w:t>光热发电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69088">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3AC4A">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56886">
            <w:pPr>
              <w:jc w:val="center"/>
              <w:rPr>
                <w:rFonts w:hint="eastAsia" w:cs="宋体"/>
                <w:sz w:val="21"/>
                <w:szCs w:val="21"/>
              </w:rPr>
            </w:pPr>
          </w:p>
        </w:tc>
      </w:tr>
      <w:tr w14:paraId="2E941FA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B5541">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257DB">
            <w:pPr>
              <w:jc w:val="left"/>
              <w:rPr>
                <w:rFonts w:hint="eastAsia" w:cs="宋体"/>
                <w:kern w:val="0"/>
                <w:sz w:val="21"/>
                <w:szCs w:val="21"/>
                <w:lang w:bidi="ar"/>
              </w:rPr>
            </w:pPr>
            <w:r>
              <w:rPr>
                <w:rFonts w:hint="eastAsia" w:cs="宋体"/>
                <w:kern w:val="0"/>
                <w:sz w:val="21"/>
                <w:szCs w:val="21"/>
                <w:lang w:bidi="ar"/>
              </w:rPr>
              <w:t>熔盐管道系统采用工厂化预制加工，合理布置管道，减少损耗</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6FD16411">
            <w:pPr>
              <w:jc w:val="left"/>
              <w:rPr>
                <w:rFonts w:hint="eastAsia" w:cs="宋体"/>
                <w:sz w:val="21"/>
                <w:szCs w:val="21"/>
              </w:rPr>
            </w:pPr>
            <w:r>
              <w:rPr>
                <w:rFonts w:hint="eastAsia" w:cs="宋体"/>
                <w:sz w:val="21"/>
                <w:szCs w:val="21"/>
              </w:rPr>
              <w:t>根据现场实际情况按照标准分乘以相应系数进行评分：</w:t>
            </w:r>
          </w:p>
          <w:p w14:paraId="4EF8D596">
            <w:pPr>
              <w:jc w:val="left"/>
              <w:rPr>
                <w:rFonts w:hint="eastAsia" w:cs="宋体"/>
                <w:sz w:val="21"/>
                <w:szCs w:val="21"/>
              </w:rPr>
            </w:pPr>
            <w:r>
              <w:rPr>
                <w:rFonts w:hint="eastAsia" w:cs="宋体"/>
                <w:sz w:val="21"/>
                <w:szCs w:val="21"/>
              </w:rPr>
              <w:t>1、措施到位，满足评价指标要求系数为1；</w:t>
            </w:r>
          </w:p>
          <w:p w14:paraId="3B26CD9C">
            <w:pPr>
              <w:jc w:val="left"/>
              <w:rPr>
                <w:rFonts w:hint="eastAsia" w:cs="宋体"/>
                <w:sz w:val="21"/>
                <w:szCs w:val="21"/>
              </w:rPr>
            </w:pPr>
            <w:r>
              <w:rPr>
                <w:rFonts w:hint="eastAsia" w:cs="宋体"/>
                <w:sz w:val="21"/>
                <w:szCs w:val="21"/>
              </w:rPr>
              <w:t>2、措施到位，基本满足评价指标要求系数按照0.5~0.9酌情选取；</w:t>
            </w:r>
          </w:p>
          <w:p w14:paraId="5AAAA5A6">
            <w:pPr>
              <w:jc w:val="left"/>
              <w:rPr>
                <w:rFonts w:hint="eastAsia" w:cs="宋体"/>
                <w:sz w:val="21"/>
                <w:szCs w:val="21"/>
              </w:rPr>
            </w:pPr>
            <w:r>
              <w:rPr>
                <w:rFonts w:hint="eastAsia" w:cs="宋体"/>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1B22F">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DAFF5">
            <w:pPr>
              <w:jc w:val="center"/>
              <w:rPr>
                <w:rFonts w:hint="eastAsia" w:cs="宋体"/>
                <w:sz w:val="21"/>
                <w:szCs w:val="21"/>
              </w:rPr>
            </w:pPr>
          </w:p>
        </w:tc>
      </w:tr>
      <w:tr w14:paraId="681ADFA2">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EEE63">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BFF98">
            <w:pPr>
              <w:jc w:val="left"/>
              <w:rPr>
                <w:rFonts w:hint="eastAsia" w:cs="宋体"/>
                <w:kern w:val="0"/>
                <w:sz w:val="21"/>
                <w:szCs w:val="21"/>
                <w:lang w:bidi="ar"/>
              </w:rPr>
            </w:pPr>
            <w:r>
              <w:rPr>
                <w:rFonts w:hint="eastAsia" w:cs="宋体"/>
                <w:kern w:val="0"/>
                <w:sz w:val="21"/>
                <w:szCs w:val="21"/>
                <w:lang w:bidi="ar"/>
              </w:rPr>
              <w:t>光热发电站集热场内钢结构采用工厂制作、现场拼装的方式，降低钢材损耗</w:t>
            </w:r>
          </w:p>
        </w:tc>
        <w:tc>
          <w:tcPr>
            <w:tcW w:w="4111" w:type="dxa"/>
            <w:vMerge w:val="continue"/>
            <w:tcBorders>
              <w:left w:val="single" w:color="000000" w:sz="4" w:space="0"/>
              <w:right w:val="single" w:color="000000" w:sz="4" w:space="0"/>
            </w:tcBorders>
            <w:shd w:val="clear" w:color="auto" w:fill="auto"/>
            <w:vAlign w:val="center"/>
          </w:tcPr>
          <w:p w14:paraId="6D692376">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25D60">
            <w:pPr>
              <w:jc w:val="center"/>
              <w:rPr>
                <w:rFonts w:hint="eastAsia" w:cs="宋体"/>
                <w:sz w:val="21"/>
                <w:szCs w:val="21"/>
              </w:rPr>
            </w:pPr>
            <w:r>
              <w:rPr>
                <w:rFonts w:hint="eastAsia" w:cs="宋体"/>
                <w:sz w:val="21"/>
                <w:szCs w:val="21"/>
              </w:rPr>
              <w:t>0.6</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5214A">
            <w:pPr>
              <w:jc w:val="center"/>
              <w:rPr>
                <w:rFonts w:hint="eastAsia" w:cs="宋体"/>
                <w:sz w:val="21"/>
                <w:szCs w:val="21"/>
              </w:rPr>
            </w:pPr>
          </w:p>
        </w:tc>
      </w:tr>
      <w:tr w14:paraId="417A7247">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23C31">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C04AE">
            <w:pPr>
              <w:jc w:val="left"/>
              <w:rPr>
                <w:rFonts w:hint="eastAsia" w:cs="宋体"/>
                <w:kern w:val="0"/>
                <w:sz w:val="21"/>
                <w:szCs w:val="21"/>
                <w:lang w:bidi="ar"/>
              </w:rPr>
            </w:pPr>
            <w:r>
              <w:rPr>
                <w:rFonts w:hint="eastAsia" w:cs="宋体"/>
                <w:kern w:val="0"/>
                <w:sz w:val="21"/>
                <w:szCs w:val="21"/>
                <w:lang w:bidi="ar"/>
              </w:rPr>
              <w:t>优化光热发电站内定日镜等设备安装，采取合理的二次倒运和散料，降低施工过程中的损耗</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17DC8219">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7A85E">
            <w:pPr>
              <w:jc w:val="center"/>
              <w:rPr>
                <w:rFonts w:hint="eastAsia" w:cs="宋体"/>
                <w:sz w:val="21"/>
                <w:szCs w:val="21"/>
              </w:rPr>
            </w:pPr>
            <w:r>
              <w:rPr>
                <w:rFonts w:hint="eastAsia" w:cs="宋体"/>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2C2DC">
            <w:pPr>
              <w:jc w:val="center"/>
              <w:rPr>
                <w:rFonts w:hint="eastAsia" w:cs="宋体"/>
                <w:sz w:val="21"/>
                <w:szCs w:val="21"/>
              </w:rPr>
            </w:pPr>
          </w:p>
        </w:tc>
      </w:tr>
      <w:tr w14:paraId="1369AA5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ED281">
            <w:pPr>
              <w:jc w:val="center"/>
              <w:textAlignment w:val="center"/>
              <w:rPr>
                <w:rFonts w:hint="eastAsia" w:cs="宋体"/>
                <w:kern w:val="0"/>
                <w:sz w:val="21"/>
                <w:szCs w:val="21"/>
                <w:lang w:bidi="ar"/>
              </w:rPr>
            </w:pPr>
            <w:r>
              <w:rPr>
                <w:rFonts w:hint="eastAsia" w:cs="宋体"/>
                <w:kern w:val="0"/>
                <w:sz w:val="21"/>
                <w:szCs w:val="21"/>
                <w:lang w:bidi="ar"/>
              </w:rPr>
              <w:t xml:space="preserve">6.3.6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E67FE">
            <w:pPr>
              <w:jc w:val="left"/>
              <w:rPr>
                <w:rFonts w:hint="eastAsia" w:cs="宋体"/>
                <w:kern w:val="0"/>
                <w:sz w:val="21"/>
                <w:szCs w:val="21"/>
                <w:lang w:bidi="ar"/>
              </w:rPr>
            </w:pPr>
            <w:r>
              <w:rPr>
                <w:rFonts w:hint="eastAsia" w:cs="宋体"/>
                <w:kern w:val="0"/>
                <w:sz w:val="21"/>
                <w:szCs w:val="21"/>
                <w:lang w:bidi="ar"/>
              </w:rPr>
              <w:t>输变电工程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85FE7">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3F896">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459E7">
            <w:pPr>
              <w:jc w:val="center"/>
              <w:rPr>
                <w:rFonts w:hint="eastAsia" w:cs="宋体"/>
                <w:sz w:val="21"/>
                <w:szCs w:val="21"/>
              </w:rPr>
            </w:pPr>
          </w:p>
        </w:tc>
      </w:tr>
      <w:tr w14:paraId="521B204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99B82">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FAF62">
            <w:pPr>
              <w:jc w:val="left"/>
              <w:rPr>
                <w:rFonts w:hint="eastAsia" w:cs="宋体"/>
                <w:kern w:val="0"/>
                <w:sz w:val="21"/>
                <w:szCs w:val="21"/>
                <w:lang w:bidi="ar"/>
              </w:rPr>
            </w:pPr>
            <w:r>
              <w:rPr>
                <w:rFonts w:hint="eastAsia" w:cs="宋体"/>
                <w:kern w:val="0"/>
                <w:sz w:val="21"/>
                <w:szCs w:val="21"/>
                <w:lang w:bidi="ar"/>
              </w:rPr>
              <w:t>变电（换流）站</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7FE52">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460B6">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F068D">
            <w:pPr>
              <w:jc w:val="center"/>
              <w:rPr>
                <w:rFonts w:hint="eastAsia" w:cs="宋体"/>
                <w:sz w:val="21"/>
                <w:szCs w:val="21"/>
              </w:rPr>
            </w:pPr>
          </w:p>
        </w:tc>
      </w:tr>
      <w:tr w14:paraId="16AB38BD">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2CB9D">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A353A">
            <w:pPr>
              <w:jc w:val="left"/>
              <w:rPr>
                <w:rFonts w:hint="eastAsia" w:cs="宋体"/>
                <w:kern w:val="0"/>
                <w:sz w:val="21"/>
                <w:szCs w:val="21"/>
                <w:lang w:bidi="ar"/>
              </w:rPr>
            </w:pPr>
            <w:r>
              <w:rPr>
                <w:rFonts w:hint="eastAsia" w:cs="宋体"/>
                <w:kern w:val="0"/>
                <w:sz w:val="21"/>
                <w:szCs w:val="21"/>
                <w:lang w:bidi="ar"/>
              </w:rPr>
              <w:t>变电站主控楼主体结构采用预制构件工厂化生产加工技术。</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8E130">
            <w:pPr>
              <w:jc w:val="left"/>
              <w:rPr>
                <w:rFonts w:hint="eastAsia" w:cs="宋体"/>
                <w:sz w:val="21"/>
                <w:szCs w:val="21"/>
              </w:rPr>
            </w:pPr>
            <w:r>
              <w:rPr>
                <w:rFonts w:hint="eastAsia" w:cs="宋体"/>
                <w:kern w:val="0"/>
                <w:sz w:val="21"/>
                <w:szCs w:val="21"/>
                <w:lang w:bidi="ar"/>
              </w:rPr>
              <w:t>钢梁、钢柱等钢构件未采用工厂化生产，扣0.25分；装配式混凝土构件及预埋件未在工厂化生产完成，扣0.25分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3D697">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C24C4">
            <w:pPr>
              <w:jc w:val="center"/>
              <w:rPr>
                <w:rFonts w:hint="eastAsia" w:cs="宋体"/>
                <w:sz w:val="21"/>
                <w:szCs w:val="21"/>
              </w:rPr>
            </w:pPr>
          </w:p>
        </w:tc>
      </w:tr>
      <w:tr w14:paraId="10E61477">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C73B7">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01125">
            <w:pPr>
              <w:jc w:val="left"/>
              <w:rPr>
                <w:rFonts w:hint="eastAsia" w:cs="宋体"/>
                <w:kern w:val="0"/>
                <w:sz w:val="21"/>
                <w:szCs w:val="21"/>
                <w:lang w:bidi="ar"/>
              </w:rPr>
            </w:pPr>
            <w:r>
              <w:rPr>
                <w:rFonts w:hint="eastAsia" w:cs="宋体"/>
                <w:kern w:val="0"/>
                <w:sz w:val="21"/>
                <w:szCs w:val="21"/>
                <w:lang w:bidi="ar"/>
              </w:rPr>
              <w:t>外门窗安装与外墙面装修同步进行。管线的预埋、预留应与土建及装修工程同步进行，不得现场临时剔凿。</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E6DDE">
            <w:pPr>
              <w:jc w:val="left"/>
              <w:rPr>
                <w:rFonts w:hint="eastAsia" w:cs="宋体"/>
                <w:sz w:val="21"/>
                <w:szCs w:val="21"/>
              </w:rPr>
            </w:pPr>
            <w:r>
              <w:rPr>
                <w:rFonts w:hint="eastAsia" w:cs="宋体"/>
                <w:kern w:val="0"/>
                <w:sz w:val="21"/>
                <w:szCs w:val="21"/>
                <w:lang w:bidi="ar"/>
              </w:rPr>
              <w:t>管线采用现场剔槽安装，扣0.25分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9A4AE">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F888B">
            <w:pPr>
              <w:jc w:val="center"/>
              <w:rPr>
                <w:rFonts w:hint="eastAsia" w:cs="宋体"/>
                <w:sz w:val="21"/>
                <w:szCs w:val="21"/>
              </w:rPr>
            </w:pPr>
          </w:p>
        </w:tc>
      </w:tr>
      <w:tr w14:paraId="621852C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BD625">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33D22">
            <w:pPr>
              <w:jc w:val="left"/>
              <w:rPr>
                <w:rFonts w:hint="eastAsia" w:cs="宋体"/>
                <w:kern w:val="0"/>
                <w:sz w:val="21"/>
                <w:szCs w:val="21"/>
                <w:lang w:bidi="ar"/>
              </w:rPr>
            </w:pPr>
            <w:r>
              <w:rPr>
                <w:rFonts w:hint="eastAsia" w:cs="宋体"/>
                <w:kern w:val="0"/>
                <w:sz w:val="21"/>
                <w:szCs w:val="21"/>
                <w:lang w:bidi="ar"/>
              </w:rPr>
              <w:t>光电缆敷设裕度应设置合理，避免预留长度过长产生不必要损耗。</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D0637">
            <w:pPr>
              <w:jc w:val="left"/>
              <w:rPr>
                <w:rFonts w:hint="eastAsia" w:cs="宋体"/>
                <w:sz w:val="21"/>
                <w:szCs w:val="21"/>
              </w:rPr>
            </w:pPr>
            <w:r>
              <w:rPr>
                <w:rFonts w:hint="eastAsia" w:cs="宋体"/>
                <w:kern w:val="0"/>
                <w:sz w:val="21"/>
                <w:szCs w:val="21"/>
                <w:lang w:bidi="ar"/>
              </w:rPr>
              <w:t>光电缆敷设余度层次不齐，明显存在余度不合理扣0.25分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41CAF">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D41F5">
            <w:pPr>
              <w:jc w:val="center"/>
              <w:rPr>
                <w:rFonts w:hint="eastAsia" w:cs="宋体"/>
                <w:sz w:val="21"/>
                <w:szCs w:val="21"/>
              </w:rPr>
            </w:pPr>
          </w:p>
        </w:tc>
      </w:tr>
      <w:tr w14:paraId="4BE3786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CA962">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AEF90">
            <w:pPr>
              <w:jc w:val="left"/>
              <w:rPr>
                <w:rFonts w:hint="eastAsia" w:cs="宋体"/>
                <w:kern w:val="0"/>
                <w:sz w:val="21"/>
                <w:szCs w:val="21"/>
                <w:lang w:bidi="ar"/>
              </w:rPr>
            </w:pPr>
            <w:r>
              <w:rPr>
                <w:rFonts w:hint="eastAsia" w:cs="宋体"/>
                <w:kern w:val="0"/>
                <w:sz w:val="21"/>
                <w:szCs w:val="21"/>
                <w:lang w:bidi="ar"/>
              </w:rPr>
              <w:t>高压电缆进仓搭接前，应核对设备与电缆头相位、设备内部导体和电缆头型号适配情况，避免出现返工现象。</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554C8">
            <w:pPr>
              <w:jc w:val="left"/>
              <w:rPr>
                <w:rFonts w:hint="eastAsia" w:cs="宋体"/>
                <w:sz w:val="21"/>
                <w:szCs w:val="21"/>
              </w:rPr>
            </w:pPr>
            <w:r>
              <w:rPr>
                <w:rFonts w:hint="eastAsia" w:cs="宋体"/>
                <w:kern w:val="0"/>
                <w:sz w:val="21"/>
                <w:szCs w:val="21"/>
                <w:lang w:bidi="ar"/>
              </w:rPr>
              <w:t>电缆进仓作业存在质量返工扣0.25分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26509">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ABEB8">
            <w:pPr>
              <w:jc w:val="center"/>
              <w:rPr>
                <w:rFonts w:hint="eastAsia" w:cs="宋体"/>
                <w:sz w:val="21"/>
                <w:szCs w:val="21"/>
              </w:rPr>
            </w:pPr>
          </w:p>
        </w:tc>
      </w:tr>
      <w:tr w14:paraId="7897C74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DEB6A">
            <w:pPr>
              <w:jc w:val="center"/>
              <w:textAlignment w:val="center"/>
              <w:rPr>
                <w:rFonts w:hint="eastAsia" w:cs="宋体"/>
                <w:kern w:val="0"/>
                <w:sz w:val="21"/>
                <w:szCs w:val="21"/>
                <w:lang w:bidi="ar"/>
              </w:rPr>
            </w:pPr>
            <w:r>
              <w:rPr>
                <w:rFonts w:hint="eastAsia" w:cs="宋体"/>
                <w:kern w:val="0"/>
                <w:sz w:val="21"/>
                <w:szCs w:val="21"/>
                <w:lang w:bidi="ar"/>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D3AF8">
            <w:pPr>
              <w:jc w:val="left"/>
              <w:rPr>
                <w:rFonts w:hint="eastAsia" w:cs="宋体"/>
                <w:kern w:val="0"/>
                <w:sz w:val="21"/>
                <w:szCs w:val="21"/>
                <w:lang w:bidi="ar"/>
              </w:rPr>
            </w:pPr>
            <w:r>
              <w:rPr>
                <w:rFonts w:hint="eastAsia" w:cs="宋体"/>
                <w:kern w:val="0"/>
                <w:sz w:val="21"/>
                <w:szCs w:val="21"/>
                <w:lang w:bidi="ar"/>
              </w:rPr>
              <w:t>电气试验需外接试验套管时，GIS配电装置耐压试验加压位置宜选择在气室较小、方便回气的位置。</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C0081">
            <w:pPr>
              <w:jc w:val="left"/>
              <w:rPr>
                <w:rFonts w:hint="eastAsia" w:cs="宋体"/>
                <w:sz w:val="21"/>
                <w:szCs w:val="21"/>
              </w:rPr>
            </w:pPr>
            <w:r>
              <w:rPr>
                <w:rFonts w:hint="eastAsia" w:cs="宋体"/>
                <w:kern w:val="0"/>
                <w:sz w:val="21"/>
                <w:szCs w:val="21"/>
                <w:lang w:bidi="ar"/>
              </w:rPr>
              <w:t>电气试验套管安装气室位置不合理，且最大气室处理时间大于8小时扣1分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C287C">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9EBCB">
            <w:pPr>
              <w:jc w:val="center"/>
              <w:rPr>
                <w:rFonts w:hint="eastAsia" w:cs="宋体"/>
                <w:sz w:val="21"/>
                <w:szCs w:val="21"/>
              </w:rPr>
            </w:pPr>
          </w:p>
        </w:tc>
      </w:tr>
      <w:tr w14:paraId="678B2FDD">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4C46F">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0C7D8">
            <w:pPr>
              <w:jc w:val="left"/>
              <w:rPr>
                <w:rFonts w:hint="eastAsia" w:cs="宋体"/>
                <w:kern w:val="0"/>
                <w:sz w:val="21"/>
                <w:szCs w:val="21"/>
                <w:lang w:bidi="ar"/>
              </w:rPr>
            </w:pPr>
            <w:r>
              <w:rPr>
                <w:rFonts w:hint="eastAsia" w:cs="宋体"/>
                <w:kern w:val="0"/>
                <w:sz w:val="21"/>
                <w:szCs w:val="21"/>
                <w:lang w:bidi="ar"/>
              </w:rPr>
              <w:t>架空线路工程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F6424">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1752B">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8E663">
            <w:pPr>
              <w:jc w:val="center"/>
              <w:rPr>
                <w:rFonts w:hint="eastAsia" w:cs="宋体"/>
                <w:sz w:val="21"/>
                <w:szCs w:val="21"/>
              </w:rPr>
            </w:pPr>
          </w:p>
        </w:tc>
      </w:tr>
      <w:tr w14:paraId="1E22A86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83190">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239F3">
            <w:pPr>
              <w:jc w:val="left"/>
              <w:rPr>
                <w:rFonts w:hint="eastAsia" w:cs="宋体"/>
                <w:kern w:val="0"/>
                <w:sz w:val="21"/>
                <w:szCs w:val="21"/>
                <w:lang w:bidi="ar"/>
              </w:rPr>
            </w:pPr>
            <w:r>
              <w:rPr>
                <w:rFonts w:hint="eastAsia" w:cs="宋体"/>
                <w:kern w:val="0"/>
                <w:sz w:val="21"/>
                <w:szCs w:val="21"/>
                <w:lang w:bidi="ar"/>
              </w:rPr>
              <w:t>架空线路钢筋施工应优化钢筋放样下料，采用成型钢筋集中加工；受力钢筋宜机械连接、箍筋采用一笔箍或焊接封闭箍；基础支模采用可重复利用模板，施工中回收散落材料，将短木方接长，拼接木、竹胶合板边角余料，实现材料循环利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61AE8">
            <w:pPr>
              <w:jc w:val="left"/>
              <w:rPr>
                <w:rFonts w:hint="eastAsia" w:cs="宋体"/>
                <w:sz w:val="21"/>
                <w:szCs w:val="21"/>
              </w:rPr>
            </w:pPr>
            <w:r>
              <w:rPr>
                <w:rFonts w:hint="eastAsia" w:cs="宋体"/>
                <w:kern w:val="0"/>
                <w:sz w:val="21"/>
                <w:szCs w:val="21"/>
                <w:lang w:bidi="ar"/>
              </w:rPr>
              <w:t>施工时无相应措施，每处扣0.5</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32B65">
            <w:pPr>
              <w:jc w:val="center"/>
              <w:rPr>
                <w:rFonts w:hint="eastAsia" w:cs="宋体"/>
                <w:sz w:val="21"/>
                <w:szCs w:val="21"/>
              </w:rPr>
            </w:pPr>
            <w:r>
              <w:rPr>
                <w:rFonts w:hint="eastAsia" w:cs="宋体"/>
                <w:sz w:val="21"/>
                <w:szCs w:val="21"/>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497DC">
            <w:pPr>
              <w:jc w:val="center"/>
              <w:rPr>
                <w:rFonts w:hint="eastAsia" w:cs="宋体"/>
                <w:sz w:val="21"/>
                <w:szCs w:val="21"/>
              </w:rPr>
            </w:pPr>
          </w:p>
        </w:tc>
      </w:tr>
      <w:tr w14:paraId="0C2FCE55">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3CE04">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32B52">
            <w:pPr>
              <w:jc w:val="left"/>
              <w:rPr>
                <w:rFonts w:hint="eastAsia" w:cs="宋体"/>
                <w:kern w:val="0"/>
                <w:sz w:val="21"/>
                <w:szCs w:val="21"/>
                <w:lang w:bidi="ar"/>
              </w:rPr>
            </w:pPr>
            <w:r>
              <w:rPr>
                <w:rFonts w:hint="eastAsia" w:cs="宋体"/>
                <w:kern w:val="0"/>
                <w:sz w:val="21"/>
                <w:szCs w:val="21"/>
                <w:lang w:bidi="ar"/>
              </w:rPr>
              <w:t>电缆工程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1C7A6">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5037E">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3F0F5">
            <w:pPr>
              <w:jc w:val="center"/>
              <w:rPr>
                <w:rFonts w:hint="eastAsia" w:cs="宋体"/>
                <w:sz w:val="21"/>
                <w:szCs w:val="21"/>
              </w:rPr>
            </w:pPr>
          </w:p>
        </w:tc>
      </w:tr>
      <w:tr w14:paraId="03FB792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B58DD">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CE2C9">
            <w:pPr>
              <w:jc w:val="left"/>
              <w:rPr>
                <w:rFonts w:hint="eastAsia" w:cs="宋体"/>
                <w:kern w:val="0"/>
                <w:sz w:val="21"/>
                <w:szCs w:val="21"/>
                <w:lang w:bidi="ar"/>
              </w:rPr>
            </w:pPr>
            <w:r>
              <w:rPr>
                <w:rFonts w:hint="eastAsia" w:cs="宋体"/>
                <w:kern w:val="0"/>
                <w:sz w:val="21"/>
                <w:szCs w:val="21"/>
                <w:lang w:bidi="ar"/>
              </w:rPr>
              <w:t>电缆通道中采用的预制装配式结构构件，宜采取工厂化加工，制作时准确预留、预埋；存放和运输应采取防止变形和损坏的措施；加工和进场顺序应与现场安装顺序一致，不宜二次倒运。</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52451">
            <w:pPr>
              <w:jc w:val="left"/>
              <w:rPr>
                <w:rFonts w:hint="eastAsia" w:cs="宋体"/>
                <w:sz w:val="21"/>
                <w:szCs w:val="21"/>
              </w:rPr>
            </w:pPr>
            <w:r>
              <w:rPr>
                <w:rFonts w:hint="eastAsia" w:cs="宋体"/>
                <w:kern w:val="0"/>
                <w:sz w:val="21"/>
                <w:szCs w:val="21"/>
                <w:lang w:bidi="ar"/>
              </w:rPr>
              <w:t>电缆通道采用预制构件，存放和运输无防止变形和损坏的措施，扣1分。进场顺序与安装顺序不一致，扣0.5分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F1576">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72823">
            <w:pPr>
              <w:jc w:val="center"/>
              <w:rPr>
                <w:rFonts w:hint="eastAsia" w:cs="宋体"/>
                <w:sz w:val="21"/>
                <w:szCs w:val="21"/>
              </w:rPr>
            </w:pPr>
          </w:p>
        </w:tc>
      </w:tr>
      <w:tr w14:paraId="2EFC44DF">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33D48">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2DFE1">
            <w:pPr>
              <w:jc w:val="left"/>
              <w:rPr>
                <w:rFonts w:hint="eastAsia" w:cs="宋体"/>
                <w:kern w:val="0"/>
                <w:sz w:val="21"/>
                <w:szCs w:val="21"/>
                <w:lang w:bidi="ar"/>
              </w:rPr>
            </w:pPr>
            <w:r>
              <w:rPr>
                <w:rFonts w:hint="eastAsia" w:cs="宋体"/>
                <w:kern w:val="0"/>
                <w:sz w:val="21"/>
                <w:szCs w:val="21"/>
                <w:lang w:bidi="ar"/>
              </w:rPr>
              <w:t>电缆配盘应合理，缆线在终端与接头附近应预留适合的长度，减少现场的材料损耗。</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383B8">
            <w:pPr>
              <w:jc w:val="left"/>
              <w:rPr>
                <w:rFonts w:hint="eastAsia" w:cs="宋体"/>
                <w:sz w:val="21"/>
                <w:szCs w:val="21"/>
              </w:rPr>
            </w:pPr>
            <w:r>
              <w:rPr>
                <w:rFonts w:hint="eastAsia" w:cs="宋体"/>
                <w:kern w:val="0"/>
                <w:sz w:val="21"/>
                <w:szCs w:val="21"/>
                <w:lang w:bidi="ar"/>
              </w:rPr>
              <w:t>电缆配盘不合理，缆线余留长度不合理，扣0.5分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1008A">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E67AE">
            <w:pPr>
              <w:jc w:val="center"/>
              <w:rPr>
                <w:rFonts w:hint="eastAsia" w:cs="宋体"/>
                <w:sz w:val="21"/>
                <w:szCs w:val="21"/>
              </w:rPr>
            </w:pPr>
          </w:p>
        </w:tc>
      </w:tr>
      <w:tr w14:paraId="500309F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ADD81">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06412">
            <w:pPr>
              <w:jc w:val="left"/>
              <w:rPr>
                <w:rFonts w:hint="eastAsia" w:cs="宋体"/>
                <w:kern w:val="0"/>
                <w:sz w:val="21"/>
                <w:szCs w:val="21"/>
                <w:lang w:bidi="ar"/>
              </w:rPr>
            </w:pPr>
            <w:r>
              <w:rPr>
                <w:rFonts w:hint="eastAsia" w:cs="宋体"/>
                <w:kern w:val="0"/>
                <w:sz w:val="21"/>
                <w:szCs w:val="21"/>
                <w:lang w:bidi="ar"/>
              </w:rPr>
              <w:t>电缆附件以及防火隔板、涂料、包带、堵料等材料，其储存保管应符合产品技术性能要求。</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BE7F2">
            <w:pPr>
              <w:jc w:val="left"/>
              <w:rPr>
                <w:rFonts w:hint="eastAsia" w:cs="宋体"/>
                <w:sz w:val="21"/>
                <w:szCs w:val="21"/>
              </w:rPr>
            </w:pPr>
            <w:r>
              <w:rPr>
                <w:rFonts w:hint="eastAsia" w:cs="宋体"/>
                <w:kern w:val="0"/>
                <w:sz w:val="21"/>
                <w:szCs w:val="21"/>
                <w:lang w:bidi="ar"/>
              </w:rPr>
              <w:t>电缆附件等材料，储存保管不符合产品技术性能要求，扣0.5分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E0DDA">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61CFD">
            <w:pPr>
              <w:jc w:val="center"/>
              <w:rPr>
                <w:rFonts w:hint="eastAsia" w:cs="宋体"/>
                <w:sz w:val="21"/>
                <w:szCs w:val="21"/>
              </w:rPr>
            </w:pPr>
          </w:p>
        </w:tc>
      </w:tr>
      <w:tr w14:paraId="7C6D6AF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27D3C">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B303A">
            <w:pPr>
              <w:jc w:val="left"/>
              <w:rPr>
                <w:rFonts w:hint="eastAsia" w:cs="宋体"/>
                <w:kern w:val="0"/>
                <w:sz w:val="21"/>
                <w:szCs w:val="21"/>
                <w:lang w:bidi="ar"/>
              </w:rPr>
            </w:pPr>
            <w:r>
              <w:rPr>
                <w:rFonts w:hint="eastAsia" w:cs="宋体"/>
                <w:kern w:val="0"/>
                <w:sz w:val="21"/>
                <w:szCs w:val="21"/>
                <w:lang w:bidi="ar"/>
              </w:rPr>
              <w:t>海底电缆工程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5FB36">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30DCD">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53A61">
            <w:pPr>
              <w:jc w:val="center"/>
              <w:rPr>
                <w:rFonts w:hint="eastAsia" w:cs="宋体"/>
                <w:sz w:val="21"/>
                <w:szCs w:val="21"/>
              </w:rPr>
            </w:pPr>
          </w:p>
        </w:tc>
      </w:tr>
      <w:tr w14:paraId="0046ED5F">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D4366">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F6669">
            <w:pPr>
              <w:jc w:val="left"/>
              <w:rPr>
                <w:rFonts w:hint="eastAsia" w:cs="宋体"/>
                <w:kern w:val="0"/>
                <w:sz w:val="21"/>
                <w:szCs w:val="21"/>
                <w:lang w:bidi="ar"/>
              </w:rPr>
            </w:pPr>
            <w:r>
              <w:rPr>
                <w:rFonts w:hint="eastAsia" w:cs="宋体"/>
                <w:kern w:val="0"/>
                <w:sz w:val="21"/>
                <w:szCs w:val="21"/>
                <w:lang w:bidi="ar"/>
              </w:rPr>
              <w:t>优化施工船舶的航线规划，减少不必要的航行和燃油消耗。</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8B97C">
            <w:pPr>
              <w:jc w:val="left"/>
              <w:rPr>
                <w:rFonts w:hint="eastAsia" w:cs="宋体"/>
                <w:sz w:val="21"/>
                <w:szCs w:val="21"/>
              </w:rPr>
            </w:pPr>
            <w:r>
              <w:rPr>
                <w:rFonts w:hint="eastAsia" w:cs="宋体"/>
                <w:kern w:val="0"/>
                <w:sz w:val="21"/>
                <w:szCs w:val="21"/>
                <w:lang w:bidi="ar"/>
              </w:rPr>
              <w:t>航线规划不合理，扣1分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0C741">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8D02B">
            <w:pPr>
              <w:jc w:val="center"/>
              <w:rPr>
                <w:rFonts w:hint="eastAsia" w:cs="宋体"/>
                <w:sz w:val="21"/>
                <w:szCs w:val="21"/>
              </w:rPr>
            </w:pPr>
          </w:p>
        </w:tc>
      </w:tr>
      <w:tr w14:paraId="43C4686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D10C8">
            <w:pPr>
              <w:jc w:val="center"/>
              <w:textAlignment w:val="center"/>
              <w:rPr>
                <w:rFonts w:hint="eastAsia" w:cs="宋体"/>
                <w:kern w:val="0"/>
                <w:sz w:val="21"/>
                <w:szCs w:val="21"/>
                <w:lang w:bidi="ar"/>
              </w:rPr>
            </w:pPr>
            <w:r>
              <w:rPr>
                <w:rFonts w:hint="eastAsia" w:cs="宋体"/>
                <w:kern w:val="0"/>
                <w:sz w:val="21"/>
                <w:szCs w:val="21"/>
                <w:lang w:bidi="ar"/>
              </w:rPr>
              <w:t>6.3.7</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99622">
            <w:pPr>
              <w:jc w:val="left"/>
              <w:rPr>
                <w:rFonts w:hint="eastAsia" w:cs="宋体"/>
                <w:kern w:val="0"/>
                <w:sz w:val="21"/>
                <w:szCs w:val="21"/>
                <w:lang w:bidi="ar"/>
              </w:rPr>
            </w:pPr>
            <w:r>
              <w:rPr>
                <w:rFonts w:hint="eastAsia" w:cs="宋体"/>
                <w:kern w:val="0"/>
                <w:sz w:val="21"/>
                <w:szCs w:val="21"/>
                <w:lang w:bidi="ar"/>
              </w:rPr>
              <w:t>电力储能工程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17789">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38CCC">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D59A2">
            <w:pPr>
              <w:jc w:val="center"/>
              <w:rPr>
                <w:rFonts w:hint="eastAsia" w:cs="宋体"/>
                <w:sz w:val="21"/>
                <w:szCs w:val="21"/>
              </w:rPr>
            </w:pPr>
          </w:p>
        </w:tc>
      </w:tr>
      <w:tr w14:paraId="013E7B32">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70FDD">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86B34">
            <w:pPr>
              <w:jc w:val="left"/>
              <w:rPr>
                <w:rFonts w:hint="eastAsia" w:cs="宋体"/>
                <w:sz w:val="21"/>
                <w:szCs w:val="21"/>
              </w:rPr>
            </w:pPr>
            <w:r>
              <w:rPr>
                <w:rFonts w:hint="eastAsia" w:cs="宋体"/>
                <w:kern w:val="0"/>
                <w:sz w:val="21"/>
                <w:szCs w:val="21"/>
              </w:rPr>
              <w:t>电化学（锂电、液流、燃料电池、钠离子、铅酸、铅炭）储能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55C2B">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DB2E5">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4A36E">
            <w:pPr>
              <w:jc w:val="center"/>
              <w:rPr>
                <w:rFonts w:hint="eastAsia" w:cs="宋体"/>
                <w:sz w:val="21"/>
                <w:szCs w:val="21"/>
              </w:rPr>
            </w:pPr>
          </w:p>
        </w:tc>
      </w:tr>
      <w:tr w14:paraId="5D73F0AF">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8E489">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43E87">
            <w:pPr>
              <w:rPr>
                <w:rFonts w:hint="eastAsia"/>
                <w:sz w:val="21"/>
                <w:szCs w:val="21"/>
              </w:rPr>
            </w:pPr>
            <w:r>
              <w:rPr>
                <w:rFonts w:hint="eastAsia"/>
                <w:sz w:val="21"/>
                <w:szCs w:val="21"/>
              </w:rPr>
              <w:t>在施工过程中主接地网与储能集装箱之间的设备接地线，施工单位应在核实集装箱外壳上的接地点位置后，从距离集装箱外壳接地点最近的主接地网引出设备接地线，减少设备接地线材料用量。</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F8F6B">
            <w:pPr>
              <w:jc w:val="left"/>
              <w:rPr>
                <w:rFonts w:hint="eastAsia"/>
                <w:sz w:val="21"/>
                <w:szCs w:val="21"/>
              </w:rPr>
            </w:pPr>
            <w:r>
              <w:rPr>
                <w:rFonts w:hint="eastAsia"/>
                <w:sz w:val="21"/>
                <w:szCs w:val="21"/>
              </w:rPr>
              <w:t>每项子目实得分根据现场实际情况按照标准分乘以相应系数进行评分：</w:t>
            </w:r>
          </w:p>
          <w:p w14:paraId="733DD58F">
            <w:pPr>
              <w:jc w:val="left"/>
              <w:rPr>
                <w:rFonts w:hint="eastAsia"/>
                <w:sz w:val="21"/>
                <w:szCs w:val="21"/>
              </w:rPr>
            </w:pPr>
            <w:r>
              <w:rPr>
                <w:rFonts w:hint="eastAsia"/>
                <w:sz w:val="21"/>
                <w:szCs w:val="21"/>
              </w:rPr>
              <w:t>1、措施到位，满足评价指标要求系数为1；</w:t>
            </w:r>
          </w:p>
          <w:p w14:paraId="2636B90D">
            <w:pPr>
              <w:jc w:val="left"/>
              <w:rPr>
                <w:rFonts w:hint="eastAsia" w:cs="宋体"/>
                <w:sz w:val="21"/>
                <w:szCs w:val="21"/>
              </w:rPr>
            </w:pPr>
            <w:r>
              <w:rPr>
                <w:rFonts w:hint="eastAsia"/>
                <w:sz w:val="21"/>
                <w:szCs w:val="21"/>
              </w:rPr>
              <w:t>2、措施到位，基本满足评价指标要求系数按照0.5~0.9酌情选取；</w:t>
            </w:r>
          </w:p>
          <w:p w14:paraId="1C65E2FE">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1F7C1">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A538C">
            <w:pPr>
              <w:jc w:val="center"/>
              <w:rPr>
                <w:rFonts w:hint="eastAsia" w:cs="宋体"/>
                <w:sz w:val="21"/>
                <w:szCs w:val="21"/>
              </w:rPr>
            </w:pPr>
          </w:p>
        </w:tc>
      </w:tr>
      <w:tr w14:paraId="43BCB605">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546B6">
            <w:pPr>
              <w:jc w:val="center"/>
              <w:textAlignment w:val="center"/>
              <w:rPr>
                <w:rFonts w:hint="eastAsia" w:cs="宋体"/>
                <w:kern w:val="0"/>
                <w:sz w:val="21"/>
                <w:szCs w:val="21"/>
                <w:lang w:bidi="ar"/>
              </w:rPr>
            </w:pPr>
            <w:r>
              <w:rPr>
                <w:rFonts w:hint="eastAsia" w:cs="宋体"/>
                <w:kern w:val="0"/>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6857D">
            <w:pPr>
              <w:jc w:val="left"/>
              <w:rPr>
                <w:rFonts w:hint="eastAsia" w:cs="宋体"/>
                <w:sz w:val="21"/>
                <w:szCs w:val="21"/>
              </w:rPr>
            </w:pPr>
            <w:r>
              <w:rPr>
                <w:rFonts w:hint="eastAsia"/>
                <w:sz w:val="21"/>
                <w:szCs w:val="21"/>
              </w:rPr>
              <w:t>建立对施工中产生的废旧电池、电解液及电极材料等进行回收利用的预案措施，签订有废旧电池回收协议，通过专业机构的回收、处理和修复，实现材料的循环利用。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BF04A">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E2597">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5027A">
            <w:pPr>
              <w:jc w:val="center"/>
              <w:rPr>
                <w:rFonts w:hint="eastAsia" w:cs="宋体"/>
                <w:sz w:val="21"/>
                <w:szCs w:val="21"/>
              </w:rPr>
            </w:pPr>
          </w:p>
        </w:tc>
      </w:tr>
      <w:tr w14:paraId="04130FE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FC465">
            <w:pPr>
              <w:jc w:val="center"/>
              <w:textAlignment w:val="center"/>
              <w:rPr>
                <w:rFonts w:hint="eastAsia" w:cs="宋体"/>
                <w:kern w:val="0"/>
                <w:sz w:val="21"/>
                <w:szCs w:val="21"/>
                <w:lang w:bidi="ar"/>
              </w:rPr>
            </w:pPr>
            <w:r>
              <w:rPr>
                <w:rFonts w:hint="eastAsia" w:cs="宋体"/>
                <w:kern w:val="0"/>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E3AB9">
            <w:pPr>
              <w:jc w:val="left"/>
              <w:rPr>
                <w:rFonts w:hint="eastAsia" w:cs="宋体"/>
                <w:kern w:val="0"/>
                <w:sz w:val="21"/>
                <w:szCs w:val="21"/>
                <w:lang w:bidi="ar"/>
              </w:rPr>
            </w:pPr>
            <w:r>
              <w:rPr>
                <w:rFonts w:hint="eastAsia" w:cs="宋体"/>
                <w:kern w:val="0"/>
                <w:sz w:val="21"/>
                <w:szCs w:val="21"/>
              </w:rPr>
              <w:t>飞轮储能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F917E">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D50C8">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109D5">
            <w:pPr>
              <w:jc w:val="center"/>
              <w:rPr>
                <w:rFonts w:hint="eastAsia" w:cs="宋体"/>
                <w:sz w:val="21"/>
                <w:szCs w:val="21"/>
              </w:rPr>
            </w:pPr>
          </w:p>
        </w:tc>
      </w:tr>
      <w:tr w14:paraId="31245D2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64E2F">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25A89">
            <w:pPr>
              <w:jc w:val="left"/>
              <w:rPr>
                <w:rFonts w:hint="eastAsia" w:cs="宋体"/>
                <w:sz w:val="21"/>
                <w:szCs w:val="21"/>
              </w:rPr>
            </w:pPr>
            <w:r>
              <w:rPr>
                <w:rFonts w:hint="eastAsia"/>
                <w:sz w:val="21"/>
                <w:szCs w:val="21"/>
              </w:rPr>
              <w:t>在施工阶段和调试、运维阶段，建立对飞轮储能系统中电机、轴承、电力电子器件等设备的维护</w:t>
            </w:r>
            <w:r>
              <w:rPr>
                <w:sz w:val="21"/>
                <w:szCs w:val="21"/>
              </w:rPr>
              <w:t>方案措施</w:t>
            </w:r>
            <w:r>
              <w:rPr>
                <w:rFonts w:hint="eastAsia"/>
                <w:sz w:val="21"/>
                <w:szCs w:val="21"/>
              </w:rPr>
              <w:t>，</w:t>
            </w:r>
            <w:r>
              <w:rPr>
                <w:sz w:val="21"/>
                <w:szCs w:val="21"/>
              </w:rPr>
              <w:t>方案措施中应有</w:t>
            </w:r>
            <w:r>
              <w:rPr>
                <w:rFonts w:hint="eastAsia"/>
                <w:sz w:val="21"/>
                <w:szCs w:val="21"/>
              </w:rPr>
              <w:t>定期保养和维修，延长其使用寿命，</w:t>
            </w:r>
            <w:r>
              <w:rPr>
                <w:sz w:val="21"/>
                <w:szCs w:val="21"/>
              </w:rPr>
              <w:t>减少材料消耗量</w:t>
            </w:r>
            <w:r>
              <w:rPr>
                <w:rFonts w:hint="eastAsia"/>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7FE1A">
            <w:pPr>
              <w:jc w:val="left"/>
              <w:rPr>
                <w:rFonts w:hint="eastAsia"/>
                <w:sz w:val="21"/>
                <w:szCs w:val="21"/>
              </w:rPr>
            </w:pPr>
            <w:r>
              <w:rPr>
                <w:rFonts w:hint="eastAsia"/>
                <w:sz w:val="21"/>
                <w:szCs w:val="21"/>
              </w:rPr>
              <w:t>每项子目实得分根据现场实际情况按照标准分乘以相应系数进行评分：</w:t>
            </w:r>
          </w:p>
          <w:p w14:paraId="37BC1E76">
            <w:pPr>
              <w:jc w:val="left"/>
              <w:rPr>
                <w:rFonts w:hint="eastAsia"/>
                <w:sz w:val="21"/>
                <w:szCs w:val="21"/>
              </w:rPr>
            </w:pPr>
            <w:r>
              <w:rPr>
                <w:rFonts w:hint="eastAsia"/>
                <w:sz w:val="21"/>
                <w:szCs w:val="21"/>
              </w:rPr>
              <w:t>1、措施到位，满足评价指标要求系数为1；</w:t>
            </w:r>
          </w:p>
          <w:p w14:paraId="46E967BD">
            <w:pPr>
              <w:jc w:val="left"/>
              <w:rPr>
                <w:rFonts w:hint="eastAsia" w:cs="宋体"/>
                <w:sz w:val="21"/>
                <w:szCs w:val="21"/>
              </w:rPr>
            </w:pPr>
            <w:r>
              <w:rPr>
                <w:rFonts w:hint="eastAsia"/>
                <w:sz w:val="21"/>
                <w:szCs w:val="21"/>
              </w:rPr>
              <w:t>2、措施到位，基本满足评价指标要求系数按照0.5~0.9酌情选取；</w:t>
            </w:r>
          </w:p>
          <w:p w14:paraId="033D9375">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EA227">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FAA48">
            <w:pPr>
              <w:jc w:val="center"/>
              <w:rPr>
                <w:rFonts w:hint="eastAsia" w:cs="宋体"/>
                <w:sz w:val="21"/>
                <w:szCs w:val="21"/>
              </w:rPr>
            </w:pPr>
          </w:p>
        </w:tc>
      </w:tr>
      <w:tr w14:paraId="012A9BED">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68891">
            <w:pPr>
              <w:jc w:val="center"/>
              <w:textAlignment w:val="center"/>
              <w:rPr>
                <w:rFonts w:hint="eastAsia" w:cs="宋体"/>
                <w:kern w:val="0"/>
                <w:sz w:val="21"/>
                <w:szCs w:val="21"/>
                <w:lang w:bidi="ar"/>
              </w:rPr>
            </w:pPr>
            <w:r>
              <w:rPr>
                <w:rFonts w:hint="eastAsia" w:cs="宋体"/>
                <w:kern w:val="0"/>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215FE">
            <w:pPr>
              <w:jc w:val="left"/>
              <w:rPr>
                <w:rFonts w:hint="eastAsia" w:cs="宋体"/>
                <w:kern w:val="0"/>
                <w:sz w:val="21"/>
                <w:szCs w:val="21"/>
                <w:lang w:bidi="ar"/>
              </w:rPr>
            </w:pPr>
            <w:r>
              <w:rPr>
                <w:rFonts w:hint="eastAsia"/>
                <w:sz w:val="21"/>
                <w:szCs w:val="21"/>
              </w:rPr>
              <w:t>飞轮储能主设备及装置中的材料，在报废后可进行回收利用。制定合理的回收方案或</w:t>
            </w:r>
            <w:r>
              <w:rPr>
                <w:sz w:val="21"/>
                <w:szCs w:val="21"/>
              </w:rPr>
              <w:t>与专业厂家签订回收协议</w:t>
            </w:r>
            <w:r>
              <w:rPr>
                <w:rFonts w:hint="eastAsia"/>
                <w:sz w:val="21"/>
                <w:szCs w:val="21"/>
              </w:rPr>
              <w:t>，对可再利用的材料进行回收和处理，使其能够重新投入生产或其他适用领域。</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279A8">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1E756">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4CF1E">
            <w:pPr>
              <w:jc w:val="center"/>
              <w:rPr>
                <w:rFonts w:hint="eastAsia" w:cs="宋体"/>
                <w:sz w:val="21"/>
                <w:szCs w:val="21"/>
              </w:rPr>
            </w:pPr>
          </w:p>
        </w:tc>
      </w:tr>
      <w:tr w14:paraId="61D34E1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C8765">
            <w:pPr>
              <w:jc w:val="center"/>
              <w:textAlignment w:val="center"/>
              <w:rPr>
                <w:rFonts w:hint="eastAsia" w:cs="宋体"/>
                <w:kern w:val="0"/>
                <w:sz w:val="21"/>
                <w:szCs w:val="21"/>
                <w:lang w:bidi="ar"/>
              </w:rPr>
            </w:pPr>
            <w:r>
              <w:rPr>
                <w:rFonts w:hint="eastAsia" w:cs="宋体"/>
                <w:kern w:val="0"/>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325A8">
            <w:pPr>
              <w:jc w:val="left"/>
              <w:rPr>
                <w:rFonts w:hint="eastAsia" w:cs="宋体"/>
                <w:kern w:val="0"/>
                <w:sz w:val="21"/>
                <w:szCs w:val="21"/>
                <w:lang w:bidi="ar"/>
              </w:rPr>
            </w:pPr>
            <w:r>
              <w:rPr>
                <w:rFonts w:hint="eastAsia" w:cs="宋体"/>
                <w:kern w:val="0"/>
                <w:sz w:val="21"/>
                <w:szCs w:val="21"/>
              </w:rPr>
              <w:t>压缩空气储能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8558D">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6F2EA">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1DC0B">
            <w:pPr>
              <w:jc w:val="center"/>
              <w:rPr>
                <w:rFonts w:hint="eastAsia" w:cs="宋体"/>
                <w:sz w:val="21"/>
                <w:szCs w:val="21"/>
              </w:rPr>
            </w:pPr>
          </w:p>
        </w:tc>
      </w:tr>
      <w:tr w14:paraId="5894E35F">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795C3">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8FF4D">
            <w:pPr>
              <w:rPr>
                <w:rFonts w:hint="eastAsia"/>
                <w:sz w:val="21"/>
                <w:szCs w:val="21"/>
              </w:rPr>
            </w:pPr>
            <w:r>
              <w:rPr>
                <w:rFonts w:hint="eastAsia"/>
                <w:sz w:val="21"/>
                <w:szCs w:val="21"/>
              </w:rPr>
              <w:t>对压缩空气储能项目施工过程中产生的金属、保温材料等废料，进行分类回收和处理，实现循环在利用。</w:t>
            </w:r>
          </w:p>
          <w:p w14:paraId="37972649">
            <w:pPr>
              <w:jc w:val="left"/>
              <w:rPr>
                <w:rFonts w:hint="eastAsia" w:cs="宋体"/>
                <w:sz w:val="21"/>
                <w:szCs w:val="21"/>
              </w:rPr>
            </w:pP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3CA48BEC">
            <w:pPr>
              <w:jc w:val="left"/>
              <w:rPr>
                <w:rFonts w:hint="eastAsia"/>
                <w:sz w:val="21"/>
                <w:szCs w:val="21"/>
              </w:rPr>
            </w:pPr>
            <w:r>
              <w:rPr>
                <w:rFonts w:hint="eastAsia"/>
                <w:sz w:val="21"/>
                <w:szCs w:val="21"/>
              </w:rPr>
              <w:t>每项子目实得分根据现场实际情况按照标准分乘以相应系数进行评分：</w:t>
            </w:r>
          </w:p>
          <w:p w14:paraId="0F98A891">
            <w:pPr>
              <w:jc w:val="left"/>
              <w:rPr>
                <w:rFonts w:hint="eastAsia"/>
                <w:sz w:val="21"/>
                <w:szCs w:val="21"/>
              </w:rPr>
            </w:pPr>
            <w:r>
              <w:rPr>
                <w:rFonts w:hint="eastAsia"/>
                <w:sz w:val="21"/>
                <w:szCs w:val="21"/>
              </w:rPr>
              <w:t>1、措施到位，满足评价指标要求系数为1；</w:t>
            </w:r>
          </w:p>
          <w:p w14:paraId="6E876F41">
            <w:pPr>
              <w:jc w:val="left"/>
              <w:rPr>
                <w:rFonts w:hint="eastAsia" w:cs="宋体"/>
                <w:sz w:val="21"/>
                <w:szCs w:val="21"/>
              </w:rPr>
            </w:pPr>
            <w:r>
              <w:rPr>
                <w:rFonts w:hint="eastAsia"/>
                <w:sz w:val="21"/>
                <w:szCs w:val="21"/>
              </w:rPr>
              <w:t>2、措施到位，基本满足评价指标要求系数按照0.5~0.9酌情选取；</w:t>
            </w:r>
          </w:p>
          <w:p w14:paraId="5CC413BD">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60EB4">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EEF73">
            <w:pPr>
              <w:jc w:val="center"/>
              <w:rPr>
                <w:rFonts w:hint="eastAsia" w:cs="宋体"/>
                <w:sz w:val="21"/>
                <w:szCs w:val="21"/>
              </w:rPr>
            </w:pPr>
          </w:p>
        </w:tc>
      </w:tr>
      <w:tr w14:paraId="69C794D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3901F">
            <w:pPr>
              <w:jc w:val="center"/>
              <w:textAlignment w:val="center"/>
              <w:rPr>
                <w:rFonts w:hint="eastAsia" w:cs="宋体"/>
                <w:kern w:val="0"/>
                <w:sz w:val="21"/>
                <w:szCs w:val="21"/>
                <w:lang w:bidi="ar"/>
              </w:rPr>
            </w:pPr>
            <w:r>
              <w:rPr>
                <w:rFonts w:hint="eastAsia" w:cs="宋体"/>
                <w:kern w:val="0"/>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CE295">
            <w:pPr>
              <w:jc w:val="left"/>
              <w:rPr>
                <w:rFonts w:hint="eastAsia" w:cs="宋体"/>
                <w:kern w:val="0"/>
                <w:sz w:val="21"/>
                <w:szCs w:val="21"/>
                <w:lang w:bidi="ar"/>
              </w:rPr>
            </w:pPr>
            <w:r>
              <w:rPr>
                <w:rFonts w:hint="eastAsia"/>
                <w:sz w:val="21"/>
                <w:szCs w:val="21"/>
              </w:rPr>
              <w:t>建立压缩空气储能项目施工过程中的材料利用监督管理措施，避免材料损坏或浪费。</w:t>
            </w:r>
          </w:p>
        </w:tc>
        <w:tc>
          <w:tcPr>
            <w:tcW w:w="4111" w:type="dxa"/>
            <w:vMerge w:val="continue"/>
            <w:tcBorders>
              <w:left w:val="single" w:color="000000" w:sz="4" w:space="0"/>
              <w:right w:val="single" w:color="000000" w:sz="4" w:space="0"/>
            </w:tcBorders>
            <w:shd w:val="clear" w:color="auto" w:fill="auto"/>
            <w:vAlign w:val="center"/>
          </w:tcPr>
          <w:p w14:paraId="222D487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2E5DC">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90BD4">
            <w:pPr>
              <w:jc w:val="center"/>
              <w:rPr>
                <w:rFonts w:hint="eastAsia" w:cs="宋体"/>
                <w:sz w:val="21"/>
                <w:szCs w:val="21"/>
              </w:rPr>
            </w:pPr>
          </w:p>
        </w:tc>
      </w:tr>
      <w:tr w14:paraId="05A0501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6BBC0">
            <w:pPr>
              <w:jc w:val="center"/>
              <w:textAlignment w:val="center"/>
              <w:rPr>
                <w:rFonts w:hint="eastAsia" w:cs="宋体"/>
                <w:kern w:val="0"/>
                <w:sz w:val="21"/>
                <w:szCs w:val="21"/>
                <w:lang w:bidi="ar"/>
              </w:rPr>
            </w:pPr>
            <w:r>
              <w:rPr>
                <w:rFonts w:hint="eastAsia" w:cs="宋体"/>
                <w:kern w:val="0"/>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D89F2">
            <w:pPr>
              <w:jc w:val="left"/>
              <w:rPr>
                <w:rFonts w:hint="eastAsia" w:cs="宋体"/>
                <w:kern w:val="0"/>
                <w:sz w:val="21"/>
                <w:szCs w:val="21"/>
                <w:lang w:bidi="ar"/>
              </w:rPr>
            </w:pPr>
            <w:r>
              <w:rPr>
                <w:rFonts w:hint="eastAsia"/>
                <w:sz w:val="21"/>
                <w:szCs w:val="21"/>
              </w:rPr>
              <w:t>建立对空气压缩机、电动机、发电机、膨胀机、热交换器等设备的保养维护措施，提高设备寿命，提升材料节约及循环利用水平。</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2E21D08C">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A5736">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08FFA">
            <w:pPr>
              <w:jc w:val="center"/>
              <w:rPr>
                <w:rFonts w:hint="eastAsia" w:cs="宋体"/>
                <w:sz w:val="21"/>
                <w:szCs w:val="21"/>
              </w:rPr>
            </w:pPr>
          </w:p>
        </w:tc>
      </w:tr>
      <w:tr w14:paraId="15069D56">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DA698">
            <w:pPr>
              <w:jc w:val="center"/>
              <w:textAlignment w:val="center"/>
              <w:rPr>
                <w:rFonts w:hint="eastAsia" w:cs="宋体"/>
                <w:kern w:val="0"/>
                <w:sz w:val="21"/>
                <w:szCs w:val="21"/>
                <w:lang w:bidi="ar"/>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D1B6A">
            <w:pPr>
              <w:jc w:val="left"/>
              <w:rPr>
                <w:rFonts w:hint="eastAsia" w:cs="宋体"/>
                <w:kern w:val="0"/>
                <w:sz w:val="21"/>
                <w:szCs w:val="21"/>
                <w:lang w:bidi="ar"/>
              </w:rPr>
            </w:pPr>
            <w:r>
              <w:rPr>
                <w:rFonts w:hint="eastAsia" w:cs="宋体"/>
                <w:kern w:val="0"/>
                <w:sz w:val="21"/>
                <w:szCs w:val="21"/>
                <w:lang w:bidi="ar"/>
              </w:rPr>
              <w:t>Ⅱ  建筑垃圾控制与循环利用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197A2">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311CC">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E80FA">
            <w:pPr>
              <w:jc w:val="center"/>
              <w:rPr>
                <w:rFonts w:hint="eastAsia" w:cs="宋体"/>
                <w:sz w:val="21"/>
                <w:szCs w:val="21"/>
              </w:rPr>
            </w:pPr>
          </w:p>
        </w:tc>
      </w:tr>
      <w:tr w14:paraId="004D8EF3">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EADA8">
            <w:pPr>
              <w:jc w:val="center"/>
              <w:textAlignment w:val="center"/>
              <w:rPr>
                <w:rFonts w:hint="eastAsia" w:cs="宋体"/>
                <w:kern w:val="0"/>
                <w:sz w:val="21"/>
                <w:szCs w:val="21"/>
                <w:lang w:bidi="ar"/>
              </w:rPr>
            </w:pPr>
            <w:r>
              <w:rPr>
                <w:rFonts w:hint="eastAsia" w:cs="宋体"/>
                <w:kern w:val="0"/>
                <w:sz w:val="21"/>
                <w:szCs w:val="21"/>
                <w:lang w:bidi="ar"/>
              </w:rPr>
              <w:t>6.3.8</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8CF76">
            <w:pPr>
              <w:jc w:val="left"/>
              <w:rPr>
                <w:rFonts w:hint="eastAsia" w:cs="宋体"/>
                <w:kern w:val="0"/>
                <w:sz w:val="21"/>
                <w:szCs w:val="21"/>
                <w:lang w:bidi="ar"/>
              </w:rPr>
            </w:pPr>
            <w:r>
              <w:rPr>
                <w:rFonts w:hint="eastAsia" w:cs="宋体"/>
                <w:kern w:val="0"/>
                <w:sz w:val="21"/>
                <w:szCs w:val="21"/>
                <w:lang w:bidi="ar"/>
              </w:rPr>
              <w:t>通用项</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BBC02">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85FE9">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4368C">
            <w:pPr>
              <w:jc w:val="center"/>
              <w:rPr>
                <w:rFonts w:hint="eastAsia" w:cs="宋体"/>
                <w:sz w:val="21"/>
                <w:szCs w:val="21"/>
              </w:rPr>
            </w:pPr>
          </w:p>
        </w:tc>
      </w:tr>
      <w:tr w14:paraId="165ECCE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1BDF2">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0B333">
            <w:pPr>
              <w:jc w:val="left"/>
              <w:rPr>
                <w:rFonts w:hint="eastAsia" w:cs="宋体"/>
                <w:kern w:val="0"/>
                <w:sz w:val="21"/>
                <w:szCs w:val="21"/>
                <w:lang w:bidi="ar"/>
              </w:rPr>
            </w:pPr>
            <w:r>
              <w:rPr>
                <w:rFonts w:hint="eastAsia" w:cs="宋体"/>
                <w:kern w:val="0"/>
                <w:sz w:val="21"/>
                <w:szCs w:val="21"/>
                <w:lang w:bidi="ar"/>
              </w:rPr>
              <w:t>建筑垃圾控制措施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77BED">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A091E">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C8B75">
            <w:pPr>
              <w:jc w:val="center"/>
              <w:rPr>
                <w:rFonts w:hint="eastAsia" w:cs="宋体"/>
                <w:sz w:val="21"/>
                <w:szCs w:val="21"/>
              </w:rPr>
            </w:pPr>
          </w:p>
        </w:tc>
      </w:tr>
      <w:tr w14:paraId="63C59FA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701F2">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286D1">
            <w:pPr>
              <w:jc w:val="left"/>
              <w:rPr>
                <w:rFonts w:hint="eastAsia" w:cs="宋体"/>
                <w:kern w:val="0"/>
                <w:sz w:val="21"/>
                <w:szCs w:val="21"/>
                <w:lang w:bidi="ar"/>
              </w:rPr>
            </w:pPr>
            <w:r>
              <w:rPr>
                <w:sz w:val="21"/>
                <w:szCs w:val="21"/>
              </w:rPr>
              <w:t>制定垃圾减量目标及措施。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ADAF7">
            <w:pPr>
              <w:jc w:val="left"/>
              <w:rPr>
                <w:rFonts w:hint="eastAsia" w:cs="宋体"/>
                <w:sz w:val="21"/>
                <w:szCs w:val="21"/>
              </w:rPr>
            </w:pPr>
            <w:r>
              <w:rPr>
                <w:rFonts w:hint="eastAsia" w:cs="宋体"/>
                <w:sz w:val="21"/>
                <w:szCs w:val="21"/>
              </w:rPr>
              <w:t>未制定</w:t>
            </w:r>
            <w:r>
              <w:rPr>
                <w:sz w:val="21"/>
                <w:szCs w:val="21"/>
              </w:rPr>
              <w:t>垃圾减量目标及措施</w:t>
            </w:r>
            <w:r>
              <w:rPr>
                <w:rFonts w:hint="eastAsia"/>
                <w:sz w:val="21"/>
                <w:szCs w:val="21"/>
              </w:rPr>
              <w:t>，扣0.5分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F03CF">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1DA05">
            <w:pPr>
              <w:jc w:val="center"/>
              <w:rPr>
                <w:rFonts w:hint="eastAsia" w:cs="宋体"/>
                <w:sz w:val="21"/>
                <w:szCs w:val="21"/>
              </w:rPr>
            </w:pPr>
          </w:p>
        </w:tc>
      </w:tr>
      <w:tr w14:paraId="154FD11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B699E">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FADF7">
            <w:pPr>
              <w:jc w:val="left"/>
              <w:rPr>
                <w:rFonts w:hint="eastAsia" w:cs="宋体"/>
                <w:kern w:val="0"/>
                <w:sz w:val="21"/>
                <w:szCs w:val="21"/>
                <w:lang w:bidi="ar"/>
              </w:rPr>
            </w:pPr>
            <w:r>
              <w:rPr>
                <w:sz w:val="21"/>
                <w:szCs w:val="21"/>
              </w:rPr>
              <w:t>建筑垃圾分类</w:t>
            </w:r>
            <w:r>
              <w:rPr>
                <w:rFonts w:hint="eastAsia"/>
                <w:sz w:val="21"/>
                <w:szCs w:val="21"/>
              </w:rPr>
              <w:t>收集</w:t>
            </w:r>
            <w:r>
              <w:rPr>
                <w:sz w:val="21"/>
                <w:szCs w:val="21"/>
              </w:rPr>
              <w:t>存放，</w:t>
            </w:r>
            <w:r>
              <w:rPr>
                <w:rFonts w:hint="eastAsia"/>
                <w:sz w:val="21"/>
                <w:szCs w:val="21"/>
              </w:rPr>
              <w:t>并建立相应台账。</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18EDB">
            <w:pPr>
              <w:jc w:val="left"/>
              <w:rPr>
                <w:rFonts w:hint="eastAsia" w:cs="宋体"/>
                <w:sz w:val="21"/>
                <w:szCs w:val="21"/>
              </w:rPr>
            </w:pPr>
            <w:r>
              <w:rPr>
                <w:rFonts w:hint="eastAsia" w:cs="宋体"/>
                <w:sz w:val="21"/>
                <w:szCs w:val="21"/>
              </w:rPr>
              <w:t>建筑垃圾未分类存放，未建立相应台账，扣0.5分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25540">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D7575">
            <w:pPr>
              <w:jc w:val="center"/>
              <w:rPr>
                <w:rFonts w:hint="eastAsia" w:cs="宋体"/>
                <w:sz w:val="21"/>
                <w:szCs w:val="21"/>
              </w:rPr>
            </w:pPr>
          </w:p>
        </w:tc>
      </w:tr>
      <w:tr w14:paraId="1648962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41833">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117A5">
            <w:pPr>
              <w:jc w:val="left"/>
              <w:rPr>
                <w:rFonts w:hint="eastAsia" w:cs="宋体"/>
                <w:kern w:val="0"/>
                <w:sz w:val="21"/>
                <w:szCs w:val="21"/>
                <w:lang w:bidi="ar"/>
              </w:rPr>
            </w:pPr>
            <w:r>
              <w:rPr>
                <w:sz w:val="21"/>
                <w:szCs w:val="21"/>
              </w:rPr>
              <w:t>建筑垃圾处置清运应由政府许可单位处理，并建立清运台账。</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4FAD9">
            <w:pPr>
              <w:jc w:val="left"/>
              <w:rPr>
                <w:rFonts w:hint="eastAsia" w:cs="宋体"/>
                <w:sz w:val="21"/>
                <w:szCs w:val="21"/>
              </w:rPr>
            </w:pPr>
            <w:r>
              <w:rPr>
                <w:rFonts w:hint="eastAsia" w:cs="宋体"/>
                <w:sz w:val="21"/>
                <w:szCs w:val="21"/>
              </w:rPr>
              <w:t>建筑垃圾未经过政府许可的单位处理，或未建立清运台账，扣0.5分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80B82">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E484E">
            <w:pPr>
              <w:jc w:val="center"/>
              <w:rPr>
                <w:rFonts w:hint="eastAsia" w:cs="宋体"/>
                <w:sz w:val="21"/>
                <w:szCs w:val="21"/>
              </w:rPr>
            </w:pPr>
          </w:p>
        </w:tc>
      </w:tr>
      <w:tr w14:paraId="0A0D9528">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52A62">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7F819">
            <w:pPr>
              <w:jc w:val="left"/>
              <w:rPr>
                <w:rFonts w:hint="eastAsia" w:cs="宋体"/>
                <w:kern w:val="0"/>
                <w:sz w:val="21"/>
                <w:szCs w:val="21"/>
                <w:lang w:bidi="ar"/>
              </w:rPr>
            </w:pPr>
            <w:r>
              <w:rPr>
                <w:sz w:val="21"/>
                <w:szCs w:val="21"/>
              </w:rPr>
              <w:t>现场有毒有害废弃物</w:t>
            </w:r>
            <w:r>
              <w:rPr>
                <w:rFonts w:hint="eastAsia"/>
                <w:sz w:val="21"/>
                <w:szCs w:val="21"/>
              </w:rPr>
              <w:t>应</w:t>
            </w:r>
            <w:r>
              <w:rPr>
                <w:sz w:val="21"/>
                <w:szCs w:val="21"/>
              </w:rPr>
              <w:t>100%分类回收，</w:t>
            </w:r>
            <w:r>
              <w:rPr>
                <w:rFonts w:hint="eastAsia"/>
                <w:sz w:val="21"/>
                <w:szCs w:val="21"/>
              </w:rPr>
              <w:t>委托有资质的单位进行处理</w:t>
            </w:r>
            <w:r>
              <w:rPr>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5B2B8">
            <w:pPr>
              <w:jc w:val="left"/>
              <w:rPr>
                <w:rFonts w:hint="eastAsia" w:cs="宋体"/>
                <w:sz w:val="21"/>
                <w:szCs w:val="21"/>
              </w:rPr>
            </w:pPr>
            <w:r>
              <w:rPr>
                <w:sz w:val="21"/>
                <w:szCs w:val="21"/>
              </w:rPr>
              <w:t>现场有毒有害废弃物</w:t>
            </w:r>
            <w:r>
              <w:rPr>
                <w:rFonts w:hint="eastAsia"/>
                <w:sz w:val="21"/>
                <w:szCs w:val="21"/>
              </w:rPr>
              <w:t>未做到</w:t>
            </w:r>
            <w:r>
              <w:rPr>
                <w:sz w:val="21"/>
                <w:szCs w:val="21"/>
              </w:rPr>
              <w:t>100%分类回收，</w:t>
            </w:r>
            <w:r>
              <w:rPr>
                <w:rFonts w:hint="eastAsia"/>
                <w:sz w:val="21"/>
                <w:szCs w:val="21"/>
              </w:rPr>
              <w:t>未通过委托有资质的单位进行处理，扣0.5分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61C4D">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89F8D">
            <w:pPr>
              <w:jc w:val="center"/>
              <w:rPr>
                <w:rFonts w:hint="eastAsia" w:cs="宋体"/>
                <w:sz w:val="21"/>
                <w:szCs w:val="21"/>
              </w:rPr>
            </w:pPr>
          </w:p>
        </w:tc>
      </w:tr>
      <w:tr w14:paraId="4DA5C37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FC419">
            <w:pPr>
              <w:jc w:val="center"/>
              <w:textAlignment w:val="center"/>
              <w:rPr>
                <w:rFonts w:hint="eastAsia" w:cs="宋体"/>
                <w:kern w:val="0"/>
                <w:sz w:val="21"/>
                <w:szCs w:val="21"/>
                <w:lang w:bidi="ar"/>
              </w:rPr>
            </w:pPr>
            <w:r>
              <w:rPr>
                <w:rFonts w:hint="eastAsia" w:cs="宋体"/>
                <w:kern w:val="0"/>
                <w:sz w:val="21"/>
                <w:szCs w:val="21"/>
                <w:lang w:bidi="ar"/>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2BF22">
            <w:pPr>
              <w:jc w:val="left"/>
              <w:rPr>
                <w:rFonts w:hint="eastAsia" w:cs="宋体"/>
                <w:kern w:val="0"/>
                <w:sz w:val="21"/>
                <w:szCs w:val="21"/>
                <w:lang w:bidi="ar"/>
              </w:rPr>
            </w:pPr>
            <w:r>
              <w:rPr>
                <w:sz w:val="21"/>
                <w:szCs w:val="21"/>
              </w:rPr>
              <w:t>设备材料</w:t>
            </w:r>
            <w:r>
              <w:rPr>
                <w:rFonts w:hint="eastAsia"/>
                <w:sz w:val="21"/>
                <w:szCs w:val="21"/>
              </w:rPr>
              <w:t>的</w:t>
            </w:r>
            <w:r>
              <w:rPr>
                <w:sz w:val="21"/>
                <w:szCs w:val="21"/>
              </w:rPr>
              <w:t>包装物</w:t>
            </w:r>
            <w:r>
              <w:rPr>
                <w:rFonts w:hint="eastAsia"/>
                <w:sz w:val="21"/>
                <w:szCs w:val="21"/>
              </w:rPr>
              <w:t>应</w:t>
            </w:r>
            <w:r>
              <w:rPr>
                <w:sz w:val="21"/>
                <w:szCs w:val="21"/>
              </w:rPr>
              <w:t>100%</w:t>
            </w:r>
            <w:r>
              <w:rPr>
                <w:rFonts w:hint="eastAsia"/>
                <w:sz w:val="21"/>
                <w:szCs w:val="21"/>
              </w:rPr>
              <w:t>分类回收。</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B6334">
            <w:pPr>
              <w:jc w:val="left"/>
              <w:rPr>
                <w:rFonts w:hint="eastAsia" w:cs="宋体"/>
                <w:sz w:val="21"/>
                <w:szCs w:val="21"/>
              </w:rPr>
            </w:pPr>
            <w:r>
              <w:rPr>
                <w:sz w:val="21"/>
                <w:szCs w:val="21"/>
              </w:rPr>
              <w:t>设备材料</w:t>
            </w:r>
            <w:r>
              <w:rPr>
                <w:rFonts w:hint="eastAsia"/>
                <w:sz w:val="21"/>
                <w:szCs w:val="21"/>
              </w:rPr>
              <w:t>的</w:t>
            </w:r>
            <w:r>
              <w:rPr>
                <w:sz w:val="21"/>
                <w:szCs w:val="21"/>
              </w:rPr>
              <w:t>包装物</w:t>
            </w:r>
            <w:r>
              <w:rPr>
                <w:rFonts w:hint="eastAsia"/>
                <w:sz w:val="21"/>
                <w:szCs w:val="21"/>
              </w:rPr>
              <w:t>未做到</w:t>
            </w:r>
            <w:r>
              <w:rPr>
                <w:sz w:val="21"/>
                <w:szCs w:val="21"/>
              </w:rPr>
              <w:t>100%</w:t>
            </w:r>
            <w:r>
              <w:rPr>
                <w:rFonts w:hint="eastAsia"/>
                <w:sz w:val="21"/>
                <w:szCs w:val="21"/>
              </w:rPr>
              <w:t>分类回收，扣0.5分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9924B">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DF6E7">
            <w:pPr>
              <w:jc w:val="center"/>
              <w:rPr>
                <w:rFonts w:hint="eastAsia" w:cs="宋体"/>
                <w:sz w:val="21"/>
                <w:szCs w:val="21"/>
              </w:rPr>
            </w:pPr>
          </w:p>
        </w:tc>
      </w:tr>
      <w:tr w14:paraId="5801B2B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8E4B4">
            <w:pPr>
              <w:jc w:val="center"/>
              <w:textAlignment w:val="center"/>
              <w:rPr>
                <w:rFonts w:hint="eastAsia" w:cs="宋体"/>
                <w:kern w:val="0"/>
                <w:sz w:val="21"/>
                <w:szCs w:val="21"/>
                <w:lang w:bidi="ar"/>
              </w:rPr>
            </w:pPr>
            <w:r>
              <w:rPr>
                <w:rFonts w:hint="eastAsia" w:cs="宋体"/>
                <w:kern w:val="0"/>
                <w:sz w:val="21"/>
                <w:szCs w:val="21"/>
                <w:lang w:bidi="ar"/>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AAEDF">
            <w:pPr>
              <w:jc w:val="left"/>
              <w:rPr>
                <w:rFonts w:hint="eastAsia" w:cs="宋体"/>
                <w:kern w:val="0"/>
                <w:sz w:val="21"/>
                <w:szCs w:val="21"/>
                <w:lang w:bidi="ar"/>
              </w:rPr>
            </w:pPr>
            <w:r>
              <w:rPr>
                <w:sz w:val="21"/>
                <w:szCs w:val="21"/>
              </w:rPr>
              <w:t>废弃保温材料</w:t>
            </w:r>
            <w:r>
              <w:rPr>
                <w:rFonts w:hint="eastAsia"/>
                <w:sz w:val="21"/>
                <w:szCs w:val="21"/>
              </w:rPr>
              <w:t>应</w:t>
            </w:r>
            <w:r>
              <w:rPr>
                <w:sz w:val="21"/>
                <w:szCs w:val="21"/>
              </w:rPr>
              <w:t>集中存放，做好隔挡，委托有资质的单位进行处理。</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386FE">
            <w:pPr>
              <w:jc w:val="left"/>
              <w:rPr>
                <w:rFonts w:hint="eastAsia" w:cs="宋体"/>
                <w:sz w:val="21"/>
                <w:szCs w:val="21"/>
              </w:rPr>
            </w:pPr>
            <w:r>
              <w:rPr>
                <w:sz w:val="21"/>
                <w:szCs w:val="21"/>
              </w:rPr>
              <w:t>废弃保温材料</w:t>
            </w:r>
            <w:r>
              <w:rPr>
                <w:rFonts w:hint="eastAsia"/>
                <w:sz w:val="21"/>
                <w:szCs w:val="21"/>
              </w:rPr>
              <w:t>未</w:t>
            </w:r>
            <w:r>
              <w:rPr>
                <w:sz w:val="21"/>
                <w:szCs w:val="21"/>
              </w:rPr>
              <w:t>集中存放，</w:t>
            </w:r>
            <w:r>
              <w:rPr>
                <w:rFonts w:hint="eastAsia"/>
                <w:sz w:val="21"/>
                <w:szCs w:val="21"/>
              </w:rPr>
              <w:t>未</w:t>
            </w:r>
            <w:r>
              <w:rPr>
                <w:sz w:val="21"/>
                <w:szCs w:val="21"/>
              </w:rPr>
              <w:t>委托有资质的单位进行处理</w:t>
            </w:r>
            <w:r>
              <w:rPr>
                <w:rFonts w:hint="eastAsia"/>
                <w:sz w:val="21"/>
                <w:szCs w:val="21"/>
              </w:rPr>
              <w:t>，扣0.5分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E79EB">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7F654">
            <w:pPr>
              <w:jc w:val="center"/>
              <w:rPr>
                <w:rFonts w:hint="eastAsia" w:cs="宋体"/>
                <w:sz w:val="21"/>
                <w:szCs w:val="21"/>
              </w:rPr>
            </w:pPr>
          </w:p>
        </w:tc>
      </w:tr>
      <w:tr w14:paraId="0228DD99">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19A74">
            <w:pPr>
              <w:jc w:val="center"/>
              <w:textAlignment w:val="center"/>
              <w:rPr>
                <w:rFonts w:hint="eastAsia" w:cs="宋体"/>
                <w:kern w:val="0"/>
                <w:sz w:val="21"/>
                <w:szCs w:val="21"/>
                <w:lang w:bidi="ar"/>
              </w:rPr>
            </w:pPr>
            <w:r>
              <w:rPr>
                <w:rFonts w:hint="eastAsia" w:cs="宋体"/>
                <w:kern w:val="0"/>
                <w:sz w:val="21"/>
                <w:szCs w:val="21"/>
                <w:lang w:bidi="ar"/>
              </w:rPr>
              <w:t>7)</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F2B23">
            <w:pPr>
              <w:jc w:val="left"/>
              <w:rPr>
                <w:rFonts w:hint="eastAsia" w:cs="宋体"/>
                <w:kern w:val="0"/>
                <w:sz w:val="21"/>
                <w:szCs w:val="21"/>
                <w:lang w:bidi="ar"/>
              </w:rPr>
            </w:pPr>
            <w:r>
              <w:rPr>
                <w:sz w:val="21"/>
                <w:szCs w:val="21"/>
              </w:rPr>
              <w:t>机械保养等过程产生的废油、设备滤油</w:t>
            </w:r>
            <w:r>
              <w:rPr>
                <w:rFonts w:hint="eastAsia"/>
                <w:sz w:val="21"/>
                <w:szCs w:val="21"/>
              </w:rPr>
              <w:t>等，设置专门的容器存放，委托有</w:t>
            </w:r>
            <w:r>
              <w:rPr>
                <w:sz w:val="21"/>
                <w:szCs w:val="21"/>
              </w:rPr>
              <w:t>资质的单位进行回收</w:t>
            </w:r>
            <w:r>
              <w:rPr>
                <w:rFonts w:hint="eastAsia"/>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68CC6">
            <w:pPr>
              <w:jc w:val="left"/>
              <w:rPr>
                <w:rFonts w:hint="eastAsia" w:cs="宋体"/>
                <w:sz w:val="21"/>
                <w:szCs w:val="21"/>
              </w:rPr>
            </w:pPr>
            <w:r>
              <w:rPr>
                <w:rFonts w:hint="eastAsia" w:cs="宋体"/>
                <w:sz w:val="21"/>
                <w:szCs w:val="21"/>
              </w:rPr>
              <w:t>未设置专门容器存放，未委托有资质单位回收，扣0.5分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33E1B">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251CD">
            <w:pPr>
              <w:jc w:val="center"/>
              <w:rPr>
                <w:rFonts w:hint="eastAsia" w:cs="宋体"/>
                <w:sz w:val="21"/>
                <w:szCs w:val="21"/>
              </w:rPr>
            </w:pPr>
          </w:p>
        </w:tc>
      </w:tr>
      <w:tr w14:paraId="31972C0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9EBEE">
            <w:pPr>
              <w:jc w:val="center"/>
              <w:textAlignment w:val="center"/>
              <w:rPr>
                <w:rFonts w:hint="eastAsia" w:cs="宋体"/>
                <w:kern w:val="0"/>
                <w:sz w:val="21"/>
                <w:szCs w:val="21"/>
                <w:lang w:bidi="ar"/>
              </w:rPr>
            </w:pPr>
            <w:r>
              <w:rPr>
                <w:rFonts w:hint="eastAsia" w:cs="宋体"/>
                <w:kern w:val="0"/>
                <w:sz w:val="21"/>
                <w:szCs w:val="21"/>
                <w:lang w:bidi="ar"/>
              </w:rPr>
              <w:t>8)</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CEFE5">
            <w:pPr>
              <w:jc w:val="left"/>
              <w:rPr>
                <w:rFonts w:hint="eastAsia" w:cs="宋体"/>
                <w:kern w:val="0"/>
                <w:sz w:val="21"/>
                <w:szCs w:val="21"/>
                <w:lang w:bidi="ar"/>
              </w:rPr>
            </w:pPr>
            <w:r>
              <w:rPr>
                <w:sz w:val="21"/>
                <w:szCs w:val="21"/>
              </w:rPr>
              <w:t>电缆头制作、二次接线产生电缆绝缘皮、线芯碎头等废弃物应集中回收处理。</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BD3EC">
            <w:pPr>
              <w:jc w:val="left"/>
              <w:rPr>
                <w:rFonts w:hint="eastAsia" w:cs="宋体"/>
                <w:sz w:val="21"/>
                <w:szCs w:val="21"/>
              </w:rPr>
            </w:pPr>
            <w:r>
              <w:rPr>
                <w:sz w:val="21"/>
                <w:szCs w:val="21"/>
              </w:rPr>
              <w:t>电缆头制作、二次接线产生电缆绝缘皮、线芯碎头等</w:t>
            </w:r>
            <w:r>
              <w:rPr>
                <w:rFonts w:hint="eastAsia"/>
                <w:sz w:val="21"/>
                <w:szCs w:val="21"/>
              </w:rPr>
              <w:t>未集中回收处理，扣0.5分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DD342">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E7E11">
            <w:pPr>
              <w:jc w:val="center"/>
              <w:rPr>
                <w:rFonts w:hint="eastAsia" w:cs="宋体"/>
                <w:sz w:val="21"/>
                <w:szCs w:val="21"/>
              </w:rPr>
            </w:pPr>
          </w:p>
        </w:tc>
      </w:tr>
      <w:tr w14:paraId="656D94A2">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06721">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11004">
            <w:pPr>
              <w:jc w:val="left"/>
              <w:rPr>
                <w:rFonts w:hint="eastAsia" w:cs="宋体"/>
                <w:kern w:val="0"/>
                <w:sz w:val="21"/>
                <w:szCs w:val="21"/>
                <w:lang w:bidi="ar"/>
              </w:rPr>
            </w:pPr>
            <w:r>
              <w:rPr>
                <w:rFonts w:hint="eastAsia" w:cs="宋体"/>
                <w:kern w:val="0"/>
                <w:sz w:val="21"/>
                <w:szCs w:val="21"/>
                <w:lang w:bidi="ar"/>
              </w:rPr>
              <w:t>建筑垃圾循环利用措施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037AD">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4D9F6">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AA4B5">
            <w:pPr>
              <w:jc w:val="center"/>
              <w:rPr>
                <w:rFonts w:hint="eastAsia" w:cs="宋体"/>
                <w:sz w:val="21"/>
                <w:szCs w:val="21"/>
              </w:rPr>
            </w:pPr>
          </w:p>
        </w:tc>
      </w:tr>
      <w:tr w14:paraId="54B79E42">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C05BC">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4D2F0">
            <w:pPr>
              <w:jc w:val="left"/>
              <w:rPr>
                <w:rFonts w:hint="eastAsia" w:cs="宋体"/>
                <w:kern w:val="0"/>
                <w:sz w:val="21"/>
                <w:szCs w:val="21"/>
                <w:lang w:bidi="ar"/>
              </w:rPr>
            </w:pPr>
            <w:r>
              <w:rPr>
                <w:rFonts w:hint="eastAsia"/>
                <w:sz w:val="21"/>
                <w:szCs w:val="21"/>
              </w:rPr>
              <w:t>制定建筑垃圾再利用措施，</w:t>
            </w:r>
            <w:r>
              <w:rPr>
                <w:sz w:val="21"/>
                <w:szCs w:val="21"/>
              </w:rPr>
              <w:t>建筑</w:t>
            </w:r>
            <w:r>
              <w:rPr>
                <w:rFonts w:hint="eastAsia"/>
                <w:sz w:val="21"/>
                <w:szCs w:val="21"/>
              </w:rPr>
              <w:t>垃圾</w:t>
            </w:r>
            <w:r>
              <w:rPr>
                <w:sz w:val="21"/>
                <w:szCs w:val="21"/>
              </w:rPr>
              <w:t>回收利用率应达到30%。</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D32A0">
            <w:pPr>
              <w:jc w:val="left"/>
              <w:rPr>
                <w:rFonts w:hint="eastAsia" w:cs="宋体"/>
                <w:sz w:val="21"/>
                <w:szCs w:val="21"/>
              </w:rPr>
            </w:pPr>
            <w:r>
              <w:rPr>
                <w:sz w:val="21"/>
                <w:szCs w:val="21"/>
              </w:rPr>
              <w:t>建筑</w:t>
            </w:r>
            <w:r>
              <w:rPr>
                <w:rFonts w:hint="eastAsia"/>
                <w:sz w:val="21"/>
                <w:szCs w:val="21"/>
              </w:rPr>
              <w:t>垃圾</w:t>
            </w:r>
            <w:r>
              <w:rPr>
                <w:sz w:val="21"/>
                <w:szCs w:val="21"/>
              </w:rPr>
              <w:t>回收利用率</w:t>
            </w:r>
            <w:r>
              <w:rPr>
                <w:rFonts w:hint="eastAsia"/>
                <w:sz w:val="21"/>
                <w:szCs w:val="21"/>
              </w:rPr>
              <w:t>未</w:t>
            </w:r>
            <w:r>
              <w:rPr>
                <w:sz w:val="21"/>
                <w:szCs w:val="21"/>
              </w:rPr>
              <w:t>达到30%</w:t>
            </w:r>
            <w:r>
              <w:rPr>
                <w:rFonts w:hint="eastAsia"/>
                <w:sz w:val="21"/>
                <w:szCs w:val="21"/>
              </w:rPr>
              <w:t>，扣0.5分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C24A1">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5FBBF">
            <w:pPr>
              <w:jc w:val="center"/>
              <w:rPr>
                <w:rFonts w:hint="eastAsia" w:cs="宋体"/>
                <w:sz w:val="21"/>
                <w:szCs w:val="21"/>
              </w:rPr>
            </w:pPr>
          </w:p>
        </w:tc>
      </w:tr>
      <w:tr w14:paraId="56CBC15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F3BF2">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B70F4">
            <w:pPr>
              <w:jc w:val="left"/>
              <w:rPr>
                <w:rFonts w:hint="eastAsia" w:cs="宋体"/>
                <w:kern w:val="0"/>
                <w:sz w:val="21"/>
                <w:szCs w:val="21"/>
                <w:lang w:bidi="ar"/>
              </w:rPr>
            </w:pPr>
            <w:r>
              <w:rPr>
                <w:rFonts w:hint="eastAsia"/>
                <w:sz w:val="21"/>
                <w:szCs w:val="21"/>
              </w:rPr>
              <w:t>充分利用</w:t>
            </w:r>
            <w:r>
              <w:rPr>
                <w:sz w:val="21"/>
                <w:szCs w:val="21"/>
              </w:rPr>
              <w:t>建筑垃圾为原料生产的达标建筑材料。</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929C4">
            <w:pPr>
              <w:jc w:val="left"/>
              <w:rPr>
                <w:rFonts w:hint="eastAsia" w:cs="宋体"/>
                <w:sz w:val="21"/>
                <w:szCs w:val="21"/>
              </w:rPr>
            </w:pPr>
            <w:r>
              <w:rPr>
                <w:rFonts w:hint="eastAsia" w:cs="宋体"/>
                <w:sz w:val="21"/>
                <w:szCs w:val="21"/>
              </w:rPr>
              <w:t>根据现场利用情况得分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417F9">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88825">
            <w:pPr>
              <w:jc w:val="center"/>
              <w:rPr>
                <w:rFonts w:hint="eastAsia" w:cs="宋体"/>
                <w:sz w:val="21"/>
                <w:szCs w:val="21"/>
              </w:rPr>
            </w:pPr>
          </w:p>
        </w:tc>
      </w:tr>
      <w:tr w14:paraId="51093BC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60964">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31DCB">
            <w:pPr>
              <w:jc w:val="left"/>
              <w:rPr>
                <w:rFonts w:hint="eastAsia" w:cs="宋体"/>
                <w:kern w:val="0"/>
                <w:sz w:val="21"/>
                <w:szCs w:val="21"/>
                <w:lang w:bidi="ar"/>
              </w:rPr>
            </w:pPr>
            <w:r>
              <w:rPr>
                <w:sz w:val="21"/>
                <w:szCs w:val="21"/>
              </w:rPr>
              <w:t>充分利用现场开山和开挖的石块、碎石</w:t>
            </w:r>
            <w:r>
              <w:rPr>
                <w:rFonts w:hint="eastAsia"/>
                <w:sz w:val="21"/>
                <w:szCs w:val="21"/>
              </w:rPr>
              <w:t>、破碎的桩头、拆除的构筑物材料</w:t>
            </w:r>
            <w:r>
              <w:rPr>
                <w:sz w:val="21"/>
                <w:szCs w:val="21"/>
              </w:rPr>
              <w:t>，用于路基材料、</w:t>
            </w:r>
            <w:r>
              <w:rPr>
                <w:rFonts w:hint="eastAsia"/>
                <w:sz w:val="21"/>
                <w:szCs w:val="21"/>
              </w:rPr>
              <w:t>大型机械设备基础</w:t>
            </w:r>
            <w:r>
              <w:rPr>
                <w:sz w:val="21"/>
                <w:szCs w:val="21"/>
              </w:rPr>
              <w:t>垫层及临时挡墙等</w:t>
            </w:r>
            <w:r>
              <w:rPr>
                <w:rFonts w:hint="eastAsia"/>
                <w:sz w:val="21"/>
                <w:szCs w:val="21"/>
              </w:rPr>
              <w:t>的制作</w:t>
            </w:r>
            <w:r>
              <w:rPr>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AADC4">
            <w:pPr>
              <w:jc w:val="left"/>
              <w:rPr>
                <w:rFonts w:hint="eastAsia" w:cs="宋体"/>
                <w:sz w:val="21"/>
                <w:szCs w:val="21"/>
              </w:rPr>
            </w:pPr>
            <w:r>
              <w:rPr>
                <w:rFonts w:hint="eastAsia" w:cs="宋体"/>
                <w:sz w:val="21"/>
                <w:szCs w:val="21"/>
              </w:rPr>
              <w:t>根据现场利用情况得分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91ACE">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6528A">
            <w:pPr>
              <w:jc w:val="center"/>
              <w:rPr>
                <w:rFonts w:hint="eastAsia" w:cs="宋体"/>
                <w:sz w:val="21"/>
                <w:szCs w:val="21"/>
              </w:rPr>
            </w:pPr>
          </w:p>
        </w:tc>
      </w:tr>
      <w:tr w14:paraId="5AB52BF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7B568">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74EBD">
            <w:pPr>
              <w:jc w:val="left"/>
              <w:rPr>
                <w:rFonts w:hint="eastAsia" w:cs="宋体"/>
                <w:kern w:val="0"/>
                <w:sz w:val="21"/>
                <w:szCs w:val="21"/>
                <w:lang w:bidi="ar"/>
              </w:rPr>
            </w:pPr>
            <w:r>
              <w:rPr>
                <w:sz w:val="21"/>
                <w:szCs w:val="21"/>
              </w:rPr>
              <w:t>建筑废旧模板用于草坪栅栏、洞口防护、小型预制构件模板、施工机械防</w:t>
            </w:r>
            <w:r>
              <w:rPr>
                <w:rFonts w:hint="eastAsia"/>
                <w:sz w:val="21"/>
                <w:szCs w:val="21"/>
              </w:rPr>
              <w:t>护、墙柱护角、楼梯踏步护角等。</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4A172">
            <w:pPr>
              <w:jc w:val="left"/>
              <w:rPr>
                <w:rFonts w:hint="eastAsia" w:cs="宋体"/>
                <w:sz w:val="21"/>
                <w:szCs w:val="21"/>
              </w:rPr>
            </w:pPr>
            <w:r>
              <w:rPr>
                <w:rFonts w:hint="eastAsia"/>
                <w:sz w:val="21"/>
                <w:szCs w:val="21"/>
              </w:rPr>
              <w:t>根据</w:t>
            </w:r>
            <w:r>
              <w:rPr>
                <w:sz w:val="21"/>
                <w:szCs w:val="21"/>
              </w:rPr>
              <w:t>建筑废旧模板</w:t>
            </w:r>
            <w:r>
              <w:rPr>
                <w:rFonts w:hint="eastAsia"/>
                <w:sz w:val="21"/>
                <w:szCs w:val="21"/>
              </w:rPr>
              <w:t>的再利用情况得分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264C2">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05837">
            <w:pPr>
              <w:jc w:val="center"/>
              <w:rPr>
                <w:rFonts w:hint="eastAsia" w:cs="宋体"/>
                <w:sz w:val="21"/>
                <w:szCs w:val="21"/>
              </w:rPr>
            </w:pPr>
          </w:p>
        </w:tc>
      </w:tr>
      <w:tr w14:paraId="49EF512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58C68">
            <w:pPr>
              <w:jc w:val="center"/>
              <w:textAlignment w:val="center"/>
              <w:rPr>
                <w:rFonts w:hint="eastAsia" w:cs="宋体"/>
                <w:kern w:val="0"/>
                <w:sz w:val="21"/>
                <w:szCs w:val="21"/>
                <w:lang w:bidi="ar"/>
              </w:rPr>
            </w:pPr>
            <w:r>
              <w:rPr>
                <w:rFonts w:hint="eastAsia" w:cs="宋体"/>
                <w:kern w:val="0"/>
                <w:sz w:val="21"/>
                <w:szCs w:val="21"/>
                <w:lang w:bidi="ar"/>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86985">
            <w:pPr>
              <w:jc w:val="left"/>
              <w:rPr>
                <w:rFonts w:hint="eastAsia" w:cs="宋体"/>
                <w:kern w:val="0"/>
                <w:sz w:val="21"/>
                <w:szCs w:val="21"/>
                <w:lang w:bidi="ar"/>
              </w:rPr>
            </w:pPr>
            <w:r>
              <w:rPr>
                <w:rFonts w:hint="eastAsia"/>
                <w:sz w:val="21"/>
                <w:szCs w:val="21"/>
              </w:rPr>
              <w:t>钢材类边角料用于制作施工临时设施。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4D0FC">
            <w:pPr>
              <w:jc w:val="left"/>
              <w:rPr>
                <w:rFonts w:hint="eastAsia" w:cs="宋体"/>
                <w:sz w:val="21"/>
                <w:szCs w:val="21"/>
              </w:rPr>
            </w:pPr>
            <w:r>
              <w:rPr>
                <w:rFonts w:hint="eastAsia" w:cs="宋体"/>
                <w:sz w:val="21"/>
                <w:szCs w:val="21"/>
              </w:rPr>
              <w:t>根据</w:t>
            </w:r>
            <w:r>
              <w:rPr>
                <w:rFonts w:hint="eastAsia"/>
                <w:sz w:val="21"/>
                <w:szCs w:val="21"/>
              </w:rPr>
              <w:t>钢材类边角料利用情况得分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219D4">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5C265">
            <w:pPr>
              <w:jc w:val="center"/>
              <w:rPr>
                <w:rFonts w:hint="eastAsia" w:cs="宋体"/>
                <w:sz w:val="21"/>
                <w:szCs w:val="21"/>
              </w:rPr>
            </w:pPr>
          </w:p>
        </w:tc>
      </w:tr>
      <w:tr w14:paraId="06523A53">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8B19C">
            <w:pPr>
              <w:jc w:val="center"/>
              <w:textAlignment w:val="center"/>
              <w:rPr>
                <w:rFonts w:hint="eastAsia" w:cs="宋体"/>
                <w:kern w:val="0"/>
                <w:sz w:val="21"/>
                <w:szCs w:val="21"/>
                <w:lang w:bidi="ar"/>
              </w:rPr>
            </w:pPr>
            <w:r>
              <w:rPr>
                <w:rFonts w:hint="eastAsia" w:cs="宋体"/>
                <w:kern w:val="0"/>
                <w:sz w:val="21"/>
                <w:szCs w:val="21"/>
                <w:lang w:bidi="ar"/>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29E37">
            <w:pPr>
              <w:jc w:val="left"/>
              <w:rPr>
                <w:rFonts w:hint="eastAsia" w:cs="宋体"/>
                <w:kern w:val="0"/>
                <w:sz w:val="21"/>
                <w:szCs w:val="21"/>
                <w:lang w:bidi="ar"/>
              </w:rPr>
            </w:pPr>
            <w:r>
              <w:rPr>
                <w:sz w:val="21"/>
                <w:szCs w:val="21"/>
              </w:rPr>
              <w:t>设备材料的包装物</w:t>
            </w:r>
            <w:r>
              <w:rPr>
                <w:rFonts w:hint="eastAsia"/>
                <w:sz w:val="21"/>
                <w:szCs w:val="21"/>
              </w:rPr>
              <w:t>进行分类使用。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C773B">
            <w:pPr>
              <w:jc w:val="left"/>
              <w:rPr>
                <w:rFonts w:hint="eastAsia" w:cs="宋体"/>
                <w:sz w:val="21"/>
                <w:szCs w:val="21"/>
              </w:rPr>
            </w:pPr>
            <w:r>
              <w:rPr>
                <w:sz w:val="21"/>
                <w:szCs w:val="21"/>
              </w:rPr>
              <w:t>设备材料的包装物</w:t>
            </w:r>
            <w:r>
              <w:rPr>
                <w:rFonts w:hint="eastAsia"/>
                <w:sz w:val="21"/>
                <w:szCs w:val="21"/>
              </w:rPr>
              <w:t>未分类使用，扣0.5分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6BE58">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0FA62">
            <w:pPr>
              <w:jc w:val="center"/>
              <w:rPr>
                <w:rFonts w:hint="eastAsia" w:cs="宋体"/>
                <w:sz w:val="21"/>
                <w:szCs w:val="21"/>
              </w:rPr>
            </w:pPr>
          </w:p>
        </w:tc>
      </w:tr>
      <w:tr w14:paraId="5075389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448E3">
            <w:pPr>
              <w:jc w:val="center"/>
              <w:textAlignment w:val="center"/>
              <w:rPr>
                <w:rFonts w:hint="eastAsia" w:cs="宋体"/>
                <w:kern w:val="0"/>
                <w:sz w:val="21"/>
                <w:szCs w:val="21"/>
                <w:lang w:bidi="ar"/>
              </w:rPr>
            </w:pPr>
            <w:r>
              <w:rPr>
                <w:rFonts w:hint="eastAsia" w:cs="宋体"/>
                <w:kern w:val="0"/>
                <w:sz w:val="21"/>
                <w:szCs w:val="21"/>
                <w:lang w:bidi="ar"/>
              </w:rPr>
              <w:t>7)</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CFD6C">
            <w:pPr>
              <w:jc w:val="left"/>
              <w:rPr>
                <w:rFonts w:hint="eastAsia" w:cs="宋体"/>
                <w:kern w:val="0"/>
                <w:sz w:val="21"/>
                <w:szCs w:val="21"/>
                <w:lang w:bidi="ar"/>
              </w:rPr>
            </w:pPr>
            <w:r>
              <w:rPr>
                <w:sz w:val="21"/>
                <w:szCs w:val="21"/>
              </w:rPr>
              <w:t>合理利用余料混凝土浇筑临时便道、硬化组合场地</w:t>
            </w:r>
            <w:r>
              <w:rPr>
                <w:rFonts w:hint="eastAsia"/>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2E154">
            <w:pPr>
              <w:jc w:val="left"/>
              <w:rPr>
                <w:rFonts w:hint="eastAsia" w:cs="宋体"/>
                <w:sz w:val="21"/>
                <w:szCs w:val="21"/>
              </w:rPr>
            </w:pPr>
            <w:r>
              <w:rPr>
                <w:rFonts w:hint="eastAsia" w:cs="宋体"/>
                <w:sz w:val="21"/>
                <w:szCs w:val="21"/>
              </w:rPr>
              <w:t>根据</w:t>
            </w:r>
            <w:r>
              <w:rPr>
                <w:sz w:val="21"/>
                <w:szCs w:val="21"/>
              </w:rPr>
              <w:t>余料混凝土</w:t>
            </w:r>
            <w:r>
              <w:rPr>
                <w:rFonts w:hint="eastAsia"/>
                <w:sz w:val="21"/>
                <w:szCs w:val="21"/>
              </w:rPr>
              <w:t>利用情况得分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B217A">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03244">
            <w:pPr>
              <w:jc w:val="center"/>
              <w:rPr>
                <w:rFonts w:hint="eastAsia" w:cs="宋体"/>
                <w:sz w:val="21"/>
                <w:szCs w:val="21"/>
              </w:rPr>
            </w:pPr>
          </w:p>
        </w:tc>
      </w:tr>
      <w:tr w14:paraId="48908208">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8C32F">
            <w:pPr>
              <w:jc w:val="center"/>
              <w:textAlignment w:val="center"/>
              <w:rPr>
                <w:rFonts w:hint="eastAsia" w:cs="宋体"/>
                <w:kern w:val="0"/>
                <w:sz w:val="21"/>
                <w:szCs w:val="21"/>
                <w:lang w:bidi="ar"/>
              </w:rPr>
            </w:pPr>
            <w:r>
              <w:rPr>
                <w:rFonts w:hint="eastAsia" w:cs="宋体"/>
                <w:kern w:val="0"/>
                <w:sz w:val="21"/>
                <w:szCs w:val="21"/>
                <w:lang w:bidi="ar"/>
              </w:rPr>
              <w:t>8)</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4C31B">
            <w:pPr>
              <w:jc w:val="left"/>
              <w:rPr>
                <w:rFonts w:hint="eastAsia" w:cs="宋体"/>
                <w:kern w:val="0"/>
                <w:sz w:val="21"/>
                <w:szCs w:val="21"/>
                <w:lang w:bidi="ar"/>
              </w:rPr>
            </w:pPr>
            <w:r>
              <w:rPr>
                <w:sz w:val="21"/>
                <w:szCs w:val="21"/>
              </w:rPr>
              <w:t>采用接木机、接模板机、梳齿机等设备，进行模板、木方回收重复使用。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DC543">
            <w:pPr>
              <w:jc w:val="left"/>
              <w:rPr>
                <w:rFonts w:hint="eastAsia" w:cs="宋体"/>
                <w:sz w:val="21"/>
                <w:szCs w:val="21"/>
              </w:rPr>
            </w:pPr>
            <w:r>
              <w:rPr>
                <w:rFonts w:hint="eastAsia"/>
                <w:sz w:val="21"/>
                <w:szCs w:val="21"/>
              </w:rPr>
              <w:t>根据</w:t>
            </w:r>
            <w:r>
              <w:rPr>
                <w:sz w:val="21"/>
                <w:szCs w:val="21"/>
              </w:rPr>
              <w:t>模板、木方回收重复使用</w:t>
            </w:r>
            <w:r>
              <w:rPr>
                <w:rFonts w:hint="eastAsia"/>
                <w:sz w:val="21"/>
                <w:szCs w:val="21"/>
              </w:rPr>
              <w:t>情况得分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58F1B">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FCAB6">
            <w:pPr>
              <w:jc w:val="center"/>
              <w:rPr>
                <w:rFonts w:hint="eastAsia" w:cs="宋体"/>
                <w:sz w:val="21"/>
                <w:szCs w:val="21"/>
              </w:rPr>
            </w:pPr>
          </w:p>
        </w:tc>
      </w:tr>
      <w:tr w14:paraId="6D7D29B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9458B">
            <w:pPr>
              <w:jc w:val="center"/>
              <w:textAlignment w:val="center"/>
              <w:rPr>
                <w:rFonts w:hint="eastAsia" w:cs="宋体"/>
                <w:kern w:val="0"/>
                <w:sz w:val="21"/>
                <w:szCs w:val="21"/>
                <w:lang w:bidi="ar"/>
              </w:rPr>
            </w:pPr>
            <w:r>
              <w:rPr>
                <w:rFonts w:hint="eastAsia" w:cs="宋体"/>
                <w:kern w:val="0"/>
                <w:sz w:val="21"/>
                <w:szCs w:val="21"/>
                <w:lang w:bidi="ar"/>
              </w:rPr>
              <w:t>9)</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DE121">
            <w:pPr>
              <w:jc w:val="left"/>
              <w:rPr>
                <w:rFonts w:hint="eastAsia" w:cs="宋体"/>
                <w:kern w:val="0"/>
                <w:sz w:val="21"/>
                <w:szCs w:val="21"/>
                <w:lang w:bidi="ar"/>
              </w:rPr>
            </w:pPr>
            <w:r>
              <w:rPr>
                <w:sz w:val="21"/>
                <w:szCs w:val="21"/>
              </w:rPr>
              <w:t>电缆卷盘应进行全数回收和循环利用。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27DBD">
            <w:pPr>
              <w:jc w:val="left"/>
              <w:rPr>
                <w:rFonts w:hint="eastAsia" w:cs="宋体"/>
                <w:sz w:val="21"/>
                <w:szCs w:val="21"/>
              </w:rPr>
            </w:pPr>
            <w:r>
              <w:rPr>
                <w:rFonts w:hint="eastAsia" w:cs="宋体"/>
                <w:sz w:val="21"/>
                <w:szCs w:val="21"/>
              </w:rPr>
              <w:t>电缆卷盘未做到全数回收和循环利用，扣0.25分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E91D4">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D4782">
            <w:pPr>
              <w:jc w:val="center"/>
              <w:rPr>
                <w:rFonts w:hint="eastAsia" w:cs="宋体"/>
                <w:sz w:val="21"/>
                <w:szCs w:val="21"/>
              </w:rPr>
            </w:pPr>
          </w:p>
        </w:tc>
      </w:tr>
      <w:tr w14:paraId="4D093197">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6CD29">
            <w:pPr>
              <w:jc w:val="center"/>
              <w:textAlignment w:val="center"/>
              <w:rPr>
                <w:rFonts w:hint="eastAsia" w:cs="宋体"/>
                <w:kern w:val="0"/>
                <w:sz w:val="21"/>
                <w:szCs w:val="21"/>
                <w:lang w:bidi="ar"/>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9A332">
            <w:pPr>
              <w:jc w:val="left"/>
              <w:rPr>
                <w:rFonts w:hint="eastAsia" w:cs="宋体"/>
                <w:kern w:val="0"/>
                <w:sz w:val="21"/>
                <w:szCs w:val="21"/>
                <w:lang w:bidi="ar"/>
              </w:rPr>
            </w:pPr>
            <w:r>
              <w:rPr>
                <w:rFonts w:hint="eastAsia" w:cs="宋体"/>
                <w:kern w:val="0"/>
                <w:sz w:val="21"/>
                <w:szCs w:val="21"/>
                <w:lang w:bidi="ar"/>
              </w:rPr>
              <w:t>专用项</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66E09">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823F1">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79D45">
            <w:pPr>
              <w:jc w:val="center"/>
              <w:rPr>
                <w:rFonts w:hint="eastAsia" w:cs="宋体"/>
                <w:sz w:val="21"/>
                <w:szCs w:val="21"/>
              </w:rPr>
            </w:pPr>
          </w:p>
        </w:tc>
      </w:tr>
      <w:tr w14:paraId="4EE77F2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0394E">
            <w:pPr>
              <w:jc w:val="center"/>
              <w:textAlignment w:val="center"/>
              <w:rPr>
                <w:rFonts w:hint="eastAsia" w:cs="宋体"/>
                <w:kern w:val="0"/>
                <w:sz w:val="21"/>
                <w:szCs w:val="21"/>
                <w:lang w:bidi="ar"/>
              </w:rPr>
            </w:pPr>
            <w:r>
              <w:rPr>
                <w:sz w:val="21"/>
                <w:szCs w:val="21"/>
              </w:rPr>
              <w:t xml:space="preserve">6.3.9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3622B">
            <w:pPr>
              <w:jc w:val="left"/>
              <w:textAlignment w:val="center"/>
              <w:rPr>
                <w:rFonts w:hint="eastAsia" w:cs="宋体"/>
                <w:kern w:val="0"/>
                <w:sz w:val="21"/>
                <w:szCs w:val="21"/>
                <w:lang w:bidi="ar"/>
              </w:rPr>
            </w:pPr>
            <w:r>
              <w:fldChar w:fldCharType="begin"/>
            </w:r>
            <w:r>
              <w:instrText xml:space="preserve"> HYPERLINK \l "_Toc162470929" </w:instrText>
            </w:r>
            <w:r>
              <w:fldChar w:fldCharType="separate"/>
            </w:r>
            <w:r>
              <w:rPr>
                <w:rFonts w:hint="eastAsia"/>
                <w:sz w:val="21"/>
                <w:szCs w:val="21"/>
              </w:rPr>
              <w:t>火电工程</w:t>
            </w:r>
            <w:r>
              <w:rPr>
                <w:rFonts w:hint="eastAsia"/>
                <w:sz w:val="21"/>
                <w:szCs w:val="21"/>
              </w:rPr>
              <w:fldChar w:fldCharType="end"/>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9D6C6">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14AE3">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2C1F4">
            <w:pPr>
              <w:jc w:val="left"/>
              <w:textAlignment w:val="center"/>
              <w:rPr>
                <w:rFonts w:hint="eastAsia" w:cs="宋体"/>
                <w:kern w:val="0"/>
                <w:sz w:val="21"/>
                <w:szCs w:val="21"/>
                <w:lang w:bidi="ar"/>
              </w:rPr>
            </w:pPr>
          </w:p>
        </w:tc>
      </w:tr>
      <w:tr w14:paraId="076AE21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639B6">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0D195">
            <w:pPr>
              <w:jc w:val="left"/>
              <w:textAlignment w:val="center"/>
              <w:rPr>
                <w:rFonts w:hint="eastAsia" w:cs="宋体"/>
                <w:kern w:val="0"/>
                <w:sz w:val="21"/>
                <w:szCs w:val="21"/>
                <w:lang w:bidi="ar"/>
              </w:rPr>
            </w:pPr>
            <w:r>
              <w:rPr>
                <w:rFonts w:hint="eastAsia" w:cs="宋体"/>
                <w:kern w:val="0"/>
                <w:sz w:val="21"/>
                <w:szCs w:val="21"/>
                <w:lang w:bidi="ar"/>
              </w:rPr>
              <w:t>燃煤发电工程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5327F">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F0529">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5B342">
            <w:pPr>
              <w:jc w:val="left"/>
              <w:textAlignment w:val="center"/>
              <w:rPr>
                <w:rFonts w:hint="eastAsia" w:cs="宋体"/>
                <w:kern w:val="0"/>
                <w:sz w:val="21"/>
                <w:szCs w:val="21"/>
                <w:lang w:bidi="ar"/>
              </w:rPr>
            </w:pPr>
          </w:p>
        </w:tc>
      </w:tr>
      <w:tr w14:paraId="6E764CC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14508">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21D38">
            <w:pPr>
              <w:jc w:val="left"/>
              <w:textAlignment w:val="center"/>
              <w:rPr>
                <w:rFonts w:hint="eastAsia" w:cs="宋体"/>
                <w:kern w:val="0"/>
                <w:sz w:val="21"/>
                <w:szCs w:val="21"/>
                <w:lang w:bidi="ar"/>
              </w:rPr>
            </w:pPr>
            <w:r>
              <w:rPr>
                <w:sz w:val="21"/>
                <w:szCs w:val="21"/>
              </w:rPr>
              <w:t>凝汽器、</w:t>
            </w:r>
            <w:r>
              <w:rPr>
                <w:rFonts w:hint="eastAsia"/>
                <w:sz w:val="21"/>
                <w:szCs w:val="21"/>
              </w:rPr>
              <w:t>锅炉</w:t>
            </w:r>
            <w:r>
              <w:rPr>
                <w:sz w:val="21"/>
                <w:szCs w:val="21"/>
              </w:rPr>
              <w:t>受热面</w:t>
            </w:r>
            <w:r>
              <w:rPr>
                <w:rFonts w:hint="eastAsia"/>
                <w:sz w:val="21"/>
                <w:szCs w:val="21"/>
              </w:rPr>
              <w:t>、</w:t>
            </w:r>
            <w:r>
              <w:rPr>
                <w:sz w:val="21"/>
                <w:szCs w:val="21"/>
              </w:rPr>
              <w:t>汽轮发电机样板架</w:t>
            </w:r>
            <w:r>
              <w:rPr>
                <w:rFonts w:hint="eastAsia"/>
                <w:sz w:val="21"/>
                <w:szCs w:val="21"/>
              </w:rPr>
              <w:t>等宜采用</w:t>
            </w:r>
            <w:r>
              <w:rPr>
                <w:sz w:val="21"/>
                <w:szCs w:val="21"/>
              </w:rPr>
              <w:t>废旧包装物</w:t>
            </w:r>
            <w:r>
              <w:rPr>
                <w:rFonts w:hint="eastAsia"/>
                <w:sz w:val="21"/>
                <w:szCs w:val="21"/>
              </w:rPr>
              <w:t>制作。</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7DAF6">
            <w:pPr>
              <w:jc w:val="left"/>
              <w:textAlignment w:val="center"/>
              <w:rPr>
                <w:rFonts w:hint="eastAsia" w:cs="宋体"/>
                <w:kern w:val="0"/>
                <w:sz w:val="21"/>
                <w:szCs w:val="21"/>
                <w:lang w:bidi="ar"/>
              </w:rPr>
            </w:pPr>
            <w:r>
              <w:rPr>
                <w:rFonts w:hint="eastAsia" w:cs="宋体"/>
                <w:kern w:val="0"/>
                <w:sz w:val="21"/>
                <w:szCs w:val="21"/>
                <w:lang w:bidi="ar"/>
              </w:rPr>
              <w:t>根据现场样板架采用废旧包装物制作情况酌情得分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8059A">
            <w:pPr>
              <w:jc w:val="center"/>
              <w:textAlignment w:val="center"/>
              <w:rPr>
                <w:rFonts w:hint="eastAsia" w:cs="宋体"/>
                <w:kern w:val="0"/>
                <w:sz w:val="21"/>
                <w:szCs w:val="21"/>
                <w:lang w:bidi="ar"/>
              </w:rPr>
            </w:pPr>
            <w:r>
              <w:rPr>
                <w:rFonts w:hint="eastAsia" w:cs="宋体"/>
                <w:kern w:val="0"/>
                <w:sz w:val="21"/>
                <w:szCs w:val="21"/>
                <w:lang w:bidi="ar"/>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BD710">
            <w:pPr>
              <w:jc w:val="left"/>
              <w:textAlignment w:val="center"/>
              <w:rPr>
                <w:rFonts w:hint="eastAsia" w:cs="宋体"/>
                <w:kern w:val="0"/>
                <w:sz w:val="21"/>
                <w:szCs w:val="21"/>
                <w:lang w:bidi="ar"/>
              </w:rPr>
            </w:pPr>
          </w:p>
        </w:tc>
      </w:tr>
      <w:tr w14:paraId="606E8D5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CC244">
            <w:pPr>
              <w:jc w:val="center"/>
              <w:textAlignment w:val="center"/>
              <w:rPr>
                <w:rFonts w:hint="eastAsia" w:cs="宋体"/>
                <w:kern w:val="0"/>
                <w:sz w:val="21"/>
                <w:szCs w:val="21"/>
                <w:lang w:bidi="ar"/>
              </w:rPr>
            </w:pPr>
            <w:r>
              <w:rPr>
                <w:rFonts w:hint="eastAsia" w:cs="宋体"/>
                <w:kern w:val="0"/>
                <w:sz w:val="21"/>
                <w:szCs w:val="21"/>
                <w:lang w:bidi="ar"/>
              </w:rPr>
              <w:t xml:space="preserve">2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57F4D">
            <w:pPr>
              <w:jc w:val="left"/>
              <w:textAlignment w:val="center"/>
              <w:rPr>
                <w:rFonts w:hint="eastAsia" w:cs="宋体"/>
                <w:kern w:val="0"/>
                <w:sz w:val="21"/>
                <w:szCs w:val="21"/>
                <w:lang w:bidi="ar"/>
              </w:rPr>
            </w:pPr>
            <w:r>
              <w:rPr>
                <w:rFonts w:hint="eastAsia" w:cs="宋体"/>
                <w:kern w:val="0"/>
                <w:sz w:val="21"/>
                <w:szCs w:val="21"/>
                <w:lang w:bidi="ar"/>
              </w:rPr>
              <w:t>燃气蒸汽联合循环发电工程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16339">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848AA">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87C1F">
            <w:pPr>
              <w:jc w:val="left"/>
              <w:textAlignment w:val="center"/>
              <w:rPr>
                <w:rFonts w:hint="eastAsia" w:cs="宋体"/>
                <w:kern w:val="0"/>
                <w:sz w:val="21"/>
                <w:szCs w:val="21"/>
                <w:lang w:bidi="ar"/>
              </w:rPr>
            </w:pPr>
          </w:p>
        </w:tc>
      </w:tr>
      <w:tr w14:paraId="5094426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1723E">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85F02">
            <w:pPr>
              <w:jc w:val="left"/>
              <w:textAlignment w:val="center"/>
              <w:rPr>
                <w:rFonts w:hint="eastAsia" w:cs="宋体"/>
                <w:kern w:val="0"/>
                <w:sz w:val="21"/>
                <w:szCs w:val="21"/>
                <w:lang w:bidi="ar"/>
              </w:rPr>
            </w:pPr>
            <w:r>
              <w:rPr>
                <w:rFonts w:hint="eastAsia"/>
                <w:sz w:val="21"/>
                <w:szCs w:val="21"/>
              </w:rPr>
              <w:t>执行燃煤发电工程</w:t>
            </w:r>
            <w:r>
              <w:rPr>
                <w:sz w:val="21"/>
                <w:szCs w:val="21"/>
              </w:rPr>
              <w:t>1）条。</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1A931">
            <w:pPr>
              <w:jc w:val="left"/>
              <w:textAlignment w:val="center"/>
              <w:rPr>
                <w:rFonts w:hint="eastAsia" w:cs="宋体"/>
                <w:kern w:val="0"/>
                <w:sz w:val="21"/>
                <w:szCs w:val="21"/>
                <w:lang w:bidi="ar"/>
              </w:rPr>
            </w:pPr>
            <w:r>
              <w:rPr>
                <w:rFonts w:hint="eastAsia" w:cs="宋体"/>
                <w:kern w:val="0"/>
                <w:sz w:val="21"/>
                <w:szCs w:val="21"/>
                <w:lang w:bidi="ar"/>
              </w:rPr>
              <w:t>根据现场样板架采用废旧包装物制作情况酌情得分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491FE">
            <w:pPr>
              <w:jc w:val="center"/>
              <w:textAlignment w:val="center"/>
              <w:rPr>
                <w:rFonts w:hint="eastAsia" w:cs="宋体"/>
                <w:kern w:val="0"/>
                <w:sz w:val="21"/>
                <w:szCs w:val="21"/>
                <w:lang w:bidi="ar"/>
              </w:rPr>
            </w:pPr>
            <w:r>
              <w:rPr>
                <w:rFonts w:hint="eastAsia" w:cs="宋体"/>
                <w:kern w:val="0"/>
                <w:sz w:val="21"/>
                <w:szCs w:val="21"/>
                <w:lang w:bidi="ar"/>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1AB44">
            <w:pPr>
              <w:jc w:val="left"/>
              <w:textAlignment w:val="center"/>
              <w:rPr>
                <w:rFonts w:hint="eastAsia" w:cs="宋体"/>
                <w:kern w:val="0"/>
                <w:sz w:val="21"/>
                <w:szCs w:val="21"/>
                <w:lang w:bidi="ar"/>
              </w:rPr>
            </w:pPr>
          </w:p>
        </w:tc>
      </w:tr>
      <w:tr w14:paraId="2C927D02">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4E04E">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DFD95">
            <w:pPr>
              <w:jc w:val="left"/>
              <w:textAlignment w:val="center"/>
              <w:rPr>
                <w:rFonts w:hint="eastAsia" w:cs="宋体"/>
                <w:kern w:val="0"/>
                <w:sz w:val="21"/>
                <w:szCs w:val="21"/>
                <w:lang w:bidi="ar"/>
              </w:rPr>
            </w:pPr>
            <w:r>
              <w:rPr>
                <w:rFonts w:hint="eastAsia" w:cs="宋体"/>
                <w:kern w:val="0"/>
                <w:sz w:val="21"/>
                <w:szCs w:val="21"/>
                <w:lang w:bidi="ar"/>
              </w:rPr>
              <w:t>垃圾焚烧发电工程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61087">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4C4E4">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21AFF">
            <w:pPr>
              <w:jc w:val="left"/>
              <w:textAlignment w:val="center"/>
              <w:rPr>
                <w:rFonts w:hint="eastAsia" w:cs="宋体"/>
                <w:kern w:val="0"/>
                <w:sz w:val="21"/>
                <w:szCs w:val="21"/>
                <w:lang w:bidi="ar"/>
              </w:rPr>
            </w:pPr>
          </w:p>
        </w:tc>
      </w:tr>
      <w:tr w14:paraId="78A1DA9F">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27D70">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2DEA5">
            <w:pPr>
              <w:jc w:val="left"/>
              <w:textAlignment w:val="center"/>
              <w:rPr>
                <w:rFonts w:hint="eastAsia" w:cs="宋体"/>
                <w:kern w:val="0"/>
                <w:sz w:val="21"/>
                <w:szCs w:val="21"/>
                <w:lang w:bidi="ar"/>
              </w:rPr>
            </w:pPr>
            <w:r>
              <w:rPr>
                <w:rFonts w:hint="eastAsia"/>
                <w:sz w:val="21"/>
                <w:szCs w:val="21"/>
              </w:rPr>
              <w:t>执行燃煤发电工程</w:t>
            </w:r>
            <w:r>
              <w:rPr>
                <w:sz w:val="21"/>
                <w:szCs w:val="21"/>
              </w:rPr>
              <w:t>1）条。</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4392D">
            <w:pPr>
              <w:jc w:val="left"/>
              <w:textAlignment w:val="center"/>
              <w:rPr>
                <w:rFonts w:hint="eastAsia" w:cs="宋体"/>
                <w:kern w:val="0"/>
                <w:sz w:val="21"/>
                <w:szCs w:val="21"/>
                <w:lang w:bidi="ar"/>
              </w:rPr>
            </w:pPr>
            <w:r>
              <w:rPr>
                <w:rFonts w:hint="eastAsia" w:cs="宋体"/>
                <w:kern w:val="0"/>
                <w:sz w:val="21"/>
                <w:szCs w:val="21"/>
                <w:lang w:bidi="ar"/>
              </w:rPr>
              <w:t>根据现场样板架采用废旧包装物制作情况酌情得分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2805E">
            <w:pPr>
              <w:jc w:val="center"/>
              <w:textAlignment w:val="center"/>
              <w:rPr>
                <w:rFonts w:hint="eastAsia" w:cs="宋体"/>
                <w:kern w:val="0"/>
                <w:sz w:val="21"/>
                <w:szCs w:val="21"/>
                <w:lang w:bidi="ar"/>
              </w:rPr>
            </w:pPr>
            <w:r>
              <w:rPr>
                <w:rFonts w:hint="eastAsia" w:cs="宋体"/>
                <w:kern w:val="0"/>
                <w:sz w:val="21"/>
                <w:szCs w:val="21"/>
                <w:lang w:bidi="ar"/>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343EE">
            <w:pPr>
              <w:jc w:val="left"/>
              <w:textAlignment w:val="center"/>
              <w:rPr>
                <w:rFonts w:hint="eastAsia" w:cs="宋体"/>
                <w:kern w:val="0"/>
                <w:sz w:val="21"/>
                <w:szCs w:val="21"/>
                <w:lang w:bidi="ar"/>
              </w:rPr>
            </w:pPr>
          </w:p>
        </w:tc>
      </w:tr>
      <w:tr w14:paraId="770368F2">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D0BCE">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ADC64">
            <w:pPr>
              <w:jc w:val="left"/>
              <w:textAlignment w:val="center"/>
              <w:rPr>
                <w:rFonts w:hint="eastAsia" w:cs="宋体"/>
                <w:kern w:val="0"/>
                <w:sz w:val="21"/>
                <w:szCs w:val="21"/>
                <w:lang w:bidi="ar"/>
              </w:rPr>
            </w:pPr>
            <w:r>
              <w:rPr>
                <w:rFonts w:hint="eastAsia" w:cs="宋体"/>
                <w:kern w:val="0"/>
                <w:sz w:val="21"/>
                <w:szCs w:val="21"/>
                <w:lang w:bidi="ar"/>
              </w:rPr>
              <w:t>生物质发电工程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5BA39">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60B01">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0E739">
            <w:pPr>
              <w:jc w:val="left"/>
              <w:textAlignment w:val="center"/>
              <w:rPr>
                <w:rFonts w:hint="eastAsia" w:cs="宋体"/>
                <w:kern w:val="0"/>
                <w:sz w:val="21"/>
                <w:szCs w:val="21"/>
                <w:lang w:bidi="ar"/>
              </w:rPr>
            </w:pPr>
          </w:p>
        </w:tc>
      </w:tr>
      <w:tr w14:paraId="629ED8A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DF3B0">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A96CE">
            <w:pPr>
              <w:jc w:val="left"/>
              <w:textAlignment w:val="center"/>
              <w:rPr>
                <w:rFonts w:hint="eastAsia" w:cs="宋体"/>
                <w:kern w:val="0"/>
                <w:sz w:val="21"/>
                <w:szCs w:val="21"/>
                <w:lang w:bidi="ar"/>
              </w:rPr>
            </w:pPr>
            <w:r>
              <w:rPr>
                <w:rFonts w:hint="eastAsia"/>
                <w:sz w:val="21"/>
                <w:szCs w:val="21"/>
              </w:rPr>
              <w:t>执行燃煤发电工程</w:t>
            </w:r>
            <w:r>
              <w:rPr>
                <w:sz w:val="21"/>
                <w:szCs w:val="21"/>
              </w:rPr>
              <w:t>1）条。</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83DF2">
            <w:pPr>
              <w:jc w:val="left"/>
              <w:textAlignment w:val="center"/>
              <w:rPr>
                <w:rFonts w:hint="eastAsia" w:cs="宋体"/>
                <w:kern w:val="0"/>
                <w:sz w:val="21"/>
                <w:szCs w:val="21"/>
                <w:lang w:bidi="ar"/>
              </w:rPr>
            </w:pPr>
            <w:r>
              <w:rPr>
                <w:rFonts w:hint="eastAsia" w:cs="宋体"/>
                <w:kern w:val="0"/>
                <w:sz w:val="21"/>
                <w:szCs w:val="21"/>
                <w:lang w:bidi="ar"/>
              </w:rPr>
              <w:t>根据现场样板架采用废旧包装物制作情况酌情得分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D2FFA">
            <w:pPr>
              <w:jc w:val="center"/>
              <w:textAlignment w:val="center"/>
              <w:rPr>
                <w:rFonts w:hint="eastAsia" w:cs="宋体"/>
                <w:kern w:val="0"/>
                <w:sz w:val="21"/>
                <w:szCs w:val="21"/>
                <w:lang w:bidi="ar"/>
              </w:rPr>
            </w:pPr>
            <w:r>
              <w:rPr>
                <w:rFonts w:hint="eastAsia" w:cs="宋体"/>
                <w:kern w:val="0"/>
                <w:sz w:val="21"/>
                <w:szCs w:val="21"/>
                <w:lang w:bidi="ar"/>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65319">
            <w:pPr>
              <w:jc w:val="left"/>
              <w:textAlignment w:val="center"/>
              <w:rPr>
                <w:rFonts w:hint="eastAsia" w:cs="宋体"/>
                <w:kern w:val="0"/>
                <w:sz w:val="21"/>
                <w:szCs w:val="21"/>
                <w:lang w:bidi="ar"/>
              </w:rPr>
            </w:pPr>
          </w:p>
        </w:tc>
      </w:tr>
      <w:tr w14:paraId="3E76789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A27CF">
            <w:pPr>
              <w:jc w:val="center"/>
              <w:textAlignment w:val="center"/>
              <w:rPr>
                <w:rFonts w:hint="eastAsia" w:cs="宋体"/>
                <w:kern w:val="0"/>
                <w:sz w:val="21"/>
                <w:szCs w:val="21"/>
                <w:lang w:bidi="ar"/>
              </w:rPr>
            </w:pPr>
            <w:r>
              <w:rPr>
                <w:rFonts w:hint="eastAsia" w:cs="宋体"/>
                <w:kern w:val="0"/>
                <w:sz w:val="21"/>
                <w:szCs w:val="21"/>
                <w:lang w:bidi="ar"/>
              </w:rPr>
              <w:t xml:space="preserve">6.3.10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5D8F5">
            <w:pPr>
              <w:jc w:val="left"/>
              <w:textAlignment w:val="center"/>
              <w:rPr>
                <w:rFonts w:hint="eastAsia" w:cs="宋体"/>
                <w:kern w:val="0"/>
                <w:sz w:val="21"/>
                <w:szCs w:val="21"/>
                <w:lang w:bidi="ar"/>
              </w:rPr>
            </w:pPr>
            <w:r>
              <w:rPr>
                <w:rFonts w:hint="eastAsia" w:cs="宋体"/>
                <w:kern w:val="0"/>
                <w:sz w:val="21"/>
                <w:szCs w:val="21"/>
                <w:lang w:bidi="ar"/>
              </w:rPr>
              <w:t>水力发电（含抽水蓄能）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12804">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8F959">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28147">
            <w:pPr>
              <w:jc w:val="left"/>
              <w:textAlignment w:val="center"/>
              <w:rPr>
                <w:rFonts w:hint="eastAsia" w:cs="宋体"/>
                <w:kern w:val="0"/>
                <w:sz w:val="21"/>
                <w:szCs w:val="21"/>
                <w:lang w:bidi="ar"/>
              </w:rPr>
            </w:pPr>
          </w:p>
        </w:tc>
      </w:tr>
      <w:tr w14:paraId="758DE3D4">
        <w:tblPrEx>
          <w:tblCellMar>
            <w:top w:w="0" w:type="dxa"/>
            <w:left w:w="108" w:type="dxa"/>
            <w:bottom w:w="0" w:type="dxa"/>
            <w:right w:w="108" w:type="dxa"/>
          </w:tblCellMar>
        </w:tblPrEx>
        <w:trPr>
          <w:trHeight w:val="1864"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D96DE">
            <w:pPr>
              <w:jc w:val="center"/>
              <w:textAlignment w:val="center"/>
              <w:rPr>
                <w:rFonts w:hint="eastAsia" w:cs="宋体"/>
                <w:kern w:val="0"/>
                <w:sz w:val="21"/>
                <w:szCs w:val="21"/>
                <w:lang w:bidi="ar"/>
              </w:rPr>
            </w:pPr>
            <w:r>
              <w:rPr>
                <w:rFonts w:hint="eastAsia" w:cs="宋体"/>
                <w:kern w:val="0"/>
                <w:sz w:val="21"/>
                <w:szCs w:val="21"/>
                <w:lang w:bidi="ar"/>
              </w:rPr>
              <w:t>1</w:t>
            </w:r>
            <w:r>
              <w:rPr>
                <w:rFonts w:cs="宋体"/>
                <w:kern w:val="0"/>
                <w:sz w:val="21"/>
                <w:szCs w:val="21"/>
                <w:lang w:bidi="ar"/>
              </w:rPr>
              <w:t>)</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1A434">
            <w:pPr>
              <w:jc w:val="left"/>
              <w:textAlignment w:val="center"/>
              <w:rPr>
                <w:rFonts w:hint="eastAsia" w:cs="宋体"/>
                <w:kern w:val="0"/>
                <w:sz w:val="21"/>
                <w:szCs w:val="21"/>
                <w:lang w:bidi="ar"/>
              </w:rPr>
            </w:pPr>
            <w:r>
              <w:rPr>
                <w:rFonts w:hint="eastAsia" w:cs="宋体"/>
                <w:bCs/>
                <w:kern w:val="0"/>
                <w:sz w:val="21"/>
                <w:szCs w:val="21"/>
                <w:lang w:bidi="ar"/>
              </w:rPr>
              <w:t>工程挖方、填方平衡效果良好，渣场堆放量小于同期国内同类工程。</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66554BC2">
            <w:pPr>
              <w:jc w:val="left"/>
              <w:textAlignment w:val="center"/>
              <w:rPr>
                <w:rFonts w:hint="eastAsia" w:cs="宋体"/>
                <w:bCs/>
                <w:kern w:val="0"/>
                <w:sz w:val="21"/>
                <w:szCs w:val="21"/>
                <w:lang w:bidi="ar"/>
              </w:rPr>
            </w:pPr>
            <w:r>
              <w:rPr>
                <w:rFonts w:hint="eastAsia" w:cs="宋体"/>
                <w:bCs/>
                <w:kern w:val="0"/>
                <w:sz w:val="21"/>
                <w:szCs w:val="21"/>
                <w:lang w:bidi="ar"/>
              </w:rPr>
              <w:t>每项子目实得分根据现场实际情况按照标准分乘以相应系数进行评分：</w:t>
            </w:r>
          </w:p>
          <w:p w14:paraId="71484EC1">
            <w:pPr>
              <w:jc w:val="left"/>
              <w:textAlignment w:val="center"/>
              <w:rPr>
                <w:rFonts w:hint="eastAsia" w:cs="宋体"/>
                <w:bCs/>
                <w:kern w:val="0"/>
                <w:sz w:val="21"/>
                <w:szCs w:val="21"/>
                <w:lang w:bidi="ar"/>
              </w:rPr>
            </w:pPr>
            <w:r>
              <w:rPr>
                <w:rFonts w:hint="eastAsia" w:cs="宋体"/>
                <w:bCs/>
                <w:kern w:val="0"/>
                <w:sz w:val="21"/>
                <w:szCs w:val="21"/>
                <w:lang w:bidi="ar"/>
              </w:rPr>
              <w:t>1、措施到位，满足评价指标要求系数为1；</w:t>
            </w:r>
          </w:p>
          <w:p w14:paraId="7E0236EC">
            <w:pPr>
              <w:jc w:val="left"/>
              <w:textAlignment w:val="center"/>
              <w:rPr>
                <w:rFonts w:hint="eastAsia" w:cs="宋体"/>
                <w:bCs/>
                <w:kern w:val="0"/>
                <w:sz w:val="21"/>
                <w:szCs w:val="21"/>
                <w:lang w:bidi="ar"/>
              </w:rPr>
            </w:pPr>
            <w:r>
              <w:rPr>
                <w:rFonts w:hint="eastAsia" w:cs="宋体"/>
                <w:bCs/>
                <w:kern w:val="0"/>
                <w:sz w:val="21"/>
                <w:szCs w:val="21"/>
                <w:lang w:bidi="ar"/>
              </w:rPr>
              <w:t>2、措施到位，基本满足评价指标要求系数按照0.5~0.9酌情选取；</w:t>
            </w:r>
          </w:p>
          <w:p w14:paraId="360202D5">
            <w:pPr>
              <w:jc w:val="left"/>
              <w:textAlignment w:val="center"/>
              <w:rPr>
                <w:rFonts w:hint="eastAsia" w:cs="宋体"/>
                <w:kern w:val="0"/>
                <w:sz w:val="21"/>
                <w:szCs w:val="21"/>
                <w:lang w:bidi="ar"/>
              </w:rPr>
            </w:pPr>
            <w:r>
              <w:rPr>
                <w:rFonts w:hint="eastAsia" w:cs="宋体"/>
                <w:bCs/>
                <w:kern w:val="0"/>
                <w:sz w:val="21"/>
                <w:szCs w:val="21"/>
                <w:lang w:bidi="ar"/>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36C0A">
            <w:pPr>
              <w:jc w:val="center"/>
              <w:textAlignment w:val="center"/>
              <w:rPr>
                <w:rFonts w:hint="eastAsia" w:cs="宋体"/>
                <w:kern w:val="0"/>
                <w:sz w:val="21"/>
                <w:szCs w:val="21"/>
                <w:lang w:bidi="ar"/>
              </w:rPr>
            </w:pPr>
            <w:r>
              <w:rPr>
                <w:rFonts w:hint="eastAsia" w:cs="宋体"/>
                <w:bCs/>
                <w:kern w:val="0"/>
                <w:sz w:val="21"/>
                <w:szCs w:val="21"/>
                <w:lang w:bidi="ar"/>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47A1F">
            <w:pPr>
              <w:jc w:val="left"/>
              <w:textAlignment w:val="center"/>
              <w:rPr>
                <w:rFonts w:hint="eastAsia" w:cs="宋体"/>
                <w:kern w:val="0"/>
                <w:sz w:val="21"/>
                <w:szCs w:val="21"/>
                <w:lang w:bidi="ar"/>
              </w:rPr>
            </w:pPr>
          </w:p>
        </w:tc>
      </w:tr>
      <w:tr w14:paraId="3C5E54AD">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A43DC">
            <w:pPr>
              <w:jc w:val="center"/>
              <w:textAlignment w:val="center"/>
              <w:rPr>
                <w:rFonts w:hint="eastAsia" w:cs="宋体"/>
                <w:kern w:val="0"/>
                <w:sz w:val="21"/>
                <w:szCs w:val="21"/>
                <w:lang w:bidi="ar"/>
              </w:rPr>
            </w:pPr>
            <w:r>
              <w:rPr>
                <w:rFonts w:cs="宋体"/>
                <w:kern w:val="0"/>
                <w:sz w:val="21"/>
                <w:szCs w:val="21"/>
                <w:lang w:bidi="ar"/>
              </w:rPr>
              <w:t>2</w:t>
            </w:r>
            <w:r>
              <w:rPr>
                <w:rFonts w:hint="eastAsia" w:cs="宋体"/>
                <w:kern w:val="0"/>
                <w:sz w:val="21"/>
                <w:szCs w:val="21"/>
                <w:lang w:bidi="ar"/>
              </w:rPr>
              <w:t>）</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A34E7">
            <w:pPr>
              <w:jc w:val="left"/>
              <w:textAlignment w:val="center"/>
              <w:rPr>
                <w:rFonts w:hint="eastAsia" w:cs="宋体"/>
                <w:kern w:val="0"/>
                <w:sz w:val="21"/>
                <w:szCs w:val="21"/>
                <w:lang w:bidi="ar"/>
              </w:rPr>
            </w:pPr>
            <w:r>
              <w:rPr>
                <w:rFonts w:hint="eastAsia" w:cs="宋体"/>
                <w:bCs/>
                <w:kern w:val="0"/>
                <w:sz w:val="21"/>
                <w:szCs w:val="21"/>
                <w:lang w:bidi="ar"/>
              </w:rPr>
              <w:t>边坡开挖工程应做好表面耕植土的剥离、收集、存放工作，后期用作植被恢复。</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248C3D90">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28745">
            <w:pPr>
              <w:jc w:val="center"/>
              <w:textAlignment w:val="center"/>
              <w:rPr>
                <w:rFonts w:hint="eastAsia" w:cs="宋体"/>
                <w:kern w:val="0"/>
                <w:sz w:val="21"/>
                <w:szCs w:val="21"/>
                <w:lang w:bidi="ar"/>
              </w:rPr>
            </w:pPr>
            <w:r>
              <w:rPr>
                <w:rFonts w:hint="eastAsia" w:cs="宋体"/>
                <w:bCs/>
                <w:kern w:val="0"/>
                <w:sz w:val="21"/>
                <w:szCs w:val="21"/>
                <w:lang w:bidi="ar"/>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C2042">
            <w:pPr>
              <w:jc w:val="left"/>
              <w:textAlignment w:val="center"/>
              <w:rPr>
                <w:rFonts w:hint="eastAsia" w:cs="宋体"/>
                <w:kern w:val="0"/>
                <w:sz w:val="21"/>
                <w:szCs w:val="21"/>
                <w:lang w:bidi="ar"/>
              </w:rPr>
            </w:pPr>
          </w:p>
        </w:tc>
      </w:tr>
      <w:tr w14:paraId="3B8242B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33C61">
            <w:pPr>
              <w:jc w:val="center"/>
              <w:textAlignment w:val="center"/>
              <w:rPr>
                <w:rFonts w:hint="eastAsia" w:cs="Times New Roman"/>
                <w:sz w:val="21"/>
                <w:szCs w:val="21"/>
              </w:rPr>
            </w:pPr>
            <w:r>
              <w:rPr>
                <w:rFonts w:hint="eastAsia" w:cs="宋体"/>
                <w:kern w:val="0"/>
                <w:sz w:val="21"/>
                <w:szCs w:val="21"/>
                <w:lang w:bidi="ar"/>
              </w:rPr>
              <w:t xml:space="preserve">6.3.11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00C4F">
            <w:pPr>
              <w:adjustRightInd w:val="0"/>
              <w:snapToGrid w:val="0"/>
              <w:rPr>
                <w:rFonts w:hint="eastAsia" w:cs="Times New Roman"/>
                <w:sz w:val="21"/>
                <w:szCs w:val="21"/>
              </w:rPr>
            </w:pPr>
            <w:r>
              <w:rPr>
                <w:rFonts w:hint="eastAsia" w:cs="宋体"/>
                <w:kern w:val="0"/>
                <w:sz w:val="21"/>
                <w:szCs w:val="21"/>
                <w:lang w:bidi="ar"/>
              </w:rPr>
              <w:t>风力发电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51FF2">
            <w:pPr>
              <w:jc w:val="left"/>
              <w:rPr>
                <w:rFonts w:hint="eastAsia"/>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75A75">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628A6">
            <w:pPr>
              <w:jc w:val="center"/>
              <w:rPr>
                <w:rFonts w:hint="eastAsia" w:cs="宋体"/>
                <w:sz w:val="21"/>
                <w:szCs w:val="21"/>
              </w:rPr>
            </w:pPr>
          </w:p>
        </w:tc>
      </w:tr>
      <w:tr w14:paraId="03288F1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75615">
            <w:pPr>
              <w:jc w:val="center"/>
              <w:textAlignment w:val="center"/>
              <w:rPr>
                <w:rFonts w:hint="eastAsia" w:cs="Times New Roman"/>
                <w:sz w:val="21"/>
                <w:szCs w:val="21"/>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E1C0D">
            <w:pPr>
              <w:adjustRightInd w:val="0"/>
              <w:snapToGrid w:val="0"/>
              <w:rPr>
                <w:rFonts w:hint="eastAsia" w:cs="Times New Roman"/>
                <w:sz w:val="21"/>
                <w:szCs w:val="21"/>
              </w:rPr>
            </w:pPr>
            <w:r>
              <w:rPr>
                <w:rFonts w:hint="eastAsia" w:cs="宋体"/>
                <w:kern w:val="0"/>
                <w:sz w:val="21"/>
                <w:szCs w:val="21"/>
                <w:lang w:bidi="ar"/>
              </w:rPr>
              <w:t>陆上风电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6EFF3">
            <w:pPr>
              <w:jc w:val="left"/>
              <w:rPr>
                <w:rFonts w:hint="eastAsia"/>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FECDC">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E7483">
            <w:pPr>
              <w:jc w:val="center"/>
              <w:rPr>
                <w:rFonts w:hint="eastAsia" w:cs="宋体"/>
                <w:sz w:val="21"/>
                <w:szCs w:val="21"/>
              </w:rPr>
            </w:pPr>
          </w:p>
        </w:tc>
      </w:tr>
      <w:tr w14:paraId="0B98F076">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66CD3">
            <w:pPr>
              <w:jc w:val="center"/>
              <w:textAlignment w:val="center"/>
              <w:rPr>
                <w:rFonts w:hint="eastAsia" w:cs="宋体"/>
                <w:kern w:val="0"/>
                <w:sz w:val="21"/>
                <w:szCs w:val="21"/>
                <w:lang w:bidi="ar"/>
              </w:rPr>
            </w:pPr>
            <w:r>
              <w:rPr>
                <w:rFonts w:hint="eastAsia" w:cs="Times New Roman"/>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9C413">
            <w:pPr>
              <w:adjustRightInd w:val="0"/>
              <w:snapToGrid w:val="0"/>
              <w:rPr>
                <w:rFonts w:hint="eastAsia" w:cs="Times New Roman"/>
                <w:sz w:val="21"/>
                <w:szCs w:val="21"/>
              </w:rPr>
            </w:pPr>
            <w:r>
              <w:rPr>
                <w:rFonts w:hint="eastAsia" w:cs="Times New Roman"/>
                <w:sz w:val="21"/>
                <w:szCs w:val="21"/>
              </w:rPr>
              <w:t>风机基础工程场地挖方、填方平衡，开挖的渣土经处理就地利用，无渣外运或弃土。</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4138C">
            <w:pPr>
              <w:jc w:val="left"/>
              <w:rPr>
                <w:rFonts w:hint="eastAsia" w:cs="宋体"/>
                <w:sz w:val="21"/>
                <w:szCs w:val="21"/>
              </w:rPr>
            </w:pPr>
            <w:r>
              <w:rPr>
                <w:rFonts w:hint="eastAsia"/>
                <w:sz w:val="21"/>
                <w:szCs w:val="21"/>
              </w:rPr>
              <w:t>本项满分1分，风机基础土方平衡无渣土外运得满分，有弃土外运根据实际情况扣减0.1~0.5分。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ECB6F">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F388B">
            <w:pPr>
              <w:jc w:val="center"/>
              <w:rPr>
                <w:rFonts w:hint="eastAsia" w:cs="宋体"/>
                <w:sz w:val="21"/>
                <w:szCs w:val="21"/>
              </w:rPr>
            </w:pPr>
          </w:p>
        </w:tc>
      </w:tr>
      <w:tr w14:paraId="0B5E7CA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D88AF">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147D4">
            <w:pPr>
              <w:adjustRightInd w:val="0"/>
              <w:snapToGrid w:val="0"/>
              <w:rPr>
                <w:rFonts w:hint="eastAsia" w:cs="Times New Roman"/>
                <w:sz w:val="21"/>
                <w:szCs w:val="21"/>
              </w:rPr>
            </w:pPr>
            <w:r>
              <w:rPr>
                <w:rFonts w:hint="eastAsia" w:cs="Times New Roman"/>
                <w:sz w:val="21"/>
                <w:szCs w:val="21"/>
              </w:rPr>
              <w:t>海上风电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D4C39">
            <w:pPr>
              <w:jc w:val="left"/>
              <w:rPr>
                <w:rFonts w:hint="eastAsia"/>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1EB61">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FC111">
            <w:pPr>
              <w:jc w:val="center"/>
              <w:rPr>
                <w:rFonts w:hint="eastAsia" w:cs="宋体"/>
                <w:sz w:val="21"/>
                <w:szCs w:val="21"/>
              </w:rPr>
            </w:pPr>
          </w:p>
        </w:tc>
      </w:tr>
      <w:tr w14:paraId="75B70652">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0AD1E">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E364F">
            <w:pPr>
              <w:adjustRightInd w:val="0"/>
              <w:snapToGrid w:val="0"/>
              <w:rPr>
                <w:rFonts w:hint="eastAsia" w:cs="Times New Roman"/>
                <w:sz w:val="21"/>
                <w:szCs w:val="21"/>
              </w:rPr>
            </w:pPr>
            <w:r>
              <w:rPr>
                <w:rFonts w:hint="eastAsia" w:cs="Times New Roman"/>
                <w:sz w:val="21"/>
                <w:szCs w:val="21"/>
              </w:rPr>
              <w:t>应与具备资质的海洋垃圾收集单位订立垃圾回收合同，定期将船上产生的垃圾进行回收并记录台账。</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64971">
            <w:pPr>
              <w:jc w:val="left"/>
              <w:rPr>
                <w:rFonts w:hint="eastAsia" w:cs="宋体"/>
                <w:sz w:val="21"/>
                <w:szCs w:val="21"/>
              </w:rPr>
            </w:pPr>
            <w:r>
              <w:rPr>
                <w:rFonts w:hint="eastAsia"/>
                <w:sz w:val="21"/>
                <w:szCs w:val="21"/>
              </w:rPr>
              <w:t>本项满分0.5分，未与有资质单位签订回收合同扣0.25分，未建立回收台账记录扣0.25分。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C5E98">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5F8CF">
            <w:pPr>
              <w:jc w:val="center"/>
              <w:rPr>
                <w:rFonts w:hint="eastAsia" w:cs="宋体"/>
                <w:sz w:val="21"/>
                <w:szCs w:val="21"/>
              </w:rPr>
            </w:pPr>
          </w:p>
        </w:tc>
      </w:tr>
      <w:tr w14:paraId="4566167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A71ED">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14792">
            <w:pPr>
              <w:adjustRightInd w:val="0"/>
              <w:snapToGrid w:val="0"/>
              <w:rPr>
                <w:rFonts w:hint="eastAsia" w:cs="Times New Roman"/>
                <w:sz w:val="21"/>
                <w:szCs w:val="21"/>
              </w:rPr>
            </w:pPr>
            <w:r>
              <w:rPr>
                <w:rFonts w:hint="eastAsia" w:cs="Times New Roman"/>
                <w:sz w:val="21"/>
                <w:szCs w:val="21"/>
              </w:rPr>
              <w:t>海上风电施工船舶应当配备分类垃圾存储设备，建筑垃圾分类收集、分类回收。</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387E7">
            <w:pPr>
              <w:jc w:val="left"/>
              <w:rPr>
                <w:rFonts w:hint="eastAsia" w:cs="宋体"/>
                <w:sz w:val="21"/>
                <w:szCs w:val="21"/>
              </w:rPr>
            </w:pPr>
            <w:r>
              <w:rPr>
                <w:rFonts w:hint="eastAsia"/>
                <w:sz w:val="21"/>
                <w:szCs w:val="21"/>
              </w:rPr>
              <w:t>本项满分0.5分，未</w:t>
            </w:r>
            <w:r>
              <w:rPr>
                <w:rFonts w:hint="eastAsia" w:cs="Times New Roman"/>
                <w:sz w:val="21"/>
                <w:szCs w:val="21"/>
              </w:rPr>
              <w:t>配备分类设施</w:t>
            </w:r>
            <w:r>
              <w:rPr>
                <w:rFonts w:hint="eastAsia"/>
                <w:sz w:val="21"/>
                <w:szCs w:val="21"/>
              </w:rPr>
              <w:t>扣0.25分，垃圾未分类扣0.25分。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176EB">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BF295">
            <w:pPr>
              <w:jc w:val="center"/>
              <w:rPr>
                <w:rFonts w:hint="eastAsia" w:cs="宋体"/>
                <w:sz w:val="21"/>
                <w:szCs w:val="21"/>
              </w:rPr>
            </w:pPr>
          </w:p>
        </w:tc>
      </w:tr>
      <w:tr w14:paraId="5FCA2C9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8D959">
            <w:pPr>
              <w:jc w:val="center"/>
              <w:textAlignment w:val="center"/>
              <w:rPr>
                <w:rFonts w:hint="eastAsia" w:cs="宋体"/>
                <w:kern w:val="0"/>
                <w:sz w:val="21"/>
                <w:szCs w:val="21"/>
                <w:lang w:bidi="ar"/>
              </w:rPr>
            </w:pPr>
            <w:r>
              <w:rPr>
                <w:rFonts w:hint="eastAsia" w:cs="宋体"/>
                <w:kern w:val="0"/>
                <w:sz w:val="21"/>
                <w:szCs w:val="21"/>
                <w:lang w:bidi="ar"/>
              </w:rPr>
              <w:t xml:space="preserve">6.3.12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730C7">
            <w:pPr>
              <w:jc w:val="left"/>
              <w:rPr>
                <w:rFonts w:hint="eastAsia" w:cs="宋体"/>
                <w:kern w:val="0"/>
                <w:sz w:val="21"/>
                <w:szCs w:val="21"/>
                <w:lang w:bidi="ar"/>
              </w:rPr>
            </w:pPr>
            <w:r>
              <w:rPr>
                <w:rFonts w:hint="eastAsia" w:cs="宋体"/>
                <w:kern w:val="0"/>
                <w:sz w:val="21"/>
                <w:szCs w:val="21"/>
                <w:lang w:bidi="ar"/>
              </w:rPr>
              <w:t>太阳能发电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72F77">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4B4A9">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3755D">
            <w:pPr>
              <w:jc w:val="left"/>
              <w:textAlignment w:val="center"/>
              <w:rPr>
                <w:rFonts w:hint="eastAsia" w:cs="宋体"/>
                <w:kern w:val="0"/>
                <w:sz w:val="21"/>
                <w:szCs w:val="21"/>
                <w:lang w:bidi="ar"/>
              </w:rPr>
            </w:pPr>
          </w:p>
        </w:tc>
      </w:tr>
      <w:tr w14:paraId="4B1BBDF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D01A7">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56657">
            <w:pPr>
              <w:jc w:val="left"/>
              <w:rPr>
                <w:rFonts w:hint="eastAsia" w:cs="宋体"/>
                <w:sz w:val="21"/>
                <w:szCs w:val="21"/>
              </w:rPr>
            </w:pPr>
            <w:r>
              <w:rPr>
                <w:rFonts w:hint="eastAsia" w:cs="宋体"/>
                <w:kern w:val="0"/>
                <w:sz w:val="21"/>
                <w:szCs w:val="21"/>
                <w:lang w:bidi="ar"/>
              </w:rPr>
              <w:t>陆上光伏发电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40F6B">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0406D">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49D85">
            <w:pPr>
              <w:jc w:val="left"/>
              <w:textAlignment w:val="center"/>
              <w:rPr>
                <w:rFonts w:hint="eastAsia" w:cs="宋体"/>
                <w:kern w:val="0"/>
                <w:sz w:val="21"/>
                <w:szCs w:val="21"/>
                <w:lang w:bidi="ar"/>
              </w:rPr>
            </w:pPr>
          </w:p>
        </w:tc>
      </w:tr>
      <w:tr w14:paraId="17A5874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3DE51">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46945">
            <w:pPr>
              <w:jc w:val="left"/>
              <w:rPr>
                <w:rFonts w:hint="eastAsia" w:cs="宋体"/>
                <w:kern w:val="0"/>
                <w:sz w:val="21"/>
                <w:szCs w:val="21"/>
                <w:lang w:bidi="ar"/>
              </w:rPr>
            </w:pPr>
            <w:r>
              <w:rPr>
                <w:rFonts w:hint="eastAsia" w:cs="宋体"/>
                <w:kern w:val="0"/>
                <w:sz w:val="21"/>
                <w:szCs w:val="21"/>
                <w:lang w:bidi="ar"/>
              </w:rPr>
              <w:t>光伏发电站土方统一策划和管理，分类使用，回填土应尽可能采用现场开挖土，尽量做到土方平衡；充分利用现场土石方工程产生的石块、碎石、渣土</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00C75D7B">
            <w:pPr>
              <w:jc w:val="left"/>
              <w:rPr>
                <w:rFonts w:hint="eastAsia" w:cs="宋体"/>
                <w:sz w:val="21"/>
                <w:szCs w:val="21"/>
              </w:rPr>
            </w:pPr>
            <w:r>
              <w:rPr>
                <w:rFonts w:hint="eastAsia" w:cs="宋体"/>
                <w:sz w:val="21"/>
                <w:szCs w:val="21"/>
              </w:rPr>
              <w:t>根据现场实际情况按照标准分乘以相应系数进行评分：</w:t>
            </w:r>
          </w:p>
          <w:p w14:paraId="7B59E0E4">
            <w:pPr>
              <w:jc w:val="left"/>
              <w:rPr>
                <w:rFonts w:hint="eastAsia" w:cs="宋体"/>
                <w:sz w:val="21"/>
                <w:szCs w:val="21"/>
              </w:rPr>
            </w:pPr>
            <w:r>
              <w:rPr>
                <w:rFonts w:hint="eastAsia" w:cs="宋体"/>
                <w:sz w:val="21"/>
                <w:szCs w:val="21"/>
              </w:rPr>
              <w:t>1、措施到位，满足评价指标要求系数为1；</w:t>
            </w:r>
          </w:p>
          <w:p w14:paraId="42158749">
            <w:pPr>
              <w:jc w:val="left"/>
              <w:rPr>
                <w:rFonts w:hint="eastAsia" w:cs="宋体"/>
                <w:sz w:val="21"/>
                <w:szCs w:val="21"/>
              </w:rPr>
            </w:pPr>
            <w:r>
              <w:rPr>
                <w:rFonts w:hint="eastAsia" w:cs="宋体"/>
                <w:sz w:val="21"/>
                <w:szCs w:val="21"/>
              </w:rPr>
              <w:t>2、措施到位，基本满足评价指标要求系数按照0.5~0.9酌情选取；</w:t>
            </w:r>
          </w:p>
          <w:p w14:paraId="4EF3D5A8">
            <w:pPr>
              <w:jc w:val="left"/>
              <w:rPr>
                <w:rFonts w:hint="eastAsia" w:cs="宋体"/>
                <w:sz w:val="21"/>
                <w:szCs w:val="21"/>
              </w:rPr>
            </w:pPr>
            <w:r>
              <w:rPr>
                <w:rFonts w:hint="eastAsia" w:cs="宋体"/>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87B93">
            <w:pPr>
              <w:jc w:val="center"/>
              <w:rPr>
                <w:rFonts w:hint="eastAsia" w:cs="宋体"/>
                <w:sz w:val="21"/>
                <w:szCs w:val="21"/>
              </w:rPr>
            </w:pPr>
            <w:r>
              <w:rPr>
                <w:rFonts w:hint="eastAsia" w:cs="宋体"/>
                <w:sz w:val="21"/>
                <w:szCs w:val="21"/>
              </w:rPr>
              <w:t>0.6</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9A5AD">
            <w:pPr>
              <w:jc w:val="center"/>
              <w:rPr>
                <w:rFonts w:hint="eastAsia" w:cs="宋体"/>
                <w:sz w:val="21"/>
                <w:szCs w:val="21"/>
              </w:rPr>
            </w:pPr>
          </w:p>
        </w:tc>
      </w:tr>
      <w:tr w14:paraId="14E0E87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3C027">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F80B1">
            <w:pPr>
              <w:jc w:val="left"/>
              <w:rPr>
                <w:rFonts w:hint="eastAsia" w:cs="宋体"/>
                <w:kern w:val="0"/>
                <w:sz w:val="21"/>
                <w:szCs w:val="21"/>
                <w:lang w:bidi="ar"/>
              </w:rPr>
            </w:pPr>
            <w:r>
              <w:rPr>
                <w:rFonts w:hint="eastAsia" w:cs="宋体"/>
                <w:kern w:val="0"/>
                <w:sz w:val="21"/>
                <w:szCs w:val="21"/>
                <w:lang w:bidi="ar"/>
              </w:rPr>
              <w:t>光伏子阵区混凝土桩基础施工时产生的废料应及时清理回收</w:t>
            </w:r>
          </w:p>
        </w:tc>
        <w:tc>
          <w:tcPr>
            <w:tcW w:w="4111" w:type="dxa"/>
            <w:vMerge w:val="continue"/>
            <w:tcBorders>
              <w:left w:val="single" w:color="000000" w:sz="4" w:space="0"/>
              <w:right w:val="single" w:color="000000" w:sz="4" w:space="0"/>
            </w:tcBorders>
            <w:shd w:val="clear" w:color="auto" w:fill="auto"/>
            <w:vAlign w:val="center"/>
          </w:tcPr>
          <w:p w14:paraId="1768EF0E">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79D2A">
            <w:pPr>
              <w:jc w:val="center"/>
              <w:rPr>
                <w:rFonts w:hint="eastAsia" w:cs="宋体"/>
                <w:sz w:val="21"/>
                <w:szCs w:val="21"/>
              </w:rPr>
            </w:pPr>
            <w:r>
              <w:rPr>
                <w:rFonts w:hint="eastAsia" w:cs="宋体"/>
                <w:sz w:val="21"/>
                <w:szCs w:val="21"/>
              </w:rPr>
              <w:t>0.6</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52D1F">
            <w:pPr>
              <w:jc w:val="center"/>
              <w:rPr>
                <w:rFonts w:hint="eastAsia" w:cs="宋体"/>
                <w:sz w:val="21"/>
                <w:szCs w:val="21"/>
              </w:rPr>
            </w:pPr>
          </w:p>
        </w:tc>
      </w:tr>
      <w:tr w14:paraId="328AE475">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1D2ED">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59773">
            <w:pPr>
              <w:jc w:val="left"/>
              <w:rPr>
                <w:rFonts w:hint="eastAsia" w:cs="宋体"/>
                <w:kern w:val="0"/>
                <w:sz w:val="21"/>
                <w:szCs w:val="21"/>
                <w:lang w:bidi="ar"/>
              </w:rPr>
            </w:pPr>
            <w:r>
              <w:rPr>
                <w:rFonts w:hint="eastAsia" w:cs="宋体"/>
                <w:kern w:val="0"/>
                <w:sz w:val="21"/>
                <w:szCs w:val="21"/>
                <w:lang w:bidi="ar"/>
              </w:rPr>
              <w:t>电站设备开箱验收合格后，应对光伏组件托盘、纸箱等外包装等进行全数回收，应对电缆卷盘进行全数回收和循环利用</w:t>
            </w:r>
          </w:p>
        </w:tc>
        <w:tc>
          <w:tcPr>
            <w:tcW w:w="4111" w:type="dxa"/>
            <w:vMerge w:val="continue"/>
            <w:tcBorders>
              <w:left w:val="single" w:color="000000" w:sz="4" w:space="0"/>
              <w:right w:val="single" w:color="000000" w:sz="4" w:space="0"/>
            </w:tcBorders>
            <w:shd w:val="clear" w:color="auto" w:fill="auto"/>
            <w:vAlign w:val="center"/>
          </w:tcPr>
          <w:p w14:paraId="0BD01051">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E985E">
            <w:pPr>
              <w:jc w:val="center"/>
              <w:rPr>
                <w:rFonts w:hint="eastAsia" w:cs="宋体"/>
                <w:sz w:val="21"/>
                <w:szCs w:val="21"/>
              </w:rPr>
            </w:pPr>
            <w:r>
              <w:rPr>
                <w:rFonts w:hint="eastAsia" w:cs="宋体"/>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816AD">
            <w:pPr>
              <w:jc w:val="center"/>
              <w:rPr>
                <w:rFonts w:hint="eastAsia" w:cs="宋体"/>
                <w:sz w:val="21"/>
                <w:szCs w:val="21"/>
              </w:rPr>
            </w:pPr>
          </w:p>
        </w:tc>
      </w:tr>
      <w:tr w14:paraId="6D63C1D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B2EDA">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12C93">
            <w:pPr>
              <w:jc w:val="left"/>
              <w:rPr>
                <w:rFonts w:hint="eastAsia" w:cs="宋体"/>
                <w:kern w:val="0"/>
                <w:sz w:val="21"/>
                <w:szCs w:val="21"/>
                <w:lang w:bidi="ar"/>
              </w:rPr>
            </w:pPr>
            <w:r>
              <w:rPr>
                <w:rFonts w:hint="eastAsia" w:cs="宋体"/>
                <w:kern w:val="0"/>
                <w:sz w:val="21"/>
                <w:szCs w:val="21"/>
                <w:lang w:bidi="ar"/>
              </w:rPr>
              <w:t>打桩机、牵引机等设备保养等过程产生的废油、设备滤油等，设置专门的容器存放，委托有资质的单位进行回收</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7E47D2E6">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2B70B">
            <w:pPr>
              <w:jc w:val="center"/>
              <w:rPr>
                <w:rFonts w:hint="eastAsia" w:cs="宋体"/>
                <w:sz w:val="21"/>
                <w:szCs w:val="21"/>
              </w:rPr>
            </w:pPr>
            <w:r>
              <w:rPr>
                <w:rFonts w:hint="eastAsia" w:cs="宋体"/>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4F3A4">
            <w:pPr>
              <w:jc w:val="center"/>
              <w:rPr>
                <w:rFonts w:hint="eastAsia" w:cs="宋体"/>
                <w:sz w:val="21"/>
                <w:szCs w:val="21"/>
              </w:rPr>
            </w:pPr>
          </w:p>
        </w:tc>
      </w:tr>
      <w:tr w14:paraId="72E0C9B5">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FC765">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13E64">
            <w:pPr>
              <w:jc w:val="left"/>
              <w:rPr>
                <w:rFonts w:hint="eastAsia" w:cs="宋体"/>
                <w:kern w:val="0"/>
                <w:sz w:val="21"/>
                <w:szCs w:val="21"/>
                <w:lang w:bidi="ar"/>
              </w:rPr>
            </w:pPr>
            <w:r>
              <w:rPr>
                <w:rFonts w:hint="eastAsia" w:cs="宋体"/>
                <w:kern w:val="0"/>
                <w:sz w:val="21"/>
                <w:szCs w:val="21"/>
                <w:lang w:bidi="ar"/>
              </w:rPr>
              <w:t>水上光伏发电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34DDB">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EA7FE">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FA885">
            <w:pPr>
              <w:jc w:val="center"/>
              <w:rPr>
                <w:rFonts w:hint="eastAsia" w:cs="宋体"/>
                <w:sz w:val="21"/>
                <w:szCs w:val="21"/>
              </w:rPr>
            </w:pPr>
          </w:p>
        </w:tc>
      </w:tr>
      <w:tr w14:paraId="2D5D0766">
        <w:tblPrEx>
          <w:tblCellMar>
            <w:top w:w="0" w:type="dxa"/>
            <w:left w:w="108" w:type="dxa"/>
            <w:bottom w:w="0" w:type="dxa"/>
            <w:right w:w="108" w:type="dxa"/>
          </w:tblCellMar>
        </w:tblPrEx>
        <w:trPr>
          <w:trHeight w:val="1978"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72B53">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5F1B0">
            <w:pPr>
              <w:jc w:val="left"/>
              <w:rPr>
                <w:rFonts w:hint="eastAsia" w:cs="宋体"/>
                <w:kern w:val="0"/>
                <w:sz w:val="21"/>
                <w:szCs w:val="21"/>
                <w:lang w:bidi="ar"/>
              </w:rPr>
            </w:pPr>
            <w:r>
              <w:rPr>
                <w:rFonts w:hint="eastAsia"/>
                <w:sz w:val="21"/>
                <w:szCs w:val="21"/>
              </w:rPr>
              <w:t>设备开箱验收合格后，应对光伏组件托盘、纸箱等外包装等进行全数回收，应对电缆卷盘进行全数回收和循环利用</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0C859AF2">
            <w:pPr>
              <w:jc w:val="left"/>
              <w:rPr>
                <w:rFonts w:hint="eastAsia" w:cs="宋体"/>
                <w:sz w:val="21"/>
                <w:szCs w:val="21"/>
              </w:rPr>
            </w:pPr>
            <w:r>
              <w:rPr>
                <w:rFonts w:hint="eastAsia" w:cs="宋体"/>
                <w:sz w:val="21"/>
                <w:szCs w:val="21"/>
              </w:rPr>
              <w:t>根据现场实际情况按照标准分乘以相应系数进行评分：</w:t>
            </w:r>
          </w:p>
          <w:p w14:paraId="7C95FD9E">
            <w:pPr>
              <w:jc w:val="left"/>
              <w:rPr>
                <w:rFonts w:hint="eastAsia" w:cs="宋体"/>
                <w:sz w:val="21"/>
                <w:szCs w:val="21"/>
              </w:rPr>
            </w:pPr>
            <w:r>
              <w:rPr>
                <w:rFonts w:hint="eastAsia" w:cs="宋体"/>
                <w:sz w:val="21"/>
                <w:szCs w:val="21"/>
              </w:rPr>
              <w:t>1、措施到位，满足评价指标要求系数为1；</w:t>
            </w:r>
          </w:p>
          <w:p w14:paraId="212F9016">
            <w:pPr>
              <w:jc w:val="left"/>
              <w:rPr>
                <w:rFonts w:hint="eastAsia" w:cs="宋体"/>
                <w:sz w:val="21"/>
                <w:szCs w:val="21"/>
              </w:rPr>
            </w:pPr>
            <w:r>
              <w:rPr>
                <w:rFonts w:hint="eastAsia" w:cs="宋体"/>
                <w:sz w:val="21"/>
                <w:szCs w:val="21"/>
              </w:rPr>
              <w:t>2、措施到位，基本满足评价指标要求系数按照0.5~0.9酌情选取；</w:t>
            </w:r>
          </w:p>
          <w:p w14:paraId="38B74EDF">
            <w:pPr>
              <w:jc w:val="left"/>
              <w:rPr>
                <w:rFonts w:hint="eastAsia" w:cs="宋体"/>
                <w:sz w:val="21"/>
                <w:szCs w:val="21"/>
              </w:rPr>
            </w:pPr>
            <w:r>
              <w:rPr>
                <w:rFonts w:hint="eastAsia" w:cs="宋体"/>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9814C">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23AF7">
            <w:pPr>
              <w:jc w:val="center"/>
              <w:rPr>
                <w:rFonts w:hint="eastAsia" w:cs="宋体"/>
                <w:sz w:val="21"/>
                <w:szCs w:val="21"/>
              </w:rPr>
            </w:pPr>
          </w:p>
        </w:tc>
      </w:tr>
      <w:tr w14:paraId="4F2DBE9F">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19C95">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0F9BD">
            <w:pPr>
              <w:jc w:val="left"/>
              <w:rPr>
                <w:rFonts w:hint="eastAsia" w:cs="宋体"/>
                <w:kern w:val="0"/>
                <w:sz w:val="21"/>
                <w:szCs w:val="21"/>
                <w:lang w:bidi="ar"/>
              </w:rPr>
            </w:pPr>
            <w:r>
              <w:rPr>
                <w:rFonts w:hint="eastAsia"/>
                <w:sz w:val="21"/>
                <w:szCs w:val="21"/>
              </w:rPr>
              <w:t>水上光伏电站中产生的漂浮物及零件包装应及时清理回收</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3A4999E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32A3C">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8136A">
            <w:pPr>
              <w:jc w:val="center"/>
              <w:rPr>
                <w:rFonts w:hint="eastAsia" w:cs="宋体"/>
                <w:sz w:val="21"/>
                <w:szCs w:val="21"/>
              </w:rPr>
            </w:pPr>
          </w:p>
        </w:tc>
      </w:tr>
      <w:tr w14:paraId="0F24C712">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6B002">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AF2D4">
            <w:pPr>
              <w:jc w:val="left"/>
              <w:rPr>
                <w:rFonts w:hint="eastAsia" w:cs="宋体"/>
                <w:kern w:val="0"/>
                <w:sz w:val="21"/>
                <w:szCs w:val="21"/>
                <w:lang w:bidi="ar"/>
              </w:rPr>
            </w:pPr>
            <w:r>
              <w:rPr>
                <w:rFonts w:hint="eastAsia" w:cs="宋体"/>
                <w:kern w:val="0"/>
                <w:sz w:val="21"/>
                <w:szCs w:val="21"/>
                <w:lang w:bidi="ar"/>
              </w:rPr>
              <w:t>光热发电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26808">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E03E1">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783B6">
            <w:pPr>
              <w:jc w:val="center"/>
              <w:rPr>
                <w:rFonts w:hint="eastAsia" w:cs="宋体"/>
                <w:sz w:val="21"/>
                <w:szCs w:val="21"/>
              </w:rPr>
            </w:pPr>
          </w:p>
        </w:tc>
      </w:tr>
      <w:tr w14:paraId="2E12339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5B657">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0CEF1">
            <w:pPr>
              <w:jc w:val="left"/>
              <w:rPr>
                <w:rFonts w:hint="eastAsia" w:cs="宋体"/>
                <w:kern w:val="0"/>
                <w:sz w:val="21"/>
                <w:szCs w:val="21"/>
                <w:lang w:bidi="ar"/>
              </w:rPr>
            </w:pPr>
            <w:r>
              <w:rPr>
                <w:sz w:val="21"/>
                <w:szCs w:val="21"/>
              </w:rPr>
              <w:t>现场土方统一策划和管理，分类使用，回填土应尽可能采用现场开挖土，尽量做到土方平衡；充分利用现场土石方工程产生的石块、碎石、渣土，筛分、破碎后可用于路基材料、龙门吊轨道垫层及临时挡墙等</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45EFDB40">
            <w:pPr>
              <w:jc w:val="left"/>
              <w:rPr>
                <w:rFonts w:hint="eastAsia" w:cs="宋体"/>
                <w:sz w:val="21"/>
                <w:szCs w:val="21"/>
              </w:rPr>
            </w:pPr>
            <w:r>
              <w:rPr>
                <w:rFonts w:hint="eastAsia" w:cs="宋体"/>
                <w:sz w:val="21"/>
                <w:szCs w:val="21"/>
              </w:rPr>
              <w:t>根据现场实际情况按照标准分乘以相应系数进行评分：</w:t>
            </w:r>
          </w:p>
          <w:p w14:paraId="1DBB0F14">
            <w:pPr>
              <w:jc w:val="left"/>
              <w:rPr>
                <w:rFonts w:hint="eastAsia" w:cs="宋体"/>
                <w:sz w:val="21"/>
                <w:szCs w:val="21"/>
              </w:rPr>
            </w:pPr>
            <w:r>
              <w:rPr>
                <w:rFonts w:hint="eastAsia" w:cs="宋体"/>
                <w:sz w:val="21"/>
                <w:szCs w:val="21"/>
              </w:rPr>
              <w:t>1、措施到位，满足评价指标要求系数为1；</w:t>
            </w:r>
          </w:p>
          <w:p w14:paraId="2C3E2A2A">
            <w:pPr>
              <w:jc w:val="left"/>
              <w:rPr>
                <w:rFonts w:hint="eastAsia" w:cs="宋体"/>
                <w:sz w:val="21"/>
                <w:szCs w:val="21"/>
              </w:rPr>
            </w:pPr>
            <w:r>
              <w:rPr>
                <w:rFonts w:hint="eastAsia" w:cs="宋体"/>
                <w:sz w:val="21"/>
                <w:szCs w:val="21"/>
              </w:rPr>
              <w:t>2、措施到位，基本满足评价指标要求系数按照0.5~0.9酌情选取；</w:t>
            </w:r>
          </w:p>
          <w:p w14:paraId="67E45410">
            <w:pPr>
              <w:jc w:val="left"/>
              <w:rPr>
                <w:rFonts w:hint="eastAsia" w:cs="宋体"/>
                <w:sz w:val="21"/>
                <w:szCs w:val="21"/>
              </w:rPr>
            </w:pPr>
            <w:r>
              <w:rPr>
                <w:rFonts w:hint="eastAsia" w:cs="宋体"/>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9DC9A">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0E447">
            <w:pPr>
              <w:jc w:val="center"/>
              <w:rPr>
                <w:rFonts w:hint="eastAsia" w:cs="宋体"/>
                <w:sz w:val="21"/>
                <w:szCs w:val="21"/>
              </w:rPr>
            </w:pPr>
          </w:p>
        </w:tc>
      </w:tr>
      <w:tr w14:paraId="4399A33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1D963">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D60E9">
            <w:pPr>
              <w:jc w:val="left"/>
              <w:rPr>
                <w:rFonts w:hint="eastAsia" w:cs="宋体"/>
                <w:kern w:val="0"/>
                <w:sz w:val="21"/>
                <w:szCs w:val="21"/>
                <w:lang w:bidi="ar"/>
              </w:rPr>
            </w:pPr>
            <w:r>
              <w:rPr>
                <w:sz w:val="21"/>
                <w:szCs w:val="21"/>
              </w:rPr>
              <w:t>定日镜、吸热器、集热器、聚光器、等设备包装物及时回收，充分利用废旧包装物。</w:t>
            </w:r>
          </w:p>
        </w:tc>
        <w:tc>
          <w:tcPr>
            <w:tcW w:w="4111" w:type="dxa"/>
            <w:vMerge w:val="continue"/>
            <w:tcBorders>
              <w:left w:val="single" w:color="000000" w:sz="4" w:space="0"/>
              <w:right w:val="single" w:color="000000" w:sz="4" w:space="0"/>
            </w:tcBorders>
            <w:shd w:val="clear" w:color="auto" w:fill="auto"/>
            <w:vAlign w:val="center"/>
          </w:tcPr>
          <w:p w14:paraId="424BC274">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FC6FC">
            <w:pPr>
              <w:jc w:val="center"/>
              <w:rPr>
                <w:rFonts w:hint="eastAsia" w:cs="宋体"/>
                <w:sz w:val="21"/>
                <w:szCs w:val="21"/>
              </w:rPr>
            </w:pPr>
            <w:r>
              <w:rPr>
                <w:rFonts w:hint="eastAsia" w:cs="宋体"/>
                <w:sz w:val="21"/>
                <w:szCs w:val="21"/>
              </w:rPr>
              <w:t>0.6</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1B280">
            <w:pPr>
              <w:jc w:val="center"/>
              <w:rPr>
                <w:rFonts w:hint="eastAsia" w:cs="宋体"/>
                <w:sz w:val="21"/>
                <w:szCs w:val="21"/>
              </w:rPr>
            </w:pPr>
          </w:p>
        </w:tc>
      </w:tr>
      <w:tr w14:paraId="06DBD3BF">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6DF66">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54045">
            <w:pPr>
              <w:jc w:val="left"/>
              <w:rPr>
                <w:rFonts w:hint="eastAsia" w:cs="宋体"/>
                <w:kern w:val="0"/>
                <w:sz w:val="21"/>
                <w:szCs w:val="21"/>
                <w:lang w:bidi="ar"/>
              </w:rPr>
            </w:pPr>
            <w:r>
              <w:rPr>
                <w:rFonts w:hint="eastAsia"/>
                <w:sz w:val="21"/>
                <w:szCs w:val="21"/>
              </w:rPr>
              <w:t>熔盐</w:t>
            </w:r>
            <w:r>
              <w:rPr>
                <w:sz w:val="21"/>
                <w:szCs w:val="21"/>
              </w:rPr>
              <w:t>管道系统清洗及调试产生的废水、保温防腐施工产生的废弃物等应及时收集并合法处置</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32FF666B">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8D810">
            <w:pPr>
              <w:jc w:val="center"/>
              <w:rPr>
                <w:rFonts w:hint="eastAsia" w:cs="宋体"/>
                <w:sz w:val="21"/>
                <w:szCs w:val="21"/>
              </w:rPr>
            </w:pPr>
            <w:r>
              <w:rPr>
                <w:rFonts w:hint="eastAsia" w:cs="宋体"/>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59256">
            <w:pPr>
              <w:jc w:val="center"/>
              <w:rPr>
                <w:rFonts w:hint="eastAsia" w:cs="宋体"/>
                <w:sz w:val="21"/>
                <w:szCs w:val="21"/>
              </w:rPr>
            </w:pPr>
          </w:p>
        </w:tc>
      </w:tr>
      <w:tr w14:paraId="53A6637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70C72">
            <w:pPr>
              <w:jc w:val="center"/>
              <w:textAlignment w:val="center"/>
              <w:rPr>
                <w:rFonts w:hint="eastAsia" w:cs="宋体"/>
                <w:kern w:val="0"/>
                <w:sz w:val="21"/>
                <w:szCs w:val="21"/>
                <w:lang w:bidi="ar"/>
              </w:rPr>
            </w:pPr>
            <w:r>
              <w:rPr>
                <w:rFonts w:hint="eastAsia" w:cs="宋体"/>
                <w:kern w:val="0"/>
                <w:sz w:val="21"/>
                <w:szCs w:val="21"/>
                <w:lang w:bidi="ar"/>
              </w:rPr>
              <w:t xml:space="preserve">6.3.13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544E3">
            <w:pPr>
              <w:jc w:val="left"/>
              <w:rPr>
                <w:rFonts w:hint="eastAsia" w:cs="宋体"/>
                <w:kern w:val="0"/>
                <w:sz w:val="21"/>
                <w:szCs w:val="21"/>
                <w:lang w:bidi="ar"/>
              </w:rPr>
            </w:pPr>
            <w:r>
              <w:rPr>
                <w:rFonts w:hint="eastAsia" w:cs="宋体"/>
                <w:kern w:val="0"/>
                <w:sz w:val="21"/>
                <w:szCs w:val="21"/>
                <w:lang w:bidi="ar"/>
              </w:rPr>
              <w:t>输变电工程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07947">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97733">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EDAA3">
            <w:pPr>
              <w:jc w:val="center"/>
              <w:rPr>
                <w:rFonts w:hint="eastAsia" w:cs="宋体"/>
                <w:sz w:val="21"/>
                <w:szCs w:val="21"/>
              </w:rPr>
            </w:pPr>
          </w:p>
        </w:tc>
      </w:tr>
      <w:tr w14:paraId="2E5E0E2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30501">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3CE5A">
            <w:pPr>
              <w:jc w:val="left"/>
              <w:rPr>
                <w:rFonts w:hint="eastAsia" w:cs="宋体"/>
                <w:kern w:val="0"/>
                <w:sz w:val="21"/>
                <w:szCs w:val="21"/>
                <w:lang w:bidi="ar"/>
              </w:rPr>
            </w:pPr>
            <w:r>
              <w:rPr>
                <w:rFonts w:hint="eastAsia" w:cs="宋体"/>
                <w:kern w:val="0"/>
                <w:sz w:val="21"/>
                <w:szCs w:val="21"/>
                <w:lang w:bidi="ar"/>
              </w:rPr>
              <w:t>变电（换流）站</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04E7A">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F7ADB">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909E8">
            <w:pPr>
              <w:jc w:val="center"/>
              <w:rPr>
                <w:rFonts w:hint="eastAsia" w:cs="宋体"/>
                <w:sz w:val="21"/>
                <w:szCs w:val="21"/>
              </w:rPr>
            </w:pPr>
          </w:p>
        </w:tc>
      </w:tr>
      <w:tr w14:paraId="6F8F81E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0E3C6">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F1053">
            <w:pPr>
              <w:jc w:val="left"/>
              <w:rPr>
                <w:rFonts w:hint="eastAsia" w:cs="宋体"/>
                <w:kern w:val="0"/>
                <w:sz w:val="21"/>
                <w:szCs w:val="21"/>
                <w:lang w:bidi="ar"/>
              </w:rPr>
            </w:pPr>
            <w:r>
              <w:rPr>
                <w:rFonts w:hint="eastAsia" w:cs="宋体"/>
                <w:kern w:val="0"/>
                <w:sz w:val="21"/>
                <w:szCs w:val="21"/>
                <w:lang w:bidi="ar"/>
              </w:rPr>
              <w:t>变电站混凝土浇筑余料应制成小型预制件，或采用其他措施加以利用，不得随意倾倒。</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2217D">
            <w:pPr>
              <w:jc w:val="left"/>
              <w:rPr>
                <w:rFonts w:hint="eastAsia" w:cs="宋体"/>
                <w:sz w:val="21"/>
                <w:szCs w:val="21"/>
              </w:rPr>
            </w:pPr>
            <w:r>
              <w:rPr>
                <w:rFonts w:hint="eastAsia" w:cs="宋体"/>
                <w:kern w:val="0"/>
                <w:sz w:val="21"/>
                <w:szCs w:val="21"/>
                <w:lang w:bidi="ar"/>
              </w:rPr>
              <w:t>混凝土余料未采用措施加以利用，扣1分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B6A02">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ED85E">
            <w:pPr>
              <w:jc w:val="center"/>
              <w:rPr>
                <w:rFonts w:hint="eastAsia" w:cs="宋体"/>
                <w:sz w:val="21"/>
                <w:szCs w:val="21"/>
              </w:rPr>
            </w:pPr>
          </w:p>
        </w:tc>
      </w:tr>
      <w:tr w14:paraId="151AC59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7B9D5">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119B0">
            <w:pPr>
              <w:jc w:val="left"/>
              <w:rPr>
                <w:rFonts w:hint="eastAsia" w:cs="宋体"/>
                <w:kern w:val="0"/>
                <w:sz w:val="21"/>
                <w:szCs w:val="21"/>
                <w:lang w:bidi="ar"/>
              </w:rPr>
            </w:pPr>
            <w:r>
              <w:rPr>
                <w:rFonts w:hint="eastAsia" w:cs="宋体"/>
                <w:kern w:val="0"/>
                <w:sz w:val="21"/>
                <w:szCs w:val="21"/>
                <w:lang w:bidi="ar"/>
              </w:rPr>
              <w:t>变电站主控楼钢结构加工应制订废料减量计划，优化下料，综合利用余料，废料应分类收集、集中堆放、定期回收处理。</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351C7">
            <w:pPr>
              <w:jc w:val="left"/>
              <w:rPr>
                <w:rFonts w:hint="eastAsia" w:cs="宋体"/>
                <w:sz w:val="21"/>
                <w:szCs w:val="21"/>
              </w:rPr>
            </w:pPr>
            <w:r>
              <w:rPr>
                <w:rFonts w:hint="eastAsia" w:cs="宋体"/>
                <w:kern w:val="0"/>
                <w:sz w:val="21"/>
                <w:szCs w:val="21"/>
                <w:lang w:bidi="ar"/>
              </w:rPr>
              <w:t>钢构件加工无废料减量计划，无余料再利用措施，废料未分类收集处理，扣1分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4F4CB">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FDDC0">
            <w:pPr>
              <w:jc w:val="center"/>
              <w:rPr>
                <w:rFonts w:hint="eastAsia" w:cs="宋体"/>
                <w:sz w:val="21"/>
                <w:szCs w:val="21"/>
              </w:rPr>
            </w:pPr>
          </w:p>
        </w:tc>
      </w:tr>
      <w:tr w14:paraId="3C06E6D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B56EC">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27B7F">
            <w:pPr>
              <w:jc w:val="left"/>
              <w:rPr>
                <w:rFonts w:hint="eastAsia" w:cs="宋体"/>
                <w:kern w:val="0"/>
                <w:sz w:val="21"/>
                <w:szCs w:val="21"/>
                <w:lang w:bidi="ar"/>
              </w:rPr>
            </w:pPr>
            <w:r>
              <w:rPr>
                <w:rFonts w:hint="eastAsia" w:cs="宋体"/>
                <w:kern w:val="0"/>
                <w:sz w:val="21"/>
                <w:szCs w:val="21"/>
                <w:lang w:bidi="ar"/>
              </w:rPr>
              <w:t>架空线路工程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86FDC">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811A8">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A1F7E">
            <w:pPr>
              <w:jc w:val="center"/>
              <w:rPr>
                <w:rFonts w:hint="eastAsia" w:cs="宋体"/>
                <w:sz w:val="21"/>
                <w:szCs w:val="21"/>
              </w:rPr>
            </w:pPr>
          </w:p>
        </w:tc>
      </w:tr>
      <w:tr w14:paraId="3240849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367B3">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E3FCE">
            <w:pPr>
              <w:jc w:val="left"/>
              <w:rPr>
                <w:rFonts w:hint="eastAsia" w:cs="宋体"/>
                <w:kern w:val="0"/>
                <w:sz w:val="21"/>
                <w:szCs w:val="21"/>
                <w:lang w:bidi="ar"/>
              </w:rPr>
            </w:pPr>
            <w:r>
              <w:rPr>
                <w:rFonts w:hint="eastAsia" w:cs="宋体"/>
                <w:kern w:val="0"/>
                <w:sz w:val="21"/>
                <w:szCs w:val="21"/>
                <w:lang w:bidi="ar"/>
              </w:rPr>
              <w:t>施工现场应采用先进施工工艺与方法，选用绿色材料，规范固体废物处理方式，从源头减少危险废物的产生。对产生的危险废物应100%分类回收，并实施环境无害化处置。不得在施工现场融化沥青或焚烧油毡、油漆以及其他产生有毒、有害烟尘或恶臭气体的物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28C64">
            <w:pPr>
              <w:jc w:val="left"/>
              <w:rPr>
                <w:rFonts w:hint="eastAsia" w:cs="宋体"/>
                <w:sz w:val="21"/>
                <w:szCs w:val="21"/>
              </w:rPr>
            </w:pPr>
            <w:r>
              <w:rPr>
                <w:rFonts w:hint="eastAsia" w:cs="宋体"/>
                <w:kern w:val="0"/>
                <w:sz w:val="21"/>
                <w:szCs w:val="21"/>
                <w:lang w:bidi="ar"/>
              </w:rPr>
              <w:t>施工时无相应措施，每处扣0.5</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0A7E8">
            <w:pPr>
              <w:jc w:val="center"/>
              <w:rPr>
                <w:rFonts w:hint="eastAsia" w:cs="宋体"/>
                <w:sz w:val="21"/>
                <w:szCs w:val="21"/>
              </w:rPr>
            </w:pPr>
            <w:r>
              <w:rPr>
                <w:rFonts w:hint="eastAsia" w:cs="宋体"/>
                <w:sz w:val="21"/>
                <w:szCs w:val="21"/>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61F02">
            <w:pPr>
              <w:jc w:val="center"/>
              <w:rPr>
                <w:rFonts w:hint="eastAsia" w:cs="宋体"/>
                <w:sz w:val="21"/>
                <w:szCs w:val="21"/>
              </w:rPr>
            </w:pPr>
          </w:p>
        </w:tc>
      </w:tr>
      <w:tr w14:paraId="535A299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C62A9">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1CF40">
            <w:pPr>
              <w:jc w:val="left"/>
              <w:rPr>
                <w:rFonts w:hint="eastAsia" w:cs="宋体"/>
                <w:kern w:val="0"/>
                <w:sz w:val="21"/>
                <w:szCs w:val="21"/>
                <w:lang w:bidi="ar"/>
              </w:rPr>
            </w:pPr>
            <w:r>
              <w:rPr>
                <w:rFonts w:hint="eastAsia" w:cs="宋体"/>
                <w:kern w:val="0"/>
                <w:sz w:val="21"/>
                <w:szCs w:val="21"/>
                <w:lang w:bidi="ar"/>
              </w:rPr>
              <w:t>电缆工程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8ACC9">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94919">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6391F">
            <w:pPr>
              <w:jc w:val="center"/>
              <w:rPr>
                <w:rFonts w:hint="eastAsia" w:cs="宋体"/>
                <w:sz w:val="21"/>
                <w:szCs w:val="21"/>
              </w:rPr>
            </w:pPr>
          </w:p>
        </w:tc>
      </w:tr>
      <w:tr w14:paraId="1420292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B2D39">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2BE98">
            <w:pPr>
              <w:jc w:val="left"/>
              <w:rPr>
                <w:rFonts w:hint="eastAsia" w:cs="宋体"/>
                <w:kern w:val="0"/>
                <w:sz w:val="21"/>
                <w:szCs w:val="21"/>
                <w:lang w:bidi="ar"/>
              </w:rPr>
            </w:pPr>
            <w:r>
              <w:rPr>
                <w:rFonts w:hint="eastAsia" w:cs="宋体"/>
                <w:kern w:val="0"/>
                <w:sz w:val="21"/>
                <w:szCs w:val="21"/>
                <w:lang w:bidi="ar"/>
              </w:rPr>
              <w:t>制作电缆接头前应先搭设临时工棚，工作平台牢固平整并可靠接地，便于清洁、防尘。工棚内设置专用垃圾桶，施工后的废弃带材、绝缘胶或其他杂物应分类堆放，集中处理。</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6B3B8">
            <w:pPr>
              <w:jc w:val="left"/>
              <w:rPr>
                <w:rFonts w:hint="eastAsia" w:cs="宋体"/>
                <w:sz w:val="21"/>
                <w:szCs w:val="21"/>
              </w:rPr>
            </w:pPr>
            <w:r>
              <w:rPr>
                <w:rFonts w:hint="eastAsia" w:cs="宋体"/>
                <w:kern w:val="0"/>
                <w:sz w:val="21"/>
                <w:szCs w:val="21"/>
                <w:lang w:bidi="ar"/>
              </w:rPr>
              <w:t>电缆接头制作现场，无垃圾、废弃物分类堆放和集中处理的措施，扣1分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98644">
            <w:pPr>
              <w:jc w:val="center"/>
              <w:rPr>
                <w:rFonts w:hint="eastAsia" w:cs="宋体"/>
                <w:sz w:val="21"/>
                <w:szCs w:val="21"/>
              </w:rPr>
            </w:pPr>
            <w:r>
              <w:rPr>
                <w:rFonts w:hint="eastAsia" w:cs="宋体"/>
                <w:sz w:val="21"/>
                <w:szCs w:val="21"/>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0B22D">
            <w:pPr>
              <w:jc w:val="center"/>
              <w:rPr>
                <w:rFonts w:hint="eastAsia" w:cs="宋体"/>
                <w:sz w:val="21"/>
                <w:szCs w:val="21"/>
              </w:rPr>
            </w:pPr>
          </w:p>
        </w:tc>
      </w:tr>
      <w:tr w14:paraId="66A0AB37">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7E84E">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7CD14">
            <w:pPr>
              <w:jc w:val="left"/>
              <w:rPr>
                <w:rFonts w:hint="eastAsia" w:cs="宋体"/>
                <w:kern w:val="0"/>
                <w:sz w:val="21"/>
                <w:szCs w:val="21"/>
                <w:lang w:bidi="ar"/>
              </w:rPr>
            </w:pPr>
            <w:r>
              <w:rPr>
                <w:rFonts w:hint="eastAsia" w:cs="宋体"/>
                <w:kern w:val="0"/>
                <w:sz w:val="21"/>
                <w:szCs w:val="21"/>
                <w:lang w:bidi="ar"/>
              </w:rPr>
              <w:t>海底电缆工程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362D0">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2AAA4">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930C4">
            <w:pPr>
              <w:jc w:val="center"/>
              <w:rPr>
                <w:rFonts w:hint="eastAsia" w:cs="宋体"/>
                <w:sz w:val="21"/>
                <w:szCs w:val="21"/>
              </w:rPr>
            </w:pPr>
          </w:p>
        </w:tc>
      </w:tr>
      <w:tr w14:paraId="42ED3EE0">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538EB">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56457">
            <w:pPr>
              <w:jc w:val="left"/>
              <w:rPr>
                <w:rFonts w:hint="eastAsia" w:cs="宋体"/>
                <w:kern w:val="0"/>
                <w:sz w:val="21"/>
                <w:szCs w:val="21"/>
                <w:lang w:bidi="ar"/>
              </w:rPr>
            </w:pPr>
            <w:r>
              <w:rPr>
                <w:rFonts w:hint="eastAsia" w:cs="宋体"/>
                <w:kern w:val="0"/>
                <w:sz w:val="21"/>
                <w:szCs w:val="21"/>
                <w:lang w:bidi="ar"/>
              </w:rPr>
              <w:t>现场领用的建筑安装材料码放整齐，无乱堆乱摊及堵塞通道现象。</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736B3">
            <w:pPr>
              <w:jc w:val="left"/>
              <w:rPr>
                <w:rFonts w:hint="eastAsia" w:cs="宋体"/>
                <w:sz w:val="21"/>
                <w:szCs w:val="21"/>
              </w:rPr>
            </w:pPr>
            <w:r>
              <w:rPr>
                <w:rFonts w:hint="eastAsia" w:cs="宋体"/>
                <w:kern w:val="0"/>
                <w:sz w:val="21"/>
                <w:szCs w:val="21"/>
                <w:lang w:bidi="ar"/>
              </w:rPr>
              <w:t>建筑安装材料乱堆乱摊，堵塞通道，扣1分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A2360">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C1C7A">
            <w:pPr>
              <w:jc w:val="center"/>
              <w:rPr>
                <w:rFonts w:hint="eastAsia" w:cs="宋体"/>
                <w:sz w:val="21"/>
                <w:szCs w:val="21"/>
              </w:rPr>
            </w:pPr>
          </w:p>
        </w:tc>
      </w:tr>
      <w:tr w14:paraId="3744DAB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1E6F3">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5CE5F">
            <w:pPr>
              <w:jc w:val="left"/>
              <w:rPr>
                <w:rFonts w:hint="eastAsia" w:cs="宋体"/>
                <w:kern w:val="0"/>
                <w:sz w:val="21"/>
                <w:szCs w:val="21"/>
                <w:lang w:bidi="ar"/>
              </w:rPr>
            </w:pPr>
            <w:r>
              <w:rPr>
                <w:rFonts w:hint="eastAsia" w:cs="宋体"/>
                <w:kern w:val="0"/>
                <w:sz w:val="21"/>
                <w:szCs w:val="21"/>
                <w:lang w:bidi="ar"/>
              </w:rPr>
              <w:t>设备、材料开箱在指定地点进行，废料垃圾及时清理运走。</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AE109">
            <w:pPr>
              <w:jc w:val="left"/>
              <w:rPr>
                <w:rFonts w:hint="eastAsia" w:cs="宋体"/>
                <w:sz w:val="21"/>
                <w:szCs w:val="21"/>
              </w:rPr>
            </w:pPr>
            <w:r>
              <w:rPr>
                <w:rFonts w:hint="eastAsia" w:cs="宋体"/>
                <w:kern w:val="0"/>
                <w:sz w:val="21"/>
                <w:szCs w:val="21"/>
                <w:lang w:bidi="ar"/>
              </w:rPr>
              <w:t>未在指定地点进行设备、材料开箱，垃圾未及时清运，扣1分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7FDE6">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41C0C">
            <w:pPr>
              <w:jc w:val="center"/>
              <w:rPr>
                <w:rFonts w:hint="eastAsia" w:cs="宋体"/>
                <w:sz w:val="21"/>
                <w:szCs w:val="21"/>
              </w:rPr>
            </w:pPr>
          </w:p>
        </w:tc>
      </w:tr>
      <w:tr w14:paraId="5ABE3DA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87187">
            <w:pPr>
              <w:jc w:val="center"/>
              <w:textAlignment w:val="center"/>
              <w:rPr>
                <w:rFonts w:hint="eastAsia" w:cs="宋体"/>
                <w:kern w:val="0"/>
                <w:sz w:val="21"/>
                <w:szCs w:val="21"/>
                <w:lang w:bidi="ar"/>
              </w:rPr>
            </w:pPr>
            <w:r>
              <w:rPr>
                <w:rFonts w:hint="eastAsia" w:cs="宋体"/>
                <w:kern w:val="0"/>
                <w:sz w:val="21"/>
                <w:szCs w:val="21"/>
                <w:lang w:bidi="ar"/>
              </w:rPr>
              <w:t>6.3.14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84552">
            <w:pPr>
              <w:jc w:val="left"/>
              <w:rPr>
                <w:rFonts w:hint="eastAsia" w:cs="宋体"/>
                <w:kern w:val="0"/>
                <w:sz w:val="21"/>
                <w:szCs w:val="21"/>
                <w:lang w:bidi="ar"/>
              </w:rPr>
            </w:pPr>
            <w:r>
              <w:rPr>
                <w:rFonts w:hint="eastAsia" w:cs="宋体"/>
                <w:kern w:val="0"/>
                <w:sz w:val="21"/>
                <w:szCs w:val="21"/>
                <w:lang w:bidi="ar"/>
              </w:rPr>
              <w:t xml:space="preserve"> 电力储能工程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84F9A">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2A7AE">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784CC">
            <w:pPr>
              <w:jc w:val="center"/>
              <w:rPr>
                <w:rFonts w:hint="eastAsia" w:cs="宋体"/>
                <w:sz w:val="21"/>
                <w:szCs w:val="21"/>
              </w:rPr>
            </w:pPr>
          </w:p>
        </w:tc>
      </w:tr>
      <w:tr w14:paraId="007F103D">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F3A2E">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7D7BF">
            <w:pPr>
              <w:jc w:val="left"/>
              <w:rPr>
                <w:rFonts w:hint="eastAsia" w:cs="宋体"/>
                <w:sz w:val="21"/>
                <w:szCs w:val="21"/>
              </w:rPr>
            </w:pPr>
            <w:r>
              <w:rPr>
                <w:rFonts w:hint="eastAsia" w:cs="宋体"/>
                <w:kern w:val="0"/>
                <w:sz w:val="21"/>
                <w:szCs w:val="21"/>
              </w:rPr>
              <w:t>电化学（锂电、液流、燃料电池、钠离子、铅酸、铅炭）储能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C767A">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A1A16">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789D3">
            <w:pPr>
              <w:jc w:val="center"/>
              <w:rPr>
                <w:rFonts w:hint="eastAsia" w:cs="宋体"/>
                <w:sz w:val="21"/>
                <w:szCs w:val="21"/>
              </w:rPr>
            </w:pPr>
          </w:p>
        </w:tc>
      </w:tr>
      <w:tr w14:paraId="3429183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EAA8F">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204D8">
            <w:pPr>
              <w:rPr>
                <w:rFonts w:hint="eastAsia"/>
                <w:sz w:val="21"/>
                <w:szCs w:val="21"/>
              </w:rPr>
            </w:pPr>
            <w:r>
              <w:rPr>
                <w:rFonts w:hint="eastAsia"/>
                <w:sz w:val="21"/>
                <w:szCs w:val="21"/>
              </w:rPr>
              <w:t>电化学储能工程</w:t>
            </w:r>
            <w:r>
              <w:rPr>
                <w:sz w:val="21"/>
                <w:szCs w:val="21"/>
              </w:rPr>
              <w:t>挖方、填方平衡效果良好，渣场堆放量小于</w:t>
            </w:r>
            <w:r>
              <w:rPr>
                <w:rFonts w:hint="eastAsia"/>
                <w:sz w:val="21"/>
                <w:szCs w:val="21"/>
              </w:rPr>
              <w:t>同期国内</w:t>
            </w:r>
            <w:r>
              <w:rPr>
                <w:sz w:val="21"/>
                <w:szCs w:val="21"/>
              </w:rPr>
              <w:t>同类工程</w:t>
            </w:r>
            <w:r>
              <w:rPr>
                <w:rFonts w:hint="eastAsia"/>
                <w:sz w:val="21"/>
                <w:szCs w:val="21"/>
              </w:rPr>
              <w:t>，</w:t>
            </w:r>
            <w:r>
              <w:rPr>
                <w:sz w:val="21"/>
                <w:szCs w:val="21"/>
              </w:rPr>
              <w:t>减少建筑垃圾外运</w:t>
            </w:r>
            <w:r>
              <w:rPr>
                <w:rFonts w:hint="eastAsia"/>
                <w:sz w:val="21"/>
                <w:szCs w:val="21"/>
              </w:rPr>
              <w:t>。</w:t>
            </w:r>
          </w:p>
          <w:p w14:paraId="0F80B018">
            <w:pPr>
              <w:jc w:val="left"/>
              <w:rPr>
                <w:rFonts w:hint="eastAsia" w:cs="宋体"/>
                <w:kern w:val="0"/>
                <w:sz w:val="21"/>
                <w:szCs w:val="21"/>
                <w:lang w:bidi="ar"/>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04DCD">
            <w:pPr>
              <w:jc w:val="left"/>
              <w:rPr>
                <w:rFonts w:hint="eastAsia" w:cs="宋体"/>
                <w:sz w:val="21"/>
                <w:szCs w:val="21"/>
              </w:rPr>
            </w:pPr>
            <w:r>
              <w:rPr>
                <w:rFonts w:hint="eastAsia"/>
                <w:sz w:val="21"/>
                <w:szCs w:val="21"/>
              </w:rPr>
              <w:t>本项满分1分，基础土方平衡无渣土外运得满分，有弃土外运根据实际情况扣减0.1~0.5分。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59D71">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5EE71">
            <w:pPr>
              <w:jc w:val="center"/>
              <w:rPr>
                <w:rFonts w:hint="eastAsia" w:cs="宋体"/>
                <w:sz w:val="21"/>
                <w:szCs w:val="21"/>
              </w:rPr>
            </w:pPr>
          </w:p>
        </w:tc>
      </w:tr>
      <w:tr w14:paraId="0D96FCAF">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3453C">
            <w:pPr>
              <w:jc w:val="center"/>
              <w:textAlignment w:val="center"/>
              <w:rPr>
                <w:rFonts w:hint="eastAsia" w:cs="宋体"/>
                <w:kern w:val="0"/>
                <w:sz w:val="21"/>
                <w:szCs w:val="21"/>
                <w:lang w:bidi="ar"/>
              </w:rPr>
            </w:pPr>
            <w:r>
              <w:rPr>
                <w:rFonts w:hint="eastAsia" w:cs="宋体"/>
                <w:kern w:val="0"/>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3D24E">
            <w:pPr>
              <w:jc w:val="left"/>
              <w:rPr>
                <w:rFonts w:hint="eastAsia" w:cs="宋体"/>
                <w:sz w:val="21"/>
                <w:szCs w:val="21"/>
              </w:rPr>
            </w:pPr>
            <w:r>
              <w:rPr>
                <w:rFonts w:hint="eastAsia" w:cs="宋体"/>
                <w:kern w:val="0"/>
                <w:sz w:val="21"/>
                <w:szCs w:val="21"/>
              </w:rPr>
              <w:t>飞轮储能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7ED6C">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C4870">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3C270">
            <w:pPr>
              <w:jc w:val="center"/>
              <w:rPr>
                <w:rFonts w:hint="eastAsia" w:cs="宋体"/>
                <w:sz w:val="21"/>
                <w:szCs w:val="21"/>
              </w:rPr>
            </w:pPr>
          </w:p>
        </w:tc>
      </w:tr>
      <w:tr w14:paraId="5E9D24A0">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88FAD">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CD256">
            <w:pPr>
              <w:rPr>
                <w:rFonts w:hint="eastAsia"/>
                <w:sz w:val="21"/>
                <w:szCs w:val="21"/>
              </w:rPr>
            </w:pPr>
            <w:r>
              <w:rPr>
                <w:rFonts w:hint="eastAsia"/>
                <w:sz w:val="21"/>
                <w:szCs w:val="21"/>
              </w:rPr>
              <w:t>飞轮储能工程</w:t>
            </w:r>
            <w:r>
              <w:rPr>
                <w:sz w:val="21"/>
                <w:szCs w:val="21"/>
              </w:rPr>
              <w:t>挖方、填方平衡效果良好，渣场堆放量小于</w:t>
            </w:r>
            <w:r>
              <w:rPr>
                <w:rFonts w:hint="eastAsia"/>
                <w:sz w:val="21"/>
                <w:szCs w:val="21"/>
              </w:rPr>
              <w:t>同期国内</w:t>
            </w:r>
            <w:r>
              <w:rPr>
                <w:sz w:val="21"/>
                <w:szCs w:val="21"/>
              </w:rPr>
              <w:t>同类工程</w:t>
            </w:r>
            <w:r>
              <w:rPr>
                <w:rFonts w:hint="eastAsia"/>
                <w:sz w:val="21"/>
                <w:szCs w:val="21"/>
              </w:rPr>
              <w:t>，</w:t>
            </w:r>
            <w:r>
              <w:rPr>
                <w:sz w:val="21"/>
                <w:szCs w:val="21"/>
              </w:rPr>
              <w:t>减少建筑垃圾外运</w:t>
            </w:r>
            <w:r>
              <w:rPr>
                <w:rFonts w:hint="eastAsia"/>
                <w:sz w:val="21"/>
                <w:szCs w:val="21"/>
              </w:rPr>
              <w:t>。</w:t>
            </w:r>
          </w:p>
          <w:p w14:paraId="05FE1C11">
            <w:pPr>
              <w:jc w:val="left"/>
              <w:rPr>
                <w:rFonts w:hint="eastAsia" w:cs="宋体"/>
                <w:kern w:val="0"/>
                <w:sz w:val="21"/>
                <w:szCs w:val="21"/>
                <w:lang w:bidi="ar"/>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75E18">
            <w:pPr>
              <w:jc w:val="left"/>
              <w:rPr>
                <w:rFonts w:hint="eastAsia" w:cs="宋体"/>
                <w:sz w:val="21"/>
                <w:szCs w:val="21"/>
              </w:rPr>
            </w:pPr>
            <w:r>
              <w:rPr>
                <w:rFonts w:hint="eastAsia"/>
                <w:sz w:val="21"/>
                <w:szCs w:val="21"/>
              </w:rPr>
              <w:t>本项满分1分，基础土方平衡无渣土外运得满分，有弃土外运根据实际情况扣减0.1~0.5分。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16EBF">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27FC9">
            <w:pPr>
              <w:jc w:val="center"/>
              <w:rPr>
                <w:rFonts w:hint="eastAsia" w:cs="宋体"/>
                <w:sz w:val="21"/>
                <w:szCs w:val="21"/>
              </w:rPr>
            </w:pPr>
          </w:p>
        </w:tc>
      </w:tr>
      <w:tr w14:paraId="199552C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2E976">
            <w:pPr>
              <w:jc w:val="center"/>
              <w:textAlignment w:val="center"/>
              <w:rPr>
                <w:rFonts w:hint="eastAsia" w:cs="宋体"/>
                <w:kern w:val="0"/>
                <w:sz w:val="21"/>
                <w:szCs w:val="21"/>
                <w:lang w:bidi="ar"/>
              </w:rPr>
            </w:pPr>
            <w:r>
              <w:rPr>
                <w:rFonts w:hint="eastAsia" w:cs="宋体"/>
                <w:kern w:val="0"/>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33DD2">
            <w:pPr>
              <w:jc w:val="left"/>
              <w:rPr>
                <w:rFonts w:hint="eastAsia" w:cs="宋体"/>
                <w:kern w:val="0"/>
                <w:sz w:val="21"/>
                <w:szCs w:val="21"/>
                <w:lang w:bidi="ar"/>
              </w:rPr>
            </w:pPr>
            <w:r>
              <w:rPr>
                <w:rFonts w:hint="eastAsia" w:cs="宋体"/>
                <w:kern w:val="0"/>
                <w:sz w:val="21"/>
                <w:szCs w:val="21"/>
              </w:rPr>
              <w:t>压缩空气储能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74E9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FFF7B">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8E3BB">
            <w:pPr>
              <w:jc w:val="center"/>
              <w:rPr>
                <w:rFonts w:hint="eastAsia" w:cs="宋体"/>
                <w:sz w:val="21"/>
                <w:szCs w:val="21"/>
              </w:rPr>
            </w:pPr>
          </w:p>
        </w:tc>
      </w:tr>
      <w:tr w14:paraId="1B04E90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66276">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BF020">
            <w:pPr>
              <w:rPr>
                <w:rFonts w:hint="eastAsia"/>
                <w:sz w:val="21"/>
                <w:szCs w:val="21"/>
              </w:rPr>
            </w:pPr>
            <w:r>
              <w:rPr>
                <w:sz w:val="21"/>
                <w:szCs w:val="21"/>
              </w:rPr>
              <w:t>压缩空气储能</w:t>
            </w:r>
            <w:r>
              <w:rPr>
                <w:rFonts w:hint="eastAsia"/>
                <w:sz w:val="21"/>
                <w:szCs w:val="21"/>
              </w:rPr>
              <w:t>工程</w:t>
            </w:r>
            <w:r>
              <w:rPr>
                <w:sz w:val="21"/>
                <w:szCs w:val="21"/>
              </w:rPr>
              <w:t>挖方、填方平衡效果良好，渣场堆放量小于</w:t>
            </w:r>
            <w:r>
              <w:rPr>
                <w:rFonts w:hint="eastAsia"/>
                <w:sz w:val="21"/>
                <w:szCs w:val="21"/>
              </w:rPr>
              <w:t>同期国内</w:t>
            </w:r>
            <w:r>
              <w:rPr>
                <w:sz w:val="21"/>
                <w:szCs w:val="21"/>
              </w:rPr>
              <w:t>同类工程</w:t>
            </w:r>
            <w:r>
              <w:rPr>
                <w:rFonts w:hint="eastAsia"/>
                <w:sz w:val="21"/>
                <w:szCs w:val="21"/>
              </w:rPr>
              <w:t>，</w:t>
            </w:r>
            <w:r>
              <w:rPr>
                <w:sz w:val="21"/>
                <w:szCs w:val="21"/>
              </w:rPr>
              <w:t>减少建筑垃圾外运</w:t>
            </w:r>
            <w:r>
              <w:rPr>
                <w:rFonts w:hint="eastAsia"/>
                <w:sz w:val="21"/>
                <w:szCs w:val="21"/>
              </w:rPr>
              <w:t>。</w:t>
            </w:r>
          </w:p>
          <w:p w14:paraId="204802B9">
            <w:pPr>
              <w:jc w:val="left"/>
              <w:rPr>
                <w:rFonts w:hint="eastAsia" w:cs="宋体"/>
                <w:kern w:val="0"/>
                <w:sz w:val="21"/>
                <w:szCs w:val="21"/>
                <w:lang w:bidi="ar"/>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D39DE">
            <w:pPr>
              <w:jc w:val="left"/>
              <w:rPr>
                <w:rFonts w:hint="eastAsia" w:cs="宋体"/>
                <w:sz w:val="21"/>
                <w:szCs w:val="21"/>
              </w:rPr>
            </w:pPr>
            <w:r>
              <w:rPr>
                <w:rFonts w:hint="eastAsia"/>
                <w:sz w:val="21"/>
                <w:szCs w:val="21"/>
              </w:rPr>
              <w:t>本项满分1分，基础土方平衡无渣土外运得满分，有弃土外运根据实际情况扣减0.1~0.5分。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1B823">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20349">
            <w:pPr>
              <w:jc w:val="center"/>
              <w:rPr>
                <w:rFonts w:hint="eastAsia" w:cs="宋体"/>
                <w:sz w:val="21"/>
                <w:szCs w:val="21"/>
              </w:rPr>
            </w:pPr>
          </w:p>
        </w:tc>
      </w:tr>
      <w:tr w14:paraId="357859F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B8AE8">
            <w:pPr>
              <w:jc w:val="center"/>
              <w:textAlignment w:val="center"/>
              <w:rPr>
                <w:rFonts w:hint="eastAsia" w:cs="宋体"/>
                <w:kern w:val="0"/>
                <w:sz w:val="21"/>
                <w:szCs w:val="21"/>
                <w:lang w:bidi="ar"/>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C9AF6">
            <w:pPr>
              <w:jc w:val="left"/>
              <w:rPr>
                <w:rFonts w:hint="eastAsia"/>
                <w:sz w:val="21"/>
                <w:szCs w:val="21"/>
              </w:rPr>
            </w:pPr>
            <w:r>
              <w:rPr>
                <w:rFonts w:hint="eastAsia" w:cs="宋体"/>
                <w:kern w:val="0"/>
                <w:sz w:val="21"/>
                <w:szCs w:val="21"/>
                <w:lang w:bidi="ar"/>
              </w:rPr>
              <w:t>Ⅲ  水资源节约与循环利用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17715">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21E72">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6CFA2">
            <w:pPr>
              <w:jc w:val="center"/>
              <w:rPr>
                <w:rFonts w:hint="eastAsia" w:cs="宋体"/>
                <w:sz w:val="21"/>
                <w:szCs w:val="21"/>
              </w:rPr>
            </w:pPr>
          </w:p>
        </w:tc>
      </w:tr>
      <w:tr w14:paraId="12571182">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0F41B">
            <w:pPr>
              <w:jc w:val="center"/>
              <w:textAlignment w:val="center"/>
              <w:rPr>
                <w:rFonts w:hint="eastAsia" w:cs="宋体"/>
                <w:kern w:val="0"/>
                <w:sz w:val="21"/>
                <w:szCs w:val="21"/>
                <w:lang w:bidi="ar"/>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1AEAA">
            <w:pPr>
              <w:jc w:val="left"/>
              <w:rPr>
                <w:rFonts w:hint="eastAsia"/>
                <w:sz w:val="21"/>
                <w:szCs w:val="21"/>
              </w:rPr>
            </w:pPr>
            <w:r>
              <w:rPr>
                <w:rFonts w:hint="eastAsia" w:cs="宋体"/>
                <w:kern w:val="0"/>
                <w:sz w:val="21"/>
                <w:szCs w:val="21"/>
                <w:lang w:bidi="ar"/>
              </w:rPr>
              <w:t>通用项</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67717">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38433">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36002">
            <w:pPr>
              <w:jc w:val="center"/>
              <w:rPr>
                <w:rFonts w:hint="eastAsia" w:cs="宋体"/>
                <w:sz w:val="21"/>
                <w:szCs w:val="21"/>
              </w:rPr>
            </w:pPr>
          </w:p>
        </w:tc>
      </w:tr>
      <w:tr w14:paraId="52D312F5">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76778">
            <w:pPr>
              <w:jc w:val="center"/>
              <w:textAlignment w:val="center"/>
              <w:rPr>
                <w:rFonts w:hint="eastAsia" w:cs="宋体"/>
                <w:kern w:val="0"/>
                <w:sz w:val="21"/>
                <w:szCs w:val="21"/>
                <w:lang w:bidi="ar"/>
              </w:rPr>
            </w:pPr>
            <w:r>
              <w:rPr>
                <w:sz w:val="21"/>
                <w:szCs w:val="21"/>
              </w:rPr>
              <w:t>6.3.15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925C3">
            <w:pPr>
              <w:jc w:val="left"/>
              <w:rPr>
                <w:rFonts w:hint="eastAsia"/>
                <w:sz w:val="21"/>
                <w:szCs w:val="21"/>
              </w:rPr>
            </w:pPr>
            <w:r>
              <w:fldChar w:fldCharType="begin"/>
            </w:r>
            <w:r>
              <w:instrText xml:space="preserve"> HYPERLINK \l "_Toc162470928" </w:instrText>
            </w:r>
            <w:r>
              <w:fldChar w:fldCharType="separate"/>
            </w:r>
            <w:r>
              <w:rPr>
                <w:rFonts w:hint="eastAsia"/>
                <w:sz w:val="21"/>
                <w:szCs w:val="21"/>
              </w:rPr>
              <w:t>水资源节约与循环利用通用项</w:t>
            </w:r>
            <w:r>
              <w:rPr>
                <w:rFonts w:hint="eastAsia"/>
                <w:sz w:val="21"/>
                <w:szCs w:val="21"/>
              </w:rPr>
              <w:fldChar w:fldCharType="end"/>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A6209">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FD5F4">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FAD95">
            <w:pPr>
              <w:jc w:val="center"/>
              <w:rPr>
                <w:rFonts w:hint="eastAsia" w:cs="宋体"/>
                <w:sz w:val="21"/>
                <w:szCs w:val="21"/>
              </w:rPr>
            </w:pPr>
          </w:p>
        </w:tc>
      </w:tr>
      <w:tr w14:paraId="63E84F2D">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B1514">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44C1A">
            <w:pPr>
              <w:jc w:val="left"/>
              <w:rPr>
                <w:rFonts w:hint="eastAsia" w:cs="宋体"/>
                <w:kern w:val="0"/>
                <w:sz w:val="21"/>
                <w:szCs w:val="21"/>
                <w:lang w:bidi="ar"/>
              </w:rPr>
            </w:pPr>
            <w:r>
              <w:rPr>
                <w:sz w:val="21"/>
                <w:szCs w:val="21"/>
              </w:rPr>
              <w:t>水资源节约</w:t>
            </w:r>
            <w:r>
              <w:rPr>
                <w:rFonts w:hint="eastAsia"/>
                <w:sz w:val="21"/>
                <w:szCs w:val="21"/>
              </w:rPr>
              <w:t>措施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83EE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16234">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159A0">
            <w:pPr>
              <w:jc w:val="center"/>
              <w:rPr>
                <w:rFonts w:hint="eastAsia" w:cs="宋体"/>
                <w:sz w:val="21"/>
                <w:szCs w:val="21"/>
              </w:rPr>
            </w:pPr>
          </w:p>
        </w:tc>
      </w:tr>
      <w:tr w14:paraId="26D7D58D">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25B85">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DE5EB">
            <w:pPr>
              <w:jc w:val="left"/>
              <w:rPr>
                <w:rFonts w:hint="eastAsia" w:cs="宋体"/>
                <w:kern w:val="0"/>
                <w:sz w:val="21"/>
                <w:szCs w:val="21"/>
                <w:lang w:bidi="ar"/>
              </w:rPr>
            </w:pPr>
            <w:r>
              <w:rPr>
                <w:sz w:val="21"/>
                <w:szCs w:val="21"/>
              </w:rPr>
              <w:t>应</w:t>
            </w:r>
            <w:r>
              <w:rPr>
                <w:rFonts w:hint="eastAsia"/>
                <w:sz w:val="21"/>
                <w:szCs w:val="21"/>
              </w:rPr>
              <w:t>制定</w:t>
            </w:r>
            <w:r>
              <w:rPr>
                <w:sz w:val="21"/>
                <w:szCs w:val="21"/>
              </w:rPr>
              <w:t>水资源节约管理</w:t>
            </w:r>
            <w:r>
              <w:rPr>
                <w:rFonts w:hint="eastAsia"/>
                <w:sz w:val="21"/>
                <w:szCs w:val="21"/>
              </w:rPr>
              <w:t>措施</w:t>
            </w:r>
            <w:r>
              <w:rPr>
                <w:sz w:val="21"/>
                <w:szCs w:val="21"/>
              </w:rPr>
              <w:t>，</w:t>
            </w:r>
            <w:r>
              <w:rPr>
                <w:rFonts w:hint="eastAsia"/>
                <w:sz w:val="21"/>
                <w:szCs w:val="21"/>
              </w:rPr>
              <w:t>明确</w:t>
            </w:r>
            <w:r>
              <w:rPr>
                <w:sz w:val="21"/>
                <w:szCs w:val="21"/>
              </w:rPr>
              <w:t>水资源消耗总目标</w:t>
            </w:r>
            <w:r>
              <w:rPr>
                <w:rFonts w:hint="eastAsia"/>
                <w:sz w:val="21"/>
                <w:szCs w:val="21"/>
              </w:rPr>
              <w:t>，并分阶段（地基与基础、主体结构、屋面及装饰装修、安装、调试）、分标段、分区域制定</w:t>
            </w:r>
            <w:r>
              <w:rPr>
                <w:sz w:val="21"/>
                <w:szCs w:val="21"/>
              </w:rPr>
              <w:t>水资源消耗指标，</w:t>
            </w:r>
            <w:r>
              <w:rPr>
                <w:rFonts w:hint="eastAsia"/>
                <w:sz w:val="21"/>
                <w:szCs w:val="21"/>
              </w:rPr>
              <w:t>节约用水量</w:t>
            </w:r>
            <w:r>
              <w:rPr>
                <w:sz w:val="21"/>
                <w:szCs w:val="21"/>
              </w:rPr>
              <w:t>不低于定额用水量的10%</w:t>
            </w:r>
            <w:r>
              <w:rPr>
                <w:rFonts w:hint="eastAsia"/>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A31BB">
            <w:pPr>
              <w:jc w:val="left"/>
              <w:rPr>
                <w:rFonts w:hint="eastAsia" w:cs="宋体"/>
                <w:sz w:val="21"/>
                <w:szCs w:val="21"/>
              </w:rPr>
            </w:pPr>
            <w:r>
              <w:rPr>
                <w:rFonts w:hint="eastAsia"/>
                <w:sz w:val="21"/>
                <w:szCs w:val="21"/>
              </w:rPr>
              <w:t>节约用水量</w:t>
            </w:r>
            <w:r>
              <w:rPr>
                <w:sz w:val="21"/>
                <w:szCs w:val="21"/>
              </w:rPr>
              <w:t>低于定额用水量的10%</w:t>
            </w:r>
            <w:r>
              <w:rPr>
                <w:rFonts w:hint="eastAsia"/>
                <w:sz w:val="21"/>
                <w:szCs w:val="21"/>
              </w:rPr>
              <w:t>，扣1分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27FBE">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B6754">
            <w:pPr>
              <w:jc w:val="center"/>
              <w:rPr>
                <w:rFonts w:hint="eastAsia" w:cs="宋体"/>
                <w:sz w:val="21"/>
                <w:szCs w:val="21"/>
              </w:rPr>
            </w:pPr>
          </w:p>
        </w:tc>
      </w:tr>
      <w:tr w14:paraId="4EFA100F">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83DC1">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5E7CC">
            <w:pPr>
              <w:jc w:val="left"/>
              <w:rPr>
                <w:rFonts w:hint="eastAsia" w:cs="宋体"/>
                <w:kern w:val="0"/>
                <w:sz w:val="21"/>
                <w:szCs w:val="21"/>
                <w:lang w:bidi="ar"/>
              </w:rPr>
            </w:pPr>
            <w:r>
              <w:rPr>
                <w:sz w:val="21"/>
                <w:szCs w:val="21"/>
              </w:rPr>
              <w:t>施工现场的办公区、生活区、生产区用水应单独水表计量，并建立台账，分别进行计量考核管理</w:t>
            </w:r>
            <w:r>
              <w:rPr>
                <w:rFonts w:hint="eastAsia"/>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A54A1">
            <w:pPr>
              <w:jc w:val="left"/>
              <w:rPr>
                <w:rFonts w:hint="eastAsia" w:cs="宋体"/>
                <w:sz w:val="21"/>
                <w:szCs w:val="21"/>
              </w:rPr>
            </w:pPr>
            <w:r>
              <w:rPr>
                <w:sz w:val="21"/>
                <w:szCs w:val="21"/>
              </w:rPr>
              <w:t>办公区、生活区、生产区用水</w:t>
            </w:r>
            <w:r>
              <w:rPr>
                <w:rFonts w:hint="eastAsia"/>
                <w:sz w:val="21"/>
                <w:szCs w:val="21"/>
              </w:rPr>
              <w:t>未</w:t>
            </w:r>
            <w:r>
              <w:rPr>
                <w:sz w:val="21"/>
                <w:szCs w:val="21"/>
              </w:rPr>
              <w:t>单独水表计量</w:t>
            </w:r>
            <w:r>
              <w:rPr>
                <w:rFonts w:hint="eastAsia"/>
                <w:sz w:val="21"/>
                <w:szCs w:val="21"/>
              </w:rPr>
              <w:t>，扣0.5分；未建立台账计量考核管理，扣0.5分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D5DF5">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A660E">
            <w:pPr>
              <w:jc w:val="center"/>
              <w:rPr>
                <w:rFonts w:hint="eastAsia" w:cs="宋体"/>
                <w:sz w:val="21"/>
                <w:szCs w:val="21"/>
              </w:rPr>
            </w:pPr>
          </w:p>
        </w:tc>
      </w:tr>
      <w:tr w14:paraId="787E4E9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6FBA5">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0CDDF">
            <w:pPr>
              <w:jc w:val="left"/>
              <w:rPr>
                <w:rFonts w:hint="eastAsia" w:cs="宋体"/>
                <w:kern w:val="0"/>
                <w:sz w:val="21"/>
                <w:szCs w:val="21"/>
                <w:lang w:bidi="ar"/>
              </w:rPr>
            </w:pPr>
            <w:r>
              <w:rPr>
                <w:sz w:val="21"/>
                <w:szCs w:val="21"/>
              </w:rPr>
              <w:t>制定节水方案及措施。</w:t>
            </w:r>
            <w:r>
              <w:rPr>
                <w:rFonts w:hint="eastAsia"/>
                <w:sz w:val="21"/>
                <w:szCs w:val="21"/>
              </w:rPr>
              <w:t>混凝土</w:t>
            </w:r>
            <w:r>
              <w:rPr>
                <w:sz w:val="21"/>
                <w:szCs w:val="21"/>
              </w:rPr>
              <w:t>搅拌</w:t>
            </w:r>
            <w:r>
              <w:rPr>
                <w:rFonts w:hint="eastAsia"/>
                <w:sz w:val="21"/>
                <w:szCs w:val="21"/>
              </w:rPr>
              <w:t>及</w:t>
            </w:r>
            <w:r>
              <w:rPr>
                <w:sz w:val="21"/>
                <w:szCs w:val="21"/>
              </w:rPr>
              <w:t>养护用水</w:t>
            </w:r>
            <w:r>
              <w:rPr>
                <w:rFonts w:hint="eastAsia"/>
                <w:sz w:val="21"/>
                <w:szCs w:val="21"/>
              </w:rPr>
              <w:t>应</w:t>
            </w:r>
            <w:r>
              <w:rPr>
                <w:sz w:val="21"/>
                <w:szCs w:val="21"/>
              </w:rPr>
              <w:t>采取节水措施</w:t>
            </w:r>
            <w:r>
              <w:rPr>
                <w:rFonts w:hint="eastAsia"/>
                <w:sz w:val="21"/>
                <w:szCs w:val="21"/>
              </w:rPr>
              <w:t>。</w:t>
            </w:r>
            <w:r>
              <w:rPr>
                <w:sz w:val="21"/>
                <w:szCs w:val="21"/>
              </w:rPr>
              <w:t>砌体加工区及砌体堆放场地宜集中布置，区域内设置喷淋系统用于砌块砌筑前浇水湿润。根据每堆砌体的位置及场地进行布置喷淋管，保证横管两面都能喷淋浇砖。</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6B130">
            <w:pPr>
              <w:jc w:val="left"/>
              <w:rPr>
                <w:rFonts w:hint="eastAsia" w:cs="宋体"/>
                <w:sz w:val="21"/>
                <w:szCs w:val="21"/>
              </w:rPr>
            </w:pPr>
            <w:r>
              <w:rPr>
                <w:rFonts w:hint="eastAsia" w:cs="宋体"/>
                <w:sz w:val="21"/>
                <w:szCs w:val="21"/>
              </w:rPr>
              <w:t>未制定节水方案及措施，扣0.5分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85BB9">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3A785">
            <w:pPr>
              <w:jc w:val="center"/>
              <w:rPr>
                <w:rFonts w:hint="eastAsia" w:cs="宋体"/>
                <w:sz w:val="21"/>
                <w:szCs w:val="21"/>
              </w:rPr>
            </w:pPr>
          </w:p>
        </w:tc>
      </w:tr>
      <w:tr w14:paraId="3B7C794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9D652">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FBBB7">
            <w:pPr>
              <w:jc w:val="left"/>
              <w:rPr>
                <w:rFonts w:hint="eastAsia" w:cs="宋体"/>
                <w:kern w:val="0"/>
                <w:sz w:val="21"/>
                <w:szCs w:val="21"/>
                <w:lang w:bidi="ar"/>
              </w:rPr>
            </w:pPr>
            <w:r>
              <w:rPr>
                <w:sz w:val="21"/>
                <w:szCs w:val="21"/>
              </w:rPr>
              <w:t>选用节水类的器具设施。办公、生活区用水100%采用节水系统和节水器具，分别安装水表计量，定期进行计量考核。施工现场临时用水</w:t>
            </w:r>
            <w:r>
              <w:rPr>
                <w:rFonts w:hint="eastAsia"/>
                <w:sz w:val="21"/>
                <w:szCs w:val="21"/>
              </w:rPr>
              <w:t>采用</w:t>
            </w:r>
            <w:r>
              <w:rPr>
                <w:sz w:val="21"/>
                <w:szCs w:val="21"/>
              </w:rPr>
              <w:t>节水型产品，安装计量装置。采用带有红外传感装置的公厕便槽，实现无人值守、自动管理的卫生、节水的使用效果。</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13098">
            <w:pPr>
              <w:jc w:val="left"/>
              <w:rPr>
                <w:rFonts w:hint="eastAsia" w:cs="宋体"/>
                <w:sz w:val="21"/>
                <w:szCs w:val="21"/>
              </w:rPr>
            </w:pPr>
            <w:r>
              <w:rPr>
                <w:rFonts w:hint="eastAsia" w:cs="宋体"/>
                <w:sz w:val="21"/>
                <w:szCs w:val="21"/>
              </w:rPr>
              <w:t>未选用节水类的器具设施，扣0.5分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2449C">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EE539">
            <w:pPr>
              <w:jc w:val="center"/>
              <w:rPr>
                <w:rFonts w:hint="eastAsia" w:cs="宋体"/>
                <w:sz w:val="21"/>
                <w:szCs w:val="21"/>
              </w:rPr>
            </w:pPr>
          </w:p>
        </w:tc>
      </w:tr>
      <w:tr w14:paraId="22F2D294">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63E4A">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06303">
            <w:pPr>
              <w:jc w:val="left"/>
              <w:rPr>
                <w:rFonts w:hint="eastAsia" w:cs="宋体"/>
                <w:kern w:val="0"/>
                <w:sz w:val="21"/>
                <w:szCs w:val="21"/>
                <w:lang w:bidi="ar"/>
              </w:rPr>
            </w:pPr>
            <w:r>
              <w:rPr>
                <w:sz w:val="21"/>
                <w:szCs w:val="21"/>
              </w:rPr>
              <w:t>水资源高效利用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36AE4">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88FF6">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78FC3">
            <w:pPr>
              <w:jc w:val="center"/>
              <w:rPr>
                <w:rFonts w:hint="eastAsia" w:cs="宋体"/>
                <w:sz w:val="21"/>
                <w:szCs w:val="21"/>
              </w:rPr>
            </w:pPr>
          </w:p>
        </w:tc>
      </w:tr>
      <w:tr w14:paraId="76A609E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54E15">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16CB3">
            <w:pPr>
              <w:jc w:val="left"/>
              <w:rPr>
                <w:rFonts w:hint="eastAsia" w:cs="宋体"/>
                <w:kern w:val="0"/>
                <w:sz w:val="21"/>
                <w:szCs w:val="21"/>
                <w:lang w:bidi="ar"/>
              </w:rPr>
            </w:pPr>
            <w:r>
              <w:rPr>
                <w:sz w:val="21"/>
                <w:szCs w:val="21"/>
              </w:rPr>
              <w:t>施工中应尽可能采用</w:t>
            </w:r>
            <w:r>
              <w:rPr>
                <w:rFonts w:hint="eastAsia"/>
                <w:sz w:val="21"/>
                <w:szCs w:val="21"/>
              </w:rPr>
              <w:t>经检测合格的</w:t>
            </w:r>
            <w:r>
              <w:rPr>
                <w:sz w:val="21"/>
                <w:szCs w:val="21"/>
              </w:rPr>
              <w:t>非传统水源和</w:t>
            </w:r>
            <w:r>
              <w:rPr>
                <w:rFonts w:hint="eastAsia"/>
                <w:sz w:val="21"/>
                <w:szCs w:val="21"/>
              </w:rPr>
              <w:t>再生</w:t>
            </w:r>
            <w:r>
              <w:rPr>
                <w:sz w:val="21"/>
                <w:szCs w:val="21"/>
              </w:rPr>
              <w:t>水</w:t>
            </w:r>
            <w:r>
              <w:rPr>
                <w:rFonts w:hint="eastAsia"/>
                <w:sz w:val="21"/>
                <w:szCs w:val="21"/>
              </w:rPr>
              <w:t>进行循环</w:t>
            </w:r>
            <w:r>
              <w:rPr>
                <w:sz w:val="21"/>
                <w:szCs w:val="21"/>
              </w:rPr>
              <w:t>利用。有条件的地区和现场应建立雨水收集利用系统</w:t>
            </w:r>
            <w:r>
              <w:rPr>
                <w:rFonts w:hint="eastAsia"/>
                <w:sz w:val="21"/>
                <w:szCs w:val="21"/>
              </w:rPr>
              <w:t>；</w:t>
            </w:r>
            <w:r>
              <w:rPr>
                <w:sz w:val="21"/>
                <w:szCs w:val="21"/>
              </w:rPr>
              <w:t>低洼道路、低洼区域满铺塑料布集中收集雨水，用于道路、基坑开挖降尘</w:t>
            </w:r>
            <w:r>
              <w:rPr>
                <w:rFonts w:hint="eastAsia"/>
                <w:sz w:val="21"/>
                <w:szCs w:val="21"/>
              </w:rPr>
              <w:t>；</w:t>
            </w:r>
            <w:r>
              <w:rPr>
                <w:sz w:val="21"/>
                <w:szCs w:val="21"/>
              </w:rPr>
              <w:t>现场机具、设备、车辆冲洗、喷洒路面、绿化浇灌等用水，优先采用非传统水源</w:t>
            </w:r>
            <w:r>
              <w:rPr>
                <w:rFonts w:hint="eastAsia"/>
                <w:sz w:val="21"/>
                <w:szCs w:val="21"/>
              </w:rPr>
              <w:t>；</w:t>
            </w:r>
            <w:r>
              <w:rPr>
                <w:sz w:val="21"/>
                <w:szCs w:val="21"/>
              </w:rPr>
              <w:t>污水管道、雨水管道试验及冲洗用水宜利用非自来水源。</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3C62C">
            <w:pPr>
              <w:jc w:val="left"/>
              <w:rPr>
                <w:rFonts w:hint="eastAsia" w:cs="宋体"/>
                <w:sz w:val="21"/>
                <w:szCs w:val="21"/>
              </w:rPr>
            </w:pPr>
            <w:r>
              <w:rPr>
                <w:rFonts w:hint="eastAsia"/>
                <w:sz w:val="21"/>
                <w:szCs w:val="21"/>
              </w:rPr>
              <w:t>根据</w:t>
            </w:r>
            <w:r>
              <w:rPr>
                <w:sz w:val="21"/>
                <w:szCs w:val="21"/>
              </w:rPr>
              <w:t>非传统水源和</w:t>
            </w:r>
            <w:r>
              <w:rPr>
                <w:rFonts w:hint="eastAsia"/>
                <w:sz w:val="21"/>
                <w:szCs w:val="21"/>
              </w:rPr>
              <w:t>再生</w:t>
            </w:r>
            <w:r>
              <w:rPr>
                <w:sz w:val="21"/>
                <w:szCs w:val="21"/>
              </w:rPr>
              <w:t>水</w:t>
            </w:r>
            <w:r>
              <w:rPr>
                <w:rFonts w:hint="eastAsia"/>
                <w:sz w:val="21"/>
                <w:szCs w:val="21"/>
              </w:rPr>
              <w:t>进行循环</w:t>
            </w:r>
            <w:r>
              <w:rPr>
                <w:sz w:val="21"/>
                <w:szCs w:val="21"/>
              </w:rPr>
              <w:t>利用</w:t>
            </w:r>
            <w:r>
              <w:rPr>
                <w:rFonts w:hint="eastAsia"/>
                <w:sz w:val="21"/>
                <w:szCs w:val="21"/>
              </w:rPr>
              <w:t>情况得分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67A34">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AC5E1">
            <w:pPr>
              <w:jc w:val="center"/>
              <w:rPr>
                <w:rFonts w:hint="eastAsia" w:cs="宋体"/>
                <w:sz w:val="21"/>
                <w:szCs w:val="21"/>
              </w:rPr>
            </w:pPr>
          </w:p>
        </w:tc>
      </w:tr>
      <w:tr w14:paraId="7DFE8D3F">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7A3FC">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AE120">
            <w:pPr>
              <w:jc w:val="left"/>
              <w:rPr>
                <w:rFonts w:hint="eastAsia" w:cs="宋体"/>
                <w:kern w:val="0"/>
                <w:sz w:val="21"/>
                <w:szCs w:val="21"/>
                <w:lang w:bidi="ar"/>
              </w:rPr>
            </w:pPr>
            <w:r>
              <w:rPr>
                <w:sz w:val="21"/>
                <w:szCs w:val="21"/>
              </w:rPr>
              <w:t>处于基坑降水阶段的工地,宜优先采用</w:t>
            </w:r>
            <w:r>
              <w:rPr>
                <w:rFonts w:hint="eastAsia"/>
                <w:sz w:val="21"/>
                <w:szCs w:val="21"/>
              </w:rPr>
              <w:t>经检测合格的</w:t>
            </w:r>
            <w:r>
              <w:rPr>
                <w:sz w:val="21"/>
                <w:szCs w:val="21"/>
              </w:rPr>
              <w:t>地下水作为</w:t>
            </w:r>
            <w:r>
              <w:rPr>
                <w:rFonts w:hint="eastAsia"/>
                <w:sz w:val="21"/>
                <w:szCs w:val="21"/>
              </w:rPr>
              <w:t>现场洒水、</w:t>
            </w:r>
            <w:r>
              <w:rPr>
                <w:sz w:val="21"/>
                <w:szCs w:val="21"/>
              </w:rPr>
              <w:t>混凝土搅拌用水、养护用水、冲洗用水和部分生活用水。</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B55A7">
            <w:pPr>
              <w:jc w:val="left"/>
              <w:rPr>
                <w:rFonts w:hint="eastAsia" w:cs="宋体"/>
                <w:sz w:val="21"/>
                <w:szCs w:val="21"/>
              </w:rPr>
            </w:pPr>
            <w:r>
              <w:rPr>
                <w:rFonts w:hint="eastAsia" w:cs="宋体"/>
                <w:sz w:val="21"/>
                <w:szCs w:val="21"/>
              </w:rPr>
              <w:t>根据</w:t>
            </w:r>
            <w:r>
              <w:rPr>
                <w:rFonts w:hint="eastAsia"/>
                <w:sz w:val="21"/>
                <w:szCs w:val="21"/>
              </w:rPr>
              <w:t>现场洒水、</w:t>
            </w:r>
            <w:r>
              <w:rPr>
                <w:sz w:val="21"/>
                <w:szCs w:val="21"/>
              </w:rPr>
              <w:t>混凝土搅拌用水、养护用水、冲洗用水和部分生活用水</w:t>
            </w:r>
            <w:r>
              <w:rPr>
                <w:rFonts w:hint="eastAsia"/>
                <w:sz w:val="21"/>
                <w:szCs w:val="21"/>
              </w:rPr>
              <w:t>情况得分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1B705">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6FC01">
            <w:pPr>
              <w:jc w:val="center"/>
              <w:rPr>
                <w:rFonts w:hint="eastAsia" w:cs="宋体"/>
                <w:sz w:val="21"/>
                <w:szCs w:val="21"/>
              </w:rPr>
            </w:pPr>
          </w:p>
        </w:tc>
      </w:tr>
      <w:tr w14:paraId="4DBF7B7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DB6C1">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8D02C">
            <w:pPr>
              <w:jc w:val="left"/>
              <w:rPr>
                <w:rFonts w:hint="eastAsia" w:cs="宋体"/>
                <w:kern w:val="0"/>
                <w:sz w:val="21"/>
                <w:szCs w:val="21"/>
                <w:lang w:bidi="ar"/>
              </w:rPr>
            </w:pPr>
            <w:r>
              <w:rPr>
                <w:rFonts w:hint="eastAsia"/>
                <w:sz w:val="21"/>
                <w:szCs w:val="21"/>
              </w:rPr>
              <w:t>现场设置回水利用设备，水池满水试验及管网水压试验用水实现回收再利用。</w:t>
            </w:r>
            <w:r>
              <w:rPr>
                <w:sz w:val="21"/>
                <w:szCs w:val="21"/>
              </w:rPr>
              <w:t>现场冲洗区域设置循环排水沟及沉淀池，确保沉淀后的水可再次进入冲洗设备使用。在喷淋场地坡度最低处设置一个沉淀池，浇砖后的水可进行再利用。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6FB74">
            <w:pPr>
              <w:jc w:val="left"/>
              <w:rPr>
                <w:rFonts w:hint="eastAsia" w:cs="宋体"/>
                <w:sz w:val="21"/>
                <w:szCs w:val="21"/>
              </w:rPr>
            </w:pPr>
            <w:r>
              <w:rPr>
                <w:rFonts w:hint="eastAsia" w:cs="宋体"/>
                <w:sz w:val="21"/>
                <w:szCs w:val="21"/>
              </w:rPr>
              <w:t>现场未设置回水利用设备，现场冲洗区未设置虚幻排水沟及沉淀池，扣0.5分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97851">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999D5">
            <w:pPr>
              <w:jc w:val="center"/>
              <w:rPr>
                <w:rFonts w:hint="eastAsia" w:cs="宋体"/>
                <w:sz w:val="21"/>
                <w:szCs w:val="21"/>
              </w:rPr>
            </w:pPr>
          </w:p>
        </w:tc>
      </w:tr>
      <w:tr w14:paraId="33E59C4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12E98">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624C">
            <w:pPr>
              <w:jc w:val="left"/>
              <w:rPr>
                <w:rFonts w:hint="eastAsia" w:cs="宋体"/>
                <w:kern w:val="0"/>
                <w:sz w:val="21"/>
                <w:szCs w:val="21"/>
                <w:lang w:bidi="ar"/>
              </w:rPr>
            </w:pPr>
            <w:r>
              <w:rPr>
                <w:sz w:val="21"/>
                <w:szCs w:val="21"/>
              </w:rPr>
              <w:t>生活区设置中水处理系统，将生活污水净化为中水，用于降尘、绿化浇灌、车辆冲洗和厕所冲洗用水</w:t>
            </w:r>
            <w:r>
              <w:rPr>
                <w:rFonts w:hint="eastAsia"/>
                <w:sz w:val="21"/>
                <w:szCs w:val="21"/>
              </w:rPr>
              <w:t>等实现再利用</w:t>
            </w:r>
            <w:r>
              <w:rPr>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8D8BA">
            <w:pPr>
              <w:jc w:val="left"/>
              <w:rPr>
                <w:rFonts w:hint="eastAsia" w:cs="宋体"/>
                <w:sz w:val="21"/>
                <w:szCs w:val="21"/>
              </w:rPr>
            </w:pPr>
            <w:r>
              <w:rPr>
                <w:rFonts w:hint="eastAsia" w:cs="宋体"/>
                <w:sz w:val="21"/>
                <w:szCs w:val="21"/>
              </w:rPr>
              <w:t>生活区未设置中水处理系统，扣0.5分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F0640">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FA54E">
            <w:pPr>
              <w:jc w:val="center"/>
              <w:rPr>
                <w:rFonts w:hint="eastAsia" w:cs="宋体"/>
                <w:sz w:val="21"/>
                <w:szCs w:val="21"/>
              </w:rPr>
            </w:pPr>
          </w:p>
        </w:tc>
      </w:tr>
      <w:tr w14:paraId="55EBA6E4">
        <w:tblPrEx>
          <w:tblCellMar>
            <w:top w:w="0" w:type="dxa"/>
            <w:left w:w="108" w:type="dxa"/>
            <w:bottom w:w="0" w:type="dxa"/>
            <w:right w:w="108" w:type="dxa"/>
          </w:tblCellMar>
        </w:tblPrEx>
        <w:trPr>
          <w:trHeight w:val="521" w:hRule="exac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9C5F0">
            <w:pPr>
              <w:jc w:val="center"/>
              <w:textAlignment w:val="center"/>
              <w:rPr>
                <w:rFonts w:hint="eastAsia" w:cs="宋体"/>
                <w:kern w:val="0"/>
                <w:sz w:val="21"/>
                <w:szCs w:val="21"/>
                <w:lang w:bidi="ar"/>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B2FC0">
            <w:pPr>
              <w:jc w:val="left"/>
              <w:textAlignment w:val="center"/>
              <w:rPr>
                <w:rFonts w:hint="eastAsia" w:cs="宋体"/>
                <w:kern w:val="0"/>
                <w:sz w:val="21"/>
                <w:szCs w:val="21"/>
                <w:lang w:bidi="ar"/>
              </w:rPr>
            </w:pPr>
            <w:r>
              <w:rPr>
                <w:rFonts w:hint="eastAsia" w:cs="宋体"/>
                <w:kern w:val="0"/>
                <w:sz w:val="21"/>
                <w:szCs w:val="21"/>
                <w:lang w:bidi="ar"/>
              </w:rPr>
              <w:t>专用项</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3AEFE">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D22BB">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A65AF">
            <w:pPr>
              <w:jc w:val="left"/>
              <w:textAlignment w:val="center"/>
              <w:rPr>
                <w:rFonts w:hint="eastAsia" w:cs="宋体"/>
                <w:kern w:val="0"/>
                <w:sz w:val="21"/>
                <w:szCs w:val="21"/>
                <w:lang w:bidi="ar"/>
              </w:rPr>
            </w:pPr>
          </w:p>
        </w:tc>
      </w:tr>
      <w:tr w14:paraId="3494799D">
        <w:tblPrEx>
          <w:tblCellMar>
            <w:top w:w="0" w:type="dxa"/>
            <w:left w:w="108" w:type="dxa"/>
            <w:bottom w:w="0" w:type="dxa"/>
            <w:right w:w="108" w:type="dxa"/>
          </w:tblCellMar>
        </w:tblPrEx>
        <w:trPr>
          <w:trHeight w:val="521" w:hRule="exac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E5B22">
            <w:pPr>
              <w:jc w:val="center"/>
              <w:textAlignment w:val="center"/>
              <w:rPr>
                <w:rFonts w:hint="eastAsia" w:cs="宋体"/>
                <w:kern w:val="0"/>
                <w:sz w:val="21"/>
                <w:szCs w:val="21"/>
                <w:lang w:bidi="ar"/>
              </w:rPr>
            </w:pPr>
            <w:r>
              <w:rPr>
                <w:rFonts w:hint="eastAsia" w:cs="宋体"/>
                <w:kern w:val="0"/>
                <w:sz w:val="21"/>
                <w:szCs w:val="21"/>
                <w:lang w:bidi="ar"/>
              </w:rPr>
              <w:t>6.3.16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B0D2E">
            <w:pPr>
              <w:jc w:val="left"/>
              <w:textAlignment w:val="center"/>
              <w:rPr>
                <w:rFonts w:hint="eastAsia" w:cs="宋体"/>
                <w:kern w:val="0"/>
                <w:sz w:val="21"/>
                <w:szCs w:val="21"/>
                <w:lang w:bidi="ar"/>
              </w:rPr>
            </w:pPr>
            <w:r>
              <w:rPr>
                <w:rFonts w:hint="eastAsia" w:cs="宋体"/>
                <w:kern w:val="0"/>
                <w:sz w:val="21"/>
                <w:szCs w:val="21"/>
                <w:lang w:bidi="ar"/>
              </w:rPr>
              <w:t>火电工程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571C7">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AD7DB">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7AA14">
            <w:pPr>
              <w:jc w:val="left"/>
              <w:textAlignment w:val="center"/>
              <w:rPr>
                <w:rFonts w:hint="eastAsia" w:cs="宋体"/>
                <w:kern w:val="0"/>
                <w:sz w:val="21"/>
                <w:szCs w:val="21"/>
                <w:lang w:bidi="ar"/>
              </w:rPr>
            </w:pPr>
          </w:p>
        </w:tc>
      </w:tr>
      <w:tr w14:paraId="3C2798D7">
        <w:tblPrEx>
          <w:tblCellMar>
            <w:top w:w="0" w:type="dxa"/>
            <w:left w:w="108" w:type="dxa"/>
            <w:bottom w:w="0" w:type="dxa"/>
            <w:right w:w="108" w:type="dxa"/>
          </w:tblCellMar>
        </w:tblPrEx>
        <w:trPr>
          <w:trHeight w:val="521" w:hRule="exac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A464A">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75EF3">
            <w:pPr>
              <w:jc w:val="left"/>
              <w:textAlignment w:val="center"/>
              <w:rPr>
                <w:rFonts w:hint="eastAsia" w:cs="宋体"/>
                <w:kern w:val="0"/>
                <w:sz w:val="21"/>
                <w:szCs w:val="21"/>
                <w:lang w:bidi="ar"/>
              </w:rPr>
            </w:pPr>
            <w:r>
              <w:rPr>
                <w:rFonts w:hint="eastAsia" w:cs="宋体"/>
                <w:kern w:val="0"/>
                <w:sz w:val="21"/>
                <w:szCs w:val="21"/>
                <w:lang w:bidi="ar"/>
              </w:rPr>
              <w:t>燃煤发电工程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2507E">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6BECD">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28DD3">
            <w:pPr>
              <w:jc w:val="left"/>
              <w:textAlignment w:val="center"/>
              <w:rPr>
                <w:rFonts w:hint="eastAsia" w:cs="宋体"/>
                <w:kern w:val="0"/>
                <w:sz w:val="21"/>
                <w:szCs w:val="21"/>
                <w:lang w:bidi="ar"/>
              </w:rPr>
            </w:pPr>
          </w:p>
        </w:tc>
      </w:tr>
      <w:tr w14:paraId="3CBA8A8D">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F4AFE">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CD8C7">
            <w:pPr>
              <w:jc w:val="left"/>
              <w:textAlignment w:val="center"/>
              <w:rPr>
                <w:rFonts w:hint="eastAsia" w:cs="宋体"/>
                <w:kern w:val="0"/>
                <w:sz w:val="21"/>
                <w:szCs w:val="21"/>
                <w:lang w:bidi="ar"/>
              </w:rPr>
            </w:pPr>
            <w:r>
              <w:rPr>
                <w:sz w:val="21"/>
                <w:szCs w:val="21"/>
              </w:rPr>
              <w:t>给水管道冲洗采用闭式循环冲洗工艺。</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51059">
            <w:pPr>
              <w:jc w:val="left"/>
              <w:textAlignment w:val="center"/>
              <w:rPr>
                <w:rFonts w:hint="eastAsia" w:cs="宋体"/>
                <w:kern w:val="0"/>
                <w:sz w:val="21"/>
                <w:szCs w:val="21"/>
                <w:lang w:bidi="ar"/>
              </w:rPr>
            </w:pPr>
            <w:r>
              <w:rPr>
                <w:sz w:val="21"/>
                <w:szCs w:val="21"/>
              </w:rPr>
              <w:t>给水管道冲洗</w:t>
            </w:r>
            <w:r>
              <w:rPr>
                <w:rFonts w:hint="eastAsia"/>
                <w:sz w:val="21"/>
                <w:szCs w:val="21"/>
              </w:rPr>
              <w:t>未</w:t>
            </w:r>
            <w:r>
              <w:rPr>
                <w:sz w:val="21"/>
                <w:szCs w:val="21"/>
              </w:rPr>
              <w:t>采用闭式循环冲洗工艺</w:t>
            </w:r>
            <w:r>
              <w:rPr>
                <w:rFonts w:hint="eastAsia"/>
                <w:sz w:val="21"/>
                <w:szCs w:val="21"/>
              </w:rPr>
              <w:t>，扣0.5分</w:t>
            </w:r>
            <w:r>
              <w:rPr>
                <w:sz w:val="21"/>
                <w:szCs w:val="21"/>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1202A">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BD295">
            <w:pPr>
              <w:jc w:val="left"/>
              <w:textAlignment w:val="center"/>
              <w:rPr>
                <w:rFonts w:hint="eastAsia" w:cs="宋体"/>
                <w:kern w:val="0"/>
                <w:sz w:val="21"/>
                <w:szCs w:val="21"/>
                <w:lang w:bidi="ar"/>
              </w:rPr>
            </w:pPr>
          </w:p>
        </w:tc>
      </w:tr>
      <w:tr w14:paraId="4B7465C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216B1">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D6B7A">
            <w:pPr>
              <w:jc w:val="left"/>
              <w:textAlignment w:val="center"/>
              <w:rPr>
                <w:rFonts w:hint="eastAsia" w:cs="宋体"/>
                <w:kern w:val="0"/>
                <w:sz w:val="21"/>
                <w:szCs w:val="21"/>
                <w:lang w:bidi="ar"/>
              </w:rPr>
            </w:pPr>
            <w:r>
              <w:rPr>
                <w:sz w:val="21"/>
                <w:szCs w:val="21"/>
              </w:rPr>
              <w:t>锅炉水压试验应接临时管道，处理后重复利用</w:t>
            </w:r>
            <w:r>
              <w:rPr>
                <w:rFonts w:hint="eastAsia"/>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105BA">
            <w:pPr>
              <w:jc w:val="left"/>
              <w:textAlignment w:val="center"/>
              <w:rPr>
                <w:rFonts w:hint="eastAsia" w:cs="宋体"/>
                <w:kern w:val="0"/>
                <w:sz w:val="21"/>
                <w:szCs w:val="21"/>
                <w:lang w:bidi="ar"/>
              </w:rPr>
            </w:pPr>
            <w:r>
              <w:rPr>
                <w:sz w:val="21"/>
                <w:szCs w:val="21"/>
              </w:rPr>
              <w:t>锅炉水压试验</w:t>
            </w:r>
            <w:r>
              <w:rPr>
                <w:rFonts w:hint="eastAsia"/>
                <w:sz w:val="21"/>
                <w:szCs w:val="21"/>
              </w:rPr>
              <w:t>用水未接临时管道，未重复利用，扣0.5分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5ABAD">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7F666">
            <w:pPr>
              <w:jc w:val="left"/>
              <w:textAlignment w:val="center"/>
              <w:rPr>
                <w:rFonts w:hint="eastAsia" w:cs="宋体"/>
                <w:kern w:val="0"/>
                <w:sz w:val="21"/>
                <w:szCs w:val="21"/>
                <w:lang w:bidi="ar"/>
              </w:rPr>
            </w:pPr>
          </w:p>
        </w:tc>
      </w:tr>
      <w:tr w14:paraId="1A8EF6B3">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111AE">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01541">
            <w:pPr>
              <w:jc w:val="left"/>
              <w:textAlignment w:val="center"/>
              <w:rPr>
                <w:rFonts w:hint="eastAsia" w:cs="宋体"/>
                <w:kern w:val="0"/>
                <w:sz w:val="21"/>
                <w:szCs w:val="21"/>
                <w:lang w:bidi="ar"/>
              </w:rPr>
            </w:pPr>
            <w:r>
              <w:rPr>
                <w:sz w:val="21"/>
                <w:szCs w:val="21"/>
              </w:rPr>
              <w:t>锅炉受热面管排与集箱管道对口前应全面检查，保证集箱内部清洁</w:t>
            </w:r>
            <w:r>
              <w:rPr>
                <w:rFonts w:hint="eastAsia"/>
                <w:sz w:val="21"/>
                <w:szCs w:val="21"/>
              </w:rPr>
              <w:t>，已减少吹管时用水量。</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C3EAC">
            <w:pPr>
              <w:jc w:val="left"/>
              <w:textAlignment w:val="center"/>
              <w:rPr>
                <w:rFonts w:hint="eastAsia" w:cs="宋体"/>
                <w:kern w:val="0"/>
                <w:sz w:val="21"/>
                <w:szCs w:val="21"/>
                <w:lang w:bidi="ar"/>
              </w:rPr>
            </w:pPr>
            <w:r>
              <w:rPr>
                <w:sz w:val="21"/>
                <w:szCs w:val="21"/>
              </w:rPr>
              <w:t>锅炉受热面管排与集箱管道对口前</w:t>
            </w:r>
            <w:r>
              <w:rPr>
                <w:rFonts w:hint="eastAsia"/>
                <w:sz w:val="21"/>
                <w:szCs w:val="21"/>
              </w:rPr>
              <w:t>未全面检查，集箱内不清洁，扣0.25分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D2114">
            <w:pPr>
              <w:jc w:val="center"/>
              <w:textAlignment w:val="center"/>
              <w:rPr>
                <w:rFonts w:hint="eastAsia" w:cs="宋体"/>
                <w:kern w:val="0"/>
                <w:sz w:val="21"/>
                <w:szCs w:val="21"/>
                <w:lang w:bidi="ar"/>
              </w:rPr>
            </w:pPr>
            <w:r>
              <w:rPr>
                <w:rFonts w:hint="eastAsia" w:cs="宋体"/>
                <w:kern w:val="0"/>
                <w:sz w:val="21"/>
                <w:szCs w:val="21"/>
                <w:lang w:bidi="ar"/>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AD8E1">
            <w:pPr>
              <w:jc w:val="left"/>
              <w:textAlignment w:val="center"/>
              <w:rPr>
                <w:rFonts w:hint="eastAsia" w:cs="宋体"/>
                <w:kern w:val="0"/>
                <w:sz w:val="21"/>
                <w:szCs w:val="21"/>
                <w:lang w:bidi="ar"/>
              </w:rPr>
            </w:pPr>
          </w:p>
        </w:tc>
      </w:tr>
      <w:tr w14:paraId="405660F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AE506">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119A1">
            <w:pPr>
              <w:jc w:val="left"/>
              <w:textAlignment w:val="center"/>
              <w:rPr>
                <w:rFonts w:hint="eastAsia" w:cs="宋体"/>
                <w:kern w:val="0"/>
                <w:sz w:val="21"/>
                <w:szCs w:val="21"/>
                <w:lang w:bidi="ar"/>
              </w:rPr>
            </w:pPr>
            <w:r>
              <w:rPr>
                <w:rFonts w:hint="eastAsia"/>
                <w:sz w:val="21"/>
                <w:szCs w:val="21"/>
              </w:rPr>
              <w:t>合理确定机组循环水量和冷却倍率，减少冷却塔的损失，降低补给水用量。</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11878">
            <w:pPr>
              <w:jc w:val="left"/>
              <w:textAlignment w:val="center"/>
              <w:rPr>
                <w:rFonts w:hint="eastAsia" w:cs="宋体"/>
                <w:kern w:val="0"/>
                <w:sz w:val="21"/>
                <w:szCs w:val="21"/>
                <w:lang w:bidi="ar"/>
              </w:rPr>
            </w:pPr>
            <w:r>
              <w:rPr>
                <w:rFonts w:hint="eastAsia"/>
                <w:sz w:val="21"/>
                <w:szCs w:val="21"/>
              </w:rPr>
              <w:t>机组循环水量和冷却倍率制定不合理，扣0.25分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48B69">
            <w:pPr>
              <w:jc w:val="center"/>
              <w:textAlignment w:val="center"/>
              <w:rPr>
                <w:rFonts w:hint="eastAsia" w:cs="宋体"/>
                <w:kern w:val="0"/>
                <w:sz w:val="21"/>
                <w:szCs w:val="21"/>
                <w:lang w:bidi="ar"/>
              </w:rPr>
            </w:pPr>
            <w:r>
              <w:rPr>
                <w:rFonts w:hint="eastAsia" w:cs="宋体"/>
                <w:kern w:val="0"/>
                <w:sz w:val="21"/>
                <w:szCs w:val="21"/>
                <w:lang w:bidi="ar"/>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5107D">
            <w:pPr>
              <w:jc w:val="left"/>
              <w:textAlignment w:val="center"/>
              <w:rPr>
                <w:rFonts w:hint="eastAsia" w:cs="宋体"/>
                <w:kern w:val="0"/>
                <w:sz w:val="21"/>
                <w:szCs w:val="21"/>
                <w:lang w:bidi="ar"/>
              </w:rPr>
            </w:pPr>
          </w:p>
        </w:tc>
      </w:tr>
      <w:tr w14:paraId="592822B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3414B">
            <w:pPr>
              <w:jc w:val="center"/>
              <w:textAlignment w:val="center"/>
              <w:rPr>
                <w:rFonts w:hint="eastAsia" w:cs="宋体"/>
                <w:kern w:val="0"/>
                <w:sz w:val="21"/>
                <w:szCs w:val="21"/>
                <w:lang w:bidi="ar"/>
              </w:rPr>
            </w:pPr>
            <w:r>
              <w:rPr>
                <w:rFonts w:hint="eastAsia" w:cs="宋体"/>
                <w:kern w:val="0"/>
                <w:sz w:val="21"/>
                <w:szCs w:val="21"/>
                <w:lang w:bidi="ar"/>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CB85B">
            <w:pPr>
              <w:jc w:val="left"/>
              <w:textAlignment w:val="center"/>
              <w:rPr>
                <w:rFonts w:hint="eastAsia" w:cs="宋体"/>
                <w:kern w:val="0"/>
                <w:sz w:val="21"/>
                <w:szCs w:val="21"/>
                <w:lang w:bidi="ar"/>
              </w:rPr>
            </w:pPr>
            <w:r>
              <w:rPr>
                <w:sz w:val="21"/>
                <w:szCs w:val="21"/>
              </w:rPr>
              <w:t>化学制水产生的废水设置回收利用设施。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95A4B">
            <w:pPr>
              <w:jc w:val="left"/>
              <w:textAlignment w:val="center"/>
              <w:rPr>
                <w:rFonts w:hint="eastAsia" w:cs="宋体"/>
                <w:kern w:val="0"/>
                <w:sz w:val="21"/>
                <w:szCs w:val="21"/>
                <w:lang w:bidi="ar"/>
              </w:rPr>
            </w:pPr>
            <w:r>
              <w:rPr>
                <w:sz w:val="21"/>
                <w:szCs w:val="21"/>
              </w:rPr>
              <w:t>化学制水产生的废水</w:t>
            </w:r>
            <w:r>
              <w:rPr>
                <w:rFonts w:hint="eastAsia"/>
                <w:sz w:val="21"/>
                <w:szCs w:val="21"/>
              </w:rPr>
              <w:t>未</w:t>
            </w:r>
            <w:r>
              <w:rPr>
                <w:sz w:val="21"/>
                <w:szCs w:val="21"/>
              </w:rPr>
              <w:t>设置回收利用设施</w:t>
            </w:r>
            <w:r>
              <w:rPr>
                <w:rFonts w:hint="eastAsia"/>
                <w:sz w:val="21"/>
                <w:szCs w:val="21"/>
              </w:rPr>
              <w:t>，扣0.25分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9C3EA">
            <w:pPr>
              <w:jc w:val="center"/>
              <w:textAlignment w:val="center"/>
              <w:rPr>
                <w:rFonts w:hint="eastAsia" w:cs="宋体"/>
                <w:kern w:val="0"/>
                <w:sz w:val="21"/>
                <w:szCs w:val="21"/>
                <w:lang w:bidi="ar"/>
              </w:rPr>
            </w:pPr>
            <w:r>
              <w:rPr>
                <w:rFonts w:hint="eastAsia" w:cs="宋体"/>
                <w:kern w:val="0"/>
                <w:sz w:val="21"/>
                <w:szCs w:val="21"/>
                <w:lang w:bidi="ar"/>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DCB96">
            <w:pPr>
              <w:jc w:val="left"/>
              <w:textAlignment w:val="center"/>
              <w:rPr>
                <w:rFonts w:hint="eastAsia" w:cs="宋体"/>
                <w:kern w:val="0"/>
                <w:sz w:val="21"/>
                <w:szCs w:val="21"/>
                <w:lang w:bidi="ar"/>
              </w:rPr>
            </w:pPr>
          </w:p>
        </w:tc>
      </w:tr>
      <w:tr w14:paraId="4DD73B5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7BB09">
            <w:pPr>
              <w:jc w:val="center"/>
              <w:textAlignment w:val="center"/>
              <w:rPr>
                <w:rFonts w:hint="eastAsia" w:cs="宋体"/>
                <w:kern w:val="0"/>
                <w:sz w:val="21"/>
                <w:szCs w:val="21"/>
                <w:lang w:bidi="ar"/>
              </w:rPr>
            </w:pPr>
            <w:r>
              <w:rPr>
                <w:rFonts w:hint="eastAsia" w:cs="宋体"/>
                <w:kern w:val="0"/>
                <w:sz w:val="21"/>
                <w:szCs w:val="21"/>
                <w:lang w:bidi="ar"/>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F4733">
            <w:pPr>
              <w:jc w:val="left"/>
              <w:textAlignment w:val="center"/>
              <w:rPr>
                <w:rFonts w:hint="eastAsia" w:cs="宋体"/>
                <w:kern w:val="0"/>
                <w:sz w:val="21"/>
                <w:szCs w:val="21"/>
                <w:lang w:bidi="ar"/>
              </w:rPr>
            </w:pPr>
            <w:r>
              <w:rPr>
                <w:rFonts w:hint="eastAsia"/>
                <w:sz w:val="21"/>
                <w:szCs w:val="21"/>
              </w:rPr>
              <w:t>试运期间制定针对循环水系统、主厂房辅机系统、输煤除灰渣用水系统、原水预处理系统等的节水措施。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B3DF9">
            <w:pPr>
              <w:jc w:val="left"/>
              <w:textAlignment w:val="center"/>
              <w:rPr>
                <w:rFonts w:hint="eastAsia" w:cs="宋体"/>
                <w:kern w:val="0"/>
                <w:sz w:val="21"/>
                <w:szCs w:val="21"/>
                <w:lang w:bidi="ar"/>
              </w:rPr>
            </w:pPr>
            <w:r>
              <w:rPr>
                <w:rFonts w:hint="eastAsia" w:cs="宋体"/>
                <w:kern w:val="0"/>
                <w:sz w:val="21"/>
                <w:szCs w:val="21"/>
                <w:lang w:bidi="ar"/>
              </w:rPr>
              <w:t>试运期间节水措施不到位，扣0.25分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5807A">
            <w:pPr>
              <w:jc w:val="center"/>
              <w:textAlignment w:val="center"/>
              <w:rPr>
                <w:rFonts w:hint="eastAsia" w:cs="宋体"/>
                <w:kern w:val="0"/>
                <w:sz w:val="21"/>
                <w:szCs w:val="21"/>
                <w:lang w:bidi="ar"/>
              </w:rPr>
            </w:pPr>
            <w:r>
              <w:rPr>
                <w:rFonts w:hint="eastAsia" w:cs="宋体"/>
                <w:kern w:val="0"/>
                <w:sz w:val="21"/>
                <w:szCs w:val="21"/>
                <w:lang w:bidi="ar"/>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EAE72">
            <w:pPr>
              <w:jc w:val="left"/>
              <w:textAlignment w:val="center"/>
              <w:rPr>
                <w:rFonts w:hint="eastAsia" w:cs="宋体"/>
                <w:kern w:val="0"/>
                <w:sz w:val="21"/>
                <w:szCs w:val="21"/>
                <w:lang w:bidi="ar"/>
              </w:rPr>
            </w:pPr>
          </w:p>
        </w:tc>
      </w:tr>
      <w:tr w14:paraId="7E1232E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CFA22">
            <w:pPr>
              <w:jc w:val="center"/>
              <w:textAlignment w:val="center"/>
              <w:rPr>
                <w:rFonts w:hint="eastAsia" w:cs="宋体"/>
                <w:kern w:val="0"/>
                <w:sz w:val="21"/>
                <w:szCs w:val="21"/>
                <w:lang w:bidi="ar"/>
              </w:rPr>
            </w:pPr>
            <w:r>
              <w:rPr>
                <w:rFonts w:hint="eastAsia" w:cs="宋体"/>
                <w:kern w:val="0"/>
                <w:sz w:val="21"/>
                <w:szCs w:val="21"/>
                <w:lang w:bidi="ar"/>
              </w:rPr>
              <w:t xml:space="preserve">2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4CFA7">
            <w:pPr>
              <w:jc w:val="left"/>
              <w:textAlignment w:val="center"/>
              <w:rPr>
                <w:rFonts w:hint="eastAsia" w:cs="宋体"/>
                <w:kern w:val="0"/>
                <w:sz w:val="21"/>
                <w:szCs w:val="21"/>
                <w:lang w:bidi="ar"/>
              </w:rPr>
            </w:pPr>
            <w:r>
              <w:rPr>
                <w:rFonts w:hint="eastAsia" w:cs="宋体"/>
                <w:kern w:val="0"/>
                <w:sz w:val="21"/>
                <w:szCs w:val="21"/>
                <w:lang w:bidi="ar"/>
              </w:rPr>
              <w:t>燃气蒸汽联合循环发电工程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F29AF">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F0DB1">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D2787">
            <w:pPr>
              <w:jc w:val="left"/>
              <w:textAlignment w:val="center"/>
              <w:rPr>
                <w:rFonts w:hint="eastAsia" w:cs="宋体"/>
                <w:kern w:val="0"/>
                <w:sz w:val="21"/>
                <w:szCs w:val="21"/>
                <w:lang w:bidi="ar"/>
              </w:rPr>
            </w:pPr>
          </w:p>
        </w:tc>
      </w:tr>
      <w:tr w14:paraId="7187E21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84926">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B004F">
            <w:pPr>
              <w:jc w:val="left"/>
              <w:textAlignment w:val="center"/>
              <w:rPr>
                <w:rFonts w:hint="eastAsia" w:cs="宋体"/>
                <w:kern w:val="0"/>
                <w:sz w:val="21"/>
                <w:szCs w:val="21"/>
                <w:lang w:bidi="ar"/>
              </w:rPr>
            </w:pPr>
            <w:r>
              <w:rPr>
                <w:rFonts w:hint="eastAsia"/>
                <w:sz w:val="21"/>
                <w:szCs w:val="21"/>
              </w:rPr>
              <w:t>执行燃煤发电工程</w:t>
            </w:r>
            <w:r>
              <w:rPr>
                <w:sz w:val="21"/>
                <w:szCs w:val="21"/>
              </w:rPr>
              <w:t>1）-5）条。</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7B7CF">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34342">
            <w:pPr>
              <w:jc w:val="center"/>
              <w:textAlignment w:val="center"/>
              <w:rPr>
                <w:rFonts w:hint="eastAsia" w:cs="宋体"/>
                <w:kern w:val="0"/>
                <w:sz w:val="21"/>
                <w:szCs w:val="21"/>
                <w:lang w:bidi="ar"/>
              </w:rPr>
            </w:pPr>
            <w:r>
              <w:rPr>
                <w:rFonts w:hint="eastAsia" w:cs="宋体"/>
                <w:kern w:val="0"/>
                <w:sz w:val="21"/>
                <w:szCs w:val="21"/>
                <w:lang w:bidi="ar"/>
              </w:rPr>
              <w:t>1.75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82A9E">
            <w:pPr>
              <w:jc w:val="left"/>
              <w:textAlignment w:val="center"/>
              <w:rPr>
                <w:rFonts w:hint="eastAsia" w:cs="宋体"/>
                <w:kern w:val="0"/>
                <w:sz w:val="21"/>
                <w:szCs w:val="21"/>
                <w:lang w:bidi="ar"/>
              </w:rPr>
            </w:pPr>
          </w:p>
        </w:tc>
      </w:tr>
      <w:tr w14:paraId="6A73213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A4FE6">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7EA9F">
            <w:pPr>
              <w:jc w:val="left"/>
              <w:textAlignment w:val="center"/>
              <w:rPr>
                <w:rFonts w:hint="eastAsia" w:cs="宋体"/>
                <w:kern w:val="0"/>
                <w:sz w:val="21"/>
                <w:szCs w:val="21"/>
                <w:lang w:bidi="ar"/>
              </w:rPr>
            </w:pPr>
            <w:r>
              <w:rPr>
                <w:sz w:val="21"/>
                <w:szCs w:val="21"/>
              </w:rPr>
              <w:t>燃气蒸汽联合循环机组天然气管道试压</w:t>
            </w:r>
            <w:r>
              <w:rPr>
                <w:rFonts w:hint="eastAsia"/>
                <w:sz w:val="21"/>
                <w:szCs w:val="21"/>
              </w:rPr>
              <w:t>用水应设施废水回收处理装置，做到废水循环利用。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094DA">
            <w:pPr>
              <w:jc w:val="left"/>
              <w:textAlignment w:val="center"/>
              <w:rPr>
                <w:rFonts w:hint="eastAsia" w:cs="宋体"/>
                <w:kern w:val="0"/>
                <w:sz w:val="21"/>
                <w:szCs w:val="21"/>
                <w:lang w:bidi="ar"/>
              </w:rPr>
            </w:pPr>
            <w:r>
              <w:rPr>
                <w:sz w:val="21"/>
                <w:szCs w:val="21"/>
              </w:rPr>
              <w:t>天然气管道试压</w:t>
            </w:r>
            <w:r>
              <w:rPr>
                <w:rFonts w:hint="eastAsia"/>
                <w:sz w:val="21"/>
                <w:szCs w:val="21"/>
              </w:rPr>
              <w:t>用水未设施废水回收处理装置，扣0.25分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B46C9">
            <w:pPr>
              <w:jc w:val="center"/>
              <w:textAlignment w:val="center"/>
              <w:rPr>
                <w:rFonts w:hint="eastAsia" w:cs="宋体"/>
                <w:kern w:val="0"/>
                <w:sz w:val="21"/>
                <w:szCs w:val="21"/>
                <w:lang w:bidi="ar"/>
              </w:rPr>
            </w:pPr>
            <w:r>
              <w:rPr>
                <w:rFonts w:hint="eastAsia" w:cs="宋体"/>
                <w:kern w:val="0"/>
                <w:sz w:val="21"/>
                <w:szCs w:val="21"/>
                <w:lang w:bidi="ar"/>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773D2">
            <w:pPr>
              <w:jc w:val="left"/>
              <w:textAlignment w:val="center"/>
              <w:rPr>
                <w:rFonts w:hint="eastAsia" w:cs="宋体"/>
                <w:kern w:val="0"/>
                <w:sz w:val="21"/>
                <w:szCs w:val="21"/>
                <w:lang w:bidi="ar"/>
              </w:rPr>
            </w:pPr>
          </w:p>
        </w:tc>
      </w:tr>
      <w:tr w14:paraId="5C643D1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E4AB1">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450FA">
            <w:pPr>
              <w:jc w:val="left"/>
              <w:textAlignment w:val="center"/>
              <w:rPr>
                <w:rFonts w:hint="eastAsia" w:cs="宋体"/>
                <w:kern w:val="0"/>
                <w:sz w:val="21"/>
                <w:szCs w:val="21"/>
                <w:lang w:bidi="ar"/>
              </w:rPr>
            </w:pPr>
            <w:r>
              <w:rPr>
                <w:rFonts w:hint="eastAsia" w:cs="宋体"/>
                <w:kern w:val="0"/>
                <w:sz w:val="21"/>
                <w:szCs w:val="21"/>
                <w:lang w:bidi="ar"/>
              </w:rPr>
              <w:t>垃圾焚烧发电工程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35724">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2F57D">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0AE86">
            <w:pPr>
              <w:jc w:val="left"/>
              <w:textAlignment w:val="center"/>
              <w:rPr>
                <w:rFonts w:hint="eastAsia" w:cs="宋体"/>
                <w:kern w:val="0"/>
                <w:sz w:val="21"/>
                <w:szCs w:val="21"/>
                <w:lang w:bidi="ar"/>
              </w:rPr>
            </w:pPr>
          </w:p>
        </w:tc>
      </w:tr>
      <w:tr w14:paraId="6DA288B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8A9A6">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0F64E">
            <w:pPr>
              <w:jc w:val="left"/>
              <w:textAlignment w:val="center"/>
              <w:rPr>
                <w:rFonts w:hint="eastAsia" w:cs="宋体"/>
                <w:kern w:val="0"/>
                <w:sz w:val="21"/>
                <w:szCs w:val="21"/>
                <w:lang w:bidi="ar"/>
              </w:rPr>
            </w:pPr>
            <w:r>
              <w:rPr>
                <w:rFonts w:hint="eastAsia"/>
                <w:sz w:val="21"/>
                <w:szCs w:val="21"/>
              </w:rPr>
              <w:t>执行燃煤发电工程</w:t>
            </w:r>
            <w:r>
              <w:rPr>
                <w:sz w:val="21"/>
                <w:szCs w:val="21"/>
              </w:rPr>
              <w:t>1）-5）条。</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60698">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7E397">
            <w:pPr>
              <w:jc w:val="center"/>
              <w:textAlignment w:val="center"/>
              <w:rPr>
                <w:rFonts w:hint="eastAsia" w:cs="宋体"/>
                <w:kern w:val="0"/>
                <w:sz w:val="21"/>
                <w:szCs w:val="21"/>
                <w:lang w:bidi="ar"/>
              </w:rPr>
            </w:pPr>
            <w:r>
              <w:rPr>
                <w:rFonts w:hint="eastAsia" w:cs="宋体"/>
                <w:kern w:val="0"/>
                <w:sz w:val="21"/>
                <w:szCs w:val="21"/>
                <w:lang w:bidi="ar"/>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2E0AF">
            <w:pPr>
              <w:jc w:val="left"/>
              <w:textAlignment w:val="center"/>
              <w:rPr>
                <w:rFonts w:hint="eastAsia" w:cs="宋体"/>
                <w:kern w:val="0"/>
                <w:sz w:val="21"/>
                <w:szCs w:val="21"/>
                <w:lang w:bidi="ar"/>
              </w:rPr>
            </w:pPr>
          </w:p>
        </w:tc>
      </w:tr>
      <w:tr w14:paraId="64CF4833">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2D674">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9E632">
            <w:pPr>
              <w:jc w:val="left"/>
              <w:textAlignment w:val="center"/>
              <w:rPr>
                <w:rFonts w:hint="eastAsia" w:cs="宋体"/>
                <w:kern w:val="0"/>
                <w:sz w:val="21"/>
                <w:szCs w:val="21"/>
                <w:lang w:bidi="ar"/>
              </w:rPr>
            </w:pPr>
            <w:r>
              <w:rPr>
                <w:rFonts w:hint="eastAsia" w:cs="宋体"/>
                <w:kern w:val="0"/>
                <w:sz w:val="21"/>
                <w:szCs w:val="21"/>
                <w:lang w:bidi="ar"/>
              </w:rPr>
              <w:t>生物质发电工程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10600">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FEED0">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97FF8">
            <w:pPr>
              <w:jc w:val="left"/>
              <w:textAlignment w:val="center"/>
              <w:rPr>
                <w:rFonts w:hint="eastAsia" w:cs="宋体"/>
                <w:kern w:val="0"/>
                <w:sz w:val="21"/>
                <w:szCs w:val="21"/>
                <w:lang w:bidi="ar"/>
              </w:rPr>
            </w:pPr>
          </w:p>
        </w:tc>
      </w:tr>
      <w:tr w14:paraId="7D249A5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1B712">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938FB">
            <w:pPr>
              <w:jc w:val="left"/>
              <w:textAlignment w:val="center"/>
              <w:rPr>
                <w:rFonts w:hint="eastAsia" w:cs="宋体"/>
                <w:kern w:val="0"/>
                <w:sz w:val="21"/>
                <w:szCs w:val="21"/>
                <w:lang w:bidi="ar"/>
              </w:rPr>
            </w:pPr>
            <w:r>
              <w:rPr>
                <w:rFonts w:hint="eastAsia"/>
                <w:sz w:val="21"/>
                <w:szCs w:val="21"/>
              </w:rPr>
              <w:t>执行燃煤发电工程</w:t>
            </w:r>
            <w:r>
              <w:rPr>
                <w:sz w:val="21"/>
                <w:szCs w:val="21"/>
              </w:rPr>
              <w:t>1）-5）条。</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BD060">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5A887">
            <w:pPr>
              <w:jc w:val="center"/>
              <w:textAlignment w:val="center"/>
              <w:rPr>
                <w:rFonts w:hint="eastAsia" w:cs="宋体"/>
                <w:kern w:val="0"/>
                <w:sz w:val="21"/>
                <w:szCs w:val="21"/>
                <w:lang w:bidi="ar"/>
              </w:rPr>
            </w:pPr>
            <w:r>
              <w:rPr>
                <w:rFonts w:hint="eastAsia" w:cs="宋体"/>
                <w:kern w:val="0"/>
                <w:sz w:val="21"/>
                <w:szCs w:val="21"/>
                <w:lang w:bidi="ar"/>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EF89D">
            <w:pPr>
              <w:jc w:val="left"/>
              <w:textAlignment w:val="center"/>
              <w:rPr>
                <w:rFonts w:hint="eastAsia" w:cs="宋体"/>
                <w:kern w:val="0"/>
                <w:sz w:val="21"/>
                <w:szCs w:val="21"/>
                <w:lang w:bidi="ar"/>
              </w:rPr>
            </w:pPr>
          </w:p>
        </w:tc>
      </w:tr>
      <w:tr w14:paraId="12AD1CE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2F852">
            <w:pPr>
              <w:jc w:val="center"/>
              <w:textAlignment w:val="center"/>
              <w:rPr>
                <w:rFonts w:hint="eastAsia" w:cs="宋体"/>
                <w:kern w:val="0"/>
                <w:sz w:val="21"/>
                <w:szCs w:val="21"/>
                <w:lang w:bidi="ar"/>
              </w:rPr>
            </w:pPr>
            <w:r>
              <w:rPr>
                <w:rFonts w:hint="eastAsia" w:cs="宋体"/>
                <w:kern w:val="0"/>
                <w:sz w:val="21"/>
                <w:szCs w:val="21"/>
                <w:lang w:bidi="ar"/>
              </w:rPr>
              <w:t xml:space="preserve">6.3.17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D121F">
            <w:pPr>
              <w:jc w:val="left"/>
              <w:textAlignment w:val="center"/>
              <w:rPr>
                <w:rFonts w:hint="eastAsia" w:cs="宋体"/>
                <w:kern w:val="0"/>
                <w:sz w:val="21"/>
                <w:szCs w:val="21"/>
                <w:lang w:bidi="ar"/>
              </w:rPr>
            </w:pPr>
            <w:r>
              <w:rPr>
                <w:rFonts w:hint="eastAsia" w:cs="宋体"/>
                <w:kern w:val="0"/>
                <w:sz w:val="21"/>
                <w:szCs w:val="21"/>
                <w:lang w:bidi="ar"/>
              </w:rPr>
              <w:t>水力发电（含抽水蓄能）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CE8CF">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C223D">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A8494">
            <w:pPr>
              <w:jc w:val="left"/>
              <w:textAlignment w:val="center"/>
              <w:rPr>
                <w:rFonts w:hint="eastAsia" w:cs="宋体"/>
                <w:kern w:val="0"/>
                <w:sz w:val="21"/>
                <w:szCs w:val="21"/>
                <w:lang w:bidi="ar"/>
              </w:rPr>
            </w:pPr>
          </w:p>
        </w:tc>
      </w:tr>
      <w:tr w14:paraId="5275C03D">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981A3">
            <w:pPr>
              <w:jc w:val="center"/>
              <w:textAlignment w:val="center"/>
              <w:rPr>
                <w:rFonts w:hint="eastAsia" w:cs="宋体"/>
                <w:kern w:val="0"/>
                <w:sz w:val="21"/>
                <w:szCs w:val="21"/>
                <w:lang w:bidi="ar"/>
              </w:rPr>
            </w:pPr>
            <w:r>
              <w:rPr>
                <w:rFonts w:hint="eastAsia" w:cs="宋体"/>
                <w:kern w:val="0"/>
                <w:sz w:val="21"/>
                <w:szCs w:val="21"/>
                <w:lang w:bidi="ar"/>
              </w:rPr>
              <w:t>1</w:t>
            </w:r>
            <w:r>
              <w:rPr>
                <w:rFonts w:cs="宋体"/>
                <w:kern w:val="0"/>
                <w:sz w:val="21"/>
                <w:szCs w:val="21"/>
                <w:lang w:bidi="ar"/>
              </w:rPr>
              <w:t>)</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F0FE6">
            <w:pPr>
              <w:jc w:val="left"/>
              <w:textAlignment w:val="center"/>
              <w:rPr>
                <w:rFonts w:hint="eastAsia" w:cs="宋体"/>
                <w:kern w:val="0"/>
                <w:sz w:val="21"/>
                <w:szCs w:val="21"/>
                <w:lang w:bidi="ar"/>
              </w:rPr>
            </w:pPr>
            <w:r>
              <w:rPr>
                <w:rFonts w:hint="eastAsia" w:cs="宋体"/>
                <w:bCs/>
                <w:kern w:val="0"/>
                <w:sz w:val="21"/>
                <w:szCs w:val="21"/>
                <w:lang w:bidi="ar"/>
              </w:rPr>
              <w:t>工程防渗系统运行效果良好，减少水资源浪费，渗漏量小于设计预警值，领先国内同期工程。</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2381C18C">
            <w:pPr>
              <w:jc w:val="left"/>
              <w:textAlignment w:val="center"/>
              <w:rPr>
                <w:rFonts w:hint="eastAsia" w:cs="宋体"/>
                <w:bCs/>
                <w:kern w:val="0"/>
                <w:sz w:val="21"/>
                <w:szCs w:val="21"/>
                <w:lang w:bidi="ar"/>
              </w:rPr>
            </w:pPr>
            <w:r>
              <w:rPr>
                <w:rFonts w:hint="eastAsia" w:cs="宋体"/>
                <w:bCs/>
                <w:kern w:val="0"/>
                <w:sz w:val="21"/>
                <w:szCs w:val="21"/>
                <w:lang w:bidi="ar"/>
              </w:rPr>
              <w:t>每项子目实得分根据现场实际情况按照标准分乘以相应系数进行评分：</w:t>
            </w:r>
          </w:p>
          <w:p w14:paraId="43EAED47">
            <w:pPr>
              <w:jc w:val="left"/>
              <w:textAlignment w:val="center"/>
              <w:rPr>
                <w:rFonts w:hint="eastAsia" w:cs="宋体"/>
                <w:bCs/>
                <w:kern w:val="0"/>
                <w:sz w:val="21"/>
                <w:szCs w:val="21"/>
                <w:lang w:bidi="ar"/>
              </w:rPr>
            </w:pPr>
            <w:r>
              <w:rPr>
                <w:rFonts w:hint="eastAsia" w:cs="宋体"/>
                <w:bCs/>
                <w:kern w:val="0"/>
                <w:sz w:val="21"/>
                <w:szCs w:val="21"/>
                <w:lang w:bidi="ar"/>
              </w:rPr>
              <w:t>1、措施到位，满足评价指标要求系数为1；</w:t>
            </w:r>
          </w:p>
          <w:p w14:paraId="269D9955">
            <w:pPr>
              <w:jc w:val="left"/>
              <w:textAlignment w:val="center"/>
              <w:rPr>
                <w:rFonts w:hint="eastAsia" w:cs="宋体"/>
                <w:bCs/>
                <w:kern w:val="0"/>
                <w:sz w:val="21"/>
                <w:szCs w:val="21"/>
                <w:lang w:bidi="ar"/>
              </w:rPr>
            </w:pPr>
            <w:r>
              <w:rPr>
                <w:rFonts w:hint="eastAsia" w:cs="宋体"/>
                <w:bCs/>
                <w:kern w:val="0"/>
                <w:sz w:val="21"/>
                <w:szCs w:val="21"/>
                <w:lang w:bidi="ar"/>
              </w:rPr>
              <w:t>2、措施到位，基本满足评价指标要求系数按照0.5~0.9酌情选取；</w:t>
            </w:r>
          </w:p>
          <w:p w14:paraId="071011DF">
            <w:pPr>
              <w:jc w:val="left"/>
              <w:textAlignment w:val="center"/>
              <w:rPr>
                <w:rFonts w:hint="eastAsia" w:cs="宋体"/>
                <w:kern w:val="0"/>
                <w:sz w:val="21"/>
                <w:szCs w:val="21"/>
                <w:lang w:bidi="ar"/>
              </w:rPr>
            </w:pPr>
            <w:r>
              <w:rPr>
                <w:rFonts w:hint="eastAsia" w:cs="宋体"/>
                <w:bCs/>
                <w:kern w:val="0"/>
                <w:sz w:val="21"/>
                <w:szCs w:val="21"/>
                <w:lang w:bidi="ar"/>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A5023">
            <w:pPr>
              <w:jc w:val="center"/>
              <w:textAlignment w:val="center"/>
              <w:rPr>
                <w:rFonts w:hint="eastAsia" w:cs="宋体"/>
                <w:kern w:val="0"/>
                <w:sz w:val="21"/>
                <w:szCs w:val="21"/>
                <w:lang w:bidi="ar"/>
              </w:rPr>
            </w:pPr>
            <w:r>
              <w:rPr>
                <w:rFonts w:hint="eastAsia" w:cs="宋体"/>
                <w:bCs/>
                <w:kern w:val="0"/>
                <w:sz w:val="21"/>
                <w:szCs w:val="21"/>
                <w:lang w:bidi="ar"/>
              </w:rPr>
              <w:t>0</w:t>
            </w:r>
            <w:r>
              <w:rPr>
                <w:rFonts w:cs="宋体"/>
                <w:bCs/>
                <w:kern w:val="0"/>
                <w:sz w:val="21"/>
                <w:szCs w:val="21"/>
                <w:lang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10410">
            <w:pPr>
              <w:jc w:val="left"/>
              <w:textAlignment w:val="center"/>
              <w:rPr>
                <w:rFonts w:hint="eastAsia" w:cs="宋体"/>
                <w:kern w:val="0"/>
                <w:sz w:val="21"/>
                <w:szCs w:val="21"/>
                <w:lang w:bidi="ar"/>
              </w:rPr>
            </w:pPr>
          </w:p>
        </w:tc>
      </w:tr>
      <w:tr w14:paraId="5310A06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CC9B1">
            <w:pPr>
              <w:jc w:val="center"/>
              <w:textAlignment w:val="center"/>
              <w:rPr>
                <w:rFonts w:hint="eastAsia" w:cs="宋体"/>
                <w:kern w:val="0"/>
                <w:sz w:val="21"/>
                <w:szCs w:val="21"/>
                <w:lang w:bidi="ar"/>
              </w:rPr>
            </w:pPr>
            <w:r>
              <w:rPr>
                <w:rFonts w:cs="宋体"/>
                <w:kern w:val="0"/>
                <w:sz w:val="21"/>
                <w:szCs w:val="21"/>
                <w:lang w:bidi="ar"/>
              </w:rPr>
              <w:t>2</w:t>
            </w:r>
            <w:r>
              <w:rPr>
                <w:rFonts w:hint="eastAsia" w:cs="宋体"/>
                <w:kern w:val="0"/>
                <w:sz w:val="21"/>
                <w:szCs w:val="21"/>
                <w:lang w:bidi="ar"/>
              </w:rPr>
              <w:t>）</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24380">
            <w:pPr>
              <w:jc w:val="left"/>
              <w:textAlignment w:val="center"/>
              <w:rPr>
                <w:rFonts w:hint="eastAsia" w:cs="宋体"/>
                <w:kern w:val="0"/>
                <w:sz w:val="21"/>
                <w:szCs w:val="21"/>
                <w:lang w:bidi="ar"/>
              </w:rPr>
            </w:pPr>
            <w:r>
              <w:rPr>
                <w:rFonts w:hint="eastAsia" w:cs="宋体"/>
                <w:bCs/>
                <w:kern w:val="0"/>
                <w:sz w:val="21"/>
                <w:szCs w:val="21"/>
                <w:lang w:bidi="ar"/>
              </w:rPr>
              <w:t>水工大体积混凝土采用智能温控系统进行温度控制，减少通水量，节约水资源。</w:t>
            </w:r>
          </w:p>
        </w:tc>
        <w:tc>
          <w:tcPr>
            <w:tcW w:w="4111" w:type="dxa"/>
            <w:vMerge w:val="continue"/>
            <w:tcBorders>
              <w:left w:val="single" w:color="000000" w:sz="4" w:space="0"/>
              <w:right w:val="single" w:color="000000" w:sz="4" w:space="0"/>
            </w:tcBorders>
            <w:shd w:val="clear" w:color="auto" w:fill="auto"/>
            <w:vAlign w:val="center"/>
          </w:tcPr>
          <w:p w14:paraId="65D441D1">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DD13C">
            <w:pPr>
              <w:jc w:val="center"/>
              <w:textAlignment w:val="center"/>
              <w:rPr>
                <w:rFonts w:hint="eastAsia" w:cs="宋体"/>
                <w:kern w:val="0"/>
                <w:sz w:val="21"/>
                <w:szCs w:val="21"/>
                <w:lang w:bidi="ar"/>
              </w:rPr>
            </w:pPr>
            <w:r>
              <w:rPr>
                <w:rFonts w:hint="eastAsia" w:cs="宋体"/>
                <w:bCs/>
                <w:kern w:val="0"/>
                <w:sz w:val="21"/>
                <w:szCs w:val="21"/>
                <w:lang w:bidi="ar"/>
              </w:rPr>
              <w:t>0</w:t>
            </w:r>
            <w:r>
              <w:rPr>
                <w:rFonts w:cs="宋体"/>
                <w:bCs/>
                <w:kern w:val="0"/>
                <w:sz w:val="21"/>
                <w:szCs w:val="21"/>
                <w:lang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0AA43">
            <w:pPr>
              <w:jc w:val="left"/>
              <w:textAlignment w:val="center"/>
              <w:rPr>
                <w:rFonts w:hint="eastAsia" w:cs="宋体"/>
                <w:kern w:val="0"/>
                <w:sz w:val="21"/>
                <w:szCs w:val="21"/>
                <w:lang w:bidi="ar"/>
              </w:rPr>
            </w:pPr>
          </w:p>
        </w:tc>
      </w:tr>
      <w:tr w14:paraId="4820D6D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6AE57">
            <w:pPr>
              <w:jc w:val="center"/>
              <w:textAlignment w:val="center"/>
              <w:rPr>
                <w:rFonts w:hint="eastAsia" w:cs="宋体"/>
                <w:kern w:val="0"/>
                <w:sz w:val="21"/>
                <w:szCs w:val="21"/>
                <w:lang w:bidi="ar"/>
              </w:rPr>
            </w:pPr>
            <w:r>
              <w:rPr>
                <w:rFonts w:hint="eastAsia" w:cs="宋体"/>
                <w:kern w:val="0"/>
                <w:sz w:val="21"/>
                <w:szCs w:val="21"/>
                <w:lang w:bidi="ar"/>
              </w:rPr>
              <w:t>3</w:t>
            </w:r>
            <w:r>
              <w:rPr>
                <w:rFonts w:cs="宋体"/>
                <w:kern w:val="0"/>
                <w:sz w:val="21"/>
                <w:szCs w:val="21"/>
                <w:lang w:bidi="ar"/>
              </w:rPr>
              <w:t>)</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B236A">
            <w:pPr>
              <w:jc w:val="left"/>
              <w:textAlignment w:val="center"/>
              <w:rPr>
                <w:rFonts w:hint="eastAsia" w:cs="宋体"/>
                <w:kern w:val="0"/>
                <w:sz w:val="21"/>
                <w:szCs w:val="21"/>
                <w:lang w:bidi="ar"/>
              </w:rPr>
            </w:pPr>
            <w:r>
              <w:rPr>
                <w:rFonts w:hint="eastAsia" w:cs="宋体"/>
                <w:bCs/>
                <w:kern w:val="0"/>
                <w:sz w:val="21"/>
                <w:szCs w:val="21"/>
                <w:lang w:bidi="ar"/>
              </w:rPr>
              <w:t>砂石加工系统工程废水处理工艺先进，处理效果良好，处理后的清水用于路面洒水、生产降尘等。</w:t>
            </w:r>
          </w:p>
        </w:tc>
        <w:tc>
          <w:tcPr>
            <w:tcW w:w="4111" w:type="dxa"/>
            <w:vMerge w:val="continue"/>
            <w:tcBorders>
              <w:left w:val="single" w:color="000000" w:sz="4" w:space="0"/>
              <w:right w:val="single" w:color="000000" w:sz="4" w:space="0"/>
            </w:tcBorders>
            <w:shd w:val="clear" w:color="auto" w:fill="auto"/>
            <w:vAlign w:val="center"/>
          </w:tcPr>
          <w:p w14:paraId="194A4AE3">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7B4D7">
            <w:pPr>
              <w:jc w:val="center"/>
              <w:textAlignment w:val="center"/>
              <w:rPr>
                <w:rFonts w:hint="eastAsia" w:cs="宋体"/>
                <w:kern w:val="0"/>
                <w:sz w:val="21"/>
                <w:szCs w:val="21"/>
                <w:lang w:bidi="ar"/>
              </w:rPr>
            </w:pPr>
            <w:r>
              <w:rPr>
                <w:rFonts w:hint="eastAsia" w:cs="宋体"/>
                <w:bCs/>
                <w:kern w:val="0"/>
                <w:sz w:val="21"/>
                <w:szCs w:val="21"/>
                <w:lang w:bidi="ar"/>
              </w:rPr>
              <w:t>0</w:t>
            </w:r>
            <w:r>
              <w:rPr>
                <w:rFonts w:cs="宋体"/>
                <w:bCs/>
                <w:kern w:val="0"/>
                <w:sz w:val="21"/>
                <w:szCs w:val="21"/>
                <w:lang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175CB">
            <w:pPr>
              <w:jc w:val="left"/>
              <w:textAlignment w:val="center"/>
              <w:rPr>
                <w:rFonts w:hint="eastAsia" w:cs="宋体"/>
                <w:kern w:val="0"/>
                <w:sz w:val="21"/>
                <w:szCs w:val="21"/>
                <w:lang w:bidi="ar"/>
              </w:rPr>
            </w:pPr>
          </w:p>
        </w:tc>
      </w:tr>
      <w:tr w14:paraId="60E52E7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EFE1A">
            <w:pPr>
              <w:jc w:val="center"/>
              <w:textAlignment w:val="center"/>
              <w:rPr>
                <w:rFonts w:hint="eastAsia" w:cs="宋体"/>
                <w:kern w:val="0"/>
                <w:sz w:val="21"/>
                <w:szCs w:val="21"/>
                <w:lang w:bidi="ar"/>
              </w:rPr>
            </w:pPr>
            <w:r>
              <w:rPr>
                <w:rFonts w:hint="eastAsia" w:cs="宋体"/>
                <w:kern w:val="0"/>
                <w:sz w:val="21"/>
                <w:szCs w:val="21"/>
                <w:lang w:bidi="ar"/>
              </w:rPr>
              <w:t>4</w:t>
            </w:r>
            <w:r>
              <w:rPr>
                <w:rFonts w:cs="宋体"/>
                <w:kern w:val="0"/>
                <w:sz w:val="21"/>
                <w:szCs w:val="21"/>
                <w:lang w:bidi="ar"/>
              </w:rPr>
              <w:t>)</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6F8EC">
            <w:pPr>
              <w:jc w:val="left"/>
              <w:textAlignment w:val="center"/>
              <w:rPr>
                <w:rFonts w:hint="eastAsia" w:cs="宋体"/>
                <w:kern w:val="0"/>
                <w:sz w:val="21"/>
                <w:szCs w:val="21"/>
                <w:lang w:bidi="ar"/>
              </w:rPr>
            </w:pPr>
            <w:r>
              <w:rPr>
                <w:rFonts w:hint="eastAsia" w:cs="宋体"/>
                <w:bCs/>
                <w:kern w:val="0"/>
                <w:sz w:val="21"/>
                <w:szCs w:val="21"/>
                <w:lang w:bidi="ar"/>
              </w:rPr>
              <w:t>水工混凝土养护宜采用覆盖养护、喷淋养护等节水措施，不得采用表面漫流方式。</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5B484887">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3583A">
            <w:pPr>
              <w:jc w:val="center"/>
              <w:textAlignment w:val="center"/>
              <w:rPr>
                <w:rFonts w:hint="eastAsia" w:cs="宋体"/>
                <w:kern w:val="0"/>
                <w:sz w:val="21"/>
                <w:szCs w:val="21"/>
                <w:lang w:bidi="ar"/>
              </w:rPr>
            </w:pPr>
            <w:r>
              <w:rPr>
                <w:rFonts w:hint="eastAsia" w:cs="宋体"/>
                <w:bCs/>
                <w:kern w:val="0"/>
                <w:sz w:val="21"/>
                <w:szCs w:val="21"/>
                <w:lang w:bidi="ar"/>
              </w:rPr>
              <w:t>0</w:t>
            </w:r>
            <w:r>
              <w:rPr>
                <w:rFonts w:cs="宋体"/>
                <w:bCs/>
                <w:kern w:val="0"/>
                <w:sz w:val="21"/>
                <w:szCs w:val="21"/>
                <w:lang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CAC92">
            <w:pPr>
              <w:jc w:val="left"/>
              <w:textAlignment w:val="center"/>
              <w:rPr>
                <w:rFonts w:hint="eastAsia" w:cs="宋体"/>
                <w:kern w:val="0"/>
                <w:sz w:val="21"/>
                <w:szCs w:val="21"/>
                <w:lang w:bidi="ar"/>
              </w:rPr>
            </w:pPr>
          </w:p>
        </w:tc>
      </w:tr>
      <w:tr w14:paraId="549D231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535E5">
            <w:pPr>
              <w:jc w:val="center"/>
              <w:textAlignment w:val="center"/>
              <w:rPr>
                <w:rFonts w:hint="eastAsia" w:cs="Times New Roman"/>
                <w:sz w:val="21"/>
                <w:szCs w:val="21"/>
              </w:rPr>
            </w:pPr>
            <w:r>
              <w:rPr>
                <w:rFonts w:hint="eastAsia" w:cs="宋体"/>
                <w:kern w:val="0"/>
                <w:sz w:val="21"/>
                <w:szCs w:val="21"/>
                <w:lang w:bidi="ar"/>
              </w:rPr>
              <w:t xml:space="preserve">6.3.18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16CC8">
            <w:pPr>
              <w:adjustRightInd w:val="0"/>
              <w:snapToGrid w:val="0"/>
              <w:rPr>
                <w:rFonts w:hint="eastAsia" w:cs="Times New Roman"/>
                <w:sz w:val="21"/>
                <w:szCs w:val="21"/>
              </w:rPr>
            </w:pPr>
            <w:r>
              <w:rPr>
                <w:rFonts w:hint="eastAsia" w:cs="宋体"/>
                <w:kern w:val="0"/>
                <w:sz w:val="21"/>
                <w:szCs w:val="21"/>
                <w:lang w:bidi="ar"/>
              </w:rPr>
              <w:t>风力发电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6FF49">
            <w:pPr>
              <w:jc w:val="left"/>
              <w:rPr>
                <w:rFonts w:hint="eastAsia"/>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C6A0F">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DB9C9">
            <w:pPr>
              <w:jc w:val="center"/>
              <w:rPr>
                <w:rFonts w:hint="eastAsia" w:cs="宋体"/>
                <w:sz w:val="21"/>
                <w:szCs w:val="21"/>
              </w:rPr>
            </w:pPr>
          </w:p>
        </w:tc>
      </w:tr>
      <w:tr w14:paraId="0C0F2C7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73538">
            <w:pPr>
              <w:jc w:val="center"/>
              <w:textAlignment w:val="center"/>
              <w:rPr>
                <w:rFonts w:hint="eastAsia" w:cs="Times New Roman"/>
                <w:sz w:val="21"/>
                <w:szCs w:val="21"/>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16A5A">
            <w:pPr>
              <w:adjustRightInd w:val="0"/>
              <w:snapToGrid w:val="0"/>
              <w:rPr>
                <w:rFonts w:hint="eastAsia" w:cs="Times New Roman"/>
                <w:sz w:val="21"/>
                <w:szCs w:val="21"/>
              </w:rPr>
            </w:pPr>
            <w:r>
              <w:rPr>
                <w:rFonts w:hint="eastAsia" w:cs="宋体"/>
                <w:kern w:val="0"/>
                <w:sz w:val="21"/>
                <w:szCs w:val="21"/>
                <w:lang w:bidi="ar"/>
              </w:rPr>
              <w:t>陆上风电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9E3B4">
            <w:pPr>
              <w:jc w:val="left"/>
              <w:rPr>
                <w:rFonts w:hint="eastAsia"/>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11E2D">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F5726">
            <w:pPr>
              <w:jc w:val="center"/>
              <w:rPr>
                <w:rFonts w:hint="eastAsia" w:cs="宋体"/>
                <w:sz w:val="21"/>
                <w:szCs w:val="21"/>
              </w:rPr>
            </w:pPr>
          </w:p>
        </w:tc>
      </w:tr>
      <w:tr w14:paraId="0EA9ECE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A9B24">
            <w:pPr>
              <w:jc w:val="center"/>
              <w:textAlignment w:val="center"/>
              <w:rPr>
                <w:rFonts w:hint="eastAsia" w:cs="宋体"/>
                <w:kern w:val="0"/>
                <w:sz w:val="21"/>
                <w:szCs w:val="21"/>
                <w:lang w:bidi="ar"/>
              </w:rPr>
            </w:pPr>
            <w:r>
              <w:rPr>
                <w:rFonts w:hint="eastAsia" w:cs="Times New Roman"/>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E84DA">
            <w:pPr>
              <w:adjustRightInd w:val="0"/>
              <w:snapToGrid w:val="0"/>
              <w:rPr>
                <w:rFonts w:hint="eastAsia" w:cs="Times New Roman"/>
                <w:sz w:val="21"/>
                <w:szCs w:val="21"/>
              </w:rPr>
            </w:pPr>
            <w:r>
              <w:rPr>
                <w:rFonts w:hint="eastAsia" w:cs="Times New Roman"/>
                <w:sz w:val="21"/>
                <w:szCs w:val="21"/>
              </w:rPr>
              <w:t>风机基础混凝土应采用养护剂、薄膜覆盖等节水型养护措施。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B71B1">
            <w:pPr>
              <w:jc w:val="left"/>
              <w:rPr>
                <w:rFonts w:hint="eastAsia" w:cs="宋体"/>
                <w:sz w:val="21"/>
                <w:szCs w:val="21"/>
              </w:rPr>
            </w:pPr>
            <w:r>
              <w:rPr>
                <w:rFonts w:hint="eastAsia"/>
                <w:sz w:val="21"/>
                <w:szCs w:val="21"/>
              </w:rPr>
              <w:t>本项满分1分，采取有效节水措施得满分，未采取节水措施不得分。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56C9E">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4B0A7">
            <w:pPr>
              <w:jc w:val="center"/>
              <w:rPr>
                <w:rFonts w:hint="eastAsia" w:cs="宋体"/>
                <w:sz w:val="21"/>
                <w:szCs w:val="21"/>
              </w:rPr>
            </w:pPr>
          </w:p>
        </w:tc>
      </w:tr>
      <w:tr w14:paraId="37147F7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24BE3">
            <w:pPr>
              <w:jc w:val="center"/>
              <w:textAlignment w:val="center"/>
              <w:rPr>
                <w:rFonts w:hint="eastAsia" w:cs="宋体"/>
                <w:kern w:val="0"/>
                <w:sz w:val="21"/>
                <w:szCs w:val="21"/>
                <w:lang w:bidi="ar"/>
              </w:rPr>
            </w:pPr>
            <w:r>
              <w:rPr>
                <w:rFonts w:hint="eastAsia" w:cs="Times New Roman"/>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60182">
            <w:pPr>
              <w:adjustRightInd w:val="0"/>
              <w:snapToGrid w:val="0"/>
              <w:rPr>
                <w:rFonts w:hint="eastAsia" w:cs="Times New Roman"/>
                <w:sz w:val="21"/>
                <w:szCs w:val="21"/>
              </w:rPr>
            </w:pPr>
            <w:r>
              <w:rPr>
                <w:rFonts w:hint="eastAsia" w:cs="Times New Roman"/>
                <w:sz w:val="21"/>
                <w:szCs w:val="21"/>
              </w:rPr>
              <w:t>风机基础吊装平台及升压站区域布置雨水收集沟道和沉淀池，利用回收水进行现场抑尘洒水和风机基础混凝土养护水源。</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49AFD">
            <w:pPr>
              <w:jc w:val="left"/>
              <w:rPr>
                <w:rFonts w:hint="eastAsia" w:cs="宋体"/>
                <w:sz w:val="21"/>
                <w:szCs w:val="21"/>
              </w:rPr>
            </w:pPr>
            <w:r>
              <w:rPr>
                <w:rFonts w:hint="eastAsia"/>
                <w:sz w:val="21"/>
                <w:szCs w:val="21"/>
              </w:rPr>
              <w:t>本项满分1分，采取雨水收集措施得0.5分，回收水充分复用得0.5分。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AAFAE">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282E7">
            <w:pPr>
              <w:jc w:val="center"/>
              <w:rPr>
                <w:rFonts w:hint="eastAsia" w:cs="宋体"/>
                <w:sz w:val="21"/>
                <w:szCs w:val="21"/>
              </w:rPr>
            </w:pPr>
          </w:p>
        </w:tc>
      </w:tr>
      <w:tr w14:paraId="33AC5C8D">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B67EE">
            <w:pPr>
              <w:jc w:val="center"/>
              <w:textAlignment w:val="center"/>
              <w:rPr>
                <w:rFonts w:hint="eastAsia" w:cs="Times New Roman"/>
                <w:sz w:val="21"/>
                <w:szCs w:val="21"/>
              </w:rPr>
            </w:pPr>
            <w:r>
              <w:rPr>
                <w:rFonts w:hint="eastAsia" w:cs="Times New Roman"/>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ECB8F">
            <w:pPr>
              <w:adjustRightInd w:val="0"/>
              <w:snapToGrid w:val="0"/>
              <w:rPr>
                <w:rFonts w:hint="eastAsia" w:cs="Times New Roman"/>
                <w:sz w:val="21"/>
                <w:szCs w:val="21"/>
              </w:rPr>
            </w:pPr>
            <w:r>
              <w:rPr>
                <w:rFonts w:hint="eastAsia" w:cs="Times New Roman"/>
                <w:sz w:val="21"/>
                <w:szCs w:val="21"/>
              </w:rPr>
              <w:t>海上风电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40C56">
            <w:pPr>
              <w:jc w:val="left"/>
              <w:rPr>
                <w:rFonts w:hint="eastAsia"/>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9FB7C">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19F62">
            <w:pPr>
              <w:jc w:val="center"/>
              <w:rPr>
                <w:rFonts w:hint="eastAsia" w:cs="宋体"/>
                <w:sz w:val="21"/>
                <w:szCs w:val="21"/>
              </w:rPr>
            </w:pPr>
          </w:p>
        </w:tc>
      </w:tr>
      <w:tr w14:paraId="452B1A6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760EA">
            <w:pPr>
              <w:jc w:val="center"/>
              <w:textAlignment w:val="center"/>
              <w:rPr>
                <w:rFonts w:hint="eastAsia" w:cs="宋体"/>
                <w:kern w:val="0"/>
                <w:sz w:val="21"/>
                <w:szCs w:val="21"/>
                <w:lang w:bidi="ar"/>
              </w:rPr>
            </w:pPr>
            <w:r>
              <w:rPr>
                <w:rFonts w:hint="eastAsia" w:cs="Times New Roman"/>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DED16">
            <w:pPr>
              <w:adjustRightInd w:val="0"/>
              <w:snapToGrid w:val="0"/>
              <w:rPr>
                <w:rFonts w:hint="eastAsia" w:cs="Times New Roman"/>
                <w:sz w:val="21"/>
                <w:szCs w:val="21"/>
              </w:rPr>
            </w:pPr>
            <w:r>
              <w:rPr>
                <w:rFonts w:hint="eastAsia" w:cs="Times New Roman"/>
                <w:sz w:val="21"/>
                <w:szCs w:val="21"/>
              </w:rPr>
              <w:t>现场船舶供水统一调配，根据现场各船只用水情况安排专用船只定期定量供应。</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D5D68">
            <w:pPr>
              <w:jc w:val="left"/>
              <w:rPr>
                <w:rFonts w:hint="eastAsia" w:cs="宋体"/>
                <w:sz w:val="21"/>
                <w:szCs w:val="21"/>
              </w:rPr>
            </w:pPr>
            <w:r>
              <w:rPr>
                <w:rFonts w:hint="eastAsia"/>
                <w:sz w:val="21"/>
                <w:szCs w:val="21"/>
              </w:rPr>
              <w:t>本项满分1分，根据统一调配供水控制措施有效性情况酌情评分。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50E5D">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4C660">
            <w:pPr>
              <w:jc w:val="center"/>
              <w:rPr>
                <w:rFonts w:hint="eastAsia" w:cs="宋体"/>
                <w:sz w:val="21"/>
                <w:szCs w:val="21"/>
              </w:rPr>
            </w:pPr>
          </w:p>
        </w:tc>
      </w:tr>
      <w:tr w14:paraId="35264272">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FDC59">
            <w:pPr>
              <w:jc w:val="center"/>
              <w:textAlignment w:val="center"/>
              <w:rPr>
                <w:rFonts w:hint="eastAsia" w:cs="宋体"/>
                <w:kern w:val="0"/>
                <w:sz w:val="21"/>
                <w:szCs w:val="21"/>
                <w:lang w:bidi="ar"/>
              </w:rPr>
            </w:pPr>
            <w:r>
              <w:rPr>
                <w:rFonts w:hint="eastAsia" w:cs="Times New Roman"/>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50565">
            <w:pPr>
              <w:adjustRightInd w:val="0"/>
              <w:snapToGrid w:val="0"/>
              <w:rPr>
                <w:rFonts w:hint="eastAsia" w:cs="Times New Roman"/>
                <w:sz w:val="21"/>
                <w:szCs w:val="21"/>
              </w:rPr>
            </w:pPr>
            <w:r>
              <w:rPr>
                <w:rFonts w:hint="eastAsia" w:cs="Times New Roman"/>
                <w:sz w:val="21"/>
                <w:szCs w:val="21"/>
              </w:rPr>
              <w:t>大型作业船舶宜装备自动净水装置，实现最大限度的水资源重复利用。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CBCF8">
            <w:pPr>
              <w:jc w:val="left"/>
              <w:rPr>
                <w:rFonts w:hint="eastAsia" w:cs="宋体"/>
                <w:sz w:val="21"/>
                <w:szCs w:val="21"/>
              </w:rPr>
            </w:pPr>
            <w:r>
              <w:rPr>
                <w:rFonts w:hint="eastAsia"/>
                <w:sz w:val="21"/>
                <w:szCs w:val="21"/>
              </w:rPr>
              <w:t>本项满分1分，配备</w:t>
            </w:r>
            <w:r>
              <w:rPr>
                <w:rFonts w:hint="eastAsia" w:cs="Times New Roman"/>
                <w:sz w:val="21"/>
                <w:szCs w:val="21"/>
              </w:rPr>
              <w:t>净水装置得0,5分</w:t>
            </w:r>
            <w:r>
              <w:rPr>
                <w:rFonts w:hint="eastAsia"/>
                <w:sz w:val="21"/>
                <w:szCs w:val="21"/>
              </w:rPr>
              <w:t>，水资源充分复用得0.5分。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A68A9">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DEAD1">
            <w:pPr>
              <w:jc w:val="center"/>
              <w:rPr>
                <w:rFonts w:hint="eastAsia" w:cs="宋体"/>
                <w:sz w:val="21"/>
                <w:szCs w:val="21"/>
              </w:rPr>
            </w:pPr>
          </w:p>
        </w:tc>
      </w:tr>
      <w:tr w14:paraId="53562DE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FE642">
            <w:pPr>
              <w:jc w:val="center"/>
              <w:textAlignment w:val="center"/>
              <w:rPr>
                <w:rFonts w:hint="eastAsia" w:cs="宋体"/>
                <w:kern w:val="0"/>
                <w:sz w:val="21"/>
                <w:szCs w:val="21"/>
                <w:lang w:bidi="ar"/>
              </w:rPr>
            </w:pPr>
            <w:r>
              <w:rPr>
                <w:rFonts w:hint="eastAsia" w:cs="宋体"/>
                <w:kern w:val="0"/>
                <w:sz w:val="21"/>
                <w:szCs w:val="21"/>
                <w:lang w:bidi="ar"/>
              </w:rPr>
              <w:t xml:space="preserve">6.3.19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13976">
            <w:pPr>
              <w:jc w:val="left"/>
              <w:rPr>
                <w:rFonts w:hint="eastAsia" w:cs="宋体"/>
                <w:kern w:val="0"/>
                <w:sz w:val="21"/>
                <w:szCs w:val="21"/>
                <w:lang w:bidi="ar"/>
              </w:rPr>
            </w:pPr>
            <w:r>
              <w:rPr>
                <w:rFonts w:hint="eastAsia" w:cs="宋体"/>
                <w:kern w:val="0"/>
                <w:sz w:val="21"/>
                <w:szCs w:val="21"/>
                <w:lang w:bidi="ar"/>
              </w:rPr>
              <w:t>太阳能发电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62249">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E09C3">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93D02">
            <w:pPr>
              <w:jc w:val="left"/>
              <w:textAlignment w:val="center"/>
              <w:rPr>
                <w:rFonts w:hint="eastAsia" w:cs="宋体"/>
                <w:kern w:val="0"/>
                <w:sz w:val="21"/>
                <w:szCs w:val="21"/>
                <w:lang w:bidi="ar"/>
              </w:rPr>
            </w:pPr>
          </w:p>
        </w:tc>
      </w:tr>
      <w:tr w14:paraId="72DC57C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C996B">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659D0">
            <w:pPr>
              <w:jc w:val="left"/>
              <w:rPr>
                <w:rFonts w:hint="eastAsia" w:cs="宋体"/>
                <w:sz w:val="21"/>
                <w:szCs w:val="21"/>
              </w:rPr>
            </w:pPr>
            <w:r>
              <w:rPr>
                <w:rFonts w:hint="eastAsia" w:cs="宋体"/>
                <w:kern w:val="0"/>
                <w:sz w:val="21"/>
                <w:szCs w:val="21"/>
                <w:lang w:bidi="ar"/>
              </w:rPr>
              <w:t>陆上光伏发电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06663">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4DE67">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4C166">
            <w:pPr>
              <w:jc w:val="left"/>
              <w:textAlignment w:val="center"/>
              <w:rPr>
                <w:rFonts w:hint="eastAsia" w:cs="宋体"/>
                <w:kern w:val="0"/>
                <w:sz w:val="21"/>
                <w:szCs w:val="21"/>
                <w:lang w:bidi="ar"/>
              </w:rPr>
            </w:pPr>
          </w:p>
        </w:tc>
      </w:tr>
      <w:tr w14:paraId="2B23F813">
        <w:trPr>
          <w:trHeight w:val="2008"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0FC9D">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7BBDF">
            <w:pPr>
              <w:jc w:val="left"/>
              <w:rPr>
                <w:rFonts w:hint="eastAsia" w:cs="宋体"/>
                <w:kern w:val="0"/>
                <w:sz w:val="21"/>
                <w:szCs w:val="21"/>
                <w:lang w:bidi="ar"/>
              </w:rPr>
            </w:pPr>
            <w:r>
              <w:rPr>
                <w:rFonts w:hint="eastAsia"/>
                <w:sz w:val="21"/>
                <w:szCs w:val="21"/>
              </w:rPr>
              <w:t>在升压站处建造集水井和污水处理装置，收集</w:t>
            </w:r>
            <w:r>
              <w:rPr>
                <w:sz w:val="21"/>
                <w:szCs w:val="21"/>
              </w:rPr>
              <w:t>雨水、地下水，用于降尘、绿化浇灌、车辆冲洗和厕所冲洗用水等实现再利用</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283F33A1">
            <w:pPr>
              <w:jc w:val="left"/>
              <w:rPr>
                <w:rFonts w:hint="eastAsia" w:cs="宋体"/>
                <w:sz w:val="21"/>
                <w:szCs w:val="21"/>
              </w:rPr>
            </w:pPr>
            <w:r>
              <w:rPr>
                <w:rFonts w:hint="eastAsia" w:cs="宋体"/>
                <w:sz w:val="21"/>
                <w:szCs w:val="21"/>
              </w:rPr>
              <w:t>根据现场实际情况按照标准分乘以相应系数进行评分：</w:t>
            </w:r>
          </w:p>
          <w:p w14:paraId="1BAC6442">
            <w:pPr>
              <w:jc w:val="left"/>
              <w:rPr>
                <w:rFonts w:hint="eastAsia" w:cs="宋体"/>
                <w:sz w:val="21"/>
                <w:szCs w:val="21"/>
              </w:rPr>
            </w:pPr>
            <w:r>
              <w:rPr>
                <w:rFonts w:hint="eastAsia" w:cs="宋体"/>
                <w:sz w:val="21"/>
                <w:szCs w:val="21"/>
              </w:rPr>
              <w:t>1、措施到位，满足评价指标要求系数为1；</w:t>
            </w:r>
          </w:p>
          <w:p w14:paraId="3F8EF75E">
            <w:pPr>
              <w:jc w:val="left"/>
              <w:rPr>
                <w:rFonts w:hint="eastAsia" w:cs="宋体"/>
                <w:sz w:val="21"/>
                <w:szCs w:val="21"/>
              </w:rPr>
            </w:pPr>
            <w:r>
              <w:rPr>
                <w:rFonts w:hint="eastAsia" w:cs="宋体"/>
                <w:sz w:val="21"/>
                <w:szCs w:val="21"/>
              </w:rPr>
              <w:t>2、措施到位，基本满足评价指标要求系数按照0.5~0.9酌情选取；</w:t>
            </w:r>
          </w:p>
          <w:p w14:paraId="6AB49E3F">
            <w:pPr>
              <w:jc w:val="left"/>
              <w:rPr>
                <w:rFonts w:hint="eastAsia" w:cs="宋体"/>
                <w:sz w:val="21"/>
                <w:szCs w:val="21"/>
              </w:rPr>
            </w:pPr>
            <w:r>
              <w:rPr>
                <w:rFonts w:hint="eastAsia" w:cs="宋体"/>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7D392">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C451B">
            <w:pPr>
              <w:jc w:val="center"/>
              <w:rPr>
                <w:rFonts w:hint="eastAsia" w:cs="宋体"/>
                <w:sz w:val="21"/>
                <w:szCs w:val="21"/>
              </w:rPr>
            </w:pPr>
          </w:p>
        </w:tc>
      </w:tr>
      <w:tr w14:paraId="29854165">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0AD86">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D9F22">
            <w:pPr>
              <w:jc w:val="left"/>
              <w:rPr>
                <w:rFonts w:hint="eastAsia" w:cs="宋体"/>
                <w:kern w:val="0"/>
                <w:sz w:val="21"/>
                <w:szCs w:val="21"/>
                <w:lang w:bidi="ar"/>
              </w:rPr>
            </w:pPr>
            <w:r>
              <w:rPr>
                <w:sz w:val="21"/>
                <w:szCs w:val="21"/>
              </w:rPr>
              <w:t>采用高效组件清洗技术，降低光伏组件冲洗用水</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180EB0B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D723C">
            <w:pPr>
              <w:jc w:val="center"/>
              <w:rPr>
                <w:rFonts w:hint="eastAsia" w:cs="宋体"/>
                <w:sz w:val="21"/>
                <w:szCs w:val="21"/>
              </w:rPr>
            </w:pPr>
            <w:r>
              <w:rPr>
                <w:rFonts w:hint="eastAsia" w:cs="宋体"/>
                <w:sz w:val="21"/>
                <w:szCs w:val="21"/>
              </w:rPr>
              <w:t>1.2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42BE8">
            <w:pPr>
              <w:jc w:val="center"/>
              <w:rPr>
                <w:rFonts w:hint="eastAsia" w:cs="宋体"/>
                <w:sz w:val="21"/>
                <w:szCs w:val="21"/>
              </w:rPr>
            </w:pPr>
          </w:p>
        </w:tc>
      </w:tr>
      <w:tr w14:paraId="5ED1997B">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A788F">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000FC">
            <w:pPr>
              <w:jc w:val="left"/>
              <w:rPr>
                <w:rFonts w:hint="eastAsia" w:cs="宋体"/>
                <w:kern w:val="0"/>
                <w:sz w:val="21"/>
                <w:szCs w:val="21"/>
                <w:lang w:bidi="ar"/>
              </w:rPr>
            </w:pPr>
            <w:r>
              <w:rPr>
                <w:rFonts w:hint="eastAsia" w:cs="宋体"/>
                <w:kern w:val="0"/>
                <w:sz w:val="21"/>
                <w:szCs w:val="21"/>
                <w:lang w:bidi="ar"/>
              </w:rPr>
              <w:t>水上光伏发电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280EA">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861C8">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C0828">
            <w:pPr>
              <w:jc w:val="center"/>
              <w:rPr>
                <w:rFonts w:hint="eastAsia" w:cs="宋体"/>
                <w:sz w:val="21"/>
                <w:szCs w:val="21"/>
              </w:rPr>
            </w:pPr>
          </w:p>
        </w:tc>
      </w:tr>
      <w:tr w14:paraId="4CE1633B">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9F14E">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B0D35">
            <w:pPr>
              <w:jc w:val="left"/>
              <w:rPr>
                <w:rFonts w:hint="eastAsia" w:cs="宋体"/>
                <w:kern w:val="0"/>
                <w:sz w:val="21"/>
                <w:szCs w:val="21"/>
                <w:lang w:bidi="ar"/>
              </w:rPr>
            </w:pPr>
            <w:r>
              <w:rPr>
                <w:sz w:val="21"/>
                <w:szCs w:val="21"/>
              </w:rPr>
              <w:t>应合理利用光伏电站内水资源，避免造成水体污染，严禁有毒有害物流入</w:t>
            </w:r>
            <w:r>
              <w:rPr>
                <w:rFonts w:hint="eastAsia"/>
                <w:sz w:val="21"/>
                <w:szCs w:val="21"/>
              </w:rPr>
              <w:t>水体</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61269C38">
            <w:pPr>
              <w:jc w:val="left"/>
              <w:rPr>
                <w:rFonts w:hint="eastAsia" w:cs="宋体"/>
                <w:sz w:val="21"/>
                <w:szCs w:val="21"/>
              </w:rPr>
            </w:pPr>
            <w:r>
              <w:rPr>
                <w:rFonts w:hint="eastAsia" w:cs="宋体"/>
                <w:sz w:val="21"/>
                <w:szCs w:val="21"/>
              </w:rPr>
              <w:t>根据现场实际情况按照标准分乘以相应系数进行评分：</w:t>
            </w:r>
          </w:p>
          <w:p w14:paraId="2143F4D3">
            <w:pPr>
              <w:jc w:val="left"/>
              <w:rPr>
                <w:rFonts w:hint="eastAsia" w:cs="宋体"/>
                <w:sz w:val="21"/>
                <w:szCs w:val="21"/>
              </w:rPr>
            </w:pPr>
            <w:r>
              <w:rPr>
                <w:rFonts w:hint="eastAsia" w:cs="宋体"/>
                <w:sz w:val="21"/>
                <w:szCs w:val="21"/>
              </w:rPr>
              <w:t>1、措施到位，满足评价指标要求系数为1；</w:t>
            </w:r>
          </w:p>
          <w:p w14:paraId="47140C62">
            <w:pPr>
              <w:jc w:val="left"/>
              <w:rPr>
                <w:rFonts w:hint="eastAsia" w:cs="宋体"/>
                <w:sz w:val="21"/>
                <w:szCs w:val="21"/>
              </w:rPr>
            </w:pPr>
            <w:r>
              <w:rPr>
                <w:rFonts w:hint="eastAsia" w:cs="宋体"/>
                <w:sz w:val="21"/>
                <w:szCs w:val="21"/>
              </w:rPr>
              <w:t>2、措施到位，基本满足评价指标要求系数按照0.5~0.9酌情选取；</w:t>
            </w:r>
          </w:p>
          <w:p w14:paraId="672BDB40">
            <w:pPr>
              <w:jc w:val="left"/>
              <w:rPr>
                <w:rFonts w:hint="eastAsia" w:cs="宋体"/>
                <w:sz w:val="21"/>
                <w:szCs w:val="21"/>
              </w:rPr>
            </w:pPr>
            <w:r>
              <w:rPr>
                <w:rFonts w:hint="eastAsia" w:cs="宋体"/>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70350">
            <w:pPr>
              <w:jc w:val="center"/>
              <w:rPr>
                <w:rFonts w:hint="eastAsia" w:cs="宋体"/>
                <w:sz w:val="21"/>
                <w:szCs w:val="21"/>
              </w:rPr>
            </w:pPr>
            <w:r>
              <w:rPr>
                <w:rFonts w:hint="eastAsia" w:cs="宋体"/>
                <w:sz w:val="21"/>
                <w:szCs w:val="21"/>
              </w:rPr>
              <w:t>1.4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6DE78">
            <w:pPr>
              <w:jc w:val="center"/>
              <w:rPr>
                <w:rFonts w:hint="eastAsia" w:cs="宋体"/>
                <w:sz w:val="21"/>
                <w:szCs w:val="21"/>
              </w:rPr>
            </w:pPr>
          </w:p>
        </w:tc>
      </w:tr>
      <w:tr w14:paraId="3237749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8ACC4">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8CF57">
            <w:pPr>
              <w:jc w:val="left"/>
              <w:rPr>
                <w:rFonts w:hint="eastAsia" w:cs="宋体"/>
                <w:kern w:val="0"/>
                <w:sz w:val="21"/>
                <w:szCs w:val="21"/>
                <w:lang w:bidi="ar"/>
              </w:rPr>
            </w:pPr>
            <w:r>
              <w:rPr>
                <w:sz w:val="21"/>
                <w:szCs w:val="21"/>
              </w:rPr>
              <w:t>宜采用</w:t>
            </w:r>
            <w:r>
              <w:rPr>
                <w:rFonts w:hint="eastAsia"/>
                <w:sz w:val="21"/>
                <w:szCs w:val="21"/>
              </w:rPr>
              <w:t>场站内水体</w:t>
            </w:r>
            <w:r>
              <w:rPr>
                <w:sz w:val="21"/>
                <w:szCs w:val="21"/>
              </w:rPr>
              <w:t>进行组件清洗</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46372B6D">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9C0E0">
            <w:pPr>
              <w:jc w:val="center"/>
              <w:rPr>
                <w:rFonts w:hint="eastAsia" w:cs="宋体"/>
                <w:sz w:val="21"/>
                <w:szCs w:val="21"/>
              </w:rPr>
            </w:pPr>
            <w:r>
              <w:rPr>
                <w:rFonts w:hint="eastAsia" w:cs="宋体"/>
                <w:sz w:val="21"/>
                <w:szCs w:val="21"/>
              </w:rPr>
              <w:t>0.6</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927C5">
            <w:pPr>
              <w:jc w:val="center"/>
              <w:rPr>
                <w:rFonts w:hint="eastAsia" w:cs="宋体"/>
                <w:sz w:val="21"/>
                <w:szCs w:val="21"/>
              </w:rPr>
            </w:pPr>
          </w:p>
        </w:tc>
      </w:tr>
      <w:tr w14:paraId="13259F7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10F17">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CA259">
            <w:pPr>
              <w:jc w:val="left"/>
              <w:rPr>
                <w:rFonts w:hint="eastAsia" w:cs="宋体"/>
                <w:kern w:val="0"/>
                <w:sz w:val="21"/>
                <w:szCs w:val="21"/>
                <w:lang w:bidi="ar"/>
              </w:rPr>
            </w:pPr>
            <w:r>
              <w:rPr>
                <w:rFonts w:hint="eastAsia" w:cs="宋体"/>
                <w:kern w:val="0"/>
                <w:sz w:val="21"/>
                <w:szCs w:val="21"/>
                <w:lang w:bidi="ar"/>
              </w:rPr>
              <w:t>光热发电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D04A0">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7553A">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D6983">
            <w:pPr>
              <w:jc w:val="center"/>
              <w:rPr>
                <w:rFonts w:hint="eastAsia" w:cs="宋体"/>
                <w:sz w:val="21"/>
                <w:szCs w:val="21"/>
              </w:rPr>
            </w:pPr>
          </w:p>
        </w:tc>
      </w:tr>
      <w:tr w14:paraId="41CF983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30F51">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F58A9">
            <w:pPr>
              <w:jc w:val="left"/>
              <w:rPr>
                <w:rFonts w:hint="eastAsia" w:cs="宋体"/>
                <w:kern w:val="0"/>
                <w:sz w:val="21"/>
                <w:szCs w:val="21"/>
                <w:lang w:bidi="ar"/>
              </w:rPr>
            </w:pPr>
            <w:r>
              <w:rPr>
                <w:rFonts w:hint="eastAsia"/>
                <w:sz w:val="21"/>
                <w:szCs w:val="21"/>
              </w:rPr>
              <w:t>在升压站处建造集水井和污水处理装置，</w:t>
            </w:r>
            <w:r>
              <w:rPr>
                <w:sz w:val="21"/>
                <w:szCs w:val="21"/>
              </w:rPr>
              <w:t>合理利用雨水、地下水，用于降尘、绿化浇灌、车辆冲洗和厕所冲洗用水等实现再利用</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53093B1D">
            <w:pPr>
              <w:jc w:val="left"/>
              <w:rPr>
                <w:rFonts w:hint="eastAsia" w:cs="宋体"/>
                <w:sz w:val="21"/>
                <w:szCs w:val="21"/>
              </w:rPr>
            </w:pPr>
            <w:r>
              <w:rPr>
                <w:rFonts w:hint="eastAsia" w:cs="宋体"/>
                <w:sz w:val="21"/>
                <w:szCs w:val="21"/>
              </w:rPr>
              <w:t>根据现场实际情况按照标准分乘以相应系数进行评分：</w:t>
            </w:r>
          </w:p>
          <w:p w14:paraId="242D9AB5">
            <w:pPr>
              <w:jc w:val="left"/>
              <w:rPr>
                <w:rFonts w:hint="eastAsia" w:cs="宋体"/>
                <w:sz w:val="21"/>
                <w:szCs w:val="21"/>
              </w:rPr>
            </w:pPr>
            <w:r>
              <w:rPr>
                <w:rFonts w:hint="eastAsia" w:cs="宋体"/>
                <w:sz w:val="21"/>
                <w:szCs w:val="21"/>
              </w:rPr>
              <w:t>1、措施到位，满足评价指标要求系数为1；</w:t>
            </w:r>
          </w:p>
          <w:p w14:paraId="0494DD10">
            <w:pPr>
              <w:jc w:val="left"/>
              <w:rPr>
                <w:rFonts w:hint="eastAsia" w:cs="宋体"/>
                <w:sz w:val="21"/>
                <w:szCs w:val="21"/>
              </w:rPr>
            </w:pPr>
            <w:r>
              <w:rPr>
                <w:rFonts w:hint="eastAsia" w:cs="宋体"/>
                <w:sz w:val="21"/>
                <w:szCs w:val="21"/>
              </w:rPr>
              <w:t>2、措施到位，基本满足评价指标要求系数按照0.5~0.9酌情选取；</w:t>
            </w:r>
          </w:p>
          <w:p w14:paraId="5DF150FA">
            <w:pPr>
              <w:jc w:val="left"/>
              <w:rPr>
                <w:rFonts w:hint="eastAsia" w:cs="宋体"/>
                <w:sz w:val="21"/>
                <w:szCs w:val="21"/>
              </w:rPr>
            </w:pPr>
            <w:r>
              <w:rPr>
                <w:rFonts w:hint="eastAsia" w:cs="宋体"/>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C806F">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7CE3C">
            <w:pPr>
              <w:jc w:val="center"/>
              <w:rPr>
                <w:rFonts w:hint="eastAsia" w:cs="宋体"/>
                <w:sz w:val="21"/>
                <w:szCs w:val="21"/>
              </w:rPr>
            </w:pPr>
          </w:p>
        </w:tc>
      </w:tr>
      <w:tr w14:paraId="6EB2A0D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EFCDF">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7EC20">
            <w:pPr>
              <w:jc w:val="left"/>
              <w:rPr>
                <w:rFonts w:hint="eastAsia" w:cs="宋体"/>
                <w:kern w:val="0"/>
                <w:sz w:val="21"/>
                <w:szCs w:val="21"/>
                <w:lang w:bidi="ar"/>
              </w:rPr>
            </w:pPr>
            <w:r>
              <w:rPr>
                <w:rFonts w:hint="eastAsia"/>
                <w:sz w:val="21"/>
                <w:szCs w:val="21"/>
              </w:rPr>
              <w:t>熔盐</w:t>
            </w:r>
            <w:r>
              <w:rPr>
                <w:sz w:val="21"/>
                <w:szCs w:val="21"/>
              </w:rPr>
              <w:t>管道冲洗采用闭式循环冲洗工艺</w:t>
            </w:r>
          </w:p>
        </w:tc>
        <w:tc>
          <w:tcPr>
            <w:tcW w:w="4111" w:type="dxa"/>
            <w:vMerge w:val="continue"/>
            <w:tcBorders>
              <w:left w:val="single" w:color="000000" w:sz="4" w:space="0"/>
              <w:right w:val="single" w:color="000000" w:sz="4" w:space="0"/>
            </w:tcBorders>
            <w:shd w:val="clear" w:color="auto" w:fill="auto"/>
            <w:vAlign w:val="center"/>
          </w:tcPr>
          <w:p w14:paraId="70FA5DCA">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D0A3D">
            <w:pPr>
              <w:jc w:val="center"/>
              <w:rPr>
                <w:rFonts w:hint="eastAsia" w:cs="宋体"/>
                <w:sz w:val="21"/>
                <w:szCs w:val="21"/>
              </w:rPr>
            </w:pPr>
            <w:r>
              <w:rPr>
                <w:rFonts w:hint="eastAsia" w:cs="宋体"/>
                <w:sz w:val="21"/>
                <w:szCs w:val="21"/>
              </w:rPr>
              <w:t>0.6</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EA9BD">
            <w:pPr>
              <w:jc w:val="center"/>
              <w:rPr>
                <w:rFonts w:hint="eastAsia" w:cs="宋体"/>
                <w:sz w:val="21"/>
                <w:szCs w:val="21"/>
              </w:rPr>
            </w:pPr>
          </w:p>
        </w:tc>
      </w:tr>
      <w:tr w14:paraId="1BC6C89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1F2A9">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71608">
            <w:pPr>
              <w:jc w:val="left"/>
              <w:rPr>
                <w:rFonts w:hint="eastAsia" w:cs="宋体"/>
                <w:kern w:val="0"/>
                <w:sz w:val="21"/>
                <w:szCs w:val="21"/>
                <w:lang w:bidi="ar"/>
              </w:rPr>
            </w:pPr>
            <w:r>
              <w:rPr>
                <w:rFonts w:hint="eastAsia"/>
                <w:sz w:val="21"/>
                <w:szCs w:val="21"/>
              </w:rPr>
              <w:t>熔盐</w:t>
            </w:r>
            <w:r>
              <w:rPr>
                <w:sz w:val="21"/>
                <w:szCs w:val="21"/>
              </w:rPr>
              <w:t>管道试验及冲洗用水应有组织排放，处理后重复利用；污水管道、雨水管道试验及冲洗用水宜利用非自来水源</w:t>
            </w:r>
          </w:p>
        </w:tc>
        <w:tc>
          <w:tcPr>
            <w:tcW w:w="4111" w:type="dxa"/>
            <w:vMerge w:val="continue"/>
            <w:tcBorders>
              <w:left w:val="single" w:color="000000" w:sz="4" w:space="0"/>
              <w:right w:val="single" w:color="000000" w:sz="4" w:space="0"/>
            </w:tcBorders>
            <w:shd w:val="clear" w:color="auto" w:fill="auto"/>
            <w:vAlign w:val="center"/>
          </w:tcPr>
          <w:p w14:paraId="11F52C8B">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A78E3">
            <w:pPr>
              <w:jc w:val="center"/>
              <w:rPr>
                <w:rFonts w:hint="eastAsia" w:cs="宋体"/>
                <w:sz w:val="21"/>
                <w:szCs w:val="21"/>
              </w:rPr>
            </w:pPr>
            <w:r>
              <w:rPr>
                <w:rFonts w:hint="eastAsia" w:cs="宋体"/>
                <w:sz w:val="21"/>
                <w:szCs w:val="21"/>
              </w:rPr>
              <w:t>0.3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C4C45">
            <w:pPr>
              <w:jc w:val="center"/>
              <w:rPr>
                <w:rFonts w:hint="eastAsia" w:cs="宋体"/>
                <w:sz w:val="21"/>
                <w:szCs w:val="21"/>
              </w:rPr>
            </w:pPr>
          </w:p>
        </w:tc>
      </w:tr>
      <w:tr w14:paraId="5A8E01F1">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8F974">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6B95F">
            <w:pPr>
              <w:jc w:val="left"/>
              <w:rPr>
                <w:rFonts w:hint="eastAsia" w:cs="宋体"/>
                <w:kern w:val="0"/>
                <w:sz w:val="21"/>
                <w:szCs w:val="21"/>
                <w:lang w:bidi="ar"/>
              </w:rPr>
            </w:pPr>
            <w:r>
              <w:rPr>
                <w:sz w:val="21"/>
                <w:szCs w:val="21"/>
              </w:rPr>
              <w:t>应采用高效清洗工艺，降低定日镜清洗用水</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3512505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224B4">
            <w:pPr>
              <w:jc w:val="center"/>
              <w:rPr>
                <w:rFonts w:hint="eastAsia" w:cs="宋体"/>
                <w:sz w:val="21"/>
                <w:szCs w:val="21"/>
              </w:rPr>
            </w:pPr>
            <w:r>
              <w:rPr>
                <w:rFonts w:hint="eastAsia" w:cs="宋体"/>
                <w:sz w:val="21"/>
                <w:szCs w:val="21"/>
              </w:rPr>
              <w:t>0.3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6DF36">
            <w:pPr>
              <w:jc w:val="center"/>
              <w:rPr>
                <w:rFonts w:hint="eastAsia" w:cs="宋体"/>
                <w:sz w:val="21"/>
                <w:szCs w:val="21"/>
              </w:rPr>
            </w:pPr>
          </w:p>
        </w:tc>
      </w:tr>
      <w:tr w14:paraId="21AF137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D66E6">
            <w:pPr>
              <w:jc w:val="center"/>
              <w:textAlignment w:val="center"/>
              <w:rPr>
                <w:rFonts w:hint="eastAsia" w:cs="宋体"/>
                <w:kern w:val="0"/>
                <w:sz w:val="21"/>
                <w:szCs w:val="21"/>
                <w:lang w:bidi="ar"/>
              </w:rPr>
            </w:pPr>
            <w:r>
              <w:rPr>
                <w:rFonts w:hint="eastAsia" w:cs="宋体"/>
                <w:kern w:val="0"/>
                <w:sz w:val="21"/>
                <w:szCs w:val="21"/>
                <w:lang w:bidi="ar"/>
              </w:rPr>
              <w:t>6.3.20</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1520E">
            <w:pPr>
              <w:jc w:val="left"/>
              <w:rPr>
                <w:rFonts w:hint="eastAsia" w:cs="宋体"/>
                <w:kern w:val="0"/>
                <w:sz w:val="21"/>
                <w:szCs w:val="21"/>
                <w:lang w:bidi="ar"/>
              </w:rPr>
            </w:pPr>
            <w:r>
              <w:rPr>
                <w:rFonts w:hint="eastAsia" w:cs="宋体"/>
                <w:kern w:val="0"/>
                <w:sz w:val="21"/>
                <w:szCs w:val="21"/>
                <w:lang w:bidi="ar"/>
              </w:rPr>
              <w:t>输变电工程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5CE62">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B63A4">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A3C7B">
            <w:pPr>
              <w:jc w:val="center"/>
              <w:rPr>
                <w:rFonts w:hint="eastAsia" w:cs="宋体"/>
                <w:sz w:val="21"/>
                <w:szCs w:val="21"/>
              </w:rPr>
            </w:pPr>
          </w:p>
        </w:tc>
      </w:tr>
      <w:tr w14:paraId="49A13AF3">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AEC29">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2CD9D">
            <w:pPr>
              <w:jc w:val="left"/>
              <w:rPr>
                <w:rFonts w:hint="eastAsia" w:cs="宋体"/>
                <w:kern w:val="0"/>
                <w:sz w:val="21"/>
                <w:szCs w:val="21"/>
                <w:lang w:bidi="ar"/>
              </w:rPr>
            </w:pPr>
            <w:r>
              <w:rPr>
                <w:rFonts w:hint="eastAsia" w:cs="宋体"/>
                <w:kern w:val="0"/>
                <w:sz w:val="21"/>
                <w:szCs w:val="21"/>
                <w:lang w:bidi="ar"/>
              </w:rPr>
              <w:t>变电（换流）站</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6EF61">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A3315">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6741D">
            <w:pPr>
              <w:jc w:val="center"/>
              <w:rPr>
                <w:rFonts w:hint="eastAsia" w:cs="宋体"/>
                <w:sz w:val="21"/>
                <w:szCs w:val="21"/>
              </w:rPr>
            </w:pPr>
          </w:p>
        </w:tc>
      </w:tr>
      <w:tr w14:paraId="378492DF">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F61E1">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ADA44">
            <w:pPr>
              <w:jc w:val="left"/>
              <w:rPr>
                <w:rFonts w:hint="eastAsia" w:cs="宋体"/>
                <w:kern w:val="0"/>
                <w:sz w:val="21"/>
                <w:szCs w:val="21"/>
                <w:lang w:bidi="ar"/>
              </w:rPr>
            </w:pPr>
            <w:r>
              <w:rPr>
                <w:rFonts w:hint="eastAsia" w:cs="宋体"/>
                <w:kern w:val="0"/>
                <w:sz w:val="21"/>
                <w:szCs w:val="21"/>
                <w:lang w:bidi="ar"/>
              </w:rPr>
              <w:t>变电站基础混凝土采用塑料薄膜加保温材料覆盖保湿、保温养护；当采用洒水或喷雾养护时，养护用水使用回收的基坑降水或雨水；混凝土竖向构件采用养护剂进行养护；抹灰墙面采用喷雾方法进行养护。</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44143">
            <w:pPr>
              <w:jc w:val="left"/>
              <w:rPr>
                <w:rFonts w:hint="eastAsia" w:cs="宋体"/>
                <w:sz w:val="21"/>
                <w:szCs w:val="21"/>
              </w:rPr>
            </w:pPr>
            <w:r>
              <w:rPr>
                <w:rFonts w:hint="eastAsia" w:cs="宋体"/>
                <w:kern w:val="0"/>
                <w:sz w:val="21"/>
                <w:szCs w:val="21"/>
                <w:lang w:bidi="ar"/>
              </w:rPr>
              <w:t>混凝土未采用用塑料薄膜加保温材料覆盖保湿、保温养护，扣0.5分；养护用水未结合地区采用基坑水或雨水，扣0.5分；砼竖向构件未采用养护剂养护，扣0.5分；抹灰墙未采用喷雾方式养护，扣0.5分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88A2C">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983DE">
            <w:pPr>
              <w:jc w:val="center"/>
              <w:rPr>
                <w:rFonts w:hint="eastAsia" w:cs="宋体"/>
                <w:sz w:val="21"/>
                <w:szCs w:val="21"/>
              </w:rPr>
            </w:pPr>
          </w:p>
        </w:tc>
      </w:tr>
      <w:tr w14:paraId="3508DA4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349D4">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43B88">
            <w:pPr>
              <w:jc w:val="left"/>
              <w:rPr>
                <w:rFonts w:hint="eastAsia" w:cs="宋体"/>
                <w:kern w:val="0"/>
                <w:sz w:val="21"/>
                <w:szCs w:val="21"/>
                <w:lang w:bidi="ar"/>
              </w:rPr>
            </w:pPr>
            <w:r>
              <w:rPr>
                <w:rFonts w:hint="eastAsia" w:cs="宋体"/>
                <w:kern w:val="0"/>
                <w:sz w:val="21"/>
                <w:szCs w:val="21"/>
                <w:lang w:bidi="ar"/>
              </w:rPr>
              <w:t>建筑给排水系统及水消防系统，以及主变（换流变）等电气设备水消防系统蓄水、管道、淋水试验用水及冲洗用水应有组织排放，处理后重复利用。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CB171">
            <w:pPr>
              <w:jc w:val="left"/>
              <w:rPr>
                <w:rFonts w:hint="eastAsia" w:cs="宋体"/>
                <w:sz w:val="21"/>
                <w:szCs w:val="21"/>
              </w:rPr>
            </w:pPr>
            <w:r>
              <w:rPr>
                <w:rFonts w:hint="eastAsia" w:cs="宋体"/>
                <w:kern w:val="0"/>
                <w:sz w:val="21"/>
                <w:szCs w:val="21"/>
                <w:lang w:bidi="ar"/>
              </w:rPr>
              <w:t>给水系统、消防系统的管道冲洗、蓄水等试验用水未重复利用，扣1分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FF826">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F70D8">
            <w:pPr>
              <w:jc w:val="center"/>
              <w:rPr>
                <w:rFonts w:hint="eastAsia" w:cs="宋体"/>
                <w:sz w:val="21"/>
                <w:szCs w:val="21"/>
              </w:rPr>
            </w:pPr>
          </w:p>
        </w:tc>
      </w:tr>
      <w:tr w14:paraId="53548B13">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B688E">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6EC58">
            <w:pPr>
              <w:jc w:val="left"/>
              <w:rPr>
                <w:rFonts w:hint="eastAsia" w:cs="宋体"/>
                <w:kern w:val="0"/>
                <w:sz w:val="21"/>
                <w:szCs w:val="21"/>
                <w:lang w:bidi="ar"/>
              </w:rPr>
            </w:pPr>
            <w:r>
              <w:rPr>
                <w:rFonts w:hint="eastAsia" w:cs="宋体"/>
                <w:kern w:val="0"/>
                <w:sz w:val="21"/>
                <w:szCs w:val="21"/>
                <w:lang w:bidi="ar"/>
              </w:rPr>
              <w:t>污水管道、雨水管道试验及冲洗用水等生产用水采用非传统水源。喷洒路面、绿化浇灌、车辆冲洗、卫生间冲洗用水等施工杂务用水采用非传统水源。</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5E73A">
            <w:pPr>
              <w:jc w:val="left"/>
              <w:rPr>
                <w:rFonts w:hint="eastAsia" w:cs="宋体"/>
                <w:sz w:val="21"/>
                <w:szCs w:val="21"/>
              </w:rPr>
            </w:pPr>
            <w:r>
              <w:rPr>
                <w:rFonts w:hint="eastAsia" w:cs="宋体"/>
                <w:kern w:val="0"/>
                <w:sz w:val="21"/>
                <w:szCs w:val="21"/>
                <w:lang w:bidi="ar"/>
              </w:rPr>
              <w:t>污水、雨水管道的试验用水未采用非传统水源，扣0,5分；喷洒路面、车辆冲洗等设施用水未采用非传统水源，扣0,5分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46E31">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42AA4">
            <w:pPr>
              <w:jc w:val="center"/>
              <w:rPr>
                <w:rFonts w:hint="eastAsia" w:cs="宋体"/>
                <w:sz w:val="21"/>
                <w:szCs w:val="21"/>
              </w:rPr>
            </w:pPr>
          </w:p>
        </w:tc>
      </w:tr>
      <w:tr w14:paraId="55EBCE8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84C43">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2A9EA">
            <w:pPr>
              <w:jc w:val="left"/>
              <w:rPr>
                <w:rFonts w:hint="eastAsia" w:cs="宋体"/>
                <w:kern w:val="0"/>
                <w:sz w:val="21"/>
                <w:szCs w:val="21"/>
                <w:lang w:bidi="ar"/>
              </w:rPr>
            </w:pPr>
            <w:r>
              <w:rPr>
                <w:rFonts w:hint="eastAsia" w:cs="宋体"/>
                <w:kern w:val="0"/>
                <w:sz w:val="21"/>
                <w:szCs w:val="21"/>
                <w:lang w:bidi="ar"/>
              </w:rPr>
              <w:t>架空线路工程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D4E58">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38C17">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22D96">
            <w:pPr>
              <w:jc w:val="center"/>
              <w:rPr>
                <w:rFonts w:hint="eastAsia" w:cs="宋体"/>
                <w:sz w:val="21"/>
                <w:szCs w:val="21"/>
              </w:rPr>
            </w:pPr>
          </w:p>
        </w:tc>
      </w:tr>
      <w:tr w14:paraId="638A0FC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ECE69">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162EB">
            <w:pPr>
              <w:jc w:val="left"/>
              <w:rPr>
                <w:rFonts w:hint="eastAsia" w:cs="宋体"/>
                <w:kern w:val="0"/>
                <w:sz w:val="21"/>
                <w:szCs w:val="21"/>
                <w:lang w:bidi="ar"/>
              </w:rPr>
            </w:pPr>
            <w:r>
              <w:rPr>
                <w:rFonts w:hint="eastAsia" w:cs="宋体"/>
                <w:kern w:val="0"/>
                <w:sz w:val="21"/>
                <w:szCs w:val="21"/>
                <w:lang w:bidi="ar"/>
              </w:rPr>
              <w:t>杆塔基础施工采用绿色环保的节水施工工艺和混凝土养护工艺，宜利用回收的基坑降水、排水或雨水进行混凝土养护。</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CA3DF">
            <w:pPr>
              <w:jc w:val="left"/>
              <w:rPr>
                <w:rFonts w:hint="eastAsia" w:cs="宋体"/>
                <w:sz w:val="21"/>
                <w:szCs w:val="21"/>
              </w:rPr>
            </w:pPr>
            <w:r>
              <w:rPr>
                <w:rFonts w:hint="eastAsia" w:cs="宋体"/>
                <w:kern w:val="0"/>
                <w:sz w:val="21"/>
                <w:szCs w:val="21"/>
                <w:lang w:bidi="ar"/>
              </w:rPr>
              <w:t>混凝土基础养护无节水措施，扣1分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754F6">
            <w:pPr>
              <w:jc w:val="center"/>
              <w:rPr>
                <w:rFonts w:hint="eastAsia" w:cs="宋体"/>
                <w:sz w:val="21"/>
                <w:szCs w:val="21"/>
              </w:rPr>
            </w:pPr>
            <w:r>
              <w:rPr>
                <w:rFonts w:hint="eastAsia" w:cs="宋体"/>
                <w:sz w:val="21"/>
                <w:szCs w:val="21"/>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34EFD">
            <w:pPr>
              <w:jc w:val="center"/>
              <w:rPr>
                <w:rFonts w:hint="eastAsia" w:cs="宋体"/>
                <w:sz w:val="21"/>
                <w:szCs w:val="21"/>
              </w:rPr>
            </w:pPr>
          </w:p>
        </w:tc>
      </w:tr>
      <w:tr w14:paraId="0833B77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C5D9F">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0812B">
            <w:pPr>
              <w:jc w:val="left"/>
              <w:rPr>
                <w:rFonts w:hint="eastAsia" w:cs="宋体"/>
                <w:kern w:val="0"/>
                <w:sz w:val="21"/>
                <w:szCs w:val="21"/>
                <w:lang w:bidi="ar"/>
              </w:rPr>
            </w:pPr>
            <w:r>
              <w:rPr>
                <w:rFonts w:hint="eastAsia" w:cs="宋体"/>
                <w:kern w:val="0"/>
                <w:sz w:val="21"/>
                <w:szCs w:val="21"/>
                <w:lang w:bidi="ar"/>
              </w:rPr>
              <w:t>电缆工程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81162">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FB060">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E0933">
            <w:pPr>
              <w:jc w:val="center"/>
              <w:rPr>
                <w:rFonts w:hint="eastAsia" w:cs="宋体"/>
                <w:sz w:val="21"/>
                <w:szCs w:val="21"/>
              </w:rPr>
            </w:pPr>
          </w:p>
        </w:tc>
      </w:tr>
      <w:tr w14:paraId="7D9023F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1B362">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B9311">
            <w:pPr>
              <w:jc w:val="left"/>
              <w:rPr>
                <w:rFonts w:hint="eastAsia" w:cs="宋体"/>
                <w:kern w:val="0"/>
                <w:sz w:val="21"/>
                <w:szCs w:val="21"/>
                <w:lang w:bidi="ar"/>
              </w:rPr>
            </w:pPr>
            <w:r>
              <w:rPr>
                <w:rFonts w:hint="eastAsia" w:cs="宋体"/>
                <w:kern w:val="0"/>
                <w:sz w:val="21"/>
                <w:szCs w:val="21"/>
                <w:lang w:bidi="ar"/>
              </w:rPr>
              <w:t>电缆隧道混凝土采用绿色环保的节水施工工艺和混凝土养护工艺，当采用洒水或喷雾养护时，养护用水使用回收的基坑降水或雨水。</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5AC32">
            <w:pPr>
              <w:jc w:val="left"/>
              <w:rPr>
                <w:rFonts w:hint="eastAsia" w:cs="宋体"/>
                <w:sz w:val="21"/>
                <w:szCs w:val="21"/>
              </w:rPr>
            </w:pPr>
            <w:r>
              <w:rPr>
                <w:rFonts w:hint="eastAsia" w:cs="宋体"/>
                <w:kern w:val="0"/>
                <w:sz w:val="21"/>
                <w:szCs w:val="21"/>
                <w:lang w:bidi="ar"/>
              </w:rPr>
              <w:t>混凝土基础养护无节水措施，扣1分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BDCC4">
            <w:pPr>
              <w:jc w:val="center"/>
              <w:rPr>
                <w:rFonts w:hint="eastAsia" w:cs="宋体"/>
                <w:sz w:val="21"/>
                <w:szCs w:val="21"/>
              </w:rPr>
            </w:pPr>
            <w:r>
              <w:rPr>
                <w:rFonts w:hint="eastAsia" w:cs="宋体"/>
                <w:sz w:val="21"/>
                <w:szCs w:val="21"/>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14CE8">
            <w:pPr>
              <w:jc w:val="center"/>
              <w:rPr>
                <w:rFonts w:hint="eastAsia" w:cs="宋体"/>
                <w:sz w:val="21"/>
                <w:szCs w:val="21"/>
              </w:rPr>
            </w:pPr>
          </w:p>
        </w:tc>
      </w:tr>
      <w:tr w14:paraId="41807D4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FAF37">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1A2BA">
            <w:pPr>
              <w:jc w:val="left"/>
              <w:rPr>
                <w:rFonts w:hint="eastAsia" w:cs="宋体"/>
                <w:kern w:val="0"/>
                <w:sz w:val="21"/>
                <w:szCs w:val="21"/>
                <w:lang w:bidi="ar"/>
              </w:rPr>
            </w:pPr>
            <w:r>
              <w:rPr>
                <w:rFonts w:hint="eastAsia" w:cs="宋体"/>
                <w:kern w:val="0"/>
                <w:sz w:val="21"/>
                <w:szCs w:val="21"/>
                <w:lang w:bidi="ar"/>
              </w:rPr>
              <w:t>海底电缆工程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C99E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A0991">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DCBCE">
            <w:pPr>
              <w:jc w:val="center"/>
              <w:rPr>
                <w:rFonts w:hint="eastAsia" w:cs="宋体"/>
                <w:sz w:val="21"/>
                <w:szCs w:val="21"/>
              </w:rPr>
            </w:pPr>
          </w:p>
        </w:tc>
      </w:tr>
      <w:tr w14:paraId="0A9093B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38FD1">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14282">
            <w:pPr>
              <w:jc w:val="left"/>
              <w:rPr>
                <w:rFonts w:hint="eastAsia" w:cs="宋体"/>
                <w:kern w:val="0"/>
                <w:sz w:val="21"/>
                <w:szCs w:val="21"/>
                <w:lang w:bidi="ar"/>
              </w:rPr>
            </w:pPr>
            <w:r>
              <w:rPr>
                <w:rFonts w:hint="eastAsia" w:cs="宋体"/>
                <w:kern w:val="0"/>
                <w:sz w:val="21"/>
                <w:szCs w:val="21"/>
                <w:lang w:bidi="ar"/>
              </w:rPr>
              <w:t>海缆埋设施工时水喷式埋设犁高压水泵抽取海水进行冲埋。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13930">
            <w:pPr>
              <w:jc w:val="left"/>
              <w:rPr>
                <w:rFonts w:hint="eastAsia" w:cs="宋体"/>
                <w:sz w:val="21"/>
                <w:szCs w:val="21"/>
              </w:rPr>
            </w:pPr>
            <w:r>
              <w:rPr>
                <w:rFonts w:hint="eastAsia" w:cs="宋体"/>
                <w:kern w:val="0"/>
                <w:sz w:val="21"/>
                <w:szCs w:val="21"/>
                <w:lang w:bidi="ar"/>
              </w:rPr>
              <w:t>无水回收重复利用循环装置，扣1分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BB69C">
            <w:pPr>
              <w:jc w:val="center"/>
              <w:rPr>
                <w:rFonts w:hint="eastAsia" w:cs="宋体"/>
                <w:sz w:val="21"/>
                <w:szCs w:val="21"/>
              </w:rPr>
            </w:pPr>
            <w:r>
              <w:rPr>
                <w:rFonts w:hint="eastAsia" w:cs="宋体"/>
                <w:sz w:val="21"/>
                <w:szCs w:val="21"/>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96626">
            <w:pPr>
              <w:jc w:val="center"/>
              <w:rPr>
                <w:rFonts w:hint="eastAsia" w:cs="宋体"/>
                <w:sz w:val="21"/>
                <w:szCs w:val="21"/>
              </w:rPr>
            </w:pPr>
          </w:p>
        </w:tc>
      </w:tr>
      <w:tr w14:paraId="0419CD2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00AD4">
            <w:pPr>
              <w:jc w:val="center"/>
              <w:textAlignment w:val="center"/>
              <w:rPr>
                <w:rFonts w:hint="eastAsia" w:cs="宋体"/>
                <w:kern w:val="0"/>
                <w:sz w:val="21"/>
                <w:szCs w:val="21"/>
                <w:lang w:bidi="ar"/>
              </w:rPr>
            </w:pPr>
            <w:r>
              <w:rPr>
                <w:rFonts w:hint="eastAsia" w:cs="宋体"/>
                <w:kern w:val="0"/>
                <w:sz w:val="21"/>
                <w:szCs w:val="21"/>
                <w:lang w:bidi="ar"/>
              </w:rPr>
              <w:t>6.3.21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C5310">
            <w:pPr>
              <w:jc w:val="left"/>
              <w:rPr>
                <w:rFonts w:hint="eastAsia" w:cs="宋体"/>
                <w:kern w:val="0"/>
                <w:sz w:val="21"/>
                <w:szCs w:val="21"/>
                <w:lang w:bidi="ar"/>
              </w:rPr>
            </w:pPr>
            <w:r>
              <w:rPr>
                <w:rFonts w:hint="eastAsia" w:cs="宋体"/>
                <w:kern w:val="0"/>
                <w:sz w:val="21"/>
                <w:szCs w:val="21"/>
                <w:lang w:bidi="ar"/>
              </w:rPr>
              <w:t xml:space="preserve"> 电力储能工程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B63CE">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0AB41">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6B926">
            <w:pPr>
              <w:jc w:val="center"/>
              <w:rPr>
                <w:rFonts w:hint="eastAsia" w:cs="宋体"/>
                <w:sz w:val="21"/>
                <w:szCs w:val="21"/>
              </w:rPr>
            </w:pPr>
          </w:p>
        </w:tc>
      </w:tr>
      <w:tr w14:paraId="4965AC0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05603">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0B32A">
            <w:pPr>
              <w:jc w:val="left"/>
              <w:rPr>
                <w:rFonts w:hint="eastAsia" w:cs="宋体"/>
                <w:sz w:val="21"/>
                <w:szCs w:val="21"/>
              </w:rPr>
            </w:pPr>
            <w:r>
              <w:rPr>
                <w:rFonts w:hint="eastAsia" w:cs="宋体"/>
                <w:kern w:val="0"/>
                <w:sz w:val="21"/>
                <w:szCs w:val="21"/>
              </w:rPr>
              <w:t>电化学（锂电、液流、燃料电池、钠离子、铅酸、铅炭）储能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638B0">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9771B">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AFF02">
            <w:pPr>
              <w:jc w:val="center"/>
              <w:rPr>
                <w:rFonts w:hint="eastAsia" w:cs="宋体"/>
                <w:sz w:val="21"/>
                <w:szCs w:val="21"/>
              </w:rPr>
            </w:pPr>
          </w:p>
        </w:tc>
      </w:tr>
      <w:tr w14:paraId="43DD51A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6044D">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FE3CD">
            <w:pPr>
              <w:rPr>
                <w:rFonts w:hint="eastAsia"/>
                <w:sz w:val="21"/>
                <w:szCs w:val="21"/>
              </w:rPr>
            </w:pPr>
            <w:r>
              <w:rPr>
                <w:rFonts w:hint="eastAsia"/>
                <w:sz w:val="21"/>
                <w:szCs w:val="21"/>
              </w:rPr>
              <w:t>电化学储能基础及升压站电气楼</w:t>
            </w:r>
            <w:r>
              <w:rPr>
                <w:sz w:val="21"/>
                <w:szCs w:val="21"/>
              </w:rPr>
              <w:t>混凝土采用绿色环保的节水施工工艺和混凝土养护工艺，当采用洒水或喷雾养护时，养护用水使用回收的基坑降水或雨水</w:t>
            </w:r>
            <w:r>
              <w:rPr>
                <w:rFonts w:hint="eastAsia"/>
                <w:sz w:val="21"/>
                <w:szCs w:val="21"/>
              </w:rPr>
              <w:t>。</w:t>
            </w:r>
          </w:p>
          <w:p w14:paraId="25B3038B">
            <w:pPr>
              <w:jc w:val="left"/>
              <w:rPr>
                <w:rFonts w:hint="eastAsia" w:cs="宋体"/>
                <w:kern w:val="0"/>
                <w:sz w:val="21"/>
                <w:szCs w:val="21"/>
                <w:lang w:bidi="ar"/>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BBDB1">
            <w:pPr>
              <w:jc w:val="left"/>
              <w:rPr>
                <w:rFonts w:hint="eastAsia" w:cs="宋体"/>
                <w:sz w:val="21"/>
                <w:szCs w:val="21"/>
              </w:rPr>
            </w:pPr>
            <w:r>
              <w:rPr>
                <w:rFonts w:hint="eastAsia"/>
                <w:sz w:val="21"/>
                <w:szCs w:val="21"/>
              </w:rPr>
              <w:t>本项满分1分，采取有效措施得满分，未采取有效措施不得分。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9131A">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ECA8C">
            <w:pPr>
              <w:jc w:val="center"/>
              <w:rPr>
                <w:rFonts w:hint="eastAsia" w:cs="宋体"/>
                <w:sz w:val="21"/>
                <w:szCs w:val="21"/>
              </w:rPr>
            </w:pPr>
          </w:p>
        </w:tc>
      </w:tr>
      <w:tr w14:paraId="2D0C075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1425">
            <w:pPr>
              <w:jc w:val="center"/>
              <w:textAlignment w:val="center"/>
              <w:rPr>
                <w:rFonts w:hint="eastAsia" w:cs="宋体"/>
                <w:kern w:val="0"/>
                <w:sz w:val="21"/>
                <w:szCs w:val="21"/>
                <w:lang w:bidi="ar"/>
              </w:rPr>
            </w:pPr>
            <w:r>
              <w:rPr>
                <w:rFonts w:hint="eastAsia" w:cs="宋体"/>
                <w:kern w:val="0"/>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88F0E">
            <w:pPr>
              <w:jc w:val="left"/>
              <w:rPr>
                <w:rFonts w:hint="eastAsia" w:cs="宋体"/>
                <w:sz w:val="21"/>
                <w:szCs w:val="21"/>
              </w:rPr>
            </w:pPr>
            <w:r>
              <w:rPr>
                <w:sz w:val="21"/>
                <w:szCs w:val="21"/>
              </w:rPr>
              <w:t>合理利用雨水、基坑降水，用于施工降尘、绿化浇灌等实现再利用</w:t>
            </w:r>
            <w:r>
              <w:rPr>
                <w:rFonts w:hint="eastAsia"/>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4EE18">
            <w:pPr>
              <w:jc w:val="left"/>
              <w:rPr>
                <w:rFonts w:hint="eastAsia" w:cs="宋体"/>
                <w:sz w:val="21"/>
                <w:szCs w:val="21"/>
              </w:rPr>
            </w:pPr>
            <w:r>
              <w:rPr>
                <w:rFonts w:hint="eastAsia"/>
                <w:sz w:val="21"/>
                <w:szCs w:val="21"/>
              </w:rPr>
              <w:t>本项满分1分，采取有效措施得满分，未采取有效措施不得分。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ED8AC">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B230B">
            <w:pPr>
              <w:jc w:val="center"/>
              <w:rPr>
                <w:rFonts w:hint="eastAsia" w:cs="宋体"/>
                <w:sz w:val="21"/>
                <w:szCs w:val="21"/>
              </w:rPr>
            </w:pPr>
          </w:p>
        </w:tc>
      </w:tr>
      <w:tr w14:paraId="325C613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21368">
            <w:pPr>
              <w:jc w:val="center"/>
              <w:textAlignment w:val="center"/>
              <w:rPr>
                <w:rFonts w:hint="eastAsia" w:cs="宋体"/>
                <w:kern w:val="0"/>
                <w:sz w:val="21"/>
                <w:szCs w:val="21"/>
                <w:lang w:bidi="ar"/>
              </w:rPr>
            </w:pPr>
            <w:r>
              <w:rPr>
                <w:rFonts w:hint="eastAsia" w:cs="宋体"/>
                <w:kern w:val="0"/>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F5A38">
            <w:pPr>
              <w:jc w:val="left"/>
              <w:rPr>
                <w:rFonts w:hint="eastAsia" w:cs="宋体"/>
                <w:kern w:val="0"/>
                <w:sz w:val="21"/>
                <w:szCs w:val="21"/>
                <w:lang w:bidi="ar"/>
              </w:rPr>
            </w:pPr>
            <w:r>
              <w:rPr>
                <w:rFonts w:hint="eastAsia" w:cs="宋体"/>
                <w:kern w:val="0"/>
                <w:sz w:val="21"/>
                <w:szCs w:val="21"/>
              </w:rPr>
              <w:t>飞轮储能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4DD3A">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7CD77">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22E70">
            <w:pPr>
              <w:jc w:val="center"/>
              <w:rPr>
                <w:rFonts w:hint="eastAsia" w:cs="宋体"/>
                <w:sz w:val="21"/>
                <w:szCs w:val="21"/>
              </w:rPr>
            </w:pPr>
          </w:p>
        </w:tc>
      </w:tr>
      <w:tr w14:paraId="764F6F58">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A75B7">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2B530">
            <w:pPr>
              <w:jc w:val="left"/>
              <w:rPr>
                <w:rFonts w:hint="eastAsia" w:cs="宋体"/>
                <w:sz w:val="21"/>
                <w:szCs w:val="21"/>
              </w:rPr>
            </w:pPr>
            <w:r>
              <w:rPr>
                <w:rFonts w:hint="eastAsia"/>
                <w:sz w:val="21"/>
                <w:szCs w:val="21"/>
              </w:rPr>
              <w:t>飞轮储能基础及升压站电气楼</w:t>
            </w:r>
            <w:r>
              <w:rPr>
                <w:sz w:val="21"/>
                <w:szCs w:val="21"/>
              </w:rPr>
              <w:t>混凝土采用绿色环保的节水施工工艺和混凝土养护工艺，当采用洒水或喷雾养护时，养护用水使用回收的基坑降水或雨水</w:t>
            </w:r>
            <w:r>
              <w:rPr>
                <w:rFonts w:hint="eastAsia"/>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DC5C2">
            <w:pPr>
              <w:jc w:val="left"/>
              <w:rPr>
                <w:rFonts w:hint="eastAsia" w:cs="宋体"/>
                <w:sz w:val="21"/>
                <w:szCs w:val="21"/>
              </w:rPr>
            </w:pPr>
            <w:r>
              <w:rPr>
                <w:rFonts w:hint="eastAsia"/>
                <w:sz w:val="21"/>
                <w:szCs w:val="21"/>
              </w:rPr>
              <w:t>本项满分1分，采取有效措施得满分，未采取有效措施不得分。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87CB7">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55F23">
            <w:pPr>
              <w:jc w:val="center"/>
              <w:rPr>
                <w:rFonts w:hint="eastAsia" w:cs="宋体"/>
                <w:sz w:val="21"/>
                <w:szCs w:val="21"/>
              </w:rPr>
            </w:pPr>
          </w:p>
        </w:tc>
      </w:tr>
      <w:tr w14:paraId="36EFBDF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F748F">
            <w:pPr>
              <w:jc w:val="center"/>
              <w:textAlignment w:val="center"/>
              <w:rPr>
                <w:rFonts w:hint="eastAsia" w:cs="宋体"/>
                <w:kern w:val="0"/>
                <w:sz w:val="21"/>
                <w:szCs w:val="21"/>
                <w:lang w:bidi="ar"/>
              </w:rPr>
            </w:pPr>
            <w:r>
              <w:rPr>
                <w:rFonts w:hint="eastAsia" w:cs="宋体"/>
                <w:kern w:val="0"/>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779E0">
            <w:pPr>
              <w:jc w:val="left"/>
              <w:rPr>
                <w:rFonts w:hint="eastAsia" w:cs="宋体"/>
                <w:sz w:val="21"/>
                <w:szCs w:val="21"/>
              </w:rPr>
            </w:pPr>
            <w:r>
              <w:rPr>
                <w:rFonts w:hint="eastAsia"/>
                <w:sz w:val="21"/>
                <w:szCs w:val="21"/>
              </w:rPr>
              <w:t>合理利用雨水、基坑降水，用于施工降尘、绿化浇灌等实现再利用。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B5DBE">
            <w:pPr>
              <w:jc w:val="left"/>
              <w:rPr>
                <w:rFonts w:hint="eastAsia" w:cs="宋体"/>
                <w:sz w:val="21"/>
                <w:szCs w:val="21"/>
              </w:rPr>
            </w:pPr>
            <w:r>
              <w:rPr>
                <w:rFonts w:hint="eastAsia"/>
                <w:sz w:val="21"/>
                <w:szCs w:val="21"/>
              </w:rPr>
              <w:t>本项满分1分，采取有效措施得满分，未采取有效措施不得分。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813ED">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10CAA">
            <w:pPr>
              <w:jc w:val="center"/>
              <w:rPr>
                <w:rFonts w:hint="eastAsia" w:cs="宋体"/>
                <w:sz w:val="21"/>
                <w:szCs w:val="21"/>
              </w:rPr>
            </w:pPr>
          </w:p>
        </w:tc>
      </w:tr>
      <w:tr w14:paraId="0312989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844E4">
            <w:pPr>
              <w:jc w:val="center"/>
              <w:textAlignment w:val="center"/>
              <w:rPr>
                <w:rFonts w:hint="eastAsia" w:cs="宋体"/>
                <w:kern w:val="0"/>
                <w:sz w:val="21"/>
                <w:szCs w:val="21"/>
                <w:lang w:bidi="ar"/>
              </w:rPr>
            </w:pPr>
            <w:r>
              <w:rPr>
                <w:rFonts w:hint="eastAsia" w:cs="宋体"/>
                <w:kern w:val="0"/>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7983A">
            <w:pPr>
              <w:jc w:val="left"/>
              <w:rPr>
                <w:rFonts w:hint="eastAsia" w:cs="宋体"/>
                <w:sz w:val="21"/>
                <w:szCs w:val="21"/>
              </w:rPr>
            </w:pPr>
            <w:r>
              <w:rPr>
                <w:rFonts w:hint="eastAsia" w:cs="宋体"/>
                <w:kern w:val="0"/>
                <w:sz w:val="21"/>
                <w:szCs w:val="21"/>
              </w:rPr>
              <w:t>压缩空气储能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7A1CA">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6AF7A">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6C725">
            <w:pPr>
              <w:jc w:val="center"/>
              <w:rPr>
                <w:rFonts w:hint="eastAsia" w:cs="宋体"/>
                <w:sz w:val="21"/>
                <w:szCs w:val="21"/>
              </w:rPr>
            </w:pPr>
          </w:p>
        </w:tc>
      </w:tr>
      <w:tr w14:paraId="242FBCB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534B1">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367F5">
            <w:pPr>
              <w:jc w:val="left"/>
              <w:rPr>
                <w:rFonts w:hint="eastAsia" w:cs="宋体"/>
                <w:sz w:val="21"/>
                <w:szCs w:val="21"/>
              </w:rPr>
            </w:pPr>
            <w:r>
              <w:rPr>
                <w:rFonts w:hint="eastAsia"/>
                <w:sz w:val="21"/>
                <w:szCs w:val="21"/>
              </w:rPr>
              <w:t>压缩空气储能基础及升压站电气楼</w:t>
            </w:r>
            <w:r>
              <w:rPr>
                <w:sz w:val="21"/>
                <w:szCs w:val="21"/>
              </w:rPr>
              <w:t>混凝土采用绿色环保的节水施工工艺和混凝土养护工艺，当采用洒水或喷雾养护时，养护用水使用回收的基坑降水或雨水</w:t>
            </w:r>
            <w:r>
              <w:rPr>
                <w:rFonts w:hint="eastAsia"/>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803F0">
            <w:pPr>
              <w:jc w:val="left"/>
              <w:rPr>
                <w:rFonts w:hint="eastAsia" w:cs="宋体"/>
                <w:sz w:val="21"/>
                <w:szCs w:val="21"/>
              </w:rPr>
            </w:pPr>
            <w:r>
              <w:rPr>
                <w:rFonts w:hint="eastAsia"/>
                <w:sz w:val="21"/>
                <w:szCs w:val="21"/>
              </w:rPr>
              <w:t>本项满分1分，采取有效措施得满分，未采取有效措施不得分。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BD12C">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46DA8">
            <w:pPr>
              <w:jc w:val="center"/>
              <w:rPr>
                <w:rFonts w:hint="eastAsia" w:cs="宋体"/>
                <w:sz w:val="21"/>
                <w:szCs w:val="21"/>
              </w:rPr>
            </w:pPr>
          </w:p>
        </w:tc>
      </w:tr>
      <w:tr w14:paraId="0D412B1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7ADE4">
            <w:pPr>
              <w:jc w:val="center"/>
              <w:textAlignment w:val="center"/>
              <w:rPr>
                <w:rFonts w:hint="eastAsia" w:cs="宋体"/>
                <w:kern w:val="0"/>
                <w:sz w:val="21"/>
                <w:szCs w:val="21"/>
                <w:lang w:bidi="ar"/>
              </w:rPr>
            </w:pPr>
            <w:r>
              <w:rPr>
                <w:rFonts w:hint="eastAsia" w:cs="宋体"/>
                <w:kern w:val="0"/>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6F5DE">
            <w:pPr>
              <w:adjustRightInd w:val="0"/>
              <w:snapToGrid w:val="0"/>
              <w:rPr>
                <w:rFonts w:hint="eastAsia"/>
                <w:sz w:val="21"/>
                <w:szCs w:val="21"/>
              </w:rPr>
            </w:pPr>
            <w:r>
              <w:rPr>
                <w:rFonts w:hint="eastAsia"/>
                <w:sz w:val="21"/>
                <w:szCs w:val="21"/>
              </w:rPr>
              <w:t>合理利用雨水、基坑降水，用于施工降尘、绿化浇灌等实现再利用。</w:t>
            </w:r>
          </w:p>
          <w:p w14:paraId="6E933105">
            <w:pPr>
              <w:jc w:val="left"/>
              <w:rPr>
                <w:rFonts w:hint="eastAsia" w:cs="宋体"/>
                <w:sz w:val="21"/>
                <w:szCs w:val="21"/>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C71D2">
            <w:pPr>
              <w:jc w:val="left"/>
              <w:rPr>
                <w:rFonts w:hint="eastAsia" w:cs="宋体"/>
                <w:sz w:val="21"/>
                <w:szCs w:val="21"/>
              </w:rPr>
            </w:pPr>
            <w:r>
              <w:rPr>
                <w:rFonts w:hint="eastAsia"/>
                <w:sz w:val="21"/>
                <w:szCs w:val="21"/>
              </w:rPr>
              <w:t>本项满分1分，采取有效措施得满分，未采取有效措施不得分。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75970">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ED07D">
            <w:pPr>
              <w:jc w:val="center"/>
              <w:rPr>
                <w:rFonts w:hint="eastAsia" w:cs="宋体"/>
                <w:sz w:val="21"/>
                <w:szCs w:val="21"/>
              </w:rPr>
            </w:pPr>
          </w:p>
        </w:tc>
      </w:tr>
      <w:tr w14:paraId="736A9E4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F1B4D">
            <w:pPr>
              <w:jc w:val="center"/>
              <w:textAlignment w:val="center"/>
              <w:rPr>
                <w:rFonts w:hint="eastAsia" w:cs="宋体"/>
                <w:kern w:val="0"/>
                <w:sz w:val="21"/>
                <w:szCs w:val="21"/>
                <w:lang w:bidi="ar"/>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71BCE">
            <w:pPr>
              <w:jc w:val="left"/>
              <w:rPr>
                <w:rFonts w:hint="eastAsia" w:cs="宋体"/>
                <w:kern w:val="0"/>
                <w:sz w:val="21"/>
                <w:szCs w:val="21"/>
                <w:lang w:bidi="ar"/>
              </w:rPr>
            </w:pPr>
            <w:r>
              <w:rPr>
                <w:rFonts w:hint="eastAsia" w:cs="宋体"/>
                <w:kern w:val="0"/>
                <w:sz w:val="21"/>
                <w:szCs w:val="21"/>
                <w:lang w:bidi="ar"/>
              </w:rPr>
              <w:t>Ⅳ  能源节约与高效利用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2AEF1">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E05D3">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26B4A">
            <w:pPr>
              <w:jc w:val="center"/>
              <w:rPr>
                <w:rFonts w:hint="eastAsia" w:cs="宋体"/>
                <w:sz w:val="21"/>
                <w:szCs w:val="21"/>
              </w:rPr>
            </w:pPr>
          </w:p>
        </w:tc>
      </w:tr>
      <w:tr w14:paraId="4CE6EA1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6933C">
            <w:pPr>
              <w:jc w:val="center"/>
              <w:textAlignment w:val="center"/>
              <w:rPr>
                <w:rFonts w:hint="eastAsia" w:cs="宋体"/>
                <w:kern w:val="0"/>
                <w:sz w:val="21"/>
                <w:szCs w:val="21"/>
                <w:lang w:bidi="ar"/>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B3A71">
            <w:pPr>
              <w:jc w:val="left"/>
              <w:rPr>
                <w:rFonts w:hint="eastAsia" w:cs="宋体"/>
                <w:kern w:val="0"/>
                <w:sz w:val="21"/>
                <w:szCs w:val="21"/>
                <w:lang w:bidi="ar"/>
              </w:rPr>
            </w:pPr>
            <w:r>
              <w:rPr>
                <w:rFonts w:hint="eastAsia" w:cs="宋体"/>
                <w:kern w:val="0"/>
                <w:sz w:val="21"/>
                <w:szCs w:val="21"/>
                <w:lang w:bidi="ar"/>
              </w:rPr>
              <w:t>通用项</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DCC20">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CE7FA">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C416E">
            <w:pPr>
              <w:jc w:val="center"/>
              <w:rPr>
                <w:rFonts w:hint="eastAsia" w:cs="宋体"/>
                <w:sz w:val="21"/>
                <w:szCs w:val="21"/>
              </w:rPr>
            </w:pPr>
          </w:p>
        </w:tc>
      </w:tr>
      <w:tr w14:paraId="0EC147D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00325">
            <w:pPr>
              <w:jc w:val="center"/>
              <w:textAlignment w:val="center"/>
              <w:rPr>
                <w:rFonts w:hint="eastAsia" w:cs="宋体"/>
                <w:kern w:val="0"/>
                <w:sz w:val="21"/>
                <w:szCs w:val="21"/>
                <w:lang w:bidi="ar"/>
              </w:rPr>
            </w:pPr>
            <w:r>
              <w:rPr>
                <w:sz w:val="21"/>
                <w:szCs w:val="21"/>
              </w:rPr>
              <w:t>6.3.22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58D83">
            <w:pPr>
              <w:jc w:val="left"/>
              <w:rPr>
                <w:rFonts w:hint="eastAsia" w:cs="宋体"/>
                <w:kern w:val="0"/>
                <w:sz w:val="21"/>
                <w:szCs w:val="21"/>
                <w:lang w:bidi="ar"/>
              </w:rPr>
            </w:pPr>
            <w:r>
              <w:fldChar w:fldCharType="begin"/>
            </w:r>
            <w:r>
              <w:instrText xml:space="preserve"> HYPERLINK \l "_Toc162470928" </w:instrText>
            </w:r>
            <w:r>
              <w:fldChar w:fldCharType="separate"/>
            </w:r>
            <w:r>
              <w:rPr>
                <w:rFonts w:hint="eastAsia"/>
                <w:sz w:val="21"/>
                <w:szCs w:val="21"/>
              </w:rPr>
              <w:t>能源节约与高效利用</w:t>
            </w:r>
            <w:r>
              <w:rPr>
                <w:sz w:val="21"/>
                <w:szCs w:val="21"/>
              </w:rPr>
              <w:t>通用项</w:t>
            </w:r>
            <w:r>
              <w:rPr>
                <w:sz w:val="21"/>
                <w:szCs w:val="21"/>
              </w:rPr>
              <w:fldChar w:fldCharType="end"/>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2CA16">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F6C42">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8F7A4">
            <w:pPr>
              <w:jc w:val="center"/>
              <w:rPr>
                <w:rFonts w:hint="eastAsia" w:cs="宋体"/>
                <w:sz w:val="21"/>
                <w:szCs w:val="21"/>
              </w:rPr>
            </w:pPr>
          </w:p>
        </w:tc>
      </w:tr>
      <w:tr w14:paraId="54E0F13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CCC82">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E57D1">
            <w:pPr>
              <w:jc w:val="left"/>
              <w:rPr>
                <w:rFonts w:hint="eastAsia" w:cs="宋体"/>
                <w:kern w:val="0"/>
                <w:sz w:val="21"/>
                <w:szCs w:val="21"/>
                <w:lang w:bidi="ar"/>
              </w:rPr>
            </w:pPr>
            <w:r>
              <w:rPr>
                <w:sz w:val="21"/>
                <w:szCs w:val="21"/>
              </w:rPr>
              <w:t>应</w:t>
            </w:r>
            <w:r>
              <w:rPr>
                <w:rFonts w:hint="eastAsia"/>
                <w:sz w:val="21"/>
                <w:szCs w:val="21"/>
              </w:rPr>
              <w:t>制定施工用能</w:t>
            </w:r>
            <w:r>
              <w:rPr>
                <w:sz w:val="21"/>
                <w:szCs w:val="21"/>
              </w:rPr>
              <w:t>节约管理</w:t>
            </w:r>
            <w:r>
              <w:rPr>
                <w:rFonts w:hint="eastAsia"/>
                <w:sz w:val="21"/>
                <w:szCs w:val="21"/>
              </w:rPr>
              <w:t>措施，明确能源</w:t>
            </w:r>
            <w:r>
              <w:rPr>
                <w:sz w:val="21"/>
                <w:szCs w:val="21"/>
              </w:rPr>
              <w:t>消耗总目标</w:t>
            </w:r>
            <w:r>
              <w:rPr>
                <w:rFonts w:hint="eastAsia"/>
                <w:sz w:val="21"/>
                <w:szCs w:val="21"/>
              </w:rPr>
              <w:t>，并分阶段（地基与基础、主体结构、屋面及装饰装修、安装、调试）、分标段、分区域制定能源</w:t>
            </w:r>
            <w:r>
              <w:rPr>
                <w:sz w:val="21"/>
                <w:szCs w:val="21"/>
              </w:rPr>
              <w:t>消耗指标，</w:t>
            </w:r>
            <w:r>
              <w:rPr>
                <w:rFonts w:hint="eastAsia"/>
                <w:sz w:val="21"/>
                <w:szCs w:val="21"/>
              </w:rPr>
              <w:t>能源节约量</w:t>
            </w:r>
            <w:r>
              <w:rPr>
                <w:sz w:val="21"/>
                <w:szCs w:val="21"/>
              </w:rPr>
              <w:t>不低于定额</w:t>
            </w:r>
            <w:r>
              <w:rPr>
                <w:rFonts w:hint="eastAsia"/>
                <w:sz w:val="21"/>
                <w:szCs w:val="21"/>
              </w:rPr>
              <w:t>能耗</w:t>
            </w:r>
            <w:r>
              <w:rPr>
                <w:sz w:val="21"/>
                <w:szCs w:val="21"/>
              </w:rPr>
              <w:t>的10%</w:t>
            </w:r>
            <w:r>
              <w:rPr>
                <w:rFonts w:hint="eastAsia"/>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BB66F">
            <w:pPr>
              <w:jc w:val="left"/>
              <w:rPr>
                <w:rFonts w:hint="eastAsia" w:cs="宋体"/>
                <w:sz w:val="21"/>
                <w:szCs w:val="21"/>
              </w:rPr>
            </w:pPr>
            <w:r>
              <w:rPr>
                <w:rFonts w:hint="eastAsia"/>
                <w:sz w:val="21"/>
                <w:szCs w:val="21"/>
              </w:rPr>
              <w:t>能源节约量</w:t>
            </w:r>
            <w:r>
              <w:rPr>
                <w:sz w:val="21"/>
                <w:szCs w:val="21"/>
              </w:rPr>
              <w:t>低于定额</w:t>
            </w:r>
            <w:r>
              <w:rPr>
                <w:rFonts w:hint="eastAsia"/>
                <w:sz w:val="21"/>
                <w:szCs w:val="21"/>
              </w:rPr>
              <w:t>能耗</w:t>
            </w:r>
            <w:r>
              <w:rPr>
                <w:sz w:val="21"/>
                <w:szCs w:val="21"/>
              </w:rPr>
              <w:t>的10%</w:t>
            </w:r>
            <w:r>
              <w:rPr>
                <w:rFonts w:hint="eastAsia"/>
                <w:sz w:val="21"/>
                <w:szCs w:val="21"/>
              </w:rPr>
              <w:t>，扣0.5分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27B12">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8249A">
            <w:pPr>
              <w:jc w:val="center"/>
              <w:rPr>
                <w:rFonts w:hint="eastAsia" w:cs="宋体"/>
                <w:sz w:val="21"/>
                <w:szCs w:val="21"/>
              </w:rPr>
            </w:pPr>
          </w:p>
        </w:tc>
      </w:tr>
      <w:tr w14:paraId="1FC2A2B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30A45">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DEEDB">
            <w:pPr>
              <w:jc w:val="left"/>
              <w:rPr>
                <w:rFonts w:hint="eastAsia" w:cs="宋体"/>
                <w:kern w:val="0"/>
                <w:sz w:val="21"/>
                <w:szCs w:val="21"/>
                <w:lang w:bidi="ar"/>
              </w:rPr>
            </w:pPr>
            <w:r>
              <w:rPr>
                <w:sz w:val="21"/>
                <w:szCs w:val="21"/>
              </w:rPr>
              <w:t>应建立能源消耗台账，并分别计量，大型耗能设备应单独计量。</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10FB7">
            <w:pPr>
              <w:jc w:val="left"/>
              <w:rPr>
                <w:rFonts w:hint="eastAsia" w:cs="宋体"/>
                <w:sz w:val="21"/>
                <w:szCs w:val="21"/>
              </w:rPr>
            </w:pPr>
            <w:r>
              <w:rPr>
                <w:rFonts w:hint="eastAsia" w:cs="宋体"/>
                <w:sz w:val="21"/>
                <w:szCs w:val="21"/>
              </w:rPr>
              <w:t>未建立能源消耗台账，扣0.5分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4B640">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075C3">
            <w:pPr>
              <w:jc w:val="center"/>
              <w:rPr>
                <w:rFonts w:hint="eastAsia" w:cs="宋体"/>
                <w:sz w:val="21"/>
                <w:szCs w:val="21"/>
              </w:rPr>
            </w:pPr>
          </w:p>
        </w:tc>
      </w:tr>
      <w:tr w14:paraId="6281B34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A11E4">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D1A84">
            <w:pPr>
              <w:jc w:val="left"/>
              <w:rPr>
                <w:rFonts w:hint="eastAsia" w:cs="宋体"/>
                <w:kern w:val="0"/>
                <w:sz w:val="21"/>
                <w:szCs w:val="21"/>
                <w:lang w:bidi="ar"/>
              </w:rPr>
            </w:pPr>
            <w:r>
              <w:rPr>
                <w:sz w:val="21"/>
                <w:szCs w:val="21"/>
              </w:rPr>
              <w:t>制定合理的节能方案。</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F06C1">
            <w:pPr>
              <w:jc w:val="left"/>
              <w:rPr>
                <w:rFonts w:hint="eastAsia" w:cs="宋体"/>
                <w:sz w:val="21"/>
                <w:szCs w:val="21"/>
              </w:rPr>
            </w:pPr>
            <w:r>
              <w:rPr>
                <w:rFonts w:hint="eastAsia" w:cs="宋体"/>
                <w:sz w:val="21"/>
                <w:szCs w:val="21"/>
              </w:rPr>
              <w:t>未制定节能方案，或节能方案不合理，扣0.5分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2FAEC">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0FD4A">
            <w:pPr>
              <w:jc w:val="center"/>
              <w:rPr>
                <w:rFonts w:hint="eastAsia" w:cs="宋体"/>
                <w:sz w:val="21"/>
                <w:szCs w:val="21"/>
              </w:rPr>
            </w:pPr>
          </w:p>
        </w:tc>
      </w:tr>
      <w:tr w14:paraId="2FEF8C27">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7C23A">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2E238">
            <w:pPr>
              <w:jc w:val="left"/>
              <w:rPr>
                <w:rFonts w:hint="eastAsia" w:cs="宋体"/>
                <w:kern w:val="0"/>
                <w:sz w:val="21"/>
                <w:szCs w:val="21"/>
                <w:lang w:bidi="ar"/>
              </w:rPr>
            </w:pPr>
            <w:r>
              <w:rPr>
                <w:sz w:val="21"/>
                <w:szCs w:val="21"/>
              </w:rPr>
              <w:t>选用合理的机械设备</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D4C32">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0E970">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84E45">
            <w:pPr>
              <w:jc w:val="center"/>
              <w:rPr>
                <w:rFonts w:hint="eastAsia" w:cs="宋体"/>
                <w:sz w:val="21"/>
                <w:szCs w:val="21"/>
              </w:rPr>
            </w:pPr>
          </w:p>
        </w:tc>
      </w:tr>
      <w:tr w14:paraId="16083FB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07AE7">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7B561">
            <w:pPr>
              <w:jc w:val="left"/>
              <w:rPr>
                <w:rFonts w:hint="eastAsia" w:cs="宋体"/>
                <w:kern w:val="0"/>
                <w:sz w:val="21"/>
                <w:szCs w:val="21"/>
                <w:lang w:bidi="ar"/>
              </w:rPr>
            </w:pPr>
            <w:r>
              <w:rPr>
                <w:sz w:val="21"/>
                <w:szCs w:val="21"/>
              </w:rPr>
              <w:t>选择功率与负载相匹配的施工机械设备，选择国家</w:t>
            </w:r>
            <w:r>
              <w:rPr>
                <w:rFonts w:hint="eastAsia"/>
                <w:sz w:val="21"/>
                <w:szCs w:val="21"/>
              </w:rPr>
              <w:t>及</w:t>
            </w:r>
            <w:r>
              <w:rPr>
                <w:sz w:val="21"/>
                <w:szCs w:val="21"/>
              </w:rPr>
              <w:t>行业推荐</w:t>
            </w:r>
            <w:r>
              <w:rPr>
                <w:rFonts w:hint="eastAsia"/>
                <w:sz w:val="21"/>
                <w:szCs w:val="21"/>
              </w:rPr>
              <w:t>的</w:t>
            </w:r>
            <w:r>
              <w:rPr>
                <w:sz w:val="21"/>
                <w:szCs w:val="21"/>
              </w:rPr>
              <w:t>节能、环保工具和设备</w:t>
            </w:r>
            <w:r>
              <w:rPr>
                <w:rFonts w:hint="eastAsia"/>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60C53">
            <w:pPr>
              <w:jc w:val="left"/>
              <w:rPr>
                <w:rFonts w:hint="eastAsia" w:cs="宋体"/>
                <w:sz w:val="21"/>
                <w:szCs w:val="21"/>
              </w:rPr>
            </w:pPr>
            <w:r>
              <w:rPr>
                <w:rFonts w:hint="eastAsia" w:cs="宋体"/>
                <w:sz w:val="21"/>
                <w:szCs w:val="21"/>
              </w:rPr>
              <w:t>机械设备功率选择不合理，未选择国家及行业推荐的设备，扣0.25分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3ADF0">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4853E">
            <w:pPr>
              <w:jc w:val="center"/>
              <w:rPr>
                <w:rFonts w:hint="eastAsia" w:cs="宋体"/>
                <w:sz w:val="21"/>
                <w:szCs w:val="21"/>
              </w:rPr>
            </w:pPr>
          </w:p>
        </w:tc>
      </w:tr>
      <w:tr w14:paraId="555C368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1360C">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34E80">
            <w:pPr>
              <w:jc w:val="left"/>
              <w:rPr>
                <w:rFonts w:hint="eastAsia" w:cs="宋体"/>
                <w:kern w:val="0"/>
                <w:sz w:val="21"/>
                <w:szCs w:val="21"/>
                <w:lang w:bidi="ar"/>
              </w:rPr>
            </w:pPr>
            <w:r>
              <w:rPr>
                <w:sz w:val="21"/>
                <w:szCs w:val="21"/>
              </w:rPr>
              <w:t>加强施工机械设备的使用和维护管理，降低运行损耗。避免大功率施工机械设备低负载长时间运行</w:t>
            </w:r>
            <w:r>
              <w:rPr>
                <w:rFonts w:hint="eastAsia"/>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76874">
            <w:pPr>
              <w:jc w:val="left"/>
              <w:rPr>
                <w:rFonts w:hint="eastAsia" w:cs="宋体"/>
                <w:sz w:val="21"/>
                <w:szCs w:val="21"/>
              </w:rPr>
            </w:pPr>
            <w:r>
              <w:rPr>
                <w:sz w:val="21"/>
                <w:szCs w:val="21"/>
              </w:rPr>
              <w:t>施工机械设备的使用和维护管理</w:t>
            </w:r>
            <w:r>
              <w:rPr>
                <w:rFonts w:hint="eastAsia"/>
                <w:sz w:val="21"/>
                <w:szCs w:val="21"/>
              </w:rPr>
              <w:t>不到位，扣0.25分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F0FD2">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EB17E">
            <w:pPr>
              <w:jc w:val="center"/>
              <w:rPr>
                <w:rFonts w:hint="eastAsia" w:cs="宋体"/>
                <w:sz w:val="21"/>
                <w:szCs w:val="21"/>
              </w:rPr>
            </w:pPr>
          </w:p>
        </w:tc>
      </w:tr>
      <w:tr w14:paraId="17108E43">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5516E">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1C81E">
            <w:pPr>
              <w:jc w:val="left"/>
              <w:rPr>
                <w:rFonts w:hint="eastAsia" w:cs="宋体"/>
                <w:kern w:val="0"/>
                <w:sz w:val="21"/>
                <w:szCs w:val="21"/>
                <w:lang w:bidi="ar"/>
              </w:rPr>
            </w:pPr>
            <w:r>
              <w:rPr>
                <w:sz w:val="21"/>
                <w:szCs w:val="21"/>
              </w:rPr>
              <w:t>机械设备宜使用节能型油料添加剂，节约</w:t>
            </w:r>
            <w:r>
              <w:rPr>
                <w:rFonts w:hint="eastAsia"/>
                <w:sz w:val="21"/>
                <w:szCs w:val="21"/>
              </w:rPr>
              <w:t>燃油</w:t>
            </w:r>
            <w:r>
              <w:rPr>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71AF6">
            <w:pPr>
              <w:jc w:val="left"/>
              <w:rPr>
                <w:rFonts w:hint="eastAsia" w:cs="宋体"/>
                <w:sz w:val="21"/>
                <w:szCs w:val="21"/>
              </w:rPr>
            </w:pPr>
            <w:r>
              <w:rPr>
                <w:rFonts w:hint="eastAsia" w:cs="宋体"/>
                <w:sz w:val="21"/>
                <w:szCs w:val="21"/>
              </w:rPr>
              <w:t>未使用节能型油料添加剂，扣0.25分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23711">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77001">
            <w:pPr>
              <w:jc w:val="center"/>
              <w:rPr>
                <w:rFonts w:hint="eastAsia" w:cs="宋体"/>
                <w:sz w:val="21"/>
                <w:szCs w:val="21"/>
              </w:rPr>
            </w:pPr>
          </w:p>
        </w:tc>
      </w:tr>
      <w:tr w14:paraId="2AEA776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E6725">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7E93C">
            <w:pPr>
              <w:jc w:val="left"/>
              <w:rPr>
                <w:rFonts w:hint="eastAsia" w:cs="宋体"/>
                <w:kern w:val="0"/>
                <w:sz w:val="21"/>
                <w:szCs w:val="21"/>
                <w:lang w:bidi="ar"/>
              </w:rPr>
            </w:pPr>
            <w:r>
              <w:rPr>
                <w:sz w:val="21"/>
                <w:szCs w:val="21"/>
              </w:rPr>
              <w:t>工程施工使用的材料宜选用距施工现场500km以内生产的建筑材料</w:t>
            </w:r>
            <w:r>
              <w:rPr>
                <w:rFonts w:hint="eastAsia"/>
                <w:sz w:val="21"/>
                <w:szCs w:val="21"/>
              </w:rPr>
              <w:t>，减少运输过程的能耗</w:t>
            </w:r>
            <w:r>
              <w:rPr>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B60C4">
            <w:pPr>
              <w:jc w:val="left"/>
              <w:rPr>
                <w:rFonts w:hint="eastAsia" w:cs="宋体"/>
                <w:sz w:val="21"/>
                <w:szCs w:val="21"/>
              </w:rPr>
            </w:pPr>
            <w:r>
              <w:rPr>
                <w:rFonts w:hint="eastAsia" w:cs="宋体"/>
                <w:sz w:val="21"/>
                <w:szCs w:val="21"/>
              </w:rPr>
              <w:t>材料运输过程增加能耗，未选用</w:t>
            </w:r>
            <w:r>
              <w:rPr>
                <w:sz w:val="21"/>
                <w:szCs w:val="21"/>
              </w:rPr>
              <w:t>施工现场500km以内生产的建筑材料</w:t>
            </w:r>
            <w:r>
              <w:rPr>
                <w:rFonts w:hint="eastAsia"/>
                <w:sz w:val="21"/>
                <w:szCs w:val="21"/>
              </w:rPr>
              <w:t>，扣0.25分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BFAFE">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8E087">
            <w:pPr>
              <w:jc w:val="center"/>
              <w:rPr>
                <w:rFonts w:hint="eastAsia" w:cs="宋体"/>
                <w:sz w:val="21"/>
                <w:szCs w:val="21"/>
              </w:rPr>
            </w:pPr>
          </w:p>
        </w:tc>
      </w:tr>
      <w:tr w14:paraId="0927E7C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48F5F">
            <w:pPr>
              <w:jc w:val="center"/>
              <w:textAlignment w:val="center"/>
              <w:rPr>
                <w:rFonts w:hint="eastAsia" w:cs="宋体"/>
                <w:kern w:val="0"/>
                <w:sz w:val="21"/>
                <w:szCs w:val="21"/>
                <w:lang w:bidi="ar"/>
              </w:rPr>
            </w:pPr>
            <w:r>
              <w:rPr>
                <w:rFonts w:hint="eastAsia" w:cs="宋体"/>
                <w:kern w:val="0"/>
                <w:sz w:val="21"/>
                <w:szCs w:val="21"/>
                <w:lang w:bidi="ar"/>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D3C9A">
            <w:pPr>
              <w:jc w:val="left"/>
              <w:rPr>
                <w:rFonts w:hint="eastAsia" w:cs="宋体"/>
                <w:kern w:val="0"/>
                <w:sz w:val="21"/>
                <w:szCs w:val="21"/>
                <w:lang w:bidi="ar"/>
              </w:rPr>
            </w:pPr>
            <w:r>
              <w:rPr>
                <w:sz w:val="21"/>
                <w:szCs w:val="21"/>
              </w:rPr>
              <w:t>制定合理的施工用电及照明节能措施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ABAFC">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423A0">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76EF1">
            <w:pPr>
              <w:jc w:val="center"/>
              <w:rPr>
                <w:rFonts w:hint="eastAsia" w:cs="宋体"/>
                <w:sz w:val="21"/>
                <w:szCs w:val="21"/>
              </w:rPr>
            </w:pPr>
          </w:p>
        </w:tc>
      </w:tr>
      <w:tr w14:paraId="777A2B8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350B3">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BBE97">
            <w:pPr>
              <w:jc w:val="left"/>
              <w:rPr>
                <w:rFonts w:hint="eastAsia" w:cs="宋体"/>
                <w:kern w:val="0"/>
                <w:sz w:val="21"/>
                <w:szCs w:val="21"/>
                <w:lang w:bidi="ar"/>
              </w:rPr>
            </w:pPr>
            <w:r>
              <w:rPr>
                <w:rFonts w:hint="eastAsia"/>
                <w:sz w:val="21"/>
                <w:szCs w:val="21"/>
              </w:rPr>
              <w:t>优化临时用电系统，</w:t>
            </w:r>
            <w:r>
              <w:rPr>
                <w:sz w:val="21"/>
                <w:szCs w:val="21"/>
              </w:rPr>
              <w:t>合理布置临时用电线路</w:t>
            </w:r>
            <w:r>
              <w:rPr>
                <w:rFonts w:hint="eastAsia"/>
                <w:sz w:val="21"/>
                <w:szCs w:val="21"/>
              </w:rPr>
              <w:t>，减少临时用电系统损耗。</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B7F59">
            <w:pPr>
              <w:jc w:val="left"/>
              <w:rPr>
                <w:rFonts w:hint="eastAsia" w:cs="宋体"/>
                <w:sz w:val="21"/>
                <w:szCs w:val="21"/>
              </w:rPr>
            </w:pPr>
            <w:r>
              <w:rPr>
                <w:rFonts w:hint="eastAsia" w:cs="宋体"/>
                <w:sz w:val="21"/>
                <w:szCs w:val="21"/>
              </w:rPr>
              <w:t>临时用电系统布置不合理，损坏过大，扣0.5分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140A9">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A909A">
            <w:pPr>
              <w:jc w:val="center"/>
              <w:rPr>
                <w:rFonts w:hint="eastAsia" w:cs="宋体"/>
                <w:sz w:val="21"/>
                <w:szCs w:val="21"/>
              </w:rPr>
            </w:pPr>
          </w:p>
        </w:tc>
      </w:tr>
      <w:tr w14:paraId="2BDDE9ED">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3B940">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68785">
            <w:pPr>
              <w:jc w:val="left"/>
              <w:rPr>
                <w:rFonts w:hint="eastAsia" w:cs="宋体"/>
                <w:kern w:val="0"/>
                <w:sz w:val="21"/>
                <w:szCs w:val="21"/>
                <w:lang w:bidi="ar"/>
              </w:rPr>
            </w:pPr>
            <w:r>
              <w:rPr>
                <w:rFonts w:hint="eastAsia"/>
                <w:sz w:val="21"/>
                <w:szCs w:val="21"/>
              </w:rPr>
              <w:t>临时用电应优先采用自动控制系统设备。采用无功补偿等措施提高设备能源效率。</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9C6CA">
            <w:pPr>
              <w:jc w:val="left"/>
              <w:rPr>
                <w:rFonts w:hint="eastAsia" w:cs="宋体"/>
                <w:sz w:val="21"/>
                <w:szCs w:val="21"/>
              </w:rPr>
            </w:pPr>
            <w:r>
              <w:rPr>
                <w:rFonts w:hint="eastAsia" w:cs="宋体"/>
                <w:sz w:val="21"/>
                <w:szCs w:val="21"/>
              </w:rPr>
              <w:t>未采用自动控制系统设备，未采用</w:t>
            </w:r>
            <w:r>
              <w:rPr>
                <w:rFonts w:hint="eastAsia"/>
                <w:sz w:val="21"/>
                <w:szCs w:val="21"/>
              </w:rPr>
              <w:t>无功补偿等措施提高设备能源效率，扣0.25分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C2C8A">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59F52">
            <w:pPr>
              <w:jc w:val="center"/>
              <w:rPr>
                <w:rFonts w:hint="eastAsia" w:cs="宋体"/>
                <w:sz w:val="21"/>
                <w:szCs w:val="21"/>
              </w:rPr>
            </w:pPr>
          </w:p>
        </w:tc>
      </w:tr>
      <w:tr w14:paraId="0863B4F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3FA77">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CB179">
            <w:pPr>
              <w:jc w:val="left"/>
              <w:rPr>
                <w:rFonts w:hint="eastAsia" w:cs="宋体"/>
                <w:kern w:val="0"/>
                <w:sz w:val="21"/>
                <w:szCs w:val="21"/>
                <w:lang w:bidi="ar"/>
              </w:rPr>
            </w:pPr>
            <w:r>
              <w:rPr>
                <w:sz w:val="21"/>
                <w:szCs w:val="21"/>
              </w:rPr>
              <w:t>100%选用节能型灯具，采用高效节能的设备和用电器，加强用电器的管理及使用。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14DBE">
            <w:pPr>
              <w:jc w:val="left"/>
              <w:rPr>
                <w:rFonts w:hint="eastAsia" w:cs="宋体"/>
                <w:sz w:val="21"/>
                <w:szCs w:val="21"/>
              </w:rPr>
            </w:pPr>
            <w:r>
              <w:rPr>
                <w:rFonts w:hint="eastAsia" w:cs="宋体"/>
                <w:sz w:val="21"/>
                <w:szCs w:val="21"/>
              </w:rPr>
              <w:t>未</w:t>
            </w:r>
            <w:r>
              <w:rPr>
                <w:sz w:val="21"/>
                <w:szCs w:val="21"/>
              </w:rPr>
              <w:t>100%选用节能型灯具</w:t>
            </w:r>
            <w:r>
              <w:rPr>
                <w:rFonts w:hint="eastAsia"/>
                <w:sz w:val="21"/>
                <w:szCs w:val="21"/>
              </w:rPr>
              <w:t>，扣0.25分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04340">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09DD4">
            <w:pPr>
              <w:jc w:val="center"/>
              <w:rPr>
                <w:rFonts w:hint="eastAsia" w:cs="宋体"/>
                <w:sz w:val="21"/>
                <w:szCs w:val="21"/>
              </w:rPr>
            </w:pPr>
          </w:p>
        </w:tc>
      </w:tr>
      <w:tr w14:paraId="694BDDE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257BF">
            <w:pPr>
              <w:jc w:val="center"/>
              <w:textAlignment w:val="center"/>
              <w:rPr>
                <w:rFonts w:hint="eastAsia" w:cs="宋体"/>
                <w:kern w:val="0"/>
                <w:sz w:val="21"/>
                <w:szCs w:val="21"/>
                <w:lang w:bidi="ar"/>
              </w:rPr>
            </w:pPr>
            <w:r>
              <w:rPr>
                <w:rFonts w:hint="eastAsia" w:cs="宋体"/>
                <w:kern w:val="0"/>
                <w:sz w:val="21"/>
                <w:szCs w:val="21"/>
                <w:lang w:bidi="ar"/>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D296E">
            <w:pPr>
              <w:jc w:val="left"/>
              <w:rPr>
                <w:rFonts w:hint="eastAsia" w:cs="宋体"/>
                <w:kern w:val="0"/>
                <w:sz w:val="21"/>
                <w:szCs w:val="21"/>
                <w:lang w:bidi="ar"/>
              </w:rPr>
            </w:pPr>
            <w:r>
              <w:rPr>
                <w:sz w:val="21"/>
                <w:szCs w:val="21"/>
              </w:rPr>
              <w:t>临时设施节能</w:t>
            </w:r>
            <w:r>
              <w:rPr>
                <w:rFonts w:hint="eastAsia"/>
                <w:sz w:val="21"/>
                <w:szCs w:val="21"/>
              </w:rPr>
              <w:t>措施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B424C">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B0F37">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36DE5">
            <w:pPr>
              <w:jc w:val="center"/>
              <w:rPr>
                <w:rFonts w:hint="eastAsia" w:cs="宋体"/>
                <w:sz w:val="21"/>
                <w:szCs w:val="21"/>
              </w:rPr>
            </w:pPr>
          </w:p>
        </w:tc>
      </w:tr>
      <w:tr w14:paraId="08E7EC14">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BEBF7">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8136E">
            <w:pPr>
              <w:jc w:val="left"/>
              <w:rPr>
                <w:rFonts w:hint="eastAsia" w:cs="宋体"/>
                <w:kern w:val="0"/>
                <w:sz w:val="21"/>
                <w:szCs w:val="21"/>
                <w:lang w:bidi="ar"/>
              </w:rPr>
            </w:pPr>
            <w:r>
              <w:rPr>
                <w:sz w:val="21"/>
                <w:szCs w:val="21"/>
              </w:rPr>
              <w:t>结合场地</w:t>
            </w:r>
            <w:r>
              <w:rPr>
                <w:rFonts w:hint="eastAsia"/>
                <w:sz w:val="21"/>
                <w:szCs w:val="21"/>
              </w:rPr>
              <w:t>施工</w:t>
            </w:r>
            <w:r>
              <w:rPr>
                <w:sz w:val="21"/>
                <w:szCs w:val="21"/>
              </w:rPr>
              <w:t>条件，合理进行临时设施的设计，使其获得良好的日照、通风和采光</w:t>
            </w:r>
            <w:r>
              <w:rPr>
                <w:rFonts w:hint="eastAsia"/>
                <w:sz w:val="21"/>
                <w:szCs w:val="21"/>
              </w:rPr>
              <w:t>；</w:t>
            </w:r>
            <w:r>
              <w:rPr>
                <w:sz w:val="21"/>
                <w:szCs w:val="21"/>
              </w:rPr>
              <w:t>临时设施墙体、屋面</w:t>
            </w:r>
            <w:r>
              <w:rPr>
                <w:rFonts w:hint="eastAsia"/>
                <w:sz w:val="21"/>
                <w:szCs w:val="21"/>
              </w:rPr>
              <w:t>应</w:t>
            </w:r>
            <w:r>
              <w:rPr>
                <w:sz w:val="21"/>
                <w:szCs w:val="21"/>
              </w:rPr>
              <w:t>采用节能材料，减少空调、取暖设备的使用时间及耗能量。</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E65B5">
            <w:pPr>
              <w:jc w:val="left"/>
              <w:rPr>
                <w:rFonts w:hint="eastAsia" w:cs="宋体"/>
                <w:sz w:val="21"/>
                <w:szCs w:val="21"/>
              </w:rPr>
            </w:pPr>
            <w:r>
              <w:rPr>
                <w:rFonts w:hint="eastAsia" w:cs="宋体"/>
                <w:sz w:val="21"/>
                <w:szCs w:val="21"/>
              </w:rPr>
              <w:t>临时设施设计不合理，不节能，扣0.5分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0CF9B">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95B14">
            <w:pPr>
              <w:jc w:val="center"/>
              <w:rPr>
                <w:rFonts w:hint="eastAsia" w:cs="宋体"/>
                <w:sz w:val="21"/>
                <w:szCs w:val="21"/>
              </w:rPr>
            </w:pPr>
          </w:p>
        </w:tc>
      </w:tr>
      <w:tr w14:paraId="0C616B12">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87EA0">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EA548">
            <w:pPr>
              <w:jc w:val="left"/>
              <w:rPr>
                <w:rFonts w:hint="eastAsia" w:cs="宋体"/>
                <w:kern w:val="0"/>
                <w:sz w:val="21"/>
                <w:szCs w:val="21"/>
                <w:lang w:bidi="ar"/>
              </w:rPr>
            </w:pPr>
            <w:r>
              <w:rPr>
                <w:sz w:val="21"/>
                <w:szCs w:val="21"/>
              </w:rPr>
              <w:t>临时施工用房应使用热工性能达标的复合墙体和屋面板。</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776DF">
            <w:pPr>
              <w:jc w:val="left"/>
              <w:rPr>
                <w:rFonts w:hint="eastAsia" w:cs="宋体"/>
                <w:sz w:val="21"/>
                <w:szCs w:val="21"/>
              </w:rPr>
            </w:pPr>
            <w:r>
              <w:rPr>
                <w:sz w:val="21"/>
                <w:szCs w:val="21"/>
              </w:rPr>
              <w:t>临时施工用房</w:t>
            </w:r>
            <w:r>
              <w:rPr>
                <w:rFonts w:hint="eastAsia"/>
                <w:sz w:val="21"/>
                <w:szCs w:val="21"/>
              </w:rPr>
              <w:t>的</w:t>
            </w:r>
            <w:r>
              <w:rPr>
                <w:sz w:val="21"/>
                <w:szCs w:val="21"/>
              </w:rPr>
              <w:t>复合墙体和屋面板</w:t>
            </w:r>
            <w:r>
              <w:rPr>
                <w:rFonts w:hint="eastAsia"/>
                <w:sz w:val="21"/>
                <w:szCs w:val="21"/>
              </w:rPr>
              <w:t>热工性能不达标，扣0.5分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8404D">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7840C">
            <w:pPr>
              <w:jc w:val="center"/>
              <w:rPr>
                <w:rFonts w:hint="eastAsia" w:cs="宋体"/>
                <w:sz w:val="21"/>
                <w:szCs w:val="21"/>
              </w:rPr>
            </w:pPr>
          </w:p>
        </w:tc>
      </w:tr>
      <w:tr w14:paraId="0527661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5598C">
            <w:pPr>
              <w:jc w:val="center"/>
              <w:textAlignment w:val="center"/>
              <w:rPr>
                <w:rFonts w:hint="eastAsia" w:cs="宋体"/>
                <w:kern w:val="0"/>
                <w:sz w:val="21"/>
                <w:szCs w:val="21"/>
                <w:lang w:bidi="ar"/>
              </w:rPr>
            </w:pPr>
            <w:r>
              <w:rPr>
                <w:rFonts w:hint="eastAsia" w:cs="宋体"/>
                <w:kern w:val="0"/>
                <w:sz w:val="21"/>
                <w:szCs w:val="21"/>
                <w:lang w:bidi="ar"/>
              </w:rPr>
              <w:t>7</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918B1">
            <w:pPr>
              <w:jc w:val="left"/>
              <w:rPr>
                <w:rFonts w:hint="eastAsia" w:cs="宋体"/>
                <w:kern w:val="0"/>
                <w:sz w:val="21"/>
                <w:szCs w:val="21"/>
                <w:lang w:bidi="ar"/>
              </w:rPr>
            </w:pPr>
            <w:r>
              <w:rPr>
                <w:sz w:val="21"/>
                <w:szCs w:val="21"/>
              </w:rPr>
              <w:t>可再生能源综合利用措施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5070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C8C3C">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CC611">
            <w:pPr>
              <w:jc w:val="center"/>
              <w:rPr>
                <w:rFonts w:hint="eastAsia" w:cs="宋体"/>
                <w:sz w:val="21"/>
                <w:szCs w:val="21"/>
              </w:rPr>
            </w:pPr>
          </w:p>
        </w:tc>
      </w:tr>
      <w:tr w14:paraId="43D0CBC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3AFF5">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227A9">
            <w:pPr>
              <w:jc w:val="left"/>
              <w:rPr>
                <w:rFonts w:hint="eastAsia" w:cs="宋体"/>
                <w:kern w:val="0"/>
                <w:sz w:val="21"/>
                <w:szCs w:val="21"/>
                <w:lang w:bidi="ar"/>
              </w:rPr>
            </w:pPr>
            <w:r>
              <w:rPr>
                <w:sz w:val="21"/>
                <w:szCs w:val="21"/>
              </w:rPr>
              <w:t>自然资源能源利用率达到总用能量的30%</w:t>
            </w:r>
            <w:r>
              <w:rPr>
                <w:rFonts w:hint="eastAsia"/>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8808C">
            <w:pPr>
              <w:jc w:val="left"/>
              <w:rPr>
                <w:rFonts w:hint="eastAsia" w:cs="宋体"/>
                <w:sz w:val="21"/>
                <w:szCs w:val="21"/>
              </w:rPr>
            </w:pPr>
            <w:r>
              <w:rPr>
                <w:sz w:val="21"/>
                <w:szCs w:val="21"/>
              </w:rPr>
              <w:t>自然资源能源利用率</w:t>
            </w:r>
            <w:r>
              <w:rPr>
                <w:rFonts w:hint="eastAsia"/>
                <w:sz w:val="21"/>
                <w:szCs w:val="21"/>
              </w:rPr>
              <w:t>未</w:t>
            </w:r>
            <w:r>
              <w:rPr>
                <w:sz w:val="21"/>
                <w:szCs w:val="21"/>
              </w:rPr>
              <w:t>达到总用能量的30%</w:t>
            </w:r>
            <w:r>
              <w:rPr>
                <w:rFonts w:hint="eastAsia"/>
                <w:sz w:val="21"/>
                <w:szCs w:val="21"/>
              </w:rPr>
              <w:t>，扣0.25分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841F7">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78908">
            <w:pPr>
              <w:jc w:val="center"/>
              <w:rPr>
                <w:rFonts w:hint="eastAsia" w:cs="宋体"/>
                <w:sz w:val="21"/>
                <w:szCs w:val="21"/>
              </w:rPr>
            </w:pPr>
          </w:p>
        </w:tc>
      </w:tr>
      <w:tr w14:paraId="2ED41FE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56868">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32797">
            <w:pPr>
              <w:jc w:val="left"/>
              <w:rPr>
                <w:rFonts w:hint="eastAsia" w:cs="宋体"/>
                <w:kern w:val="0"/>
                <w:sz w:val="21"/>
                <w:szCs w:val="21"/>
                <w:lang w:bidi="ar"/>
              </w:rPr>
            </w:pPr>
            <w:r>
              <w:rPr>
                <w:sz w:val="21"/>
                <w:szCs w:val="21"/>
              </w:rPr>
              <w:t>采取自然能源利用措施，建立自然能源利用台账。</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27C1D">
            <w:pPr>
              <w:jc w:val="left"/>
              <w:rPr>
                <w:rFonts w:hint="eastAsia" w:cs="宋体"/>
                <w:sz w:val="21"/>
                <w:szCs w:val="21"/>
              </w:rPr>
            </w:pPr>
            <w:r>
              <w:rPr>
                <w:rFonts w:hint="eastAsia" w:cs="宋体"/>
                <w:sz w:val="21"/>
                <w:szCs w:val="21"/>
              </w:rPr>
              <w:t>未采取</w:t>
            </w:r>
            <w:r>
              <w:rPr>
                <w:sz w:val="21"/>
                <w:szCs w:val="21"/>
              </w:rPr>
              <w:t>自然能源利用措施，</w:t>
            </w:r>
            <w:r>
              <w:rPr>
                <w:rFonts w:hint="eastAsia"/>
                <w:sz w:val="21"/>
                <w:szCs w:val="21"/>
              </w:rPr>
              <w:t>未</w:t>
            </w:r>
            <w:r>
              <w:rPr>
                <w:sz w:val="21"/>
                <w:szCs w:val="21"/>
              </w:rPr>
              <w:t>建立自然能源利用台账</w:t>
            </w:r>
            <w:r>
              <w:rPr>
                <w:rFonts w:hint="eastAsia"/>
                <w:sz w:val="21"/>
                <w:szCs w:val="21"/>
              </w:rPr>
              <w:t>，扣0.25分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0171D">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39550">
            <w:pPr>
              <w:jc w:val="center"/>
              <w:rPr>
                <w:rFonts w:hint="eastAsia" w:cs="宋体"/>
                <w:sz w:val="21"/>
                <w:szCs w:val="21"/>
              </w:rPr>
            </w:pPr>
          </w:p>
        </w:tc>
      </w:tr>
      <w:tr w14:paraId="5CA4033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9259B">
            <w:pPr>
              <w:jc w:val="center"/>
              <w:textAlignment w:val="center"/>
              <w:rPr>
                <w:rFonts w:hint="eastAsia" w:cs="宋体"/>
                <w:kern w:val="0"/>
                <w:sz w:val="21"/>
                <w:szCs w:val="21"/>
                <w:lang w:bidi="ar"/>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47DBC">
            <w:pPr>
              <w:jc w:val="left"/>
              <w:textAlignment w:val="center"/>
              <w:rPr>
                <w:rFonts w:hint="eastAsia" w:cs="宋体"/>
                <w:kern w:val="0"/>
                <w:sz w:val="21"/>
                <w:szCs w:val="21"/>
                <w:lang w:bidi="ar"/>
              </w:rPr>
            </w:pPr>
            <w:r>
              <w:rPr>
                <w:rFonts w:hint="eastAsia" w:cs="宋体"/>
                <w:kern w:val="0"/>
                <w:sz w:val="21"/>
                <w:szCs w:val="21"/>
                <w:lang w:bidi="ar"/>
              </w:rPr>
              <w:t>专用项</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84147">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D328A">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88146">
            <w:pPr>
              <w:jc w:val="left"/>
              <w:textAlignment w:val="center"/>
              <w:rPr>
                <w:rFonts w:hint="eastAsia" w:cs="宋体"/>
                <w:kern w:val="0"/>
                <w:sz w:val="21"/>
                <w:szCs w:val="21"/>
                <w:lang w:bidi="ar"/>
              </w:rPr>
            </w:pPr>
          </w:p>
        </w:tc>
      </w:tr>
      <w:tr w14:paraId="4A5BF7B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B4173">
            <w:pPr>
              <w:jc w:val="center"/>
              <w:textAlignment w:val="center"/>
              <w:rPr>
                <w:rFonts w:hint="eastAsia" w:cs="宋体"/>
                <w:kern w:val="0"/>
                <w:sz w:val="21"/>
                <w:szCs w:val="21"/>
                <w:lang w:bidi="ar"/>
              </w:rPr>
            </w:pPr>
            <w:r>
              <w:rPr>
                <w:sz w:val="21"/>
                <w:szCs w:val="21"/>
              </w:rPr>
              <w:t>6.3.23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A99A9">
            <w:pPr>
              <w:jc w:val="left"/>
              <w:textAlignment w:val="center"/>
              <w:rPr>
                <w:rFonts w:hint="eastAsia" w:cs="宋体"/>
                <w:kern w:val="0"/>
                <w:sz w:val="21"/>
                <w:szCs w:val="21"/>
                <w:lang w:bidi="ar"/>
              </w:rPr>
            </w:pPr>
            <w:r>
              <w:rPr>
                <w:rFonts w:hint="eastAsia"/>
                <w:sz w:val="21"/>
                <w:szCs w:val="21"/>
              </w:rPr>
              <w:t>火电工程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5F423">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3B36B">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6B50A">
            <w:pPr>
              <w:jc w:val="left"/>
              <w:textAlignment w:val="center"/>
              <w:rPr>
                <w:rFonts w:hint="eastAsia" w:cs="宋体"/>
                <w:kern w:val="0"/>
                <w:sz w:val="21"/>
                <w:szCs w:val="21"/>
                <w:lang w:bidi="ar"/>
              </w:rPr>
            </w:pPr>
          </w:p>
        </w:tc>
      </w:tr>
      <w:tr w14:paraId="3EFE776F">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AAD22">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0CBC9">
            <w:pPr>
              <w:jc w:val="left"/>
              <w:textAlignment w:val="center"/>
              <w:rPr>
                <w:rFonts w:hint="eastAsia" w:cs="宋体"/>
                <w:kern w:val="0"/>
                <w:sz w:val="21"/>
                <w:szCs w:val="21"/>
                <w:lang w:bidi="ar"/>
              </w:rPr>
            </w:pPr>
            <w:r>
              <w:rPr>
                <w:rFonts w:hint="eastAsia" w:cs="宋体"/>
                <w:kern w:val="0"/>
                <w:sz w:val="21"/>
                <w:szCs w:val="21"/>
                <w:lang w:bidi="ar"/>
              </w:rPr>
              <w:t>燃煤发电工程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6E770">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9929F">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ABCEC">
            <w:pPr>
              <w:jc w:val="left"/>
              <w:textAlignment w:val="center"/>
              <w:rPr>
                <w:rFonts w:hint="eastAsia" w:cs="宋体"/>
                <w:kern w:val="0"/>
                <w:sz w:val="21"/>
                <w:szCs w:val="21"/>
                <w:lang w:bidi="ar"/>
              </w:rPr>
            </w:pPr>
          </w:p>
        </w:tc>
      </w:tr>
      <w:tr w14:paraId="165F8C5D">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8C506">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B6000">
            <w:pPr>
              <w:jc w:val="left"/>
              <w:textAlignment w:val="center"/>
              <w:rPr>
                <w:rFonts w:hint="eastAsia" w:cs="宋体"/>
                <w:kern w:val="0"/>
                <w:sz w:val="21"/>
                <w:szCs w:val="21"/>
                <w:lang w:bidi="ar"/>
              </w:rPr>
            </w:pPr>
            <w:r>
              <w:rPr>
                <w:rFonts w:hint="eastAsia"/>
                <w:sz w:val="21"/>
                <w:szCs w:val="21"/>
              </w:rPr>
              <w:t>采取有效措施</w:t>
            </w:r>
            <w:r>
              <w:rPr>
                <w:sz w:val="21"/>
                <w:szCs w:val="21"/>
              </w:rPr>
              <w:t>减少试运期间燃油消耗</w:t>
            </w:r>
            <w:r>
              <w:rPr>
                <w:rFonts w:hint="eastAsia"/>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EE4A0">
            <w:pPr>
              <w:jc w:val="left"/>
              <w:textAlignment w:val="center"/>
              <w:rPr>
                <w:rFonts w:hint="eastAsia" w:cs="宋体"/>
                <w:kern w:val="0"/>
                <w:sz w:val="21"/>
                <w:szCs w:val="21"/>
                <w:lang w:bidi="ar"/>
              </w:rPr>
            </w:pPr>
            <w:r>
              <w:rPr>
                <w:rFonts w:hint="eastAsia" w:cs="宋体"/>
                <w:kern w:val="0"/>
                <w:sz w:val="21"/>
                <w:szCs w:val="21"/>
                <w:lang w:bidi="ar"/>
              </w:rPr>
              <w:t>未采取有效减少试运期间油耗措施，扣0.5分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59515">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520FF">
            <w:pPr>
              <w:jc w:val="left"/>
              <w:textAlignment w:val="center"/>
              <w:rPr>
                <w:rFonts w:hint="eastAsia" w:cs="宋体"/>
                <w:kern w:val="0"/>
                <w:sz w:val="21"/>
                <w:szCs w:val="21"/>
                <w:lang w:bidi="ar"/>
              </w:rPr>
            </w:pPr>
          </w:p>
        </w:tc>
      </w:tr>
      <w:tr w14:paraId="216E4D5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88853">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2CF5C">
            <w:pPr>
              <w:jc w:val="left"/>
              <w:textAlignment w:val="center"/>
              <w:rPr>
                <w:rFonts w:hint="eastAsia" w:cs="宋体"/>
                <w:kern w:val="0"/>
                <w:sz w:val="21"/>
                <w:szCs w:val="21"/>
                <w:lang w:bidi="ar"/>
              </w:rPr>
            </w:pPr>
            <w:r>
              <w:rPr>
                <w:rFonts w:hint="eastAsia"/>
                <w:sz w:val="21"/>
                <w:szCs w:val="21"/>
              </w:rPr>
              <w:t>优化</w:t>
            </w:r>
            <w:r>
              <w:rPr>
                <w:sz w:val="21"/>
                <w:szCs w:val="21"/>
              </w:rPr>
              <w:t>循环水管道、锅炉烟风道、受热面管排等大件设备组合场地与安装位置间距离，降低运输能耗。</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9FC3F">
            <w:pPr>
              <w:jc w:val="left"/>
              <w:textAlignment w:val="center"/>
              <w:rPr>
                <w:rFonts w:hint="eastAsia" w:cs="宋体"/>
                <w:kern w:val="0"/>
                <w:sz w:val="21"/>
                <w:szCs w:val="21"/>
                <w:lang w:bidi="ar"/>
              </w:rPr>
            </w:pPr>
            <w:r>
              <w:rPr>
                <w:rFonts w:hint="eastAsia" w:cs="宋体"/>
                <w:kern w:val="0"/>
                <w:sz w:val="21"/>
                <w:szCs w:val="21"/>
                <w:lang w:bidi="ar"/>
              </w:rPr>
              <w:t>大件设备组合场地布置不合理，与安装位置距离过远，增加运输能耗，扣0.5分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EF898">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3B4DC">
            <w:pPr>
              <w:jc w:val="left"/>
              <w:textAlignment w:val="center"/>
              <w:rPr>
                <w:rFonts w:hint="eastAsia" w:cs="宋体"/>
                <w:kern w:val="0"/>
                <w:sz w:val="21"/>
                <w:szCs w:val="21"/>
                <w:lang w:bidi="ar"/>
              </w:rPr>
            </w:pPr>
          </w:p>
        </w:tc>
      </w:tr>
      <w:tr w14:paraId="50E8AEC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AC2ED">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4C548">
            <w:pPr>
              <w:jc w:val="left"/>
              <w:textAlignment w:val="center"/>
              <w:rPr>
                <w:rFonts w:hint="eastAsia" w:cs="宋体"/>
                <w:kern w:val="0"/>
                <w:sz w:val="21"/>
                <w:szCs w:val="21"/>
                <w:lang w:bidi="ar"/>
              </w:rPr>
            </w:pPr>
            <w:r>
              <w:rPr>
                <w:sz w:val="21"/>
                <w:szCs w:val="21"/>
              </w:rPr>
              <w:t>主厂房及锅炉施工，主吊机械优先选用采取变频技术的塔式起重机，提高塔机系统功率因数和整机工作效率。</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1240F">
            <w:pPr>
              <w:jc w:val="left"/>
              <w:textAlignment w:val="center"/>
              <w:rPr>
                <w:rFonts w:hint="eastAsia" w:cs="宋体"/>
                <w:kern w:val="0"/>
                <w:sz w:val="21"/>
                <w:szCs w:val="21"/>
                <w:lang w:bidi="ar"/>
              </w:rPr>
            </w:pPr>
            <w:r>
              <w:rPr>
                <w:rFonts w:hint="eastAsia"/>
                <w:sz w:val="21"/>
                <w:szCs w:val="21"/>
              </w:rPr>
              <w:t>未选用</w:t>
            </w:r>
            <w:r>
              <w:rPr>
                <w:sz w:val="21"/>
                <w:szCs w:val="21"/>
              </w:rPr>
              <w:t>变频技术</w:t>
            </w:r>
            <w:r>
              <w:rPr>
                <w:rFonts w:hint="eastAsia"/>
                <w:sz w:val="21"/>
                <w:szCs w:val="21"/>
              </w:rPr>
              <w:t>的</w:t>
            </w:r>
            <w:r>
              <w:rPr>
                <w:sz w:val="21"/>
                <w:szCs w:val="21"/>
              </w:rPr>
              <w:t>主吊机械</w:t>
            </w:r>
            <w:r>
              <w:rPr>
                <w:rFonts w:hint="eastAsia"/>
                <w:sz w:val="21"/>
                <w:szCs w:val="21"/>
              </w:rPr>
              <w:t>，扣0.5分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14989">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EF0CC">
            <w:pPr>
              <w:jc w:val="left"/>
              <w:textAlignment w:val="center"/>
              <w:rPr>
                <w:rFonts w:hint="eastAsia" w:cs="宋体"/>
                <w:kern w:val="0"/>
                <w:sz w:val="21"/>
                <w:szCs w:val="21"/>
                <w:lang w:bidi="ar"/>
              </w:rPr>
            </w:pPr>
          </w:p>
        </w:tc>
      </w:tr>
      <w:tr w14:paraId="78A39F8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50AA4">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5F7F7">
            <w:pPr>
              <w:jc w:val="left"/>
              <w:textAlignment w:val="center"/>
              <w:rPr>
                <w:rFonts w:hint="eastAsia" w:cs="宋体"/>
                <w:kern w:val="0"/>
                <w:sz w:val="21"/>
                <w:szCs w:val="21"/>
                <w:lang w:bidi="ar"/>
              </w:rPr>
            </w:pPr>
            <w:r>
              <w:rPr>
                <w:sz w:val="21"/>
                <w:szCs w:val="21"/>
              </w:rPr>
              <w:t>充分利用老厂蒸汽余量，生活区淋浴、取暖采用蒸汽热源，有效减少生活区用电量。</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69606">
            <w:pPr>
              <w:jc w:val="left"/>
              <w:textAlignment w:val="center"/>
              <w:rPr>
                <w:rFonts w:hint="eastAsia" w:cs="宋体"/>
                <w:kern w:val="0"/>
                <w:sz w:val="21"/>
                <w:szCs w:val="21"/>
                <w:lang w:bidi="ar"/>
              </w:rPr>
            </w:pPr>
            <w:r>
              <w:rPr>
                <w:rFonts w:hint="eastAsia" w:cs="宋体"/>
                <w:kern w:val="0"/>
                <w:sz w:val="21"/>
                <w:szCs w:val="21"/>
                <w:lang w:bidi="ar"/>
              </w:rPr>
              <w:t>对于扩建工程等具备条件的项目，未从分利用</w:t>
            </w:r>
            <w:r>
              <w:rPr>
                <w:sz w:val="21"/>
                <w:szCs w:val="21"/>
              </w:rPr>
              <w:t>老厂蒸汽余量</w:t>
            </w:r>
            <w:r>
              <w:rPr>
                <w:rFonts w:hint="eastAsia"/>
                <w:sz w:val="21"/>
                <w:szCs w:val="21"/>
              </w:rPr>
              <w:t>，扣0.5分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62F1D">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A1139">
            <w:pPr>
              <w:jc w:val="left"/>
              <w:textAlignment w:val="center"/>
              <w:rPr>
                <w:rFonts w:hint="eastAsia" w:cs="宋体"/>
                <w:kern w:val="0"/>
                <w:sz w:val="21"/>
                <w:szCs w:val="21"/>
                <w:lang w:bidi="ar"/>
              </w:rPr>
            </w:pPr>
          </w:p>
        </w:tc>
      </w:tr>
      <w:tr w14:paraId="7693332B">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D0159">
            <w:pPr>
              <w:jc w:val="center"/>
              <w:textAlignment w:val="center"/>
              <w:rPr>
                <w:rFonts w:hint="eastAsia" w:cs="宋体"/>
                <w:kern w:val="0"/>
                <w:sz w:val="21"/>
                <w:szCs w:val="21"/>
                <w:lang w:bidi="ar"/>
              </w:rPr>
            </w:pPr>
            <w:r>
              <w:rPr>
                <w:rFonts w:hint="eastAsia" w:cs="宋体"/>
                <w:kern w:val="0"/>
                <w:sz w:val="21"/>
                <w:szCs w:val="21"/>
                <w:lang w:bidi="ar"/>
              </w:rPr>
              <w:t xml:space="preserve">2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9896D">
            <w:pPr>
              <w:jc w:val="left"/>
              <w:textAlignment w:val="center"/>
              <w:rPr>
                <w:rFonts w:hint="eastAsia" w:cs="宋体"/>
                <w:kern w:val="0"/>
                <w:sz w:val="21"/>
                <w:szCs w:val="21"/>
                <w:lang w:bidi="ar"/>
              </w:rPr>
            </w:pPr>
            <w:r>
              <w:rPr>
                <w:rFonts w:hint="eastAsia" w:cs="宋体"/>
                <w:kern w:val="0"/>
                <w:sz w:val="21"/>
                <w:szCs w:val="21"/>
                <w:lang w:bidi="ar"/>
              </w:rPr>
              <w:t>燃气蒸汽联合循环发电工程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9E91F">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131E3">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3B353">
            <w:pPr>
              <w:jc w:val="left"/>
              <w:textAlignment w:val="center"/>
              <w:rPr>
                <w:rFonts w:hint="eastAsia" w:cs="宋体"/>
                <w:kern w:val="0"/>
                <w:sz w:val="21"/>
                <w:szCs w:val="21"/>
                <w:lang w:bidi="ar"/>
              </w:rPr>
            </w:pPr>
          </w:p>
        </w:tc>
      </w:tr>
      <w:tr w14:paraId="13B7939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EE56C">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409D2">
            <w:pPr>
              <w:jc w:val="left"/>
              <w:textAlignment w:val="center"/>
              <w:rPr>
                <w:rFonts w:hint="eastAsia" w:cs="宋体"/>
                <w:kern w:val="0"/>
                <w:sz w:val="21"/>
                <w:szCs w:val="21"/>
                <w:lang w:bidi="ar"/>
              </w:rPr>
            </w:pPr>
            <w:r>
              <w:rPr>
                <w:rFonts w:hint="eastAsia"/>
                <w:sz w:val="21"/>
                <w:szCs w:val="21"/>
              </w:rPr>
              <w:t>执行燃煤发电工程</w:t>
            </w:r>
            <w:r>
              <w:rPr>
                <w:sz w:val="21"/>
                <w:szCs w:val="21"/>
              </w:rPr>
              <w:t>1）-4）条。</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98FDC">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0CB34">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07364">
            <w:pPr>
              <w:jc w:val="left"/>
              <w:textAlignment w:val="center"/>
              <w:rPr>
                <w:rFonts w:hint="eastAsia" w:cs="宋体"/>
                <w:kern w:val="0"/>
                <w:sz w:val="21"/>
                <w:szCs w:val="21"/>
                <w:lang w:bidi="ar"/>
              </w:rPr>
            </w:pPr>
          </w:p>
        </w:tc>
      </w:tr>
      <w:tr w14:paraId="296B3DAD">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55CDA">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7C0A1">
            <w:pPr>
              <w:jc w:val="left"/>
              <w:textAlignment w:val="center"/>
              <w:rPr>
                <w:rFonts w:hint="eastAsia" w:cs="宋体"/>
                <w:kern w:val="0"/>
                <w:sz w:val="21"/>
                <w:szCs w:val="21"/>
                <w:lang w:bidi="ar"/>
              </w:rPr>
            </w:pPr>
            <w:r>
              <w:rPr>
                <w:sz w:val="21"/>
                <w:szCs w:val="21"/>
              </w:rPr>
              <w:t>合理选择余热锅炉钢结构、受热面模块及汽包、烟囱等大件设备的吊装</w:t>
            </w:r>
            <w:r>
              <w:rPr>
                <w:rFonts w:hint="eastAsia"/>
                <w:sz w:val="21"/>
                <w:szCs w:val="21"/>
              </w:rPr>
              <w:t>机械，编制高效的吊装方案，提高大件设备的吊装效率及安全性。</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5CB7D">
            <w:pPr>
              <w:jc w:val="left"/>
              <w:textAlignment w:val="center"/>
              <w:rPr>
                <w:rFonts w:hint="eastAsia" w:cs="宋体"/>
                <w:kern w:val="0"/>
                <w:sz w:val="21"/>
                <w:szCs w:val="21"/>
                <w:lang w:bidi="ar"/>
              </w:rPr>
            </w:pPr>
            <w:r>
              <w:rPr>
                <w:sz w:val="21"/>
                <w:szCs w:val="21"/>
              </w:rPr>
              <w:t>大件设备的吊装</w:t>
            </w:r>
            <w:r>
              <w:rPr>
                <w:rFonts w:hint="eastAsia"/>
                <w:sz w:val="21"/>
                <w:szCs w:val="21"/>
              </w:rPr>
              <w:t>机械选用不合理，扣0.5分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C3C93">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C95CB">
            <w:pPr>
              <w:jc w:val="left"/>
              <w:textAlignment w:val="center"/>
              <w:rPr>
                <w:rFonts w:hint="eastAsia" w:cs="宋体"/>
                <w:kern w:val="0"/>
                <w:sz w:val="21"/>
                <w:szCs w:val="21"/>
                <w:lang w:bidi="ar"/>
              </w:rPr>
            </w:pPr>
          </w:p>
        </w:tc>
      </w:tr>
      <w:tr w14:paraId="7CEA70A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9E0C8">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109D8">
            <w:pPr>
              <w:jc w:val="left"/>
              <w:textAlignment w:val="center"/>
              <w:rPr>
                <w:rFonts w:hint="eastAsia" w:cs="宋体"/>
                <w:kern w:val="0"/>
                <w:sz w:val="21"/>
                <w:szCs w:val="21"/>
                <w:lang w:bidi="ar"/>
              </w:rPr>
            </w:pPr>
            <w:r>
              <w:rPr>
                <w:sz w:val="21"/>
                <w:szCs w:val="21"/>
              </w:rPr>
              <w:t>根据施工进度、设备到货等情况综合考虑、合理控制</w:t>
            </w:r>
            <w:r>
              <w:rPr>
                <w:rFonts w:hint="eastAsia"/>
                <w:sz w:val="21"/>
                <w:szCs w:val="21"/>
              </w:rPr>
              <w:t>余热锅炉受热面模块、汽包部件等</w:t>
            </w:r>
            <w:r>
              <w:rPr>
                <w:sz w:val="21"/>
                <w:szCs w:val="21"/>
              </w:rPr>
              <w:t>大件设备在厂内卸车及二次转运，避免余热锅炉区域</w:t>
            </w:r>
            <w:r>
              <w:rPr>
                <w:rFonts w:hint="eastAsia"/>
                <w:sz w:val="21"/>
                <w:szCs w:val="21"/>
              </w:rPr>
              <w:t>场地设备</w:t>
            </w:r>
            <w:r>
              <w:rPr>
                <w:sz w:val="21"/>
                <w:szCs w:val="21"/>
              </w:rPr>
              <w:t>堆积较多</w:t>
            </w:r>
            <w:r>
              <w:rPr>
                <w:rFonts w:hint="eastAsia"/>
                <w:sz w:val="21"/>
                <w:szCs w:val="21"/>
              </w:rPr>
              <w:t>，提高</w:t>
            </w:r>
            <w:r>
              <w:rPr>
                <w:sz w:val="21"/>
                <w:szCs w:val="21"/>
              </w:rPr>
              <w:t>造成吊装效率</w:t>
            </w:r>
            <w:r>
              <w:rPr>
                <w:rFonts w:hint="eastAsia"/>
                <w:sz w:val="21"/>
                <w:szCs w:val="21"/>
              </w:rPr>
              <w:t>，降低能耗</w:t>
            </w:r>
            <w:r>
              <w:rPr>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399F8">
            <w:pPr>
              <w:jc w:val="left"/>
              <w:textAlignment w:val="center"/>
              <w:rPr>
                <w:rFonts w:hint="eastAsia" w:cs="宋体"/>
                <w:kern w:val="0"/>
                <w:sz w:val="21"/>
                <w:szCs w:val="21"/>
                <w:lang w:bidi="ar"/>
              </w:rPr>
            </w:pPr>
            <w:r>
              <w:rPr>
                <w:sz w:val="21"/>
                <w:szCs w:val="21"/>
              </w:rPr>
              <w:t>余热锅炉区域</w:t>
            </w:r>
            <w:r>
              <w:rPr>
                <w:rFonts w:hint="eastAsia"/>
                <w:sz w:val="21"/>
                <w:szCs w:val="21"/>
              </w:rPr>
              <w:t>场地设备</w:t>
            </w:r>
            <w:r>
              <w:rPr>
                <w:sz w:val="21"/>
                <w:szCs w:val="21"/>
              </w:rPr>
              <w:t>堆积较多</w:t>
            </w:r>
            <w:r>
              <w:rPr>
                <w:rFonts w:hint="eastAsia"/>
                <w:sz w:val="21"/>
                <w:szCs w:val="21"/>
              </w:rPr>
              <w:t>，吊装效率不高，扣0.5分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68FF1">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CEA04">
            <w:pPr>
              <w:jc w:val="left"/>
              <w:textAlignment w:val="center"/>
              <w:rPr>
                <w:rFonts w:hint="eastAsia" w:cs="宋体"/>
                <w:kern w:val="0"/>
                <w:sz w:val="21"/>
                <w:szCs w:val="21"/>
                <w:lang w:bidi="ar"/>
              </w:rPr>
            </w:pPr>
          </w:p>
        </w:tc>
      </w:tr>
      <w:tr w14:paraId="42F5E2F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057F0">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A5E8A">
            <w:pPr>
              <w:jc w:val="left"/>
              <w:textAlignment w:val="center"/>
              <w:rPr>
                <w:rFonts w:hint="eastAsia" w:cs="宋体"/>
                <w:kern w:val="0"/>
                <w:sz w:val="21"/>
                <w:szCs w:val="21"/>
                <w:lang w:bidi="ar"/>
              </w:rPr>
            </w:pPr>
            <w:r>
              <w:rPr>
                <w:rFonts w:hint="eastAsia" w:cs="宋体"/>
                <w:kern w:val="0"/>
                <w:sz w:val="21"/>
                <w:szCs w:val="21"/>
                <w:lang w:bidi="ar"/>
              </w:rPr>
              <w:t>垃圾焚烧发电工程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9B17E">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B150D">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36B3D">
            <w:pPr>
              <w:jc w:val="left"/>
              <w:textAlignment w:val="center"/>
              <w:rPr>
                <w:rFonts w:hint="eastAsia" w:cs="宋体"/>
                <w:kern w:val="0"/>
                <w:sz w:val="21"/>
                <w:szCs w:val="21"/>
                <w:lang w:bidi="ar"/>
              </w:rPr>
            </w:pPr>
          </w:p>
        </w:tc>
      </w:tr>
      <w:tr w14:paraId="0FE08CF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21066">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C08FF">
            <w:pPr>
              <w:jc w:val="left"/>
              <w:textAlignment w:val="center"/>
              <w:rPr>
                <w:rFonts w:hint="eastAsia" w:cs="宋体"/>
                <w:kern w:val="0"/>
                <w:sz w:val="21"/>
                <w:szCs w:val="21"/>
                <w:lang w:bidi="ar"/>
              </w:rPr>
            </w:pPr>
            <w:r>
              <w:rPr>
                <w:rFonts w:hint="eastAsia"/>
                <w:sz w:val="21"/>
                <w:szCs w:val="21"/>
              </w:rPr>
              <w:t>执行燃煤发电工程</w:t>
            </w:r>
            <w:r>
              <w:rPr>
                <w:sz w:val="21"/>
                <w:szCs w:val="21"/>
              </w:rPr>
              <w:t>1）-4）条。</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206DC">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E1929">
            <w:pPr>
              <w:jc w:val="center"/>
              <w:textAlignment w:val="center"/>
              <w:rPr>
                <w:rFonts w:hint="eastAsia" w:cs="宋体"/>
                <w:kern w:val="0"/>
                <w:sz w:val="21"/>
                <w:szCs w:val="21"/>
                <w:lang w:bidi="ar"/>
              </w:rPr>
            </w:pPr>
            <w:r>
              <w:rPr>
                <w:rFonts w:hint="eastAsia" w:cs="宋体"/>
                <w:kern w:val="0"/>
                <w:sz w:val="21"/>
                <w:szCs w:val="21"/>
                <w:lang w:bidi="ar"/>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821AC">
            <w:pPr>
              <w:jc w:val="left"/>
              <w:textAlignment w:val="center"/>
              <w:rPr>
                <w:rFonts w:hint="eastAsia" w:cs="宋体"/>
                <w:kern w:val="0"/>
                <w:sz w:val="21"/>
                <w:szCs w:val="21"/>
                <w:lang w:bidi="ar"/>
              </w:rPr>
            </w:pPr>
          </w:p>
        </w:tc>
      </w:tr>
      <w:tr w14:paraId="490933A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DA705">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D2DE1">
            <w:pPr>
              <w:jc w:val="left"/>
              <w:textAlignment w:val="center"/>
              <w:rPr>
                <w:rFonts w:hint="eastAsia" w:cs="宋体"/>
                <w:kern w:val="0"/>
                <w:sz w:val="21"/>
                <w:szCs w:val="21"/>
                <w:lang w:bidi="ar"/>
              </w:rPr>
            </w:pPr>
            <w:r>
              <w:rPr>
                <w:rFonts w:hint="eastAsia" w:cs="宋体"/>
                <w:kern w:val="0"/>
                <w:sz w:val="21"/>
                <w:szCs w:val="21"/>
                <w:lang w:bidi="ar"/>
              </w:rPr>
              <w:t>生物质发电工程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5DA04">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9BE04">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B953D">
            <w:pPr>
              <w:jc w:val="left"/>
              <w:textAlignment w:val="center"/>
              <w:rPr>
                <w:rFonts w:hint="eastAsia" w:cs="宋体"/>
                <w:kern w:val="0"/>
                <w:sz w:val="21"/>
                <w:szCs w:val="21"/>
                <w:lang w:bidi="ar"/>
              </w:rPr>
            </w:pPr>
          </w:p>
        </w:tc>
      </w:tr>
      <w:tr w14:paraId="5AA4CCF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070FB">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B0DB2">
            <w:pPr>
              <w:jc w:val="left"/>
              <w:textAlignment w:val="center"/>
              <w:rPr>
                <w:rFonts w:hint="eastAsia" w:cs="宋体"/>
                <w:kern w:val="0"/>
                <w:sz w:val="21"/>
                <w:szCs w:val="21"/>
                <w:lang w:bidi="ar"/>
              </w:rPr>
            </w:pPr>
            <w:r>
              <w:rPr>
                <w:rFonts w:hint="eastAsia"/>
                <w:sz w:val="21"/>
                <w:szCs w:val="21"/>
              </w:rPr>
              <w:t>执行燃煤发电工程</w:t>
            </w:r>
            <w:r>
              <w:rPr>
                <w:sz w:val="21"/>
                <w:szCs w:val="21"/>
              </w:rPr>
              <w:t>1）-4）条。</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94E90">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7DB14">
            <w:pPr>
              <w:jc w:val="center"/>
              <w:textAlignment w:val="center"/>
              <w:rPr>
                <w:rFonts w:hint="eastAsia" w:cs="宋体"/>
                <w:kern w:val="0"/>
                <w:sz w:val="21"/>
                <w:szCs w:val="21"/>
                <w:lang w:bidi="ar"/>
              </w:rPr>
            </w:pPr>
            <w:r>
              <w:rPr>
                <w:rFonts w:hint="eastAsia" w:cs="宋体"/>
                <w:kern w:val="0"/>
                <w:sz w:val="21"/>
                <w:szCs w:val="21"/>
                <w:lang w:bidi="ar"/>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C7657">
            <w:pPr>
              <w:jc w:val="left"/>
              <w:textAlignment w:val="center"/>
              <w:rPr>
                <w:rFonts w:hint="eastAsia" w:cs="宋体"/>
                <w:kern w:val="0"/>
                <w:sz w:val="21"/>
                <w:szCs w:val="21"/>
                <w:lang w:bidi="ar"/>
              </w:rPr>
            </w:pPr>
          </w:p>
        </w:tc>
      </w:tr>
      <w:tr w14:paraId="4918747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8B02B">
            <w:pPr>
              <w:jc w:val="center"/>
              <w:textAlignment w:val="center"/>
              <w:rPr>
                <w:rFonts w:hint="eastAsia" w:cs="宋体"/>
                <w:kern w:val="0"/>
                <w:sz w:val="21"/>
                <w:szCs w:val="21"/>
                <w:lang w:bidi="ar"/>
              </w:rPr>
            </w:pPr>
            <w:r>
              <w:rPr>
                <w:rFonts w:hint="eastAsia" w:cs="宋体"/>
                <w:kern w:val="0"/>
                <w:sz w:val="21"/>
                <w:szCs w:val="21"/>
                <w:lang w:bidi="ar"/>
              </w:rPr>
              <w:t xml:space="preserve">6.3.24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B4C8C">
            <w:pPr>
              <w:jc w:val="left"/>
              <w:textAlignment w:val="center"/>
              <w:rPr>
                <w:rFonts w:hint="eastAsia" w:cs="宋体"/>
                <w:kern w:val="0"/>
                <w:sz w:val="21"/>
                <w:szCs w:val="21"/>
                <w:lang w:bidi="ar"/>
              </w:rPr>
            </w:pPr>
            <w:r>
              <w:rPr>
                <w:rFonts w:hint="eastAsia" w:cs="宋体"/>
                <w:kern w:val="0"/>
                <w:sz w:val="21"/>
                <w:szCs w:val="21"/>
                <w:lang w:bidi="ar"/>
              </w:rPr>
              <w:t>水力发电（含抽水蓄能）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45221">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F8976">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96D07">
            <w:pPr>
              <w:jc w:val="left"/>
              <w:textAlignment w:val="center"/>
              <w:rPr>
                <w:rFonts w:hint="eastAsia" w:cs="宋体"/>
                <w:kern w:val="0"/>
                <w:sz w:val="21"/>
                <w:szCs w:val="21"/>
                <w:lang w:bidi="ar"/>
              </w:rPr>
            </w:pPr>
          </w:p>
        </w:tc>
      </w:tr>
      <w:tr w14:paraId="4C121A3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7F728">
            <w:pPr>
              <w:jc w:val="center"/>
              <w:textAlignment w:val="center"/>
              <w:rPr>
                <w:rFonts w:hint="eastAsia" w:cs="宋体"/>
                <w:kern w:val="0"/>
                <w:sz w:val="21"/>
                <w:szCs w:val="21"/>
                <w:lang w:bidi="ar"/>
              </w:rPr>
            </w:pPr>
            <w:r>
              <w:rPr>
                <w:rFonts w:hint="eastAsia" w:cs="宋体"/>
                <w:kern w:val="0"/>
                <w:sz w:val="21"/>
                <w:szCs w:val="21"/>
                <w:lang w:bidi="ar"/>
              </w:rPr>
              <w:t>1</w:t>
            </w:r>
            <w:r>
              <w:rPr>
                <w:rFonts w:cs="宋体"/>
                <w:kern w:val="0"/>
                <w:sz w:val="21"/>
                <w:szCs w:val="21"/>
                <w:lang w:bidi="ar"/>
              </w:rPr>
              <w:t>)</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186C8">
            <w:pPr>
              <w:jc w:val="left"/>
              <w:textAlignment w:val="center"/>
              <w:rPr>
                <w:rFonts w:hint="eastAsia" w:cs="宋体"/>
                <w:kern w:val="0"/>
                <w:sz w:val="21"/>
                <w:szCs w:val="21"/>
                <w:lang w:bidi="ar"/>
              </w:rPr>
            </w:pPr>
            <w:r>
              <w:rPr>
                <w:rFonts w:hint="eastAsia" w:cs="宋体"/>
                <w:bCs/>
                <w:kern w:val="0"/>
                <w:sz w:val="21"/>
                <w:szCs w:val="21"/>
                <w:lang w:bidi="ar"/>
              </w:rPr>
              <w:t>枢纽建筑物、砂石加工系统、混凝土拌和系统、料场、钢筋加工厂等集中布置，减少运输能耗。</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1B6C8AEA">
            <w:pPr>
              <w:jc w:val="left"/>
              <w:textAlignment w:val="center"/>
              <w:rPr>
                <w:rFonts w:hint="eastAsia" w:cs="宋体"/>
                <w:bCs/>
                <w:kern w:val="0"/>
                <w:sz w:val="21"/>
                <w:szCs w:val="21"/>
                <w:lang w:bidi="ar"/>
              </w:rPr>
            </w:pPr>
            <w:r>
              <w:rPr>
                <w:rFonts w:hint="eastAsia" w:cs="宋体"/>
                <w:bCs/>
                <w:kern w:val="0"/>
                <w:sz w:val="21"/>
                <w:szCs w:val="21"/>
                <w:lang w:bidi="ar"/>
              </w:rPr>
              <w:t>每项子目实得分根据现场实际情况按照标准分乘以相应系数进行评分：</w:t>
            </w:r>
          </w:p>
          <w:p w14:paraId="2E19E7D5">
            <w:pPr>
              <w:jc w:val="left"/>
              <w:textAlignment w:val="center"/>
              <w:rPr>
                <w:rFonts w:hint="eastAsia" w:cs="宋体"/>
                <w:bCs/>
                <w:kern w:val="0"/>
                <w:sz w:val="21"/>
                <w:szCs w:val="21"/>
                <w:lang w:bidi="ar"/>
              </w:rPr>
            </w:pPr>
            <w:r>
              <w:rPr>
                <w:rFonts w:hint="eastAsia" w:cs="宋体"/>
                <w:bCs/>
                <w:kern w:val="0"/>
                <w:sz w:val="21"/>
                <w:szCs w:val="21"/>
                <w:lang w:bidi="ar"/>
              </w:rPr>
              <w:t>1、措施到位，满足评价指标要求系数为1；</w:t>
            </w:r>
          </w:p>
          <w:p w14:paraId="32DFB264">
            <w:pPr>
              <w:jc w:val="left"/>
              <w:textAlignment w:val="center"/>
              <w:rPr>
                <w:rFonts w:hint="eastAsia" w:cs="宋体"/>
                <w:bCs/>
                <w:kern w:val="0"/>
                <w:sz w:val="21"/>
                <w:szCs w:val="21"/>
                <w:lang w:bidi="ar"/>
              </w:rPr>
            </w:pPr>
            <w:r>
              <w:rPr>
                <w:rFonts w:hint="eastAsia" w:cs="宋体"/>
                <w:bCs/>
                <w:kern w:val="0"/>
                <w:sz w:val="21"/>
                <w:szCs w:val="21"/>
                <w:lang w:bidi="ar"/>
              </w:rPr>
              <w:t>2、措施到位，基本满足评价指标要求系数按照0.5~0.9酌情选取；</w:t>
            </w:r>
          </w:p>
          <w:p w14:paraId="4ACB8244">
            <w:pPr>
              <w:jc w:val="left"/>
              <w:textAlignment w:val="center"/>
              <w:rPr>
                <w:rFonts w:hint="eastAsia" w:cs="宋体"/>
                <w:kern w:val="0"/>
                <w:sz w:val="21"/>
                <w:szCs w:val="21"/>
                <w:lang w:bidi="ar"/>
              </w:rPr>
            </w:pPr>
            <w:r>
              <w:rPr>
                <w:rFonts w:hint="eastAsia" w:cs="宋体"/>
                <w:bCs/>
                <w:kern w:val="0"/>
                <w:sz w:val="21"/>
                <w:szCs w:val="21"/>
                <w:lang w:bidi="ar"/>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13FAB">
            <w:pPr>
              <w:jc w:val="center"/>
              <w:textAlignment w:val="center"/>
              <w:rPr>
                <w:rFonts w:hint="eastAsia" w:cs="宋体"/>
                <w:kern w:val="0"/>
                <w:sz w:val="21"/>
                <w:szCs w:val="21"/>
                <w:lang w:bidi="ar"/>
              </w:rPr>
            </w:pPr>
            <w:r>
              <w:rPr>
                <w:rFonts w:hint="eastAsia" w:cs="宋体"/>
                <w:bCs/>
                <w:kern w:val="0"/>
                <w:sz w:val="21"/>
                <w:szCs w:val="21"/>
                <w:lang w:bidi="ar"/>
              </w:rPr>
              <w:t>0</w:t>
            </w:r>
            <w:r>
              <w:rPr>
                <w:rFonts w:cs="宋体"/>
                <w:bCs/>
                <w:kern w:val="0"/>
                <w:sz w:val="21"/>
                <w:szCs w:val="21"/>
                <w:lang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48293">
            <w:pPr>
              <w:jc w:val="left"/>
              <w:textAlignment w:val="center"/>
              <w:rPr>
                <w:rFonts w:hint="eastAsia" w:cs="宋体"/>
                <w:kern w:val="0"/>
                <w:sz w:val="21"/>
                <w:szCs w:val="21"/>
                <w:lang w:bidi="ar"/>
              </w:rPr>
            </w:pPr>
          </w:p>
        </w:tc>
      </w:tr>
      <w:tr w14:paraId="15604962">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3AD01">
            <w:pPr>
              <w:jc w:val="center"/>
              <w:textAlignment w:val="center"/>
              <w:rPr>
                <w:rFonts w:hint="eastAsia" w:cs="宋体"/>
                <w:kern w:val="0"/>
                <w:sz w:val="21"/>
                <w:szCs w:val="21"/>
                <w:lang w:bidi="ar"/>
              </w:rPr>
            </w:pPr>
            <w:r>
              <w:rPr>
                <w:rFonts w:cs="宋体"/>
                <w:kern w:val="0"/>
                <w:sz w:val="21"/>
                <w:szCs w:val="21"/>
                <w:lang w:bidi="ar"/>
              </w:rPr>
              <w:t>2</w:t>
            </w:r>
            <w:r>
              <w:rPr>
                <w:rFonts w:hint="eastAsia" w:cs="宋体"/>
                <w:kern w:val="0"/>
                <w:sz w:val="21"/>
                <w:szCs w:val="21"/>
                <w:lang w:bidi="ar"/>
              </w:rPr>
              <w:t>）</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0EC15">
            <w:pPr>
              <w:jc w:val="left"/>
              <w:textAlignment w:val="center"/>
              <w:rPr>
                <w:rFonts w:hint="eastAsia" w:cs="宋体"/>
                <w:kern w:val="0"/>
                <w:sz w:val="21"/>
                <w:szCs w:val="21"/>
                <w:lang w:bidi="ar"/>
              </w:rPr>
            </w:pPr>
            <w:r>
              <w:rPr>
                <w:rFonts w:hint="eastAsia" w:cs="宋体"/>
                <w:bCs/>
                <w:kern w:val="0"/>
                <w:sz w:val="21"/>
                <w:szCs w:val="21"/>
                <w:lang w:bidi="ar"/>
              </w:rPr>
              <w:t>应用先进节能施工方法，大体积混凝土宜采用布料机下料，砂石加工系统宜采用输送带运输砂石料，节约能源。</w:t>
            </w:r>
          </w:p>
        </w:tc>
        <w:tc>
          <w:tcPr>
            <w:tcW w:w="4111" w:type="dxa"/>
            <w:vMerge w:val="continue"/>
            <w:tcBorders>
              <w:left w:val="single" w:color="000000" w:sz="4" w:space="0"/>
              <w:right w:val="single" w:color="000000" w:sz="4" w:space="0"/>
            </w:tcBorders>
            <w:shd w:val="clear" w:color="auto" w:fill="auto"/>
            <w:vAlign w:val="center"/>
          </w:tcPr>
          <w:p w14:paraId="25BDD10D">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99717">
            <w:pPr>
              <w:jc w:val="center"/>
              <w:textAlignment w:val="center"/>
              <w:rPr>
                <w:rFonts w:hint="eastAsia" w:cs="宋体"/>
                <w:kern w:val="0"/>
                <w:sz w:val="21"/>
                <w:szCs w:val="21"/>
                <w:lang w:bidi="ar"/>
              </w:rPr>
            </w:pPr>
            <w:r>
              <w:rPr>
                <w:rFonts w:hint="eastAsia" w:cs="宋体"/>
                <w:bCs/>
                <w:kern w:val="0"/>
                <w:sz w:val="21"/>
                <w:szCs w:val="21"/>
                <w:lang w:bidi="ar"/>
              </w:rPr>
              <w:t>0</w:t>
            </w:r>
            <w:r>
              <w:rPr>
                <w:rFonts w:cs="宋体"/>
                <w:bCs/>
                <w:kern w:val="0"/>
                <w:sz w:val="21"/>
                <w:szCs w:val="21"/>
                <w:lang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65679">
            <w:pPr>
              <w:jc w:val="left"/>
              <w:textAlignment w:val="center"/>
              <w:rPr>
                <w:rFonts w:hint="eastAsia" w:cs="宋体"/>
                <w:kern w:val="0"/>
                <w:sz w:val="21"/>
                <w:szCs w:val="21"/>
                <w:lang w:bidi="ar"/>
              </w:rPr>
            </w:pPr>
          </w:p>
        </w:tc>
      </w:tr>
      <w:tr w14:paraId="09068D73">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BFDE2">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7934D">
            <w:pPr>
              <w:jc w:val="left"/>
              <w:textAlignment w:val="center"/>
              <w:rPr>
                <w:rFonts w:hint="eastAsia" w:cs="宋体"/>
                <w:kern w:val="0"/>
                <w:sz w:val="21"/>
                <w:szCs w:val="21"/>
                <w:lang w:bidi="ar"/>
              </w:rPr>
            </w:pPr>
            <w:r>
              <w:rPr>
                <w:rFonts w:hint="eastAsia" w:cs="宋体"/>
                <w:bCs/>
                <w:kern w:val="0"/>
                <w:sz w:val="21"/>
                <w:szCs w:val="21"/>
                <w:lang w:bidi="ar"/>
              </w:rPr>
              <w:t>充分利用高处水源，在天然水沟高处设置水厂，解决生产生活用水，高效利用水资源并节约电能。</w:t>
            </w:r>
          </w:p>
        </w:tc>
        <w:tc>
          <w:tcPr>
            <w:tcW w:w="4111" w:type="dxa"/>
            <w:vMerge w:val="continue"/>
            <w:tcBorders>
              <w:left w:val="single" w:color="000000" w:sz="4" w:space="0"/>
              <w:right w:val="single" w:color="000000" w:sz="4" w:space="0"/>
            </w:tcBorders>
            <w:shd w:val="clear" w:color="auto" w:fill="auto"/>
            <w:vAlign w:val="center"/>
          </w:tcPr>
          <w:p w14:paraId="4F5AE6C2">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38EFE">
            <w:pPr>
              <w:jc w:val="center"/>
              <w:textAlignment w:val="center"/>
              <w:rPr>
                <w:rFonts w:hint="eastAsia" w:cs="宋体"/>
                <w:kern w:val="0"/>
                <w:sz w:val="21"/>
                <w:szCs w:val="21"/>
                <w:lang w:bidi="ar"/>
              </w:rPr>
            </w:pPr>
            <w:r>
              <w:rPr>
                <w:rFonts w:hint="eastAsia" w:cs="宋体"/>
                <w:bCs/>
                <w:kern w:val="0"/>
                <w:sz w:val="21"/>
                <w:szCs w:val="21"/>
                <w:lang w:bidi="ar"/>
              </w:rPr>
              <w:t>0</w:t>
            </w:r>
            <w:r>
              <w:rPr>
                <w:rFonts w:cs="宋体"/>
                <w:bCs/>
                <w:kern w:val="0"/>
                <w:sz w:val="21"/>
                <w:szCs w:val="21"/>
                <w:lang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1A368">
            <w:pPr>
              <w:jc w:val="left"/>
              <w:textAlignment w:val="center"/>
              <w:rPr>
                <w:rFonts w:hint="eastAsia" w:cs="宋体"/>
                <w:kern w:val="0"/>
                <w:sz w:val="21"/>
                <w:szCs w:val="21"/>
                <w:lang w:bidi="ar"/>
              </w:rPr>
            </w:pPr>
          </w:p>
        </w:tc>
      </w:tr>
      <w:tr w14:paraId="2E3949E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D1EE3">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6C774">
            <w:pPr>
              <w:jc w:val="left"/>
              <w:textAlignment w:val="center"/>
              <w:rPr>
                <w:rFonts w:hint="eastAsia" w:cs="宋体"/>
                <w:kern w:val="0"/>
                <w:sz w:val="21"/>
                <w:szCs w:val="21"/>
                <w:lang w:bidi="ar"/>
              </w:rPr>
            </w:pPr>
            <w:r>
              <w:rPr>
                <w:rFonts w:hint="eastAsia" w:cs="宋体"/>
                <w:bCs/>
                <w:kern w:val="0"/>
                <w:sz w:val="21"/>
                <w:szCs w:val="21"/>
                <w:lang w:bidi="ar"/>
              </w:rPr>
              <w:t>地下洞室通风使用变频技术风机，节约电能。</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2A5E7094">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1A387">
            <w:pPr>
              <w:jc w:val="center"/>
              <w:textAlignment w:val="center"/>
              <w:rPr>
                <w:rFonts w:hint="eastAsia" w:cs="宋体"/>
                <w:kern w:val="0"/>
                <w:sz w:val="21"/>
                <w:szCs w:val="21"/>
                <w:lang w:bidi="ar"/>
              </w:rPr>
            </w:pPr>
            <w:r>
              <w:rPr>
                <w:rFonts w:hint="eastAsia" w:cs="宋体"/>
                <w:bCs/>
                <w:kern w:val="0"/>
                <w:sz w:val="21"/>
                <w:szCs w:val="21"/>
                <w:lang w:bidi="ar"/>
              </w:rPr>
              <w:t>0</w:t>
            </w:r>
            <w:r>
              <w:rPr>
                <w:rFonts w:cs="宋体"/>
                <w:bCs/>
                <w:kern w:val="0"/>
                <w:sz w:val="21"/>
                <w:szCs w:val="21"/>
                <w:lang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B29A4">
            <w:pPr>
              <w:jc w:val="left"/>
              <w:textAlignment w:val="center"/>
              <w:rPr>
                <w:rFonts w:hint="eastAsia" w:cs="宋体"/>
                <w:kern w:val="0"/>
                <w:sz w:val="21"/>
                <w:szCs w:val="21"/>
                <w:lang w:bidi="ar"/>
              </w:rPr>
            </w:pPr>
          </w:p>
        </w:tc>
      </w:tr>
      <w:tr w14:paraId="654C26BD">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3F349">
            <w:pPr>
              <w:jc w:val="center"/>
              <w:textAlignment w:val="center"/>
              <w:rPr>
                <w:rFonts w:hint="eastAsia" w:cs="宋体"/>
                <w:kern w:val="0"/>
                <w:sz w:val="21"/>
                <w:szCs w:val="21"/>
                <w:lang w:bidi="ar"/>
              </w:rPr>
            </w:pPr>
            <w:r>
              <w:rPr>
                <w:rFonts w:hint="eastAsia" w:cs="宋体"/>
                <w:kern w:val="0"/>
                <w:sz w:val="21"/>
                <w:szCs w:val="21"/>
                <w:lang w:bidi="ar"/>
              </w:rPr>
              <w:t xml:space="preserve">6.3.25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91A59">
            <w:pPr>
              <w:jc w:val="left"/>
              <w:textAlignment w:val="center"/>
              <w:rPr>
                <w:rFonts w:hint="eastAsia" w:cs="宋体"/>
                <w:kern w:val="0"/>
                <w:sz w:val="21"/>
                <w:szCs w:val="21"/>
                <w:lang w:bidi="ar"/>
              </w:rPr>
            </w:pPr>
            <w:r>
              <w:rPr>
                <w:rFonts w:hint="eastAsia" w:cs="宋体"/>
                <w:kern w:val="0"/>
                <w:sz w:val="21"/>
                <w:szCs w:val="21"/>
                <w:lang w:bidi="ar"/>
              </w:rPr>
              <w:t>风力发电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4B892">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9BD24">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9CA8C">
            <w:pPr>
              <w:jc w:val="left"/>
              <w:textAlignment w:val="center"/>
              <w:rPr>
                <w:rFonts w:hint="eastAsia" w:cs="宋体"/>
                <w:kern w:val="0"/>
                <w:sz w:val="21"/>
                <w:szCs w:val="21"/>
                <w:lang w:bidi="ar"/>
              </w:rPr>
            </w:pPr>
          </w:p>
        </w:tc>
      </w:tr>
      <w:tr w14:paraId="2370EEE7">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6FE3F">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48BB5">
            <w:pPr>
              <w:jc w:val="left"/>
              <w:textAlignment w:val="center"/>
              <w:rPr>
                <w:rFonts w:hint="eastAsia" w:cs="宋体"/>
                <w:kern w:val="0"/>
                <w:sz w:val="21"/>
                <w:szCs w:val="21"/>
                <w:lang w:bidi="ar"/>
              </w:rPr>
            </w:pPr>
            <w:r>
              <w:rPr>
                <w:rFonts w:hint="eastAsia" w:cs="宋体"/>
                <w:kern w:val="0"/>
                <w:sz w:val="21"/>
                <w:szCs w:val="21"/>
                <w:lang w:bidi="ar"/>
              </w:rPr>
              <w:t>陆上风电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069E9">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BCA3C">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A61A7">
            <w:pPr>
              <w:jc w:val="left"/>
              <w:textAlignment w:val="center"/>
              <w:rPr>
                <w:rFonts w:hint="eastAsia" w:cs="宋体"/>
                <w:kern w:val="0"/>
                <w:sz w:val="21"/>
                <w:szCs w:val="21"/>
                <w:lang w:bidi="ar"/>
              </w:rPr>
            </w:pPr>
          </w:p>
        </w:tc>
      </w:tr>
      <w:tr w14:paraId="5D5AAD3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9E657">
            <w:pPr>
              <w:jc w:val="center"/>
              <w:textAlignment w:val="center"/>
              <w:rPr>
                <w:rFonts w:hint="eastAsia" w:cs="宋体"/>
                <w:kern w:val="0"/>
                <w:sz w:val="21"/>
                <w:szCs w:val="21"/>
                <w:lang w:bidi="ar"/>
              </w:rPr>
            </w:pPr>
            <w:r>
              <w:rPr>
                <w:rFonts w:hint="eastAsia" w:cs="Times New Roman"/>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67574">
            <w:pPr>
              <w:adjustRightInd w:val="0"/>
              <w:snapToGrid w:val="0"/>
              <w:rPr>
                <w:rFonts w:hint="eastAsia" w:cs="Times New Roman"/>
                <w:sz w:val="21"/>
                <w:szCs w:val="21"/>
              </w:rPr>
            </w:pPr>
            <w:r>
              <w:rPr>
                <w:rFonts w:hint="eastAsia" w:cs="Times New Roman"/>
                <w:sz w:val="21"/>
                <w:szCs w:val="21"/>
              </w:rPr>
              <w:t>合理安排设备到场计划，风力发电机组大件设备直接运输至安装位置，减少现场设备存储及二次倒运机械能源消耗。</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4EE4BD34">
            <w:pPr>
              <w:jc w:val="left"/>
              <w:rPr>
                <w:rFonts w:hint="eastAsia"/>
                <w:sz w:val="21"/>
                <w:szCs w:val="21"/>
              </w:rPr>
            </w:pPr>
            <w:r>
              <w:rPr>
                <w:rFonts w:hint="eastAsia"/>
                <w:sz w:val="21"/>
                <w:szCs w:val="21"/>
              </w:rPr>
              <w:t>根据现场实际情况按照标准分乘以相应系数进行评分：</w:t>
            </w:r>
          </w:p>
          <w:p w14:paraId="383B5A78">
            <w:pPr>
              <w:jc w:val="left"/>
              <w:rPr>
                <w:rFonts w:hint="eastAsia"/>
                <w:sz w:val="21"/>
                <w:szCs w:val="21"/>
              </w:rPr>
            </w:pPr>
            <w:r>
              <w:rPr>
                <w:rFonts w:hint="eastAsia"/>
                <w:sz w:val="21"/>
                <w:szCs w:val="21"/>
              </w:rPr>
              <w:t>1、措施到位，满足评价指标要求系数为1；</w:t>
            </w:r>
          </w:p>
          <w:p w14:paraId="580A7A9E">
            <w:pPr>
              <w:jc w:val="left"/>
              <w:rPr>
                <w:rFonts w:hint="eastAsia" w:cs="宋体"/>
                <w:sz w:val="21"/>
                <w:szCs w:val="21"/>
              </w:rPr>
            </w:pPr>
            <w:r>
              <w:rPr>
                <w:rFonts w:hint="eastAsia"/>
                <w:sz w:val="21"/>
                <w:szCs w:val="21"/>
              </w:rPr>
              <w:t>2、措施到位，基本满足评价指标要求系数按照0.5~0.9酌情选取；</w:t>
            </w:r>
          </w:p>
          <w:p w14:paraId="250EF51D">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E1AB9">
            <w:pPr>
              <w:jc w:val="center"/>
              <w:rPr>
                <w:rFonts w:hint="eastAsia" w:cs="宋体"/>
                <w:sz w:val="21"/>
                <w:szCs w:val="21"/>
              </w:rPr>
            </w:pPr>
            <w:r>
              <w:rPr>
                <w:rFonts w:hint="eastAsia" w:cs="宋体"/>
                <w:sz w:val="21"/>
                <w:szCs w:val="21"/>
              </w:rPr>
              <w:t>0.7</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40618">
            <w:pPr>
              <w:jc w:val="center"/>
              <w:rPr>
                <w:rFonts w:hint="eastAsia" w:cs="宋体"/>
                <w:sz w:val="21"/>
                <w:szCs w:val="21"/>
              </w:rPr>
            </w:pPr>
          </w:p>
        </w:tc>
      </w:tr>
      <w:tr w14:paraId="7FFDCAC2">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429C3">
            <w:pPr>
              <w:jc w:val="center"/>
              <w:textAlignment w:val="center"/>
              <w:rPr>
                <w:rFonts w:hint="eastAsia" w:cs="宋体"/>
                <w:kern w:val="0"/>
                <w:sz w:val="21"/>
                <w:szCs w:val="21"/>
                <w:lang w:bidi="ar"/>
              </w:rPr>
            </w:pPr>
            <w:r>
              <w:rPr>
                <w:rFonts w:hint="eastAsia" w:cs="Times New Roman"/>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317AC">
            <w:pPr>
              <w:adjustRightInd w:val="0"/>
              <w:snapToGrid w:val="0"/>
              <w:rPr>
                <w:rFonts w:hint="eastAsia" w:cs="Times New Roman"/>
                <w:sz w:val="21"/>
                <w:szCs w:val="21"/>
              </w:rPr>
            </w:pPr>
            <w:r>
              <w:rPr>
                <w:rFonts w:hint="eastAsia" w:cs="Times New Roman"/>
                <w:sz w:val="21"/>
                <w:szCs w:val="21"/>
              </w:rPr>
              <w:t>设备临时存放场地宜就近规划布置，减少设备二次倒运距离，降低机械设备使用量，降低能源消耗。</w:t>
            </w:r>
          </w:p>
        </w:tc>
        <w:tc>
          <w:tcPr>
            <w:tcW w:w="4111" w:type="dxa"/>
            <w:vMerge w:val="continue"/>
            <w:tcBorders>
              <w:left w:val="single" w:color="000000" w:sz="4" w:space="0"/>
              <w:right w:val="single" w:color="000000" w:sz="4" w:space="0"/>
            </w:tcBorders>
            <w:shd w:val="clear" w:color="auto" w:fill="auto"/>
            <w:vAlign w:val="center"/>
          </w:tcPr>
          <w:p w14:paraId="2DA008D0">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ED99E">
            <w:pPr>
              <w:jc w:val="center"/>
              <w:rPr>
                <w:rFonts w:hint="eastAsia" w:cs="宋体"/>
                <w:sz w:val="21"/>
                <w:szCs w:val="21"/>
              </w:rPr>
            </w:pPr>
            <w:r>
              <w:rPr>
                <w:rFonts w:hint="eastAsia" w:cs="宋体"/>
                <w:sz w:val="21"/>
                <w:szCs w:val="21"/>
              </w:rPr>
              <w:t>0.7</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F7C3B">
            <w:pPr>
              <w:jc w:val="center"/>
              <w:rPr>
                <w:rFonts w:hint="eastAsia" w:cs="宋体"/>
                <w:sz w:val="21"/>
                <w:szCs w:val="21"/>
              </w:rPr>
            </w:pPr>
          </w:p>
        </w:tc>
      </w:tr>
      <w:tr w14:paraId="4C5F9A2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860E6">
            <w:pPr>
              <w:jc w:val="center"/>
              <w:textAlignment w:val="center"/>
              <w:rPr>
                <w:rFonts w:hint="eastAsia" w:cs="宋体"/>
                <w:kern w:val="0"/>
                <w:sz w:val="21"/>
                <w:szCs w:val="21"/>
                <w:lang w:bidi="ar"/>
              </w:rPr>
            </w:pPr>
            <w:r>
              <w:rPr>
                <w:rFonts w:hint="eastAsia" w:cs="Times New Roman"/>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A2B19">
            <w:pPr>
              <w:adjustRightInd w:val="0"/>
              <w:snapToGrid w:val="0"/>
              <w:rPr>
                <w:rFonts w:hint="eastAsia" w:cs="Times New Roman"/>
                <w:sz w:val="21"/>
                <w:szCs w:val="21"/>
              </w:rPr>
            </w:pPr>
            <w:r>
              <w:rPr>
                <w:rFonts w:hint="eastAsia" w:cs="Times New Roman"/>
                <w:sz w:val="21"/>
                <w:szCs w:val="21"/>
              </w:rPr>
              <w:t>吊装机械选取合理，合理安排工序，提高机械的使用率和满载率。</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1AA44C3B">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D275C">
            <w:pPr>
              <w:jc w:val="center"/>
              <w:rPr>
                <w:rFonts w:hint="eastAsia" w:cs="宋体"/>
                <w:sz w:val="21"/>
                <w:szCs w:val="21"/>
              </w:rPr>
            </w:pPr>
            <w:r>
              <w:rPr>
                <w:rFonts w:hint="eastAsia" w:cs="宋体"/>
                <w:sz w:val="21"/>
                <w:szCs w:val="21"/>
              </w:rPr>
              <w:t>0.6</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BC98B">
            <w:pPr>
              <w:jc w:val="center"/>
              <w:rPr>
                <w:rFonts w:hint="eastAsia" w:cs="宋体"/>
                <w:sz w:val="21"/>
                <w:szCs w:val="21"/>
              </w:rPr>
            </w:pPr>
          </w:p>
        </w:tc>
      </w:tr>
      <w:tr w14:paraId="0B5337E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9E75F">
            <w:pPr>
              <w:jc w:val="center"/>
              <w:textAlignment w:val="center"/>
              <w:rPr>
                <w:rFonts w:hint="eastAsia" w:cs="Times New Roman"/>
                <w:sz w:val="21"/>
                <w:szCs w:val="21"/>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DDE23">
            <w:pPr>
              <w:adjustRightInd w:val="0"/>
              <w:snapToGrid w:val="0"/>
              <w:rPr>
                <w:rFonts w:hint="eastAsia" w:cs="Times New Roman"/>
                <w:sz w:val="21"/>
                <w:szCs w:val="21"/>
              </w:rPr>
            </w:pPr>
            <w:r>
              <w:rPr>
                <w:rFonts w:hint="eastAsia" w:cs="Times New Roman"/>
                <w:sz w:val="21"/>
                <w:szCs w:val="21"/>
              </w:rPr>
              <w:t>海上风电</w:t>
            </w:r>
          </w:p>
        </w:tc>
        <w:tc>
          <w:tcPr>
            <w:tcW w:w="4111" w:type="dxa"/>
            <w:tcBorders>
              <w:top w:val="single" w:color="000000" w:sz="4" w:space="0"/>
              <w:left w:val="single" w:color="000000" w:sz="4" w:space="0"/>
              <w:right w:val="single" w:color="000000" w:sz="4" w:space="0"/>
            </w:tcBorders>
            <w:shd w:val="clear" w:color="auto" w:fill="auto"/>
            <w:vAlign w:val="center"/>
          </w:tcPr>
          <w:p w14:paraId="1BDFA827">
            <w:pPr>
              <w:jc w:val="left"/>
              <w:rPr>
                <w:rFonts w:hint="eastAsia"/>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2A5EC">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45310">
            <w:pPr>
              <w:jc w:val="center"/>
              <w:rPr>
                <w:rFonts w:hint="eastAsia" w:cs="宋体"/>
                <w:sz w:val="21"/>
                <w:szCs w:val="21"/>
              </w:rPr>
            </w:pPr>
          </w:p>
        </w:tc>
      </w:tr>
      <w:tr w14:paraId="6875338F">
        <w:tblPrEx>
          <w:tblCellMar>
            <w:top w:w="0" w:type="dxa"/>
            <w:left w:w="108" w:type="dxa"/>
            <w:bottom w:w="0" w:type="dxa"/>
            <w:right w:w="108" w:type="dxa"/>
          </w:tblCellMar>
        </w:tblPrEx>
        <w:trPr>
          <w:trHeight w:val="1503"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4370B">
            <w:pPr>
              <w:jc w:val="center"/>
              <w:textAlignment w:val="center"/>
              <w:rPr>
                <w:rFonts w:hint="eastAsia" w:cs="宋体"/>
                <w:kern w:val="0"/>
                <w:sz w:val="21"/>
                <w:szCs w:val="21"/>
                <w:lang w:bidi="ar"/>
              </w:rPr>
            </w:pPr>
            <w:r>
              <w:rPr>
                <w:rFonts w:hint="eastAsia" w:cs="Times New Roman"/>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05538">
            <w:pPr>
              <w:adjustRightInd w:val="0"/>
              <w:snapToGrid w:val="0"/>
              <w:rPr>
                <w:rFonts w:hint="eastAsia" w:cs="Times New Roman"/>
                <w:sz w:val="21"/>
                <w:szCs w:val="21"/>
              </w:rPr>
            </w:pPr>
            <w:r>
              <w:rPr>
                <w:rFonts w:hint="eastAsia" w:cs="Times New Roman"/>
                <w:sz w:val="21"/>
                <w:szCs w:val="21"/>
              </w:rPr>
              <w:t>钢管桩、塔架等大宗钢结构设备制造厂家宜选择在沿海或者沿江口岸，降低设备运输能耗。</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1CA23657">
            <w:pPr>
              <w:jc w:val="left"/>
              <w:rPr>
                <w:rFonts w:hint="eastAsia"/>
                <w:sz w:val="21"/>
                <w:szCs w:val="21"/>
              </w:rPr>
            </w:pPr>
            <w:r>
              <w:rPr>
                <w:rFonts w:hint="eastAsia"/>
                <w:sz w:val="21"/>
                <w:szCs w:val="21"/>
              </w:rPr>
              <w:t>根据现场实际情况按照标准分乘以相应系数进行评分：</w:t>
            </w:r>
          </w:p>
          <w:p w14:paraId="160B57CA">
            <w:pPr>
              <w:jc w:val="left"/>
              <w:rPr>
                <w:rFonts w:hint="eastAsia"/>
                <w:sz w:val="21"/>
                <w:szCs w:val="21"/>
              </w:rPr>
            </w:pPr>
            <w:r>
              <w:rPr>
                <w:rFonts w:hint="eastAsia"/>
                <w:sz w:val="21"/>
                <w:szCs w:val="21"/>
              </w:rPr>
              <w:t>1、措施到位，满足评价指标要求系数为1；</w:t>
            </w:r>
          </w:p>
          <w:p w14:paraId="4C338BFE">
            <w:pPr>
              <w:jc w:val="left"/>
              <w:rPr>
                <w:rFonts w:hint="eastAsia" w:cs="宋体"/>
                <w:sz w:val="21"/>
                <w:szCs w:val="21"/>
              </w:rPr>
            </w:pPr>
            <w:r>
              <w:rPr>
                <w:rFonts w:hint="eastAsia"/>
                <w:sz w:val="21"/>
                <w:szCs w:val="21"/>
              </w:rPr>
              <w:t>2、措施到位，基本满足评价指标要求系数按照0.5~0.9酌情选取；</w:t>
            </w:r>
          </w:p>
          <w:p w14:paraId="708E5E2C">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FA217">
            <w:pPr>
              <w:jc w:val="center"/>
              <w:rPr>
                <w:rFonts w:hint="eastAsia" w:cs="宋体"/>
                <w:sz w:val="21"/>
                <w:szCs w:val="21"/>
              </w:rPr>
            </w:pPr>
            <w:r>
              <w:rPr>
                <w:rFonts w:hint="eastAsia" w:cs="宋体"/>
                <w:sz w:val="21"/>
                <w:szCs w:val="21"/>
              </w:rPr>
              <w:t>0.7</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A199B">
            <w:pPr>
              <w:jc w:val="center"/>
              <w:rPr>
                <w:rFonts w:hint="eastAsia" w:cs="宋体"/>
                <w:sz w:val="21"/>
                <w:szCs w:val="21"/>
              </w:rPr>
            </w:pPr>
          </w:p>
        </w:tc>
      </w:tr>
      <w:tr w14:paraId="251A68B9">
        <w:trPr>
          <w:trHeight w:val="1411"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7F6A6">
            <w:pPr>
              <w:jc w:val="center"/>
              <w:textAlignment w:val="center"/>
              <w:rPr>
                <w:rFonts w:hint="eastAsia" w:cs="宋体"/>
                <w:kern w:val="0"/>
                <w:sz w:val="21"/>
                <w:szCs w:val="21"/>
                <w:lang w:bidi="ar"/>
              </w:rPr>
            </w:pPr>
            <w:r>
              <w:rPr>
                <w:rFonts w:hint="eastAsia" w:cs="Times New Roman"/>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E2841">
            <w:pPr>
              <w:adjustRightInd w:val="0"/>
              <w:snapToGrid w:val="0"/>
              <w:rPr>
                <w:rFonts w:hint="eastAsia" w:cs="Times New Roman"/>
                <w:sz w:val="21"/>
                <w:szCs w:val="21"/>
              </w:rPr>
            </w:pPr>
            <w:r>
              <w:rPr>
                <w:rFonts w:hint="eastAsia" w:cs="Times New Roman"/>
                <w:sz w:val="21"/>
                <w:szCs w:val="21"/>
              </w:rPr>
              <w:t>严格控制现场船舶燃油消耗，记录用油情况和交通往来情况，合理安排施工内容，避免出现船舶无效交通运输情况。</w:t>
            </w:r>
          </w:p>
        </w:tc>
        <w:tc>
          <w:tcPr>
            <w:tcW w:w="4111" w:type="dxa"/>
            <w:vMerge w:val="continue"/>
            <w:tcBorders>
              <w:left w:val="single" w:color="000000" w:sz="4" w:space="0"/>
              <w:right w:val="single" w:color="000000" w:sz="4" w:space="0"/>
            </w:tcBorders>
            <w:shd w:val="clear" w:color="auto" w:fill="auto"/>
            <w:vAlign w:val="center"/>
          </w:tcPr>
          <w:p w14:paraId="41EB1975">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C8128">
            <w:pPr>
              <w:jc w:val="center"/>
              <w:rPr>
                <w:rFonts w:hint="eastAsia" w:cs="宋体"/>
                <w:sz w:val="21"/>
                <w:szCs w:val="21"/>
              </w:rPr>
            </w:pPr>
            <w:r>
              <w:rPr>
                <w:rFonts w:hint="eastAsia" w:cs="宋体"/>
                <w:sz w:val="21"/>
                <w:szCs w:val="21"/>
              </w:rPr>
              <w:t>0.6</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3CBB2">
            <w:pPr>
              <w:jc w:val="center"/>
              <w:rPr>
                <w:rFonts w:hint="eastAsia" w:cs="宋体"/>
                <w:sz w:val="21"/>
                <w:szCs w:val="21"/>
              </w:rPr>
            </w:pPr>
          </w:p>
        </w:tc>
      </w:tr>
      <w:tr w14:paraId="6B97BBA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03AD5">
            <w:pPr>
              <w:jc w:val="center"/>
              <w:textAlignment w:val="center"/>
              <w:rPr>
                <w:rFonts w:hint="eastAsia" w:cs="宋体"/>
                <w:kern w:val="0"/>
                <w:sz w:val="21"/>
                <w:szCs w:val="21"/>
                <w:lang w:bidi="ar"/>
              </w:rPr>
            </w:pPr>
            <w:r>
              <w:rPr>
                <w:rFonts w:hint="eastAsia" w:cs="Times New Roman"/>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DA4A4">
            <w:pPr>
              <w:adjustRightInd w:val="0"/>
              <w:snapToGrid w:val="0"/>
              <w:rPr>
                <w:rFonts w:hint="eastAsia" w:cs="Times New Roman"/>
                <w:sz w:val="21"/>
                <w:szCs w:val="21"/>
              </w:rPr>
            </w:pPr>
            <w:r>
              <w:rPr>
                <w:rFonts w:hint="eastAsia" w:cs="Times New Roman"/>
                <w:sz w:val="21"/>
                <w:szCs w:val="21"/>
              </w:rPr>
              <w:t>应定期检查燃油系统设备及管路，避免油料“跑”、“冒”、“滴”、“漏”。</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67B2084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5B726">
            <w:pPr>
              <w:jc w:val="center"/>
              <w:rPr>
                <w:rFonts w:hint="eastAsia" w:cs="宋体"/>
                <w:sz w:val="21"/>
                <w:szCs w:val="21"/>
              </w:rPr>
            </w:pPr>
            <w:r>
              <w:rPr>
                <w:rFonts w:hint="eastAsia" w:cs="宋体"/>
                <w:sz w:val="21"/>
                <w:szCs w:val="21"/>
              </w:rPr>
              <w:t>0.7</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FF2EF">
            <w:pPr>
              <w:jc w:val="center"/>
              <w:rPr>
                <w:rFonts w:hint="eastAsia" w:cs="宋体"/>
                <w:sz w:val="21"/>
                <w:szCs w:val="21"/>
              </w:rPr>
            </w:pPr>
          </w:p>
        </w:tc>
      </w:tr>
      <w:tr w14:paraId="3879CB1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5CC42">
            <w:pPr>
              <w:jc w:val="center"/>
              <w:textAlignment w:val="center"/>
              <w:rPr>
                <w:rFonts w:hint="eastAsia" w:cs="宋体"/>
                <w:kern w:val="0"/>
                <w:sz w:val="21"/>
                <w:szCs w:val="21"/>
                <w:lang w:bidi="ar"/>
              </w:rPr>
            </w:pPr>
            <w:r>
              <w:rPr>
                <w:rFonts w:hint="eastAsia" w:cs="宋体"/>
                <w:kern w:val="0"/>
                <w:sz w:val="21"/>
                <w:szCs w:val="21"/>
                <w:lang w:bidi="ar"/>
              </w:rPr>
              <w:t xml:space="preserve">6.3.26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9BF70">
            <w:pPr>
              <w:jc w:val="left"/>
              <w:rPr>
                <w:rFonts w:hint="eastAsia" w:cs="宋体"/>
                <w:kern w:val="0"/>
                <w:sz w:val="21"/>
                <w:szCs w:val="21"/>
                <w:lang w:bidi="ar"/>
              </w:rPr>
            </w:pPr>
            <w:r>
              <w:rPr>
                <w:rFonts w:hint="eastAsia" w:cs="宋体"/>
                <w:kern w:val="0"/>
                <w:sz w:val="21"/>
                <w:szCs w:val="21"/>
                <w:lang w:bidi="ar"/>
              </w:rPr>
              <w:t>太阳能发电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2261E">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D459C">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43D21">
            <w:pPr>
              <w:jc w:val="left"/>
              <w:textAlignment w:val="center"/>
              <w:rPr>
                <w:rFonts w:hint="eastAsia" w:cs="宋体"/>
                <w:kern w:val="0"/>
                <w:sz w:val="21"/>
                <w:szCs w:val="21"/>
                <w:lang w:bidi="ar"/>
              </w:rPr>
            </w:pPr>
          </w:p>
        </w:tc>
      </w:tr>
      <w:tr w14:paraId="1CA61AE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122B9">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DE63B">
            <w:pPr>
              <w:jc w:val="left"/>
              <w:rPr>
                <w:rFonts w:hint="eastAsia" w:cs="宋体"/>
                <w:sz w:val="21"/>
                <w:szCs w:val="21"/>
              </w:rPr>
            </w:pPr>
            <w:r>
              <w:rPr>
                <w:rFonts w:hint="eastAsia" w:cs="宋体"/>
                <w:kern w:val="0"/>
                <w:sz w:val="21"/>
                <w:szCs w:val="21"/>
                <w:lang w:bidi="ar"/>
              </w:rPr>
              <w:t>陆上光伏发电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622CD">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1E33F">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7BA61">
            <w:pPr>
              <w:jc w:val="left"/>
              <w:textAlignment w:val="center"/>
              <w:rPr>
                <w:rFonts w:hint="eastAsia" w:cs="宋体"/>
                <w:kern w:val="0"/>
                <w:sz w:val="21"/>
                <w:szCs w:val="21"/>
                <w:lang w:bidi="ar"/>
              </w:rPr>
            </w:pPr>
          </w:p>
        </w:tc>
      </w:tr>
      <w:tr w14:paraId="3C1D3B8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370A1">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4A05D">
            <w:pPr>
              <w:jc w:val="left"/>
              <w:rPr>
                <w:rFonts w:hint="eastAsia" w:cs="宋体"/>
                <w:kern w:val="0"/>
                <w:sz w:val="21"/>
                <w:szCs w:val="21"/>
                <w:lang w:bidi="ar"/>
              </w:rPr>
            </w:pPr>
            <w:r>
              <w:rPr>
                <w:rFonts w:hint="eastAsia" w:cs="宋体"/>
                <w:kern w:val="0"/>
                <w:sz w:val="21"/>
                <w:szCs w:val="21"/>
                <w:lang w:bidi="ar"/>
              </w:rPr>
              <w:t>变电站大型设备应直接运输至安装位置，减少现场设备存储及二次倒运机械的能源消耗</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7DE8DB62">
            <w:pPr>
              <w:jc w:val="left"/>
              <w:rPr>
                <w:rFonts w:hint="eastAsia" w:cs="宋体"/>
                <w:kern w:val="0"/>
                <w:sz w:val="21"/>
                <w:szCs w:val="21"/>
                <w:lang w:bidi="ar"/>
              </w:rPr>
            </w:pPr>
            <w:r>
              <w:rPr>
                <w:rFonts w:hint="eastAsia" w:cs="宋体"/>
                <w:kern w:val="0"/>
                <w:sz w:val="21"/>
                <w:szCs w:val="21"/>
                <w:lang w:bidi="ar"/>
              </w:rPr>
              <w:t>根据现场实际情况按照标准分乘以相应系数进行评分：</w:t>
            </w:r>
          </w:p>
          <w:p w14:paraId="6935495E">
            <w:pPr>
              <w:jc w:val="left"/>
              <w:rPr>
                <w:rFonts w:hint="eastAsia" w:cs="宋体"/>
                <w:kern w:val="0"/>
                <w:sz w:val="21"/>
                <w:szCs w:val="21"/>
                <w:lang w:bidi="ar"/>
              </w:rPr>
            </w:pPr>
            <w:r>
              <w:rPr>
                <w:rFonts w:hint="eastAsia" w:cs="宋体"/>
                <w:kern w:val="0"/>
                <w:sz w:val="21"/>
                <w:szCs w:val="21"/>
                <w:lang w:bidi="ar"/>
              </w:rPr>
              <w:t>1、措施到位，满足评价指标要求系数为1；</w:t>
            </w:r>
          </w:p>
          <w:p w14:paraId="3C4C8446">
            <w:pPr>
              <w:jc w:val="left"/>
              <w:rPr>
                <w:rFonts w:hint="eastAsia" w:cs="宋体"/>
                <w:kern w:val="0"/>
                <w:sz w:val="21"/>
                <w:szCs w:val="21"/>
                <w:lang w:bidi="ar"/>
              </w:rPr>
            </w:pPr>
            <w:r>
              <w:rPr>
                <w:rFonts w:hint="eastAsia" w:cs="宋体"/>
                <w:kern w:val="0"/>
                <w:sz w:val="21"/>
                <w:szCs w:val="21"/>
                <w:lang w:bidi="ar"/>
              </w:rPr>
              <w:t>2、措施到位，基本满足评价指标要求系数按照0.5~0.9酌情选取；</w:t>
            </w:r>
          </w:p>
          <w:p w14:paraId="5E7B4533">
            <w:pPr>
              <w:jc w:val="left"/>
              <w:rPr>
                <w:rFonts w:hint="eastAsia" w:cs="宋体"/>
                <w:sz w:val="21"/>
                <w:szCs w:val="21"/>
              </w:rPr>
            </w:pPr>
            <w:r>
              <w:rPr>
                <w:rFonts w:hint="eastAsia" w:cs="宋体"/>
                <w:kern w:val="0"/>
                <w:sz w:val="21"/>
                <w:szCs w:val="21"/>
                <w:lang w:bidi="ar"/>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A9237">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815E8">
            <w:pPr>
              <w:jc w:val="center"/>
              <w:rPr>
                <w:rFonts w:hint="eastAsia" w:cs="宋体"/>
                <w:sz w:val="21"/>
                <w:szCs w:val="21"/>
              </w:rPr>
            </w:pPr>
          </w:p>
        </w:tc>
      </w:tr>
      <w:tr w14:paraId="392E5AD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16024">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22477">
            <w:pPr>
              <w:jc w:val="left"/>
              <w:rPr>
                <w:rFonts w:hint="eastAsia" w:cs="宋体"/>
                <w:kern w:val="0"/>
                <w:sz w:val="21"/>
                <w:szCs w:val="21"/>
                <w:lang w:bidi="ar"/>
              </w:rPr>
            </w:pPr>
            <w:r>
              <w:rPr>
                <w:rFonts w:hint="eastAsia" w:cs="宋体"/>
                <w:kern w:val="0"/>
                <w:sz w:val="21"/>
                <w:szCs w:val="21"/>
                <w:lang w:bidi="ar"/>
              </w:rPr>
              <w:t>光伏支架及组件等设备临时存放场地宜就近规划布置，减少设备二次倒运距离，降低机械设备使用量，降低能源消耗</w:t>
            </w:r>
          </w:p>
        </w:tc>
        <w:tc>
          <w:tcPr>
            <w:tcW w:w="4111" w:type="dxa"/>
            <w:vMerge w:val="continue"/>
            <w:tcBorders>
              <w:left w:val="single" w:color="000000" w:sz="4" w:space="0"/>
              <w:right w:val="single" w:color="000000" w:sz="4" w:space="0"/>
            </w:tcBorders>
            <w:shd w:val="clear" w:color="auto" w:fill="auto"/>
            <w:vAlign w:val="center"/>
          </w:tcPr>
          <w:p w14:paraId="384DA579">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1EE4C">
            <w:pPr>
              <w:jc w:val="center"/>
              <w:rPr>
                <w:rFonts w:hint="eastAsia" w:cs="宋体"/>
                <w:sz w:val="21"/>
                <w:szCs w:val="21"/>
              </w:rPr>
            </w:pPr>
            <w:r>
              <w:rPr>
                <w:rFonts w:hint="eastAsia" w:cs="宋体"/>
                <w:sz w:val="21"/>
                <w:szCs w:val="21"/>
              </w:rPr>
              <w:t>0.4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F9D32">
            <w:pPr>
              <w:jc w:val="center"/>
              <w:rPr>
                <w:rFonts w:hint="eastAsia" w:cs="宋体"/>
                <w:sz w:val="21"/>
                <w:szCs w:val="21"/>
              </w:rPr>
            </w:pPr>
          </w:p>
        </w:tc>
      </w:tr>
      <w:tr w14:paraId="350AC4A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07FA4">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D88A1">
            <w:pPr>
              <w:jc w:val="left"/>
              <w:rPr>
                <w:rFonts w:hint="eastAsia" w:cs="宋体"/>
                <w:kern w:val="0"/>
                <w:sz w:val="21"/>
                <w:szCs w:val="21"/>
                <w:lang w:bidi="ar"/>
              </w:rPr>
            </w:pPr>
            <w:r>
              <w:rPr>
                <w:rFonts w:hint="eastAsia"/>
                <w:sz w:val="21"/>
                <w:szCs w:val="21"/>
              </w:rPr>
              <w:t>宜优先选用高效节能的手持电动力矩扳手进行支架安装，提高安装效率</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213F37F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3EB42">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5109A">
            <w:pPr>
              <w:jc w:val="center"/>
              <w:rPr>
                <w:rFonts w:hint="eastAsia" w:cs="宋体"/>
                <w:sz w:val="21"/>
                <w:szCs w:val="21"/>
              </w:rPr>
            </w:pPr>
          </w:p>
        </w:tc>
      </w:tr>
      <w:tr w14:paraId="18413F4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80DCA">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602A2">
            <w:pPr>
              <w:jc w:val="left"/>
              <w:rPr>
                <w:rFonts w:hint="eastAsia" w:cs="宋体"/>
                <w:kern w:val="0"/>
                <w:sz w:val="21"/>
                <w:szCs w:val="21"/>
                <w:lang w:bidi="ar"/>
              </w:rPr>
            </w:pPr>
            <w:r>
              <w:rPr>
                <w:rFonts w:hint="eastAsia" w:cs="宋体"/>
                <w:kern w:val="0"/>
                <w:sz w:val="21"/>
                <w:szCs w:val="21"/>
                <w:lang w:bidi="ar"/>
              </w:rPr>
              <w:t>水上光伏发电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FCB41">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5649E">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1B95E">
            <w:pPr>
              <w:jc w:val="center"/>
              <w:rPr>
                <w:rFonts w:hint="eastAsia" w:cs="宋体"/>
                <w:sz w:val="21"/>
                <w:szCs w:val="21"/>
              </w:rPr>
            </w:pPr>
          </w:p>
        </w:tc>
      </w:tr>
      <w:tr w14:paraId="07DFF71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5C231">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79024">
            <w:pPr>
              <w:jc w:val="left"/>
              <w:rPr>
                <w:rFonts w:hint="eastAsia" w:cs="宋体"/>
                <w:kern w:val="0"/>
                <w:sz w:val="21"/>
                <w:szCs w:val="21"/>
                <w:lang w:bidi="ar"/>
              </w:rPr>
            </w:pPr>
            <w:r>
              <w:rPr>
                <w:rFonts w:hint="eastAsia" w:cs="宋体"/>
                <w:kern w:val="0"/>
                <w:sz w:val="21"/>
                <w:szCs w:val="21"/>
                <w:lang w:bidi="ar"/>
              </w:rPr>
              <w:t>合理选用高效节能运输船只，提高运输效率</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128193B7">
            <w:pPr>
              <w:jc w:val="left"/>
              <w:rPr>
                <w:rFonts w:hint="eastAsia" w:cs="宋体"/>
                <w:kern w:val="0"/>
                <w:sz w:val="21"/>
                <w:szCs w:val="21"/>
                <w:lang w:bidi="ar"/>
              </w:rPr>
            </w:pPr>
            <w:r>
              <w:rPr>
                <w:rFonts w:hint="eastAsia" w:cs="宋体"/>
                <w:kern w:val="0"/>
                <w:sz w:val="21"/>
                <w:szCs w:val="21"/>
                <w:lang w:bidi="ar"/>
              </w:rPr>
              <w:t>根据现场实际情况按照标准分乘以相应系数进行评分：</w:t>
            </w:r>
          </w:p>
          <w:p w14:paraId="100C96C5">
            <w:pPr>
              <w:jc w:val="left"/>
              <w:rPr>
                <w:rFonts w:hint="eastAsia" w:cs="宋体"/>
                <w:kern w:val="0"/>
                <w:sz w:val="21"/>
                <w:szCs w:val="21"/>
                <w:lang w:bidi="ar"/>
              </w:rPr>
            </w:pPr>
            <w:r>
              <w:rPr>
                <w:rFonts w:hint="eastAsia" w:cs="宋体"/>
                <w:kern w:val="0"/>
                <w:sz w:val="21"/>
                <w:szCs w:val="21"/>
                <w:lang w:bidi="ar"/>
              </w:rPr>
              <w:t>1、措施到位，满足评价指标要求系数为1；</w:t>
            </w:r>
          </w:p>
          <w:p w14:paraId="4E00BB63">
            <w:pPr>
              <w:jc w:val="left"/>
              <w:rPr>
                <w:rFonts w:hint="eastAsia" w:cs="宋体"/>
                <w:kern w:val="0"/>
                <w:sz w:val="21"/>
                <w:szCs w:val="21"/>
                <w:lang w:bidi="ar"/>
              </w:rPr>
            </w:pPr>
            <w:r>
              <w:rPr>
                <w:rFonts w:hint="eastAsia" w:cs="宋体"/>
                <w:kern w:val="0"/>
                <w:sz w:val="21"/>
                <w:szCs w:val="21"/>
                <w:lang w:bidi="ar"/>
              </w:rPr>
              <w:t>2、措施到位，基本满足评价指标要求系数按照0.5~0.9酌情选取；</w:t>
            </w:r>
          </w:p>
          <w:p w14:paraId="0D21AB2C">
            <w:pPr>
              <w:jc w:val="left"/>
              <w:rPr>
                <w:rFonts w:hint="eastAsia" w:cs="宋体"/>
                <w:sz w:val="21"/>
                <w:szCs w:val="21"/>
              </w:rPr>
            </w:pPr>
            <w:r>
              <w:rPr>
                <w:rFonts w:hint="eastAsia" w:cs="宋体"/>
                <w:kern w:val="0"/>
                <w:sz w:val="21"/>
                <w:szCs w:val="21"/>
                <w:lang w:bidi="ar"/>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0612B">
            <w:pPr>
              <w:jc w:val="center"/>
              <w:rPr>
                <w:rFonts w:hint="eastAsia" w:cs="宋体"/>
                <w:sz w:val="21"/>
                <w:szCs w:val="21"/>
              </w:rPr>
            </w:pPr>
            <w:r>
              <w:rPr>
                <w:rFonts w:hint="eastAsia" w:cs="宋体"/>
                <w:sz w:val="21"/>
                <w:szCs w:val="21"/>
              </w:rPr>
              <w:t>0.6</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C9294">
            <w:pPr>
              <w:jc w:val="center"/>
              <w:rPr>
                <w:rFonts w:hint="eastAsia" w:cs="宋体"/>
                <w:sz w:val="21"/>
                <w:szCs w:val="21"/>
              </w:rPr>
            </w:pPr>
          </w:p>
        </w:tc>
      </w:tr>
      <w:tr w14:paraId="75D7F9B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6A6C3">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86148">
            <w:pPr>
              <w:jc w:val="left"/>
              <w:rPr>
                <w:rFonts w:hint="eastAsia" w:cs="宋体"/>
                <w:kern w:val="0"/>
                <w:sz w:val="21"/>
                <w:szCs w:val="21"/>
                <w:lang w:bidi="ar"/>
              </w:rPr>
            </w:pPr>
            <w:r>
              <w:rPr>
                <w:rFonts w:hint="eastAsia" w:cs="宋体"/>
                <w:kern w:val="0"/>
                <w:sz w:val="21"/>
                <w:szCs w:val="21"/>
                <w:lang w:bidi="ar"/>
              </w:rPr>
              <w:t>严格控制现场施工船只燃油消耗，记录用油情况和交通往来情况，合理安排施工内容，避免出现无效交通运输情况</w:t>
            </w:r>
          </w:p>
        </w:tc>
        <w:tc>
          <w:tcPr>
            <w:tcW w:w="4111" w:type="dxa"/>
            <w:vMerge w:val="continue"/>
            <w:tcBorders>
              <w:left w:val="single" w:color="000000" w:sz="4" w:space="0"/>
              <w:right w:val="single" w:color="000000" w:sz="4" w:space="0"/>
            </w:tcBorders>
            <w:shd w:val="clear" w:color="auto" w:fill="auto"/>
            <w:vAlign w:val="center"/>
          </w:tcPr>
          <w:p w14:paraId="4288C3D9">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E3A9F">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B909E">
            <w:pPr>
              <w:jc w:val="center"/>
              <w:rPr>
                <w:rFonts w:hint="eastAsia" w:cs="宋体"/>
                <w:sz w:val="21"/>
                <w:szCs w:val="21"/>
              </w:rPr>
            </w:pPr>
          </w:p>
        </w:tc>
      </w:tr>
      <w:tr w14:paraId="3556A2F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35557">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DDAA0">
            <w:pPr>
              <w:jc w:val="left"/>
              <w:rPr>
                <w:rFonts w:hint="eastAsia" w:cs="宋体"/>
                <w:kern w:val="0"/>
                <w:sz w:val="21"/>
                <w:szCs w:val="21"/>
                <w:lang w:bidi="ar"/>
              </w:rPr>
            </w:pPr>
            <w:r>
              <w:rPr>
                <w:rFonts w:hint="eastAsia"/>
                <w:sz w:val="21"/>
                <w:szCs w:val="21"/>
              </w:rPr>
              <w:t>宜优先选用高效节能的手持电动力矩扳手进行支架安装，提高安装效率</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73F8F4E1">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743E4">
            <w:pPr>
              <w:jc w:val="center"/>
              <w:rPr>
                <w:rFonts w:hint="eastAsia" w:cs="宋体"/>
                <w:sz w:val="21"/>
                <w:szCs w:val="21"/>
              </w:rPr>
            </w:pPr>
            <w:r>
              <w:rPr>
                <w:rFonts w:hint="eastAsia" w:cs="宋体"/>
                <w:sz w:val="21"/>
                <w:szCs w:val="21"/>
              </w:rPr>
              <w:t>0.6</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447E3">
            <w:pPr>
              <w:jc w:val="center"/>
              <w:rPr>
                <w:rFonts w:hint="eastAsia" w:cs="宋体"/>
                <w:sz w:val="21"/>
                <w:szCs w:val="21"/>
              </w:rPr>
            </w:pPr>
          </w:p>
        </w:tc>
      </w:tr>
      <w:tr w14:paraId="78C18DC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59200">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EE868">
            <w:pPr>
              <w:jc w:val="left"/>
              <w:rPr>
                <w:rFonts w:hint="eastAsia" w:cs="宋体"/>
                <w:kern w:val="0"/>
                <w:sz w:val="21"/>
                <w:szCs w:val="21"/>
                <w:lang w:bidi="ar"/>
              </w:rPr>
            </w:pPr>
            <w:r>
              <w:rPr>
                <w:rFonts w:hint="eastAsia" w:cs="宋体"/>
                <w:kern w:val="0"/>
                <w:sz w:val="21"/>
                <w:szCs w:val="21"/>
                <w:lang w:bidi="ar"/>
              </w:rPr>
              <w:t>光热发电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6D8E4">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B6716">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EA30A">
            <w:pPr>
              <w:jc w:val="center"/>
              <w:rPr>
                <w:rFonts w:hint="eastAsia" w:cs="宋体"/>
                <w:sz w:val="21"/>
                <w:szCs w:val="21"/>
              </w:rPr>
            </w:pPr>
          </w:p>
        </w:tc>
      </w:tr>
      <w:tr w14:paraId="1E99103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8C849">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86CF7">
            <w:pPr>
              <w:jc w:val="left"/>
              <w:rPr>
                <w:rFonts w:hint="eastAsia" w:cs="宋体"/>
                <w:kern w:val="0"/>
                <w:sz w:val="21"/>
                <w:szCs w:val="21"/>
                <w:lang w:bidi="ar"/>
              </w:rPr>
            </w:pPr>
            <w:r>
              <w:rPr>
                <w:rFonts w:hint="eastAsia"/>
                <w:sz w:val="21"/>
                <w:szCs w:val="21"/>
              </w:rPr>
              <w:t>光热电站内大型设备应直接运输至安装位置，减少现场设备存储及二次倒运机械的能源消耗</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33D90E68">
            <w:pPr>
              <w:jc w:val="left"/>
              <w:rPr>
                <w:rFonts w:hint="eastAsia" w:cs="宋体"/>
                <w:kern w:val="0"/>
                <w:sz w:val="21"/>
                <w:szCs w:val="21"/>
                <w:lang w:bidi="ar"/>
              </w:rPr>
            </w:pPr>
            <w:r>
              <w:rPr>
                <w:rFonts w:hint="eastAsia" w:cs="宋体"/>
                <w:kern w:val="0"/>
                <w:sz w:val="21"/>
                <w:szCs w:val="21"/>
                <w:lang w:bidi="ar"/>
              </w:rPr>
              <w:t>按照标准分乘以相应系数进行评分：</w:t>
            </w:r>
          </w:p>
          <w:p w14:paraId="290A7AFB">
            <w:pPr>
              <w:jc w:val="left"/>
              <w:rPr>
                <w:rFonts w:hint="eastAsia" w:cs="宋体"/>
                <w:kern w:val="0"/>
                <w:sz w:val="21"/>
                <w:szCs w:val="21"/>
                <w:lang w:bidi="ar"/>
              </w:rPr>
            </w:pPr>
            <w:r>
              <w:rPr>
                <w:rFonts w:hint="eastAsia" w:cs="宋体"/>
                <w:kern w:val="0"/>
                <w:sz w:val="21"/>
                <w:szCs w:val="21"/>
                <w:lang w:bidi="ar"/>
              </w:rPr>
              <w:t>1、措施到位，满足评价指标要求系数为1；</w:t>
            </w:r>
          </w:p>
          <w:p w14:paraId="121CC8CD">
            <w:pPr>
              <w:jc w:val="left"/>
              <w:rPr>
                <w:rFonts w:hint="eastAsia" w:cs="宋体"/>
                <w:kern w:val="0"/>
                <w:sz w:val="21"/>
                <w:szCs w:val="21"/>
                <w:lang w:bidi="ar"/>
              </w:rPr>
            </w:pPr>
            <w:r>
              <w:rPr>
                <w:rFonts w:hint="eastAsia" w:cs="宋体"/>
                <w:kern w:val="0"/>
                <w:sz w:val="21"/>
                <w:szCs w:val="21"/>
                <w:lang w:bidi="ar"/>
              </w:rPr>
              <w:t>2、措施到位，基本满足评价指标要求系数按照0.5~0.9酌情选取；</w:t>
            </w:r>
          </w:p>
          <w:p w14:paraId="75501D3D">
            <w:pPr>
              <w:jc w:val="left"/>
              <w:rPr>
                <w:rFonts w:hint="eastAsia" w:cs="宋体"/>
                <w:sz w:val="21"/>
                <w:szCs w:val="21"/>
              </w:rPr>
            </w:pPr>
            <w:r>
              <w:rPr>
                <w:rFonts w:hint="eastAsia" w:cs="宋体"/>
                <w:kern w:val="0"/>
                <w:sz w:val="21"/>
                <w:szCs w:val="21"/>
                <w:lang w:bidi="ar"/>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E92EA">
            <w:pPr>
              <w:jc w:val="center"/>
              <w:rPr>
                <w:rFonts w:hint="eastAsia" w:cs="宋体"/>
                <w:sz w:val="21"/>
                <w:szCs w:val="21"/>
              </w:rPr>
            </w:pPr>
            <w:r>
              <w:rPr>
                <w:rFonts w:hint="eastAsia" w:cs="宋体"/>
                <w:sz w:val="21"/>
                <w:szCs w:val="21"/>
              </w:rPr>
              <w:t>0.6</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6E843">
            <w:pPr>
              <w:jc w:val="center"/>
              <w:rPr>
                <w:rFonts w:hint="eastAsia" w:cs="宋体"/>
                <w:sz w:val="21"/>
                <w:szCs w:val="21"/>
              </w:rPr>
            </w:pPr>
          </w:p>
        </w:tc>
      </w:tr>
      <w:tr w14:paraId="6357BF2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0829E">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FE9C7">
            <w:pPr>
              <w:jc w:val="left"/>
              <w:rPr>
                <w:rFonts w:hint="eastAsia" w:cs="宋体"/>
                <w:kern w:val="0"/>
                <w:sz w:val="21"/>
                <w:szCs w:val="21"/>
                <w:lang w:bidi="ar"/>
              </w:rPr>
            </w:pPr>
            <w:r>
              <w:rPr>
                <w:rFonts w:hint="eastAsia"/>
                <w:sz w:val="21"/>
                <w:szCs w:val="21"/>
              </w:rPr>
              <w:t>集热场内设备临时存放场地宜就近规划布置，减少设备二次倒运距离，降低机械设备使用量，降低能源消耗</w:t>
            </w:r>
          </w:p>
        </w:tc>
        <w:tc>
          <w:tcPr>
            <w:tcW w:w="4111" w:type="dxa"/>
            <w:vMerge w:val="continue"/>
            <w:tcBorders>
              <w:left w:val="single" w:color="000000" w:sz="4" w:space="0"/>
              <w:right w:val="single" w:color="000000" w:sz="4" w:space="0"/>
            </w:tcBorders>
            <w:shd w:val="clear" w:color="auto" w:fill="auto"/>
            <w:vAlign w:val="center"/>
          </w:tcPr>
          <w:p w14:paraId="5D682CDD">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E159F">
            <w:pPr>
              <w:jc w:val="center"/>
              <w:rPr>
                <w:rFonts w:hint="eastAsia" w:cs="宋体"/>
                <w:sz w:val="21"/>
                <w:szCs w:val="21"/>
              </w:rPr>
            </w:pPr>
            <w:r>
              <w:rPr>
                <w:rFonts w:hint="eastAsia" w:cs="宋体"/>
                <w:sz w:val="21"/>
                <w:szCs w:val="21"/>
              </w:rPr>
              <w:t>0.6</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0277C">
            <w:pPr>
              <w:jc w:val="center"/>
              <w:rPr>
                <w:rFonts w:hint="eastAsia" w:cs="宋体"/>
                <w:sz w:val="21"/>
                <w:szCs w:val="21"/>
              </w:rPr>
            </w:pPr>
          </w:p>
        </w:tc>
      </w:tr>
      <w:tr w14:paraId="1BBF945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C1654">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156FA">
            <w:pPr>
              <w:jc w:val="left"/>
              <w:rPr>
                <w:rFonts w:hint="eastAsia" w:cs="宋体"/>
                <w:kern w:val="0"/>
                <w:sz w:val="21"/>
                <w:szCs w:val="21"/>
                <w:lang w:bidi="ar"/>
              </w:rPr>
            </w:pPr>
            <w:r>
              <w:rPr>
                <w:sz w:val="21"/>
                <w:szCs w:val="21"/>
              </w:rPr>
              <w:t>主厂房及设备安装主吊机械优先选用采取变频技术的塔式起重机，提高塔机系统功率因数和整机工作效率</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00729316">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15370">
            <w:pPr>
              <w:jc w:val="center"/>
              <w:rPr>
                <w:rFonts w:hint="eastAsia" w:cs="宋体"/>
                <w:sz w:val="21"/>
                <w:szCs w:val="21"/>
              </w:rPr>
            </w:pPr>
            <w:r>
              <w:rPr>
                <w:rFonts w:hint="eastAsia" w:cs="宋体"/>
                <w:sz w:val="21"/>
                <w:szCs w:val="21"/>
              </w:rPr>
              <w:t>0.8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ABC1D">
            <w:pPr>
              <w:jc w:val="center"/>
              <w:rPr>
                <w:rFonts w:hint="eastAsia" w:cs="宋体"/>
                <w:sz w:val="21"/>
                <w:szCs w:val="21"/>
              </w:rPr>
            </w:pPr>
          </w:p>
        </w:tc>
      </w:tr>
      <w:tr w14:paraId="7ED44CDF">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A34A8">
            <w:pPr>
              <w:jc w:val="center"/>
              <w:textAlignment w:val="center"/>
              <w:rPr>
                <w:rFonts w:hint="eastAsia" w:cs="宋体"/>
                <w:kern w:val="0"/>
                <w:sz w:val="21"/>
                <w:szCs w:val="21"/>
                <w:lang w:bidi="ar"/>
              </w:rPr>
            </w:pPr>
            <w:r>
              <w:rPr>
                <w:rFonts w:hint="eastAsia" w:cs="宋体"/>
                <w:kern w:val="0"/>
                <w:sz w:val="21"/>
                <w:szCs w:val="21"/>
                <w:lang w:bidi="ar"/>
              </w:rPr>
              <w:t>6.3.27</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2D836">
            <w:pPr>
              <w:jc w:val="left"/>
              <w:rPr>
                <w:rFonts w:hint="eastAsia" w:cs="宋体"/>
                <w:kern w:val="0"/>
                <w:sz w:val="21"/>
                <w:szCs w:val="21"/>
                <w:lang w:bidi="ar"/>
              </w:rPr>
            </w:pPr>
            <w:r>
              <w:rPr>
                <w:rFonts w:hint="eastAsia" w:cs="宋体"/>
                <w:kern w:val="0"/>
                <w:sz w:val="21"/>
                <w:szCs w:val="21"/>
                <w:lang w:bidi="ar"/>
              </w:rPr>
              <w:t>输变电工程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D7EE2">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99A30">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D0777">
            <w:pPr>
              <w:jc w:val="center"/>
              <w:rPr>
                <w:rFonts w:hint="eastAsia" w:cs="宋体"/>
                <w:sz w:val="21"/>
                <w:szCs w:val="21"/>
              </w:rPr>
            </w:pPr>
          </w:p>
        </w:tc>
      </w:tr>
      <w:tr w14:paraId="350E924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615C0">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D41A3">
            <w:pPr>
              <w:jc w:val="left"/>
              <w:rPr>
                <w:rFonts w:hint="eastAsia" w:cs="宋体"/>
                <w:kern w:val="0"/>
                <w:sz w:val="21"/>
                <w:szCs w:val="21"/>
                <w:lang w:bidi="ar"/>
              </w:rPr>
            </w:pPr>
            <w:r>
              <w:rPr>
                <w:rFonts w:hint="eastAsia" w:cs="宋体"/>
                <w:kern w:val="0"/>
                <w:sz w:val="21"/>
                <w:szCs w:val="21"/>
                <w:lang w:bidi="ar"/>
              </w:rPr>
              <w:t>变电（换流）站</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BF0B8">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E88E6">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6D964">
            <w:pPr>
              <w:jc w:val="center"/>
              <w:rPr>
                <w:rFonts w:hint="eastAsia" w:cs="宋体"/>
                <w:sz w:val="21"/>
                <w:szCs w:val="21"/>
              </w:rPr>
            </w:pPr>
          </w:p>
        </w:tc>
      </w:tr>
      <w:tr w14:paraId="57C27C2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F0D3C">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B5CEF">
            <w:pPr>
              <w:jc w:val="left"/>
              <w:rPr>
                <w:rFonts w:hint="eastAsia" w:cs="宋体"/>
                <w:kern w:val="0"/>
                <w:sz w:val="21"/>
                <w:szCs w:val="21"/>
                <w:lang w:bidi="ar"/>
              </w:rPr>
            </w:pPr>
            <w:r>
              <w:rPr>
                <w:rFonts w:hint="eastAsia" w:cs="宋体"/>
                <w:kern w:val="0"/>
                <w:sz w:val="21"/>
                <w:szCs w:val="21"/>
                <w:lang w:bidi="ar"/>
              </w:rPr>
              <w:t>变电站主要建筑材料场地、主（换流）变等设备结合使用临时用地，因地制宜布置合理，减少运输能耗。</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92820">
            <w:pPr>
              <w:jc w:val="left"/>
              <w:rPr>
                <w:rFonts w:hint="eastAsia" w:cs="宋体"/>
                <w:sz w:val="21"/>
                <w:szCs w:val="21"/>
              </w:rPr>
            </w:pPr>
            <w:r>
              <w:rPr>
                <w:rFonts w:hint="eastAsia" w:cs="宋体"/>
                <w:kern w:val="0"/>
                <w:sz w:val="21"/>
                <w:szCs w:val="21"/>
                <w:lang w:bidi="ar"/>
              </w:rPr>
              <w:t>建筑材料、设备堆场设置不合理，扣0.5分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50B4C">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F3AE1">
            <w:pPr>
              <w:jc w:val="center"/>
              <w:rPr>
                <w:rFonts w:hint="eastAsia" w:cs="宋体"/>
                <w:sz w:val="21"/>
                <w:szCs w:val="21"/>
              </w:rPr>
            </w:pPr>
          </w:p>
        </w:tc>
      </w:tr>
      <w:tr w14:paraId="69FE707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23A76">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9AD96">
            <w:pPr>
              <w:jc w:val="left"/>
              <w:rPr>
                <w:rFonts w:hint="eastAsia" w:cs="宋体"/>
                <w:kern w:val="0"/>
                <w:sz w:val="21"/>
                <w:szCs w:val="21"/>
                <w:lang w:bidi="ar"/>
              </w:rPr>
            </w:pPr>
            <w:r>
              <w:rPr>
                <w:rFonts w:hint="eastAsia" w:cs="宋体"/>
                <w:kern w:val="0"/>
                <w:sz w:val="21"/>
                <w:szCs w:val="21"/>
                <w:lang w:bidi="ar"/>
              </w:rPr>
              <w:t>变电站施工计划合理，减少夜间、高温、寒冷情况下的施工时间，控制变电（换流）站各系统调试和试运行时间，减少能源消耗。</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542D7">
            <w:pPr>
              <w:jc w:val="left"/>
              <w:rPr>
                <w:rFonts w:hint="eastAsia" w:cs="宋体"/>
                <w:sz w:val="21"/>
                <w:szCs w:val="21"/>
              </w:rPr>
            </w:pPr>
            <w:r>
              <w:rPr>
                <w:rFonts w:hint="eastAsia" w:cs="宋体"/>
                <w:kern w:val="0"/>
                <w:sz w:val="21"/>
                <w:szCs w:val="21"/>
                <w:lang w:bidi="ar"/>
              </w:rPr>
              <w:t>施工计划不合理，调试周期内设备长时间运行，存在能源损耗现象，扣0.5分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1E270">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89C3C">
            <w:pPr>
              <w:jc w:val="center"/>
              <w:rPr>
                <w:rFonts w:hint="eastAsia" w:cs="宋体"/>
                <w:sz w:val="21"/>
                <w:szCs w:val="21"/>
              </w:rPr>
            </w:pPr>
          </w:p>
        </w:tc>
      </w:tr>
      <w:tr w14:paraId="03912BC7">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CF6FE">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C5AD9">
            <w:pPr>
              <w:jc w:val="left"/>
              <w:rPr>
                <w:rFonts w:hint="eastAsia" w:cs="宋体"/>
                <w:kern w:val="0"/>
                <w:sz w:val="21"/>
                <w:szCs w:val="21"/>
                <w:lang w:bidi="ar"/>
              </w:rPr>
            </w:pPr>
            <w:r>
              <w:rPr>
                <w:rFonts w:hint="eastAsia" w:cs="宋体"/>
                <w:kern w:val="0"/>
                <w:sz w:val="21"/>
                <w:szCs w:val="21"/>
                <w:lang w:bidi="ar"/>
              </w:rPr>
              <w:t>主变（换流变）等充油设备热油循环采取保温措施，减少能源消耗。</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5F1E1">
            <w:pPr>
              <w:jc w:val="left"/>
              <w:rPr>
                <w:rFonts w:hint="eastAsia" w:cs="宋体"/>
                <w:sz w:val="21"/>
                <w:szCs w:val="21"/>
              </w:rPr>
            </w:pPr>
            <w:r>
              <w:rPr>
                <w:rFonts w:hint="eastAsia" w:cs="宋体"/>
                <w:kern w:val="0"/>
                <w:sz w:val="21"/>
                <w:szCs w:val="21"/>
                <w:lang w:bidi="ar"/>
              </w:rPr>
              <w:t>低温环境下，主变（换流变）等充油设备热油循环未采取保温措施，扣0.5分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CFD4E">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E9EDB">
            <w:pPr>
              <w:jc w:val="center"/>
              <w:rPr>
                <w:rFonts w:hint="eastAsia" w:cs="宋体"/>
                <w:sz w:val="21"/>
                <w:szCs w:val="21"/>
              </w:rPr>
            </w:pPr>
          </w:p>
        </w:tc>
      </w:tr>
      <w:tr w14:paraId="74F321DA">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91A33">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F1D79">
            <w:pPr>
              <w:jc w:val="left"/>
              <w:rPr>
                <w:rFonts w:hint="eastAsia" w:cs="宋体"/>
                <w:kern w:val="0"/>
                <w:sz w:val="21"/>
                <w:szCs w:val="21"/>
                <w:lang w:bidi="ar"/>
              </w:rPr>
            </w:pPr>
            <w:r>
              <w:rPr>
                <w:rFonts w:hint="eastAsia" w:cs="宋体"/>
                <w:kern w:val="0"/>
                <w:sz w:val="21"/>
                <w:szCs w:val="21"/>
                <w:lang w:bidi="ar"/>
              </w:rPr>
              <w:t>因地制宜利用自然能源，采用太阳能集热器、地（水、气）源热泵等供热，户外照明采用太阳能路灯和自动控制装置等供电，减少能源消耗。</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A8A0A">
            <w:pPr>
              <w:jc w:val="left"/>
              <w:rPr>
                <w:rFonts w:hint="eastAsia" w:cs="宋体"/>
                <w:sz w:val="21"/>
                <w:szCs w:val="21"/>
              </w:rPr>
            </w:pPr>
            <w:r>
              <w:rPr>
                <w:rFonts w:hint="eastAsia" w:cs="宋体"/>
                <w:kern w:val="0"/>
                <w:sz w:val="21"/>
                <w:szCs w:val="21"/>
                <w:lang w:bidi="ar"/>
              </w:rPr>
              <w:t>照明设施未采用节能装置，照明控制未采用自动开关装置，扣0.5分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E8EBA">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66164">
            <w:pPr>
              <w:jc w:val="center"/>
              <w:rPr>
                <w:rFonts w:hint="eastAsia" w:cs="宋体"/>
                <w:sz w:val="21"/>
                <w:szCs w:val="21"/>
              </w:rPr>
            </w:pPr>
          </w:p>
        </w:tc>
      </w:tr>
      <w:tr w14:paraId="199EA47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690F2">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36B5B">
            <w:pPr>
              <w:jc w:val="left"/>
              <w:rPr>
                <w:rFonts w:hint="eastAsia" w:cs="宋体"/>
                <w:kern w:val="0"/>
                <w:sz w:val="21"/>
                <w:szCs w:val="21"/>
                <w:lang w:bidi="ar"/>
              </w:rPr>
            </w:pPr>
            <w:r>
              <w:rPr>
                <w:rFonts w:hint="eastAsia" w:cs="宋体"/>
                <w:kern w:val="0"/>
                <w:sz w:val="21"/>
                <w:szCs w:val="21"/>
                <w:lang w:bidi="ar"/>
              </w:rPr>
              <w:t>架空线路工程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A5AEC">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EF9E8">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621E2">
            <w:pPr>
              <w:jc w:val="center"/>
              <w:rPr>
                <w:rFonts w:hint="eastAsia" w:cs="宋体"/>
                <w:sz w:val="21"/>
                <w:szCs w:val="21"/>
              </w:rPr>
            </w:pPr>
          </w:p>
        </w:tc>
      </w:tr>
      <w:tr w14:paraId="6A02B20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7EFAC">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28B27">
            <w:pPr>
              <w:jc w:val="left"/>
              <w:rPr>
                <w:rFonts w:hint="eastAsia" w:cs="宋体"/>
                <w:kern w:val="0"/>
                <w:sz w:val="21"/>
                <w:szCs w:val="21"/>
                <w:lang w:bidi="ar"/>
              </w:rPr>
            </w:pPr>
            <w:r>
              <w:rPr>
                <w:rFonts w:hint="eastAsia" w:cs="宋体"/>
                <w:kern w:val="0"/>
                <w:sz w:val="21"/>
                <w:szCs w:val="21"/>
                <w:lang w:bidi="ar"/>
              </w:rPr>
              <w:t>物料运输和施工选用低噪、环保、节能、高效的机械化作业设备，减少施工能耗。</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11FC5">
            <w:pPr>
              <w:jc w:val="left"/>
              <w:rPr>
                <w:rFonts w:hint="eastAsia" w:cs="宋体"/>
                <w:sz w:val="21"/>
                <w:szCs w:val="21"/>
              </w:rPr>
            </w:pPr>
            <w:r>
              <w:rPr>
                <w:rFonts w:hint="eastAsia" w:cs="宋体"/>
                <w:kern w:val="0"/>
                <w:sz w:val="21"/>
                <w:szCs w:val="21"/>
                <w:lang w:bidi="ar"/>
              </w:rPr>
              <w:t>未采用节能、高效的施工机械，扣1分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CC924">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D5E98">
            <w:pPr>
              <w:jc w:val="center"/>
              <w:rPr>
                <w:rFonts w:hint="eastAsia" w:cs="宋体"/>
                <w:sz w:val="21"/>
                <w:szCs w:val="21"/>
              </w:rPr>
            </w:pPr>
          </w:p>
        </w:tc>
      </w:tr>
      <w:tr w14:paraId="0CD8BD5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3A077">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FAF5F">
            <w:pPr>
              <w:jc w:val="left"/>
              <w:rPr>
                <w:rFonts w:hint="eastAsia" w:cs="宋体"/>
                <w:kern w:val="0"/>
                <w:sz w:val="21"/>
                <w:szCs w:val="21"/>
                <w:lang w:bidi="ar"/>
              </w:rPr>
            </w:pPr>
            <w:r>
              <w:rPr>
                <w:rFonts w:hint="eastAsia" w:cs="宋体"/>
                <w:kern w:val="0"/>
                <w:sz w:val="21"/>
                <w:szCs w:val="21"/>
                <w:lang w:bidi="ar"/>
              </w:rPr>
              <w:t>线路施工计划合理，减少夜间、高温、寒冷情况下的施工时间，降低能源消耗。</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7CDEB">
            <w:pPr>
              <w:jc w:val="left"/>
              <w:rPr>
                <w:rFonts w:hint="eastAsia" w:cs="宋体"/>
                <w:sz w:val="21"/>
                <w:szCs w:val="21"/>
              </w:rPr>
            </w:pPr>
            <w:r>
              <w:rPr>
                <w:rStyle w:val="104"/>
                <w:rFonts w:hint="default"/>
                <w:lang w:bidi="ar"/>
              </w:rPr>
              <w:t>线路施工计划</w:t>
            </w:r>
            <w:r>
              <w:rPr>
                <w:rStyle w:val="102"/>
                <w:rFonts w:hint="default"/>
                <w:lang w:bidi="ar"/>
              </w:rPr>
              <w:t>不合理</w:t>
            </w:r>
            <w:r>
              <w:rPr>
                <w:rStyle w:val="104"/>
                <w:rFonts w:hint="default"/>
                <w:lang w:bidi="ar"/>
              </w:rPr>
              <w:t>，扣1分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37441">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FD12F">
            <w:pPr>
              <w:jc w:val="center"/>
              <w:rPr>
                <w:rFonts w:hint="eastAsia" w:cs="宋体"/>
                <w:sz w:val="21"/>
                <w:szCs w:val="21"/>
              </w:rPr>
            </w:pPr>
          </w:p>
        </w:tc>
      </w:tr>
      <w:tr w14:paraId="6D739DC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3533E">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D5FAB">
            <w:pPr>
              <w:jc w:val="left"/>
              <w:rPr>
                <w:rFonts w:hint="eastAsia" w:cs="宋体"/>
                <w:kern w:val="0"/>
                <w:sz w:val="21"/>
                <w:szCs w:val="21"/>
                <w:lang w:bidi="ar"/>
              </w:rPr>
            </w:pPr>
            <w:r>
              <w:rPr>
                <w:rFonts w:hint="eastAsia" w:cs="宋体"/>
                <w:kern w:val="0"/>
                <w:sz w:val="21"/>
                <w:szCs w:val="21"/>
                <w:lang w:bidi="ar"/>
              </w:rPr>
              <w:t>电缆工程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BFD8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B3A01">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D174D">
            <w:pPr>
              <w:jc w:val="center"/>
              <w:rPr>
                <w:rFonts w:hint="eastAsia" w:cs="宋体"/>
                <w:sz w:val="21"/>
                <w:szCs w:val="21"/>
              </w:rPr>
            </w:pPr>
          </w:p>
        </w:tc>
      </w:tr>
      <w:tr w14:paraId="491B7DD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85C45">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8847B">
            <w:pPr>
              <w:jc w:val="left"/>
              <w:rPr>
                <w:rFonts w:hint="eastAsia" w:cs="宋体"/>
                <w:kern w:val="0"/>
                <w:sz w:val="21"/>
                <w:szCs w:val="21"/>
                <w:lang w:bidi="ar"/>
              </w:rPr>
            </w:pPr>
            <w:r>
              <w:rPr>
                <w:rFonts w:hint="eastAsia" w:cs="宋体"/>
                <w:kern w:val="0"/>
                <w:sz w:val="21"/>
                <w:szCs w:val="21"/>
                <w:lang w:bidi="ar"/>
              </w:rPr>
              <w:t>顶管、盾构隧道垂直和水平运输机械统筹安排合理，土方外运、物资材料下井等垂直运输充分利用门式起重机作业，减少汽车吊使用频率，降低能源消耗。</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F2C1D">
            <w:pPr>
              <w:jc w:val="left"/>
              <w:rPr>
                <w:rFonts w:hint="eastAsia" w:cs="宋体"/>
                <w:sz w:val="21"/>
                <w:szCs w:val="21"/>
              </w:rPr>
            </w:pPr>
            <w:r>
              <w:rPr>
                <w:rFonts w:hint="eastAsia" w:cs="宋体"/>
                <w:kern w:val="0"/>
                <w:sz w:val="21"/>
                <w:szCs w:val="21"/>
                <w:lang w:bidi="ar"/>
              </w:rPr>
              <w:t>未采用节能、高效的施工机械，扣1分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C2EAC">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76A07">
            <w:pPr>
              <w:jc w:val="center"/>
              <w:rPr>
                <w:rFonts w:hint="eastAsia" w:cs="宋体"/>
                <w:sz w:val="21"/>
                <w:szCs w:val="21"/>
              </w:rPr>
            </w:pPr>
          </w:p>
        </w:tc>
      </w:tr>
      <w:tr w14:paraId="1F1812A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6645D">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5086B">
            <w:pPr>
              <w:jc w:val="left"/>
              <w:rPr>
                <w:rFonts w:hint="eastAsia" w:cs="宋体"/>
                <w:kern w:val="0"/>
                <w:sz w:val="21"/>
                <w:szCs w:val="21"/>
                <w:lang w:bidi="ar"/>
              </w:rPr>
            </w:pPr>
            <w:r>
              <w:rPr>
                <w:rFonts w:hint="eastAsia" w:cs="宋体"/>
                <w:kern w:val="0"/>
                <w:sz w:val="21"/>
                <w:szCs w:val="21"/>
                <w:lang w:bidi="ar"/>
              </w:rPr>
              <w:t>电缆敷设布置规划合理，电缆引出侧到最终位置移动的距离最近，电缆敷设装置、机械调整移动的次数最少，减少施工能耗。</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0D965">
            <w:pPr>
              <w:jc w:val="left"/>
              <w:rPr>
                <w:rFonts w:hint="eastAsia" w:cs="宋体"/>
                <w:sz w:val="21"/>
                <w:szCs w:val="21"/>
              </w:rPr>
            </w:pPr>
            <w:r>
              <w:rPr>
                <w:rFonts w:hint="eastAsia" w:cs="宋体"/>
                <w:kern w:val="0"/>
                <w:sz w:val="21"/>
                <w:szCs w:val="21"/>
                <w:lang w:bidi="ar"/>
              </w:rPr>
              <w:t>电缆敷设布置规划不合理，扣0.5分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0E084">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20649">
            <w:pPr>
              <w:jc w:val="center"/>
              <w:rPr>
                <w:rFonts w:hint="eastAsia" w:cs="宋体"/>
                <w:sz w:val="21"/>
                <w:szCs w:val="21"/>
              </w:rPr>
            </w:pPr>
          </w:p>
        </w:tc>
      </w:tr>
      <w:tr w14:paraId="48347F72">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0A5B2">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1A8BB">
            <w:pPr>
              <w:jc w:val="left"/>
              <w:rPr>
                <w:rFonts w:hint="eastAsia" w:cs="宋体"/>
                <w:kern w:val="0"/>
                <w:sz w:val="21"/>
                <w:szCs w:val="21"/>
                <w:lang w:bidi="ar"/>
              </w:rPr>
            </w:pPr>
            <w:r>
              <w:rPr>
                <w:rFonts w:hint="eastAsia" w:cs="宋体"/>
                <w:kern w:val="0"/>
                <w:sz w:val="21"/>
                <w:szCs w:val="21"/>
                <w:lang w:bidi="ar"/>
              </w:rPr>
              <w:t>电缆敷设施工采用低噪、环保、节能、高效的施工机械设备和设施等，降低能源消耗。</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2EC92">
            <w:pPr>
              <w:jc w:val="left"/>
              <w:rPr>
                <w:rFonts w:hint="eastAsia" w:cs="宋体"/>
                <w:sz w:val="21"/>
                <w:szCs w:val="21"/>
              </w:rPr>
            </w:pPr>
            <w:r>
              <w:rPr>
                <w:rFonts w:hint="eastAsia" w:cs="宋体"/>
                <w:kern w:val="0"/>
                <w:sz w:val="21"/>
                <w:szCs w:val="21"/>
                <w:lang w:bidi="ar"/>
              </w:rPr>
              <w:t>电缆敷设施工未采用高效、节能施工机械，扣0.5分。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A6054">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E2E57">
            <w:pPr>
              <w:jc w:val="center"/>
              <w:rPr>
                <w:rFonts w:hint="eastAsia" w:cs="宋体"/>
                <w:sz w:val="21"/>
                <w:szCs w:val="21"/>
              </w:rPr>
            </w:pPr>
          </w:p>
        </w:tc>
      </w:tr>
      <w:tr w14:paraId="30BC2EC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A08F7">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6A953">
            <w:pPr>
              <w:jc w:val="left"/>
              <w:rPr>
                <w:rFonts w:hint="eastAsia" w:cs="宋体"/>
                <w:kern w:val="0"/>
                <w:sz w:val="21"/>
                <w:szCs w:val="21"/>
                <w:lang w:bidi="ar"/>
              </w:rPr>
            </w:pPr>
            <w:r>
              <w:rPr>
                <w:rFonts w:hint="eastAsia" w:cs="宋体"/>
                <w:kern w:val="0"/>
                <w:sz w:val="21"/>
                <w:szCs w:val="21"/>
                <w:lang w:bidi="ar"/>
              </w:rPr>
              <w:t>海底电缆工程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A9478">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E85BA">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D0B02">
            <w:pPr>
              <w:jc w:val="center"/>
              <w:rPr>
                <w:rFonts w:hint="eastAsia" w:cs="宋体"/>
                <w:sz w:val="21"/>
                <w:szCs w:val="21"/>
              </w:rPr>
            </w:pPr>
          </w:p>
        </w:tc>
      </w:tr>
      <w:tr w14:paraId="10D25C38">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B8D97">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3B903">
            <w:pPr>
              <w:jc w:val="left"/>
              <w:rPr>
                <w:rFonts w:hint="eastAsia" w:cs="宋体"/>
                <w:kern w:val="0"/>
                <w:sz w:val="21"/>
                <w:szCs w:val="21"/>
                <w:lang w:bidi="ar"/>
              </w:rPr>
            </w:pPr>
            <w:r>
              <w:rPr>
                <w:rFonts w:hint="eastAsia" w:cs="宋体"/>
                <w:kern w:val="0"/>
                <w:sz w:val="21"/>
                <w:szCs w:val="21"/>
                <w:lang w:bidi="ar"/>
              </w:rPr>
              <w:t>合理安排海缆施工计划，提高海缆施工船舶及设备的利用率。</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D9C27">
            <w:pPr>
              <w:jc w:val="left"/>
              <w:rPr>
                <w:rFonts w:hint="eastAsia" w:cs="宋体"/>
                <w:sz w:val="21"/>
                <w:szCs w:val="21"/>
              </w:rPr>
            </w:pPr>
            <w:r>
              <w:rPr>
                <w:rFonts w:hint="eastAsia" w:cs="宋体"/>
                <w:kern w:val="0"/>
                <w:sz w:val="21"/>
                <w:szCs w:val="21"/>
                <w:lang w:bidi="ar"/>
              </w:rPr>
              <w:t>海缆施工计划不合理，不能提高海缆施工船舶及设备的利用率，扣1分。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C6BDE">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30C79">
            <w:pPr>
              <w:jc w:val="center"/>
              <w:rPr>
                <w:rFonts w:hint="eastAsia" w:cs="宋体"/>
                <w:sz w:val="21"/>
                <w:szCs w:val="21"/>
              </w:rPr>
            </w:pPr>
          </w:p>
        </w:tc>
      </w:tr>
      <w:tr w14:paraId="4277A44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89726">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B7F98">
            <w:pPr>
              <w:jc w:val="left"/>
              <w:rPr>
                <w:rFonts w:hint="eastAsia" w:cs="宋体"/>
                <w:kern w:val="0"/>
                <w:sz w:val="21"/>
                <w:szCs w:val="21"/>
                <w:lang w:bidi="ar"/>
              </w:rPr>
            </w:pPr>
            <w:r>
              <w:rPr>
                <w:rFonts w:hint="eastAsia" w:cs="宋体"/>
                <w:kern w:val="0"/>
                <w:sz w:val="21"/>
                <w:szCs w:val="21"/>
                <w:lang w:bidi="ar"/>
              </w:rPr>
              <w:t>优化施工船舶的航线规划，减少不必要的航行和燃油消耗。</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ACE8D">
            <w:pPr>
              <w:jc w:val="left"/>
              <w:rPr>
                <w:rFonts w:hint="eastAsia" w:cs="宋体"/>
                <w:sz w:val="21"/>
                <w:szCs w:val="21"/>
              </w:rPr>
            </w:pPr>
            <w:r>
              <w:rPr>
                <w:rFonts w:hint="eastAsia" w:cs="宋体"/>
                <w:kern w:val="0"/>
                <w:sz w:val="21"/>
                <w:szCs w:val="21"/>
                <w:lang w:bidi="ar"/>
              </w:rPr>
              <w:t>施工船舶的航线规划不合理，存在不必要的航行，扣0.5分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2B305">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A7859">
            <w:pPr>
              <w:jc w:val="center"/>
              <w:rPr>
                <w:rFonts w:hint="eastAsia" w:cs="宋体"/>
                <w:sz w:val="21"/>
                <w:szCs w:val="21"/>
              </w:rPr>
            </w:pPr>
          </w:p>
        </w:tc>
      </w:tr>
      <w:tr w14:paraId="68B8CD1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62F9B">
            <w:pPr>
              <w:jc w:val="center"/>
              <w:textAlignment w:val="center"/>
              <w:rPr>
                <w:rFonts w:hint="eastAsia" w:cs="宋体"/>
                <w:kern w:val="0"/>
                <w:sz w:val="21"/>
                <w:szCs w:val="21"/>
                <w:lang w:bidi="ar"/>
              </w:rPr>
            </w:pPr>
          </w:p>
          <w:p w14:paraId="53BD11CB">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07357">
            <w:pPr>
              <w:jc w:val="left"/>
              <w:rPr>
                <w:rFonts w:hint="eastAsia" w:cs="宋体"/>
                <w:kern w:val="0"/>
                <w:sz w:val="21"/>
                <w:szCs w:val="21"/>
                <w:lang w:bidi="ar"/>
              </w:rPr>
            </w:pPr>
            <w:r>
              <w:rPr>
                <w:rFonts w:hint="eastAsia" w:cs="宋体"/>
                <w:kern w:val="0"/>
                <w:sz w:val="21"/>
                <w:szCs w:val="21"/>
                <w:lang w:bidi="ar"/>
              </w:rPr>
              <w:t>施工船舶应采用节能型发动机和推进系统，降低燃油消耗和碳排放。</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58BDF">
            <w:pPr>
              <w:jc w:val="left"/>
              <w:rPr>
                <w:rFonts w:hint="eastAsia" w:cs="宋体"/>
                <w:sz w:val="21"/>
                <w:szCs w:val="21"/>
              </w:rPr>
            </w:pPr>
            <w:r>
              <w:rPr>
                <w:rFonts w:hint="eastAsia" w:cs="宋体"/>
                <w:kern w:val="0"/>
                <w:sz w:val="21"/>
                <w:szCs w:val="21"/>
                <w:lang w:bidi="ar"/>
              </w:rPr>
              <w:t>施工船舶未采用节能型发动机和推进系统，扣0.5分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3DDDA">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2C6FD">
            <w:pPr>
              <w:jc w:val="center"/>
              <w:rPr>
                <w:rFonts w:hint="eastAsia" w:cs="宋体"/>
                <w:sz w:val="21"/>
                <w:szCs w:val="21"/>
              </w:rPr>
            </w:pPr>
          </w:p>
        </w:tc>
      </w:tr>
      <w:tr w14:paraId="4F10D4D2">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11539">
            <w:pPr>
              <w:jc w:val="center"/>
              <w:textAlignment w:val="center"/>
              <w:rPr>
                <w:rFonts w:hint="eastAsia" w:cs="宋体"/>
                <w:kern w:val="0"/>
                <w:sz w:val="21"/>
                <w:szCs w:val="21"/>
                <w:lang w:bidi="ar"/>
              </w:rPr>
            </w:pPr>
            <w:r>
              <w:rPr>
                <w:rFonts w:hint="eastAsia" w:cs="宋体"/>
                <w:kern w:val="0"/>
                <w:sz w:val="21"/>
                <w:szCs w:val="21"/>
                <w:lang w:bidi="ar"/>
              </w:rPr>
              <w:t>6.2.28</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7D6B8">
            <w:pPr>
              <w:jc w:val="left"/>
              <w:rPr>
                <w:rFonts w:hint="eastAsia" w:cs="宋体"/>
                <w:sz w:val="21"/>
                <w:szCs w:val="21"/>
              </w:rPr>
            </w:pPr>
            <w:r>
              <w:rPr>
                <w:rFonts w:hint="eastAsia" w:cs="宋体"/>
                <w:kern w:val="0"/>
                <w:sz w:val="21"/>
                <w:szCs w:val="21"/>
                <w:lang w:bidi="ar"/>
              </w:rPr>
              <w:t xml:space="preserve"> 电力储能工程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50E5C">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4BE21">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EFF9C">
            <w:pPr>
              <w:jc w:val="center"/>
              <w:rPr>
                <w:rFonts w:hint="eastAsia" w:cs="宋体"/>
                <w:sz w:val="21"/>
                <w:szCs w:val="21"/>
              </w:rPr>
            </w:pPr>
          </w:p>
        </w:tc>
      </w:tr>
      <w:tr w14:paraId="4C1B081F">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14B43">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1346A">
            <w:pPr>
              <w:jc w:val="left"/>
              <w:rPr>
                <w:rFonts w:hint="eastAsia" w:cs="宋体"/>
                <w:sz w:val="21"/>
                <w:szCs w:val="21"/>
              </w:rPr>
            </w:pPr>
            <w:r>
              <w:rPr>
                <w:rFonts w:hint="eastAsia" w:cs="宋体"/>
                <w:kern w:val="0"/>
                <w:sz w:val="21"/>
                <w:szCs w:val="21"/>
              </w:rPr>
              <w:t>电化学（锂电、液流、燃料电池、钠离子、铅酸、铅炭）储能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48FA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744D8">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8EA22">
            <w:pPr>
              <w:jc w:val="center"/>
              <w:rPr>
                <w:rFonts w:hint="eastAsia" w:cs="宋体"/>
                <w:sz w:val="21"/>
                <w:szCs w:val="21"/>
              </w:rPr>
            </w:pPr>
          </w:p>
        </w:tc>
      </w:tr>
      <w:tr w14:paraId="3EDF04D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36B26">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25B22">
            <w:pPr>
              <w:jc w:val="left"/>
              <w:rPr>
                <w:rFonts w:hint="eastAsia" w:cs="宋体"/>
                <w:kern w:val="0"/>
                <w:sz w:val="21"/>
                <w:szCs w:val="21"/>
                <w:lang w:bidi="ar"/>
              </w:rPr>
            </w:pPr>
            <w:r>
              <w:rPr>
                <w:rFonts w:hint="eastAsia"/>
                <w:sz w:val="21"/>
                <w:szCs w:val="21"/>
              </w:rPr>
              <w:t>电化学储能工程根据项目施工进度合理安排集装箱分时间段到达现场，减少设备倒运，节约能源。</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F0862">
            <w:pPr>
              <w:jc w:val="left"/>
              <w:rPr>
                <w:rFonts w:hint="eastAsia"/>
                <w:sz w:val="21"/>
                <w:szCs w:val="21"/>
              </w:rPr>
            </w:pPr>
            <w:r>
              <w:rPr>
                <w:rFonts w:hint="eastAsia"/>
                <w:sz w:val="21"/>
                <w:szCs w:val="21"/>
              </w:rPr>
              <w:t>根据现场实际情况按照标准分乘以相应系数进行评分：</w:t>
            </w:r>
          </w:p>
          <w:p w14:paraId="37A17A0F">
            <w:pPr>
              <w:jc w:val="left"/>
              <w:rPr>
                <w:rFonts w:hint="eastAsia"/>
                <w:sz w:val="21"/>
                <w:szCs w:val="21"/>
              </w:rPr>
            </w:pPr>
            <w:r>
              <w:rPr>
                <w:rFonts w:hint="eastAsia"/>
                <w:sz w:val="21"/>
                <w:szCs w:val="21"/>
              </w:rPr>
              <w:t>1、措施到位，满足评价指标要求系数为1；</w:t>
            </w:r>
          </w:p>
          <w:p w14:paraId="48D45EDA">
            <w:pPr>
              <w:jc w:val="left"/>
              <w:rPr>
                <w:rFonts w:hint="eastAsia" w:cs="宋体"/>
                <w:sz w:val="21"/>
                <w:szCs w:val="21"/>
              </w:rPr>
            </w:pPr>
            <w:r>
              <w:rPr>
                <w:rFonts w:hint="eastAsia"/>
                <w:sz w:val="21"/>
                <w:szCs w:val="21"/>
              </w:rPr>
              <w:t>2、措施到位，基本满足评价指标要求系数按照0.5~0.9酌情选取；</w:t>
            </w:r>
          </w:p>
          <w:p w14:paraId="16479D07">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FC220">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72262">
            <w:pPr>
              <w:jc w:val="center"/>
              <w:rPr>
                <w:rFonts w:hint="eastAsia" w:cs="宋体"/>
                <w:sz w:val="21"/>
                <w:szCs w:val="21"/>
              </w:rPr>
            </w:pPr>
          </w:p>
        </w:tc>
      </w:tr>
      <w:tr w14:paraId="54A5162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A3E1F">
            <w:pPr>
              <w:jc w:val="center"/>
              <w:textAlignment w:val="center"/>
              <w:rPr>
                <w:rFonts w:hint="eastAsia" w:cs="宋体"/>
                <w:kern w:val="0"/>
                <w:sz w:val="21"/>
                <w:szCs w:val="21"/>
                <w:lang w:bidi="ar"/>
              </w:rPr>
            </w:pPr>
            <w:r>
              <w:rPr>
                <w:rFonts w:hint="eastAsia" w:cs="宋体"/>
                <w:kern w:val="0"/>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DE8B4">
            <w:pPr>
              <w:jc w:val="left"/>
              <w:rPr>
                <w:rFonts w:hint="eastAsia" w:cs="宋体"/>
                <w:sz w:val="21"/>
                <w:szCs w:val="21"/>
              </w:rPr>
            </w:pPr>
            <w:r>
              <w:rPr>
                <w:rFonts w:hint="eastAsia"/>
                <w:sz w:val="21"/>
                <w:szCs w:val="21"/>
              </w:rPr>
              <w:t>加强施工过程中对用电设备管理，施工休息间隙及时切断相关设备电源。</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51922">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1FBB9">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2E843">
            <w:pPr>
              <w:jc w:val="center"/>
              <w:rPr>
                <w:rFonts w:hint="eastAsia" w:cs="宋体"/>
                <w:sz w:val="21"/>
                <w:szCs w:val="21"/>
              </w:rPr>
            </w:pPr>
          </w:p>
        </w:tc>
      </w:tr>
      <w:tr w14:paraId="4277DF42">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F9867">
            <w:pPr>
              <w:jc w:val="center"/>
              <w:textAlignment w:val="center"/>
              <w:rPr>
                <w:rFonts w:hint="eastAsia" w:cs="宋体"/>
                <w:kern w:val="0"/>
                <w:sz w:val="21"/>
                <w:szCs w:val="21"/>
                <w:lang w:bidi="ar"/>
              </w:rPr>
            </w:pPr>
            <w:r>
              <w:rPr>
                <w:rFonts w:hint="eastAsia" w:cs="宋体"/>
                <w:kern w:val="0"/>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69722">
            <w:pPr>
              <w:jc w:val="left"/>
              <w:rPr>
                <w:rFonts w:hint="eastAsia" w:cs="宋体"/>
                <w:kern w:val="0"/>
                <w:sz w:val="21"/>
                <w:szCs w:val="21"/>
                <w:lang w:bidi="ar"/>
              </w:rPr>
            </w:pPr>
            <w:r>
              <w:rPr>
                <w:rFonts w:hint="eastAsia" w:cs="宋体"/>
                <w:kern w:val="0"/>
                <w:sz w:val="21"/>
                <w:szCs w:val="21"/>
              </w:rPr>
              <w:t>飞轮储能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0ECE2">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C8BEA">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08CD7">
            <w:pPr>
              <w:jc w:val="center"/>
              <w:rPr>
                <w:rFonts w:hint="eastAsia" w:cs="宋体"/>
                <w:sz w:val="21"/>
                <w:szCs w:val="21"/>
              </w:rPr>
            </w:pPr>
          </w:p>
        </w:tc>
      </w:tr>
      <w:tr w14:paraId="465222A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CC7F0">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EF74F">
            <w:pPr>
              <w:rPr>
                <w:rFonts w:hint="eastAsia"/>
                <w:sz w:val="21"/>
                <w:szCs w:val="21"/>
              </w:rPr>
            </w:pPr>
            <w:r>
              <w:rPr>
                <w:rFonts w:hint="eastAsia"/>
                <w:sz w:val="21"/>
                <w:szCs w:val="21"/>
              </w:rPr>
              <w:t>飞轮储能工程根据项目施工进度合理安排集装箱分时间段到达现场，减少设备倒运，节约能源。</w:t>
            </w:r>
          </w:p>
          <w:p w14:paraId="44728996">
            <w:pPr>
              <w:jc w:val="left"/>
              <w:rPr>
                <w:rFonts w:hint="eastAsia" w:cs="宋体"/>
                <w:kern w:val="0"/>
                <w:sz w:val="21"/>
                <w:szCs w:val="21"/>
                <w:lang w:bidi="ar"/>
              </w:rPr>
            </w:pP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50AF1">
            <w:pPr>
              <w:jc w:val="left"/>
              <w:rPr>
                <w:rFonts w:hint="eastAsia"/>
                <w:sz w:val="21"/>
                <w:szCs w:val="21"/>
              </w:rPr>
            </w:pPr>
            <w:r>
              <w:rPr>
                <w:rFonts w:hint="eastAsia"/>
                <w:sz w:val="21"/>
                <w:szCs w:val="21"/>
              </w:rPr>
              <w:t>根据现场实际情况按照标准分乘以相应系数进行评分：</w:t>
            </w:r>
          </w:p>
          <w:p w14:paraId="3751BC62">
            <w:pPr>
              <w:jc w:val="left"/>
              <w:rPr>
                <w:rFonts w:hint="eastAsia"/>
                <w:sz w:val="21"/>
                <w:szCs w:val="21"/>
              </w:rPr>
            </w:pPr>
            <w:r>
              <w:rPr>
                <w:rFonts w:hint="eastAsia"/>
                <w:sz w:val="21"/>
                <w:szCs w:val="21"/>
              </w:rPr>
              <w:t>1、措施到位，满足评价指标要求系数为1；</w:t>
            </w:r>
          </w:p>
          <w:p w14:paraId="55B4C6C1">
            <w:pPr>
              <w:jc w:val="left"/>
              <w:rPr>
                <w:rFonts w:hint="eastAsia" w:cs="宋体"/>
                <w:sz w:val="21"/>
                <w:szCs w:val="21"/>
              </w:rPr>
            </w:pPr>
            <w:r>
              <w:rPr>
                <w:rFonts w:hint="eastAsia"/>
                <w:sz w:val="21"/>
                <w:szCs w:val="21"/>
              </w:rPr>
              <w:t>2、措施到位，基本满足评价指标要求系数按照0.5~0.9酌情选取；</w:t>
            </w:r>
          </w:p>
          <w:p w14:paraId="1339BB13">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A7D07">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B4710">
            <w:pPr>
              <w:jc w:val="center"/>
              <w:rPr>
                <w:rFonts w:hint="eastAsia" w:cs="宋体"/>
                <w:sz w:val="21"/>
                <w:szCs w:val="21"/>
              </w:rPr>
            </w:pPr>
          </w:p>
        </w:tc>
      </w:tr>
      <w:tr w14:paraId="719736E2">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75108">
            <w:pPr>
              <w:jc w:val="center"/>
              <w:textAlignment w:val="center"/>
              <w:rPr>
                <w:rFonts w:hint="eastAsia" w:cs="宋体"/>
                <w:kern w:val="0"/>
                <w:sz w:val="21"/>
                <w:szCs w:val="21"/>
                <w:lang w:bidi="ar"/>
              </w:rPr>
            </w:pPr>
            <w:r>
              <w:rPr>
                <w:rFonts w:hint="eastAsia" w:cs="宋体"/>
                <w:kern w:val="0"/>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C71E1">
            <w:pPr>
              <w:jc w:val="left"/>
              <w:rPr>
                <w:rFonts w:hint="eastAsia" w:cs="宋体"/>
                <w:kern w:val="0"/>
                <w:sz w:val="21"/>
                <w:szCs w:val="21"/>
                <w:lang w:bidi="ar"/>
              </w:rPr>
            </w:pPr>
            <w:r>
              <w:rPr>
                <w:rFonts w:hint="eastAsia"/>
                <w:sz w:val="21"/>
                <w:szCs w:val="21"/>
              </w:rPr>
              <w:t>加强施工过程中对用电设备管理，施工休息间隙及时切断相关设备电源。</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993A2">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1B852">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8EF0A">
            <w:pPr>
              <w:jc w:val="center"/>
              <w:rPr>
                <w:rFonts w:hint="eastAsia" w:cs="宋体"/>
                <w:sz w:val="21"/>
                <w:szCs w:val="21"/>
              </w:rPr>
            </w:pPr>
          </w:p>
        </w:tc>
      </w:tr>
      <w:tr w14:paraId="797ADCE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17DA7">
            <w:pPr>
              <w:jc w:val="center"/>
              <w:textAlignment w:val="center"/>
              <w:rPr>
                <w:rFonts w:hint="eastAsia" w:cs="宋体"/>
                <w:kern w:val="0"/>
                <w:sz w:val="21"/>
                <w:szCs w:val="21"/>
                <w:lang w:bidi="ar"/>
              </w:rPr>
            </w:pPr>
            <w:r>
              <w:rPr>
                <w:rFonts w:hint="eastAsia" w:cs="宋体"/>
                <w:kern w:val="0"/>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E4BC2">
            <w:pPr>
              <w:jc w:val="left"/>
              <w:rPr>
                <w:rFonts w:hint="eastAsia" w:cs="宋体"/>
                <w:kern w:val="0"/>
                <w:sz w:val="21"/>
                <w:szCs w:val="21"/>
                <w:lang w:bidi="ar"/>
              </w:rPr>
            </w:pPr>
            <w:r>
              <w:rPr>
                <w:rFonts w:hint="eastAsia" w:cs="宋体"/>
                <w:kern w:val="0"/>
                <w:sz w:val="21"/>
                <w:szCs w:val="21"/>
              </w:rPr>
              <w:t>压缩空气储能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D0E05">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FA6AA">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9A139">
            <w:pPr>
              <w:jc w:val="center"/>
              <w:rPr>
                <w:rFonts w:hint="eastAsia" w:cs="宋体"/>
                <w:sz w:val="21"/>
                <w:szCs w:val="21"/>
              </w:rPr>
            </w:pPr>
          </w:p>
        </w:tc>
      </w:tr>
      <w:tr w14:paraId="46E6D0B7">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9518C">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A5A93">
            <w:pPr>
              <w:jc w:val="left"/>
              <w:rPr>
                <w:rFonts w:hint="eastAsia" w:cs="宋体"/>
                <w:kern w:val="0"/>
                <w:sz w:val="21"/>
                <w:szCs w:val="21"/>
                <w:lang w:bidi="ar"/>
              </w:rPr>
            </w:pPr>
            <w:r>
              <w:rPr>
                <w:rFonts w:hint="eastAsia"/>
                <w:sz w:val="21"/>
                <w:szCs w:val="21"/>
              </w:rPr>
              <w:t>压缩空气储能工程根据项目施工进度合理安排集装箱分时间段到达现场，减少设备倒运，节约能源。</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196D6">
            <w:pPr>
              <w:jc w:val="left"/>
              <w:rPr>
                <w:rFonts w:hint="eastAsia"/>
                <w:sz w:val="21"/>
                <w:szCs w:val="21"/>
              </w:rPr>
            </w:pPr>
            <w:r>
              <w:rPr>
                <w:rFonts w:hint="eastAsia"/>
                <w:sz w:val="21"/>
                <w:szCs w:val="21"/>
              </w:rPr>
              <w:t>根据现场实际情况按照标准分乘以相应系数进行评分：</w:t>
            </w:r>
          </w:p>
          <w:p w14:paraId="3AF47CFD">
            <w:pPr>
              <w:jc w:val="left"/>
              <w:rPr>
                <w:rFonts w:hint="eastAsia"/>
                <w:sz w:val="21"/>
                <w:szCs w:val="21"/>
              </w:rPr>
            </w:pPr>
            <w:r>
              <w:rPr>
                <w:rFonts w:hint="eastAsia"/>
                <w:sz w:val="21"/>
                <w:szCs w:val="21"/>
              </w:rPr>
              <w:t>1、措施到位，满足评价指标要求系数为1；</w:t>
            </w:r>
          </w:p>
          <w:p w14:paraId="506BC94E">
            <w:pPr>
              <w:jc w:val="left"/>
              <w:rPr>
                <w:rFonts w:hint="eastAsia" w:cs="宋体"/>
                <w:sz w:val="21"/>
                <w:szCs w:val="21"/>
              </w:rPr>
            </w:pPr>
            <w:r>
              <w:rPr>
                <w:rFonts w:hint="eastAsia"/>
                <w:sz w:val="21"/>
                <w:szCs w:val="21"/>
              </w:rPr>
              <w:t>2、措施到位，基本满足评价指标要求系数按照0.5~0.9酌情选取；</w:t>
            </w:r>
          </w:p>
          <w:p w14:paraId="5216958B">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3D807">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358EA">
            <w:pPr>
              <w:jc w:val="center"/>
              <w:rPr>
                <w:rFonts w:hint="eastAsia" w:cs="宋体"/>
                <w:sz w:val="21"/>
                <w:szCs w:val="21"/>
              </w:rPr>
            </w:pPr>
          </w:p>
        </w:tc>
      </w:tr>
      <w:tr w14:paraId="1DCEDA1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1CFCE">
            <w:pPr>
              <w:jc w:val="center"/>
              <w:textAlignment w:val="center"/>
              <w:rPr>
                <w:rFonts w:hint="eastAsia" w:cs="宋体"/>
                <w:kern w:val="0"/>
                <w:sz w:val="21"/>
                <w:szCs w:val="21"/>
                <w:lang w:bidi="ar"/>
              </w:rPr>
            </w:pPr>
            <w:r>
              <w:rPr>
                <w:rFonts w:hint="eastAsia" w:cs="宋体"/>
                <w:kern w:val="0"/>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DC4B7">
            <w:pPr>
              <w:jc w:val="left"/>
              <w:rPr>
                <w:rFonts w:hint="eastAsia" w:cs="宋体"/>
                <w:kern w:val="0"/>
                <w:sz w:val="21"/>
                <w:szCs w:val="21"/>
                <w:lang w:bidi="ar"/>
              </w:rPr>
            </w:pPr>
            <w:r>
              <w:rPr>
                <w:rFonts w:hint="eastAsia"/>
                <w:sz w:val="21"/>
                <w:szCs w:val="21"/>
              </w:rPr>
              <w:t>加强施工过程中对用电设备管理，施工休息间隙及时切断相关设备电源。</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060C5">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D3990">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6148A">
            <w:pPr>
              <w:jc w:val="center"/>
              <w:rPr>
                <w:rFonts w:hint="eastAsia" w:cs="宋体"/>
                <w:sz w:val="21"/>
                <w:szCs w:val="21"/>
              </w:rPr>
            </w:pPr>
          </w:p>
        </w:tc>
      </w:tr>
      <w:tr w14:paraId="6259609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048D1">
            <w:pPr>
              <w:jc w:val="center"/>
              <w:textAlignment w:val="center"/>
              <w:rPr>
                <w:rFonts w:hint="eastAsia"/>
                <w:sz w:val="21"/>
                <w:szCs w:val="21"/>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64BD2">
            <w:pPr>
              <w:jc w:val="left"/>
              <w:rPr>
                <w:rFonts w:hint="eastAsia"/>
                <w:sz w:val="21"/>
                <w:szCs w:val="21"/>
              </w:rPr>
            </w:pPr>
            <w:r>
              <w:rPr>
                <w:rFonts w:hint="eastAsia" w:cs="宋体"/>
                <w:kern w:val="0"/>
                <w:sz w:val="21"/>
                <w:szCs w:val="21"/>
                <w:lang w:bidi="ar"/>
              </w:rPr>
              <w:t>Ⅴ  节约用地</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7A596">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82D5A">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0C8EF">
            <w:pPr>
              <w:jc w:val="center"/>
              <w:rPr>
                <w:rFonts w:hint="eastAsia" w:cs="宋体"/>
                <w:sz w:val="21"/>
                <w:szCs w:val="21"/>
              </w:rPr>
            </w:pPr>
          </w:p>
        </w:tc>
      </w:tr>
      <w:tr w14:paraId="311BD79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BBD61">
            <w:pPr>
              <w:jc w:val="center"/>
              <w:textAlignment w:val="center"/>
              <w:rPr>
                <w:rFonts w:hint="eastAsia"/>
                <w:sz w:val="21"/>
                <w:szCs w:val="21"/>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CE604">
            <w:pPr>
              <w:jc w:val="left"/>
              <w:rPr>
                <w:rFonts w:hint="eastAsia"/>
                <w:sz w:val="21"/>
                <w:szCs w:val="21"/>
              </w:rPr>
            </w:pPr>
            <w:r>
              <w:rPr>
                <w:rFonts w:hint="eastAsia" w:cs="宋体"/>
                <w:kern w:val="0"/>
                <w:sz w:val="21"/>
                <w:szCs w:val="21"/>
                <w:lang w:bidi="ar"/>
              </w:rPr>
              <w:t>通用项</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0EEA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FAC1F">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AF0FB">
            <w:pPr>
              <w:jc w:val="center"/>
              <w:rPr>
                <w:rFonts w:hint="eastAsia" w:cs="宋体"/>
                <w:sz w:val="21"/>
                <w:szCs w:val="21"/>
              </w:rPr>
            </w:pPr>
          </w:p>
        </w:tc>
      </w:tr>
      <w:tr w14:paraId="5245DED3">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A0F20">
            <w:pPr>
              <w:jc w:val="center"/>
              <w:textAlignment w:val="center"/>
              <w:rPr>
                <w:rFonts w:hint="eastAsia" w:cs="宋体"/>
                <w:kern w:val="0"/>
                <w:sz w:val="21"/>
                <w:szCs w:val="21"/>
                <w:lang w:bidi="ar"/>
              </w:rPr>
            </w:pPr>
            <w:r>
              <w:rPr>
                <w:sz w:val="21"/>
                <w:szCs w:val="21"/>
              </w:rPr>
              <w:t xml:space="preserve">6.3.29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3079B">
            <w:pPr>
              <w:jc w:val="left"/>
              <w:rPr>
                <w:rFonts w:hint="eastAsia" w:cs="宋体"/>
                <w:kern w:val="0"/>
                <w:sz w:val="21"/>
                <w:szCs w:val="21"/>
                <w:lang w:bidi="ar"/>
              </w:rPr>
            </w:pPr>
            <w:r>
              <w:fldChar w:fldCharType="begin"/>
            </w:r>
            <w:r>
              <w:instrText xml:space="preserve"> HYPERLINK \l "_Toc162470928" </w:instrText>
            </w:r>
            <w:r>
              <w:fldChar w:fldCharType="separate"/>
            </w:r>
            <w:r>
              <w:rPr>
                <w:rFonts w:hint="eastAsia"/>
                <w:sz w:val="21"/>
                <w:szCs w:val="21"/>
              </w:rPr>
              <w:t>节约用地</w:t>
            </w:r>
            <w:r>
              <w:rPr>
                <w:sz w:val="21"/>
                <w:szCs w:val="21"/>
              </w:rPr>
              <w:t>通用项</w:t>
            </w:r>
            <w:r>
              <w:rPr>
                <w:sz w:val="21"/>
                <w:szCs w:val="21"/>
              </w:rPr>
              <w:fldChar w:fldCharType="end"/>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79C01">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88BE9">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C304C">
            <w:pPr>
              <w:jc w:val="center"/>
              <w:rPr>
                <w:rFonts w:hint="eastAsia" w:cs="宋体"/>
                <w:sz w:val="21"/>
                <w:szCs w:val="21"/>
              </w:rPr>
            </w:pPr>
          </w:p>
        </w:tc>
      </w:tr>
      <w:tr w14:paraId="79849413">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2315F">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CF8DA">
            <w:pPr>
              <w:jc w:val="left"/>
              <w:rPr>
                <w:rFonts w:hint="eastAsia" w:cs="宋体"/>
                <w:kern w:val="0"/>
                <w:sz w:val="21"/>
                <w:szCs w:val="21"/>
                <w:lang w:bidi="ar"/>
              </w:rPr>
            </w:pPr>
            <w:r>
              <w:rPr>
                <w:sz w:val="21"/>
                <w:szCs w:val="21"/>
              </w:rPr>
              <w:t>合理规划布置施工区域，施工用地面积指标应低于相应工程施工组织设计导则推荐用地面积指标的10%，临时用地占地面积的有效利用率</w:t>
            </w:r>
            <w:r>
              <w:rPr>
                <w:rFonts w:hint="eastAsia"/>
                <w:sz w:val="21"/>
                <w:szCs w:val="21"/>
              </w:rPr>
              <w:t>应</w:t>
            </w:r>
            <w:r>
              <w:rPr>
                <w:sz w:val="21"/>
                <w:szCs w:val="21"/>
              </w:rPr>
              <w:t>大于90%。</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3C041">
            <w:pPr>
              <w:jc w:val="left"/>
              <w:rPr>
                <w:rFonts w:hint="eastAsia" w:cs="宋体"/>
                <w:sz w:val="21"/>
                <w:szCs w:val="21"/>
              </w:rPr>
            </w:pPr>
            <w:r>
              <w:rPr>
                <w:sz w:val="21"/>
                <w:szCs w:val="21"/>
              </w:rPr>
              <w:t>施工用地面积指标</w:t>
            </w:r>
            <w:r>
              <w:rPr>
                <w:rFonts w:hint="eastAsia"/>
                <w:sz w:val="21"/>
                <w:szCs w:val="21"/>
              </w:rPr>
              <w:t>超标，</w:t>
            </w:r>
            <w:r>
              <w:rPr>
                <w:sz w:val="21"/>
                <w:szCs w:val="21"/>
              </w:rPr>
              <w:t>临时用地占地面积的有效利用率</w:t>
            </w:r>
            <w:r>
              <w:rPr>
                <w:rFonts w:hint="eastAsia"/>
                <w:sz w:val="21"/>
                <w:szCs w:val="21"/>
              </w:rPr>
              <w:t>低于</w:t>
            </w:r>
            <w:r>
              <w:rPr>
                <w:sz w:val="21"/>
                <w:szCs w:val="21"/>
              </w:rPr>
              <w:t>90%</w:t>
            </w:r>
            <w:r>
              <w:rPr>
                <w:rFonts w:hint="eastAsia"/>
                <w:sz w:val="21"/>
                <w:szCs w:val="21"/>
              </w:rPr>
              <w:t>，扣0.5分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33729">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7E68E">
            <w:pPr>
              <w:jc w:val="center"/>
              <w:rPr>
                <w:rFonts w:hint="eastAsia" w:cs="宋体"/>
                <w:sz w:val="21"/>
                <w:szCs w:val="21"/>
              </w:rPr>
            </w:pPr>
          </w:p>
        </w:tc>
      </w:tr>
      <w:tr w14:paraId="538F52F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18979">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3C86F">
            <w:pPr>
              <w:jc w:val="left"/>
              <w:rPr>
                <w:rFonts w:hint="eastAsia" w:cs="宋体"/>
                <w:kern w:val="0"/>
                <w:sz w:val="21"/>
                <w:szCs w:val="21"/>
                <w:lang w:bidi="ar"/>
              </w:rPr>
            </w:pPr>
            <w:r>
              <w:rPr>
                <w:sz w:val="21"/>
                <w:szCs w:val="21"/>
              </w:rPr>
              <w:t>充分利用社会资源、合理利用土地，优化施工总平面布置。施工总平面布置应紧凑合理、符合流程、方便施工、节省用地、有利生活、易于管理、安全可靠、经济合理、注重环境保护。</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D56AA">
            <w:pPr>
              <w:jc w:val="left"/>
              <w:rPr>
                <w:rFonts w:hint="eastAsia" w:cs="宋体"/>
                <w:sz w:val="21"/>
                <w:szCs w:val="21"/>
              </w:rPr>
            </w:pPr>
            <w:r>
              <w:rPr>
                <w:rFonts w:hint="eastAsia" w:cs="宋体"/>
                <w:sz w:val="21"/>
                <w:szCs w:val="21"/>
              </w:rPr>
              <w:t>施工总平面布置不合理，扣0.5分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299D8">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49E07">
            <w:pPr>
              <w:jc w:val="center"/>
              <w:rPr>
                <w:rFonts w:hint="eastAsia" w:cs="宋体"/>
                <w:sz w:val="21"/>
                <w:szCs w:val="21"/>
              </w:rPr>
            </w:pPr>
          </w:p>
        </w:tc>
      </w:tr>
      <w:tr w14:paraId="21536E51">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F11F8">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12612">
            <w:pPr>
              <w:jc w:val="left"/>
              <w:rPr>
                <w:rFonts w:hint="eastAsia" w:cs="宋体"/>
                <w:kern w:val="0"/>
                <w:sz w:val="21"/>
                <w:szCs w:val="21"/>
                <w:lang w:bidi="ar"/>
              </w:rPr>
            </w:pPr>
            <w:r>
              <w:rPr>
                <w:sz w:val="21"/>
                <w:szCs w:val="21"/>
              </w:rPr>
              <w:t>应制定施工总平面管理制度，分阶段动态管理各施工单位、各专业的施工作业，满足交通运输、保卫、消防、防洪、安全文明施工等要求。</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E4541">
            <w:pPr>
              <w:jc w:val="left"/>
              <w:rPr>
                <w:rFonts w:hint="eastAsia" w:cs="宋体"/>
                <w:sz w:val="21"/>
                <w:szCs w:val="21"/>
              </w:rPr>
            </w:pPr>
            <w:r>
              <w:rPr>
                <w:rFonts w:hint="eastAsia" w:cs="宋体"/>
                <w:sz w:val="21"/>
                <w:szCs w:val="21"/>
              </w:rPr>
              <w:t>未制定</w:t>
            </w:r>
            <w:r>
              <w:rPr>
                <w:sz w:val="21"/>
                <w:szCs w:val="21"/>
              </w:rPr>
              <w:t>施工总平面管理制度</w:t>
            </w:r>
            <w:r>
              <w:rPr>
                <w:rFonts w:hint="eastAsia"/>
                <w:sz w:val="21"/>
                <w:szCs w:val="21"/>
              </w:rPr>
              <w:t>，未做到</w:t>
            </w:r>
            <w:r>
              <w:rPr>
                <w:sz w:val="21"/>
                <w:szCs w:val="21"/>
              </w:rPr>
              <w:t>分阶段动态管理</w:t>
            </w:r>
            <w:r>
              <w:rPr>
                <w:rFonts w:hint="eastAsia"/>
                <w:sz w:val="21"/>
                <w:szCs w:val="21"/>
              </w:rPr>
              <w:t>，扣0.5分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37161">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17ADE">
            <w:pPr>
              <w:jc w:val="center"/>
              <w:rPr>
                <w:rFonts w:hint="eastAsia" w:cs="宋体"/>
                <w:sz w:val="21"/>
                <w:szCs w:val="21"/>
              </w:rPr>
            </w:pPr>
          </w:p>
        </w:tc>
      </w:tr>
      <w:tr w14:paraId="423C39DD">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BE0D6">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D2930">
            <w:pPr>
              <w:jc w:val="left"/>
              <w:rPr>
                <w:rFonts w:hint="eastAsia" w:cs="宋体"/>
                <w:kern w:val="0"/>
                <w:sz w:val="21"/>
                <w:szCs w:val="21"/>
                <w:lang w:bidi="ar"/>
              </w:rPr>
            </w:pPr>
            <w:r>
              <w:rPr>
                <w:sz w:val="21"/>
                <w:szCs w:val="21"/>
              </w:rPr>
              <w:t>宜采用永临结合方式建造办公室、生活区宿舍。根据场地情况</w:t>
            </w:r>
            <w:r>
              <w:rPr>
                <w:rFonts w:hint="eastAsia"/>
                <w:sz w:val="21"/>
                <w:szCs w:val="21"/>
              </w:rPr>
              <w:t>，宜采用永临结合方式</w:t>
            </w:r>
            <w:r>
              <w:rPr>
                <w:sz w:val="21"/>
                <w:szCs w:val="21"/>
              </w:rPr>
              <w:t>合理布置</w:t>
            </w:r>
            <w:r>
              <w:rPr>
                <w:rFonts w:hint="eastAsia"/>
                <w:sz w:val="21"/>
                <w:szCs w:val="21"/>
              </w:rPr>
              <w:t>施工</w:t>
            </w:r>
            <w:r>
              <w:rPr>
                <w:sz w:val="21"/>
                <w:szCs w:val="21"/>
              </w:rPr>
              <w:t>道路</w:t>
            </w:r>
            <w:r>
              <w:rPr>
                <w:rFonts w:hint="eastAsia"/>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20029">
            <w:pPr>
              <w:jc w:val="left"/>
              <w:rPr>
                <w:rFonts w:hint="eastAsia" w:cs="宋体"/>
                <w:sz w:val="21"/>
                <w:szCs w:val="21"/>
              </w:rPr>
            </w:pPr>
            <w:r>
              <w:rPr>
                <w:rFonts w:hint="eastAsia" w:cs="宋体"/>
                <w:sz w:val="21"/>
                <w:szCs w:val="21"/>
              </w:rPr>
              <w:t>未采用</w:t>
            </w:r>
            <w:r>
              <w:rPr>
                <w:sz w:val="21"/>
                <w:szCs w:val="21"/>
              </w:rPr>
              <w:t>永临结合方式建造办公室、生活区宿舍</w:t>
            </w:r>
            <w:r>
              <w:rPr>
                <w:rFonts w:hint="eastAsia"/>
                <w:sz w:val="21"/>
                <w:szCs w:val="21"/>
              </w:rPr>
              <w:t>、施工</w:t>
            </w:r>
            <w:r>
              <w:rPr>
                <w:sz w:val="21"/>
                <w:szCs w:val="21"/>
              </w:rPr>
              <w:t>道路</w:t>
            </w:r>
            <w:r>
              <w:rPr>
                <w:rFonts w:hint="eastAsia"/>
                <w:sz w:val="21"/>
                <w:szCs w:val="21"/>
              </w:rPr>
              <w:t>等，扣0.5分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D0A20">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A304F">
            <w:pPr>
              <w:jc w:val="center"/>
              <w:rPr>
                <w:rFonts w:hint="eastAsia" w:cs="宋体"/>
                <w:sz w:val="21"/>
                <w:szCs w:val="21"/>
              </w:rPr>
            </w:pPr>
          </w:p>
        </w:tc>
      </w:tr>
      <w:tr w14:paraId="27A04CE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4B42C">
            <w:pPr>
              <w:jc w:val="center"/>
              <w:textAlignment w:val="center"/>
              <w:rPr>
                <w:rFonts w:hint="eastAsia" w:cs="宋体"/>
                <w:kern w:val="0"/>
                <w:sz w:val="21"/>
                <w:szCs w:val="21"/>
                <w:lang w:bidi="ar"/>
              </w:rPr>
            </w:pPr>
            <w:r>
              <w:rPr>
                <w:rFonts w:hint="eastAsia" w:cs="宋体"/>
                <w:kern w:val="0"/>
                <w:sz w:val="21"/>
                <w:szCs w:val="21"/>
                <w:lang w:bidi="ar"/>
              </w:rPr>
              <w:t>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0AA24">
            <w:pPr>
              <w:jc w:val="left"/>
              <w:rPr>
                <w:rFonts w:hint="eastAsia" w:cs="宋体"/>
                <w:kern w:val="0"/>
                <w:sz w:val="21"/>
                <w:szCs w:val="21"/>
                <w:lang w:bidi="ar"/>
              </w:rPr>
            </w:pPr>
            <w:r>
              <w:rPr>
                <w:sz w:val="21"/>
                <w:szCs w:val="21"/>
              </w:rPr>
              <w:t>充分利用和保护原有</w:t>
            </w:r>
            <w:r>
              <w:rPr>
                <w:rFonts w:hint="eastAsia"/>
                <w:sz w:val="21"/>
                <w:szCs w:val="21"/>
              </w:rPr>
              <w:t>设施和</w:t>
            </w:r>
            <w:r>
              <w:rPr>
                <w:sz w:val="21"/>
                <w:szCs w:val="21"/>
              </w:rPr>
              <w:t>建筑物</w:t>
            </w:r>
            <w:r>
              <w:rPr>
                <w:rFonts w:hint="eastAsia"/>
                <w:sz w:val="21"/>
                <w:szCs w:val="21"/>
              </w:rPr>
              <w:t>。</w:t>
            </w:r>
            <w:r>
              <w:rPr>
                <w:sz w:val="21"/>
                <w:szCs w:val="21"/>
              </w:rPr>
              <w:t>充分利用部分附属建筑物前期作为临时组合场、临时</w:t>
            </w:r>
            <w:r>
              <w:rPr>
                <w:rFonts w:hint="eastAsia"/>
                <w:sz w:val="21"/>
                <w:szCs w:val="21"/>
              </w:rPr>
              <w:t>设备材料</w:t>
            </w:r>
            <w:r>
              <w:rPr>
                <w:sz w:val="21"/>
                <w:szCs w:val="21"/>
              </w:rPr>
              <w:t>堆放</w:t>
            </w:r>
            <w:r>
              <w:rPr>
                <w:rFonts w:hint="eastAsia"/>
                <w:sz w:val="21"/>
                <w:szCs w:val="21"/>
              </w:rPr>
              <w:t>场地。</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BFCB9">
            <w:pPr>
              <w:jc w:val="left"/>
              <w:rPr>
                <w:rFonts w:hint="eastAsia" w:cs="宋体"/>
                <w:sz w:val="21"/>
                <w:szCs w:val="21"/>
              </w:rPr>
            </w:pPr>
            <w:r>
              <w:rPr>
                <w:sz w:val="21"/>
                <w:szCs w:val="21"/>
              </w:rPr>
              <w:t>原有</w:t>
            </w:r>
            <w:r>
              <w:rPr>
                <w:rFonts w:hint="eastAsia"/>
                <w:sz w:val="21"/>
                <w:szCs w:val="21"/>
              </w:rPr>
              <w:t>设施和</w:t>
            </w:r>
            <w:r>
              <w:rPr>
                <w:sz w:val="21"/>
                <w:szCs w:val="21"/>
              </w:rPr>
              <w:t>建筑物</w:t>
            </w:r>
            <w:r>
              <w:rPr>
                <w:rFonts w:hint="eastAsia"/>
                <w:sz w:val="21"/>
                <w:szCs w:val="21"/>
              </w:rPr>
              <w:t>利用不合理，扣0.5分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B1048">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C9A83">
            <w:pPr>
              <w:jc w:val="center"/>
              <w:rPr>
                <w:rFonts w:hint="eastAsia" w:cs="宋体"/>
                <w:sz w:val="21"/>
                <w:szCs w:val="21"/>
              </w:rPr>
            </w:pPr>
          </w:p>
        </w:tc>
      </w:tr>
      <w:tr w14:paraId="3C5F54F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35EC3">
            <w:pPr>
              <w:jc w:val="center"/>
              <w:textAlignment w:val="center"/>
              <w:rPr>
                <w:rFonts w:hint="eastAsia" w:cs="宋体"/>
                <w:kern w:val="0"/>
                <w:sz w:val="21"/>
                <w:szCs w:val="21"/>
                <w:lang w:bidi="ar"/>
              </w:rPr>
            </w:pPr>
            <w:r>
              <w:rPr>
                <w:rFonts w:hint="eastAsia" w:cs="宋体"/>
                <w:kern w:val="0"/>
                <w:sz w:val="21"/>
                <w:szCs w:val="21"/>
                <w:lang w:bidi="ar"/>
              </w:rPr>
              <w:t>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729B2">
            <w:pPr>
              <w:jc w:val="left"/>
              <w:rPr>
                <w:rFonts w:hint="eastAsia" w:cs="宋体"/>
                <w:kern w:val="0"/>
                <w:sz w:val="21"/>
                <w:szCs w:val="21"/>
                <w:lang w:bidi="ar"/>
              </w:rPr>
            </w:pPr>
            <w:r>
              <w:rPr>
                <w:sz w:val="21"/>
                <w:szCs w:val="21"/>
              </w:rPr>
              <w:t>对深基坑边坡坡度、排水沟形式与尺寸、基坑填料及取弃土等方案进行比选，避免高填深挖，减少土方开挖和回填量。</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756C0">
            <w:pPr>
              <w:jc w:val="left"/>
              <w:rPr>
                <w:rFonts w:hint="eastAsia" w:cs="宋体"/>
                <w:sz w:val="21"/>
                <w:szCs w:val="21"/>
              </w:rPr>
            </w:pPr>
            <w:r>
              <w:rPr>
                <w:rFonts w:hint="eastAsia" w:cs="宋体"/>
                <w:sz w:val="21"/>
                <w:szCs w:val="21"/>
              </w:rPr>
              <w:t>未比选相关方案，导致高填深挖，增加土方开挖和回填量，扣0.5分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7C95B">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49E71">
            <w:pPr>
              <w:jc w:val="center"/>
              <w:rPr>
                <w:rFonts w:hint="eastAsia" w:cs="宋体"/>
                <w:sz w:val="21"/>
                <w:szCs w:val="21"/>
              </w:rPr>
            </w:pPr>
          </w:p>
        </w:tc>
      </w:tr>
      <w:tr w14:paraId="793F6DE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AF0E1">
            <w:pPr>
              <w:jc w:val="center"/>
              <w:textAlignment w:val="center"/>
              <w:rPr>
                <w:rFonts w:hint="eastAsia" w:cs="宋体"/>
                <w:kern w:val="0"/>
                <w:sz w:val="21"/>
                <w:szCs w:val="21"/>
                <w:lang w:bidi="ar"/>
              </w:rPr>
            </w:pPr>
            <w:r>
              <w:rPr>
                <w:rFonts w:hint="eastAsia" w:cs="宋体"/>
                <w:kern w:val="0"/>
                <w:sz w:val="21"/>
                <w:szCs w:val="21"/>
                <w:lang w:bidi="ar"/>
              </w:rPr>
              <w:t>7</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7B238">
            <w:pPr>
              <w:jc w:val="left"/>
              <w:rPr>
                <w:rFonts w:hint="eastAsia" w:cs="宋体"/>
                <w:kern w:val="0"/>
                <w:sz w:val="21"/>
                <w:szCs w:val="21"/>
                <w:lang w:bidi="ar"/>
              </w:rPr>
            </w:pPr>
            <w:r>
              <w:rPr>
                <w:sz w:val="21"/>
                <w:szCs w:val="21"/>
              </w:rPr>
              <w:t>制定最佳的土石方的调配方案，在经济运距内充分利用移挖作填，严格控制土石方工程量。</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CD6F3">
            <w:pPr>
              <w:jc w:val="left"/>
              <w:rPr>
                <w:rFonts w:hint="eastAsia" w:cs="宋体"/>
                <w:sz w:val="21"/>
                <w:szCs w:val="21"/>
              </w:rPr>
            </w:pPr>
            <w:r>
              <w:rPr>
                <w:rFonts w:hint="eastAsia" w:cs="宋体"/>
                <w:sz w:val="21"/>
                <w:szCs w:val="21"/>
              </w:rPr>
              <w:t>土石方调配方案不合理，扣0.5分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F027F">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F69ED">
            <w:pPr>
              <w:jc w:val="center"/>
              <w:rPr>
                <w:rFonts w:hint="eastAsia" w:cs="宋体"/>
                <w:sz w:val="21"/>
                <w:szCs w:val="21"/>
              </w:rPr>
            </w:pPr>
          </w:p>
        </w:tc>
      </w:tr>
      <w:tr w14:paraId="50F3BDA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74734">
            <w:pPr>
              <w:jc w:val="center"/>
              <w:textAlignment w:val="center"/>
              <w:rPr>
                <w:rFonts w:hint="eastAsia" w:cs="宋体"/>
                <w:kern w:val="0"/>
                <w:sz w:val="21"/>
                <w:szCs w:val="21"/>
                <w:lang w:bidi="ar"/>
              </w:rPr>
            </w:pPr>
            <w:r>
              <w:rPr>
                <w:rFonts w:hint="eastAsia" w:cs="宋体"/>
                <w:kern w:val="0"/>
                <w:sz w:val="21"/>
                <w:szCs w:val="21"/>
                <w:lang w:bidi="ar"/>
              </w:rPr>
              <w:t>8</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3501C">
            <w:pPr>
              <w:jc w:val="left"/>
              <w:rPr>
                <w:rFonts w:hint="eastAsia" w:cs="宋体"/>
                <w:kern w:val="0"/>
                <w:sz w:val="21"/>
                <w:szCs w:val="21"/>
                <w:lang w:bidi="ar"/>
              </w:rPr>
            </w:pPr>
            <w:r>
              <w:rPr>
                <w:sz w:val="21"/>
                <w:szCs w:val="21"/>
              </w:rPr>
              <w:t>施工取土、弃土场宜选择荒废地，不宜占用农田，工程完工后，应按“用多少、垦多少”的原则，恢复原有地形、地貌。</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5212E">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6C7D7">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D4CB0">
            <w:pPr>
              <w:jc w:val="center"/>
              <w:rPr>
                <w:rFonts w:hint="eastAsia" w:cs="宋体"/>
                <w:sz w:val="21"/>
                <w:szCs w:val="21"/>
              </w:rPr>
            </w:pPr>
          </w:p>
        </w:tc>
      </w:tr>
      <w:tr w14:paraId="059DE6F3">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F6E9C">
            <w:pPr>
              <w:jc w:val="center"/>
              <w:textAlignment w:val="center"/>
              <w:rPr>
                <w:rFonts w:hint="eastAsia" w:cs="宋体"/>
                <w:kern w:val="0"/>
                <w:sz w:val="21"/>
                <w:szCs w:val="21"/>
                <w:lang w:bidi="ar"/>
              </w:rPr>
            </w:pPr>
            <w:r>
              <w:rPr>
                <w:rFonts w:hint="eastAsia" w:cs="宋体"/>
                <w:kern w:val="0"/>
                <w:sz w:val="21"/>
                <w:szCs w:val="21"/>
                <w:lang w:bidi="ar"/>
              </w:rPr>
              <w:t>9</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32054">
            <w:pPr>
              <w:jc w:val="left"/>
              <w:rPr>
                <w:rFonts w:hint="eastAsia" w:cs="宋体"/>
                <w:kern w:val="0"/>
                <w:sz w:val="21"/>
                <w:szCs w:val="21"/>
                <w:lang w:bidi="ar"/>
              </w:rPr>
            </w:pPr>
            <w:r>
              <w:rPr>
                <w:sz w:val="21"/>
                <w:szCs w:val="21"/>
              </w:rPr>
              <w:t>大型管道采用工厂化预制方法，减少施工现场管道制作临时用地占用面积，</w:t>
            </w:r>
            <w:r>
              <w:rPr>
                <w:rFonts w:hint="eastAsia"/>
                <w:sz w:val="21"/>
                <w:szCs w:val="21"/>
              </w:rPr>
              <w:t>管道在工厂进行预制完成后分期分批运至安装现场</w:t>
            </w:r>
            <w:r>
              <w:rPr>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BFF32">
            <w:pPr>
              <w:jc w:val="left"/>
              <w:rPr>
                <w:rFonts w:hint="eastAsia" w:cs="宋体"/>
                <w:sz w:val="21"/>
                <w:szCs w:val="21"/>
              </w:rPr>
            </w:pPr>
            <w:r>
              <w:rPr>
                <w:sz w:val="21"/>
                <w:szCs w:val="21"/>
              </w:rPr>
              <w:t>大型管道</w:t>
            </w:r>
            <w:r>
              <w:rPr>
                <w:rFonts w:hint="eastAsia"/>
                <w:sz w:val="21"/>
                <w:szCs w:val="21"/>
              </w:rPr>
              <w:t>未采用工厂化预制，采用工厂化预制的未分批次运至安装现场，扣0.25分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A0259">
            <w:pPr>
              <w:jc w:val="center"/>
              <w:rPr>
                <w:rFonts w:hint="eastAsia" w:cs="宋体"/>
                <w:sz w:val="21"/>
                <w:szCs w:val="21"/>
              </w:rPr>
            </w:pPr>
            <w:r>
              <w:rPr>
                <w:rFonts w:hint="eastAsia" w:cs="宋体"/>
                <w:sz w:val="21"/>
                <w:szCs w:val="21"/>
              </w:rPr>
              <w:t>0.25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8DA5D">
            <w:pPr>
              <w:jc w:val="center"/>
              <w:rPr>
                <w:rFonts w:hint="eastAsia" w:cs="宋体"/>
                <w:sz w:val="21"/>
                <w:szCs w:val="21"/>
              </w:rPr>
            </w:pPr>
          </w:p>
        </w:tc>
      </w:tr>
      <w:tr w14:paraId="1C73703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19E7E">
            <w:pPr>
              <w:jc w:val="center"/>
              <w:textAlignment w:val="center"/>
              <w:rPr>
                <w:rFonts w:hint="eastAsia"/>
                <w:sz w:val="21"/>
                <w:szCs w:val="21"/>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A13AD">
            <w:pPr>
              <w:jc w:val="left"/>
              <w:rPr>
                <w:rFonts w:hint="eastAsia"/>
                <w:sz w:val="21"/>
                <w:szCs w:val="21"/>
              </w:rPr>
            </w:pPr>
            <w:r>
              <w:rPr>
                <w:rFonts w:hint="eastAsia" w:cs="宋体"/>
                <w:kern w:val="0"/>
                <w:sz w:val="21"/>
                <w:szCs w:val="21"/>
                <w:lang w:bidi="ar"/>
              </w:rPr>
              <w:t>专用项</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1ADC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3EA7A">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745F4">
            <w:pPr>
              <w:jc w:val="center"/>
              <w:rPr>
                <w:rFonts w:hint="eastAsia" w:cs="宋体"/>
                <w:sz w:val="21"/>
                <w:szCs w:val="21"/>
              </w:rPr>
            </w:pPr>
          </w:p>
        </w:tc>
      </w:tr>
      <w:tr w14:paraId="542C7016">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5C2C2">
            <w:pPr>
              <w:jc w:val="center"/>
              <w:textAlignment w:val="center"/>
              <w:rPr>
                <w:rFonts w:hint="eastAsia" w:cs="宋体"/>
                <w:kern w:val="0"/>
                <w:sz w:val="21"/>
                <w:szCs w:val="21"/>
                <w:lang w:bidi="ar"/>
              </w:rPr>
            </w:pPr>
            <w:r>
              <w:rPr>
                <w:sz w:val="21"/>
                <w:szCs w:val="21"/>
              </w:rPr>
              <w:t>6.3.</w:t>
            </w:r>
            <w:r>
              <w:rPr>
                <w:rFonts w:hint="eastAsia"/>
                <w:sz w:val="21"/>
                <w:szCs w:val="21"/>
              </w:rPr>
              <w:t>30</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D43D9">
            <w:pPr>
              <w:jc w:val="left"/>
              <w:rPr>
                <w:rFonts w:hint="eastAsia" w:cs="宋体"/>
                <w:kern w:val="0"/>
                <w:sz w:val="21"/>
                <w:szCs w:val="21"/>
                <w:lang w:bidi="ar"/>
              </w:rPr>
            </w:pPr>
            <w:r>
              <w:rPr>
                <w:rFonts w:hint="eastAsia"/>
                <w:sz w:val="21"/>
                <w:szCs w:val="21"/>
              </w:rPr>
              <w:t>火电工程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0BE97">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C69C5">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265E9">
            <w:pPr>
              <w:jc w:val="center"/>
              <w:rPr>
                <w:rFonts w:hint="eastAsia" w:cs="宋体"/>
                <w:sz w:val="21"/>
                <w:szCs w:val="21"/>
              </w:rPr>
            </w:pPr>
          </w:p>
        </w:tc>
      </w:tr>
      <w:tr w14:paraId="3F38162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4F108">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F8F1B">
            <w:pPr>
              <w:jc w:val="left"/>
              <w:textAlignment w:val="center"/>
              <w:rPr>
                <w:rFonts w:hint="eastAsia" w:cs="宋体"/>
                <w:kern w:val="0"/>
                <w:sz w:val="21"/>
                <w:szCs w:val="21"/>
                <w:lang w:bidi="ar"/>
              </w:rPr>
            </w:pPr>
            <w:r>
              <w:rPr>
                <w:rFonts w:hint="eastAsia" w:cs="宋体"/>
                <w:kern w:val="0"/>
                <w:sz w:val="21"/>
                <w:szCs w:val="21"/>
                <w:lang w:bidi="ar"/>
              </w:rPr>
              <w:t>燃煤发电工程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1D86C">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88A5D">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0F79C">
            <w:pPr>
              <w:jc w:val="left"/>
              <w:textAlignment w:val="center"/>
              <w:rPr>
                <w:rFonts w:hint="eastAsia" w:cs="宋体"/>
                <w:kern w:val="0"/>
                <w:sz w:val="21"/>
                <w:szCs w:val="21"/>
                <w:lang w:bidi="ar"/>
              </w:rPr>
            </w:pPr>
          </w:p>
        </w:tc>
      </w:tr>
      <w:tr w14:paraId="602AB56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7BBE0">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F600F">
            <w:pPr>
              <w:jc w:val="left"/>
              <w:textAlignment w:val="center"/>
              <w:rPr>
                <w:rFonts w:hint="eastAsia" w:cs="宋体"/>
                <w:kern w:val="0"/>
                <w:sz w:val="21"/>
                <w:szCs w:val="21"/>
                <w:lang w:bidi="ar"/>
              </w:rPr>
            </w:pPr>
            <w:r>
              <w:rPr>
                <w:sz w:val="21"/>
                <w:szCs w:val="21"/>
              </w:rPr>
              <w:t>充分</w:t>
            </w:r>
            <w:r>
              <w:rPr>
                <w:rFonts w:hint="eastAsia"/>
                <w:sz w:val="21"/>
                <w:szCs w:val="21"/>
              </w:rPr>
              <w:t>利用</w:t>
            </w:r>
            <w:r>
              <w:rPr>
                <w:sz w:val="21"/>
                <w:szCs w:val="21"/>
              </w:rPr>
              <w:t>汽机房和除氧间扩建端的延伸区，根据施工进度，先期作为土建加工制作场，安装高峰期作为主广房钢结构堆放组装、汽轮机管道组合场地、设备堆放场。</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4F790">
            <w:pPr>
              <w:jc w:val="left"/>
              <w:textAlignment w:val="center"/>
              <w:rPr>
                <w:rFonts w:hint="eastAsia" w:cs="宋体"/>
                <w:kern w:val="0"/>
                <w:sz w:val="21"/>
                <w:szCs w:val="21"/>
                <w:lang w:bidi="ar"/>
              </w:rPr>
            </w:pPr>
            <w:r>
              <w:rPr>
                <w:sz w:val="21"/>
                <w:szCs w:val="21"/>
              </w:rPr>
              <w:t>汽机房和除氧间扩建端的延伸区</w:t>
            </w:r>
            <w:r>
              <w:rPr>
                <w:rFonts w:hint="eastAsia"/>
                <w:sz w:val="21"/>
                <w:szCs w:val="21"/>
              </w:rPr>
              <w:t>未充分利用，扣0.5分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A4087">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A667D">
            <w:pPr>
              <w:jc w:val="left"/>
              <w:textAlignment w:val="center"/>
              <w:rPr>
                <w:rFonts w:hint="eastAsia" w:cs="宋体"/>
                <w:kern w:val="0"/>
                <w:sz w:val="21"/>
                <w:szCs w:val="21"/>
                <w:lang w:bidi="ar"/>
              </w:rPr>
            </w:pPr>
          </w:p>
        </w:tc>
      </w:tr>
      <w:tr w14:paraId="26E4E1C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D40B3">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7F38A">
            <w:pPr>
              <w:jc w:val="left"/>
              <w:textAlignment w:val="center"/>
              <w:rPr>
                <w:rFonts w:hint="eastAsia" w:cs="宋体"/>
                <w:kern w:val="0"/>
                <w:sz w:val="21"/>
                <w:szCs w:val="21"/>
                <w:lang w:bidi="ar"/>
              </w:rPr>
            </w:pPr>
            <w:r>
              <w:rPr>
                <w:sz w:val="21"/>
                <w:szCs w:val="21"/>
              </w:rPr>
              <w:t>主厂房扩建端外侧场地按照专业施工先后次序以及专业</w:t>
            </w:r>
            <w:r>
              <w:rPr>
                <w:rFonts w:hint="eastAsia"/>
                <w:sz w:val="21"/>
                <w:szCs w:val="21"/>
              </w:rPr>
              <w:t>内部工序的先后次序交替使用，以提高场地利用率。</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6A6D0">
            <w:pPr>
              <w:jc w:val="left"/>
              <w:textAlignment w:val="center"/>
              <w:rPr>
                <w:rFonts w:hint="eastAsia" w:cs="宋体"/>
                <w:kern w:val="0"/>
                <w:sz w:val="21"/>
                <w:szCs w:val="21"/>
                <w:lang w:bidi="ar"/>
              </w:rPr>
            </w:pPr>
            <w:r>
              <w:rPr>
                <w:sz w:val="21"/>
                <w:szCs w:val="21"/>
              </w:rPr>
              <w:t>主厂房扩建端外侧场地</w:t>
            </w:r>
            <w:r>
              <w:rPr>
                <w:rFonts w:hint="eastAsia"/>
                <w:sz w:val="21"/>
                <w:szCs w:val="21"/>
              </w:rPr>
              <w:t>未</w:t>
            </w:r>
            <w:r>
              <w:rPr>
                <w:sz w:val="21"/>
                <w:szCs w:val="21"/>
              </w:rPr>
              <w:t>按照专业施工先后次序以及专业</w:t>
            </w:r>
            <w:r>
              <w:rPr>
                <w:rFonts w:hint="eastAsia"/>
                <w:sz w:val="21"/>
                <w:szCs w:val="21"/>
              </w:rPr>
              <w:t>内部工序的先后次序交替使用，扣0.5分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A3D73">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42DFB">
            <w:pPr>
              <w:jc w:val="left"/>
              <w:textAlignment w:val="center"/>
              <w:rPr>
                <w:rFonts w:hint="eastAsia" w:cs="宋体"/>
                <w:kern w:val="0"/>
                <w:sz w:val="21"/>
                <w:szCs w:val="21"/>
                <w:lang w:bidi="ar"/>
              </w:rPr>
            </w:pPr>
          </w:p>
        </w:tc>
      </w:tr>
      <w:tr w14:paraId="2E841D7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68934">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A57AC">
            <w:pPr>
              <w:jc w:val="left"/>
              <w:textAlignment w:val="center"/>
              <w:rPr>
                <w:rFonts w:hint="eastAsia" w:cs="宋体"/>
                <w:kern w:val="0"/>
                <w:sz w:val="21"/>
                <w:szCs w:val="21"/>
                <w:lang w:bidi="ar"/>
              </w:rPr>
            </w:pPr>
            <w:r>
              <w:rPr>
                <w:sz w:val="21"/>
                <w:szCs w:val="21"/>
              </w:rPr>
              <w:t>充分利用利用锅炉烟道和受热面组合与烟道支架和电除尘安装时间差，电除尘及前烟道支架区域基础施工、粗地坪完成后，前期作为烟道和受热面组合</w:t>
            </w:r>
            <w:r>
              <w:rPr>
                <w:rFonts w:hint="eastAsia"/>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23BC6">
            <w:pPr>
              <w:jc w:val="left"/>
              <w:textAlignment w:val="center"/>
              <w:rPr>
                <w:rFonts w:hint="eastAsia" w:cs="宋体"/>
                <w:kern w:val="0"/>
                <w:sz w:val="21"/>
                <w:szCs w:val="21"/>
                <w:lang w:bidi="ar"/>
              </w:rPr>
            </w:pPr>
            <w:r>
              <w:rPr>
                <w:sz w:val="21"/>
                <w:szCs w:val="21"/>
              </w:rPr>
              <w:t>锅炉烟道</w:t>
            </w:r>
            <w:r>
              <w:rPr>
                <w:rFonts w:hint="eastAsia"/>
                <w:sz w:val="21"/>
                <w:szCs w:val="21"/>
              </w:rPr>
              <w:t>、</w:t>
            </w:r>
            <w:r>
              <w:rPr>
                <w:sz w:val="21"/>
                <w:szCs w:val="21"/>
              </w:rPr>
              <w:t>受热面组合</w:t>
            </w:r>
            <w:r>
              <w:rPr>
                <w:rFonts w:hint="eastAsia"/>
                <w:sz w:val="21"/>
                <w:szCs w:val="21"/>
              </w:rPr>
              <w:t>、</w:t>
            </w:r>
            <w:r>
              <w:rPr>
                <w:sz w:val="21"/>
                <w:szCs w:val="21"/>
              </w:rPr>
              <w:t>烟道支架和电除尘安装</w:t>
            </w:r>
            <w:r>
              <w:rPr>
                <w:rFonts w:hint="eastAsia"/>
                <w:sz w:val="21"/>
                <w:szCs w:val="21"/>
              </w:rPr>
              <w:t>工序安排不合理，导致用地增加，扣0.5分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BF00D">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4E362">
            <w:pPr>
              <w:jc w:val="left"/>
              <w:textAlignment w:val="center"/>
              <w:rPr>
                <w:rFonts w:hint="eastAsia" w:cs="宋体"/>
                <w:kern w:val="0"/>
                <w:sz w:val="21"/>
                <w:szCs w:val="21"/>
                <w:lang w:bidi="ar"/>
              </w:rPr>
            </w:pPr>
          </w:p>
        </w:tc>
      </w:tr>
      <w:tr w14:paraId="4E265F0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A2EAD">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D6649">
            <w:pPr>
              <w:jc w:val="left"/>
              <w:textAlignment w:val="center"/>
              <w:rPr>
                <w:rFonts w:hint="eastAsia" w:cs="宋体"/>
                <w:kern w:val="0"/>
                <w:sz w:val="21"/>
                <w:szCs w:val="21"/>
                <w:lang w:bidi="ar"/>
              </w:rPr>
            </w:pPr>
            <w:r>
              <w:rPr>
                <w:sz w:val="21"/>
                <w:szCs w:val="21"/>
              </w:rPr>
              <w:t>钢结构、循环水管道、烟风道等采用工厂化预制方法，减少施工现场管道制作临时用地占用面积，</w:t>
            </w:r>
            <w:r>
              <w:rPr>
                <w:rFonts w:hint="eastAsia"/>
                <w:sz w:val="21"/>
                <w:szCs w:val="21"/>
              </w:rPr>
              <w:t>预制完成根据施工进度分批运至安装现场</w:t>
            </w:r>
            <w:r>
              <w:rPr>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9C448">
            <w:pPr>
              <w:jc w:val="left"/>
              <w:textAlignment w:val="center"/>
              <w:rPr>
                <w:rFonts w:hint="eastAsia" w:cs="宋体"/>
                <w:kern w:val="0"/>
                <w:sz w:val="21"/>
                <w:szCs w:val="21"/>
                <w:lang w:bidi="ar"/>
              </w:rPr>
            </w:pPr>
            <w:r>
              <w:rPr>
                <w:sz w:val="21"/>
                <w:szCs w:val="21"/>
              </w:rPr>
              <w:t>钢结构、循环水管道、烟风道等</w:t>
            </w:r>
            <w:r>
              <w:rPr>
                <w:rFonts w:hint="eastAsia"/>
                <w:sz w:val="21"/>
                <w:szCs w:val="21"/>
              </w:rPr>
              <w:t>未采用工厂化预制，采用工厂化预制的未分批次运至安装现场，扣0.5分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BB5C1">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87E69">
            <w:pPr>
              <w:jc w:val="left"/>
              <w:textAlignment w:val="center"/>
              <w:rPr>
                <w:rFonts w:hint="eastAsia" w:cs="宋体"/>
                <w:kern w:val="0"/>
                <w:sz w:val="21"/>
                <w:szCs w:val="21"/>
                <w:lang w:bidi="ar"/>
              </w:rPr>
            </w:pPr>
          </w:p>
        </w:tc>
      </w:tr>
      <w:tr w14:paraId="488D8A3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97EEB">
            <w:pPr>
              <w:jc w:val="center"/>
              <w:textAlignment w:val="center"/>
              <w:rPr>
                <w:rFonts w:hint="eastAsia" w:cs="宋体"/>
                <w:kern w:val="0"/>
                <w:sz w:val="21"/>
                <w:szCs w:val="21"/>
                <w:lang w:bidi="ar"/>
              </w:rPr>
            </w:pPr>
            <w:r>
              <w:rPr>
                <w:rFonts w:hint="eastAsia" w:cs="宋体"/>
                <w:kern w:val="0"/>
                <w:sz w:val="21"/>
                <w:szCs w:val="21"/>
                <w:lang w:bidi="ar"/>
              </w:rPr>
              <w:t xml:space="preserve">2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6C740">
            <w:pPr>
              <w:jc w:val="left"/>
              <w:textAlignment w:val="center"/>
              <w:rPr>
                <w:rFonts w:hint="eastAsia" w:cs="宋体"/>
                <w:kern w:val="0"/>
                <w:sz w:val="21"/>
                <w:szCs w:val="21"/>
                <w:lang w:bidi="ar"/>
              </w:rPr>
            </w:pPr>
            <w:r>
              <w:rPr>
                <w:rFonts w:hint="eastAsia" w:cs="宋体"/>
                <w:kern w:val="0"/>
                <w:sz w:val="21"/>
                <w:szCs w:val="21"/>
                <w:lang w:bidi="ar"/>
              </w:rPr>
              <w:t>燃气蒸汽联合循环发电工程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6BFD5">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A4991">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4E476">
            <w:pPr>
              <w:jc w:val="left"/>
              <w:textAlignment w:val="center"/>
              <w:rPr>
                <w:rFonts w:hint="eastAsia" w:cs="宋体"/>
                <w:kern w:val="0"/>
                <w:sz w:val="21"/>
                <w:szCs w:val="21"/>
                <w:lang w:bidi="ar"/>
              </w:rPr>
            </w:pPr>
          </w:p>
        </w:tc>
      </w:tr>
      <w:tr w14:paraId="7095E9E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B2F12">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9CB5C">
            <w:pPr>
              <w:jc w:val="left"/>
              <w:textAlignment w:val="center"/>
              <w:rPr>
                <w:rFonts w:hint="eastAsia" w:cs="宋体"/>
                <w:kern w:val="0"/>
                <w:sz w:val="21"/>
                <w:szCs w:val="21"/>
                <w:lang w:bidi="ar"/>
              </w:rPr>
            </w:pPr>
            <w:r>
              <w:rPr>
                <w:rFonts w:hint="eastAsia"/>
                <w:sz w:val="21"/>
                <w:szCs w:val="21"/>
              </w:rPr>
              <w:t>执行燃煤发电工程</w:t>
            </w:r>
            <w:r>
              <w:rPr>
                <w:sz w:val="21"/>
                <w:szCs w:val="21"/>
              </w:rPr>
              <w:t>2）、3）、4）条。</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B7225">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6DA98">
            <w:pPr>
              <w:jc w:val="center"/>
              <w:textAlignment w:val="center"/>
              <w:rPr>
                <w:rFonts w:hint="eastAsia" w:cs="宋体"/>
                <w:kern w:val="0"/>
                <w:sz w:val="21"/>
                <w:szCs w:val="21"/>
                <w:lang w:bidi="ar"/>
              </w:rPr>
            </w:pPr>
            <w:r>
              <w:rPr>
                <w:rFonts w:hint="eastAsia" w:cs="宋体"/>
                <w:kern w:val="0"/>
                <w:sz w:val="21"/>
                <w:szCs w:val="21"/>
                <w:lang w:bidi="ar"/>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CDB4C">
            <w:pPr>
              <w:jc w:val="left"/>
              <w:textAlignment w:val="center"/>
              <w:rPr>
                <w:rFonts w:hint="eastAsia" w:cs="宋体"/>
                <w:kern w:val="0"/>
                <w:sz w:val="21"/>
                <w:szCs w:val="21"/>
                <w:lang w:bidi="ar"/>
              </w:rPr>
            </w:pPr>
          </w:p>
        </w:tc>
      </w:tr>
      <w:tr w14:paraId="35CC438C">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AD6A0">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88945">
            <w:pPr>
              <w:jc w:val="left"/>
              <w:textAlignment w:val="center"/>
              <w:rPr>
                <w:rFonts w:hint="eastAsia" w:cs="宋体"/>
                <w:kern w:val="0"/>
                <w:sz w:val="21"/>
                <w:szCs w:val="21"/>
                <w:lang w:bidi="ar"/>
              </w:rPr>
            </w:pPr>
            <w:r>
              <w:rPr>
                <w:sz w:val="21"/>
                <w:szCs w:val="21"/>
              </w:rPr>
              <w:t>合理安排</w:t>
            </w:r>
            <w:r>
              <w:rPr>
                <w:rFonts w:hint="eastAsia"/>
                <w:sz w:val="21"/>
                <w:szCs w:val="21"/>
              </w:rPr>
              <w:t>余热锅炉</w:t>
            </w:r>
            <w:r>
              <w:rPr>
                <w:sz w:val="21"/>
                <w:szCs w:val="21"/>
              </w:rPr>
              <w:t>受热面设备吊装顺序，根据顺序提前组合，减少地面摆放时间。</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71168">
            <w:pPr>
              <w:jc w:val="left"/>
              <w:textAlignment w:val="center"/>
              <w:rPr>
                <w:rFonts w:hint="eastAsia" w:cs="宋体"/>
                <w:kern w:val="0"/>
                <w:sz w:val="21"/>
                <w:szCs w:val="21"/>
                <w:lang w:bidi="ar"/>
              </w:rPr>
            </w:pPr>
            <w:r>
              <w:rPr>
                <w:rFonts w:hint="eastAsia"/>
                <w:sz w:val="21"/>
                <w:szCs w:val="21"/>
              </w:rPr>
              <w:t>余热锅炉</w:t>
            </w:r>
            <w:r>
              <w:rPr>
                <w:sz w:val="21"/>
                <w:szCs w:val="21"/>
              </w:rPr>
              <w:t>受热面设备吊装顺序</w:t>
            </w:r>
            <w:r>
              <w:rPr>
                <w:rFonts w:hint="eastAsia"/>
                <w:sz w:val="21"/>
                <w:szCs w:val="21"/>
              </w:rPr>
              <w:t>安排不合理，导致用地增加，扣0.5分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3877D">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1B5E7">
            <w:pPr>
              <w:jc w:val="left"/>
              <w:textAlignment w:val="center"/>
              <w:rPr>
                <w:rFonts w:hint="eastAsia" w:cs="宋体"/>
                <w:kern w:val="0"/>
                <w:sz w:val="21"/>
                <w:szCs w:val="21"/>
                <w:lang w:bidi="ar"/>
              </w:rPr>
            </w:pPr>
          </w:p>
        </w:tc>
      </w:tr>
      <w:tr w14:paraId="7A572CB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82999">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0C753">
            <w:pPr>
              <w:jc w:val="left"/>
              <w:textAlignment w:val="center"/>
              <w:rPr>
                <w:rFonts w:hint="eastAsia" w:cs="宋体"/>
                <w:kern w:val="0"/>
                <w:sz w:val="21"/>
                <w:szCs w:val="21"/>
                <w:lang w:bidi="ar"/>
              </w:rPr>
            </w:pPr>
            <w:r>
              <w:rPr>
                <w:sz w:val="21"/>
                <w:szCs w:val="21"/>
              </w:rPr>
              <w:t>燃机厂房内设备到货后，如凝结水泵、轴封加热器、电动滤水器、开闭式水泵、换热器、真空泵、热网加热器、热网循环水泵、热网除氧器、热网除铁器等设备到货后，</w:t>
            </w:r>
            <w:r>
              <w:rPr>
                <w:rFonts w:hint="eastAsia"/>
                <w:sz w:val="21"/>
                <w:szCs w:val="21"/>
              </w:rPr>
              <w:t>及时</w:t>
            </w:r>
            <w:r>
              <w:rPr>
                <w:sz w:val="21"/>
                <w:szCs w:val="21"/>
              </w:rPr>
              <w:t>吊装、拖运和就位</w:t>
            </w:r>
            <w:r>
              <w:rPr>
                <w:rFonts w:hint="eastAsia"/>
                <w:sz w:val="21"/>
                <w:szCs w:val="21"/>
              </w:rPr>
              <w:t>，减少临时存放时间，从而节省施工用地空间。</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B6EA1">
            <w:pPr>
              <w:jc w:val="left"/>
              <w:textAlignment w:val="center"/>
              <w:rPr>
                <w:rFonts w:hint="eastAsia" w:cs="宋体"/>
                <w:kern w:val="0"/>
                <w:sz w:val="21"/>
                <w:szCs w:val="21"/>
                <w:lang w:bidi="ar"/>
              </w:rPr>
            </w:pPr>
            <w:r>
              <w:rPr>
                <w:sz w:val="21"/>
                <w:szCs w:val="21"/>
              </w:rPr>
              <w:t>燃机厂房内设备到货后</w:t>
            </w:r>
            <w:r>
              <w:rPr>
                <w:rFonts w:hint="eastAsia"/>
                <w:sz w:val="21"/>
                <w:szCs w:val="21"/>
              </w:rPr>
              <w:t>未及时就位，导致用地增加，扣0.5分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FE82A">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A4649">
            <w:pPr>
              <w:jc w:val="left"/>
              <w:textAlignment w:val="center"/>
              <w:rPr>
                <w:rFonts w:hint="eastAsia" w:cs="宋体"/>
                <w:kern w:val="0"/>
                <w:sz w:val="21"/>
                <w:szCs w:val="21"/>
                <w:lang w:bidi="ar"/>
              </w:rPr>
            </w:pPr>
          </w:p>
        </w:tc>
      </w:tr>
      <w:tr w14:paraId="184B18DD">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C6723">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D9C21">
            <w:pPr>
              <w:jc w:val="left"/>
              <w:textAlignment w:val="center"/>
              <w:rPr>
                <w:rFonts w:hint="eastAsia" w:cs="宋体"/>
                <w:kern w:val="0"/>
                <w:sz w:val="21"/>
                <w:szCs w:val="21"/>
                <w:lang w:bidi="ar"/>
              </w:rPr>
            </w:pPr>
            <w:r>
              <w:rPr>
                <w:rFonts w:hint="eastAsia" w:cs="宋体"/>
                <w:kern w:val="0"/>
                <w:sz w:val="21"/>
                <w:szCs w:val="21"/>
                <w:lang w:bidi="ar"/>
              </w:rPr>
              <w:t>垃圾焚烧发电工程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B85EA">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D395F">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EE9C5">
            <w:pPr>
              <w:jc w:val="left"/>
              <w:textAlignment w:val="center"/>
              <w:rPr>
                <w:rFonts w:hint="eastAsia" w:cs="宋体"/>
                <w:kern w:val="0"/>
                <w:sz w:val="21"/>
                <w:szCs w:val="21"/>
                <w:lang w:bidi="ar"/>
              </w:rPr>
            </w:pPr>
          </w:p>
        </w:tc>
      </w:tr>
      <w:tr w14:paraId="69E3E09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59826">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AB6AF">
            <w:pPr>
              <w:jc w:val="left"/>
              <w:textAlignment w:val="center"/>
              <w:rPr>
                <w:rFonts w:hint="eastAsia" w:cs="宋体"/>
                <w:kern w:val="0"/>
                <w:sz w:val="21"/>
                <w:szCs w:val="21"/>
                <w:lang w:bidi="ar"/>
              </w:rPr>
            </w:pPr>
            <w:r>
              <w:rPr>
                <w:rFonts w:hint="eastAsia"/>
                <w:sz w:val="21"/>
                <w:szCs w:val="21"/>
              </w:rPr>
              <w:t>执行燃煤发电工程</w:t>
            </w:r>
            <w:r>
              <w:rPr>
                <w:sz w:val="21"/>
                <w:szCs w:val="21"/>
              </w:rPr>
              <w:t>2）、3）、4）条。</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F18FC">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E6B57">
            <w:pPr>
              <w:jc w:val="center"/>
              <w:textAlignment w:val="center"/>
              <w:rPr>
                <w:rFonts w:hint="eastAsia" w:cs="宋体"/>
                <w:kern w:val="0"/>
                <w:sz w:val="21"/>
                <w:szCs w:val="21"/>
                <w:lang w:bidi="ar"/>
              </w:rPr>
            </w:pPr>
            <w:r>
              <w:rPr>
                <w:rFonts w:hint="eastAsia" w:cs="宋体"/>
                <w:kern w:val="0"/>
                <w:sz w:val="21"/>
                <w:szCs w:val="21"/>
                <w:lang w:bidi="ar"/>
              </w:rPr>
              <w:t>1.5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8C2BF">
            <w:pPr>
              <w:jc w:val="left"/>
              <w:textAlignment w:val="center"/>
              <w:rPr>
                <w:rFonts w:hint="eastAsia" w:cs="宋体"/>
                <w:kern w:val="0"/>
                <w:sz w:val="21"/>
                <w:szCs w:val="21"/>
                <w:lang w:bidi="ar"/>
              </w:rPr>
            </w:pPr>
          </w:p>
        </w:tc>
      </w:tr>
      <w:tr w14:paraId="16ADC232">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B09F1">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958A4">
            <w:pPr>
              <w:jc w:val="left"/>
              <w:textAlignment w:val="center"/>
              <w:rPr>
                <w:rFonts w:hint="eastAsia" w:cs="宋体"/>
                <w:kern w:val="0"/>
                <w:sz w:val="21"/>
                <w:szCs w:val="21"/>
                <w:lang w:bidi="ar"/>
              </w:rPr>
            </w:pPr>
            <w:r>
              <w:rPr>
                <w:sz w:val="21"/>
                <w:szCs w:val="21"/>
              </w:rPr>
              <w:t>合理安排焚烧炉、余热锅炉、汽轮机、发电机等设备到货时间，避免施工高峰期交叉作业。</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A493E">
            <w:pPr>
              <w:jc w:val="left"/>
              <w:textAlignment w:val="center"/>
              <w:rPr>
                <w:rFonts w:hint="eastAsia" w:cs="宋体"/>
                <w:kern w:val="0"/>
                <w:sz w:val="21"/>
                <w:szCs w:val="21"/>
                <w:lang w:bidi="ar"/>
              </w:rPr>
            </w:pPr>
            <w:r>
              <w:rPr>
                <w:sz w:val="21"/>
                <w:szCs w:val="21"/>
              </w:rPr>
              <w:t>焚烧炉、余热锅炉、汽轮机、发电机等设备到货时间</w:t>
            </w:r>
            <w:r>
              <w:rPr>
                <w:rFonts w:hint="eastAsia"/>
                <w:sz w:val="21"/>
                <w:szCs w:val="21"/>
              </w:rPr>
              <w:t>安排不合理，导致用地增加，扣0.5分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8BC2B">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7A625">
            <w:pPr>
              <w:jc w:val="left"/>
              <w:textAlignment w:val="center"/>
              <w:rPr>
                <w:rFonts w:hint="eastAsia" w:cs="宋体"/>
                <w:kern w:val="0"/>
                <w:sz w:val="21"/>
                <w:szCs w:val="21"/>
                <w:lang w:bidi="ar"/>
              </w:rPr>
            </w:pPr>
          </w:p>
        </w:tc>
      </w:tr>
      <w:tr w14:paraId="46C9EED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FA93F">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C8863">
            <w:pPr>
              <w:jc w:val="left"/>
              <w:textAlignment w:val="center"/>
              <w:rPr>
                <w:rFonts w:hint="eastAsia" w:cs="宋体"/>
                <w:kern w:val="0"/>
                <w:sz w:val="21"/>
                <w:szCs w:val="21"/>
                <w:lang w:bidi="ar"/>
              </w:rPr>
            </w:pPr>
            <w:r>
              <w:rPr>
                <w:rFonts w:hint="eastAsia" w:cs="宋体"/>
                <w:kern w:val="0"/>
                <w:sz w:val="21"/>
                <w:szCs w:val="21"/>
                <w:lang w:bidi="ar"/>
              </w:rPr>
              <w:t>生物质发电工程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92824">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5AF52">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37FC7">
            <w:pPr>
              <w:jc w:val="left"/>
              <w:textAlignment w:val="center"/>
              <w:rPr>
                <w:rFonts w:hint="eastAsia" w:cs="宋体"/>
                <w:kern w:val="0"/>
                <w:sz w:val="21"/>
                <w:szCs w:val="21"/>
                <w:lang w:bidi="ar"/>
              </w:rPr>
            </w:pPr>
          </w:p>
        </w:tc>
      </w:tr>
      <w:tr w14:paraId="7469A02D">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C1D52">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DB89E">
            <w:pPr>
              <w:jc w:val="left"/>
              <w:textAlignment w:val="center"/>
              <w:rPr>
                <w:rFonts w:hint="eastAsia" w:cs="宋体"/>
                <w:kern w:val="0"/>
                <w:sz w:val="21"/>
                <w:szCs w:val="21"/>
                <w:lang w:bidi="ar"/>
              </w:rPr>
            </w:pPr>
            <w:r>
              <w:rPr>
                <w:rFonts w:hint="eastAsia"/>
                <w:sz w:val="21"/>
                <w:szCs w:val="21"/>
              </w:rPr>
              <w:t>执行燃煤发电工程</w:t>
            </w:r>
            <w:r>
              <w:rPr>
                <w:sz w:val="21"/>
                <w:szCs w:val="21"/>
              </w:rPr>
              <w:t>2）、3）、4）条。</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05977">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522CB">
            <w:pPr>
              <w:jc w:val="center"/>
              <w:textAlignment w:val="center"/>
              <w:rPr>
                <w:rFonts w:hint="eastAsia" w:cs="宋体"/>
                <w:kern w:val="0"/>
                <w:sz w:val="21"/>
                <w:szCs w:val="21"/>
                <w:lang w:bidi="ar"/>
              </w:rPr>
            </w:pPr>
            <w:r>
              <w:rPr>
                <w:rFonts w:hint="eastAsia" w:cs="宋体"/>
                <w:kern w:val="0"/>
                <w:sz w:val="21"/>
                <w:szCs w:val="21"/>
                <w:lang w:bidi="ar"/>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48331">
            <w:pPr>
              <w:jc w:val="left"/>
              <w:textAlignment w:val="center"/>
              <w:rPr>
                <w:rFonts w:hint="eastAsia" w:cs="宋体"/>
                <w:kern w:val="0"/>
                <w:sz w:val="21"/>
                <w:szCs w:val="21"/>
                <w:lang w:bidi="ar"/>
              </w:rPr>
            </w:pPr>
          </w:p>
        </w:tc>
      </w:tr>
      <w:tr w14:paraId="57DD3B97">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2D317">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8CCD5">
            <w:pPr>
              <w:jc w:val="left"/>
              <w:textAlignment w:val="center"/>
              <w:rPr>
                <w:rFonts w:hint="eastAsia" w:cs="宋体"/>
                <w:kern w:val="0"/>
                <w:sz w:val="21"/>
                <w:szCs w:val="21"/>
                <w:lang w:bidi="ar"/>
              </w:rPr>
            </w:pPr>
            <w:r>
              <w:rPr>
                <w:sz w:val="21"/>
                <w:szCs w:val="21"/>
              </w:rPr>
              <w:t>合理安排焚烧炉、余热锅炉、汽轮机、发电机等设备到货时间，避免施工高峰期交叉作业。</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6D90D">
            <w:pPr>
              <w:jc w:val="left"/>
              <w:textAlignment w:val="center"/>
              <w:rPr>
                <w:rFonts w:hint="eastAsia" w:cs="宋体"/>
                <w:kern w:val="0"/>
                <w:sz w:val="21"/>
                <w:szCs w:val="21"/>
                <w:lang w:bidi="ar"/>
              </w:rPr>
            </w:pPr>
            <w:r>
              <w:rPr>
                <w:sz w:val="21"/>
                <w:szCs w:val="21"/>
              </w:rPr>
              <w:t>焚烧炉、余热锅炉、汽轮机、发电机等设备到货时间</w:t>
            </w:r>
            <w:r>
              <w:rPr>
                <w:rFonts w:hint="eastAsia"/>
                <w:sz w:val="21"/>
                <w:szCs w:val="21"/>
              </w:rPr>
              <w:t>安排不合理，导致用地增加，扣0.5分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1A11C">
            <w:pPr>
              <w:jc w:val="center"/>
              <w:textAlignment w:val="center"/>
              <w:rPr>
                <w:rFonts w:hint="eastAsia" w:cs="宋体"/>
                <w:kern w:val="0"/>
                <w:sz w:val="21"/>
                <w:szCs w:val="21"/>
                <w:lang w:bidi="ar"/>
              </w:rPr>
            </w:pPr>
            <w:r>
              <w:rPr>
                <w:rFonts w:hint="eastAsia" w:cs="宋体"/>
                <w:kern w:val="0"/>
                <w:sz w:val="21"/>
                <w:szCs w:val="21"/>
                <w:lang w:bidi="ar"/>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EA3C3">
            <w:pPr>
              <w:jc w:val="left"/>
              <w:textAlignment w:val="center"/>
              <w:rPr>
                <w:rFonts w:hint="eastAsia" w:cs="宋体"/>
                <w:kern w:val="0"/>
                <w:sz w:val="21"/>
                <w:szCs w:val="21"/>
                <w:lang w:bidi="ar"/>
              </w:rPr>
            </w:pPr>
          </w:p>
        </w:tc>
      </w:tr>
      <w:tr w14:paraId="18757D3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40232">
            <w:pPr>
              <w:jc w:val="center"/>
              <w:textAlignment w:val="center"/>
              <w:rPr>
                <w:rFonts w:hint="eastAsia" w:cs="宋体"/>
                <w:kern w:val="0"/>
                <w:sz w:val="21"/>
                <w:szCs w:val="21"/>
                <w:lang w:bidi="ar"/>
              </w:rPr>
            </w:pPr>
            <w:r>
              <w:rPr>
                <w:rFonts w:hint="eastAsia" w:cs="宋体"/>
                <w:kern w:val="0"/>
                <w:sz w:val="21"/>
                <w:szCs w:val="21"/>
                <w:lang w:bidi="ar"/>
              </w:rPr>
              <w:t xml:space="preserve">6.3.31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5190D">
            <w:pPr>
              <w:jc w:val="left"/>
              <w:textAlignment w:val="center"/>
              <w:rPr>
                <w:rFonts w:hint="eastAsia" w:cs="宋体"/>
                <w:kern w:val="0"/>
                <w:sz w:val="21"/>
                <w:szCs w:val="21"/>
                <w:lang w:bidi="ar"/>
              </w:rPr>
            </w:pPr>
            <w:r>
              <w:rPr>
                <w:rFonts w:hint="eastAsia" w:cs="宋体"/>
                <w:kern w:val="0"/>
                <w:sz w:val="21"/>
                <w:szCs w:val="21"/>
                <w:lang w:bidi="ar"/>
              </w:rPr>
              <w:t>水力发电（含抽水蓄能）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EB5E0">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44E61">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FD0AE">
            <w:pPr>
              <w:jc w:val="left"/>
              <w:textAlignment w:val="center"/>
              <w:rPr>
                <w:rFonts w:hint="eastAsia" w:cs="宋体"/>
                <w:kern w:val="0"/>
                <w:sz w:val="21"/>
                <w:szCs w:val="21"/>
                <w:lang w:bidi="ar"/>
              </w:rPr>
            </w:pPr>
          </w:p>
        </w:tc>
      </w:tr>
      <w:tr w14:paraId="32D7752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0ED22">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628DD">
            <w:pPr>
              <w:jc w:val="left"/>
              <w:textAlignment w:val="center"/>
              <w:rPr>
                <w:rFonts w:hint="eastAsia" w:cs="宋体"/>
                <w:kern w:val="0"/>
                <w:sz w:val="21"/>
                <w:szCs w:val="21"/>
                <w:lang w:bidi="ar"/>
              </w:rPr>
            </w:pPr>
            <w:r>
              <w:rPr>
                <w:rFonts w:hint="eastAsia" w:cs="宋体"/>
                <w:bCs/>
                <w:kern w:val="0"/>
                <w:sz w:val="21"/>
                <w:szCs w:val="21"/>
                <w:lang w:bidi="ar"/>
              </w:rPr>
              <w:t>办公室、生活区宿舍宜采用永临结合方式，有效节约用地面积。</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4E7A7555">
            <w:pPr>
              <w:jc w:val="left"/>
              <w:rPr>
                <w:rFonts w:hint="eastAsia"/>
                <w:sz w:val="21"/>
                <w:szCs w:val="21"/>
              </w:rPr>
            </w:pPr>
            <w:r>
              <w:rPr>
                <w:rFonts w:hint="eastAsia"/>
                <w:sz w:val="21"/>
                <w:szCs w:val="21"/>
              </w:rPr>
              <w:t>根据现场实际情况按照标准分乘以相应系数进行评分：</w:t>
            </w:r>
          </w:p>
          <w:p w14:paraId="4AF42FEB">
            <w:pPr>
              <w:jc w:val="left"/>
              <w:rPr>
                <w:rFonts w:hint="eastAsia"/>
                <w:sz w:val="21"/>
                <w:szCs w:val="21"/>
              </w:rPr>
            </w:pPr>
            <w:r>
              <w:rPr>
                <w:rFonts w:hint="eastAsia"/>
                <w:sz w:val="21"/>
                <w:szCs w:val="21"/>
              </w:rPr>
              <w:t>1、措施到位，满足评价指标要求系数为1；</w:t>
            </w:r>
          </w:p>
          <w:p w14:paraId="14DF35BF">
            <w:pPr>
              <w:jc w:val="left"/>
              <w:rPr>
                <w:rFonts w:hint="eastAsia" w:cs="宋体"/>
                <w:sz w:val="21"/>
                <w:szCs w:val="21"/>
              </w:rPr>
            </w:pPr>
            <w:r>
              <w:rPr>
                <w:rFonts w:hint="eastAsia"/>
                <w:sz w:val="21"/>
                <w:szCs w:val="21"/>
              </w:rPr>
              <w:t>2、措施到位，基本满足评价指标要求系数按照0.5~0.9酌情选取；</w:t>
            </w:r>
          </w:p>
          <w:p w14:paraId="521D9F07">
            <w:pPr>
              <w:jc w:val="left"/>
              <w:textAlignment w:val="center"/>
              <w:rPr>
                <w:rFonts w:hint="eastAsia" w:cs="宋体"/>
                <w:kern w:val="0"/>
                <w:sz w:val="21"/>
                <w:szCs w:val="21"/>
                <w:lang w:bidi="ar"/>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AA3B0">
            <w:pPr>
              <w:jc w:val="center"/>
              <w:textAlignment w:val="center"/>
              <w:rPr>
                <w:rFonts w:hint="eastAsia" w:cs="宋体"/>
                <w:kern w:val="0"/>
                <w:sz w:val="21"/>
                <w:szCs w:val="21"/>
                <w:lang w:bidi="ar"/>
              </w:rPr>
            </w:pPr>
            <w:r>
              <w:rPr>
                <w:rFonts w:hint="eastAsia" w:cs="宋体"/>
                <w:bCs/>
                <w:kern w:val="0"/>
                <w:sz w:val="21"/>
                <w:szCs w:val="21"/>
                <w:lang w:bidi="ar"/>
              </w:rPr>
              <w:t>0</w:t>
            </w:r>
            <w:r>
              <w:rPr>
                <w:rFonts w:cs="宋体"/>
                <w:bCs/>
                <w:kern w:val="0"/>
                <w:sz w:val="21"/>
                <w:szCs w:val="21"/>
                <w:lang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67019">
            <w:pPr>
              <w:jc w:val="left"/>
              <w:textAlignment w:val="center"/>
              <w:rPr>
                <w:rFonts w:hint="eastAsia" w:cs="宋体"/>
                <w:kern w:val="0"/>
                <w:sz w:val="21"/>
                <w:szCs w:val="21"/>
                <w:lang w:bidi="ar"/>
              </w:rPr>
            </w:pPr>
          </w:p>
        </w:tc>
      </w:tr>
      <w:tr w14:paraId="72EE0553">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54B2F">
            <w:pPr>
              <w:jc w:val="center"/>
              <w:textAlignment w:val="center"/>
              <w:rPr>
                <w:rFonts w:hint="eastAsia" w:cs="宋体"/>
                <w:kern w:val="0"/>
                <w:sz w:val="21"/>
                <w:szCs w:val="21"/>
                <w:lang w:bidi="ar"/>
              </w:rPr>
            </w:pPr>
            <w:r>
              <w:rPr>
                <w:rFonts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1F588">
            <w:pPr>
              <w:jc w:val="left"/>
              <w:textAlignment w:val="center"/>
              <w:rPr>
                <w:rFonts w:hint="eastAsia" w:cs="宋体"/>
                <w:kern w:val="0"/>
                <w:sz w:val="21"/>
                <w:szCs w:val="21"/>
                <w:lang w:bidi="ar"/>
              </w:rPr>
            </w:pPr>
            <w:r>
              <w:rPr>
                <w:rFonts w:hint="eastAsia" w:cs="宋体"/>
                <w:bCs/>
                <w:kern w:val="0"/>
                <w:sz w:val="21"/>
                <w:szCs w:val="21"/>
                <w:lang w:bidi="ar"/>
              </w:rPr>
              <w:t>施工组织设计先进合理，降低高峰期管理人员和作业人员数量，合理规划营地规模，节约用地。</w:t>
            </w:r>
          </w:p>
        </w:tc>
        <w:tc>
          <w:tcPr>
            <w:tcW w:w="4111" w:type="dxa"/>
            <w:vMerge w:val="continue"/>
            <w:tcBorders>
              <w:left w:val="single" w:color="000000" w:sz="4" w:space="0"/>
              <w:right w:val="single" w:color="000000" w:sz="4" w:space="0"/>
            </w:tcBorders>
            <w:shd w:val="clear" w:color="auto" w:fill="auto"/>
            <w:vAlign w:val="center"/>
          </w:tcPr>
          <w:p w14:paraId="380549BC">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A7748">
            <w:pPr>
              <w:jc w:val="center"/>
              <w:textAlignment w:val="center"/>
              <w:rPr>
                <w:rFonts w:hint="eastAsia" w:cs="宋体"/>
                <w:kern w:val="0"/>
                <w:sz w:val="21"/>
                <w:szCs w:val="21"/>
                <w:lang w:bidi="ar"/>
              </w:rPr>
            </w:pPr>
            <w:r>
              <w:rPr>
                <w:rFonts w:hint="eastAsia" w:cs="宋体"/>
                <w:bCs/>
                <w:kern w:val="0"/>
                <w:sz w:val="21"/>
                <w:szCs w:val="21"/>
                <w:lang w:bidi="ar"/>
              </w:rPr>
              <w:t>0</w:t>
            </w:r>
            <w:r>
              <w:rPr>
                <w:rFonts w:cs="宋体"/>
                <w:bCs/>
                <w:kern w:val="0"/>
                <w:sz w:val="21"/>
                <w:szCs w:val="21"/>
                <w:lang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ED1A8">
            <w:pPr>
              <w:jc w:val="left"/>
              <w:textAlignment w:val="center"/>
              <w:rPr>
                <w:rFonts w:hint="eastAsia" w:cs="宋体"/>
                <w:kern w:val="0"/>
                <w:sz w:val="21"/>
                <w:szCs w:val="21"/>
                <w:lang w:bidi="ar"/>
              </w:rPr>
            </w:pPr>
          </w:p>
        </w:tc>
      </w:tr>
      <w:tr w14:paraId="0B23781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F458D">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C0A90">
            <w:pPr>
              <w:jc w:val="left"/>
              <w:textAlignment w:val="center"/>
              <w:rPr>
                <w:rFonts w:hint="eastAsia" w:cs="宋体"/>
                <w:kern w:val="0"/>
                <w:sz w:val="21"/>
                <w:szCs w:val="21"/>
                <w:lang w:bidi="ar"/>
              </w:rPr>
            </w:pPr>
            <w:r>
              <w:rPr>
                <w:rFonts w:hint="eastAsia" w:cs="宋体"/>
                <w:bCs/>
                <w:kern w:val="0"/>
                <w:sz w:val="21"/>
                <w:szCs w:val="21"/>
                <w:lang w:bidi="ar"/>
              </w:rPr>
              <w:t>合理利用土建、金结机电等各专业施工高峰和设备到货时间差，进行设备材料存放，提高场地循环利用率。</w:t>
            </w:r>
          </w:p>
        </w:tc>
        <w:tc>
          <w:tcPr>
            <w:tcW w:w="4111" w:type="dxa"/>
            <w:vMerge w:val="continue"/>
            <w:tcBorders>
              <w:left w:val="single" w:color="000000" w:sz="4" w:space="0"/>
              <w:right w:val="single" w:color="000000" w:sz="4" w:space="0"/>
            </w:tcBorders>
            <w:shd w:val="clear" w:color="auto" w:fill="auto"/>
            <w:vAlign w:val="center"/>
          </w:tcPr>
          <w:p w14:paraId="709E1611">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18FC5">
            <w:pPr>
              <w:jc w:val="center"/>
              <w:textAlignment w:val="center"/>
              <w:rPr>
                <w:rFonts w:hint="eastAsia" w:cs="宋体"/>
                <w:kern w:val="0"/>
                <w:sz w:val="21"/>
                <w:szCs w:val="21"/>
                <w:lang w:bidi="ar"/>
              </w:rPr>
            </w:pPr>
            <w:r>
              <w:rPr>
                <w:rFonts w:hint="eastAsia" w:cs="宋体"/>
                <w:bCs/>
                <w:kern w:val="0"/>
                <w:sz w:val="21"/>
                <w:szCs w:val="21"/>
                <w:lang w:bidi="ar"/>
              </w:rPr>
              <w:t>0</w:t>
            </w:r>
            <w:r>
              <w:rPr>
                <w:rFonts w:cs="宋体"/>
                <w:bCs/>
                <w:kern w:val="0"/>
                <w:sz w:val="21"/>
                <w:szCs w:val="21"/>
                <w:lang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573AC">
            <w:pPr>
              <w:jc w:val="left"/>
              <w:textAlignment w:val="center"/>
              <w:rPr>
                <w:rFonts w:hint="eastAsia" w:cs="宋体"/>
                <w:kern w:val="0"/>
                <w:sz w:val="21"/>
                <w:szCs w:val="21"/>
                <w:lang w:bidi="ar"/>
              </w:rPr>
            </w:pPr>
          </w:p>
        </w:tc>
      </w:tr>
      <w:tr w14:paraId="0A82B1F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38FDA">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29B8C">
            <w:pPr>
              <w:jc w:val="left"/>
              <w:textAlignment w:val="center"/>
              <w:rPr>
                <w:rFonts w:hint="eastAsia" w:cs="宋体"/>
                <w:kern w:val="0"/>
                <w:sz w:val="21"/>
                <w:szCs w:val="21"/>
                <w:lang w:bidi="ar"/>
              </w:rPr>
            </w:pPr>
            <w:r>
              <w:rPr>
                <w:rFonts w:hint="eastAsia" w:cs="宋体"/>
                <w:bCs/>
                <w:kern w:val="0"/>
                <w:sz w:val="21"/>
                <w:szCs w:val="21"/>
                <w:lang w:bidi="ar"/>
              </w:rPr>
              <w:t>临时建筑物使用结束后及时拆除，临时用地使用结束后进行土地复垦、绿化。</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26C645A5">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A811E">
            <w:pPr>
              <w:jc w:val="center"/>
              <w:textAlignment w:val="center"/>
              <w:rPr>
                <w:rFonts w:hint="eastAsia" w:cs="宋体"/>
                <w:kern w:val="0"/>
                <w:sz w:val="21"/>
                <w:szCs w:val="21"/>
                <w:lang w:bidi="ar"/>
              </w:rPr>
            </w:pPr>
            <w:r>
              <w:rPr>
                <w:rFonts w:hint="eastAsia" w:cs="宋体"/>
                <w:bCs/>
                <w:kern w:val="0"/>
                <w:sz w:val="21"/>
                <w:szCs w:val="21"/>
                <w:lang w:bidi="ar"/>
              </w:rPr>
              <w:t>0</w:t>
            </w:r>
            <w:r>
              <w:rPr>
                <w:rFonts w:cs="宋体"/>
                <w:bCs/>
                <w:kern w:val="0"/>
                <w:sz w:val="21"/>
                <w:szCs w:val="21"/>
                <w:lang w:bidi="ar"/>
              </w:rPr>
              <w:t>.5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81BE3">
            <w:pPr>
              <w:jc w:val="left"/>
              <w:textAlignment w:val="center"/>
              <w:rPr>
                <w:rFonts w:hint="eastAsia" w:cs="宋体"/>
                <w:kern w:val="0"/>
                <w:sz w:val="21"/>
                <w:szCs w:val="21"/>
                <w:lang w:bidi="ar"/>
              </w:rPr>
            </w:pPr>
          </w:p>
        </w:tc>
      </w:tr>
      <w:tr w14:paraId="5FF4BE4F">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192FD">
            <w:pPr>
              <w:jc w:val="center"/>
              <w:textAlignment w:val="center"/>
              <w:rPr>
                <w:rFonts w:hint="eastAsia" w:cs="宋体"/>
                <w:kern w:val="0"/>
                <w:sz w:val="21"/>
                <w:szCs w:val="21"/>
                <w:lang w:bidi="ar"/>
              </w:rPr>
            </w:pPr>
            <w:r>
              <w:rPr>
                <w:rFonts w:hint="eastAsia" w:cs="宋体"/>
                <w:kern w:val="0"/>
                <w:sz w:val="21"/>
                <w:szCs w:val="21"/>
                <w:lang w:bidi="ar"/>
              </w:rPr>
              <w:t xml:space="preserve">6.3.32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0DA57">
            <w:pPr>
              <w:jc w:val="left"/>
              <w:textAlignment w:val="center"/>
              <w:rPr>
                <w:rFonts w:hint="eastAsia" w:cs="宋体"/>
                <w:kern w:val="0"/>
                <w:sz w:val="21"/>
                <w:szCs w:val="21"/>
                <w:lang w:bidi="ar"/>
              </w:rPr>
            </w:pPr>
            <w:r>
              <w:rPr>
                <w:rFonts w:hint="eastAsia" w:cs="宋体"/>
                <w:kern w:val="0"/>
                <w:sz w:val="21"/>
                <w:szCs w:val="21"/>
                <w:lang w:bidi="ar"/>
              </w:rPr>
              <w:t>风力发电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4FAB1">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25642">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3E27E">
            <w:pPr>
              <w:jc w:val="center"/>
              <w:rPr>
                <w:rFonts w:hint="eastAsia" w:cs="宋体"/>
                <w:sz w:val="21"/>
                <w:szCs w:val="21"/>
              </w:rPr>
            </w:pPr>
          </w:p>
        </w:tc>
      </w:tr>
      <w:tr w14:paraId="08A7048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5C1ED">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D8A25">
            <w:pPr>
              <w:jc w:val="left"/>
              <w:textAlignment w:val="center"/>
              <w:rPr>
                <w:rFonts w:hint="eastAsia" w:cs="宋体"/>
                <w:kern w:val="0"/>
                <w:sz w:val="21"/>
                <w:szCs w:val="21"/>
                <w:lang w:bidi="ar"/>
              </w:rPr>
            </w:pPr>
            <w:r>
              <w:rPr>
                <w:rFonts w:hint="eastAsia" w:cs="宋体"/>
                <w:kern w:val="0"/>
                <w:sz w:val="21"/>
                <w:szCs w:val="21"/>
                <w:lang w:bidi="ar"/>
              </w:rPr>
              <w:t>陆上风电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9A09B">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33B1E">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FBB74">
            <w:pPr>
              <w:jc w:val="center"/>
              <w:rPr>
                <w:rFonts w:hint="eastAsia" w:cs="宋体"/>
                <w:sz w:val="21"/>
                <w:szCs w:val="21"/>
              </w:rPr>
            </w:pPr>
          </w:p>
        </w:tc>
      </w:tr>
      <w:tr w14:paraId="47FF24A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61334">
            <w:pPr>
              <w:jc w:val="center"/>
              <w:textAlignment w:val="center"/>
              <w:rPr>
                <w:rFonts w:hint="eastAsia" w:cs="宋体"/>
                <w:kern w:val="0"/>
                <w:sz w:val="21"/>
                <w:szCs w:val="21"/>
                <w:lang w:bidi="ar"/>
              </w:rPr>
            </w:pPr>
            <w:r>
              <w:rPr>
                <w:rFonts w:hint="eastAsia" w:cs="Times New Roman"/>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B690B">
            <w:pPr>
              <w:adjustRightInd w:val="0"/>
              <w:snapToGrid w:val="0"/>
              <w:rPr>
                <w:rFonts w:hint="eastAsia" w:cs="Times New Roman"/>
                <w:sz w:val="21"/>
                <w:szCs w:val="21"/>
              </w:rPr>
            </w:pPr>
            <w:r>
              <w:rPr>
                <w:rFonts w:hint="eastAsia" w:cs="Times New Roman"/>
                <w:sz w:val="21"/>
                <w:szCs w:val="21"/>
              </w:rPr>
              <w:t>风机基础开挖前对深基坑施工方案进行论证优化，减少土方开挖和回填量，最大限度地减少土地征用面积。</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2FF9727C">
            <w:pPr>
              <w:jc w:val="left"/>
              <w:rPr>
                <w:rFonts w:hint="eastAsia"/>
                <w:sz w:val="21"/>
                <w:szCs w:val="21"/>
              </w:rPr>
            </w:pPr>
            <w:r>
              <w:rPr>
                <w:rFonts w:hint="eastAsia"/>
                <w:sz w:val="21"/>
                <w:szCs w:val="21"/>
              </w:rPr>
              <w:t>根据现场实际情况按照标准分乘以相应系数进行评分：</w:t>
            </w:r>
          </w:p>
          <w:p w14:paraId="0FA9CE53">
            <w:pPr>
              <w:jc w:val="left"/>
              <w:rPr>
                <w:rFonts w:hint="eastAsia"/>
                <w:sz w:val="21"/>
                <w:szCs w:val="21"/>
              </w:rPr>
            </w:pPr>
            <w:r>
              <w:rPr>
                <w:rFonts w:hint="eastAsia"/>
                <w:sz w:val="21"/>
                <w:szCs w:val="21"/>
              </w:rPr>
              <w:t>1、措施到位，满足评价指标要求系数为1；</w:t>
            </w:r>
          </w:p>
          <w:p w14:paraId="005D0060">
            <w:pPr>
              <w:jc w:val="left"/>
              <w:rPr>
                <w:rFonts w:hint="eastAsia" w:cs="宋体"/>
                <w:sz w:val="21"/>
                <w:szCs w:val="21"/>
              </w:rPr>
            </w:pPr>
            <w:r>
              <w:rPr>
                <w:rFonts w:hint="eastAsia"/>
                <w:sz w:val="21"/>
                <w:szCs w:val="21"/>
              </w:rPr>
              <w:t>2、措施到位，基本满足评价指标要求系数按照0.5~0.9酌情选取；</w:t>
            </w:r>
          </w:p>
          <w:p w14:paraId="0AE41B86">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0A371">
            <w:pPr>
              <w:jc w:val="center"/>
              <w:rPr>
                <w:rFonts w:hint="eastAsia" w:cs="宋体"/>
                <w:sz w:val="21"/>
                <w:szCs w:val="21"/>
              </w:rPr>
            </w:pPr>
            <w:r>
              <w:rPr>
                <w:rFonts w:hint="eastAsia" w:cs="宋体"/>
                <w:sz w:val="21"/>
                <w:szCs w:val="21"/>
              </w:rPr>
              <w:t>0.75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B245E">
            <w:pPr>
              <w:jc w:val="center"/>
              <w:rPr>
                <w:rFonts w:hint="eastAsia" w:cs="宋体"/>
                <w:sz w:val="21"/>
                <w:szCs w:val="21"/>
              </w:rPr>
            </w:pPr>
          </w:p>
        </w:tc>
      </w:tr>
      <w:tr w14:paraId="7D268233">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E1A46">
            <w:pPr>
              <w:jc w:val="center"/>
              <w:textAlignment w:val="center"/>
              <w:rPr>
                <w:rFonts w:hint="eastAsia" w:cs="宋体"/>
                <w:kern w:val="0"/>
                <w:sz w:val="21"/>
                <w:szCs w:val="21"/>
                <w:lang w:bidi="ar"/>
              </w:rPr>
            </w:pPr>
            <w:r>
              <w:rPr>
                <w:rFonts w:hint="eastAsia" w:cs="Times New Roman"/>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2AFB7">
            <w:pPr>
              <w:adjustRightInd w:val="0"/>
              <w:snapToGrid w:val="0"/>
              <w:rPr>
                <w:rFonts w:hint="eastAsia" w:cs="Times New Roman"/>
                <w:sz w:val="21"/>
                <w:szCs w:val="21"/>
              </w:rPr>
            </w:pPr>
            <w:r>
              <w:rPr>
                <w:rFonts w:hint="eastAsia" w:cs="Times New Roman"/>
                <w:sz w:val="21"/>
                <w:szCs w:val="21"/>
              </w:rPr>
              <w:t>合理规划风场施工检修道路，遵循就近原则，减少道路长度、减少运输和检修的行驶距离，充分利用现有道路。</w:t>
            </w:r>
          </w:p>
        </w:tc>
        <w:tc>
          <w:tcPr>
            <w:tcW w:w="4111" w:type="dxa"/>
            <w:vMerge w:val="continue"/>
            <w:tcBorders>
              <w:left w:val="single" w:color="000000" w:sz="4" w:space="0"/>
              <w:right w:val="single" w:color="000000" w:sz="4" w:space="0"/>
            </w:tcBorders>
            <w:shd w:val="clear" w:color="auto" w:fill="auto"/>
            <w:vAlign w:val="center"/>
          </w:tcPr>
          <w:p w14:paraId="2B0BF9D7">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C7856">
            <w:pPr>
              <w:jc w:val="center"/>
              <w:rPr>
                <w:rFonts w:hint="eastAsia" w:cs="宋体"/>
                <w:sz w:val="21"/>
                <w:szCs w:val="21"/>
              </w:rPr>
            </w:pPr>
            <w:r>
              <w:rPr>
                <w:rFonts w:hint="eastAsia" w:cs="宋体"/>
                <w:sz w:val="21"/>
                <w:szCs w:val="21"/>
              </w:rPr>
              <w:t>0.75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13CCF">
            <w:pPr>
              <w:jc w:val="center"/>
              <w:rPr>
                <w:rFonts w:hint="eastAsia" w:cs="宋体"/>
                <w:sz w:val="21"/>
                <w:szCs w:val="21"/>
              </w:rPr>
            </w:pPr>
          </w:p>
        </w:tc>
      </w:tr>
      <w:tr w14:paraId="23379F6A">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DD6C9">
            <w:pPr>
              <w:jc w:val="center"/>
              <w:textAlignment w:val="center"/>
              <w:rPr>
                <w:rFonts w:hint="eastAsia" w:cs="宋体"/>
                <w:kern w:val="0"/>
                <w:sz w:val="21"/>
                <w:szCs w:val="21"/>
                <w:lang w:bidi="ar"/>
              </w:rPr>
            </w:pPr>
            <w:r>
              <w:rPr>
                <w:rFonts w:hint="eastAsia" w:cs="Times New Roman"/>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5CB64">
            <w:pPr>
              <w:adjustRightInd w:val="0"/>
              <w:snapToGrid w:val="0"/>
              <w:rPr>
                <w:rFonts w:hint="eastAsia" w:cs="Times New Roman"/>
                <w:sz w:val="21"/>
                <w:szCs w:val="21"/>
              </w:rPr>
            </w:pPr>
            <w:r>
              <w:rPr>
                <w:rFonts w:hint="eastAsia" w:cs="Times New Roman"/>
                <w:sz w:val="21"/>
                <w:szCs w:val="21"/>
              </w:rPr>
              <w:t>合理设计风机吊装平台，减少临时占地面积。</w:t>
            </w:r>
          </w:p>
        </w:tc>
        <w:tc>
          <w:tcPr>
            <w:tcW w:w="4111" w:type="dxa"/>
            <w:vMerge w:val="continue"/>
            <w:tcBorders>
              <w:left w:val="single" w:color="000000" w:sz="4" w:space="0"/>
              <w:right w:val="single" w:color="000000" w:sz="4" w:space="0"/>
            </w:tcBorders>
            <w:shd w:val="clear" w:color="auto" w:fill="auto"/>
            <w:vAlign w:val="center"/>
          </w:tcPr>
          <w:p w14:paraId="69588428">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2E1A7">
            <w:pPr>
              <w:jc w:val="center"/>
              <w:rPr>
                <w:rFonts w:hint="eastAsia" w:cs="宋体"/>
                <w:sz w:val="21"/>
                <w:szCs w:val="21"/>
              </w:rPr>
            </w:pPr>
            <w:r>
              <w:rPr>
                <w:rFonts w:hint="eastAsia" w:cs="宋体"/>
                <w:sz w:val="21"/>
                <w:szCs w:val="21"/>
              </w:rPr>
              <w:t>0.75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78574">
            <w:pPr>
              <w:jc w:val="center"/>
              <w:rPr>
                <w:rFonts w:hint="eastAsia" w:cs="宋体"/>
                <w:sz w:val="21"/>
                <w:szCs w:val="21"/>
              </w:rPr>
            </w:pPr>
          </w:p>
        </w:tc>
      </w:tr>
      <w:tr w14:paraId="472362C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B6B0B">
            <w:pPr>
              <w:jc w:val="center"/>
              <w:textAlignment w:val="center"/>
              <w:rPr>
                <w:rFonts w:hint="eastAsia" w:cs="宋体"/>
                <w:kern w:val="0"/>
                <w:sz w:val="21"/>
                <w:szCs w:val="21"/>
                <w:lang w:bidi="ar"/>
              </w:rPr>
            </w:pPr>
            <w:r>
              <w:rPr>
                <w:rFonts w:hint="eastAsia" w:cs="Times New Roman"/>
                <w:sz w:val="21"/>
                <w:szCs w:val="21"/>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64E0E">
            <w:pPr>
              <w:adjustRightInd w:val="0"/>
              <w:snapToGrid w:val="0"/>
              <w:rPr>
                <w:rFonts w:hint="eastAsia" w:cs="Times New Roman"/>
                <w:sz w:val="21"/>
                <w:szCs w:val="21"/>
              </w:rPr>
            </w:pPr>
            <w:r>
              <w:rPr>
                <w:rFonts w:hint="eastAsia" w:cs="Times New Roman"/>
                <w:sz w:val="21"/>
                <w:szCs w:val="21"/>
              </w:rPr>
              <w:t>合理计划风机塔筒、机舱、叶片的进场时间，宜从制造厂直接运输至吊装工位，减少风机大件设备仓储临时用地。</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0E9D266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65964">
            <w:pPr>
              <w:jc w:val="center"/>
              <w:rPr>
                <w:rFonts w:hint="eastAsia" w:cs="宋体"/>
                <w:sz w:val="21"/>
                <w:szCs w:val="21"/>
              </w:rPr>
            </w:pPr>
            <w:r>
              <w:rPr>
                <w:rFonts w:hint="eastAsia" w:cs="宋体"/>
                <w:sz w:val="21"/>
                <w:szCs w:val="21"/>
              </w:rPr>
              <w:t>0.75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0185C">
            <w:pPr>
              <w:jc w:val="center"/>
              <w:rPr>
                <w:rFonts w:hint="eastAsia" w:cs="宋体"/>
                <w:sz w:val="21"/>
                <w:szCs w:val="21"/>
              </w:rPr>
            </w:pPr>
          </w:p>
        </w:tc>
      </w:tr>
      <w:tr w14:paraId="3A5A511B">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05E15">
            <w:pPr>
              <w:jc w:val="center"/>
              <w:textAlignment w:val="center"/>
              <w:rPr>
                <w:rFonts w:hint="eastAsia" w:cs="Times New Roman"/>
                <w:sz w:val="21"/>
                <w:szCs w:val="21"/>
              </w:rPr>
            </w:pPr>
            <w:r>
              <w:rPr>
                <w:rFonts w:hint="eastAsia" w:cs="Times New Roman"/>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6088C">
            <w:pPr>
              <w:adjustRightInd w:val="0"/>
              <w:snapToGrid w:val="0"/>
              <w:rPr>
                <w:rFonts w:hint="eastAsia" w:cs="Times New Roman"/>
                <w:sz w:val="21"/>
                <w:szCs w:val="21"/>
              </w:rPr>
            </w:pPr>
            <w:r>
              <w:rPr>
                <w:rFonts w:hint="eastAsia" w:cs="Times New Roman"/>
                <w:sz w:val="21"/>
                <w:szCs w:val="21"/>
              </w:rPr>
              <w:t>海上风电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2B02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DE64C">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8C8C1">
            <w:pPr>
              <w:jc w:val="center"/>
              <w:rPr>
                <w:rFonts w:hint="eastAsia" w:cs="宋体"/>
                <w:sz w:val="21"/>
                <w:szCs w:val="21"/>
              </w:rPr>
            </w:pPr>
          </w:p>
        </w:tc>
      </w:tr>
      <w:tr w14:paraId="7848C12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64D1B">
            <w:pPr>
              <w:jc w:val="center"/>
              <w:textAlignment w:val="center"/>
              <w:rPr>
                <w:rFonts w:hint="eastAsia" w:cs="宋体"/>
                <w:kern w:val="0"/>
                <w:sz w:val="21"/>
                <w:szCs w:val="21"/>
                <w:lang w:bidi="ar"/>
              </w:rPr>
            </w:pPr>
            <w:r>
              <w:rPr>
                <w:rFonts w:hint="eastAsia" w:cs="Times New Roman"/>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8DC8C">
            <w:pPr>
              <w:adjustRightInd w:val="0"/>
              <w:snapToGrid w:val="0"/>
              <w:rPr>
                <w:rFonts w:hint="eastAsia" w:cs="Times New Roman"/>
                <w:sz w:val="21"/>
                <w:szCs w:val="21"/>
              </w:rPr>
            </w:pPr>
            <w:r>
              <w:rPr>
                <w:rFonts w:hint="eastAsia" w:cs="Times New Roman"/>
                <w:sz w:val="21"/>
                <w:szCs w:val="21"/>
              </w:rPr>
              <w:t>海上施工现场根据施工进度和计划合理控制现场船舶数量，宜采用多功能船舶，减少临时征海面积。</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3DA1DB99">
            <w:pPr>
              <w:jc w:val="left"/>
              <w:rPr>
                <w:rFonts w:hint="eastAsia"/>
                <w:sz w:val="21"/>
                <w:szCs w:val="21"/>
              </w:rPr>
            </w:pPr>
            <w:r>
              <w:rPr>
                <w:rFonts w:hint="eastAsia"/>
                <w:sz w:val="21"/>
                <w:szCs w:val="21"/>
              </w:rPr>
              <w:t>根据现场实际情况按照标准分乘以相应系数进行评分：</w:t>
            </w:r>
          </w:p>
          <w:p w14:paraId="05725646">
            <w:pPr>
              <w:jc w:val="left"/>
              <w:rPr>
                <w:rFonts w:hint="eastAsia"/>
                <w:sz w:val="21"/>
                <w:szCs w:val="21"/>
              </w:rPr>
            </w:pPr>
            <w:r>
              <w:rPr>
                <w:rFonts w:hint="eastAsia"/>
                <w:sz w:val="21"/>
                <w:szCs w:val="21"/>
              </w:rPr>
              <w:t>1、措施到位，满足评价指标要求系数为1；</w:t>
            </w:r>
          </w:p>
          <w:p w14:paraId="0E647F2B">
            <w:pPr>
              <w:jc w:val="left"/>
              <w:rPr>
                <w:rFonts w:hint="eastAsia" w:cs="宋体"/>
                <w:sz w:val="21"/>
                <w:szCs w:val="21"/>
              </w:rPr>
            </w:pPr>
            <w:r>
              <w:rPr>
                <w:rFonts w:hint="eastAsia"/>
                <w:sz w:val="21"/>
                <w:szCs w:val="21"/>
              </w:rPr>
              <w:t>2、措施到位，基本满足评价指标要求系数按照0.5~0.9酌情选取；</w:t>
            </w:r>
          </w:p>
          <w:p w14:paraId="406F4FE4">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8AB4F">
            <w:pPr>
              <w:jc w:val="center"/>
              <w:rPr>
                <w:rFonts w:hint="eastAsia" w:cs="宋体"/>
                <w:sz w:val="21"/>
                <w:szCs w:val="21"/>
              </w:rPr>
            </w:pPr>
            <w:r>
              <w:rPr>
                <w:rFonts w:hint="eastAsia" w:cs="宋体"/>
                <w:sz w:val="21"/>
                <w:szCs w:val="21"/>
              </w:rPr>
              <w:t>1.5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0A222">
            <w:pPr>
              <w:jc w:val="center"/>
              <w:rPr>
                <w:rFonts w:hint="eastAsia" w:cs="宋体"/>
                <w:sz w:val="21"/>
                <w:szCs w:val="21"/>
              </w:rPr>
            </w:pPr>
          </w:p>
        </w:tc>
      </w:tr>
      <w:tr w14:paraId="0DBA15F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7B87C">
            <w:pPr>
              <w:jc w:val="center"/>
              <w:textAlignment w:val="center"/>
              <w:rPr>
                <w:rFonts w:hint="eastAsia" w:cs="宋体"/>
                <w:kern w:val="0"/>
                <w:sz w:val="21"/>
                <w:szCs w:val="21"/>
                <w:lang w:bidi="ar"/>
              </w:rPr>
            </w:pPr>
            <w:r>
              <w:rPr>
                <w:rFonts w:hint="eastAsia" w:cs="Times New Roman"/>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D3E80">
            <w:pPr>
              <w:adjustRightInd w:val="0"/>
              <w:snapToGrid w:val="0"/>
              <w:rPr>
                <w:rFonts w:hint="eastAsia" w:cs="Times New Roman"/>
                <w:sz w:val="21"/>
                <w:szCs w:val="21"/>
              </w:rPr>
            </w:pPr>
            <w:r>
              <w:rPr>
                <w:rFonts w:hint="eastAsia" w:cs="Times New Roman"/>
                <w:sz w:val="21"/>
                <w:szCs w:val="21"/>
              </w:rPr>
              <w:t>主要设备及施工材料直接运输至施工现场，减少岸上临时设施占地面积。</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42B3529F">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57859">
            <w:pPr>
              <w:jc w:val="center"/>
              <w:rPr>
                <w:rFonts w:hint="eastAsia" w:cs="宋体"/>
                <w:sz w:val="21"/>
                <w:szCs w:val="21"/>
              </w:rPr>
            </w:pPr>
            <w:r>
              <w:rPr>
                <w:rFonts w:hint="eastAsia" w:cs="宋体"/>
                <w:sz w:val="21"/>
                <w:szCs w:val="21"/>
              </w:rPr>
              <w:t>1.5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6EAC9">
            <w:pPr>
              <w:jc w:val="center"/>
              <w:rPr>
                <w:rFonts w:hint="eastAsia" w:cs="宋体"/>
                <w:sz w:val="21"/>
                <w:szCs w:val="21"/>
              </w:rPr>
            </w:pPr>
          </w:p>
        </w:tc>
      </w:tr>
      <w:tr w14:paraId="4E72FFA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A2CC7">
            <w:pPr>
              <w:jc w:val="center"/>
              <w:textAlignment w:val="center"/>
              <w:rPr>
                <w:rFonts w:hint="eastAsia" w:cs="宋体"/>
                <w:kern w:val="0"/>
                <w:sz w:val="21"/>
                <w:szCs w:val="21"/>
                <w:lang w:bidi="ar"/>
              </w:rPr>
            </w:pPr>
            <w:r>
              <w:rPr>
                <w:rFonts w:hint="eastAsia" w:cs="宋体"/>
                <w:kern w:val="0"/>
                <w:sz w:val="21"/>
                <w:szCs w:val="21"/>
                <w:lang w:bidi="ar"/>
              </w:rPr>
              <w:t xml:space="preserve">6.3.33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4AC07">
            <w:pPr>
              <w:jc w:val="left"/>
              <w:rPr>
                <w:rFonts w:hint="eastAsia" w:cs="宋体"/>
                <w:kern w:val="0"/>
                <w:sz w:val="21"/>
                <w:szCs w:val="21"/>
                <w:lang w:bidi="ar"/>
              </w:rPr>
            </w:pPr>
            <w:r>
              <w:rPr>
                <w:rFonts w:hint="eastAsia" w:cs="宋体"/>
                <w:kern w:val="0"/>
                <w:sz w:val="21"/>
                <w:szCs w:val="21"/>
                <w:lang w:bidi="ar"/>
              </w:rPr>
              <w:t>太阳能发电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86B4D">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92BE2">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55ECE">
            <w:pPr>
              <w:jc w:val="left"/>
              <w:textAlignment w:val="center"/>
              <w:rPr>
                <w:rFonts w:hint="eastAsia" w:cs="宋体"/>
                <w:kern w:val="0"/>
                <w:sz w:val="21"/>
                <w:szCs w:val="21"/>
                <w:lang w:bidi="ar"/>
              </w:rPr>
            </w:pPr>
          </w:p>
        </w:tc>
      </w:tr>
      <w:tr w14:paraId="41857AF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62B9E">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41B99">
            <w:pPr>
              <w:jc w:val="left"/>
              <w:rPr>
                <w:rFonts w:hint="eastAsia" w:cs="宋体"/>
                <w:sz w:val="21"/>
                <w:szCs w:val="21"/>
              </w:rPr>
            </w:pPr>
            <w:r>
              <w:rPr>
                <w:rFonts w:hint="eastAsia" w:cs="宋体"/>
                <w:kern w:val="0"/>
                <w:sz w:val="21"/>
                <w:szCs w:val="21"/>
                <w:lang w:bidi="ar"/>
              </w:rPr>
              <w:t>陆上光伏发电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39632">
            <w:pPr>
              <w:jc w:val="left"/>
              <w:textAlignment w:val="center"/>
              <w:rPr>
                <w:rFonts w:hint="eastAsia" w:cs="宋体"/>
                <w:kern w:val="0"/>
                <w:sz w:val="21"/>
                <w:szCs w:val="21"/>
                <w:lang w:bidi="ar"/>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5DF4C">
            <w:pPr>
              <w:jc w:val="center"/>
              <w:textAlignment w:val="center"/>
              <w:rPr>
                <w:rFonts w:hint="eastAsia" w:cs="宋体"/>
                <w:kern w:val="0"/>
                <w:sz w:val="21"/>
                <w:szCs w:val="21"/>
                <w:lang w:bidi="ar"/>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42614">
            <w:pPr>
              <w:jc w:val="left"/>
              <w:textAlignment w:val="center"/>
              <w:rPr>
                <w:rFonts w:hint="eastAsia" w:cs="宋体"/>
                <w:kern w:val="0"/>
                <w:sz w:val="21"/>
                <w:szCs w:val="21"/>
                <w:lang w:bidi="ar"/>
              </w:rPr>
            </w:pPr>
          </w:p>
        </w:tc>
      </w:tr>
      <w:tr w14:paraId="5B539B1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B74A7">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70E78">
            <w:pPr>
              <w:jc w:val="left"/>
              <w:rPr>
                <w:rFonts w:hint="eastAsia" w:cs="宋体"/>
                <w:kern w:val="0"/>
                <w:sz w:val="21"/>
                <w:szCs w:val="21"/>
                <w:lang w:bidi="ar"/>
              </w:rPr>
            </w:pPr>
            <w:r>
              <w:rPr>
                <w:rFonts w:hint="eastAsia"/>
                <w:sz w:val="21"/>
                <w:szCs w:val="21"/>
              </w:rPr>
              <w:t>合理规划子阵区检修道路，遵循就近原则，减少道路宽度、减少运输和检修的行驶距离</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71030FB2">
            <w:pPr>
              <w:jc w:val="left"/>
              <w:rPr>
                <w:rFonts w:hint="eastAsia"/>
                <w:sz w:val="21"/>
                <w:szCs w:val="21"/>
              </w:rPr>
            </w:pPr>
            <w:r>
              <w:rPr>
                <w:rFonts w:hint="eastAsia"/>
                <w:sz w:val="21"/>
                <w:szCs w:val="21"/>
              </w:rPr>
              <w:t>根据现场实际情况按照标准分乘以相应系数进行评分：</w:t>
            </w:r>
          </w:p>
          <w:p w14:paraId="1D7E147B">
            <w:pPr>
              <w:jc w:val="left"/>
              <w:rPr>
                <w:rFonts w:hint="eastAsia"/>
                <w:sz w:val="21"/>
                <w:szCs w:val="21"/>
              </w:rPr>
            </w:pPr>
            <w:r>
              <w:rPr>
                <w:rFonts w:hint="eastAsia"/>
                <w:sz w:val="21"/>
                <w:szCs w:val="21"/>
              </w:rPr>
              <w:t>1、措施到位，满足评价指标要求系数为1；</w:t>
            </w:r>
          </w:p>
          <w:p w14:paraId="08E46D0E">
            <w:pPr>
              <w:jc w:val="left"/>
              <w:rPr>
                <w:rFonts w:hint="eastAsia" w:cs="宋体"/>
                <w:sz w:val="21"/>
                <w:szCs w:val="21"/>
              </w:rPr>
            </w:pPr>
            <w:r>
              <w:rPr>
                <w:rFonts w:hint="eastAsia"/>
                <w:sz w:val="21"/>
                <w:szCs w:val="21"/>
              </w:rPr>
              <w:t>2、措施到位，基本满足评价指标要求系数按照0.5~0.9酌情选取；</w:t>
            </w:r>
          </w:p>
          <w:p w14:paraId="3E3878AB">
            <w:pPr>
              <w:jc w:val="left"/>
              <w:rPr>
                <w:rFonts w:hint="eastAsia" w:cs="宋体"/>
                <w:sz w:val="21"/>
                <w:szCs w:val="21"/>
              </w:rPr>
            </w:pPr>
            <w:r>
              <w:rPr>
                <w:rFonts w:hint="eastAsia"/>
                <w:sz w:val="21"/>
                <w:szCs w:val="21"/>
              </w:rPr>
              <w:t>3、措施不到位，不满足评价指标要求，得0分。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A1602">
            <w:pPr>
              <w:jc w:val="center"/>
              <w:rPr>
                <w:rFonts w:hint="eastAsia" w:cs="宋体"/>
                <w:sz w:val="21"/>
                <w:szCs w:val="21"/>
              </w:rPr>
            </w:pPr>
            <w:r>
              <w:rPr>
                <w:rFonts w:hint="eastAsia" w:cs="宋体"/>
                <w:sz w:val="21"/>
                <w:szCs w:val="21"/>
              </w:rPr>
              <w:t>0.6</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B150E">
            <w:pPr>
              <w:jc w:val="center"/>
              <w:rPr>
                <w:rFonts w:hint="eastAsia" w:cs="宋体"/>
                <w:sz w:val="21"/>
                <w:szCs w:val="21"/>
              </w:rPr>
            </w:pPr>
          </w:p>
        </w:tc>
      </w:tr>
      <w:tr w14:paraId="5D16195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2B05B">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46076">
            <w:pPr>
              <w:jc w:val="left"/>
              <w:rPr>
                <w:rFonts w:hint="eastAsia" w:cs="宋体"/>
                <w:kern w:val="0"/>
                <w:sz w:val="21"/>
                <w:szCs w:val="21"/>
                <w:lang w:bidi="ar"/>
              </w:rPr>
            </w:pPr>
            <w:r>
              <w:rPr>
                <w:sz w:val="21"/>
                <w:szCs w:val="21"/>
              </w:rPr>
              <w:t>对基础施工方案进行优化，减少土方开挖和回填量，最大限度减少对土地的扰动</w:t>
            </w:r>
          </w:p>
        </w:tc>
        <w:tc>
          <w:tcPr>
            <w:tcW w:w="4111" w:type="dxa"/>
            <w:vMerge w:val="continue"/>
            <w:tcBorders>
              <w:left w:val="single" w:color="000000" w:sz="4" w:space="0"/>
              <w:right w:val="single" w:color="000000" w:sz="4" w:space="0"/>
            </w:tcBorders>
            <w:shd w:val="clear" w:color="auto" w:fill="auto"/>
            <w:vAlign w:val="center"/>
          </w:tcPr>
          <w:p w14:paraId="2F555AB2">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5319B">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D0A6F">
            <w:pPr>
              <w:jc w:val="center"/>
              <w:rPr>
                <w:rFonts w:hint="eastAsia" w:cs="宋体"/>
                <w:sz w:val="21"/>
                <w:szCs w:val="21"/>
              </w:rPr>
            </w:pPr>
          </w:p>
        </w:tc>
      </w:tr>
      <w:tr w14:paraId="1D9288C3">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80B35">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2C4DA">
            <w:pPr>
              <w:jc w:val="left"/>
              <w:rPr>
                <w:rFonts w:hint="eastAsia" w:cs="宋体"/>
                <w:kern w:val="0"/>
                <w:sz w:val="21"/>
                <w:szCs w:val="21"/>
                <w:lang w:bidi="ar"/>
              </w:rPr>
            </w:pPr>
            <w:r>
              <w:rPr>
                <w:sz w:val="21"/>
                <w:szCs w:val="21"/>
              </w:rPr>
              <w:t>发电单元分区合理，设备布置紧凑，电缆敷设方式及路径合理，采用型钢桩、预制管桩等基础型式</w:t>
            </w:r>
            <w:r>
              <w:rPr>
                <w:rFonts w:hint="eastAsia"/>
                <w:sz w:val="21"/>
                <w:szCs w:val="21"/>
              </w:rPr>
              <w:t>，减少土地扰动</w:t>
            </w:r>
          </w:p>
        </w:tc>
        <w:tc>
          <w:tcPr>
            <w:tcW w:w="4111" w:type="dxa"/>
            <w:vMerge w:val="continue"/>
            <w:tcBorders>
              <w:left w:val="single" w:color="000000" w:sz="4" w:space="0"/>
              <w:right w:val="single" w:color="000000" w:sz="4" w:space="0"/>
            </w:tcBorders>
            <w:shd w:val="clear" w:color="auto" w:fill="auto"/>
            <w:vAlign w:val="center"/>
          </w:tcPr>
          <w:p w14:paraId="70B69571">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FFD60">
            <w:pPr>
              <w:jc w:val="center"/>
              <w:rPr>
                <w:rFonts w:hint="eastAsia" w:cs="宋体"/>
                <w:sz w:val="21"/>
                <w:szCs w:val="21"/>
              </w:rPr>
            </w:pPr>
            <w:r>
              <w:rPr>
                <w:rFonts w:hint="eastAsia" w:cs="宋体"/>
                <w:sz w:val="21"/>
                <w:szCs w:val="21"/>
              </w:rPr>
              <w:t>0.6</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816E1">
            <w:pPr>
              <w:jc w:val="center"/>
              <w:rPr>
                <w:rFonts w:hint="eastAsia" w:cs="宋体"/>
                <w:sz w:val="21"/>
                <w:szCs w:val="21"/>
              </w:rPr>
            </w:pPr>
          </w:p>
        </w:tc>
      </w:tr>
      <w:tr w14:paraId="6B4EFFB7">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55E35">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BE808">
            <w:pPr>
              <w:jc w:val="left"/>
              <w:rPr>
                <w:rFonts w:hint="eastAsia" w:cs="宋体"/>
                <w:kern w:val="0"/>
                <w:sz w:val="21"/>
                <w:szCs w:val="21"/>
                <w:lang w:bidi="ar"/>
              </w:rPr>
            </w:pPr>
            <w:r>
              <w:rPr>
                <w:rFonts w:hint="eastAsia"/>
                <w:sz w:val="21"/>
                <w:szCs w:val="21"/>
              </w:rPr>
              <w:t>场内</w:t>
            </w:r>
            <w:r>
              <w:rPr>
                <w:sz w:val="21"/>
                <w:szCs w:val="21"/>
              </w:rPr>
              <w:t>集电线路走向及路径合理，基础型式设计合理</w:t>
            </w:r>
            <w:r>
              <w:rPr>
                <w:rFonts w:hint="eastAsia"/>
                <w:sz w:val="21"/>
                <w:szCs w:val="21"/>
              </w:rPr>
              <w:t>，减少土地占用</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0511270B">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383F2">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9C889">
            <w:pPr>
              <w:jc w:val="center"/>
              <w:rPr>
                <w:rFonts w:hint="eastAsia" w:cs="宋体"/>
                <w:sz w:val="21"/>
                <w:szCs w:val="21"/>
              </w:rPr>
            </w:pPr>
          </w:p>
        </w:tc>
      </w:tr>
      <w:tr w14:paraId="42F452D4">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5086A">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0AAF1">
            <w:pPr>
              <w:jc w:val="left"/>
              <w:rPr>
                <w:rFonts w:hint="eastAsia" w:cs="宋体"/>
                <w:kern w:val="0"/>
                <w:sz w:val="21"/>
                <w:szCs w:val="21"/>
                <w:lang w:bidi="ar"/>
              </w:rPr>
            </w:pPr>
            <w:r>
              <w:rPr>
                <w:rFonts w:hint="eastAsia" w:cs="宋体"/>
                <w:kern w:val="0"/>
                <w:sz w:val="21"/>
                <w:szCs w:val="21"/>
                <w:lang w:bidi="ar"/>
              </w:rPr>
              <w:t>水上光伏发电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AB0A0">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6B222">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C8B2F">
            <w:pPr>
              <w:jc w:val="center"/>
              <w:rPr>
                <w:rFonts w:hint="eastAsia" w:cs="宋体"/>
                <w:sz w:val="21"/>
                <w:szCs w:val="21"/>
              </w:rPr>
            </w:pPr>
          </w:p>
        </w:tc>
      </w:tr>
      <w:tr w14:paraId="08F8A6C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A772B">
            <w:pPr>
              <w:jc w:val="center"/>
              <w:textAlignment w:val="center"/>
              <w:rPr>
                <w:rFonts w:hint="eastAsia" w:cs="宋体"/>
                <w:kern w:val="0"/>
                <w:sz w:val="21"/>
                <w:szCs w:val="21"/>
                <w:lang w:bidi="ar"/>
              </w:rPr>
            </w:pP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A7288">
            <w:pPr>
              <w:jc w:val="left"/>
              <w:rPr>
                <w:rFonts w:hint="eastAsia" w:cs="宋体"/>
                <w:kern w:val="0"/>
                <w:sz w:val="21"/>
                <w:szCs w:val="21"/>
                <w:lang w:bidi="ar"/>
              </w:rPr>
            </w:pPr>
            <w:r>
              <w:rPr>
                <w:rFonts w:hint="eastAsia"/>
                <w:sz w:val="21"/>
                <w:szCs w:val="21"/>
              </w:rPr>
              <w:t>根据厂区位置，合理布置施工区域，减少在水中的作业面积</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890F0">
            <w:pPr>
              <w:jc w:val="left"/>
              <w:rPr>
                <w:rFonts w:hint="eastAsia" w:cs="宋体"/>
                <w:sz w:val="21"/>
                <w:szCs w:val="21"/>
              </w:rPr>
            </w:pPr>
            <w:r>
              <w:rPr>
                <w:rFonts w:hint="eastAsia"/>
                <w:sz w:val="21"/>
                <w:szCs w:val="21"/>
              </w:rPr>
              <w:t>根据现场实际情况进行评分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D369C">
            <w:pPr>
              <w:jc w:val="center"/>
              <w:rPr>
                <w:rFonts w:hint="eastAsia" w:cs="宋体"/>
                <w:sz w:val="21"/>
                <w:szCs w:val="21"/>
              </w:rPr>
            </w:pPr>
            <w:r>
              <w:rPr>
                <w:rFonts w:hint="eastAsia" w:cs="宋体"/>
                <w:sz w:val="21"/>
                <w:szCs w:val="21"/>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4B60C">
            <w:pPr>
              <w:jc w:val="center"/>
              <w:rPr>
                <w:rFonts w:hint="eastAsia" w:cs="宋体"/>
                <w:sz w:val="21"/>
                <w:szCs w:val="21"/>
              </w:rPr>
            </w:pPr>
          </w:p>
        </w:tc>
      </w:tr>
      <w:tr w14:paraId="4B2BA48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1FD06">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4B0E3">
            <w:pPr>
              <w:jc w:val="left"/>
              <w:rPr>
                <w:rFonts w:hint="eastAsia" w:cs="宋体"/>
                <w:kern w:val="0"/>
                <w:sz w:val="21"/>
                <w:szCs w:val="21"/>
                <w:lang w:bidi="ar"/>
              </w:rPr>
            </w:pPr>
            <w:r>
              <w:rPr>
                <w:rFonts w:hint="eastAsia" w:cs="宋体"/>
                <w:kern w:val="0"/>
                <w:sz w:val="21"/>
                <w:szCs w:val="21"/>
                <w:lang w:bidi="ar"/>
              </w:rPr>
              <w:t>光热发电</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2C8E8">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26152">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C55FE">
            <w:pPr>
              <w:jc w:val="center"/>
              <w:rPr>
                <w:rFonts w:hint="eastAsia" w:cs="宋体"/>
                <w:sz w:val="21"/>
                <w:szCs w:val="21"/>
              </w:rPr>
            </w:pPr>
          </w:p>
        </w:tc>
      </w:tr>
      <w:tr w14:paraId="0DBA486D">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38BCF">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769F3">
            <w:pPr>
              <w:jc w:val="left"/>
              <w:rPr>
                <w:rFonts w:hint="eastAsia" w:cs="宋体"/>
                <w:kern w:val="0"/>
                <w:sz w:val="21"/>
                <w:szCs w:val="21"/>
                <w:lang w:bidi="ar"/>
              </w:rPr>
            </w:pPr>
            <w:r>
              <w:rPr>
                <w:sz w:val="21"/>
                <w:szCs w:val="21"/>
              </w:rPr>
              <w:t>根据施工阶段不同动态管理</w:t>
            </w:r>
            <w:r>
              <w:rPr>
                <w:rFonts w:hint="eastAsia"/>
                <w:sz w:val="21"/>
                <w:szCs w:val="21"/>
              </w:rPr>
              <w:t>场站</w:t>
            </w:r>
            <w:r>
              <w:rPr>
                <w:sz w:val="21"/>
                <w:szCs w:val="21"/>
              </w:rPr>
              <w:t>布置，做到科学、合理</w:t>
            </w:r>
          </w:p>
        </w:tc>
        <w:tc>
          <w:tcPr>
            <w:tcW w:w="4111" w:type="dxa"/>
            <w:vMerge w:val="restart"/>
            <w:tcBorders>
              <w:top w:val="single" w:color="000000" w:sz="4" w:space="0"/>
              <w:left w:val="single" w:color="000000" w:sz="4" w:space="0"/>
              <w:right w:val="single" w:color="000000" w:sz="4" w:space="0"/>
            </w:tcBorders>
            <w:shd w:val="clear" w:color="auto" w:fill="auto"/>
            <w:vAlign w:val="center"/>
          </w:tcPr>
          <w:p w14:paraId="271882BE">
            <w:pPr>
              <w:jc w:val="left"/>
              <w:rPr>
                <w:rFonts w:hint="eastAsia" w:cs="宋体"/>
                <w:sz w:val="21"/>
                <w:szCs w:val="21"/>
              </w:rPr>
            </w:pPr>
            <w:r>
              <w:rPr>
                <w:rFonts w:hint="eastAsia"/>
                <w:sz w:val="21"/>
                <w:szCs w:val="21"/>
              </w:rPr>
              <w:t>根据现场实际情况进行评分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C896A">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091E7">
            <w:pPr>
              <w:jc w:val="center"/>
              <w:rPr>
                <w:rFonts w:hint="eastAsia" w:cs="宋体"/>
                <w:sz w:val="21"/>
                <w:szCs w:val="21"/>
              </w:rPr>
            </w:pPr>
          </w:p>
        </w:tc>
      </w:tr>
      <w:tr w14:paraId="4C3D88B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93A97">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98726">
            <w:pPr>
              <w:jc w:val="left"/>
              <w:rPr>
                <w:rFonts w:hint="eastAsia" w:cs="宋体"/>
                <w:kern w:val="0"/>
                <w:sz w:val="21"/>
                <w:szCs w:val="21"/>
                <w:lang w:bidi="ar"/>
              </w:rPr>
            </w:pPr>
            <w:r>
              <w:rPr>
                <w:sz w:val="21"/>
                <w:szCs w:val="21"/>
              </w:rPr>
              <w:t>对基础施工方案进行优化，减少土方开挖和回填量，最大限度减少对土地的扰动</w:t>
            </w:r>
          </w:p>
        </w:tc>
        <w:tc>
          <w:tcPr>
            <w:tcW w:w="4111" w:type="dxa"/>
            <w:vMerge w:val="continue"/>
            <w:tcBorders>
              <w:left w:val="single" w:color="000000" w:sz="4" w:space="0"/>
              <w:bottom w:val="single" w:color="000000" w:sz="4" w:space="0"/>
              <w:right w:val="single" w:color="000000" w:sz="4" w:space="0"/>
            </w:tcBorders>
            <w:shd w:val="clear" w:color="auto" w:fill="auto"/>
            <w:vAlign w:val="center"/>
          </w:tcPr>
          <w:p w14:paraId="0D52A3E9">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6D2B9">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EDC13">
            <w:pPr>
              <w:jc w:val="center"/>
              <w:rPr>
                <w:rFonts w:hint="eastAsia" w:cs="宋体"/>
                <w:sz w:val="21"/>
                <w:szCs w:val="21"/>
              </w:rPr>
            </w:pPr>
          </w:p>
        </w:tc>
      </w:tr>
      <w:tr w14:paraId="39054B5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296B7">
            <w:pPr>
              <w:jc w:val="center"/>
              <w:textAlignment w:val="center"/>
              <w:rPr>
                <w:rFonts w:hint="eastAsia" w:cs="宋体"/>
                <w:kern w:val="0"/>
                <w:sz w:val="21"/>
                <w:szCs w:val="21"/>
                <w:lang w:bidi="ar"/>
              </w:rPr>
            </w:pPr>
            <w:r>
              <w:rPr>
                <w:rFonts w:hint="eastAsia" w:cs="宋体"/>
                <w:kern w:val="0"/>
                <w:sz w:val="21"/>
                <w:szCs w:val="21"/>
                <w:lang w:bidi="ar"/>
              </w:rPr>
              <w:t>6.3.34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CDA33">
            <w:pPr>
              <w:jc w:val="left"/>
              <w:rPr>
                <w:rFonts w:hint="eastAsia" w:cs="宋体"/>
                <w:kern w:val="0"/>
                <w:sz w:val="21"/>
                <w:szCs w:val="21"/>
                <w:lang w:bidi="ar"/>
              </w:rPr>
            </w:pPr>
            <w:r>
              <w:rPr>
                <w:rFonts w:hint="eastAsia" w:cs="宋体"/>
                <w:kern w:val="0"/>
                <w:sz w:val="21"/>
                <w:szCs w:val="21"/>
                <w:lang w:bidi="ar"/>
              </w:rPr>
              <w:t>输变电工程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BA9C5">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CE334">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50674">
            <w:pPr>
              <w:jc w:val="center"/>
              <w:rPr>
                <w:rFonts w:hint="eastAsia" w:cs="宋体"/>
                <w:sz w:val="21"/>
                <w:szCs w:val="21"/>
              </w:rPr>
            </w:pPr>
          </w:p>
        </w:tc>
      </w:tr>
      <w:tr w14:paraId="12B6529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7E8C1">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8E4AA">
            <w:pPr>
              <w:jc w:val="left"/>
              <w:rPr>
                <w:rFonts w:hint="eastAsia" w:cs="宋体"/>
                <w:kern w:val="0"/>
                <w:sz w:val="21"/>
                <w:szCs w:val="21"/>
                <w:lang w:bidi="ar"/>
              </w:rPr>
            </w:pPr>
            <w:r>
              <w:rPr>
                <w:rFonts w:hint="eastAsia" w:cs="宋体"/>
                <w:kern w:val="0"/>
                <w:sz w:val="21"/>
                <w:szCs w:val="21"/>
                <w:lang w:bidi="ar"/>
              </w:rPr>
              <w:t>变电（换流）站</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94293">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BBBB3">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C81A4">
            <w:pPr>
              <w:jc w:val="center"/>
              <w:rPr>
                <w:rFonts w:hint="eastAsia" w:cs="宋体"/>
                <w:sz w:val="21"/>
                <w:szCs w:val="21"/>
              </w:rPr>
            </w:pPr>
          </w:p>
        </w:tc>
      </w:tr>
      <w:tr w14:paraId="781CADEF">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B0E71">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60FF8">
            <w:pPr>
              <w:jc w:val="left"/>
              <w:rPr>
                <w:rFonts w:hint="eastAsia" w:cs="宋体"/>
                <w:kern w:val="0"/>
                <w:sz w:val="21"/>
                <w:szCs w:val="21"/>
                <w:lang w:bidi="ar"/>
              </w:rPr>
            </w:pPr>
            <w:r>
              <w:rPr>
                <w:rFonts w:hint="eastAsia" w:cs="宋体"/>
                <w:kern w:val="0"/>
                <w:sz w:val="21"/>
                <w:szCs w:val="21"/>
                <w:lang w:bidi="ar"/>
              </w:rPr>
              <w:t>变电站土石方工程开挖前应进行挖、填方的平衡计算，减少挖填方量、弃土量和土方购置量；余土应调配使用、就近消纳并取得综合利用协议。应对表土进行剥离与保护，分类堆放，堆土底部进行铺垫，表层进行苫盖。</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F6DF1">
            <w:pPr>
              <w:jc w:val="left"/>
              <w:rPr>
                <w:rFonts w:hint="eastAsia" w:cs="宋体"/>
                <w:sz w:val="21"/>
                <w:szCs w:val="21"/>
              </w:rPr>
            </w:pPr>
            <w:r>
              <w:rPr>
                <w:rFonts w:hint="eastAsia" w:cs="宋体"/>
                <w:kern w:val="0"/>
                <w:sz w:val="21"/>
                <w:szCs w:val="21"/>
                <w:lang w:bidi="ar"/>
              </w:rPr>
              <w:t>土石方开挖前未进行填挖平衡计算，扣1分；余土无土石方外运协议，扣1分；表土和剥离土无保护措施，扣1分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99005">
            <w:pPr>
              <w:jc w:val="center"/>
              <w:rPr>
                <w:rFonts w:hint="eastAsia" w:cs="宋体"/>
                <w:sz w:val="21"/>
                <w:szCs w:val="21"/>
              </w:rPr>
            </w:pPr>
            <w:r>
              <w:rPr>
                <w:rFonts w:hint="eastAsia" w:cs="宋体"/>
                <w:sz w:val="21"/>
                <w:szCs w:val="21"/>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6BEA5">
            <w:pPr>
              <w:jc w:val="center"/>
              <w:rPr>
                <w:rFonts w:hint="eastAsia" w:cs="宋体"/>
                <w:sz w:val="21"/>
                <w:szCs w:val="21"/>
              </w:rPr>
            </w:pPr>
          </w:p>
        </w:tc>
      </w:tr>
      <w:tr w14:paraId="47339DF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99C89">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73791">
            <w:pPr>
              <w:jc w:val="left"/>
              <w:rPr>
                <w:rFonts w:hint="eastAsia" w:cs="宋体"/>
                <w:kern w:val="0"/>
                <w:sz w:val="21"/>
                <w:szCs w:val="21"/>
                <w:lang w:bidi="ar"/>
              </w:rPr>
            </w:pPr>
            <w:r>
              <w:rPr>
                <w:rFonts w:hint="eastAsia" w:cs="宋体"/>
                <w:kern w:val="0"/>
                <w:sz w:val="21"/>
                <w:szCs w:val="21"/>
                <w:lang w:bidi="ar"/>
              </w:rPr>
              <w:t>架空线路工程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BA300">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8EAFF">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C3B16">
            <w:pPr>
              <w:jc w:val="center"/>
              <w:rPr>
                <w:rFonts w:hint="eastAsia" w:cs="宋体"/>
                <w:sz w:val="21"/>
                <w:szCs w:val="21"/>
              </w:rPr>
            </w:pPr>
          </w:p>
        </w:tc>
      </w:tr>
      <w:tr w14:paraId="3F5633E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03146">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F1FC7">
            <w:pPr>
              <w:jc w:val="left"/>
              <w:rPr>
                <w:rFonts w:hint="eastAsia" w:cs="宋体"/>
                <w:kern w:val="0"/>
                <w:sz w:val="21"/>
                <w:szCs w:val="21"/>
                <w:lang w:bidi="ar"/>
              </w:rPr>
            </w:pPr>
            <w:r>
              <w:rPr>
                <w:rFonts w:hint="eastAsia" w:cs="宋体"/>
                <w:kern w:val="0"/>
                <w:sz w:val="21"/>
                <w:szCs w:val="21"/>
                <w:lang w:bidi="ar"/>
              </w:rPr>
              <w:t>平地地形以及适合机械化施工的山地、丘陵，宜全面应用机械化装备开展运输和施工；无运输通道的山地、丘陵宜采用标准金属索道运输装备和物料，减少临时用地占用和树木砍伐；无法应用索道时，应结合巡线道路等，合理修筑施工便道。</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2C480">
            <w:pPr>
              <w:jc w:val="left"/>
              <w:rPr>
                <w:rFonts w:hint="eastAsia" w:cs="宋体"/>
                <w:sz w:val="21"/>
                <w:szCs w:val="21"/>
              </w:rPr>
            </w:pPr>
            <w:r>
              <w:rPr>
                <w:rFonts w:hint="eastAsia" w:cs="宋体"/>
                <w:kern w:val="0"/>
                <w:sz w:val="21"/>
                <w:szCs w:val="21"/>
                <w:lang w:bidi="ar"/>
              </w:rPr>
              <w:t>未采用机械化施工，未采取减少临时用地占用和树木砍伐等措施，扣0.5分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9269D">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B0CC8">
            <w:pPr>
              <w:jc w:val="center"/>
              <w:rPr>
                <w:rFonts w:hint="eastAsia" w:cs="宋体"/>
                <w:sz w:val="21"/>
                <w:szCs w:val="21"/>
              </w:rPr>
            </w:pPr>
          </w:p>
        </w:tc>
      </w:tr>
      <w:tr w14:paraId="5AD5CDC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1867F">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199B7">
            <w:pPr>
              <w:jc w:val="left"/>
              <w:rPr>
                <w:rFonts w:hint="eastAsia" w:cs="宋体"/>
                <w:kern w:val="0"/>
                <w:sz w:val="21"/>
                <w:szCs w:val="21"/>
                <w:lang w:bidi="ar"/>
              </w:rPr>
            </w:pPr>
            <w:r>
              <w:rPr>
                <w:rFonts w:hint="eastAsia" w:cs="宋体"/>
                <w:kern w:val="0"/>
                <w:sz w:val="21"/>
                <w:szCs w:val="21"/>
                <w:lang w:bidi="ar"/>
              </w:rPr>
              <w:t>塔基区、施工道路土石方施工先进行表土剥离，土石方工程进行平衡计算并取得综合利用协议，基础回填时先填生土后填熟土；灌注桩基础在水田施工时考虑泥浆池的复耕处理问题，杆塔组立阶段尽量利用基础阶段临时占地。</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2EAAF">
            <w:pPr>
              <w:jc w:val="left"/>
              <w:rPr>
                <w:rFonts w:hint="eastAsia" w:cs="宋体"/>
                <w:sz w:val="21"/>
                <w:szCs w:val="21"/>
              </w:rPr>
            </w:pPr>
            <w:r>
              <w:rPr>
                <w:rFonts w:hint="eastAsia" w:cs="宋体"/>
                <w:kern w:val="0"/>
                <w:sz w:val="21"/>
                <w:szCs w:val="21"/>
                <w:lang w:bidi="ar"/>
              </w:rPr>
              <w:t>未采取相关措施，每处扣0.2分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1EFF3">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F15D9">
            <w:pPr>
              <w:jc w:val="center"/>
              <w:rPr>
                <w:rFonts w:hint="eastAsia" w:cs="宋体"/>
                <w:sz w:val="21"/>
                <w:szCs w:val="21"/>
              </w:rPr>
            </w:pPr>
          </w:p>
        </w:tc>
      </w:tr>
      <w:tr w14:paraId="1376600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3D14A">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0DA20">
            <w:pPr>
              <w:jc w:val="left"/>
              <w:rPr>
                <w:rFonts w:hint="eastAsia" w:cs="宋体"/>
                <w:kern w:val="0"/>
                <w:sz w:val="21"/>
                <w:szCs w:val="21"/>
                <w:lang w:bidi="ar"/>
              </w:rPr>
            </w:pPr>
            <w:r>
              <w:rPr>
                <w:rFonts w:hint="eastAsia" w:cs="宋体"/>
                <w:kern w:val="0"/>
                <w:sz w:val="21"/>
                <w:szCs w:val="21"/>
                <w:lang w:bidi="ar"/>
              </w:rPr>
              <w:t>杆塔组立阶段应利用基础阶段临时占地，少增或不增临时占地。</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CDA17">
            <w:pPr>
              <w:jc w:val="left"/>
              <w:rPr>
                <w:rFonts w:hint="eastAsia" w:cs="宋体"/>
                <w:sz w:val="21"/>
                <w:szCs w:val="21"/>
              </w:rPr>
            </w:pPr>
            <w:r>
              <w:rPr>
                <w:rFonts w:hint="eastAsia" w:cs="宋体"/>
                <w:kern w:val="0"/>
                <w:sz w:val="21"/>
                <w:szCs w:val="21"/>
                <w:lang w:bidi="ar"/>
              </w:rPr>
              <w:t>杆塔组立临时占地不合理，扣0.5分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75D60">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60E7B">
            <w:pPr>
              <w:jc w:val="center"/>
              <w:rPr>
                <w:rFonts w:hint="eastAsia" w:cs="宋体"/>
                <w:sz w:val="21"/>
                <w:szCs w:val="21"/>
              </w:rPr>
            </w:pPr>
          </w:p>
        </w:tc>
      </w:tr>
      <w:tr w14:paraId="406C266C">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E89C4">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7F7E6">
            <w:pPr>
              <w:jc w:val="left"/>
              <w:rPr>
                <w:rFonts w:hint="eastAsia" w:cs="宋体"/>
                <w:kern w:val="0"/>
                <w:sz w:val="21"/>
                <w:szCs w:val="21"/>
                <w:lang w:bidi="ar"/>
              </w:rPr>
            </w:pPr>
            <w:r>
              <w:rPr>
                <w:rFonts w:hint="eastAsia" w:cs="宋体"/>
                <w:kern w:val="0"/>
                <w:sz w:val="21"/>
                <w:szCs w:val="21"/>
                <w:lang w:bidi="ar"/>
              </w:rPr>
              <w:t>鼓励采用履带、轮胎式起重机等机械设备进行杆塔组立，减少地锚拉线造成的土地开挖，最大限度减少对土地的扰动。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E0846">
            <w:pPr>
              <w:jc w:val="left"/>
              <w:rPr>
                <w:rFonts w:hint="eastAsia" w:cs="宋体"/>
                <w:sz w:val="21"/>
                <w:szCs w:val="21"/>
              </w:rPr>
            </w:pPr>
            <w:r>
              <w:rPr>
                <w:rFonts w:hint="eastAsia" w:cs="宋体"/>
                <w:kern w:val="0"/>
                <w:sz w:val="21"/>
                <w:szCs w:val="21"/>
                <w:lang w:bidi="ar"/>
              </w:rPr>
              <w:t>采用不合理的机械设备立塔，增加土地扰动和占用，扣0.5分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0377A">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D1930">
            <w:pPr>
              <w:jc w:val="center"/>
              <w:rPr>
                <w:rFonts w:hint="eastAsia" w:cs="宋体"/>
                <w:sz w:val="21"/>
                <w:szCs w:val="21"/>
              </w:rPr>
            </w:pPr>
          </w:p>
        </w:tc>
      </w:tr>
      <w:tr w14:paraId="16246BD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ACADD">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53AA8">
            <w:pPr>
              <w:jc w:val="left"/>
              <w:rPr>
                <w:rFonts w:hint="eastAsia" w:cs="宋体"/>
                <w:kern w:val="0"/>
                <w:sz w:val="21"/>
                <w:szCs w:val="21"/>
                <w:lang w:bidi="ar"/>
              </w:rPr>
            </w:pPr>
            <w:r>
              <w:rPr>
                <w:rFonts w:hint="eastAsia" w:cs="宋体"/>
                <w:kern w:val="0"/>
                <w:sz w:val="21"/>
                <w:szCs w:val="21"/>
                <w:lang w:bidi="ar"/>
              </w:rPr>
              <w:t>电缆工程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8059E">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C35EC">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D6911">
            <w:pPr>
              <w:jc w:val="center"/>
              <w:rPr>
                <w:rFonts w:hint="eastAsia" w:cs="宋体"/>
                <w:sz w:val="21"/>
                <w:szCs w:val="21"/>
              </w:rPr>
            </w:pPr>
          </w:p>
        </w:tc>
      </w:tr>
      <w:tr w14:paraId="6DB39B6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A1FEE">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79480">
            <w:pPr>
              <w:jc w:val="left"/>
              <w:rPr>
                <w:rFonts w:hint="eastAsia" w:cs="宋体"/>
                <w:kern w:val="0"/>
                <w:sz w:val="21"/>
                <w:szCs w:val="21"/>
                <w:lang w:bidi="ar"/>
              </w:rPr>
            </w:pPr>
            <w:r>
              <w:rPr>
                <w:rFonts w:hint="eastAsia" w:cs="宋体"/>
                <w:kern w:val="0"/>
                <w:sz w:val="21"/>
                <w:szCs w:val="21"/>
                <w:lang w:bidi="ar"/>
              </w:rPr>
              <w:t>应统筹安排电缆隧道（管廊）施工、电缆敷设施工场地以及物料运输路径，减少施工和运输便道对临时用地的占用。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8BE54">
            <w:pPr>
              <w:jc w:val="left"/>
              <w:rPr>
                <w:rFonts w:hint="eastAsia" w:cs="宋体"/>
                <w:sz w:val="21"/>
                <w:szCs w:val="21"/>
              </w:rPr>
            </w:pPr>
            <w:r>
              <w:rPr>
                <w:rStyle w:val="104"/>
                <w:rFonts w:hint="default"/>
                <w:lang w:bidi="ar"/>
              </w:rPr>
              <w:t>电缆隧道（管廊）施工、电缆敷设施工场地以及物料运输路径</w:t>
            </w:r>
            <w:r>
              <w:rPr>
                <w:rStyle w:val="105"/>
                <w:rFonts w:hint="default" w:ascii="宋体" w:hAnsi="宋体" w:eastAsia="宋体"/>
                <w:lang w:bidi="ar"/>
              </w:rPr>
              <w:t>不合理，造成多占临时用地，扣1分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A6F76">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2DEA2">
            <w:pPr>
              <w:jc w:val="center"/>
              <w:rPr>
                <w:rFonts w:hint="eastAsia" w:cs="宋体"/>
                <w:sz w:val="21"/>
                <w:szCs w:val="21"/>
              </w:rPr>
            </w:pPr>
          </w:p>
        </w:tc>
      </w:tr>
      <w:tr w14:paraId="54EC664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CD0BA">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0260A">
            <w:pPr>
              <w:jc w:val="left"/>
              <w:rPr>
                <w:rFonts w:hint="eastAsia" w:cs="宋体"/>
                <w:kern w:val="0"/>
                <w:sz w:val="21"/>
                <w:szCs w:val="21"/>
                <w:lang w:bidi="ar"/>
              </w:rPr>
            </w:pPr>
            <w:r>
              <w:rPr>
                <w:rFonts w:hint="eastAsia" w:cs="宋体"/>
                <w:kern w:val="0"/>
                <w:sz w:val="21"/>
                <w:szCs w:val="21"/>
                <w:lang w:bidi="ar"/>
              </w:rPr>
              <w:t>电缆隧道开挖前应进行开挖、填方的平衡计算，余土应调配使用、就近消纳。开挖扰动区域应对表土进行剥离。土石方堆放时下铺彩条布，做到生熟土分开，并做防护坎，减少水土流失。基础回填时，应先回填生土，后回填熟土，并进行地貌复原。</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04FDD">
            <w:pPr>
              <w:jc w:val="left"/>
              <w:rPr>
                <w:rFonts w:hint="eastAsia" w:cs="宋体"/>
                <w:sz w:val="21"/>
                <w:szCs w:val="21"/>
              </w:rPr>
            </w:pPr>
            <w:r>
              <w:rPr>
                <w:rFonts w:hint="eastAsia" w:cs="宋体"/>
                <w:kern w:val="0"/>
                <w:sz w:val="21"/>
                <w:szCs w:val="21"/>
                <w:lang w:bidi="ar"/>
              </w:rPr>
              <w:t>未做生熟土分开，扣0.5分；基础回填是未进行地貌复原，扣1分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478EC">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FD2F1">
            <w:pPr>
              <w:jc w:val="center"/>
              <w:rPr>
                <w:rFonts w:hint="eastAsia" w:cs="宋体"/>
                <w:sz w:val="21"/>
                <w:szCs w:val="21"/>
              </w:rPr>
            </w:pPr>
          </w:p>
        </w:tc>
      </w:tr>
      <w:tr w14:paraId="694239E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BAB73">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D1A78">
            <w:pPr>
              <w:jc w:val="left"/>
              <w:rPr>
                <w:rFonts w:hint="eastAsia" w:cs="宋体"/>
                <w:kern w:val="0"/>
                <w:sz w:val="21"/>
                <w:szCs w:val="21"/>
                <w:lang w:bidi="ar"/>
              </w:rPr>
            </w:pPr>
            <w:r>
              <w:rPr>
                <w:rFonts w:hint="eastAsia" w:cs="宋体"/>
                <w:kern w:val="0"/>
                <w:sz w:val="21"/>
                <w:szCs w:val="21"/>
                <w:lang w:bidi="ar"/>
              </w:rPr>
              <w:t>海底电缆工程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D3034">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F2717">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B5BEB">
            <w:pPr>
              <w:jc w:val="center"/>
              <w:rPr>
                <w:rFonts w:hint="eastAsia" w:cs="宋体"/>
                <w:sz w:val="21"/>
                <w:szCs w:val="21"/>
              </w:rPr>
            </w:pPr>
          </w:p>
        </w:tc>
      </w:tr>
      <w:tr w14:paraId="755801A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49402">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EEDF0">
            <w:pPr>
              <w:jc w:val="left"/>
              <w:rPr>
                <w:rFonts w:hint="eastAsia" w:cs="宋体"/>
                <w:kern w:val="0"/>
                <w:sz w:val="21"/>
                <w:szCs w:val="21"/>
                <w:lang w:bidi="ar"/>
              </w:rPr>
            </w:pPr>
            <w:r>
              <w:rPr>
                <w:rFonts w:hint="eastAsia" w:cs="宋体"/>
                <w:kern w:val="0"/>
                <w:sz w:val="21"/>
                <w:szCs w:val="21"/>
                <w:lang w:bidi="ar"/>
              </w:rPr>
              <w:t>应统筹安排电缆隧道（管廊）施工、电缆敷设施工场地以及物料运输路径，减少施工和运输便道对临时用地的占用。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AE887">
            <w:pPr>
              <w:jc w:val="left"/>
              <w:rPr>
                <w:rFonts w:hint="eastAsia" w:cs="宋体"/>
                <w:sz w:val="21"/>
                <w:szCs w:val="21"/>
              </w:rPr>
            </w:pPr>
            <w:r>
              <w:rPr>
                <w:rFonts w:hint="eastAsia" w:cs="宋体"/>
                <w:kern w:val="0"/>
                <w:sz w:val="21"/>
                <w:szCs w:val="21"/>
                <w:lang w:bidi="ar"/>
              </w:rPr>
              <w:t>电缆隧道（管廊）施工、电缆敷设施工场地以及物料运输路径不合理，造成多占临时用地，扣1分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762CD">
            <w:pPr>
              <w:jc w:val="center"/>
              <w:rPr>
                <w:rFonts w:hint="eastAsia" w:cs="宋体"/>
                <w:sz w:val="21"/>
                <w:szCs w:val="21"/>
              </w:rPr>
            </w:pPr>
            <w:r>
              <w:rPr>
                <w:rFonts w:hint="eastAsia" w:cs="宋体"/>
                <w:sz w:val="21"/>
                <w:szCs w:val="21"/>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6318E">
            <w:pPr>
              <w:jc w:val="center"/>
              <w:rPr>
                <w:rFonts w:hint="eastAsia" w:cs="宋体"/>
                <w:sz w:val="21"/>
                <w:szCs w:val="21"/>
              </w:rPr>
            </w:pPr>
          </w:p>
        </w:tc>
      </w:tr>
      <w:tr w14:paraId="64389FF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55C08">
            <w:pPr>
              <w:jc w:val="center"/>
              <w:textAlignment w:val="center"/>
              <w:rPr>
                <w:rFonts w:hint="eastAsia" w:cs="宋体"/>
                <w:kern w:val="0"/>
                <w:sz w:val="21"/>
                <w:szCs w:val="21"/>
                <w:lang w:bidi="ar"/>
              </w:rPr>
            </w:pPr>
            <w:r>
              <w:rPr>
                <w:rFonts w:hint="eastAsia" w:cs="宋体"/>
                <w:kern w:val="0"/>
                <w:sz w:val="21"/>
                <w:szCs w:val="21"/>
                <w:lang w:bidi="ar"/>
              </w:rPr>
              <w:t>6.2.35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8876F">
            <w:pPr>
              <w:jc w:val="left"/>
              <w:rPr>
                <w:rFonts w:hint="eastAsia" w:cs="宋体"/>
                <w:kern w:val="0"/>
                <w:sz w:val="21"/>
                <w:szCs w:val="21"/>
                <w:lang w:bidi="ar"/>
              </w:rPr>
            </w:pPr>
            <w:r>
              <w:rPr>
                <w:rFonts w:hint="eastAsia" w:cs="宋体"/>
                <w:kern w:val="0"/>
                <w:sz w:val="21"/>
                <w:szCs w:val="21"/>
                <w:lang w:bidi="ar"/>
              </w:rPr>
              <w:t>电力储能工程</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06FB6">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A7069">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73712">
            <w:pPr>
              <w:jc w:val="center"/>
              <w:rPr>
                <w:rFonts w:hint="eastAsia" w:cs="宋体"/>
                <w:sz w:val="21"/>
                <w:szCs w:val="21"/>
              </w:rPr>
            </w:pPr>
          </w:p>
        </w:tc>
      </w:tr>
      <w:tr w14:paraId="7497909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D3B90">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3010A">
            <w:pPr>
              <w:jc w:val="left"/>
              <w:rPr>
                <w:rFonts w:hint="eastAsia" w:cs="宋体"/>
                <w:sz w:val="21"/>
                <w:szCs w:val="21"/>
              </w:rPr>
            </w:pPr>
            <w:r>
              <w:rPr>
                <w:rFonts w:hint="eastAsia" w:cs="宋体"/>
                <w:kern w:val="0"/>
                <w:sz w:val="21"/>
                <w:szCs w:val="21"/>
              </w:rPr>
              <w:t>电化学（锂电、液流、燃料电池、钠离子、铅酸、铅炭）储能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BD50B">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8DCF0">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0CA23">
            <w:pPr>
              <w:jc w:val="center"/>
              <w:rPr>
                <w:rFonts w:hint="eastAsia" w:cs="宋体"/>
                <w:sz w:val="21"/>
                <w:szCs w:val="21"/>
              </w:rPr>
            </w:pPr>
          </w:p>
        </w:tc>
      </w:tr>
      <w:tr w14:paraId="221F7801">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2854F">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1182B">
            <w:pPr>
              <w:adjustRightInd w:val="0"/>
              <w:snapToGrid w:val="0"/>
              <w:rPr>
                <w:rFonts w:hint="eastAsia"/>
                <w:sz w:val="21"/>
                <w:szCs w:val="21"/>
              </w:rPr>
            </w:pPr>
            <w:r>
              <w:rPr>
                <w:rFonts w:hint="eastAsia"/>
                <w:sz w:val="21"/>
                <w:szCs w:val="21"/>
              </w:rPr>
              <w:t>电化学储能工程根据项目施工进度合理安排集装箱分时间段到达现场，减少设备占用施工用地。</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8F5D2">
            <w:pPr>
              <w:jc w:val="left"/>
              <w:rPr>
                <w:rFonts w:hint="eastAsia" w:cs="宋体"/>
                <w:sz w:val="21"/>
                <w:szCs w:val="21"/>
              </w:rPr>
            </w:pPr>
            <w:r>
              <w:rPr>
                <w:rFonts w:hint="eastAsia"/>
                <w:sz w:val="21"/>
                <w:szCs w:val="21"/>
              </w:rPr>
              <w:t>本条满分3分，措施到位，满足评价指标要求可得3分；措施到位，基本满足评价指标要求可得1.5~2.7；措施不到位，不满足评价指标要求，得0分。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B6F14">
            <w:pPr>
              <w:jc w:val="center"/>
              <w:rPr>
                <w:rFonts w:hint="eastAsia" w:cs="宋体"/>
                <w:sz w:val="21"/>
                <w:szCs w:val="21"/>
              </w:rPr>
            </w:pPr>
            <w:r>
              <w:rPr>
                <w:rFonts w:hint="eastAsia" w:cs="宋体"/>
                <w:sz w:val="21"/>
                <w:szCs w:val="21"/>
              </w:rPr>
              <w:t>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11A6D">
            <w:pPr>
              <w:jc w:val="center"/>
              <w:rPr>
                <w:rFonts w:hint="eastAsia" w:cs="宋体"/>
                <w:sz w:val="21"/>
                <w:szCs w:val="21"/>
              </w:rPr>
            </w:pPr>
          </w:p>
        </w:tc>
      </w:tr>
      <w:tr w14:paraId="7371B6C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B7EE1">
            <w:pPr>
              <w:jc w:val="center"/>
              <w:textAlignment w:val="center"/>
              <w:rPr>
                <w:rFonts w:hint="eastAsia" w:cs="宋体"/>
                <w:kern w:val="0"/>
                <w:sz w:val="21"/>
                <w:szCs w:val="21"/>
                <w:lang w:bidi="ar"/>
              </w:rPr>
            </w:pPr>
            <w:r>
              <w:rPr>
                <w:rFonts w:hint="eastAsia" w:cs="宋体"/>
                <w:kern w:val="0"/>
                <w:sz w:val="21"/>
                <w:szCs w:val="21"/>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F4046">
            <w:pPr>
              <w:jc w:val="left"/>
              <w:rPr>
                <w:rFonts w:hint="eastAsia" w:cs="宋体"/>
                <w:sz w:val="21"/>
                <w:szCs w:val="21"/>
              </w:rPr>
            </w:pPr>
            <w:r>
              <w:rPr>
                <w:rFonts w:hint="eastAsia" w:cs="宋体"/>
                <w:kern w:val="0"/>
                <w:sz w:val="21"/>
                <w:szCs w:val="21"/>
              </w:rPr>
              <w:t>飞轮储能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1A2A8">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9F015">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C226D">
            <w:pPr>
              <w:jc w:val="center"/>
              <w:rPr>
                <w:rFonts w:hint="eastAsia" w:cs="宋体"/>
                <w:sz w:val="21"/>
                <w:szCs w:val="21"/>
              </w:rPr>
            </w:pPr>
          </w:p>
        </w:tc>
      </w:tr>
      <w:tr w14:paraId="42BBB93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D711D">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965BD">
            <w:pPr>
              <w:adjustRightInd w:val="0"/>
              <w:snapToGrid w:val="0"/>
              <w:rPr>
                <w:rFonts w:hint="eastAsia"/>
                <w:sz w:val="21"/>
                <w:szCs w:val="21"/>
              </w:rPr>
            </w:pPr>
            <w:r>
              <w:rPr>
                <w:rFonts w:hint="eastAsia"/>
                <w:sz w:val="21"/>
                <w:szCs w:val="21"/>
              </w:rPr>
              <w:t>飞轮储能工程根据项目施工进度合理安排飞轮装置分时间段到达现场，减少设备占用施工用地。</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0D569">
            <w:pPr>
              <w:jc w:val="left"/>
              <w:rPr>
                <w:rFonts w:hint="eastAsia" w:cs="宋体"/>
                <w:sz w:val="21"/>
                <w:szCs w:val="21"/>
              </w:rPr>
            </w:pPr>
            <w:r>
              <w:rPr>
                <w:rFonts w:hint="eastAsia"/>
                <w:sz w:val="21"/>
                <w:szCs w:val="21"/>
              </w:rPr>
              <w:t>本条满分3分，措施到位，满足评价指标要求可得3分；措施到位，基本满足评价指标要求可得1.5~2.7；措施不到位，不满足评价指标要求，得0分。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7D724">
            <w:pPr>
              <w:jc w:val="center"/>
              <w:rPr>
                <w:rFonts w:hint="eastAsia" w:cs="宋体"/>
                <w:sz w:val="21"/>
                <w:szCs w:val="21"/>
              </w:rPr>
            </w:pPr>
            <w:r>
              <w:rPr>
                <w:rFonts w:hint="eastAsia" w:cs="宋体"/>
                <w:sz w:val="21"/>
                <w:szCs w:val="21"/>
              </w:rPr>
              <w:t>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54A30">
            <w:pPr>
              <w:jc w:val="center"/>
              <w:rPr>
                <w:rFonts w:hint="eastAsia" w:cs="宋体"/>
                <w:sz w:val="21"/>
                <w:szCs w:val="21"/>
              </w:rPr>
            </w:pPr>
          </w:p>
        </w:tc>
      </w:tr>
      <w:tr w14:paraId="158438D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CC859">
            <w:pPr>
              <w:jc w:val="center"/>
              <w:textAlignment w:val="center"/>
              <w:rPr>
                <w:rFonts w:hint="eastAsia" w:cs="宋体"/>
                <w:kern w:val="0"/>
                <w:sz w:val="21"/>
                <w:szCs w:val="21"/>
                <w:lang w:bidi="ar"/>
              </w:rPr>
            </w:pPr>
            <w:r>
              <w:rPr>
                <w:rFonts w:hint="eastAsia" w:cs="宋体"/>
                <w:kern w:val="0"/>
                <w:sz w:val="21"/>
                <w:szCs w:val="21"/>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ECA9D">
            <w:pPr>
              <w:jc w:val="left"/>
              <w:rPr>
                <w:rFonts w:hint="eastAsia" w:cs="宋体"/>
                <w:sz w:val="21"/>
                <w:szCs w:val="21"/>
              </w:rPr>
            </w:pPr>
            <w:r>
              <w:rPr>
                <w:rFonts w:hint="eastAsia" w:cs="宋体"/>
                <w:kern w:val="0"/>
                <w:sz w:val="21"/>
                <w:szCs w:val="21"/>
              </w:rPr>
              <w:t>压缩空气储能</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F9910">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FE536">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91FC2">
            <w:pPr>
              <w:jc w:val="center"/>
              <w:rPr>
                <w:rFonts w:hint="eastAsia" w:cs="宋体"/>
                <w:sz w:val="21"/>
                <w:szCs w:val="21"/>
              </w:rPr>
            </w:pPr>
          </w:p>
        </w:tc>
      </w:tr>
      <w:tr w14:paraId="5C938A83">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517AD">
            <w:pPr>
              <w:jc w:val="center"/>
              <w:textAlignment w:val="center"/>
              <w:rPr>
                <w:rFonts w:hint="eastAsia" w:cs="宋体"/>
                <w:kern w:val="0"/>
                <w:sz w:val="21"/>
                <w:szCs w:val="21"/>
                <w:lang w:bidi="ar"/>
              </w:rPr>
            </w:pPr>
            <w:r>
              <w:rPr>
                <w:rFonts w:hint="eastAsia" w:cs="宋体"/>
                <w:kern w:val="0"/>
                <w:sz w:val="21"/>
                <w:szCs w:val="21"/>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A0895">
            <w:pPr>
              <w:adjustRightInd w:val="0"/>
              <w:snapToGrid w:val="0"/>
              <w:rPr>
                <w:rFonts w:hint="eastAsia"/>
                <w:sz w:val="21"/>
                <w:szCs w:val="21"/>
              </w:rPr>
            </w:pPr>
            <w:r>
              <w:rPr>
                <w:rFonts w:hint="eastAsia"/>
                <w:sz w:val="21"/>
                <w:szCs w:val="21"/>
              </w:rPr>
              <w:t>压缩空气储能工程根据项目施工进度合理安排大型设备分时间段到达现场，减少设备占用施工用地。</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839EE">
            <w:pPr>
              <w:jc w:val="left"/>
              <w:rPr>
                <w:rFonts w:hint="eastAsia" w:cs="宋体"/>
                <w:sz w:val="21"/>
                <w:szCs w:val="21"/>
              </w:rPr>
            </w:pPr>
            <w:r>
              <w:rPr>
                <w:rFonts w:hint="eastAsia"/>
                <w:sz w:val="21"/>
                <w:szCs w:val="21"/>
              </w:rPr>
              <w:t>本条满分3分，措施到位，满足评价指标要求可得3分；措施到位，基本满足评价指标要求可得1.5~2.7；措施不到位，不满足评价指标要求，得0分。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35EB0">
            <w:pPr>
              <w:jc w:val="center"/>
              <w:rPr>
                <w:rFonts w:hint="eastAsia" w:cs="宋体"/>
                <w:sz w:val="21"/>
                <w:szCs w:val="21"/>
              </w:rPr>
            </w:pPr>
            <w:r>
              <w:rPr>
                <w:rFonts w:hint="eastAsia" w:cs="宋体"/>
                <w:sz w:val="21"/>
                <w:szCs w:val="21"/>
              </w:rPr>
              <w:t>3</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47044">
            <w:pPr>
              <w:jc w:val="center"/>
              <w:rPr>
                <w:rFonts w:hint="eastAsia" w:cs="宋体"/>
                <w:sz w:val="21"/>
                <w:szCs w:val="21"/>
              </w:rPr>
            </w:pPr>
          </w:p>
        </w:tc>
      </w:tr>
      <w:tr w14:paraId="35B493A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5AB12">
            <w:pPr>
              <w:jc w:val="center"/>
              <w:textAlignment w:val="center"/>
              <w:rPr>
                <w:rFonts w:hint="eastAsia"/>
                <w:sz w:val="21"/>
                <w:szCs w:val="21"/>
              </w:rPr>
            </w:pPr>
            <w:r>
              <w:rPr>
                <w:rFonts w:hint="eastAsia" w:cs="宋体"/>
                <w:kern w:val="0"/>
                <w:sz w:val="21"/>
                <w:szCs w:val="21"/>
                <w:lang w:bidi="ar"/>
              </w:rPr>
              <w:t>6.4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08D7B">
            <w:pPr>
              <w:jc w:val="left"/>
              <w:rPr>
                <w:rFonts w:hint="eastAsia"/>
                <w:sz w:val="21"/>
                <w:szCs w:val="21"/>
              </w:rPr>
            </w:pPr>
            <w:r>
              <w:rPr>
                <w:rFonts w:hint="eastAsia" w:cs="宋体"/>
                <w:kern w:val="0"/>
                <w:sz w:val="21"/>
                <w:szCs w:val="21"/>
                <w:lang w:bidi="ar"/>
              </w:rPr>
              <w:t>技术创新</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08D84">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1AEA8">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65B97">
            <w:pPr>
              <w:jc w:val="center"/>
              <w:rPr>
                <w:rFonts w:hint="eastAsia" w:cs="宋体"/>
                <w:sz w:val="21"/>
                <w:szCs w:val="21"/>
              </w:rPr>
            </w:pPr>
          </w:p>
        </w:tc>
      </w:tr>
      <w:tr w14:paraId="74354F5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19222">
            <w:pPr>
              <w:jc w:val="center"/>
              <w:textAlignment w:val="center"/>
              <w:rPr>
                <w:rFonts w:hint="eastAsia" w:cs="宋体"/>
                <w:kern w:val="0"/>
                <w:sz w:val="21"/>
                <w:szCs w:val="21"/>
                <w:lang w:bidi="ar"/>
              </w:rPr>
            </w:pPr>
            <w:r>
              <w:rPr>
                <w:sz w:val="21"/>
                <w:szCs w:val="21"/>
              </w:rPr>
              <w:t>6.4.1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01717">
            <w:pPr>
              <w:jc w:val="left"/>
              <w:rPr>
                <w:rFonts w:hint="eastAsia" w:cs="宋体"/>
                <w:kern w:val="0"/>
                <w:sz w:val="21"/>
                <w:szCs w:val="21"/>
                <w:lang w:bidi="ar"/>
              </w:rPr>
            </w:pPr>
            <w:r>
              <w:rPr>
                <w:rFonts w:hint="eastAsia"/>
                <w:sz w:val="21"/>
                <w:szCs w:val="21"/>
              </w:rPr>
              <w:t>绿色建造</w:t>
            </w:r>
            <w:r>
              <w:rPr>
                <w:sz w:val="21"/>
                <w:szCs w:val="21"/>
              </w:rPr>
              <w:t>科研管理</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2A731">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4FAD6">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7BD47">
            <w:pPr>
              <w:jc w:val="center"/>
              <w:rPr>
                <w:rFonts w:hint="eastAsia" w:cs="宋体"/>
                <w:sz w:val="21"/>
                <w:szCs w:val="21"/>
              </w:rPr>
            </w:pPr>
          </w:p>
        </w:tc>
      </w:tr>
      <w:tr w14:paraId="07053EFE">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0C073">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3D684">
            <w:pPr>
              <w:jc w:val="left"/>
              <w:rPr>
                <w:rFonts w:hint="eastAsia" w:cs="宋体"/>
                <w:kern w:val="0"/>
                <w:sz w:val="21"/>
                <w:szCs w:val="21"/>
                <w:lang w:bidi="ar"/>
              </w:rPr>
            </w:pPr>
            <w:r>
              <w:rPr>
                <w:sz w:val="21"/>
                <w:szCs w:val="21"/>
              </w:rPr>
              <w:t>制订绿色建造科研计划、实施、研究及推广应用的管理体系、制度和方法。</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95E84">
            <w:pPr>
              <w:jc w:val="left"/>
              <w:rPr>
                <w:rFonts w:hint="eastAsia" w:cs="宋体"/>
                <w:sz w:val="21"/>
                <w:szCs w:val="21"/>
              </w:rPr>
            </w:pPr>
            <w:r>
              <w:rPr>
                <w:rFonts w:hint="eastAsia"/>
                <w:sz w:val="21"/>
                <w:szCs w:val="21"/>
              </w:rPr>
              <w:t>未制定绿色建造科研计划，扣0.5分；</w:t>
            </w:r>
            <w:r>
              <w:rPr>
                <w:sz w:val="21"/>
                <w:szCs w:val="21"/>
              </w:rPr>
              <w:t>绿色建造科研</w:t>
            </w:r>
            <w:r>
              <w:rPr>
                <w:rFonts w:hint="eastAsia"/>
                <w:sz w:val="21"/>
                <w:szCs w:val="21"/>
              </w:rPr>
              <w:t>管理体系、制度、方法未制定或制定不合理，扣1分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BE29E">
            <w:pPr>
              <w:jc w:val="center"/>
              <w:rPr>
                <w:rFonts w:hint="eastAsia" w:cs="宋体"/>
                <w:sz w:val="21"/>
                <w:szCs w:val="21"/>
              </w:rPr>
            </w:pPr>
            <w:r>
              <w:rPr>
                <w:rFonts w:hint="eastAsia" w:cs="宋体"/>
                <w:sz w:val="21"/>
                <w:szCs w:val="21"/>
              </w:rPr>
              <w:t>1.5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19A33">
            <w:pPr>
              <w:jc w:val="center"/>
              <w:rPr>
                <w:rFonts w:hint="eastAsia" w:cs="宋体"/>
                <w:sz w:val="21"/>
                <w:szCs w:val="21"/>
              </w:rPr>
            </w:pPr>
          </w:p>
        </w:tc>
      </w:tr>
      <w:tr w14:paraId="742A06E1">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E4D0B">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EA23C">
            <w:pPr>
              <w:jc w:val="left"/>
              <w:rPr>
                <w:rFonts w:hint="eastAsia" w:cs="宋体"/>
                <w:kern w:val="0"/>
                <w:sz w:val="21"/>
                <w:szCs w:val="21"/>
                <w:lang w:bidi="ar"/>
              </w:rPr>
            </w:pPr>
            <w:r>
              <w:rPr>
                <w:sz w:val="21"/>
                <w:szCs w:val="21"/>
              </w:rPr>
              <w:t>应结合工程特点，立项开展有关绿色建造方面新技术、新工艺、新材料、新设备的开发和推广</w:t>
            </w:r>
            <w:r>
              <w:rPr>
                <w:rFonts w:hint="eastAsia"/>
                <w:sz w:val="21"/>
                <w:szCs w:val="21"/>
              </w:rPr>
              <w:t>应用的研究，形成具有自主知识产权的创新技术、新施工工艺、工法</w:t>
            </w:r>
            <w:r>
              <w:rPr>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2A400">
            <w:pPr>
              <w:jc w:val="left"/>
              <w:rPr>
                <w:rFonts w:hint="eastAsia" w:cs="宋体"/>
                <w:sz w:val="21"/>
                <w:szCs w:val="21"/>
              </w:rPr>
            </w:pPr>
            <w:r>
              <w:rPr>
                <w:rFonts w:hint="eastAsia" w:cs="宋体"/>
                <w:sz w:val="21"/>
                <w:szCs w:val="21"/>
              </w:rPr>
              <w:t>未立项开展相关研究，扣0.5分；未形成</w:t>
            </w:r>
            <w:r>
              <w:rPr>
                <w:rFonts w:hint="eastAsia"/>
                <w:sz w:val="21"/>
                <w:szCs w:val="21"/>
              </w:rPr>
              <w:t>具有自主知识产权的创新技术、新施工工艺、工法，扣1分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A636D">
            <w:pPr>
              <w:jc w:val="center"/>
              <w:rPr>
                <w:rFonts w:hint="eastAsia" w:cs="宋体"/>
                <w:sz w:val="21"/>
                <w:szCs w:val="21"/>
              </w:rPr>
            </w:pPr>
            <w:r>
              <w:rPr>
                <w:rFonts w:hint="eastAsia" w:cs="宋体"/>
                <w:sz w:val="21"/>
                <w:szCs w:val="21"/>
              </w:rPr>
              <w:t>1.5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514C1">
            <w:pPr>
              <w:jc w:val="center"/>
              <w:rPr>
                <w:rFonts w:hint="eastAsia" w:cs="宋体"/>
                <w:sz w:val="21"/>
                <w:szCs w:val="21"/>
              </w:rPr>
            </w:pPr>
          </w:p>
        </w:tc>
      </w:tr>
      <w:tr w14:paraId="1816521D">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6CC9E">
            <w:pPr>
              <w:jc w:val="center"/>
              <w:textAlignment w:val="center"/>
              <w:rPr>
                <w:rFonts w:hint="eastAsia" w:cs="宋体"/>
                <w:kern w:val="0"/>
                <w:sz w:val="21"/>
                <w:szCs w:val="21"/>
                <w:lang w:bidi="ar"/>
              </w:rPr>
            </w:pPr>
            <w:r>
              <w:rPr>
                <w:rFonts w:hint="eastAsia" w:cs="宋体"/>
                <w:kern w:val="0"/>
                <w:sz w:val="21"/>
                <w:szCs w:val="21"/>
                <w:lang w:bidi="ar"/>
              </w:rPr>
              <w:t xml:space="preserve">6.4.2  </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48C03">
            <w:pPr>
              <w:jc w:val="left"/>
              <w:rPr>
                <w:rFonts w:hint="eastAsia" w:cs="宋体"/>
                <w:kern w:val="0"/>
                <w:sz w:val="21"/>
                <w:szCs w:val="21"/>
                <w:lang w:bidi="ar"/>
              </w:rPr>
            </w:pPr>
            <w:r>
              <w:rPr>
                <w:rFonts w:hint="eastAsia" w:cs="宋体"/>
                <w:kern w:val="0"/>
                <w:sz w:val="21"/>
                <w:szCs w:val="21"/>
                <w:lang w:bidi="ar"/>
              </w:rPr>
              <w:t>绿色建造新技术应用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C14ED">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B86A9">
            <w:pPr>
              <w:jc w:val="center"/>
              <w:rPr>
                <w:rFonts w:hint="eastAsia" w:cs="宋体"/>
                <w:sz w:val="21"/>
                <w:szCs w:val="21"/>
              </w:rPr>
            </w:pPr>
            <w:r>
              <w:rPr>
                <w:rFonts w:hint="eastAsia" w:cs="宋体"/>
                <w:sz w:val="21"/>
                <w:szCs w:val="21"/>
              </w:rPr>
              <w:t>4</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9F4EF">
            <w:pPr>
              <w:jc w:val="center"/>
              <w:rPr>
                <w:rFonts w:hint="eastAsia" w:cs="宋体"/>
                <w:sz w:val="21"/>
                <w:szCs w:val="21"/>
              </w:rPr>
            </w:pPr>
          </w:p>
        </w:tc>
      </w:tr>
      <w:tr w14:paraId="19F75DF4">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8DB7B">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8D953">
            <w:pPr>
              <w:jc w:val="left"/>
              <w:rPr>
                <w:rFonts w:hint="eastAsia" w:cs="宋体"/>
                <w:kern w:val="0"/>
                <w:sz w:val="21"/>
                <w:szCs w:val="21"/>
                <w:lang w:bidi="ar"/>
              </w:rPr>
            </w:pPr>
            <w:r>
              <w:rPr>
                <w:sz w:val="21"/>
                <w:szCs w:val="21"/>
              </w:rPr>
              <w:t>通过采用“国家重点节能低碳技术推广目录”、“电力建设五新推广应用信息目录”、《建设部推广应用和限制禁止使用技术公告》(建设部第218号公告)中的推广应用技术和“全国建设行业科技成果推广项目”等先进适用技术；采用BIM技术以及“建筑业10项新技术”，实现与提高绿色建造过程施工的各项指标。</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5FE40">
            <w:pPr>
              <w:jc w:val="left"/>
              <w:rPr>
                <w:rFonts w:hint="eastAsia" w:cs="宋体"/>
                <w:sz w:val="21"/>
                <w:szCs w:val="21"/>
              </w:rPr>
            </w:pPr>
            <w:r>
              <w:rPr>
                <w:rFonts w:hint="eastAsia" w:cs="宋体"/>
                <w:sz w:val="21"/>
                <w:szCs w:val="21"/>
              </w:rPr>
              <w:t>根据项目采用新技术的情况酌情得分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7A077">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3A616">
            <w:pPr>
              <w:jc w:val="center"/>
              <w:rPr>
                <w:rFonts w:hint="eastAsia" w:cs="宋体"/>
                <w:sz w:val="21"/>
                <w:szCs w:val="21"/>
              </w:rPr>
            </w:pPr>
          </w:p>
        </w:tc>
      </w:tr>
      <w:tr w14:paraId="49183AF2">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C29D0">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CF80A">
            <w:pPr>
              <w:jc w:val="left"/>
              <w:rPr>
                <w:rFonts w:hint="eastAsia" w:cs="宋体"/>
                <w:kern w:val="0"/>
                <w:sz w:val="21"/>
                <w:szCs w:val="21"/>
                <w:lang w:bidi="ar"/>
              </w:rPr>
            </w:pPr>
            <w:r>
              <w:rPr>
                <w:sz w:val="21"/>
                <w:szCs w:val="21"/>
              </w:rPr>
              <w:t>推广智慧工地建设与应用。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46B8D">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EEAD9">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44C84">
            <w:pPr>
              <w:jc w:val="center"/>
              <w:rPr>
                <w:rFonts w:hint="eastAsia" w:cs="宋体"/>
                <w:sz w:val="21"/>
                <w:szCs w:val="21"/>
              </w:rPr>
            </w:pPr>
          </w:p>
        </w:tc>
      </w:tr>
      <w:tr w14:paraId="1AC87B34">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A2B55">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D386A">
            <w:pPr>
              <w:jc w:val="left"/>
              <w:rPr>
                <w:rFonts w:hint="eastAsia" w:cs="宋体"/>
                <w:kern w:val="0"/>
                <w:sz w:val="21"/>
                <w:szCs w:val="21"/>
                <w:lang w:bidi="ar"/>
              </w:rPr>
            </w:pPr>
            <w:r>
              <w:rPr>
                <w:sz w:val="21"/>
                <w:szCs w:val="21"/>
              </w:rPr>
              <w:t>通过“互联网+”技术</w:t>
            </w:r>
            <w:r>
              <w:rPr>
                <w:rFonts w:hint="eastAsia"/>
                <w:sz w:val="21"/>
                <w:szCs w:val="21"/>
              </w:rPr>
              <w:t>推广应用远程视频监控系统、远程能耗管理系统、劳务实名制网络管理系统、智能安全管控系统、物联网技术、施工机械</w:t>
            </w:r>
            <w:r>
              <w:rPr>
                <w:sz w:val="21"/>
                <w:szCs w:val="21"/>
              </w:rPr>
              <w:t>/机具远程安全监控系统、现场环境监测系统、污水排放检测系统、红外热成像防火检测报警系统等。</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A20DD">
            <w:pPr>
              <w:jc w:val="left"/>
              <w:rPr>
                <w:rFonts w:hint="eastAsia" w:cs="宋体"/>
                <w:sz w:val="21"/>
                <w:szCs w:val="21"/>
              </w:rPr>
            </w:pPr>
            <w:r>
              <w:rPr>
                <w:rFonts w:hint="eastAsia" w:cs="宋体"/>
                <w:sz w:val="21"/>
                <w:szCs w:val="21"/>
              </w:rPr>
              <w:t>根据项目智慧工地建设与应用情况酌情得分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B7668">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A4F7F">
            <w:pPr>
              <w:jc w:val="center"/>
              <w:rPr>
                <w:rFonts w:hint="eastAsia" w:cs="宋体"/>
                <w:sz w:val="21"/>
                <w:szCs w:val="21"/>
              </w:rPr>
            </w:pPr>
          </w:p>
        </w:tc>
      </w:tr>
      <w:tr w14:paraId="7C747F86">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B38FC">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5CCC6">
            <w:pPr>
              <w:jc w:val="left"/>
              <w:rPr>
                <w:rFonts w:hint="eastAsia" w:cs="宋体"/>
                <w:kern w:val="0"/>
                <w:sz w:val="21"/>
                <w:szCs w:val="21"/>
                <w:lang w:bidi="ar"/>
              </w:rPr>
            </w:pPr>
            <w:r>
              <w:rPr>
                <w:sz w:val="21"/>
                <w:szCs w:val="21"/>
              </w:rPr>
              <w:t>通过BIM技术实现施工方案模拟与优化、优化场地布置、管线综合布置、关键工艺模拟等。</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DAEBC">
            <w:pPr>
              <w:jc w:val="left"/>
              <w:rPr>
                <w:rFonts w:hint="eastAsia" w:cs="宋体"/>
                <w:sz w:val="21"/>
                <w:szCs w:val="21"/>
              </w:rPr>
            </w:pPr>
            <w:r>
              <w:rPr>
                <w:rFonts w:hint="eastAsia" w:cs="宋体"/>
                <w:sz w:val="21"/>
                <w:szCs w:val="21"/>
              </w:rPr>
              <w:t>根据项目BIM技术应用情况酌情得分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51DDD">
            <w:pPr>
              <w:jc w:val="center"/>
              <w:rPr>
                <w:rFonts w:hint="eastAsia" w:cs="宋体"/>
                <w:sz w:val="21"/>
                <w:szCs w:val="21"/>
              </w:rPr>
            </w:pPr>
            <w:r>
              <w:rPr>
                <w:rFonts w:hint="eastAsia" w:cs="宋体"/>
                <w:sz w:val="21"/>
                <w:szCs w:val="21"/>
              </w:rPr>
              <w:t>0.5</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790A2">
            <w:pPr>
              <w:jc w:val="center"/>
              <w:rPr>
                <w:rFonts w:hint="eastAsia" w:cs="宋体"/>
                <w:sz w:val="21"/>
                <w:szCs w:val="21"/>
              </w:rPr>
            </w:pPr>
          </w:p>
        </w:tc>
      </w:tr>
      <w:tr w14:paraId="38C657FC">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D2E5E">
            <w:pPr>
              <w:jc w:val="center"/>
              <w:textAlignment w:val="center"/>
              <w:rPr>
                <w:rFonts w:hint="eastAsia" w:cs="宋体"/>
                <w:kern w:val="0"/>
                <w:sz w:val="21"/>
                <w:szCs w:val="21"/>
                <w:lang w:bidi="ar"/>
              </w:rPr>
            </w:pPr>
            <w:r>
              <w:rPr>
                <w:rFonts w:hint="eastAsia" w:cs="宋体"/>
                <w:kern w:val="0"/>
                <w:sz w:val="21"/>
                <w:szCs w:val="21"/>
                <w:lang w:bidi="ar"/>
              </w:rPr>
              <w:t>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89B32">
            <w:pPr>
              <w:jc w:val="left"/>
              <w:rPr>
                <w:rFonts w:hint="eastAsia" w:cs="宋体"/>
                <w:kern w:val="0"/>
                <w:sz w:val="21"/>
                <w:szCs w:val="21"/>
                <w:lang w:bidi="ar"/>
              </w:rPr>
            </w:pPr>
            <w:r>
              <w:rPr>
                <w:sz w:val="21"/>
                <w:szCs w:val="21"/>
              </w:rPr>
              <w:t>推广自主研发的专利技术，取得明显经济和社会效益。</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6BF34">
            <w:pPr>
              <w:jc w:val="left"/>
              <w:rPr>
                <w:rFonts w:hint="eastAsia" w:cs="宋体"/>
                <w:sz w:val="21"/>
                <w:szCs w:val="21"/>
              </w:rPr>
            </w:pPr>
            <w:r>
              <w:rPr>
                <w:rFonts w:hint="eastAsia" w:cs="宋体"/>
                <w:sz w:val="21"/>
                <w:szCs w:val="21"/>
              </w:rPr>
              <w:t>根据项目专利技术的推广情况酌情得分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21943">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0046C">
            <w:pPr>
              <w:jc w:val="center"/>
              <w:rPr>
                <w:rFonts w:hint="eastAsia" w:cs="宋体"/>
                <w:sz w:val="21"/>
                <w:szCs w:val="21"/>
              </w:rPr>
            </w:pPr>
          </w:p>
        </w:tc>
      </w:tr>
      <w:tr w14:paraId="1E9422B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A3398">
            <w:pPr>
              <w:jc w:val="center"/>
              <w:textAlignment w:val="center"/>
              <w:rPr>
                <w:rFonts w:hint="eastAsia" w:cs="宋体"/>
                <w:kern w:val="0"/>
                <w:sz w:val="21"/>
                <w:szCs w:val="21"/>
                <w:lang w:bidi="ar"/>
              </w:rPr>
            </w:pPr>
            <w:r>
              <w:rPr>
                <w:rFonts w:hint="eastAsia" w:cs="宋体"/>
                <w:kern w:val="0"/>
                <w:sz w:val="21"/>
                <w:szCs w:val="21"/>
                <w:lang w:bidi="ar"/>
              </w:rPr>
              <w:t>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A07E9">
            <w:pPr>
              <w:jc w:val="left"/>
              <w:rPr>
                <w:rFonts w:hint="eastAsia" w:cs="宋体"/>
                <w:kern w:val="0"/>
                <w:sz w:val="21"/>
                <w:szCs w:val="21"/>
                <w:lang w:bidi="ar"/>
              </w:rPr>
            </w:pPr>
            <w:r>
              <w:rPr>
                <w:sz w:val="21"/>
                <w:szCs w:val="21"/>
              </w:rPr>
              <w:t>积极采用预制装配技术提升绿色建造施工水平。</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E709B">
            <w:pPr>
              <w:jc w:val="left"/>
              <w:rPr>
                <w:rFonts w:hint="eastAsia" w:cs="宋体"/>
                <w:sz w:val="21"/>
                <w:szCs w:val="21"/>
              </w:rPr>
            </w:pPr>
            <w:r>
              <w:rPr>
                <w:rFonts w:hint="eastAsia" w:cs="宋体"/>
                <w:sz w:val="21"/>
                <w:szCs w:val="21"/>
              </w:rPr>
              <w:t>分局项目采用预制装配技术的情况酌情得分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2A08E">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654E9">
            <w:pPr>
              <w:jc w:val="center"/>
              <w:rPr>
                <w:rFonts w:hint="eastAsia" w:cs="宋体"/>
                <w:sz w:val="21"/>
                <w:szCs w:val="21"/>
              </w:rPr>
            </w:pPr>
          </w:p>
        </w:tc>
      </w:tr>
      <w:tr w14:paraId="4AC48E82">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4CFE6">
            <w:pPr>
              <w:jc w:val="center"/>
              <w:textAlignment w:val="center"/>
              <w:rPr>
                <w:rFonts w:hint="eastAsia" w:cs="宋体"/>
                <w:kern w:val="0"/>
                <w:sz w:val="21"/>
                <w:szCs w:val="21"/>
                <w:lang w:bidi="ar"/>
              </w:rPr>
            </w:pPr>
            <w:r>
              <w:rPr>
                <w:rFonts w:hint="eastAsia" w:cs="宋体"/>
                <w:kern w:val="0"/>
                <w:sz w:val="21"/>
                <w:szCs w:val="21"/>
                <w:lang w:bidi="ar"/>
              </w:rPr>
              <w:t>6.4.3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88957">
            <w:pPr>
              <w:jc w:val="left"/>
              <w:rPr>
                <w:rFonts w:hint="eastAsia" w:cs="宋体"/>
                <w:kern w:val="0"/>
                <w:sz w:val="21"/>
                <w:szCs w:val="21"/>
                <w:lang w:bidi="ar"/>
              </w:rPr>
            </w:pPr>
            <w:r>
              <w:rPr>
                <w:rFonts w:hint="eastAsia" w:cs="宋体"/>
                <w:kern w:val="0"/>
                <w:sz w:val="21"/>
                <w:szCs w:val="21"/>
                <w:lang w:bidi="ar"/>
              </w:rPr>
              <w:t>绿色建造新成果</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99FD4">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55DF6">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266F5">
            <w:pPr>
              <w:jc w:val="center"/>
              <w:rPr>
                <w:rFonts w:hint="eastAsia" w:cs="宋体"/>
                <w:sz w:val="21"/>
                <w:szCs w:val="21"/>
              </w:rPr>
            </w:pPr>
          </w:p>
        </w:tc>
      </w:tr>
      <w:tr w14:paraId="13EEB9E0">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BF255">
            <w:pPr>
              <w:jc w:val="center"/>
              <w:textAlignment w:val="center"/>
              <w:rPr>
                <w:rFonts w:hint="eastAsia" w:cs="宋体"/>
                <w:kern w:val="0"/>
                <w:sz w:val="21"/>
                <w:szCs w:val="21"/>
                <w:lang w:bidi="ar"/>
              </w:rPr>
            </w:pPr>
            <w:r>
              <w:rPr>
                <w:rFonts w:hint="eastAsia" w:cs="宋体"/>
                <w:kern w:val="0"/>
                <w:sz w:val="21"/>
                <w:szCs w:val="21"/>
                <w:lang w:bidi="ar"/>
              </w:rPr>
              <w:t>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C904F">
            <w:pPr>
              <w:jc w:val="left"/>
              <w:rPr>
                <w:rFonts w:hint="eastAsia" w:cs="宋体"/>
                <w:kern w:val="0"/>
                <w:sz w:val="21"/>
                <w:szCs w:val="21"/>
                <w:lang w:bidi="ar"/>
              </w:rPr>
            </w:pPr>
            <w:r>
              <w:rPr>
                <w:sz w:val="21"/>
                <w:szCs w:val="21"/>
              </w:rPr>
              <w:t>自主创新形成具有自主知识产权的专利、工法、论文、软件著作等成果，项目研究获得国家级、省部级科技奖项。</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8C9B1">
            <w:pPr>
              <w:jc w:val="left"/>
              <w:rPr>
                <w:rFonts w:hint="eastAsia" w:cs="宋体"/>
                <w:sz w:val="21"/>
                <w:szCs w:val="21"/>
              </w:rPr>
            </w:pPr>
            <w:r>
              <w:rPr>
                <w:rFonts w:hint="eastAsia" w:cs="宋体"/>
                <w:sz w:val="21"/>
                <w:szCs w:val="21"/>
              </w:rPr>
              <w:t>根据</w:t>
            </w:r>
            <w:r>
              <w:rPr>
                <w:sz w:val="21"/>
                <w:szCs w:val="21"/>
              </w:rPr>
              <w:t>自主创新自主知识产权</w:t>
            </w:r>
            <w:r>
              <w:rPr>
                <w:rFonts w:hint="eastAsia"/>
                <w:sz w:val="21"/>
                <w:szCs w:val="21"/>
              </w:rPr>
              <w:t>成果，及取得科技奖项情况得分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E5E79">
            <w:pPr>
              <w:jc w:val="center"/>
              <w:rPr>
                <w:rFonts w:hint="eastAsia" w:cs="宋体"/>
                <w:sz w:val="21"/>
                <w:szCs w:val="21"/>
              </w:rPr>
            </w:pPr>
            <w:r>
              <w:rPr>
                <w:rFonts w:hint="eastAsia" w:cs="宋体"/>
                <w:sz w:val="21"/>
                <w:szCs w:val="21"/>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B1343">
            <w:pPr>
              <w:jc w:val="center"/>
              <w:rPr>
                <w:rFonts w:hint="eastAsia" w:cs="宋体"/>
                <w:sz w:val="21"/>
                <w:szCs w:val="21"/>
              </w:rPr>
            </w:pPr>
          </w:p>
        </w:tc>
      </w:tr>
      <w:tr w14:paraId="4A66DC0F">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D7342">
            <w:pPr>
              <w:jc w:val="center"/>
              <w:textAlignment w:val="center"/>
              <w:rPr>
                <w:rFonts w:hint="eastAsia" w:cs="宋体"/>
                <w:kern w:val="0"/>
                <w:sz w:val="21"/>
                <w:szCs w:val="21"/>
                <w:lang w:bidi="ar"/>
              </w:rPr>
            </w:pPr>
            <w:r>
              <w:rPr>
                <w:rFonts w:hint="eastAsia" w:cs="宋体"/>
                <w:kern w:val="0"/>
                <w:sz w:val="21"/>
                <w:szCs w:val="21"/>
                <w:lang w:bidi="ar"/>
              </w:rPr>
              <w:t>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B7D3F">
            <w:pPr>
              <w:jc w:val="left"/>
              <w:rPr>
                <w:rFonts w:hint="eastAsia" w:cs="宋体"/>
                <w:kern w:val="0"/>
                <w:sz w:val="21"/>
                <w:szCs w:val="21"/>
                <w:lang w:bidi="ar"/>
              </w:rPr>
            </w:pPr>
            <w:r>
              <w:rPr>
                <w:sz w:val="21"/>
                <w:szCs w:val="21"/>
              </w:rPr>
              <w:t>积极采用装配式施工技术、信息化施工技术提升绿色建造施工技术水平。</w:t>
            </w:r>
            <w:r>
              <w:rPr>
                <w:rFonts w:hint="eastAsia"/>
                <w:sz w:val="21"/>
                <w:szCs w:val="21"/>
              </w:rPr>
              <w:t>以人为本，建造智能健康绿色建筑。不断革新传统工艺，提高绿色建造过程施工的各项指标</w:t>
            </w:r>
            <w:r>
              <w:rPr>
                <w:sz w:val="21"/>
                <w:szCs w:val="21"/>
              </w:rPr>
              <w:t>。</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0C4A8">
            <w:pPr>
              <w:jc w:val="left"/>
              <w:rPr>
                <w:rFonts w:hint="eastAsia" w:cs="宋体"/>
                <w:sz w:val="21"/>
                <w:szCs w:val="21"/>
              </w:rPr>
            </w:pPr>
            <w:r>
              <w:rPr>
                <w:rFonts w:hint="eastAsia" w:cs="宋体"/>
                <w:sz w:val="21"/>
                <w:szCs w:val="21"/>
              </w:rPr>
              <w:t>根据采用</w:t>
            </w:r>
            <w:r>
              <w:rPr>
                <w:sz w:val="21"/>
                <w:szCs w:val="21"/>
              </w:rPr>
              <w:t>装配式施工技术、信息化施工技术</w:t>
            </w:r>
            <w:r>
              <w:rPr>
                <w:rFonts w:hint="eastAsia"/>
                <w:sz w:val="21"/>
                <w:szCs w:val="21"/>
              </w:rPr>
              <w:t>等情况酌情得分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55B04">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17734">
            <w:pPr>
              <w:jc w:val="center"/>
              <w:rPr>
                <w:rFonts w:hint="eastAsia" w:cs="宋体"/>
                <w:sz w:val="21"/>
                <w:szCs w:val="21"/>
              </w:rPr>
            </w:pPr>
          </w:p>
        </w:tc>
      </w:tr>
      <w:tr w14:paraId="36D509F1">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500F1">
            <w:pPr>
              <w:jc w:val="center"/>
              <w:textAlignment w:val="center"/>
              <w:rPr>
                <w:rFonts w:hint="eastAsia" w:cs="宋体"/>
                <w:kern w:val="0"/>
                <w:sz w:val="21"/>
                <w:szCs w:val="21"/>
                <w:lang w:bidi="ar"/>
              </w:rPr>
            </w:pPr>
            <w:r>
              <w:rPr>
                <w:rFonts w:hint="eastAsia" w:cs="宋体"/>
                <w:kern w:val="0"/>
                <w:sz w:val="21"/>
                <w:szCs w:val="21"/>
                <w:lang w:bidi="ar"/>
              </w:rPr>
              <w:t>6.5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2010F">
            <w:pPr>
              <w:jc w:val="left"/>
              <w:textAlignment w:val="center"/>
              <w:rPr>
                <w:rFonts w:hint="eastAsia" w:cs="宋体"/>
                <w:kern w:val="0"/>
                <w:sz w:val="21"/>
                <w:szCs w:val="21"/>
                <w:lang w:bidi="ar"/>
              </w:rPr>
            </w:pPr>
            <w:r>
              <w:rPr>
                <w:rFonts w:hint="eastAsia" w:cs="宋体"/>
                <w:kern w:val="0"/>
                <w:sz w:val="21"/>
                <w:szCs w:val="21"/>
                <w:lang w:bidi="ar"/>
              </w:rPr>
              <w:t>综合效益</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F5851">
            <w:pPr>
              <w:jc w:val="left"/>
              <w:rPr>
                <w:rFonts w:hint="eastAsia" w:cs="宋体"/>
                <w:sz w:val="21"/>
                <w:szCs w:val="21"/>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BFA49">
            <w:pPr>
              <w:jc w:val="center"/>
              <w:rPr>
                <w:rFonts w:hint="eastAsia" w:cs="宋体"/>
                <w:sz w:val="21"/>
                <w:szCs w:val="21"/>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D9AB5">
            <w:pPr>
              <w:jc w:val="center"/>
              <w:rPr>
                <w:rFonts w:hint="eastAsia" w:cs="宋体"/>
                <w:sz w:val="21"/>
                <w:szCs w:val="21"/>
              </w:rPr>
            </w:pPr>
          </w:p>
        </w:tc>
      </w:tr>
      <w:tr w14:paraId="43D588A5">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B2384">
            <w:pPr>
              <w:jc w:val="center"/>
              <w:textAlignment w:val="center"/>
              <w:rPr>
                <w:rFonts w:hint="eastAsia" w:cs="宋体"/>
                <w:kern w:val="0"/>
                <w:sz w:val="21"/>
                <w:szCs w:val="21"/>
                <w:lang w:bidi="ar"/>
              </w:rPr>
            </w:pPr>
            <w:r>
              <w:rPr>
                <w:rFonts w:hint="eastAsia" w:cs="宋体"/>
                <w:kern w:val="0"/>
                <w:sz w:val="21"/>
                <w:szCs w:val="21"/>
                <w:lang w:bidi="ar"/>
              </w:rPr>
              <w:t>6.5.1</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E44F0">
            <w:pPr>
              <w:jc w:val="left"/>
              <w:textAlignment w:val="center"/>
              <w:rPr>
                <w:rFonts w:hint="eastAsia" w:cs="宋体"/>
                <w:sz w:val="21"/>
                <w:szCs w:val="21"/>
              </w:rPr>
            </w:pPr>
            <w:r>
              <w:rPr>
                <w:rFonts w:hint="eastAsia" w:cs="宋体"/>
                <w:kern w:val="0"/>
                <w:sz w:val="21"/>
                <w:szCs w:val="21"/>
                <w:lang w:bidi="ar"/>
              </w:rPr>
              <w:t>项目取得良好的经济效益。与同类同期工程相比较，在综合投资、建造成本、建造工期等方面有显著改进，并取得显著成效；重要经济技术指标处于领先水平。</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777B0">
            <w:pPr>
              <w:jc w:val="left"/>
              <w:rPr>
                <w:rFonts w:hint="eastAsia" w:cs="宋体"/>
                <w:sz w:val="21"/>
                <w:szCs w:val="21"/>
              </w:rPr>
            </w:pPr>
            <w:r>
              <w:rPr>
                <w:rFonts w:hint="eastAsia" w:cs="宋体"/>
                <w:sz w:val="21"/>
                <w:szCs w:val="21"/>
              </w:rPr>
              <w:t>根据</w:t>
            </w:r>
            <w:r>
              <w:rPr>
                <w:rFonts w:hint="eastAsia" w:cs="宋体"/>
                <w:kern w:val="0"/>
                <w:sz w:val="21"/>
                <w:szCs w:val="21"/>
                <w:lang w:bidi="ar"/>
              </w:rPr>
              <w:t>项目取得的经济效益酌情得分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7863D">
            <w:pPr>
              <w:jc w:val="center"/>
              <w:rPr>
                <w:rFonts w:hint="eastAsia" w:cs="宋体"/>
                <w:sz w:val="21"/>
                <w:szCs w:val="21"/>
              </w:rPr>
            </w:pPr>
            <w:r>
              <w:rPr>
                <w:rFonts w:hint="eastAsia" w:cs="宋体"/>
                <w:sz w:val="21"/>
                <w:szCs w:val="21"/>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589D5">
            <w:pPr>
              <w:jc w:val="center"/>
              <w:rPr>
                <w:rFonts w:hint="eastAsia" w:cs="宋体"/>
                <w:sz w:val="21"/>
                <w:szCs w:val="21"/>
              </w:rPr>
            </w:pPr>
          </w:p>
        </w:tc>
      </w:tr>
      <w:tr w14:paraId="10A5AE5D">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7FABB">
            <w:pPr>
              <w:jc w:val="center"/>
              <w:textAlignment w:val="center"/>
              <w:rPr>
                <w:rFonts w:hint="eastAsia" w:cs="宋体"/>
                <w:kern w:val="0"/>
                <w:sz w:val="21"/>
                <w:szCs w:val="21"/>
                <w:lang w:bidi="ar"/>
              </w:rPr>
            </w:pPr>
            <w:r>
              <w:rPr>
                <w:rFonts w:hint="eastAsia" w:cs="宋体"/>
                <w:kern w:val="0"/>
                <w:sz w:val="21"/>
                <w:szCs w:val="21"/>
                <w:lang w:bidi="ar"/>
              </w:rPr>
              <w:t>6.5.2</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ABB23">
            <w:pPr>
              <w:jc w:val="left"/>
              <w:textAlignment w:val="center"/>
              <w:rPr>
                <w:rFonts w:hint="eastAsia" w:cs="宋体"/>
                <w:sz w:val="21"/>
                <w:szCs w:val="21"/>
              </w:rPr>
            </w:pPr>
            <w:r>
              <w:rPr>
                <w:rFonts w:hint="eastAsia" w:cs="宋体"/>
                <w:kern w:val="0"/>
                <w:sz w:val="21"/>
                <w:szCs w:val="21"/>
                <w:lang w:bidi="ar"/>
              </w:rPr>
              <w:t>项目取得良好的社会效益。推动行业科技进步、施工技术进步，对引领行业施工技术发展方向具有重要意义。</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A1A70">
            <w:pPr>
              <w:jc w:val="left"/>
              <w:rPr>
                <w:rFonts w:hint="eastAsia" w:cs="宋体"/>
                <w:sz w:val="21"/>
                <w:szCs w:val="21"/>
              </w:rPr>
            </w:pPr>
            <w:r>
              <w:rPr>
                <w:rFonts w:hint="eastAsia" w:cs="宋体"/>
                <w:sz w:val="21"/>
                <w:szCs w:val="21"/>
              </w:rPr>
              <w:t>根据</w:t>
            </w:r>
            <w:r>
              <w:rPr>
                <w:rFonts w:hint="eastAsia" w:cs="宋体"/>
                <w:kern w:val="0"/>
                <w:sz w:val="21"/>
                <w:szCs w:val="21"/>
                <w:lang w:bidi="ar"/>
              </w:rPr>
              <w:t>项目取得的社会效益酌情得分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503BF">
            <w:pPr>
              <w:jc w:val="center"/>
              <w:rPr>
                <w:rFonts w:hint="eastAsia" w:cs="宋体"/>
                <w:sz w:val="21"/>
                <w:szCs w:val="21"/>
              </w:rPr>
            </w:pPr>
            <w:r>
              <w:rPr>
                <w:rFonts w:hint="eastAsia" w:cs="宋体"/>
                <w:sz w:val="21"/>
                <w:szCs w:val="21"/>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D6DAF">
            <w:pPr>
              <w:jc w:val="center"/>
              <w:rPr>
                <w:rFonts w:hint="eastAsia" w:cs="宋体"/>
                <w:sz w:val="21"/>
                <w:szCs w:val="21"/>
              </w:rPr>
            </w:pPr>
          </w:p>
        </w:tc>
      </w:tr>
      <w:tr w14:paraId="73448E13">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EECD1">
            <w:pPr>
              <w:jc w:val="center"/>
              <w:textAlignment w:val="center"/>
              <w:rPr>
                <w:rFonts w:hint="eastAsia" w:cs="宋体"/>
                <w:kern w:val="0"/>
                <w:sz w:val="21"/>
                <w:szCs w:val="21"/>
                <w:lang w:bidi="ar"/>
              </w:rPr>
            </w:pPr>
            <w:r>
              <w:rPr>
                <w:rFonts w:hint="eastAsia" w:cs="宋体"/>
                <w:kern w:val="0"/>
                <w:sz w:val="21"/>
                <w:szCs w:val="21"/>
                <w:lang w:bidi="ar"/>
              </w:rPr>
              <w:t>6.5.3</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FEF43">
            <w:pPr>
              <w:jc w:val="left"/>
              <w:textAlignment w:val="center"/>
              <w:rPr>
                <w:rFonts w:hint="eastAsia" w:cs="宋体"/>
                <w:sz w:val="21"/>
                <w:szCs w:val="21"/>
              </w:rPr>
            </w:pPr>
            <w:r>
              <w:rPr>
                <w:sz w:val="21"/>
                <w:szCs w:val="21"/>
              </w:rPr>
              <w:t>项目取得良好的</w:t>
            </w:r>
            <w:r>
              <w:rPr>
                <w:rFonts w:hint="eastAsia"/>
                <w:sz w:val="21"/>
                <w:szCs w:val="21"/>
              </w:rPr>
              <w:t>环境</w:t>
            </w:r>
            <w:r>
              <w:rPr>
                <w:sz w:val="21"/>
                <w:szCs w:val="21"/>
              </w:rPr>
              <w:t>效益。</w:t>
            </w:r>
            <w:r>
              <w:rPr>
                <w:rFonts w:hint="eastAsia"/>
                <w:sz w:val="21"/>
                <w:szCs w:val="21"/>
              </w:rPr>
              <w:t>项目建设对</w:t>
            </w:r>
            <w:r>
              <w:rPr>
                <w:sz w:val="21"/>
                <w:szCs w:val="21"/>
              </w:rPr>
              <w:t>改善环境</w:t>
            </w:r>
            <w:r>
              <w:rPr>
                <w:rFonts w:hint="eastAsia"/>
                <w:sz w:val="21"/>
                <w:szCs w:val="21"/>
              </w:rPr>
              <w:t>起到积极作用，对</w:t>
            </w:r>
            <w:r>
              <w:rPr>
                <w:sz w:val="21"/>
                <w:szCs w:val="21"/>
              </w:rPr>
              <w:t>环境的污染</w:t>
            </w:r>
            <w:r>
              <w:rPr>
                <w:rFonts w:hint="eastAsia"/>
                <w:sz w:val="21"/>
                <w:szCs w:val="21"/>
              </w:rPr>
              <w:t>、</w:t>
            </w:r>
            <w:r>
              <w:rPr>
                <w:sz w:val="21"/>
                <w:szCs w:val="21"/>
              </w:rPr>
              <w:t>提高环境质量方面取得</w:t>
            </w:r>
            <w:r>
              <w:rPr>
                <w:rFonts w:hint="eastAsia"/>
                <w:sz w:val="21"/>
                <w:szCs w:val="21"/>
              </w:rPr>
              <w:t>一定</w:t>
            </w:r>
            <w:r>
              <w:rPr>
                <w:sz w:val="21"/>
                <w:szCs w:val="21"/>
              </w:rPr>
              <w:t>成果。</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A8EF2">
            <w:pPr>
              <w:jc w:val="left"/>
              <w:rPr>
                <w:rFonts w:hint="eastAsia" w:cs="宋体"/>
                <w:sz w:val="21"/>
                <w:szCs w:val="21"/>
              </w:rPr>
            </w:pPr>
            <w:r>
              <w:rPr>
                <w:rFonts w:hint="eastAsia" w:cs="宋体"/>
                <w:sz w:val="21"/>
                <w:szCs w:val="21"/>
              </w:rPr>
              <w:t>根据</w:t>
            </w:r>
            <w:r>
              <w:rPr>
                <w:rFonts w:hint="eastAsia" w:cs="宋体"/>
                <w:kern w:val="0"/>
                <w:sz w:val="21"/>
                <w:szCs w:val="21"/>
                <w:lang w:bidi="ar"/>
              </w:rPr>
              <w:t>项目取得的环境效益酌情得分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A96D5">
            <w:pPr>
              <w:jc w:val="center"/>
              <w:rPr>
                <w:rFonts w:hint="eastAsia" w:cs="宋体"/>
                <w:sz w:val="21"/>
                <w:szCs w:val="21"/>
              </w:rPr>
            </w:pPr>
            <w:r>
              <w:rPr>
                <w:rFonts w:hint="eastAsia" w:cs="宋体"/>
                <w:sz w:val="21"/>
                <w:szCs w:val="21"/>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936B4">
            <w:pPr>
              <w:jc w:val="center"/>
              <w:rPr>
                <w:rFonts w:hint="eastAsia" w:cs="宋体"/>
                <w:sz w:val="21"/>
                <w:szCs w:val="21"/>
              </w:rPr>
            </w:pPr>
          </w:p>
        </w:tc>
      </w:tr>
      <w:tr w14:paraId="01FED9D9">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B6451">
            <w:pPr>
              <w:jc w:val="center"/>
              <w:textAlignment w:val="center"/>
              <w:rPr>
                <w:rFonts w:hint="eastAsia" w:cs="宋体"/>
                <w:kern w:val="0"/>
                <w:sz w:val="21"/>
                <w:szCs w:val="21"/>
                <w:lang w:bidi="ar"/>
              </w:rPr>
            </w:pPr>
            <w:r>
              <w:rPr>
                <w:rFonts w:hint="eastAsia" w:cs="宋体"/>
                <w:kern w:val="0"/>
                <w:sz w:val="21"/>
                <w:szCs w:val="21"/>
                <w:lang w:bidi="ar"/>
              </w:rPr>
              <w:t>6.5.4</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4432D">
            <w:pPr>
              <w:jc w:val="left"/>
              <w:textAlignment w:val="center"/>
              <w:rPr>
                <w:rFonts w:hint="eastAsia" w:cs="宋体"/>
                <w:sz w:val="21"/>
                <w:szCs w:val="21"/>
              </w:rPr>
            </w:pPr>
            <w:r>
              <w:rPr>
                <w:rFonts w:hint="eastAsia" w:cs="宋体"/>
                <w:kern w:val="0"/>
                <w:sz w:val="21"/>
                <w:szCs w:val="21"/>
                <w:lang w:bidi="ar"/>
              </w:rPr>
              <w:t>对后续工程的持续发展产生积极影响。项目施工技术能够衍生出一系列施工新工艺、新技术、新装置，为后续同类型工程施工提供借鉴和参考。</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207B1">
            <w:pPr>
              <w:jc w:val="left"/>
              <w:rPr>
                <w:rFonts w:hint="eastAsia" w:cs="宋体"/>
                <w:sz w:val="21"/>
                <w:szCs w:val="21"/>
              </w:rPr>
            </w:pPr>
            <w:r>
              <w:rPr>
                <w:rFonts w:hint="eastAsia" w:cs="宋体"/>
                <w:sz w:val="21"/>
                <w:szCs w:val="21"/>
              </w:rPr>
              <w:t>根据项目对后续工程</w:t>
            </w:r>
            <w:r>
              <w:rPr>
                <w:rFonts w:hint="eastAsia" w:cs="宋体"/>
                <w:kern w:val="0"/>
                <w:sz w:val="21"/>
                <w:szCs w:val="21"/>
                <w:lang w:bidi="ar"/>
              </w:rPr>
              <w:t>的持续发展影响情况得分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DCBD1">
            <w:pPr>
              <w:jc w:val="center"/>
              <w:rPr>
                <w:rFonts w:hint="eastAsia" w:cs="宋体"/>
                <w:sz w:val="21"/>
                <w:szCs w:val="21"/>
              </w:rPr>
            </w:pPr>
            <w:r>
              <w:rPr>
                <w:rFonts w:hint="eastAsia" w:cs="宋体"/>
                <w:sz w:val="21"/>
                <w:szCs w:val="21"/>
              </w:rPr>
              <w:t>2</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10BCF">
            <w:pPr>
              <w:jc w:val="center"/>
              <w:rPr>
                <w:rFonts w:hint="eastAsia" w:cs="宋体"/>
                <w:sz w:val="21"/>
                <w:szCs w:val="21"/>
              </w:rPr>
            </w:pPr>
          </w:p>
        </w:tc>
      </w:tr>
      <w:tr w14:paraId="4D4AFCD2">
        <w:tblPrEx>
          <w:tblCellMar>
            <w:top w:w="0" w:type="dxa"/>
            <w:left w:w="108" w:type="dxa"/>
            <w:bottom w:w="0" w:type="dxa"/>
            <w:right w:w="108" w:type="dxa"/>
          </w:tblCellMar>
        </w:tblPrEx>
        <w:trPr>
          <w:trHeight w:val="31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7FE8C">
            <w:pPr>
              <w:jc w:val="center"/>
              <w:textAlignment w:val="center"/>
              <w:rPr>
                <w:rFonts w:hint="eastAsia" w:cs="宋体"/>
                <w:kern w:val="0"/>
                <w:sz w:val="21"/>
                <w:szCs w:val="21"/>
                <w:lang w:bidi="ar"/>
              </w:rPr>
            </w:pPr>
            <w:r>
              <w:rPr>
                <w:rFonts w:hint="eastAsia" w:cs="宋体"/>
                <w:kern w:val="0"/>
                <w:sz w:val="21"/>
                <w:szCs w:val="21"/>
                <w:lang w:bidi="ar"/>
              </w:rPr>
              <w:t>6.5.5</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D1ADA">
            <w:pPr>
              <w:jc w:val="left"/>
              <w:textAlignment w:val="center"/>
              <w:rPr>
                <w:rFonts w:hint="eastAsia" w:cs="宋体"/>
                <w:sz w:val="21"/>
                <w:szCs w:val="21"/>
              </w:rPr>
            </w:pPr>
            <w:r>
              <w:rPr>
                <w:rFonts w:hint="eastAsia" w:cs="宋体"/>
                <w:kern w:val="0"/>
                <w:sz w:val="21"/>
                <w:szCs w:val="21"/>
                <w:lang w:bidi="ar"/>
              </w:rPr>
              <w:t>对团队建设和人才培养产生积极影响。项目锻炼和培养了一批技术创新人才，形成了产学研相结合的研发团队，项目的人才培养计划与梯队建设，为企业持续发展提供人力支持与保障。</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BED72">
            <w:pPr>
              <w:jc w:val="left"/>
              <w:rPr>
                <w:rFonts w:hint="eastAsia" w:cs="宋体"/>
                <w:sz w:val="21"/>
                <w:szCs w:val="21"/>
              </w:rPr>
            </w:pPr>
            <w:r>
              <w:rPr>
                <w:rFonts w:hint="eastAsia" w:cs="宋体"/>
                <w:kern w:val="0"/>
                <w:sz w:val="21"/>
                <w:szCs w:val="21"/>
                <w:lang w:bidi="ar"/>
              </w:rPr>
              <w:t>根据团队建设和人才培养情况得分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0F680">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D35F0">
            <w:pPr>
              <w:jc w:val="center"/>
              <w:rPr>
                <w:rFonts w:hint="eastAsia" w:cs="宋体"/>
                <w:sz w:val="21"/>
                <w:szCs w:val="21"/>
              </w:rPr>
            </w:pPr>
          </w:p>
        </w:tc>
      </w:tr>
      <w:tr w14:paraId="18800F38">
        <w:tblPrEx>
          <w:tblCellMar>
            <w:top w:w="0" w:type="dxa"/>
            <w:left w:w="108" w:type="dxa"/>
            <w:bottom w:w="0" w:type="dxa"/>
            <w:right w:w="108" w:type="dxa"/>
          </w:tblCellMar>
        </w:tblPrEx>
        <w:trPr>
          <w:trHeight w:val="540" w:hRule="atLeast"/>
        </w:trPr>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1ECD0">
            <w:pPr>
              <w:jc w:val="center"/>
              <w:textAlignment w:val="center"/>
              <w:rPr>
                <w:rFonts w:hint="eastAsia" w:cs="宋体"/>
                <w:kern w:val="0"/>
                <w:sz w:val="21"/>
                <w:szCs w:val="21"/>
                <w:lang w:bidi="ar"/>
              </w:rPr>
            </w:pPr>
            <w:r>
              <w:rPr>
                <w:rFonts w:hint="eastAsia" w:cs="宋体"/>
                <w:kern w:val="0"/>
                <w:sz w:val="21"/>
                <w:szCs w:val="21"/>
                <w:lang w:bidi="ar"/>
              </w:rPr>
              <w:t>6.5.6</w:t>
            </w:r>
          </w:p>
        </w:tc>
        <w:tc>
          <w:tcPr>
            <w:tcW w:w="4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6D051">
            <w:pPr>
              <w:jc w:val="left"/>
              <w:textAlignment w:val="center"/>
              <w:rPr>
                <w:rFonts w:hint="eastAsia" w:cs="宋体"/>
                <w:sz w:val="21"/>
                <w:szCs w:val="21"/>
              </w:rPr>
            </w:pPr>
            <w:r>
              <w:rPr>
                <w:rFonts w:hint="eastAsia" w:cs="宋体"/>
                <w:kern w:val="0"/>
                <w:sz w:val="21"/>
                <w:szCs w:val="21"/>
                <w:lang w:bidi="ar"/>
              </w:rPr>
              <w:t>对当地相关产业有辐射带动作用，对推动生态治理与战略性转型产业深度融合贡献巨大。</w:t>
            </w:r>
          </w:p>
        </w:tc>
        <w:tc>
          <w:tcPr>
            <w:tcW w:w="4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2645C">
            <w:pPr>
              <w:jc w:val="left"/>
              <w:rPr>
                <w:rFonts w:hint="eastAsia" w:cs="宋体"/>
                <w:sz w:val="21"/>
                <w:szCs w:val="21"/>
              </w:rPr>
            </w:pPr>
            <w:r>
              <w:rPr>
                <w:rFonts w:hint="eastAsia" w:cs="宋体"/>
                <w:sz w:val="21"/>
                <w:szCs w:val="21"/>
              </w:rPr>
              <w:t>根据对</w:t>
            </w:r>
            <w:r>
              <w:rPr>
                <w:rFonts w:hint="eastAsia" w:cs="宋体"/>
                <w:kern w:val="0"/>
                <w:sz w:val="21"/>
                <w:szCs w:val="21"/>
                <w:lang w:bidi="ar"/>
              </w:rPr>
              <w:t>当地相关产业的辐射带动作用得分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0C1FE">
            <w:pPr>
              <w:jc w:val="center"/>
              <w:rPr>
                <w:rFonts w:hint="eastAsia" w:cs="宋体"/>
                <w:sz w:val="21"/>
                <w:szCs w:val="21"/>
              </w:rPr>
            </w:pPr>
            <w:r>
              <w:rPr>
                <w:rFonts w:hint="eastAsia" w:cs="宋体"/>
                <w:sz w:val="21"/>
                <w:szCs w:val="21"/>
              </w:rPr>
              <w:t>1</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ED2F7">
            <w:pPr>
              <w:jc w:val="center"/>
              <w:rPr>
                <w:rFonts w:hint="eastAsia" w:cs="宋体"/>
                <w:sz w:val="21"/>
                <w:szCs w:val="21"/>
              </w:rPr>
            </w:pPr>
          </w:p>
        </w:tc>
      </w:tr>
      <w:tr w14:paraId="31EEEFF9">
        <w:tblPrEx>
          <w:tblCellMar>
            <w:top w:w="0" w:type="dxa"/>
            <w:left w:w="108" w:type="dxa"/>
            <w:bottom w:w="0" w:type="dxa"/>
            <w:right w:w="108" w:type="dxa"/>
          </w:tblCellMar>
        </w:tblPrEx>
        <w:trPr>
          <w:trHeight w:val="560" w:hRule="atLeast"/>
        </w:trPr>
        <w:tc>
          <w:tcPr>
            <w:tcW w:w="9249" w:type="dxa"/>
            <w:gridSpan w:val="3"/>
            <w:tcBorders>
              <w:top w:val="single" w:color="000000" w:sz="4" w:space="0"/>
              <w:left w:val="single" w:color="000000" w:sz="4" w:space="0"/>
              <w:bottom w:val="nil"/>
              <w:right w:val="single" w:color="000000" w:sz="4" w:space="0"/>
            </w:tcBorders>
            <w:shd w:val="clear" w:color="auto" w:fill="auto"/>
            <w:vAlign w:val="center"/>
          </w:tcPr>
          <w:p w14:paraId="03D4A7BF">
            <w:pPr>
              <w:jc w:val="left"/>
              <w:textAlignment w:val="center"/>
              <w:rPr>
                <w:rFonts w:hint="eastAsia" w:cs="宋体"/>
                <w:sz w:val="21"/>
                <w:szCs w:val="21"/>
              </w:rPr>
            </w:pPr>
            <w:r>
              <w:rPr>
                <w:rFonts w:hint="eastAsia" w:cs="宋体"/>
                <w:kern w:val="0"/>
                <w:sz w:val="21"/>
                <w:szCs w:val="21"/>
                <w:lang w:bidi="ar"/>
              </w:rPr>
              <w:t>合计</w:t>
            </w:r>
          </w:p>
        </w:tc>
        <w:tc>
          <w:tcPr>
            <w:tcW w:w="1134" w:type="dxa"/>
            <w:tcBorders>
              <w:top w:val="single" w:color="000000" w:sz="4" w:space="0"/>
              <w:left w:val="single" w:color="000000" w:sz="4" w:space="0"/>
              <w:bottom w:val="nil"/>
              <w:right w:val="single" w:color="000000" w:sz="4" w:space="0"/>
            </w:tcBorders>
            <w:shd w:val="clear" w:color="auto" w:fill="auto"/>
            <w:vAlign w:val="center"/>
          </w:tcPr>
          <w:p w14:paraId="1033FA0B">
            <w:pPr>
              <w:jc w:val="center"/>
              <w:rPr>
                <w:rFonts w:hint="eastAsia" w:cs="宋体"/>
                <w:sz w:val="21"/>
                <w:szCs w:val="21"/>
              </w:rPr>
            </w:pPr>
          </w:p>
        </w:tc>
        <w:tc>
          <w:tcPr>
            <w:tcW w:w="1128" w:type="dxa"/>
            <w:tcBorders>
              <w:top w:val="single" w:color="000000" w:sz="4" w:space="0"/>
              <w:left w:val="single" w:color="000000" w:sz="4" w:space="0"/>
              <w:bottom w:val="nil"/>
              <w:right w:val="single" w:color="000000" w:sz="4" w:space="0"/>
            </w:tcBorders>
            <w:shd w:val="clear" w:color="auto" w:fill="auto"/>
            <w:vAlign w:val="center"/>
          </w:tcPr>
          <w:p w14:paraId="350C3F8E">
            <w:pPr>
              <w:jc w:val="center"/>
              <w:rPr>
                <w:rFonts w:hint="eastAsia" w:cs="宋体"/>
                <w:sz w:val="21"/>
                <w:szCs w:val="21"/>
              </w:rPr>
            </w:pPr>
          </w:p>
        </w:tc>
      </w:tr>
      <w:tr w14:paraId="55FF934E">
        <w:tblPrEx>
          <w:tblCellMar>
            <w:top w:w="0" w:type="dxa"/>
            <w:left w:w="108" w:type="dxa"/>
            <w:bottom w:w="0" w:type="dxa"/>
            <w:right w:w="108" w:type="dxa"/>
          </w:tblCellMar>
        </w:tblPrEx>
        <w:trPr>
          <w:trHeight w:val="600" w:hRule="atLeast"/>
        </w:trPr>
        <w:tc>
          <w:tcPr>
            <w:tcW w:w="115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678DE94">
            <w:pPr>
              <w:jc w:val="left"/>
              <w:textAlignment w:val="top"/>
              <w:rPr>
                <w:rFonts w:hint="eastAsia" w:cs="宋体"/>
                <w:sz w:val="21"/>
                <w:szCs w:val="21"/>
              </w:rPr>
            </w:pPr>
            <w:r>
              <w:rPr>
                <w:rFonts w:hint="eastAsia" w:cs="宋体"/>
                <w:kern w:val="0"/>
                <w:sz w:val="21"/>
                <w:szCs w:val="21"/>
                <w:lang w:bidi="ar"/>
              </w:rPr>
              <w:t>评价结果实得分：</w:t>
            </w:r>
          </w:p>
        </w:tc>
      </w:tr>
      <w:tr w14:paraId="18EBC076">
        <w:tblPrEx>
          <w:tblCellMar>
            <w:top w:w="0" w:type="dxa"/>
            <w:left w:w="108" w:type="dxa"/>
            <w:bottom w:w="0" w:type="dxa"/>
            <w:right w:w="108" w:type="dxa"/>
          </w:tblCellMar>
        </w:tblPrEx>
        <w:trPr>
          <w:trHeight w:val="960" w:hRule="atLeast"/>
        </w:trPr>
        <w:tc>
          <w:tcPr>
            <w:tcW w:w="115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8C2F260">
            <w:pPr>
              <w:jc w:val="left"/>
              <w:textAlignment w:val="top"/>
              <w:rPr>
                <w:rFonts w:hint="eastAsia" w:cs="宋体"/>
                <w:kern w:val="0"/>
                <w:sz w:val="21"/>
                <w:szCs w:val="21"/>
                <w:lang w:bidi="ar"/>
              </w:rPr>
            </w:pPr>
            <w:r>
              <w:rPr>
                <w:rFonts w:hint="eastAsia" w:cs="宋体"/>
                <w:kern w:val="0"/>
                <w:sz w:val="21"/>
                <w:szCs w:val="21"/>
                <w:lang w:bidi="ar"/>
              </w:rPr>
              <w:t>评价组成员：</w:t>
            </w:r>
            <w:r>
              <w:rPr>
                <w:rFonts w:hint="eastAsia" w:cs="宋体"/>
                <w:kern w:val="0"/>
                <w:sz w:val="21"/>
                <w:szCs w:val="21"/>
                <w:lang w:bidi="ar"/>
              </w:rPr>
              <w:br w:type="textWrapping"/>
            </w:r>
          </w:p>
          <w:p w14:paraId="79D91AF2">
            <w:pPr>
              <w:jc w:val="right"/>
              <w:textAlignment w:val="top"/>
              <w:rPr>
                <w:rFonts w:hint="eastAsia" w:cs="宋体"/>
                <w:sz w:val="21"/>
                <w:szCs w:val="21"/>
              </w:rPr>
            </w:pPr>
            <w:r>
              <w:rPr>
                <w:rFonts w:hint="eastAsia" w:cs="宋体"/>
                <w:kern w:val="0"/>
                <w:sz w:val="21"/>
                <w:szCs w:val="21"/>
                <w:lang w:bidi="ar"/>
              </w:rPr>
              <w:t xml:space="preserve">                                                                                        </w:t>
            </w:r>
            <w:r>
              <w:rPr>
                <w:rFonts w:cs="宋体"/>
                <w:kern w:val="0"/>
                <w:sz w:val="21"/>
                <w:szCs w:val="21"/>
                <w:lang w:bidi="ar"/>
              </w:rPr>
              <w:t xml:space="preserve">                 </w:t>
            </w:r>
            <w:r>
              <w:rPr>
                <w:rFonts w:hint="eastAsia" w:cs="宋体"/>
                <w:kern w:val="0"/>
                <w:sz w:val="21"/>
                <w:szCs w:val="21"/>
                <w:lang w:bidi="ar"/>
              </w:rPr>
              <w:t xml:space="preserve">评价日期：     </w:t>
            </w:r>
            <w:r>
              <w:rPr>
                <w:rFonts w:cs="宋体"/>
                <w:kern w:val="0"/>
                <w:sz w:val="21"/>
                <w:szCs w:val="21"/>
                <w:lang w:bidi="ar"/>
              </w:rPr>
              <w:t xml:space="preserve">           </w:t>
            </w:r>
            <w:r>
              <w:rPr>
                <w:rFonts w:hint="eastAsia" w:cs="宋体"/>
                <w:kern w:val="0"/>
                <w:sz w:val="21"/>
                <w:szCs w:val="21"/>
                <w:lang w:bidi="ar"/>
              </w:rPr>
              <w:t xml:space="preserve">  年    月    日</w:t>
            </w:r>
          </w:p>
        </w:tc>
      </w:tr>
      <w:tr w14:paraId="3132E00F">
        <w:tblPrEx>
          <w:tblCellMar>
            <w:top w:w="0" w:type="dxa"/>
            <w:left w:w="108" w:type="dxa"/>
            <w:bottom w:w="0" w:type="dxa"/>
            <w:right w:w="108" w:type="dxa"/>
          </w:tblCellMar>
        </w:tblPrEx>
        <w:trPr>
          <w:trHeight w:val="880" w:hRule="atLeast"/>
        </w:trPr>
        <w:tc>
          <w:tcPr>
            <w:tcW w:w="11511" w:type="dxa"/>
            <w:gridSpan w:val="5"/>
            <w:tcBorders>
              <w:top w:val="nil"/>
              <w:left w:val="single" w:color="000000" w:sz="4" w:space="0"/>
              <w:bottom w:val="single" w:color="000000" w:sz="4" w:space="0"/>
              <w:right w:val="single" w:color="000000" w:sz="4" w:space="0"/>
            </w:tcBorders>
            <w:shd w:val="clear" w:color="auto" w:fill="auto"/>
            <w:vAlign w:val="center"/>
          </w:tcPr>
          <w:p w14:paraId="27431CCD">
            <w:pPr>
              <w:jc w:val="left"/>
              <w:textAlignment w:val="center"/>
              <w:rPr>
                <w:rFonts w:hint="eastAsia" w:cs="宋体"/>
                <w:kern w:val="0"/>
                <w:sz w:val="21"/>
                <w:szCs w:val="21"/>
                <w:lang w:bidi="ar"/>
              </w:rPr>
            </w:pPr>
            <w:r>
              <w:rPr>
                <w:rFonts w:hint="eastAsia" w:cs="宋体"/>
                <w:kern w:val="0"/>
                <w:sz w:val="21"/>
                <w:szCs w:val="21"/>
                <w:lang w:bidi="ar"/>
              </w:rPr>
              <w:t>注1：每个评价项目标准分扣完为止。</w:t>
            </w:r>
          </w:p>
          <w:p w14:paraId="54B4A536">
            <w:pPr>
              <w:jc w:val="left"/>
              <w:textAlignment w:val="center"/>
              <w:rPr>
                <w:rFonts w:hint="eastAsia" w:cs="宋体"/>
                <w:sz w:val="21"/>
                <w:szCs w:val="21"/>
              </w:rPr>
            </w:pPr>
            <w:r>
              <w:rPr>
                <w:rFonts w:hint="eastAsia" w:cs="宋体"/>
                <w:kern w:val="0"/>
                <w:sz w:val="21"/>
                <w:szCs w:val="21"/>
                <w:lang w:bidi="ar"/>
              </w:rPr>
              <w:t>注2：不涉及的评价项目标准分不计入总标准分，实得分 = 总得分/总标准分×100。</w:t>
            </w:r>
          </w:p>
        </w:tc>
      </w:tr>
    </w:tbl>
    <w:p w14:paraId="07CA7851">
      <w:pPr>
        <w:rPr>
          <w:rFonts w:hint="eastAsia"/>
        </w:rPr>
      </w:pPr>
    </w:p>
    <w:p w14:paraId="7D767F3C">
      <w:pPr>
        <w:widowControl w:val="0"/>
        <w:adjustRightInd w:val="0"/>
        <w:snapToGrid w:val="0"/>
        <w:jc w:val="left"/>
        <w:rPr>
          <w:rFonts w:hint="eastAsia"/>
          <w:sz w:val="21"/>
          <w:szCs w:val="21"/>
        </w:rPr>
      </w:pPr>
    </w:p>
    <w:p w14:paraId="45FC0966">
      <w:pPr>
        <w:widowControl w:val="0"/>
        <w:adjustRightInd w:val="0"/>
        <w:snapToGrid w:val="0"/>
        <w:jc w:val="left"/>
        <w:rPr>
          <w:rFonts w:hint="eastAsia"/>
          <w:sz w:val="21"/>
          <w:szCs w:val="21"/>
        </w:rPr>
      </w:pPr>
    </w:p>
    <w:p w14:paraId="71015768">
      <w:pPr>
        <w:widowControl w:val="0"/>
        <w:adjustRightInd w:val="0"/>
        <w:snapToGrid w:val="0"/>
        <w:jc w:val="left"/>
        <w:rPr>
          <w:rFonts w:hint="eastAsia"/>
          <w:sz w:val="21"/>
          <w:szCs w:val="21"/>
        </w:rPr>
      </w:pPr>
    </w:p>
    <w:p w14:paraId="5B832A50">
      <w:pPr>
        <w:spacing w:before="120" w:beforeLines="50" w:after="240" w:afterLines="100"/>
        <w:jc w:val="center"/>
        <w:outlineLvl w:val="1"/>
        <w:rPr>
          <w:rFonts w:hint="eastAsia"/>
          <w:sz w:val="21"/>
          <w:szCs w:val="21"/>
        </w:rPr>
      </w:pPr>
      <w:bookmarkStart w:id="647" w:name="_Toc28900"/>
      <w:bookmarkStart w:id="648" w:name="_Toc8805"/>
      <w:r>
        <w:rPr>
          <w:rFonts w:hint="eastAsia"/>
          <w:sz w:val="21"/>
          <w:szCs w:val="21"/>
        </w:rPr>
        <w:t>附</w:t>
      </w:r>
      <w:r>
        <w:rPr>
          <w:sz w:val="21"/>
          <w:szCs w:val="21"/>
        </w:rPr>
        <w:t>录</w:t>
      </w:r>
      <w:r>
        <w:rPr>
          <w:rFonts w:hint="eastAsia"/>
          <w:sz w:val="21"/>
          <w:szCs w:val="21"/>
        </w:rPr>
        <w:t>D</w:t>
      </w:r>
      <w:r>
        <w:rPr>
          <w:sz w:val="21"/>
          <w:szCs w:val="21"/>
        </w:rPr>
        <w:t xml:space="preserve">  绿色移交评价表</w:t>
      </w:r>
      <w:bookmarkEnd w:id="647"/>
      <w:bookmarkEnd w:id="648"/>
    </w:p>
    <w:p w14:paraId="51FB30E1">
      <w:pPr>
        <w:jc w:val="center"/>
        <w:rPr>
          <w:rFonts w:hint="eastAsia"/>
          <w:sz w:val="21"/>
          <w:szCs w:val="21"/>
        </w:rPr>
      </w:pPr>
      <w:r>
        <w:rPr>
          <w:rFonts w:hint="eastAsia"/>
          <w:sz w:val="21"/>
          <w:szCs w:val="21"/>
        </w:rPr>
        <w:t>表D</w:t>
      </w:r>
      <w:r>
        <w:rPr>
          <w:sz w:val="21"/>
          <w:szCs w:val="21"/>
        </w:rPr>
        <w:t xml:space="preserve">  </w:t>
      </w:r>
      <w:r>
        <w:rPr>
          <w:rFonts w:hint="eastAsia"/>
          <w:sz w:val="21"/>
          <w:szCs w:val="21"/>
        </w:rPr>
        <w:t>绿色移交评</w:t>
      </w:r>
      <w:r>
        <w:rPr>
          <w:sz w:val="21"/>
          <w:szCs w:val="21"/>
        </w:rPr>
        <w:t>价</w:t>
      </w:r>
      <w:r>
        <w:rPr>
          <w:rFonts w:hint="eastAsia"/>
          <w:sz w:val="21"/>
          <w:szCs w:val="21"/>
        </w:rPr>
        <w:t>表</w:t>
      </w:r>
    </w:p>
    <w:tbl>
      <w:tblPr>
        <w:tblStyle w:val="34"/>
        <w:tblpPr w:leftFromText="180" w:rightFromText="180" w:vertAnchor="text" w:tblpXSpec="center" w:tblpY="1"/>
        <w:tblOverlap w:val="never"/>
        <w:tblW w:w="523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7" w:type="dxa"/>
          <w:bottom w:w="0" w:type="dxa"/>
          <w:right w:w="57" w:type="dxa"/>
        </w:tblCellMar>
      </w:tblPr>
      <w:tblGrid>
        <w:gridCol w:w="1139"/>
        <w:gridCol w:w="4588"/>
        <w:gridCol w:w="4300"/>
        <w:gridCol w:w="1148"/>
        <w:gridCol w:w="1118"/>
      </w:tblGrid>
      <w:tr w14:paraId="0F8758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tblHeader/>
          <w:jc w:val="center"/>
        </w:trPr>
        <w:tc>
          <w:tcPr>
            <w:tcW w:w="463" w:type="pct"/>
            <w:vAlign w:val="center"/>
          </w:tcPr>
          <w:p w14:paraId="2C8EFE35">
            <w:pPr>
              <w:adjustRightInd w:val="0"/>
              <w:snapToGrid w:val="0"/>
              <w:jc w:val="center"/>
              <w:rPr>
                <w:rFonts w:hint="eastAsia"/>
                <w:b/>
                <w:bCs/>
                <w:sz w:val="21"/>
                <w:szCs w:val="21"/>
              </w:rPr>
            </w:pPr>
            <w:r>
              <w:rPr>
                <w:rFonts w:hint="eastAsia"/>
                <w:b/>
                <w:bCs/>
                <w:sz w:val="21"/>
                <w:szCs w:val="21"/>
              </w:rPr>
              <w:t>序号</w:t>
            </w:r>
          </w:p>
        </w:tc>
        <w:tc>
          <w:tcPr>
            <w:tcW w:w="1866" w:type="pct"/>
            <w:vAlign w:val="center"/>
          </w:tcPr>
          <w:p w14:paraId="04BB0243">
            <w:pPr>
              <w:adjustRightInd w:val="0"/>
              <w:snapToGrid w:val="0"/>
              <w:jc w:val="center"/>
              <w:rPr>
                <w:rFonts w:hint="eastAsia"/>
                <w:b/>
                <w:bCs/>
                <w:sz w:val="21"/>
                <w:szCs w:val="21"/>
              </w:rPr>
            </w:pPr>
            <w:r>
              <w:rPr>
                <w:rFonts w:hint="eastAsia"/>
                <w:b/>
                <w:bCs/>
                <w:sz w:val="21"/>
                <w:szCs w:val="21"/>
              </w:rPr>
              <w:t>评价内容</w:t>
            </w:r>
          </w:p>
        </w:tc>
        <w:tc>
          <w:tcPr>
            <w:tcW w:w="1749" w:type="pct"/>
            <w:vAlign w:val="center"/>
          </w:tcPr>
          <w:p w14:paraId="15527100">
            <w:pPr>
              <w:adjustRightInd w:val="0"/>
              <w:snapToGrid w:val="0"/>
              <w:jc w:val="center"/>
              <w:rPr>
                <w:rFonts w:hint="eastAsia"/>
                <w:b/>
                <w:bCs/>
                <w:sz w:val="21"/>
                <w:szCs w:val="21"/>
              </w:rPr>
            </w:pPr>
            <w:r>
              <w:rPr>
                <w:rFonts w:hint="eastAsia"/>
                <w:b/>
                <w:bCs/>
                <w:sz w:val="21"/>
                <w:szCs w:val="21"/>
              </w:rPr>
              <w:t>评分标准</w:t>
            </w:r>
          </w:p>
        </w:tc>
        <w:tc>
          <w:tcPr>
            <w:tcW w:w="467" w:type="pct"/>
            <w:vAlign w:val="center"/>
          </w:tcPr>
          <w:p w14:paraId="16C5CA5E">
            <w:pPr>
              <w:adjustRightInd w:val="0"/>
              <w:snapToGrid w:val="0"/>
              <w:jc w:val="center"/>
              <w:rPr>
                <w:rFonts w:hint="eastAsia"/>
                <w:b/>
                <w:bCs/>
                <w:sz w:val="21"/>
                <w:szCs w:val="21"/>
              </w:rPr>
            </w:pPr>
            <w:r>
              <w:rPr>
                <w:rFonts w:hint="eastAsia"/>
                <w:b/>
                <w:bCs/>
                <w:sz w:val="21"/>
                <w:szCs w:val="21"/>
              </w:rPr>
              <w:t>标准分</w:t>
            </w:r>
          </w:p>
        </w:tc>
        <w:tc>
          <w:tcPr>
            <w:tcW w:w="455" w:type="pct"/>
            <w:vAlign w:val="center"/>
          </w:tcPr>
          <w:p w14:paraId="3CF148EC">
            <w:pPr>
              <w:adjustRightInd w:val="0"/>
              <w:snapToGrid w:val="0"/>
              <w:jc w:val="center"/>
              <w:rPr>
                <w:rFonts w:hint="eastAsia"/>
                <w:b/>
                <w:bCs/>
                <w:sz w:val="21"/>
                <w:szCs w:val="21"/>
              </w:rPr>
            </w:pPr>
            <w:r>
              <w:rPr>
                <w:rFonts w:hint="eastAsia"/>
                <w:b/>
                <w:bCs/>
                <w:sz w:val="21"/>
                <w:szCs w:val="21"/>
              </w:rPr>
              <w:t>得分</w:t>
            </w:r>
          </w:p>
        </w:tc>
      </w:tr>
      <w:tr w14:paraId="37AD12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463" w:type="pct"/>
            <w:vAlign w:val="center"/>
          </w:tcPr>
          <w:p w14:paraId="5650A8BF">
            <w:pPr>
              <w:adjustRightInd w:val="0"/>
              <w:snapToGrid w:val="0"/>
              <w:jc w:val="center"/>
              <w:rPr>
                <w:rFonts w:hint="eastAsia"/>
                <w:b/>
                <w:bCs/>
                <w:color w:val="000000"/>
                <w:sz w:val="21"/>
                <w:szCs w:val="21"/>
              </w:rPr>
            </w:pPr>
            <w:r>
              <w:rPr>
                <w:rFonts w:hint="eastAsia"/>
                <w:b/>
                <w:bCs/>
                <w:color w:val="000000"/>
                <w:sz w:val="21"/>
                <w:szCs w:val="21"/>
              </w:rPr>
              <w:t>7.1</w:t>
            </w:r>
          </w:p>
        </w:tc>
        <w:tc>
          <w:tcPr>
            <w:tcW w:w="1866" w:type="pct"/>
            <w:vAlign w:val="center"/>
          </w:tcPr>
          <w:p w14:paraId="6F669501">
            <w:pPr>
              <w:adjustRightInd w:val="0"/>
              <w:snapToGrid w:val="0"/>
              <w:jc w:val="left"/>
              <w:rPr>
                <w:rFonts w:hint="eastAsia"/>
                <w:b/>
                <w:bCs/>
                <w:color w:val="000000"/>
                <w:sz w:val="21"/>
                <w:szCs w:val="21"/>
              </w:rPr>
            </w:pPr>
            <w:r>
              <w:rPr>
                <w:rFonts w:hint="eastAsia"/>
                <w:b/>
                <w:bCs/>
                <w:color w:val="000000"/>
                <w:sz w:val="21"/>
                <w:szCs w:val="21"/>
              </w:rPr>
              <w:t>综合效能</w:t>
            </w:r>
          </w:p>
        </w:tc>
        <w:tc>
          <w:tcPr>
            <w:tcW w:w="1749" w:type="pct"/>
            <w:vAlign w:val="center"/>
          </w:tcPr>
          <w:p w14:paraId="4D6F3D9A">
            <w:pPr>
              <w:adjustRightInd w:val="0"/>
              <w:snapToGrid w:val="0"/>
              <w:jc w:val="center"/>
              <w:rPr>
                <w:rFonts w:hint="eastAsia"/>
                <w:color w:val="000000"/>
                <w:sz w:val="21"/>
                <w:szCs w:val="21"/>
              </w:rPr>
            </w:pPr>
          </w:p>
        </w:tc>
        <w:tc>
          <w:tcPr>
            <w:tcW w:w="467" w:type="pct"/>
            <w:vAlign w:val="center"/>
          </w:tcPr>
          <w:p w14:paraId="3F9B08B3">
            <w:pPr>
              <w:adjustRightInd w:val="0"/>
              <w:snapToGrid w:val="0"/>
              <w:jc w:val="center"/>
              <w:rPr>
                <w:rFonts w:hint="eastAsia"/>
                <w:color w:val="000000"/>
                <w:sz w:val="21"/>
                <w:szCs w:val="21"/>
              </w:rPr>
            </w:pPr>
            <w:r>
              <w:rPr>
                <w:rFonts w:hint="eastAsia"/>
                <w:color w:val="000000"/>
                <w:sz w:val="21"/>
                <w:szCs w:val="21"/>
              </w:rPr>
              <w:t>3</w:t>
            </w:r>
            <w:r>
              <w:rPr>
                <w:color w:val="000000"/>
                <w:sz w:val="21"/>
                <w:szCs w:val="21"/>
              </w:rPr>
              <w:t>0</w:t>
            </w:r>
          </w:p>
        </w:tc>
        <w:tc>
          <w:tcPr>
            <w:tcW w:w="455" w:type="pct"/>
            <w:vAlign w:val="center"/>
          </w:tcPr>
          <w:p w14:paraId="39A98701">
            <w:pPr>
              <w:adjustRightInd w:val="0"/>
              <w:snapToGrid w:val="0"/>
              <w:jc w:val="center"/>
              <w:rPr>
                <w:rFonts w:hint="eastAsia"/>
                <w:color w:val="000000"/>
                <w:sz w:val="21"/>
                <w:szCs w:val="21"/>
              </w:rPr>
            </w:pPr>
          </w:p>
        </w:tc>
      </w:tr>
      <w:tr w14:paraId="43D599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1115" w:hRule="atLeast"/>
          <w:jc w:val="center"/>
        </w:trPr>
        <w:tc>
          <w:tcPr>
            <w:tcW w:w="463" w:type="pct"/>
            <w:vAlign w:val="center"/>
          </w:tcPr>
          <w:p w14:paraId="05A1CF69">
            <w:pPr>
              <w:adjustRightInd w:val="0"/>
              <w:snapToGrid w:val="0"/>
              <w:jc w:val="center"/>
              <w:rPr>
                <w:rFonts w:hint="eastAsia"/>
                <w:color w:val="000000"/>
                <w:sz w:val="21"/>
                <w:szCs w:val="21"/>
              </w:rPr>
            </w:pPr>
            <w:r>
              <w:rPr>
                <w:rFonts w:hint="eastAsia"/>
                <w:color w:val="000000"/>
                <w:sz w:val="21"/>
                <w:szCs w:val="21"/>
              </w:rPr>
              <w:t>7.1.1</w:t>
            </w:r>
          </w:p>
        </w:tc>
        <w:tc>
          <w:tcPr>
            <w:tcW w:w="1866" w:type="pct"/>
            <w:vAlign w:val="center"/>
          </w:tcPr>
          <w:p w14:paraId="2B9E9E6D">
            <w:pPr>
              <w:topLinePunct/>
              <w:adjustRightInd w:val="0"/>
              <w:snapToGrid w:val="0"/>
              <w:spacing w:line="300" w:lineRule="auto"/>
              <w:rPr>
                <w:rFonts w:hint="eastAsia"/>
                <w:color w:val="000000"/>
                <w:sz w:val="21"/>
                <w:szCs w:val="21"/>
              </w:rPr>
            </w:pPr>
            <w:r>
              <w:rPr>
                <w:rFonts w:cs="宋体"/>
                <w:spacing w:val="-4"/>
                <w:sz w:val="21"/>
                <w:szCs w:val="21"/>
                <w:lang w:bidi="ar"/>
              </w:rPr>
              <w:t>保护环境、减少资源浪费；实现节能、环保、减排的目标。</w:t>
            </w:r>
          </w:p>
        </w:tc>
        <w:tc>
          <w:tcPr>
            <w:tcW w:w="1749" w:type="pct"/>
            <w:vMerge w:val="restart"/>
            <w:vAlign w:val="center"/>
          </w:tcPr>
          <w:p w14:paraId="7F3086AC">
            <w:pPr>
              <w:topLinePunct/>
              <w:adjustRightInd w:val="0"/>
              <w:snapToGrid w:val="0"/>
              <w:spacing w:line="300" w:lineRule="auto"/>
              <w:rPr>
                <w:rFonts w:hint="eastAsia"/>
                <w:sz w:val="21"/>
                <w:szCs w:val="21"/>
              </w:rPr>
            </w:pPr>
            <w:r>
              <w:rPr>
                <w:rFonts w:hint="eastAsia"/>
                <w:sz w:val="21"/>
                <w:szCs w:val="21"/>
              </w:rPr>
              <w:t>每项子目实得分根据现场实际情况按照标准分乘以相应系数进行评分:</w:t>
            </w:r>
          </w:p>
          <w:p w14:paraId="03AB74D7">
            <w:pPr>
              <w:topLinePunct/>
              <w:adjustRightInd w:val="0"/>
              <w:snapToGrid w:val="0"/>
              <w:spacing w:line="300" w:lineRule="auto"/>
              <w:rPr>
                <w:rFonts w:hint="eastAsia"/>
                <w:sz w:val="21"/>
                <w:szCs w:val="21"/>
              </w:rPr>
            </w:pPr>
            <w:r>
              <w:rPr>
                <w:rFonts w:hint="eastAsia"/>
                <w:sz w:val="21"/>
                <w:szCs w:val="21"/>
              </w:rPr>
              <w:t>1、满足评价指标要求系数为1;</w:t>
            </w:r>
          </w:p>
          <w:p w14:paraId="63AE156C">
            <w:pPr>
              <w:topLinePunct/>
              <w:adjustRightInd w:val="0"/>
              <w:snapToGrid w:val="0"/>
              <w:spacing w:line="300" w:lineRule="auto"/>
              <w:rPr>
                <w:rFonts w:hint="eastAsia"/>
                <w:sz w:val="21"/>
                <w:szCs w:val="21"/>
              </w:rPr>
            </w:pPr>
            <w:r>
              <w:rPr>
                <w:sz w:val="21"/>
                <w:szCs w:val="21"/>
              </w:rPr>
              <w:t>2、基本满足评价指标要求系数按照 0.5~0.9酌情选取;</w:t>
            </w:r>
          </w:p>
          <w:p w14:paraId="2878CEB7">
            <w:pPr>
              <w:topLinePunct/>
              <w:adjustRightInd w:val="0"/>
              <w:snapToGrid w:val="0"/>
              <w:spacing w:line="300" w:lineRule="auto"/>
              <w:rPr>
                <w:rFonts w:hint="eastAsia"/>
                <w:sz w:val="21"/>
                <w:szCs w:val="21"/>
              </w:rPr>
            </w:pPr>
            <w:r>
              <w:rPr>
                <w:sz w:val="21"/>
                <w:szCs w:val="21"/>
              </w:rPr>
              <w:t>3、不满足评价指标要求，得0分。</w:t>
            </w:r>
          </w:p>
        </w:tc>
        <w:tc>
          <w:tcPr>
            <w:tcW w:w="467" w:type="pct"/>
            <w:vAlign w:val="center"/>
          </w:tcPr>
          <w:p w14:paraId="3D9F0D56">
            <w:pPr>
              <w:adjustRightInd w:val="0"/>
              <w:snapToGrid w:val="0"/>
              <w:jc w:val="center"/>
              <w:rPr>
                <w:rFonts w:hint="eastAsia"/>
                <w:color w:val="000000"/>
                <w:sz w:val="21"/>
                <w:szCs w:val="21"/>
              </w:rPr>
            </w:pPr>
            <w:r>
              <w:rPr>
                <w:rFonts w:hint="eastAsia"/>
                <w:color w:val="000000"/>
                <w:sz w:val="21"/>
                <w:szCs w:val="21"/>
              </w:rPr>
              <w:t>15</w:t>
            </w:r>
          </w:p>
        </w:tc>
        <w:tc>
          <w:tcPr>
            <w:tcW w:w="455" w:type="pct"/>
            <w:vAlign w:val="center"/>
          </w:tcPr>
          <w:p w14:paraId="19CF6154">
            <w:pPr>
              <w:adjustRightInd w:val="0"/>
              <w:snapToGrid w:val="0"/>
              <w:jc w:val="center"/>
              <w:rPr>
                <w:rFonts w:hint="eastAsia"/>
                <w:color w:val="000000"/>
                <w:sz w:val="21"/>
                <w:szCs w:val="21"/>
              </w:rPr>
            </w:pPr>
          </w:p>
        </w:tc>
      </w:tr>
      <w:tr w14:paraId="303B8C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1483" w:hRule="atLeast"/>
          <w:jc w:val="center"/>
        </w:trPr>
        <w:tc>
          <w:tcPr>
            <w:tcW w:w="463" w:type="pct"/>
            <w:vAlign w:val="center"/>
          </w:tcPr>
          <w:p w14:paraId="746030A5">
            <w:pPr>
              <w:adjustRightInd w:val="0"/>
              <w:snapToGrid w:val="0"/>
              <w:jc w:val="center"/>
              <w:rPr>
                <w:rFonts w:hint="eastAsia"/>
                <w:color w:val="000000"/>
                <w:sz w:val="21"/>
                <w:szCs w:val="21"/>
              </w:rPr>
            </w:pPr>
            <w:r>
              <w:rPr>
                <w:rFonts w:hint="eastAsia"/>
                <w:color w:val="000000"/>
                <w:sz w:val="21"/>
                <w:szCs w:val="21"/>
              </w:rPr>
              <w:t>7.1.2</w:t>
            </w:r>
          </w:p>
        </w:tc>
        <w:tc>
          <w:tcPr>
            <w:tcW w:w="1866" w:type="pct"/>
            <w:vAlign w:val="center"/>
          </w:tcPr>
          <w:p w14:paraId="293729D9">
            <w:pPr>
              <w:topLinePunct/>
              <w:adjustRightInd w:val="0"/>
              <w:snapToGrid w:val="0"/>
              <w:spacing w:line="300" w:lineRule="auto"/>
              <w:rPr>
                <w:rFonts w:hint="eastAsia"/>
                <w:color w:val="000000"/>
                <w:sz w:val="21"/>
                <w:szCs w:val="21"/>
              </w:rPr>
            </w:pPr>
            <w:r>
              <w:rPr>
                <w:rFonts w:cs="宋体"/>
                <w:spacing w:val="-4"/>
                <w:sz w:val="21"/>
                <w:szCs w:val="21"/>
                <w:lang w:bidi="ar"/>
              </w:rPr>
              <w:t>结合项目单体设备用能、系统经济性指标、整体生产运行情况进行综合评价，</w:t>
            </w:r>
            <w:r>
              <w:rPr>
                <w:rFonts w:hint="eastAsia" w:cs="宋体"/>
                <w:spacing w:val="-4"/>
                <w:sz w:val="21"/>
                <w:szCs w:val="21"/>
                <w:lang w:bidi="ar"/>
              </w:rPr>
              <w:t>提供</w:t>
            </w:r>
            <w:r>
              <w:rPr>
                <w:rFonts w:cs="宋体"/>
                <w:spacing w:val="-4"/>
                <w:sz w:val="21"/>
                <w:szCs w:val="21"/>
                <w:lang w:bidi="ar"/>
              </w:rPr>
              <w:t>综合评价分析报告</w:t>
            </w:r>
            <w:r>
              <w:rPr>
                <w:rFonts w:hint="eastAsia" w:cs="宋体"/>
                <w:spacing w:val="-4"/>
                <w:sz w:val="21"/>
                <w:szCs w:val="21"/>
                <w:lang w:bidi="ar"/>
              </w:rPr>
              <w:t>。</w:t>
            </w:r>
          </w:p>
        </w:tc>
        <w:tc>
          <w:tcPr>
            <w:tcW w:w="1749" w:type="pct"/>
            <w:vMerge w:val="continue"/>
            <w:vAlign w:val="center"/>
          </w:tcPr>
          <w:p w14:paraId="444D1FB5">
            <w:pPr>
              <w:topLinePunct/>
              <w:adjustRightInd w:val="0"/>
              <w:snapToGrid w:val="0"/>
              <w:spacing w:line="300" w:lineRule="auto"/>
              <w:rPr>
                <w:rFonts w:hint="eastAsia" w:cs="宋体"/>
                <w:spacing w:val="-4"/>
                <w:sz w:val="21"/>
                <w:szCs w:val="21"/>
                <w:lang w:bidi="ar"/>
              </w:rPr>
            </w:pPr>
          </w:p>
        </w:tc>
        <w:tc>
          <w:tcPr>
            <w:tcW w:w="467" w:type="pct"/>
            <w:vAlign w:val="center"/>
          </w:tcPr>
          <w:p w14:paraId="5DC62D3B">
            <w:pPr>
              <w:adjustRightInd w:val="0"/>
              <w:snapToGrid w:val="0"/>
              <w:jc w:val="center"/>
              <w:rPr>
                <w:rFonts w:hint="eastAsia"/>
                <w:color w:val="000000"/>
                <w:sz w:val="21"/>
                <w:szCs w:val="21"/>
              </w:rPr>
            </w:pPr>
            <w:r>
              <w:rPr>
                <w:rFonts w:hint="eastAsia"/>
                <w:color w:val="000000"/>
                <w:sz w:val="21"/>
                <w:szCs w:val="21"/>
              </w:rPr>
              <w:t>15</w:t>
            </w:r>
          </w:p>
        </w:tc>
        <w:tc>
          <w:tcPr>
            <w:tcW w:w="455" w:type="pct"/>
            <w:vAlign w:val="center"/>
          </w:tcPr>
          <w:p w14:paraId="16C21F68">
            <w:pPr>
              <w:adjustRightInd w:val="0"/>
              <w:snapToGrid w:val="0"/>
              <w:jc w:val="center"/>
              <w:rPr>
                <w:rFonts w:hint="eastAsia"/>
                <w:color w:val="000000"/>
                <w:sz w:val="21"/>
                <w:szCs w:val="21"/>
              </w:rPr>
            </w:pPr>
          </w:p>
        </w:tc>
      </w:tr>
      <w:tr w14:paraId="27E3BB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463" w:type="pct"/>
            <w:vAlign w:val="center"/>
          </w:tcPr>
          <w:p w14:paraId="778EF100">
            <w:pPr>
              <w:adjustRightInd w:val="0"/>
              <w:snapToGrid w:val="0"/>
              <w:jc w:val="center"/>
              <w:rPr>
                <w:rFonts w:hint="eastAsia"/>
                <w:b/>
                <w:bCs/>
                <w:color w:val="000000"/>
                <w:sz w:val="21"/>
                <w:szCs w:val="21"/>
              </w:rPr>
            </w:pPr>
            <w:r>
              <w:rPr>
                <w:rFonts w:hint="eastAsia"/>
                <w:b/>
                <w:bCs/>
                <w:color w:val="000000"/>
                <w:sz w:val="21"/>
                <w:szCs w:val="21"/>
              </w:rPr>
              <w:t>7.2</w:t>
            </w:r>
          </w:p>
        </w:tc>
        <w:tc>
          <w:tcPr>
            <w:tcW w:w="1866" w:type="pct"/>
            <w:vAlign w:val="center"/>
          </w:tcPr>
          <w:p w14:paraId="41C07826">
            <w:pPr>
              <w:adjustRightInd w:val="0"/>
              <w:snapToGrid w:val="0"/>
              <w:jc w:val="left"/>
              <w:rPr>
                <w:rFonts w:hint="eastAsia"/>
                <w:b/>
                <w:bCs/>
                <w:color w:val="000000"/>
                <w:sz w:val="21"/>
                <w:szCs w:val="21"/>
              </w:rPr>
            </w:pPr>
            <w:r>
              <w:rPr>
                <w:rFonts w:hint="eastAsia"/>
                <w:b/>
                <w:bCs/>
                <w:color w:val="000000"/>
                <w:sz w:val="21"/>
                <w:szCs w:val="21"/>
              </w:rPr>
              <w:t>数字移交</w:t>
            </w:r>
          </w:p>
        </w:tc>
        <w:tc>
          <w:tcPr>
            <w:tcW w:w="1749" w:type="pct"/>
            <w:vAlign w:val="center"/>
          </w:tcPr>
          <w:p w14:paraId="0FCE1A0E">
            <w:pPr>
              <w:topLinePunct/>
              <w:adjustRightInd w:val="0"/>
              <w:snapToGrid w:val="0"/>
              <w:spacing w:line="300" w:lineRule="auto"/>
              <w:rPr>
                <w:rFonts w:hint="eastAsia" w:cs="宋体"/>
                <w:spacing w:val="-4"/>
                <w:sz w:val="21"/>
                <w:szCs w:val="21"/>
                <w:lang w:bidi="ar"/>
              </w:rPr>
            </w:pPr>
          </w:p>
        </w:tc>
        <w:tc>
          <w:tcPr>
            <w:tcW w:w="467" w:type="pct"/>
            <w:vAlign w:val="center"/>
          </w:tcPr>
          <w:p w14:paraId="70CA532A">
            <w:pPr>
              <w:adjustRightInd w:val="0"/>
              <w:snapToGrid w:val="0"/>
              <w:jc w:val="center"/>
              <w:rPr>
                <w:rFonts w:hint="eastAsia"/>
                <w:color w:val="000000"/>
                <w:sz w:val="21"/>
                <w:szCs w:val="21"/>
              </w:rPr>
            </w:pPr>
            <w:r>
              <w:rPr>
                <w:rFonts w:hint="eastAsia"/>
                <w:color w:val="000000"/>
                <w:sz w:val="21"/>
                <w:szCs w:val="21"/>
              </w:rPr>
              <w:t>3</w:t>
            </w:r>
            <w:r>
              <w:rPr>
                <w:color w:val="000000"/>
                <w:sz w:val="21"/>
                <w:szCs w:val="21"/>
              </w:rPr>
              <w:t>0</w:t>
            </w:r>
          </w:p>
        </w:tc>
        <w:tc>
          <w:tcPr>
            <w:tcW w:w="455" w:type="pct"/>
            <w:vAlign w:val="center"/>
          </w:tcPr>
          <w:p w14:paraId="1CE5686C">
            <w:pPr>
              <w:adjustRightInd w:val="0"/>
              <w:snapToGrid w:val="0"/>
              <w:jc w:val="center"/>
              <w:rPr>
                <w:rFonts w:hint="eastAsia"/>
                <w:color w:val="000000"/>
                <w:sz w:val="21"/>
                <w:szCs w:val="21"/>
              </w:rPr>
            </w:pPr>
          </w:p>
        </w:tc>
      </w:tr>
      <w:tr w14:paraId="5985BE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463" w:type="pct"/>
            <w:vAlign w:val="center"/>
          </w:tcPr>
          <w:p w14:paraId="66ADFC0B">
            <w:pPr>
              <w:adjustRightInd w:val="0"/>
              <w:snapToGrid w:val="0"/>
              <w:jc w:val="center"/>
              <w:rPr>
                <w:rFonts w:hint="eastAsia"/>
                <w:color w:val="000000"/>
                <w:sz w:val="21"/>
                <w:szCs w:val="21"/>
              </w:rPr>
            </w:pPr>
            <w:r>
              <w:rPr>
                <w:rFonts w:hint="eastAsia"/>
                <w:color w:val="000000"/>
                <w:sz w:val="21"/>
                <w:szCs w:val="21"/>
              </w:rPr>
              <w:t>7.2.1</w:t>
            </w:r>
          </w:p>
        </w:tc>
        <w:tc>
          <w:tcPr>
            <w:tcW w:w="1866" w:type="pct"/>
            <w:vAlign w:val="center"/>
          </w:tcPr>
          <w:p w14:paraId="3BAB16A0">
            <w:pPr>
              <w:topLinePunct/>
              <w:adjustRightInd w:val="0"/>
              <w:snapToGrid w:val="0"/>
              <w:spacing w:line="300" w:lineRule="auto"/>
              <w:rPr>
                <w:rFonts w:hint="eastAsia"/>
                <w:color w:val="000000"/>
                <w:sz w:val="21"/>
                <w:szCs w:val="21"/>
              </w:rPr>
            </w:pPr>
            <w:r>
              <w:rPr>
                <w:rFonts w:cs="宋体"/>
                <w:sz w:val="21"/>
                <w:szCs w:val="21"/>
                <w:lang w:bidi="ar"/>
              </w:rPr>
              <w:t>数字化交付过程中数据传递应遵守相关保密规定。</w:t>
            </w:r>
          </w:p>
        </w:tc>
        <w:tc>
          <w:tcPr>
            <w:tcW w:w="1749" w:type="pct"/>
            <w:vMerge w:val="restart"/>
            <w:vAlign w:val="center"/>
          </w:tcPr>
          <w:p w14:paraId="2D8FCFCB">
            <w:pPr>
              <w:topLinePunct/>
              <w:adjustRightInd w:val="0"/>
              <w:snapToGrid w:val="0"/>
              <w:spacing w:line="300" w:lineRule="auto"/>
              <w:rPr>
                <w:rFonts w:hint="eastAsia"/>
                <w:sz w:val="21"/>
                <w:szCs w:val="21"/>
              </w:rPr>
            </w:pPr>
            <w:r>
              <w:rPr>
                <w:rFonts w:hint="eastAsia"/>
                <w:sz w:val="21"/>
                <w:szCs w:val="21"/>
              </w:rPr>
              <w:t>每项子目实得分根据现场实际情况按照标准分乘以相应系数进行评分:</w:t>
            </w:r>
          </w:p>
          <w:p w14:paraId="01236628">
            <w:pPr>
              <w:topLinePunct/>
              <w:adjustRightInd w:val="0"/>
              <w:snapToGrid w:val="0"/>
              <w:spacing w:line="300" w:lineRule="auto"/>
              <w:rPr>
                <w:rFonts w:hint="eastAsia"/>
                <w:sz w:val="21"/>
                <w:szCs w:val="21"/>
              </w:rPr>
            </w:pPr>
            <w:r>
              <w:rPr>
                <w:rFonts w:hint="eastAsia"/>
                <w:sz w:val="21"/>
                <w:szCs w:val="21"/>
              </w:rPr>
              <w:t>1、满足评价指标要求系数为1;</w:t>
            </w:r>
          </w:p>
          <w:p w14:paraId="4612C3FA">
            <w:pPr>
              <w:topLinePunct/>
              <w:adjustRightInd w:val="0"/>
              <w:snapToGrid w:val="0"/>
              <w:spacing w:line="300" w:lineRule="auto"/>
              <w:rPr>
                <w:rFonts w:hint="eastAsia"/>
                <w:sz w:val="21"/>
                <w:szCs w:val="21"/>
              </w:rPr>
            </w:pPr>
            <w:r>
              <w:rPr>
                <w:sz w:val="21"/>
                <w:szCs w:val="21"/>
              </w:rPr>
              <w:t>2、基本满足评价指标要求系数按照 0.5~0.9酌情选取;</w:t>
            </w:r>
          </w:p>
          <w:p w14:paraId="58F5378B">
            <w:pPr>
              <w:topLinePunct/>
              <w:adjustRightInd w:val="0"/>
              <w:snapToGrid w:val="0"/>
              <w:spacing w:line="300" w:lineRule="auto"/>
              <w:rPr>
                <w:rFonts w:hint="eastAsia" w:cs="宋体"/>
                <w:spacing w:val="-4"/>
                <w:sz w:val="21"/>
                <w:szCs w:val="21"/>
                <w:lang w:bidi="ar"/>
              </w:rPr>
            </w:pPr>
            <w:r>
              <w:rPr>
                <w:sz w:val="21"/>
                <w:szCs w:val="21"/>
              </w:rPr>
              <w:t>3、不满足评价指标要求，得0分。</w:t>
            </w:r>
          </w:p>
        </w:tc>
        <w:tc>
          <w:tcPr>
            <w:tcW w:w="467" w:type="pct"/>
            <w:vAlign w:val="center"/>
          </w:tcPr>
          <w:p w14:paraId="5260C01D">
            <w:pPr>
              <w:adjustRightInd w:val="0"/>
              <w:snapToGrid w:val="0"/>
              <w:jc w:val="center"/>
              <w:rPr>
                <w:rFonts w:hint="eastAsia"/>
                <w:color w:val="000000"/>
                <w:sz w:val="21"/>
                <w:szCs w:val="21"/>
              </w:rPr>
            </w:pPr>
            <w:r>
              <w:rPr>
                <w:rFonts w:hint="eastAsia"/>
                <w:color w:val="000000"/>
                <w:sz w:val="21"/>
                <w:szCs w:val="21"/>
              </w:rPr>
              <w:t>5</w:t>
            </w:r>
          </w:p>
        </w:tc>
        <w:tc>
          <w:tcPr>
            <w:tcW w:w="455" w:type="pct"/>
            <w:vAlign w:val="center"/>
          </w:tcPr>
          <w:p w14:paraId="64B6F299">
            <w:pPr>
              <w:adjustRightInd w:val="0"/>
              <w:snapToGrid w:val="0"/>
              <w:jc w:val="center"/>
              <w:rPr>
                <w:rFonts w:hint="eastAsia"/>
                <w:color w:val="000000"/>
                <w:sz w:val="21"/>
                <w:szCs w:val="21"/>
              </w:rPr>
            </w:pPr>
          </w:p>
        </w:tc>
      </w:tr>
      <w:tr w14:paraId="063906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454" w:hRule="atLeast"/>
          <w:jc w:val="center"/>
        </w:trPr>
        <w:tc>
          <w:tcPr>
            <w:tcW w:w="463" w:type="pct"/>
            <w:vAlign w:val="center"/>
          </w:tcPr>
          <w:p w14:paraId="7ADCF7EB">
            <w:pPr>
              <w:adjustRightInd w:val="0"/>
              <w:snapToGrid w:val="0"/>
              <w:jc w:val="center"/>
              <w:rPr>
                <w:rFonts w:hint="eastAsia"/>
                <w:color w:val="000000"/>
                <w:sz w:val="21"/>
                <w:szCs w:val="21"/>
              </w:rPr>
            </w:pPr>
            <w:r>
              <w:rPr>
                <w:rFonts w:hint="eastAsia"/>
                <w:color w:val="000000"/>
                <w:sz w:val="21"/>
                <w:szCs w:val="21"/>
              </w:rPr>
              <w:t>7.2.2</w:t>
            </w:r>
          </w:p>
        </w:tc>
        <w:tc>
          <w:tcPr>
            <w:tcW w:w="1866" w:type="pct"/>
            <w:vAlign w:val="center"/>
          </w:tcPr>
          <w:p w14:paraId="0A1FE816">
            <w:pPr>
              <w:topLinePunct/>
              <w:adjustRightInd w:val="0"/>
              <w:snapToGrid w:val="0"/>
              <w:spacing w:line="300" w:lineRule="auto"/>
              <w:rPr>
                <w:rFonts w:hint="eastAsia"/>
                <w:color w:val="000000"/>
                <w:sz w:val="21"/>
                <w:szCs w:val="21"/>
              </w:rPr>
            </w:pPr>
            <w:r>
              <w:rPr>
                <w:rFonts w:cs="宋体"/>
                <w:sz w:val="21"/>
                <w:szCs w:val="21"/>
                <w:lang w:bidi="ar"/>
              </w:rPr>
              <w:t>数字化交付的内容及标准应执行工程所在地的相关规定</w:t>
            </w:r>
            <w:r>
              <w:rPr>
                <w:rFonts w:hint="eastAsia" w:cs="宋体"/>
                <w:sz w:val="21"/>
                <w:szCs w:val="21"/>
                <w:lang w:bidi="ar"/>
              </w:rPr>
              <w:t>。</w:t>
            </w:r>
            <w:r>
              <w:rPr>
                <w:rFonts w:cs="宋体"/>
                <w:sz w:val="21"/>
                <w:szCs w:val="21"/>
                <w:lang w:bidi="ar"/>
              </w:rPr>
              <w:t>应首先满足电力建设项目信息管理的要求。</w:t>
            </w:r>
          </w:p>
        </w:tc>
        <w:tc>
          <w:tcPr>
            <w:tcW w:w="1749" w:type="pct"/>
            <w:vMerge w:val="continue"/>
            <w:vAlign w:val="center"/>
          </w:tcPr>
          <w:p w14:paraId="05175542">
            <w:pPr>
              <w:topLinePunct/>
              <w:adjustRightInd w:val="0"/>
              <w:snapToGrid w:val="0"/>
              <w:spacing w:line="300" w:lineRule="auto"/>
              <w:rPr>
                <w:rFonts w:hint="eastAsia" w:cs="宋体"/>
                <w:spacing w:val="-4"/>
                <w:sz w:val="21"/>
                <w:szCs w:val="21"/>
                <w:lang w:bidi="ar"/>
              </w:rPr>
            </w:pPr>
          </w:p>
        </w:tc>
        <w:tc>
          <w:tcPr>
            <w:tcW w:w="467" w:type="pct"/>
            <w:vAlign w:val="center"/>
          </w:tcPr>
          <w:p w14:paraId="6B2E8078">
            <w:pPr>
              <w:adjustRightInd w:val="0"/>
              <w:snapToGrid w:val="0"/>
              <w:jc w:val="center"/>
              <w:rPr>
                <w:rFonts w:hint="eastAsia"/>
                <w:color w:val="000000"/>
                <w:sz w:val="21"/>
                <w:szCs w:val="21"/>
              </w:rPr>
            </w:pPr>
            <w:r>
              <w:rPr>
                <w:rFonts w:hint="eastAsia"/>
                <w:color w:val="000000"/>
                <w:sz w:val="21"/>
                <w:szCs w:val="21"/>
              </w:rPr>
              <w:t>5</w:t>
            </w:r>
          </w:p>
        </w:tc>
        <w:tc>
          <w:tcPr>
            <w:tcW w:w="455" w:type="pct"/>
            <w:vAlign w:val="center"/>
          </w:tcPr>
          <w:p w14:paraId="72035DF9">
            <w:pPr>
              <w:adjustRightInd w:val="0"/>
              <w:snapToGrid w:val="0"/>
              <w:jc w:val="center"/>
              <w:rPr>
                <w:rFonts w:hint="eastAsia"/>
                <w:color w:val="000000"/>
                <w:sz w:val="21"/>
                <w:szCs w:val="21"/>
              </w:rPr>
            </w:pPr>
          </w:p>
        </w:tc>
      </w:tr>
      <w:tr w14:paraId="6A8974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463" w:type="pct"/>
            <w:vAlign w:val="center"/>
          </w:tcPr>
          <w:p w14:paraId="54B49B82">
            <w:pPr>
              <w:adjustRightInd w:val="0"/>
              <w:snapToGrid w:val="0"/>
              <w:jc w:val="center"/>
              <w:rPr>
                <w:rFonts w:hint="eastAsia"/>
                <w:color w:val="000000"/>
                <w:sz w:val="21"/>
                <w:szCs w:val="21"/>
              </w:rPr>
            </w:pPr>
            <w:r>
              <w:rPr>
                <w:rFonts w:hint="eastAsia"/>
                <w:color w:val="000000"/>
                <w:sz w:val="21"/>
                <w:szCs w:val="21"/>
              </w:rPr>
              <w:t>7.2.3</w:t>
            </w:r>
          </w:p>
        </w:tc>
        <w:tc>
          <w:tcPr>
            <w:tcW w:w="1866" w:type="pct"/>
            <w:vAlign w:val="center"/>
          </w:tcPr>
          <w:p w14:paraId="2FBE9FA5">
            <w:pPr>
              <w:topLinePunct/>
              <w:adjustRightInd w:val="0"/>
              <w:snapToGrid w:val="0"/>
              <w:spacing w:line="300" w:lineRule="auto"/>
              <w:rPr>
                <w:rFonts w:hint="eastAsia"/>
                <w:color w:val="000000"/>
                <w:sz w:val="21"/>
                <w:szCs w:val="21"/>
              </w:rPr>
            </w:pPr>
            <w:r>
              <w:rPr>
                <w:rFonts w:cs="宋体"/>
                <w:sz w:val="21"/>
                <w:szCs w:val="21"/>
                <w:lang w:bidi="ar"/>
              </w:rPr>
              <w:t>电力建设工程信息模型应按照各系统单位工程进行划分组建</w:t>
            </w:r>
            <w:r>
              <w:rPr>
                <w:rFonts w:hint="eastAsia" w:cs="宋体"/>
                <w:sz w:val="21"/>
                <w:szCs w:val="21"/>
                <w:lang w:bidi="ar"/>
              </w:rPr>
              <w:t>。</w:t>
            </w:r>
            <w:r>
              <w:rPr>
                <w:rFonts w:cs="宋体"/>
                <w:sz w:val="21"/>
                <w:szCs w:val="21"/>
                <w:lang w:bidi="ar"/>
              </w:rPr>
              <w:t>分专业模型及综合模型文件。</w:t>
            </w:r>
          </w:p>
        </w:tc>
        <w:tc>
          <w:tcPr>
            <w:tcW w:w="1749" w:type="pct"/>
            <w:vMerge w:val="continue"/>
            <w:vAlign w:val="center"/>
          </w:tcPr>
          <w:p w14:paraId="3EFF597A">
            <w:pPr>
              <w:adjustRightInd w:val="0"/>
              <w:snapToGrid w:val="0"/>
              <w:jc w:val="center"/>
              <w:rPr>
                <w:rFonts w:hint="eastAsia"/>
                <w:color w:val="000000"/>
                <w:sz w:val="21"/>
                <w:szCs w:val="21"/>
              </w:rPr>
            </w:pPr>
          </w:p>
        </w:tc>
        <w:tc>
          <w:tcPr>
            <w:tcW w:w="467" w:type="pct"/>
            <w:vAlign w:val="center"/>
          </w:tcPr>
          <w:p w14:paraId="651883AC">
            <w:pPr>
              <w:adjustRightInd w:val="0"/>
              <w:snapToGrid w:val="0"/>
              <w:jc w:val="center"/>
              <w:rPr>
                <w:rFonts w:hint="eastAsia"/>
                <w:color w:val="000000"/>
                <w:sz w:val="21"/>
                <w:szCs w:val="21"/>
              </w:rPr>
            </w:pPr>
            <w:r>
              <w:rPr>
                <w:rFonts w:hint="eastAsia"/>
                <w:color w:val="000000"/>
                <w:sz w:val="21"/>
                <w:szCs w:val="21"/>
              </w:rPr>
              <w:t>5</w:t>
            </w:r>
          </w:p>
        </w:tc>
        <w:tc>
          <w:tcPr>
            <w:tcW w:w="455" w:type="pct"/>
            <w:vAlign w:val="center"/>
          </w:tcPr>
          <w:p w14:paraId="78803BF7">
            <w:pPr>
              <w:adjustRightInd w:val="0"/>
              <w:snapToGrid w:val="0"/>
              <w:jc w:val="center"/>
              <w:rPr>
                <w:rFonts w:hint="eastAsia"/>
                <w:color w:val="000000"/>
                <w:sz w:val="21"/>
                <w:szCs w:val="21"/>
              </w:rPr>
            </w:pPr>
          </w:p>
        </w:tc>
      </w:tr>
      <w:tr w14:paraId="6FD335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463" w:type="pct"/>
            <w:vAlign w:val="center"/>
          </w:tcPr>
          <w:p w14:paraId="3652E944">
            <w:pPr>
              <w:adjustRightInd w:val="0"/>
              <w:snapToGrid w:val="0"/>
              <w:jc w:val="center"/>
              <w:rPr>
                <w:rFonts w:hint="eastAsia"/>
                <w:color w:val="000000"/>
                <w:sz w:val="21"/>
                <w:szCs w:val="21"/>
              </w:rPr>
            </w:pPr>
            <w:r>
              <w:rPr>
                <w:rFonts w:hint="eastAsia"/>
                <w:color w:val="000000"/>
                <w:sz w:val="21"/>
                <w:szCs w:val="21"/>
              </w:rPr>
              <w:t>7.2.4</w:t>
            </w:r>
          </w:p>
        </w:tc>
        <w:tc>
          <w:tcPr>
            <w:tcW w:w="1866" w:type="pct"/>
            <w:vAlign w:val="center"/>
          </w:tcPr>
          <w:p w14:paraId="25CB94CB">
            <w:pPr>
              <w:topLinePunct/>
              <w:adjustRightInd w:val="0"/>
              <w:snapToGrid w:val="0"/>
              <w:spacing w:line="300" w:lineRule="auto"/>
              <w:rPr>
                <w:rFonts w:hint="eastAsia"/>
                <w:color w:val="000000"/>
                <w:sz w:val="21"/>
                <w:szCs w:val="21"/>
              </w:rPr>
            </w:pPr>
            <w:r>
              <w:rPr>
                <w:rFonts w:hint="eastAsia" w:cs="宋体"/>
                <w:sz w:val="21"/>
                <w:szCs w:val="21"/>
                <w:lang w:bidi="ar"/>
              </w:rPr>
              <w:t>设计符合行业要求，编码唯一准确，模型划分组建合理。</w:t>
            </w:r>
          </w:p>
        </w:tc>
        <w:tc>
          <w:tcPr>
            <w:tcW w:w="1749" w:type="pct"/>
            <w:vMerge w:val="continue"/>
            <w:vAlign w:val="center"/>
          </w:tcPr>
          <w:p w14:paraId="0E180757">
            <w:pPr>
              <w:adjustRightInd w:val="0"/>
              <w:snapToGrid w:val="0"/>
              <w:jc w:val="center"/>
              <w:rPr>
                <w:rFonts w:hint="eastAsia"/>
                <w:color w:val="000000"/>
                <w:sz w:val="21"/>
                <w:szCs w:val="21"/>
              </w:rPr>
            </w:pPr>
          </w:p>
        </w:tc>
        <w:tc>
          <w:tcPr>
            <w:tcW w:w="467" w:type="pct"/>
            <w:vAlign w:val="center"/>
          </w:tcPr>
          <w:p w14:paraId="4ADE550B">
            <w:pPr>
              <w:adjustRightInd w:val="0"/>
              <w:snapToGrid w:val="0"/>
              <w:jc w:val="center"/>
              <w:rPr>
                <w:rFonts w:hint="eastAsia"/>
                <w:color w:val="000000"/>
                <w:sz w:val="21"/>
                <w:szCs w:val="21"/>
              </w:rPr>
            </w:pPr>
            <w:r>
              <w:rPr>
                <w:rFonts w:hint="eastAsia"/>
                <w:color w:val="000000"/>
                <w:sz w:val="21"/>
                <w:szCs w:val="21"/>
              </w:rPr>
              <w:t>5</w:t>
            </w:r>
          </w:p>
        </w:tc>
        <w:tc>
          <w:tcPr>
            <w:tcW w:w="455" w:type="pct"/>
            <w:vAlign w:val="center"/>
          </w:tcPr>
          <w:p w14:paraId="4E7168ED">
            <w:pPr>
              <w:adjustRightInd w:val="0"/>
              <w:snapToGrid w:val="0"/>
              <w:jc w:val="center"/>
              <w:rPr>
                <w:rFonts w:hint="eastAsia"/>
                <w:color w:val="000000"/>
                <w:sz w:val="21"/>
                <w:szCs w:val="21"/>
              </w:rPr>
            </w:pPr>
          </w:p>
        </w:tc>
      </w:tr>
      <w:tr w14:paraId="285CF4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649" w:hRule="atLeast"/>
          <w:jc w:val="center"/>
        </w:trPr>
        <w:tc>
          <w:tcPr>
            <w:tcW w:w="463" w:type="pct"/>
            <w:vAlign w:val="center"/>
          </w:tcPr>
          <w:p w14:paraId="14B63F18">
            <w:pPr>
              <w:adjustRightInd w:val="0"/>
              <w:snapToGrid w:val="0"/>
              <w:jc w:val="center"/>
              <w:rPr>
                <w:rFonts w:hint="eastAsia"/>
                <w:color w:val="000000"/>
                <w:sz w:val="21"/>
                <w:szCs w:val="21"/>
              </w:rPr>
            </w:pPr>
            <w:r>
              <w:rPr>
                <w:rFonts w:hint="eastAsia"/>
                <w:color w:val="000000"/>
                <w:sz w:val="21"/>
                <w:szCs w:val="21"/>
              </w:rPr>
              <w:t>7.2.5</w:t>
            </w:r>
          </w:p>
        </w:tc>
        <w:tc>
          <w:tcPr>
            <w:tcW w:w="1866" w:type="pct"/>
            <w:vAlign w:val="center"/>
          </w:tcPr>
          <w:p w14:paraId="2E9F25C1">
            <w:pPr>
              <w:topLinePunct/>
              <w:adjustRightInd w:val="0"/>
              <w:snapToGrid w:val="0"/>
              <w:spacing w:line="300" w:lineRule="auto"/>
              <w:rPr>
                <w:rFonts w:hint="eastAsia"/>
                <w:color w:val="000000"/>
                <w:sz w:val="21"/>
                <w:szCs w:val="21"/>
              </w:rPr>
            </w:pPr>
            <w:r>
              <w:rPr>
                <w:rFonts w:hint="eastAsia" w:cs="宋体"/>
                <w:sz w:val="21"/>
                <w:szCs w:val="21"/>
                <w:lang w:bidi="ar"/>
              </w:rPr>
              <w:t>数字化交付成果应保证与实体交付成果信息一致。</w:t>
            </w:r>
          </w:p>
        </w:tc>
        <w:tc>
          <w:tcPr>
            <w:tcW w:w="1749" w:type="pct"/>
            <w:vMerge w:val="continue"/>
            <w:vAlign w:val="center"/>
          </w:tcPr>
          <w:p w14:paraId="2A783322">
            <w:pPr>
              <w:adjustRightInd w:val="0"/>
              <w:snapToGrid w:val="0"/>
              <w:jc w:val="center"/>
              <w:rPr>
                <w:rFonts w:hint="eastAsia"/>
                <w:color w:val="000000"/>
                <w:sz w:val="21"/>
                <w:szCs w:val="21"/>
              </w:rPr>
            </w:pPr>
          </w:p>
        </w:tc>
        <w:tc>
          <w:tcPr>
            <w:tcW w:w="467" w:type="pct"/>
            <w:vAlign w:val="center"/>
          </w:tcPr>
          <w:p w14:paraId="604E66E8">
            <w:pPr>
              <w:adjustRightInd w:val="0"/>
              <w:snapToGrid w:val="0"/>
              <w:jc w:val="center"/>
              <w:rPr>
                <w:rFonts w:hint="eastAsia"/>
                <w:color w:val="000000"/>
                <w:sz w:val="21"/>
                <w:szCs w:val="21"/>
              </w:rPr>
            </w:pPr>
            <w:r>
              <w:rPr>
                <w:rFonts w:hint="eastAsia"/>
                <w:color w:val="000000"/>
                <w:sz w:val="21"/>
                <w:szCs w:val="21"/>
              </w:rPr>
              <w:t>5</w:t>
            </w:r>
          </w:p>
        </w:tc>
        <w:tc>
          <w:tcPr>
            <w:tcW w:w="455" w:type="pct"/>
            <w:vAlign w:val="center"/>
          </w:tcPr>
          <w:p w14:paraId="3ACEBE07">
            <w:pPr>
              <w:adjustRightInd w:val="0"/>
              <w:snapToGrid w:val="0"/>
              <w:jc w:val="center"/>
              <w:rPr>
                <w:rFonts w:hint="eastAsia"/>
                <w:color w:val="000000"/>
                <w:sz w:val="21"/>
                <w:szCs w:val="21"/>
              </w:rPr>
            </w:pPr>
          </w:p>
        </w:tc>
      </w:tr>
      <w:tr w14:paraId="0E272D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463" w:type="pct"/>
            <w:vAlign w:val="center"/>
          </w:tcPr>
          <w:p w14:paraId="110A7016">
            <w:pPr>
              <w:adjustRightInd w:val="0"/>
              <w:snapToGrid w:val="0"/>
              <w:jc w:val="center"/>
              <w:rPr>
                <w:rFonts w:hint="eastAsia"/>
                <w:color w:val="000000"/>
                <w:sz w:val="21"/>
                <w:szCs w:val="21"/>
              </w:rPr>
            </w:pPr>
            <w:r>
              <w:rPr>
                <w:rFonts w:hint="eastAsia"/>
                <w:color w:val="000000"/>
                <w:sz w:val="21"/>
                <w:szCs w:val="21"/>
              </w:rPr>
              <w:t>7.2.6</w:t>
            </w:r>
          </w:p>
        </w:tc>
        <w:tc>
          <w:tcPr>
            <w:tcW w:w="1866" w:type="pct"/>
            <w:vAlign w:val="center"/>
          </w:tcPr>
          <w:p w14:paraId="587AB0AA">
            <w:pPr>
              <w:topLinePunct/>
              <w:adjustRightInd w:val="0"/>
              <w:snapToGrid w:val="0"/>
              <w:spacing w:line="300" w:lineRule="auto"/>
              <w:rPr>
                <w:rFonts w:hint="eastAsia"/>
                <w:color w:val="000000"/>
                <w:sz w:val="21"/>
                <w:szCs w:val="21"/>
              </w:rPr>
            </w:pPr>
            <w:r>
              <w:rPr>
                <w:rFonts w:cs="宋体"/>
                <w:sz w:val="21"/>
                <w:szCs w:val="21"/>
                <w:lang w:bidi="ar"/>
              </w:rPr>
              <w:t>实现工程数据、逻辑模型、三维模型、图纸等有机关联；实现项目数字化孪生；实现基建数据与生产运营数据无缝对接。</w:t>
            </w:r>
          </w:p>
        </w:tc>
        <w:tc>
          <w:tcPr>
            <w:tcW w:w="1749" w:type="pct"/>
            <w:vMerge w:val="continue"/>
            <w:vAlign w:val="center"/>
          </w:tcPr>
          <w:p w14:paraId="75D85E32">
            <w:pPr>
              <w:adjustRightInd w:val="0"/>
              <w:snapToGrid w:val="0"/>
              <w:jc w:val="center"/>
              <w:rPr>
                <w:rFonts w:hint="eastAsia"/>
                <w:color w:val="000000"/>
                <w:sz w:val="21"/>
                <w:szCs w:val="21"/>
              </w:rPr>
            </w:pPr>
          </w:p>
        </w:tc>
        <w:tc>
          <w:tcPr>
            <w:tcW w:w="467" w:type="pct"/>
            <w:vAlign w:val="center"/>
          </w:tcPr>
          <w:p w14:paraId="08A28859">
            <w:pPr>
              <w:adjustRightInd w:val="0"/>
              <w:snapToGrid w:val="0"/>
              <w:jc w:val="center"/>
              <w:rPr>
                <w:rFonts w:hint="eastAsia"/>
                <w:color w:val="000000"/>
                <w:sz w:val="21"/>
                <w:szCs w:val="21"/>
              </w:rPr>
            </w:pPr>
            <w:r>
              <w:rPr>
                <w:rFonts w:hint="eastAsia"/>
                <w:color w:val="000000"/>
                <w:sz w:val="21"/>
                <w:szCs w:val="21"/>
              </w:rPr>
              <w:t>5</w:t>
            </w:r>
          </w:p>
        </w:tc>
        <w:tc>
          <w:tcPr>
            <w:tcW w:w="455" w:type="pct"/>
            <w:vAlign w:val="center"/>
          </w:tcPr>
          <w:p w14:paraId="5E556C43">
            <w:pPr>
              <w:adjustRightInd w:val="0"/>
              <w:snapToGrid w:val="0"/>
              <w:jc w:val="center"/>
              <w:rPr>
                <w:rFonts w:hint="eastAsia"/>
                <w:color w:val="000000"/>
                <w:sz w:val="21"/>
                <w:szCs w:val="21"/>
              </w:rPr>
            </w:pPr>
          </w:p>
        </w:tc>
      </w:tr>
      <w:tr w14:paraId="3F4FD1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463" w:type="pct"/>
            <w:vAlign w:val="center"/>
          </w:tcPr>
          <w:p w14:paraId="10071F7F">
            <w:pPr>
              <w:adjustRightInd w:val="0"/>
              <w:snapToGrid w:val="0"/>
              <w:jc w:val="center"/>
              <w:rPr>
                <w:rFonts w:hint="eastAsia"/>
                <w:b/>
                <w:bCs/>
                <w:color w:val="000000"/>
                <w:sz w:val="21"/>
                <w:szCs w:val="21"/>
              </w:rPr>
            </w:pPr>
            <w:r>
              <w:rPr>
                <w:rFonts w:hint="eastAsia"/>
                <w:b/>
                <w:bCs/>
                <w:color w:val="000000"/>
                <w:sz w:val="21"/>
                <w:szCs w:val="21"/>
              </w:rPr>
              <w:t>7.3</w:t>
            </w:r>
          </w:p>
        </w:tc>
        <w:tc>
          <w:tcPr>
            <w:tcW w:w="1866" w:type="pct"/>
            <w:vAlign w:val="center"/>
          </w:tcPr>
          <w:p w14:paraId="7C4FFDA3">
            <w:pPr>
              <w:adjustRightInd w:val="0"/>
              <w:snapToGrid w:val="0"/>
              <w:jc w:val="left"/>
              <w:rPr>
                <w:rFonts w:hint="eastAsia"/>
                <w:b/>
                <w:bCs/>
                <w:color w:val="000000"/>
                <w:sz w:val="21"/>
                <w:szCs w:val="21"/>
              </w:rPr>
            </w:pPr>
            <w:r>
              <w:rPr>
                <w:rFonts w:hint="eastAsia"/>
                <w:b/>
                <w:bCs/>
                <w:color w:val="000000"/>
                <w:sz w:val="21"/>
                <w:szCs w:val="21"/>
              </w:rPr>
              <w:t>绿色效果评估</w:t>
            </w:r>
          </w:p>
        </w:tc>
        <w:tc>
          <w:tcPr>
            <w:tcW w:w="1749" w:type="pct"/>
            <w:vAlign w:val="center"/>
          </w:tcPr>
          <w:p w14:paraId="23C24064">
            <w:pPr>
              <w:adjustRightInd w:val="0"/>
              <w:snapToGrid w:val="0"/>
              <w:jc w:val="center"/>
              <w:rPr>
                <w:rFonts w:hint="eastAsia"/>
                <w:color w:val="000000"/>
                <w:sz w:val="21"/>
                <w:szCs w:val="21"/>
              </w:rPr>
            </w:pPr>
          </w:p>
        </w:tc>
        <w:tc>
          <w:tcPr>
            <w:tcW w:w="467" w:type="pct"/>
            <w:vAlign w:val="center"/>
          </w:tcPr>
          <w:p w14:paraId="6E2CFEA3">
            <w:pPr>
              <w:adjustRightInd w:val="0"/>
              <w:snapToGrid w:val="0"/>
              <w:jc w:val="center"/>
              <w:rPr>
                <w:rFonts w:hint="eastAsia"/>
                <w:color w:val="000000"/>
                <w:sz w:val="21"/>
                <w:szCs w:val="21"/>
              </w:rPr>
            </w:pPr>
            <w:r>
              <w:rPr>
                <w:rFonts w:hint="eastAsia"/>
                <w:color w:val="000000"/>
                <w:sz w:val="21"/>
                <w:szCs w:val="21"/>
              </w:rPr>
              <w:t>4</w:t>
            </w:r>
            <w:r>
              <w:rPr>
                <w:color w:val="000000"/>
                <w:sz w:val="21"/>
                <w:szCs w:val="21"/>
              </w:rPr>
              <w:t>0</w:t>
            </w:r>
          </w:p>
        </w:tc>
        <w:tc>
          <w:tcPr>
            <w:tcW w:w="455" w:type="pct"/>
            <w:vAlign w:val="center"/>
          </w:tcPr>
          <w:p w14:paraId="4F31A9E7">
            <w:pPr>
              <w:adjustRightInd w:val="0"/>
              <w:snapToGrid w:val="0"/>
              <w:jc w:val="center"/>
              <w:rPr>
                <w:rFonts w:hint="eastAsia"/>
                <w:color w:val="000000"/>
                <w:sz w:val="21"/>
                <w:szCs w:val="21"/>
              </w:rPr>
            </w:pPr>
          </w:p>
        </w:tc>
      </w:tr>
      <w:tr w14:paraId="5ADE4E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1421" w:hRule="atLeast"/>
          <w:jc w:val="center"/>
        </w:trPr>
        <w:tc>
          <w:tcPr>
            <w:tcW w:w="463" w:type="pct"/>
            <w:vAlign w:val="center"/>
          </w:tcPr>
          <w:p w14:paraId="7436E2C5">
            <w:pPr>
              <w:adjustRightInd w:val="0"/>
              <w:snapToGrid w:val="0"/>
              <w:jc w:val="center"/>
              <w:rPr>
                <w:rFonts w:hint="eastAsia"/>
                <w:color w:val="000000"/>
                <w:sz w:val="21"/>
                <w:szCs w:val="21"/>
              </w:rPr>
            </w:pPr>
            <w:r>
              <w:rPr>
                <w:rFonts w:hint="eastAsia"/>
                <w:color w:val="000000"/>
                <w:sz w:val="21"/>
                <w:szCs w:val="21"/>
              </w:rPr>
              <w:t>7.3.1</w:t>
            </w:r>
          </w:p>
        </w:tc>
        <w:tc>
          <w:tcPr>
            <w:tcW w:w="1866" w:type="pct"/>
            <w:vAlign w:val="center"/>
          </w:tcPr>
          <w:p w14:paraId="78A68AEF">
            <w:pPr>
              <w:topLinePunct/>
              <w:adjustRightInd w:val="0"/>
              <w:snapToGrid w:val="0"/>
              <w:spacing w:line="300" w:lineRule="auto"/>
              <w:rPr>
                <w:rFonts w:hint="eastAsia" w:cs="宋体"/>
                <w:sz w:val="21"/>
                <w:szCs w:val="21"/>
                <w:lang w:bidi="ar"/>
              </w:rPr>
            </w:pPr>
            <w:r>
              <w:rPr>
                <w:rFonts w:cs="宋体"/>
                <w:sz w:val="21"/>
                <w:szCs w:val="21"/>
                <w:lang w:bidi="ar"/>
              </w:rPr>
              <w:t>移交后的场地能够保持良好状态并达到预期效果。场地清理、土壤改良、植被恢复、养护管理方面符合标准要求。</w:t>
            </w:r>
          </w:p>
        </w:tc>
        <w:tc>
          <w:tcPr>
            <w:tcW w:w="1749" w:type="pct"/>
            <w:vMerge w:val="restart"/>
            <w:vAlign w:val="center"/>
          </w:tcPr>
          <w:p w14:paraId="282CFE44">
            <w:pPr>
              <w:topLinePunct/>
              <w:adjustRightInd w:val="0"/>
              <w:snapToGrid w:val="0"/>
              <w:spacing w:line="300" w:lineRule="auto"/>
              <w:rPr>
                <w:rFonts w:hint="eastAsia"/>
                <w:sz w:val="21"/>
                <w:szCs w:val="21"/>
              </w:rPr>
            </w:pPr>
            <w:r>
              <w:rPr>
                <w:rFonts w:hint="eastAsia"/>
                <w:sz w:val="21"/>
                <w:szCs w:val="21"/>
              </w:rPr>
              <w:t>每项子目实得分根据现场实际情况按照标准分乘以相应系数进行评分:</w:t>
            </w:r>
          </w:p>
          <w:p w14:paraId="612351E4">
            <w:pPr>
              <w:topLinePunct/>
              <w:adjustRightInd w:val="0"/>
              <w:snapToGrid w:val="0"/>
              <w:spacing w:line="300" w:lineRule="auto"/>
              <w:rPr>
                <w:rFonts w:hint="eastAsia"/>
                <w:sz w:val="21"/>
                <w:szCs w:val="21"/>
              </w:rPr>
            </w:pPr>
            <w:r>
              <w:rPr>
                <w:rFonts w:hint="eastAsia"/>
                <w:sz w:val="21"/>
                <w:szCs w:val="21"/>
              </w:rPr>
              <w:t>1、满足评价指标要求系数为1;</w:t>
            </w:r>
          </w:p>
          <w:p w14:paraId="230973D8">
            <w:pPr>
              <w:topLinePunct/>
              <w:adjustRightInd w:val="0"/>
              <w:snapToGrid w:val="0"/>
              <w:spacing w:line="300" w:lineRule="auto"/>
              <w:rPr>
                <w:rFonts w:hint="eastAsia"/>
                <w:sz w:val="21"/>
                <w:szCs w:val="21"/>
              </w:rPr>
            </w:pPr>
            <w:r>
              <w:rPr>
                <w:sz w:val="21"/>
                <w:szCs w:val="21"/>
              </w:rPr>
              <w:t>2、基本满足评价指标要求系数按照 0.5~0.9酌情选取;</w:t>
            </w:r>
          </w:p>
          <w:p w14:paraId="3CADDB0B">
            <w:pPr>
              <w:adjustRightInd w:val="0"/>
              <w:snapToGrid w:val="0"/>
              <w:jc w:val="center"/>
              <w:rPr>
                <w:rFonts w:hint="eastAsia"/>
                <w:color w:val="000000"/>
                <w:sz w:val="21"/>
                <w:szCs w:val="21"/>
              </w:rPr>
            </w:pPr>
            <w:r>
              <w:rPr>
                <w:sz w:val="21"/>
                <w:szCs w:val="21"/>
              </w:rPr>
              <w:t>3、不满足评价指标要求，得0分。</w:t>
            </w:r>
          </w:p>
        </w:tc>
        <w:tc>
          <w:tcPr>
            <w:tcW w:w="467" w:type="pct"/>
            <w:vAlign w:val="center"/>
          </w:tcPr>
          <w:p w14:paraId="74B909F6">
            <w:pPr>
              <w:adjustRightInd w:val="0"/>
              <w:snapToGrid w:val="0"/>
              <w:jc w:val="center"/>
              <w:rPr>
                <w:rFonts w:hint="eastAsia"/>
                <w:color w:val="000000"/>
                <w:sz w:val="21"/>
                <w:szCs w:val="21"/>
              </w:rPr>
            </w:pPr>
            <w:r>
              <w:rPr>
                <w:rFonts w:hint="eastAsia"/>
                <w:color w:val="000000"/>
                <w:sz w:val="21"/>
                <w:szCs w:val="21"/>
              </w:rPr>
              <w:t>5</w:t>
            </w:r>
          </w:p>
        </w:tc>
        <w:tc>
          <w:tcPr>
            <w:tcW w:w="455" w:type="pct"/>
            <w:vAlign w:val="center"/>
          </w:tcPr>
          <w:p w14:paraId="79C021D1">
            <w:pPr>
              <w:adjustRightInd w:val="0"/>
              <w:snapToGrid w:val="0"/>
              <w:jc w:val="center"/>
              <w:rPr>
                <w:rFonts w:hint="eastAsia"/>
                <w:color w:val="000000"/>
                <w:sz w:val="21"/>
                <w:szCs w:val="21"/>
              </w:rPr>
            </w:pPr>
          </w:p>
        </w:tc>
      </w:tr>
      <w:tr w14:paraId="0F82BD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765" w:hRule="atLeast"/>
          <w:jc w:val="center"/>
        </w:trPr>
        <w:tc>
          <w:tcPr>
            <w:tcW w:w="463" w:type="pct"/>
            <w:vAlign w:val="center"/>
          </w:tcPr>
          <w:p w14:paraId="1D66388C">
            <w:pPr>
              <w:adjustRightInd w:val="0"/>
              <w:snapToGrid w:val="0"/>
              <w:jc w:val="center"/>
              <w:rPr>
                <w:rFonts w:hint="eastAsia"/>
                <w:color w:val="000000"/>
                <w:sz w:val="21"/>
                <w:szCs w:val="21"/>
              </w:rPr>
            </w:pPr>
            <w:r>
              <w:rPr>
                <w:rFonts w:hint="eastAsia"/>
                <w:color w:val="000000"/>
                <w:sz w:val="21"/>
                <w:szCs w:val="21"/>
              </w:rPr>
              <w:t>7.3.2</w:t>
            </w:r>
          </w:p>
        </w:tc>
        <w:tc>
          <w:tcPr>
            <w:tcW w:w="1866" w:type="pct"/>
            <w:vAlign w:val="center"/>
          </w:tcPr>
          <w:p w14:paraId="7594202F">
            <w:pPr>
              <w:topLinePunct/>
              <w:adjustRightInd w:val="0"/>
              <w:snapToGrid w:val="0"/>
              <w:spacing w:line="300" w:lineRule="auto"/>
              <w:rPr>
                <w:rFonts w:hint="eastAsia" w:cs="宋体"/>
                <w:sz w:val="21"/>
                <w:szCs w:val="21"/>
                <w:lang w:bidi="ar"/>
              </w:rPr>
            </w:pPr>
            <w:r>
              <w:rPr>
                <w:rFonts w:cs="宋体"/>
                <w:sz w:val="21"/>
                <w:szCs w:val="21"/>
                <w:lang w:bidi="ar"/>
              </w:rPr>
              <w:t>分阶段</w:t>
            </w:r>
            <w:r>
              <w:rPr>
                <w:rFonts w:hint="eastAsia" w:cs="宋体"/>
                <w:sz w:val="21"/>
                <w:szCs w:val="21"/>
                <w:lang w:bidi="ar"/>
              </w:rPr>
              <w:t>开展</w:t>
            </w:r>
            <w:r>
              <w:rPr>
                <w:rFonts w:cs="宋体"/>
                <w:sz w:val="21"/>
                <w:szCs w:val="21"/>
                <w:lang w:bidi="ar"/>
              </w:rPr>
              <w:t>绿色建造自评价</w:t>
            </w:r>
            <w:r>
              <w:rPr>
                <w:rFonts w:hint="eastAsia" w:cs="宋体"/>
                <w:sz w:val="21"/>
                <w:szCs w:val="21"/>
                <w:lang w:bidi="ar"/>
              </w:rPr>
              <w:t>工作</w:t>
            </w:r>
            <w:r>
              <w:rPr>
                <w:rFonts w:cs="宋体"/>
                <w:sz w:val="21"/>
                <w:szCs w:val="21"/>
                <w:lang w:bidi="ar"/>
              </w:rPr>
              <w:t>，</w:t>
            </w:r>
            <w:r>
              <w:rPr>
                <w:rFonts w:hint="eastAsia" w:cs="宋体"/>
                <w:sz w:val="21"/>
                <w:szCs w:val="21"/>
                <w:lang w:bidi="ar"/>
              </w:rPr>
              <w:t>提供</w:t>
            </w:r>
            <w:r>
              <w:rPr>
                <w:rFonts w:cs="宋体"/>
                <w:sz w:val="21"/>
                <w:szCs w:val="21"/>
                <w:lang w:bidi="ar"/>
              </w:rPr>
              <w:t>相关支撑性材料</w:t>
            </w:r>
            <w:r>
              <w:rPr>
                <w:rFonts w:hint="eastAsia" w:cs="宋体"/>
                <w:sz w:val="21"/>
                <w:szCs w:val="21"/>
                <w:lang w:bidi="ar"/>
              </w:rPr>
              <w:t>。</w:t>
            </w:r>
          </w:p>
        </w:tc>
        <w:tc>
          <w:tcPr>
            <w:tcW w:w="1749" w:type="pct"/>
            <w:vMerge w:val="continue"/>
            <w:vAlign w:val="center"/>
          </w:tcPr>
          <w:p w14:paraId="4EA3964C">
            <w:pPr>
              <w:adjustRightInd w:val="0"/>
              <w:snapToGrid w:val="0"/>
              <w:jc w:val="center"/>
              <w:rPr>
                <w:rFonts w:hint="eastAsia"/>
                <w:color w:val="000000"/>
                <w:sz w:val="21"/>
                <w:szCs w:val="21"/>
              </w:rPr>
            </w:pPr>
          </w:p>
        </w:tc>
        <w:tc>
          <w:tcPr>
            <w:tcW w:w="467" w:type="pct"/>
            <w:vAlign w:val="center"/>
          </w:tcPr>
          <w:p w14:paraId="74C9B8C0">
            <w:pPr>
              <w:adjustRightInd w:val="0"/>
              <w:snapToGrid w:val="0"/>
              <w:jc w:val="center"/>
              <w:rPr>
                <w:rFonts w:hint="eastAsia"/>
                <w:color w:val="000000"/>
                <w:sz w:val="21"/>
                <w:szCs w:val="21"/>
              </w:rPr>
            </w:pPr>
            <w:r>
              <w:rPr>
                <w:rFonts w:hint="eastAsia"/>
                <w:color w:val="000000"/>
                <w:sz w:val="21"/>
                <w:szCs w:val="21"/>
              </w:rPr>
              <w:t>10</w:t>
            </w:r>
          </w:p>
        </w:tc>
        <w:tc>
          <w:tcPr>
            <w:tcW w:w="455" w:type="pct"/>
            <w:vAlign w:val="center"/>
          </w:tcPr>
          <w:p w14:paraId="79C1811A">
            <w:pPr>
              <w:adjustRightInd w:val="0"/>
              <w:snapToGrid w:val="0"/>
              <w:jc w:val="center"/>
              <w:rPr>
                <w:rFonts w:hint="eastAsia"/>
                <w:color w:val="000000"/>
                <w:sz w:val="21"/>
                <w:szCs w:val="21"/>
              </w:rPr>
            </w:pPr>
          </w:p>
        </w:tc>
      </w:tr>
      <w:tr w14:paraId="024630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463" w:type="pct"/>
            <w:vAlign w:val="center"/>
          </w:tcPr>
          <w:p w14:paraId="25A3355D">
            <w:pPr>
              <w:adjustRightInd w:val="0"/>
              <w:snapToGrid w:val="0"/>
              <w:jc w:val="center"/>
              <w:rPr>
                <w:rFonts w:hint="eastAsia"/>
                <w:color w:val="000000"/>
                <w:sz w:val="21"/>
                <w:szCs w:val="21"/>
              </w:rPr>
            </w:pPr>
            <w:r>
              <w:rPr>
                <w:rFonts w:hint="eastAsia"/>
                <w:color w:val="000000"/>
                <w:sz w:val="21"/>
                <w:szCs w:val="21"/>
              </w:rPr>
              <w:t>7.3.3</w:t>
            </w:r>
          </w:p>
        </w:tc>
        <w:tc>
          <w:tcPr>
            <w:tcW w:w="1866" w:type="pct"/>
            <w:vAlign w:val="center"/>
          </w:tcPr>
          <w:p w14:paraId="014306F5">
            <w:pPr>
              <w:topLinePunct/>
              <w:adjustRightInd w:val="0"/>
              <w:snapToGrid w:val="0"/>
              <w:spacing w:line="300" w:lineRule="auto"/>
              <w:rPr>
                <w:rFonts w:hint="eastAsia" w:cs="宋体"/>
                <w:sz w:val="21"/>
                <w:szCs w:val="21"/>
                <w:lang w:bidi="ar"/>
              </w:rPr>
            </w:pPr>
            <w:r>
              <w:rPr>
                <w:rFonts w:cs="宋体"/>
                <w:sz w:val="21"/>
                <w:szCs w:val="21"/>
                <w:lang w:bidi="ar"/>
              </w:rPr>
              <w:t>进行项目绿色建造的效果评估并编制评估报告</w:t>
            </w:r>
            <w:r>
              <w:rPr>
                <w:rFonts w:hint="eastAsia" w:cs="宋体"/>
                <w:sz w:val="21"/>
                <w:szCs w:val="21"/>
                <w:lang w:bidi="ar"/>
              </w:rPr>
              <w:t>。</w:t>
            </w:r>
          </w:p>
        </w:tc>
        <w:tc>
          <w:tcPr>
            <w:tcW w:w="1749" w:type="pct"/>
            <w:vMerge w:val="continue"/>
            <w:vAlign w:val="center"/>
          </w:tcPr>
          <w:p w14:paraId="036E9423">
            <w:pPr>
              <w:adjustRightInd w:val="0"/>
              <w:snapToGrid w:val="0"/>
              <w:jc w:val="center"/>
              <w:rPr>
                <w:rFonts w:hint="eastAsia"/>
                <w:color w:val="000000"/>
                <w:sz w:val="21"/>
                <w:szCs w:val="21"/>
              </w:rPr>
            </w:pPr>
          </w:p>
        </w:tc>
        <w:tc>
          <w:tcPr>
            <w:tcW w:w="467" w:type="pct"/>
            <w:vAlign w:val="center"/>
          </w:tcPr>
          <w:p w14:paraId="4435BFDC">
            <w:pPr>
              <w:adjustRightInd w:val="0"/>
              <w:snapToGrid w:val="0"/>
              <w:jc w:val="center"/>
              <w:rPr>
                <w:rFonts w:hint="eastAsia"/>
                <w:color w:val="000000"/>
                <w:sz w:val="21"/>
                <w:szCs w:val="21"/>
              </w:rPr>
            </w:pPr>
            <w:r>
              <w:rPr>
                <w:rFonts w:hint="eastAsia"/>
                <w:color w:val="000000"/>
                <w:sz w:val="21"/>
                <w:szCs w:val="21"/>
              </w:rPr>
              <w:t>5</w:t>
            </w:r>
          </w:p>
        </w:tc>
        <w:tc>
          <w:tcPr>
            <w:tcW w:w="455" w:type="pct"/>
            <w:vAlign w:val="center"/>
          </w:tcPr>
          <w:p w14:paraId="5D0E2249">
            <w:pPr>
              <w:adjustRightInd w:val="0"/>
              <w:snapToGrid w:val="0"/>
              <w:jc w:val="center"/>
              <w:rPr>
                <w:rFonts w:hint="eastAsia"/>
                <w:color w:val="000000"/>
                <w:sz w:val="21"/>
                <w:szCs w:val="21"/>
              </w:rPr>
            </w:pPr>
          </w:p>
        </w:tc>
      </w:tr>
      <w:tr w14:paraId="72945C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1193" w:hRule="atLeast"/>
          <w:jc w:val="center"/>
        </w:trPr>
        <w:tc>
          <w:tcPr>
            <w:tcW w:w="463" w:type="pct"/>
            <w:vAlign w:val="center"/>
          </w:tcPr>
          <w:p w14:paraId="59BC7A45">
            <w:pPr>
              <w:adjustRightInd w:val="0"/>
              <w:snapToGrid w:val="0"/>
              <w:jc w:val="center"/>
              <w:rPr>
                <w:rFonts w:hint="eastAsia"/>
                <w:color w:val="000000"/>
                <w:sz w:val="21"/>
                <w:szCs w:val="21"/>
              </w:rPr>
            </w:pPr>
            <w:r>
              <w:rPr>
                <w:rFonts w:hint="eastAsia"/>
                <w:color w:val="000000"/>
                <w:sz w:val="21"/>
                <w:szCs w:val="21"/>
              </w:rPr>
              <w:t>7.3.4</w:t>
            </w:r>
          </w:p>
        </w:tc>
        <w:tc>
          <w:tcPr>
            <w:tcW w:w="1866" w:type="pct"/>
            <w:vAlign w:val="center"/>
          </w:tcPr>
          <w:p w14:paraId="2EAB9D82">
            <w:pPr>
              <w:topLinePunct/>
              <w:adjustRightInd w:val="0"/>
              <w:snapToGrid w:val="0"/>
              <w:spacing w:line="300" w:lineRule="auto"/>
              <w:rPr>
                <w:rFonts w:hint="eastAsia" w:cs="宋体"/>
                <w:sz w:val="21"/>
                <w:szCs w:val="21"/>
                <w:lang w:bidi="ar"/>
              </w:rPr>
            </w:pPr>
            <w:r>
              <w:rPr>
                <w:rFonts w:hint="eastAsia" w:cs="宋体"/>
                <w:sz w:val="21"/>
                <w:szCs w:val="21"/>
                <w:lang w:bidi="ar"/>
              </w:rPr>
              <w:t>效果评估</w:t>
            </w:r>
            <w:r>
              <w:rPr>
                <w:rFonts w:cs="宋体"/>
                <w:sz w:val="21"/>
                <w:szCs w:val="21"/>
                <w:lang w:bidi="ar"/>
              </w:rPr>
              <w:t>通过检查工程实体质量、核查工程项目文件</w:t>
            </w:r>
            <w:r>
              <w:rPr>
                <w:rFonts w:hint="eastAsia" w:cs="宋体"/>
                <w:sz w:val="21"/>
                <w:szCs w:val="21"/>
                <w:lang w:bidi="ar"/>
              </w:rPr>
              <w:t>。</w:t>
            </w:r>
            <w:r>
              <w:rPr>
                <w:rFonts w:cs="宋体"/>
                <w:sz w:val="21"/>
                <w:szCs w:val="21"/>
                <w:lang w:bidi="ar"/>
              </w:rPr>
              <w:t>重点从工程绿色建造管控水平、技术先进性、资源节约效果、环境保护效果和综合效能指标等方面，对工程绿色建造的整体水平进行量化评分和综合评价。</w:t>
            </w:r>
          </w:p>
        </w:tc>
        <w:tc>
          <w:tcPr>
            <w:tcW w:w="1749" w:type="pct"/>
            <w:vMerge w:val="continue"/>
            <w:vAlign w:val="center"/>
          </w:tcPr>
          <w:p w14:paraId="08C6590D">
            <w:pPr>
              <w:adjustRightInd w:val="0"/>
              <w:snapToGrid w:val="0"/>
              <w:jc w:val="center"/>
              <w:rPr>
                <w:rFonts w:hint="eastAsia"/>
                <w:color w:val="000000"/>
                <w:sz w:val="21"/>
                <w:szCs w:val="21"/>
              </w:rPr>
            </w:pPr>
          </w:p>
        </w:tc>
        <w:tc>
          <w:tcPr>
            <w:tcW w:w="467" w:type="pct"/>
            <w:vAlign w:val="center"/>
          </w:tcPr>
          <w:p w14:paraId="3C52EC83">
            <w:pPr>
              <w:adjustRightInd w:val="0"/>
              <w:snapToGrid w:val="0"/>
              <w:jc w:val="center"/>
              <w:rPr>
                <w:rFonts w:hint="eastAsia"/>
                <w:color w:val="000000"/>
                <w:sz w:val="21"/>
                <w:szCs w:val="21"/>
              </w:rPr>
            </w:pPr>
            <w:r>
              <w:rPr>
                <w:rFonts w:hint="eastAsia"/>
                <w:color w:val="000000"/>
                <w:sz w:val="21"/>
                <w:szCs w:val="21"/>
              </w:rPr>
              <w:t>20</w:t>
            </w:r>
          </w:p>
        </w:tc>
        <w:tc>
          <w:tcPr>
            <w:tcW w:w="455" w:type="pct"/>
            <w:vAlign w:val="center"/>
          </w:tcPr>
          <w:p w14:paraId="54483E8C">
            <w:pPr>
              <w:adjustRightInd w:val="0"/>
              <w:snapToGrid w:val="0"/>
              <w:jc w:val="center"/>
              <w:rPr>
                <w:rFonts w:hint="eastAsia"/>
                <w:color w:val="000000"/>
                <w:sz w:val="21"/>
                <w:szCs w:val="21"/>
              </w:rPr>
            </w:pPr>
          </w:p>
        </w:tc>
      </w:tr>
      <w:tr w14:paraId="65A2E2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4078" w:type="pct"/>
            <w:gridSpan w:val="3"/>
            <w:vAlign w:val="center"/>
          </w:tcPr>
          <w:p w14:paraId="40A793DB">
            <w:pPr>
              <w:adjustRightInd w:val="0"/>
              <w:snapToGrid w:val="0"/>
              <w:jc w:val="center"/>
              <w:rPr>
                <w:rFonts w:hint="eastAsia"/>
                <w:color w:val="000000"/>
                <w:sz w:val="21"/>
                <w:szCs w:val="21"/>
              </w:rPr>
            </w:pPr>
            <w:r>
              <w:rPr>
                <w:rFonts w:hint="eastAsia"/>
                <w:color w:val="000000"/>
                <w:sz w:val="21"/>
                <w:szCs w:val="21"/>
              </w:rPr>
              <w:t>合计</w:t>
            </w:r>
          </w:p>
        </w:tc>
        <w:tc>
          <w:tcPr>
            <w:tcW w:w="467" w:type="pct"/>
            <w:vAlign w:val="center"/>
          </w:tcPr>
          <w:p w14:paraId="77E00402">
            <w:pPr>
              <w:adjustRightInd w:val="0"/>
              <w:snapToGrid w:val="0"/>
              <w:jc w:val="center"/>
              <w:rPr>
                <w:rFonts w:hint="eastAsia"/>
                <w:color w:val="000000"/>
                <w:sz w:val="21"/>
                <w:szCs w:val="21"/>
              </w:rPr>
            </w:pPr>
          </w:p>
        </w:tc>
        <w:tc>
          <w:tcPr>
            <w:tcW w:w="455" w:type="pct"/>
            <w:vAlign w:val="center"/>
          </w:tcPr>
          <w:p w14:paraId="6806BD8E">
            <w:pPr>
              <w:adjustRightInd w:val="0"/>
              <w:snapToGrid w:val="0"/>
              <w:jc w:val="center"/>
              <w:rPr>
                <w:rFonts w:hint="eastAsia"/>
                <w:color w:val="000000"/>
                <w:sz w:val="21"/>
                <w:szCs w:val="21"/>
              </w:rPr>
            </w:pPr>
          </w:p>
        </w:tc>
      </w:tr>
      <w:tr w14:paraId="1955AA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454" w:hRule="atLeast"/>
          <w:jc w:val="center"/>
        </w:trPr>
        <w:tc>
          <w:tcPr>
            <w:tcW w:w="5000" w:type="pct"/>
            <w:gridSpan w:val="5"/>
          </w:tcPr>
          <w:p w14:paraId="34C8E067">
            <w:pPr>
              <w:topLinePunct/>
              <w:adjustRightInd w:val="0"/>
              <w:snapToGrid w:val="0"/>
              <w:spacing w:line="300" w:lineRule="auto"/>
              <w:ind w:left="-57" w:right="-57"/>
              <w:rPr>
                <w:rFonts w:hint="eastAsia"/>
                <w:color w:val="000000"/>
                <w:sz w:val="21"/>
                <w:szCs w:val="21"/>
              </w:rPr>
            </w:pPr>
            <w:r>
              <w:rPr>
                <w:rFonts w:hint="eastAsia" w:cs="宋体"/>
                <w:kern w:val="0"/>
                <w:sz w:val="21"/>
                <w:szCs w:val="21"/>
                <w:lang w:bidi="ar"/>
              </w:rPr>
              <w:t>评价结果实得分：</w:t>
            </w:r>
          </w:p>
        </w:tc>
      </w:tr>
      <w:tr w14:paraId="3F9BDF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5000" w:type="pct"/>
            <w:gridSpan w:val="5"/>
          </w:tcPr>
          <w:p w14:paraId="068A57CF">
            <w:pPr>
              <w:rPr>
                <w:rFonts w:hint="eastAsia" w:cs="宋体"/>
                <w:kern w:val="0"/>
                <w:sz w:val="21"/>
                <w:szCs w:val="21"/>
                <w:lang w:bidi="ar"/>
              </w:rPr>
            </w:pPr>
            <w:r>
              <w:rPr>
                <w:rFonts w:hint="eastAsia" w:cs="宋体"/>
                <w:kern w:val="0"/>
                <w:sz w:val="21"/>
                <w:szCs w:val="21"/>
                <w:lang w:bidi="ar"/>
              </w:rPr>
              <w:t>评价组成员：</w:t>
            </w:r>
          </w:p>
          <w:p w14:paraId="0457454B">
            <w:pPr>
              <w:pStyle w:val="57"/>
              <w:ind w:left="2880"/>
              <w:rPr>
                <w:rFonts w:hint="eastAsia" w:hAnsi="宋体"/>
                <w:sz w:val="21"/>
                <w:szCs w:val="21"/>
                <w:lang w:bidi="ar"/>
              </w:rPr>
            </w:pPr>
          </w:p>
          <w:p w14:paraId="2309FE5A">
            <w:pPr>
              <w:pStyle w:val="57"/>
              <w:ind w:left="2880"/>
              <w:rPr>
                <w:rFonts w:hint="eastAsia" w:hAnsi="宋体"/>
                <w:sz w:val="21"/>
                <w:szCs w:val="21"/>
                <w:lang w:bidi="ar"/>
              </w:rPr>
            </w:pPr>
          </w:p>
          <w:p w14:paraId="516F8DB3">
            <w:pPr>
              <w:topLinePunct/>
              <w:adjustRightInd w:val="0"/>
              <w:snapToGrid w:val="0"/>
              <w:spacing w:line="300" w:lineRule="auto"/>
              <w:ind w:left="-57" w:right="-57"/>
              <w:jc w:val="center"/>
              <w:rPr>
                <w:rFonts w:hint="eastAsia"/>
                <w:color w:val="000000"/>
                <w:sz w:val="21"/>
                <w:szCs w:val="21"/>
              </w:rPr>
            </w:pPr>
            <w:r>
              <w:rPr>
                <w:rFonts w:hint="eastAsia" w:cs="宋体"/>
                <w:kern w:val="0"/>
                <w:sz w:val="21"/>
                <w:szCs w:val="21"/>
                <w:lang w:bidi="ar"/>
              </w:rPr>
              <w:t xml:space="preserve">                                                           评价日期：    年   月   日</w:t>
            </w:r>
          </w:p>
        </w:tc>
      </w:tr>
      <w:tr w14:paraId="11A7A6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5000" w:type="pct"/>
            <w:gridSpan w:val="5"/>
            <w:vAlign w:val="center"/>
          </w:tcPr>
          <w:p w14:paraId="59C8B316">
            <w:pPr>
              <w:textAlignment w:val="center"/>
              <w:rPr>
                <w:rFonts w:hint="eastAsia" w:cs="宋体"/>
                <w:kern w:val="0"/>
                <w:sz w:val="21"/>
                <w:szCs w:val="21"/>
                <w:lang w:bidi="ar"/>
              </w:rPr>
            </w:pPr>
            <w:r>
              <w:rPr>
                <w:rFonts w:hint="eastAsia" w:cs="宋体"/>
                <w:kern w:val="0"/>
                <w:sz w:val="21"/>
                <w:szCs w:val="21"/>
                <w:lang w:bidi="ar"/>
              </w:rPr>
              <w:t>注1：每个评价项目标准分扣完为止。</w:t>
            </w:r>
          </w:p>
          <w:p w14:paraId="038B4A22">
            <w:pPr>
              <w:topLinePunct/>
              <w:adjustRightInd w:val="0"/>
              <w:snapToGrid w:val="0"/>
              <w:spacing w:line="300" w:lineRule="auto"/>
              <w:ind w:right="-57"/>
              <w:rPr>
                <w:rFonts w:hint="eastAsia"/>
                <w:color w:val="000000"/>
                <w:sz w:val="21"/>
                <w:szCs w:val="21"/>
              </w:rPr>
            </w:pPr>
            <w:r>
              <w:rPr>
                <w:rFonts w:hint="eastAsia" w:cs="宋体"/>
                <w:kern w:val="0"/>
                <w:sz w:val="21"/>
                <w:szCs w:val="21"/>
                <w:lang w:bidi="ar"/>
              </w:rPr>
              <w:t>注2：不涉及的评价项目标准分不计入总标准分，实得分</w:t>
            </w:r>
            <w:r>
              <w:rPr>
                <w:rFonts w:hint="eastAsia" w:cs="宋体"/>
                <w:kern w:val="0"/>
                <w:sz w:val="21"/>
                <w:szCs w:val="21"/>
                <w:vertAlign w:val="superscript"/>
                <w:lang w:bidi="ar"/>
              </w:rPr>
              <w:t xml:space="preserve"> </w:t>
            </w:r>
            <w:r>
              <w:rPr>
                <w:rFonts w:hint="eastAsia" w:cs="宋体"/>
                <w:kern w:val="0"/>
                <w:sz w:val="21"/>
                <w:szCs w:val="21"/>
                <w:lang w:bidi="ar"/>
              </w:rPr>
              <w:t>=</w:t>
            </w:r>
            <w:r>
              <w:rPr>
                <w:rFonts w:hint="eastAsia" w:cs="宋体"/>
                <w:kern w:val="0"/>
                <w:sz w:val="21"/>
                <w:szCs w:val="21"/>
                <w:vertAlign w:val="superscript"/>
                <w:lang w:bidi="ar"/>
              </w:rPr>
              <w:t xml:space="preserve"> </w:t>
            </w:r>
            <w:r>
              <w:rPr>
                <w:rFonts w:hint="eastAsia" w:cs="宋体"/>
                <w:kern w:val="0"/>
                <w:sz w:val="21"/>
                <w:szCs w:val="21"/>
                <w:lang w:bidi="ar"/>
              </w:rPr>
              <w:t>总得分/总标准分×100。</w:t>
            </w:r>
          </w:p>
        </w:tc>
      </w:tr>
    </w:tbl>
    <w:p w14:paraId="67AABC5C">
      <w:pPr>
        <w:rPr>
          <w:rFonts w:hint="eastAsia"/>
        </w:rPr>
      </w:pPr>
    </w:p>
    <w:p w14:paraId="1C09030B">
      <w:pPr>
        <w:widowControl w:val="0"/>
        <w:adjustRightInd w:val="0"/>
        <w:snapToGrid w:val="0"/>
        <w:jc w:val="center"/>
        <w:rPr>
          <w:rFonts w:hint="eastAsia"/>
          <w:sz w:val="21"/>
          <w:szCs w:val="21"/>
        </w:rPr>
      </w:pPr>
    </w:p>
    <w:p w14:paraId="20C68CDF">
      <w:pPr>
        <w:widowControl w:val="0"/>
        <w:adjustRightInd w:val="0"/>
        <w:snapToGrid w:val="0"/>
        <w:jc w:val="left"/>
        <w:rPr>
          <w:rFonts w:hint="eastAsia"/>
          <w:sz w:val="21"/>
          <w:szCs w:val="21"/>
        </w:rPr>
      </w:pPr>
    </w:p>
    <w:p w14:paraId="7C17129C">
      <w:pPr>
        <w:widowControl w:val="0"/>
        <w:ind w:firstLine="420" w:firstLineChars="200"/>
        <w:rPr>
          <w:rFonts w:hint="eastAsia"/>
          <w:sz w:val="21"/>
          <w:szCs w:val="21"/>
        </w:rPr>
      </w:pPr>
    </w:p>
    <w:p w14:paraId="1C31F571">
      <w:pPr>
        <w:widowControl w:val="0"/>
        <w:rPr>
          <w:rFonts w:hint="eastAsia"/>
          <w:sz w:val="21"/>
          <w:szCs w:val="21"/>
        </w:rPr>
      </w:pPr>
    </w:p>
    <w:p w14:paraId="43A1B2D0">
      <w:pPr>
        <w:widowControl w:val="0"/>
        <w:rPr>
          <w:rFonts w:hint="eastAsia"/>
          <w:sz w:val="21"/>
          <w:szCs w:val="21"/>
        </w:rPr>
      </w:pPr>
    </w:p>
    <w:p w14:paraId="7F10E4D0">
      <w:pPr>
        <w:pStyle w:val="51"/>
        <w:outlineLvl w:val="9"/>
        <w:rPr>
          <w:rFonts w:hint="eastAsia"/>
        </w:rPr>
        <w:sectPr>
          <w:type w:val="nextColumn"/>
          <w:pgSz w:w="14181" w:h="9979" w:orient="landscape"/>
          <w:pgMar w:top="1134" w:right="1134" w:bottom="1418" w:left="1418" w:header="851" w:footer="992" w:gutter="0"/>
          <w:cols w:space="425" w:num="1"/>
          <w:docGrid w:linePitch="326" w:charSpace="0"/>
        </w:sectPr>
      </w:pPr>
      <w:bookmarkStart w:id="649" w:name="_Toc497667038"/>
      <w:bookmarkStart w:id="650" w:name="_Toc174141256"/>
      <w:bookmarkStart w:id="651" w:name="_Toc497592608"/>
    </w:p>
    <w:bookmarkEnd w:id="649"/>
    <w:bookmarkEnd w:id="650"/>
    <w:bookmarkEnd w:id="651"/>
    <w:p w14:paraId="1B3F84E1">
      <w:pPr>
        <w:jc w:val="center"/>
        <w:rPr>
          <w:rFonts w:hint="eastAsia"/>
          <w:sz w:val="21"/>
          <w:szCs w:val="21"/>
          <w:lang w:val="en-US" w:eastAsia="zh-CN"/>
        </w:rPr>
      </w:pPr>
      <w:bookmarkStart w:id="652" w:name="_Toc171452161"/>
    </w:p>
    <w:p w14:paraId="286C0422">
      <w:pPr>
        <w:jc w:val="center"/>
        <w:rPr>
          <w:rFonts w:hint="eastAsia"/>
          <w:sz w:val="21"/>
          <w:szCs w:val="21"/>
          <w:lang w:val="en-US" w:eastAsia="zh-CN"/>
        </w:rPr>
      </w:pPr>
    </w:p>
    <w:p w14:paraId="351001DA">
      <w:pPr>
        <w:jc w:val="center"/>
        <w:rPr>
          <w:rFonts w:hint="eastAsia"/>
          <w:sz w:val="21"/>
          <w:szCs w:val="21"/>
          <w:lang w:val="en-US" w:eastAsia="zh-CN"/>
        </w:rPr>
      </w:pPr>
    </w:p>
    <w:p w14:paraId="4F3BA5D9">
      <w:pPr>
        <w:jc w:val="center"/>
        <w:rPr>
          <w:rFonts w:hint="eastAsia"/>
          <w:sz w:val="21"/>
          <w:szCs w:val="21"/>
          <w:lang w:val="en-US" w:eastAsia="zh-CN"/>
        </w:rPr>
      </w:pPr>
    </w:p>
    <w:p w14:paraId="1A5DEA15">
      <w:pPr>
        <w:jc w:val="right"/>
        <w:rPr>
          <w:rFonts w:hint="eastAsia"/>
          <w:b/>
          <w:bCs/>
          <w:sz w:val="21"/>
          <w:szCs w:val="21"/>
          <w:lang w:val="en-US" w:eastAsia="zh-CN"/>
        </w:rPr>
      </w:pPr>
      <w:r>
        <w:rPr>
          <w:rFonts w:hint="eastAsia"/>
          <w:b/>
          <w:bCs/>
          <w:sz w:val="21"/>
          <w:szCs w:val="21"/>
          <w:lang w:val="en-US" w:eastAsia="zh-CN"/>
        </w:rPr>
        <w:t>T/CEPCA XXXX——2024</w:t>
      </w:r>
    </w:p>
    <w:p w14:paraId="1ECFF92D">
      <w:pPr>
        <w:jc w:val="right"/>
        <w:rPr>
          <w:rFonts w:hint="eastAsia"/>
          <w:sz w:val="21"/>
          <w:szCs w:val="21"/>
          <w:lang w:val="en-US" w:eastAsia="zh-CN"/>
        </w:rPr>
      </w:pPr>
    </w:p>
    <w:p w14:paraId="4A4DAEE4">
      <w:pPr>
        <w:jc w:val="center"/>
        <w:rPr>
          <w:rFonts w:hint="eastAsia"/>
          <w:sz w:val="21"/>
          <w:szCs w:val="21"/>
          <w:lang w:val="en-US" w:eastAsia="zh-CN"/>
        </w:rPr>
      </w:pPr>
    </w:p>
    <w:p w14:paraId="2F38E316">
      <w:p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中国电力建设企业协会团体标准</w:t>
      </w:r>
    </w:p>
    <w:p w14:paraId="17D40195">
      <w:pPr>
        <w:jc w:val="center"/>
        <w:rPr>
          <w:rFonts w:hint="default"/>
          <w:sz w:val="32"/>
          <w:szCs w:val="32"/>
          <w:lang w:val="en-US" w:eastAsia="zh-CN"/>
        </w:rPr>
      </w:pPr>
    </w:p>
    <w:p w14:paraId="04E051C7">
      <w:pPr>
        <w:jc w:val="center"/>
        <w:rPr>
          <w:rFonts w:hint="default"/>
          <w:sz w:val="32"/>
          <w:szCs w:val="32"/>
          <w:lang w:val="en-US" w:eastAsia="zh-CN"/>
        </w:rPr>
      </w:pPr>
      <w:r>
        <w:rPr>
          <w:rFonts w:hint="default"/>
          <w:sz w:val="32"/>
          <w:szCs w:val="32"/>
          <w:lang w:val="en-US" w:eastAsia="zh-CN"/>
        </w:rPr>
        <w:t>电力建设工程绿色建造评价规范</w:t>
      </w:r>
    </w:p>
    <w:p w14:paraId="77719BA5">
      <w:pPr>
        <w:jc w:val="center"/>
        <w:rPr>
          <w:rFonts w:hint="default"/>
          <w:sz w:val="32"/>
          <w:szCs w:val="32"/>
          <w:lang w:val="en-US" w:eastAsia="zh-CN"/>
        </w:rPr>
      </w:pPr>
    </w:p>
    <w:p w14:paraId="47283F31">
      <w:pPr>
        <w:jc w:val="center"/>
        <w:rPr>
          <w:rFonts w:hint="eastAsia"/>
          <w:b/>
          <w:bCs/>
          <w:sz w:val="21"/>
          <w:szCs w:val="21"/>
          <w:lang w:val="en-US" w:eastAsia="zh-CN"/>
        </w:rPr>
      </w:pPr>
      <w:r>
        <w:rPr>
          <w:rFonts w:hint="eastAsia"/>
          <w:b/>
          <w:bCs/>
          <w:sz w:val="21"/>
          <w:szCs w:val="21"/>
          <w:lang w:val="en-US" w:eastAsia="zh-CN"/>
        </w:rPr>
        <w:t>T/CEPCA XXXX——2024</w:t>
      </w:r>
    </w:p>
    <w:p w14:paraId="6BA5A344">
      <w:pPr>
        <w:jc w:val="center"/>
        <w:rPr>
          <w:rFonts w:hint="eastAsia"/>
          <w:sz w:val="21"/>
          <w:szCs w:val="21"/>
          <w:lang w:val="en-US" w:eastAsia="zh-CN"/>
        </w:rPr>
      </w:pPr>
      <w:r>
        <w:rPr>
          <w:rFonts w:hint="eastAsia"/>
          <w:sz w:val="21"/>
          <w:szCs w:val="21"/>
          <w:lang w:val="en-US" w:eastAsia="zh-CN"/>
        </w:rPr>
        <w:t>条    文    说    明</w:t>
      </w:r>
    </w:p>
    <w:p w14:paraId="57ED5710">
      <w:pPr>
        <w:rPr>
          <w:rFonts w:hint="eastAsia"/>
          <w:sz w:val="21"/>
          <w:szCs w:val="21"/>
          <w:lang w:val="en-US" w:eastAsia="zh-CN"/>
        </w:rPr>
      </w:pPr>
      <w:r>
        <w:rPr>
          <w:rFonts w:hint="eastAsia"/>
          <w:sz w:val="21"/>
          <w:szCs w:val="21"/>
          <w:lang w:val="en-US" w:eastAsia="zh-CN"/>
        </w:rPr>
        <w:br w:type="page"/>
      </w:r>
    </w:p>
    <w:p w14:paraId="215B67DE">
      <w:pPr>
        <w:jc w:val="center"/>
        <w:rPr>
          <w:rFonts w:hint="eastAsia"/>
          <w:sz w:val="21"/>
          <w:szCs w:val="21"/>
          <w:lang w:val="en-US" w:eastAsia="zh-CN"/>
        </w:rPr>
      </w:pPr>
      <w:r>
        <w:rPr>
          <w:rFonts w:hint="eastAsia"/>
          <w:sz w:val="21"/>
          <w:szCs w:val="21"/>
          <w:lang w:val="en-US" w:eastAsia="zh-CN"/>
        </w:rPr>
        <w:t>目次</w:t>
      </w:r>
    </w:p>
    <w:sdt>
      <w:sdtPr>
        <w:rPr>
          <w:rFonts w:ascii="宋体" w:hAnsi="宋体" w:eastAsia="宋体" w:cstheme="minorBidi"/>
          <w:kern w:val="2"/>
          <w:sz w:val="21"/>
          <w:szCs w:val="24"/>
          <w:lang w:val="en-US" w:eastAsia="zh-CN" w:bidi="ar-SA"/>
        </w:rPr>
        <w:id w:val="147452498"/>
        <w15:color w:val="DBDBDB"/>
        <w:docPartObj>
          <w:docPartGallery w:val="Table of Contents"/>
          <w:docPartUnique/>
        </w:docPartObj>
      </w:sdtPr>
      <w:sdtEndPr>
        <w:rPr>
          <w:rFonts w:hint="default" w:ascii="宋体" w:hAnsi="宋体" w:eastAsia="宋体" w:cstheme="minorBidi"/>
          <w:kern w:val="2"/>
          <w:sz w:val="24"/>
          <w:szCs w:val="21"/>
          <w:lang w:val="en-US" w:eastAsia="zh-CN" w:bidi="ar-SA"/>
        </w:rPr>
      </w:sdtEndPr>
      <w:sdtContent>
        <w:p w14:paraId="529E62EA">
          <w:pPr>
            <w:spacing w:before="0" w:beforeLines="0" w:after="0" w:afterLines="0" w:line="240" w:lineRule="auto"/>
            <w:ind w:left="0" w:leftChars="0" w:right="0" w:rightChars="0" w:firstLine="0" w:firstLineChars="0"/>
            <w:jc w:val="center"/>
          </w:pPr>
        </w:p>
        <w:p w14:paraId="4744FA72">
          <w:pPr>
            <w:pStyle w:val="29"/>
            <w:tabs>
              <w:tab w:val="right" w:leader="dot" w:pos="7427"/>
            </w:tabs>
            <w:rPr>
              <w:sz w:val="18"/>
              <w:szCs w:val="18"/>
            </w:rPr>
          </w:pPr>
          <w:r>
            <w:rPr>
              <w:sz w:val="18"/>
              <w:szCs w:val="18"/>
            </w:rPr>
            <w:fldChar w:fldCharType="begin"/>
          </w:r>
          <w:r>
            <w:rPr>
              <w:sz w:val="18"/>
              <w:szCs w:val="18"/>
            </w:rPr>
            <w:instrText xml:space="preserve">TOC \o "1-2" \h \u </w:instrText>
          </w:r>
          <w:r>
            <w:rPr>
              <w:sz w:val="18"/>
              <w:szCs w:val="18"/>
            </w:rPr>
            <w:fldChar w:fldCharType="separate"/>
          </w:r>
        </w:p>
        <w:p w14:paraId="3E605159">
          <w:r>
            <w:rPr>
              <w:sz w:val="13"/>
              <w:szCs w:val="13"/>
            </w:rPr>
            <w:fldChar w:fldCharType="end"/>
          </w:r>
        </w:p>
        <w:p w14:paraId="15920553">
          <w:pPr>
            <w:jc w:val="center"/>
            <w:rPr>
              <w:rFonts w:hint="default" w:ascii="宋体" w:hAnsi="宋体" w:eastAsia="宋体" w:cstheme="minorBidi"/>
              <w:kern w:val="2"/>
              <w:sz w:val="24"/>
              <w:szCs w:val="21"/>
              <w:lang w:val="en-US" w:eastAsia="zh-CN" w:bidi="ar-SA"/>
            </w:rPr>
          </w:pPr>
        </w:p>
      </w:sdtContent>
    </w:sdt>
    <w:p w14:paraId="70B7CCDC">
      <w:pPr>
        <w:jc w:val="center"/>
        <w:rPr>
          <w:rFonts w:hint="default" w:ascii="宋体" w:hAnsi="宋体" w:eastAsia="宋体" w:cstheme="minorBidi"/>
          <w:kern w:val="2"/>
          <w:sz w:val="24"/>
          <w:szCs w:val="21"/>
          <w:lang w:val="en-US" w:eastAsia="zh-CN" w:bidi="ar-SA"/>
        </w:rPr>
      </w:pPr>
    </w:p>
    <w:p w14:paraId="27FCE54A">
      <w:pPr>
        <w:rPr>
          <w:rFonts w:hint="eastAsia"/>
          <w:sz w:val="21"/>
          <w:szCs w:val="21"/>
          <w:lang w:val="en-US" w:eastAsia="zh-CN"/>
        </w:rPr>
      </w:pPr>
      <w:r>
        <w:rPr>
          <w:rFonts w:hint="eastAsia"/>
          <w:sz w:val="21"/>
          <w:szCs w:val="21"/>
          <w:lang w:val="en-US" w:eastAsia="zh-CN"/>
        </w:rPr>
        <w:br w:type="page"/>
      </w:r>
    </w:p>
    <w:p w14:paraId="2DFD1EFA">
      <w:pPr>
        <w:spacing w:before="120" w:beforeLines="50" w:after="120" w:afterLines="50"/>
        <w:jc w:val="center"/>
        <w:outlineLvl w:val="0"/>
        <w:rPr>
          <w:rFonts w:hint="eastAsia"/>
          <w:sz w:val="21"/>
          <w:szCs w:val="21"/>
        </w:rPr>
      </w:pPr>
      <w:bookmarkStart w:id="653" w:name="_Toc24613"/>
      <w:bookmarkStart w:id="654" w:name="_Toc8357"/>
      <w:r>
        <w:rPr>
          <w:sz w:val="21"/>
          <w:szCs w:val="21"/>
        </w:rPr>
        <w:t>3  基本规定</w:t>
      </w:r>
      <w:bookmarkEnd w:id="652"/>
      <w:bookmarkEnd w:id="653"/>
      <w:bookmarkEnd w:id="654"/>
    </w:p>
    <w:p w14:paraId="629A227F">
      <w:pPr>
        <w:spacing w:before="120" w:beforeLines="50" w:after="120" w:afterLines="50"/>
        <w:jc w:val="center"/>
        <w:outlineLvl w:val="1"/>
        <w:rPr>
          <w:rFonts w:hint="eastAsia"/>
          <w:sz w:val="21"/>
          <w:szCs w:val="21"/>
        </w:rPr>
      </w:pPr>
      <w:bookmarkStart w:id="655" w:name="_Toc171452164"/>
      <w:bookmarkStart w:id="656" w:name="_Toc15071"/>
      <w:bookmarkStart w:id="657" w:name="_Toc22668"/>
      <w:r>
        <w:rPr>
          <w:sz w:val="21"/>
          <w:szCs w:val="21"/>
        </w:rPr>
        <w:t xml:space="preserve">3.3  </w:t>
      </w:r>
      <w:r>
        <w:rPr>
          <w:rFonts w:hint="eastAsia"/>
          <w:sz w:val="21"/>
          <w:szCs w:val="21"/>
        </w:rPr>
        <w:t>一</w:t>
      </w:r>
      <w:r>
        <w:rPr>
          <w:sz w:val="21"/>
          <w:szCs w:val="21"/>
        </w:rPr>
        <w:t>般规定</w:t>
      </w:r>
      <w:bookmarkEnd w:id="655"/>
      <w:bookmarkEnd w:id="656"/>
      <w:bookmarkEnd w:id="657"/>
    </w:p>
    <w:p w14:paraId="4E2A57D9">
      <w:pPr>
        <w:outlineLvl w:val="0"/>
        <w:rPr>
          <w:rFonts w:hint="eastAsia" w:cs="Times New Roman"/>
          <w:sz w:val="21"/>
          <w:szCs w:val="21"/>
        </w:rPr>
      </w:pPr>
      <w:bookmarkStart w:id="658" w:name="_Toc18543"/>
      <w:bookmarkStart w:id="659" w:name="_Toc27678"/>
      <w:bookmarkStart w:id="660" w:name="_Toc169276074"/>
      <w:r>
        <w:rPr>
          <w:rFonts w:cs="Times New Roman"/>
          <w:sz w:val="21"/>
          <w:szCs w:val="21"/>
        </w:rPr>
        <w:t>3.3.3</w:t>
      </w:r>
      <w:bookmarkEnd w:id="658"/>
      <w:bookmarkEnd w:id="659"/>
      <w:r>
        <w:rPr>
          <w:rFonts w:cs="Times New Roman"/>
          <w:sz w:val="21"/>
          <w:szCs w:val="21"/>
        </w:rPr>
        <w:t xml:space="preserve"> </w:t>
      </w:r>
    </w:p>
    <w:p w14:paraId="49790762">
      <w:pPr>
        <w:ind w:firstLine="420" w:firstLineChars="200"/>
        <w:rPr>
          <w:rFonts w:hint="eastAsia" w:cs="Times New Roman"/>
          <w:sz w:val="21"/>
          <w:szCs w:val="21"/>
        </w:rPr>
      </w:pPr>
      <w:r>
        <w:rPr>
          <w:rFonts w:cs="Times New Roman"/>
          <w:sz w:val="21"/>
          <w:szCs w:val="21"/>
        </w:rPr>
        <w:t>2 施工总平面布置宜利用场地及周边现有和拟建建筑物、构筑物、道路和管线等。</w:t>
      </w:r>
    </w:p>
    <w:p w14:paraId="431D157D">
      <w:pPr>
        <w:ind w:firstLine="420" w:firstLineChars="200"/>
        <w:rPr>
          <w:rFonts w:hint="eastAsia" w:cs="Times New Roman"/>
          <w:sz w:val="21"/>
          <w:szCs w:val="21"/>
        </w:rPr>
      </w:pPr>
      <w:r>
        <w:rPr>
          <w:rFonts w:cs="Times New Roman"/>
          <w:sz w:val="21"/>
          <w:szCs w:val="21"/>
        </w:rPr>
        <w:t>5  施工前应制定合理的场地使用计划</w:t>
      </w:r>
      <w:r>
        <w:rPr>
          <w:rFonts w:hint="eastAsia" w:cs="Times New Roman"/>
          <w:sz w:val="21"/>
          <w:szCs w:val="21"/>
        </w:rPr>
        <w:t>，</w:t>
      </w:r>
      <w:r>
        <w:rPr>
          <w:rFonts w:cs="Times New Roman"/>
          <w:sz w:val="21"/>
          <w:szCs w:val="21"/>
        </w:rPr>
        <w:t>施工中应减少场地干扰</w:t>
      </w:r>
      <w:r>
        <w:rPr>
          <w:rFonts w:hint="eastAsia" w:cs="Times New Roman"/>
          <w:sz w:val="21"/>
          <w:szCs w:val="21"/>
        </w:rPr>
        <w:t>，</w:t>
      </w:r>
      <w:r>
        <w:rPr>
          <w:rFonts w:cs="Times New Roman"/>
          <w:sz w:val="21"/>
          <w:szCs w:val="21"/>
        </w:rPr>
        <w:t>保护环境。</w:t>
      </w:r>
    </w:p>
    <w:p w14:paraId="4DCE42E9">
      <w:pPr>
        <w:ind w:firstLine="420" w:firstLineChars="200"/>
        <w:rPr>
          <w:rFonts w:hint="eastAsia"/>
          <w:sz w:val="21"/>
          <w:szCs w:val="21"/>
        </w:rPr>
      </w:pPr>
      <w:r>
        <w:rPr>
          <w:rFonts w:hint="eastAsia" w:cs="Times New Roman"/>
          <w:sz w:val="21"/>
          <w:szCs w:val="21"/>
        </w:rPr>
        <w:t>7</w:t>
      </w:r>
      <w:r>
        <w:rPr>
          <w:rFonts w:cs="Times New Roman"/>
          <w:sz w:val="21"/>
          <w:szCs w:val="21"/>
        </w:rPr>
        <w:t xml:space="preserve">  </w:t>
      </w:r>
      <w:r>
        <w:rPr>
          <w:sz w:val="21"/>
          <w:szCs w:val="21"/>
        </w:rPr>
        <w:t>根据现场和</w:t>
      </w:r>
      <w:r>
        <w:rPr>
          <w:rFonts w:hint="eastAsia"/>
          <w:sz w:val="21"/>
          <w:szCs w:val="21"/>
        </w:rPr>
        <w:t>周边</w:t>
      </w:r>
      <w:r>
        <w:rPr>
          <w:sz w:val="21"/>
          <w:szCs w:val="21"/>
        </w:rPr>
        <w:t>环境情况，对施工机械和设备进行节能、减排和降耗指标分析和比较，采用高性能、低噪声和低能耗的机械设备。</w:t>
      </w:r>
    </w:p>
    <w:p w14:paraId="7CE9D110">
      <w:pPr>
        <w:rPr>
          <w:rFonts w:hint="eastAsia" w:cs="Times New Roman"/>
          <w:sz w:val="21"/>
          <w:szCs w:val="21"/>
        </w:rPr>
      </w:pPr>
      <w:r>
        <w:rPr>
          <w:rFonts w:cs="Times New Roman"/>
          <w:sz w:val="21"/>
          <w:szCs w:val="21"/>
        </w:rPr>
        <w:t xml:space="preserve">3.3.4 </w:t>
      </w:r>
    </w:p>
    <w:p w14:paraId="31064CA6">
      <w:pPr>
        <w:ind w:firstLine="420" w:firstLineChars="200"/>
        <w:jc w:val="left"/>
        <w:rPr>
          <w:rFonts w:hint="eastAsia"/>
          <w:sz w:val="21"/>
          <w:szCs w:val="21"/>
        </w:rPr>
      </w:pPr>
      <w:r>
        <w:rPr>
          <w:rFonts w:cs="Times New Roman"/>
          <w:sz w:val="21"/>
          <w:szCs w:val="21"/>
        </w:rPr>
        <w:t xml:space="preserve">1  </w:t>
      </w:r>
      <w:r>
        <w:rPr>
          <w:rFonts w:hint="eastAsia"/>
          <w:sz w:val="21"/>
          <w:szCs w:val="21"/>
        </w:rPr>
        <w:t>高原植被、草原、林区、冻土等特殊地区的工程，施工</w:t>
      </w:r>
      <w:r>
        <w:rPr>
          <w:sz w:val="21"/>
          <w:szCs w:val="21"/>
        </w:rPr>
        <w:t>单位</w:t>
      </w:r>
      <w:r>
        <w:rPr>
          <w:rFonts w:hint="eastAsia"/>
          <w:sz w:val="21"/>
          <w:szCs w:val="21"/>
        </w:rPr>
        <w:t>应严格按照设计文件要求落实生态保护与恢复措施。项目交付前，施工</w:t>
      </w:r>
      <w:r>
        <w:rPr>
          <w:sz w:val="21"/>
          <w:szCs w:val="21"/>
        </w:rPr>
        <w:t>单位</w:t>
      </w:r>
      <w:r>
        <w:rPr>
          <w:rFonts w:hint="eastAsia"/>
          <w:sz w:val="21"/>
          <w:szCs w:val="21"/>
        </w:rPr>
        <w:t>按合</w:t>
      </w:r>
      <w:r>
        <w:rPr>
          <w:sz w:val="21"/>
          <w:szCs w:val="21"/>
        </w:rPr>
        <w:t>同约定</w:t>
      </w:r>
      <w:r>
        <w:rPr>
          <w:rFonts w:hint="eastAsia"/>
          <w:sz w:val="21"/>
          <w:szCs w:val="21"/>
        </w:rPr>
        <w:t>应在规定时间内完成临时用地的复垦和植被恢复，如属地政府另有要求，从其要求。</w:t>
      </w:r>
    </w:p>
    <w:p w14:paraId="59B73D44">
      <w:pPr>
        <w:ind w:firstLine="420" w:firstLineChars="200"/>
        <w:rPr>
          <w:rFonts w:hint="eastAsia"/>
          <w:sz w:val="21"/>
          <w:szCs w:val="21"/>
        </w:rPr>
      </w:pPr>
      <w:r>
        <w:rPr>
          <w:rFonts w:hint="eastAsia"/>
          <w:sz w:val="21"/>
          <w:szCs w:val="21"/>
        </w:rPr>
        <w:t xml:space="preserve">4 </w:t>
      </w:r>
      <w:r>
        <w:rPr>
          <w:sz w:val="21"/>
          <w:szCs w:val="21"/>
        </w:rPr>
        <w:t xml:space="preserve"> </w:t>
      </w:r>
      <w:r>
        <w:rPr>
          <w:rFonts w:hint="eastAsia"/>
          <w:sz w:val="21"/>
          <w:szCs w:val="21"/>
        </w:rPr>
        <w:t>建设项目竣工后1个月内，应完成绿色建造自评价工作，提供自评价报告及相关支撑性材料。</w:t>
      </w:r>
    </w:p>
    <w:bookmarkEnd w:id="660"/>
    <w:p w14:paraId="65B6460C">
      <w:pPr>
        <w:rPr>
          <w:rFonts w:hint="eastAsia"/>
          <w:sz w:val="21"/>
          <w:szCs w:val="21"/>
        </w:rPr>
      </w:pPr>
      <w:bookmarkStart w:id="661" w:name="_Toc169276125"/>
    </w:p>
    <w:p w14:paraId="1CAA2D3A">
      <w:pPr>
        <w:rPr>
          <w:rFonts w:hint="eastAsia"/>
          <w:sz w:val="21"/>
          <w:szCs w:val="21"/>
        </w:rPr>
      </w:pPr>
    </w:p>
    <w:p w14:paraId="4795CF01">
      <w:pPr>
        <w:rPr>
          <w:rFonts w:hint="eastAsia"/>
          <w:sz w:val="21"/>
          <w:szCs w:val="21"/>
        </w:rPr>
      </w:pPr>
    </w:p>
    <w:p w14:paraId="59333766">
      <w:pPr>
        <w:rPr>
          <w:rFonts w:hint="eastAsia"/>
          <w:sz w:val="21"/>
          <w:szCs w:val="21"/>
        </w:rPr>
      </w:pPr>
    </w:p>
    <w:p w14:paraId="1CE11C53">
      <w:pPr>
        <w:rPr>
          <w:rFonts w:hint="eastAsia"/>
          <w:sz w:val="21"/>
          <w:szCs w:val="21"/>
        </w:rPr>
      </w:pPr>
    </w:p>
    <w:p w14:paraId="03084E95">
      <w:pPr>
        <w:rPr>
          <w:rFonts w:hint="eastAsia"/>
          <w:sz w:val="21"/>
          <w:szCs w:val="21"/>
        </w:rPr>
      </w:pPr>
    </w:p>
    <w:p w14:paraId="70BB66F8">
      <w:pPr>
        <w:rPr>
          <w:rFonts w:hint="eastAsia"/>
          <w:sz w:val="21"/>
          <w:szCs w:val="21"/>
        </w:rPr>
      </w:pPr>
    </w:p>
    <w:p w14:paraId="606A24D1">
      <w:pPr>
        <w:rPr>
          <w:rFonts w:hint="eastAsia"/>
          <w:sz w:val="21"/>
          <w:szCs w:val="21"/>
        </w:rPr>
      </w:pPr>
    </w:p>
    <w:p w14:paraId="631345E8">
      <w:pPr>
        <w:rPr>
          <w:rFonts w:hint="eastAsia"/>
          <w:sz w:val="21"/>
          <w:szCs w:val="21"/>
        </w:rPr>
      </w:pPr>
    </w:p>
    <w:p w14:paraId="756DC944">
      <w:pPr>
        <w:rPr>
          <w:rFonts w:hint="eastAsia"/>
          <w:sz w:val="21"/>
          <w:szCs w:val="21"/>
        </w:rPr>
      </w:pPr>
    </w:p>
    <w:p w14:paraId="0FCF3CCD">
      <w:pPr>
        <w:rPr>
          <w:rFonts w:hint="eastAsia"/>
          <w:sz w:val="21"/>
          <w:szCs w:val="21"/>
        </w:rPr>
      </w:pPr>
    </w:p>
    <w:p w14:paraId="1C5C4B22">
      <w:pPr>
        <w:rPr>
          <w:rFonts w:hint="eastAsia"/>
          <w:sz w:val="21"/>
          <w:szCs w:val="21"/>
        </w:rPr>
      </w:pPr>
    </w:p>
    <w:p w14:paraId="1BBB15D8">
      <w:pPr>
        <w:rPr>
          <w:rFonts w:hint="eastAsia"/>
          <w:sz w:val="21"/>
          <w:szCs w:val="21"/>
        </w:rPr>
      </w:pPr>
    </w:p>
    <w:p w14:paraId="7341C5AC">
      <w:pPr>
        <w:spacing w:before="120" w:beforeLines="50" w:after="120" w:afterLines="50"/>
        <w:jc w:val="center"/>
        <w:outlineLvl w:val="0"/>
        <w:rPr>
          <w:rFonts w:hint="eastAsia"/>
          <w:sz w:val="21"/>
          <w:szCs w:val="21"/>
        </w:rPr>
      </w:pPr>
      <w:bookmarkStart w:id="662" w:name="_Toc16634"/>
      <w:bookmarkStart w:id="663" w:name="_Toc27704"/>
      <w:r>
        <w:rPr>
          <w:rFonts w:hint="eastAsia"/>
          <w:sz w:val="21"/>
          <w:szCs w:val="21"/>
        </w:rPr>
        <w:t>4</w:t>
      </w:r>
      <w:r>
        <w:rPr>
          <w:sz w:val="21"/>
          <w:szCs w:val="21"/>
        </w:rPr>
        <w:t xml:space="preserve">  </w:t>
      </w:r>
      <w:r>
        <w:rPr>
          <w:rFonts w:hint="eastAsia"/>
          <w:sz w:val="21"/>
          <w:szCs w:val="21"/>
        </w:rPr>
        <w:t>绿色策划</w:t>
      </w:r>
      <w:bookmarkEnd w:id="662"/>
      <w:bookmarkEnd w:id="663"/>
    </w:p>
    <w:p w14:paraId="3D495F41">
      <w:pPr>
        <w:spacing w:before="120" w:beforeLines="50" w:after="120" w:afterLines="50"/>
        <w:jc w:val="center"/>
        <w:outlineLvl w:val="1"/>
        <w:rPr>
          <w:rFonts w:hint="eastAsia"/>
          <w:sz w:val="21"/>
          <w:szCs w:val="21"/>
        </w:rPr>
      </w:pPr>
      <w:bookmarkStart w:id="664" w:name="_Toc17491"/>
      <w:bookmarkStart w:id="665" w:name="_Toc6868"/>
      <w:r>
        <w:rPr>
          <w:sz w:val="21"/>
          <w:szCs w:val="21"/>
        </w:rPr>
        <w:t xml:space="preserve">4.1  </w:t>
      </w:r>
      <w:r>
        <w:rPr>
          <w:rFonts w:hint="eastAsia"/>
          <w:sz w:val="21"/>
          <w:szCs w:val="21"/>
        </w:rPr>
        <w:t>总</w:t>
      </w:r>
      <w:r>
        <w:rPr>
          <w:sz w:val="21"/>
          <w:szCs w:val="21"/>
        </w:rPr>
        <w:t>体策划</w:t>
      </w:r>
      <w:bookmarkEnd w:id="664"/>
      <w:bookmarkEnd w:id="665"/>
    </w:p>
    <w:p w14:paraId="42D81F8C">
      <w:pPr>
        <w:jc w:val="left"/>
        <w:rPr>
          <w:rFonts w:hint="eastAsia"/>
          <w:sz w:val="21"/>
          <w:szCs w:val="21"/>
        </w:rPr>
      </w:pPr>
      <w:r>
        <w:rPr>
          <w:sz w:val="21"/>
          <w:szCs w:val="21"/>
        </w:rPr>
        <w:t xml:space="preserve">4.1.1  </w:t>
      </w:r>
      <w:r>
        <w:rPr>
          <w:rFonts w:hint="eastAsia"/>
          <w:sz w:val="21"/>
          <w:szCs w:val="21"/>
        </w:rPr>
        <w:t>建设单位绿色建造策划文件应对建造全过程、全要素进行统筹，体现绿色化、工业化、信息化、集约化和机械化特征。宜结合工程实际情况，综合考虑技术水平、成本投入与效益产出等因素，实现全寿命周期成本最优化。</w:t>
      </w:r>
    </w:p>
    <w:p w14:paraId="783F1D04">
      <w:pPr>
        <w:spacing w:before="120" w:beforeLines="50" w:after="120" w:afterLines="50"/>
        <w:jc w:val="center"/>
        <w:outlineLvl w:val="1"/>
        <w:rPr>
          <w:rFonts w:hint="eastAsia"/>
          <w:sz w:val="21"/>
          <w:szCs w:val="21"/>
        </w:rPr>
      </w:pPr>
      <w:bookmarkStart w:id="666" w:name="_Toc169276073"/>
      <w:bookmarkStart w:id="667" w:name="_Toc16711"/>
      <w:bookmarkStart w:id="668" w:name="_Toc25525"/>
      <w:r>
        <w:rPr>
          <w:sz w:val="21"/>
          <w:szCs w:val="21"/>
        </w:rPr>
        <w:t>4.2  设计</w:t>
      </w:r>
      <w:r>
        <w:rPr>
          <w:rFonts w:hint="eastAsia"/>
          <w:sz w:val="21"/>
          <w:szCs w:val="21"/>
        </w:rPr>
        <w:t>策划</w:t>
      </w:r>
      <w:bookmarkEnd w:id="666"/>
      <w:bookmarkEnd w:id="667"/>
      <w:bookmarkEnd w:id="668"/>
    </w:p>
    <w:p w14:paraId="28491685">
      <w:pPr>
        <w:jc w:val="left"/>
        <w:rPr>
          <w:rFonts w:hint="eastAsia"/>
          <w:sz w:val="21"/>
          <w:szCs w:val="21"/>
        </w:rPr>
      </w:pPr>
      <w:r>
        <w:rPr>
          <w:sz w:val="21"/>
          <w:szCs w:val="21"/>
        </w:rPr>
        <w:t xml:space="preserve">4.2.1  </w:t>
      </w:r>
      <w:r>
        <w:rPr>
          <w:rFonts w:hint="eastAsia"/>
          <w:sz w:val="21"/>
          <w:szCs w:val="21"/>
        </w:rPr>
        <w:t>设计单位应按国家现行有关标准和建设单位的要求，对建筑场地、设备布置进行全面统筹，做到站内工艺布置合理，功能分区明确；明确绿色材料的选用依据、使用率等内容，方便施工应用。</w:t>
      </w:r>
    </w:p>
    <w:p w14:paraId="16F1ADBB">
      <w:pPr>
        <w:spacing w:before="120" w:beforeLines="50" w:after="120" w:afterLines="50"/>
        <w:jc w:val="center"/>
        <w:outlineLvl w:val="1"/>
        <w:rPr>
          <w:rFonts w:hint="eastAsia"/>
          <w:sz w:val="21"/>
          <w:szCs w:val="21"/>
        </w:rPr>
      </w:pPr>
      <w:bookmarkStart w:id="669" w:name="_Toc2972"/>
      <w:bookmarkStart w:id="670" w:name="_Toc9896"/>
      <w:r>
        <w:rPr>
          <w:sz w:val="21"/>
          <w:szCs w:val="21"/>
        </w:rPr>
        <w:t xml:space="preserve">4.3  </w:t>
      </w:r>
      <w:r>
        <w:rPr>
          <w:rFonts w:hint="eastAsia"/>
          <w:sz w:val="21"/>
          <w:szCs w:val="21"/>
        </w:rPr>
        <w:t>施工策划</w:t>
      </w:r>
      <w:bookmarkEnd w:id="669"/>
      <w:bookmarkEnd w:id="670"/>
    </w:p>
    <w:p w14:paraId="50A2A85D">
      <w:pPr>
        <w:jc w:val="left"/>
        <w:rPr>
          <w:rFonts w:hint="eastAsia"/>
          <w:sz w:val="21"/>
          <w:szCs w:val="21"/>
        </w:rPr>
      </w:pPr>
      <w:r>
        <w:rPr>
          <w:sz w:val="21"/>
          <w:szCs w:val="21"/>
        </w:rPr>
        <w:t>4.3.</w:t>
      </w:r>
      <w:r>
        <w:rPr>
          <w:rFonts w:hint="eastAsia"/>
          <w:sz w:val="21"/>
          <w:szCs w:val="21"/>
        </w:rPr>
        <w:t>2</w:t>
      </w:r>
      <w:r>
        <w:rPr>
          <w:sz w:val="21"/>
          <w:szCs w:val="21"/>
        </w:rPr>
        <w:t xml:space="preserve">  </w:t>
      </w:r>
      <w:r>
        <w:rPr>
          <w:rFonts w:hint="eastAsia"/>
          <w:sz w:val="21"/>
          <w:szCs w:val="21"/>
        </w:rPr>
        <w:t>节材与材料资源利用目标值可设置钢材、水泥、木材、混凝土等主要材料的损耗率；模板的平均周转次数；建筑材料包装物回收率；建筑物装配率；接地材料损耗率等指标。节能与能源利用目标值可设置临时设施节能型设施占比；施工能源消耗；采用新能源设备占比；主设备试验一次通过率等指标。节水与水资源利用目标值可设置施工阶段的节水定额指标或用水目标值；节水设备（设施）配置率；非常规水源利用量占总用水量比例等指标。节地与土地资源利用目标值可设置临时设施占地面积等指标。</w:t>
      </w:r>
    </w:p>
    <w:p w14:paraId="0B21D1ED">
      <w:pPr>
        <w:jc w:val="left"/>
        <w:rPr>
          <w:rFonts w:hint="eastAsia"/>
          <w:sz w:val="21"/>
          <w:szCs w:val="21"/>
        </w:rPr>
      </w:pPr>
      <w:r>
        <w:rPr>
          <w:sz w:val="21"/>
          <w:szCs w:val="21"/>
        </w:rPr>
        <w:t>4.3.</w:t>
      </w:r>
      <w:r>
        <w:rPr>
          <w:rFonts w:hint="eastAsia"/>
          <w:sz w:val="21"/>
          <w:szCs w:val="21"/>
        </w:rPr>
        <w:t>3</w:t>
      </w:r>
      <w:r>
        <w:rPr>
          <w:sz w:val="21"/>
          <w:szCs w:val="21"/>
        </w:rPr>
        <w:t xml:space="preserve">  </w:t>
      </w:r>
      <w:r>
        <w:rPr>
          <w:rFonts w:hint="eastAsia"/>
          <w:sz w:val="21"/>
          <w:szCs w:val="21"/>
        </w:rPr>
        <w:t>环境保护与环境影响控制可设置以下指标：环境保护与环境影响控制可设置以下指标：建筑垃圾产生量；建筑垃圾回收和再利用率；“声光水气尘”和化学品污染控制指标。</w:t>
      </w:r>
    </w:p>
    <w:p w14:paraId="2B7F3848">
      <w:pPr>
        <w:jc w:val="left"/>
        <w:rPr>
          <w:rFonts w:hint="eastAsia"/>
          <w:sz w:val="21"/>
          <w:szCs w:val="21"/>
        </w:rPr>
      </w:pPr>
      <w:r>
        <w:rPr>
          <w:rFonts w:hint="eastAsia"/>
          <w:sz w:val="21"/>
          <w:szCs w:val="21"/>
        </w:rPr>
        <w:t>4.3.4</w:t>
      </w:r>
      <w:r>
        <w:rPr>
          <w:sz w:val="21"/>
          <w:szCs w:val="21"/>
        </w:rPr>
        <w:t xml:space="preserve"> </w:t>
      </w:r>
      <w:r>
        <w:rPr>
          <w:rFonts w:hint="eastAsia"/>
          <w:sz w:val="21"/>
          <w:szCs w:val="21"/>
        </w:rPr>
        <w:t xml:space="preserve"> 水土保持与水土流失防控应明确水土流失防治责任范围，可设置迹地恢复率、土壤流失控制比、林草植被恢复率、表土保护率、渣土防护率、水土流失治理度等指标。</w:t>
      </w:r>
    </w:p>
    <w:p w14:paraId="4A9EEB10">
      <w:pPr>
        <w:spacing w:before="120" w:beforeLines="50" w:after="120" w:afterLines="50"/>
        <w:jc w:val="center"/>
        <w:outlineLvl w:val="1"/>
        <w:rPr>
          <w:rFonts w:hint="eastAsia"/>
          <w:sz w:val="21"/>
          <w:szCs w:val="21"/>
        </w:rPr>
      </w:pPr>
      <w:bookmarkStart w:id="671" w:name="_Toc169276075"/>
      <w:bookmarkStart w:id="672" w:name="_Toc9852"/>
      <w:bookmarkStart w:id="673" w:name="_Toc29179"/>
      <w:r>
        <w:rPr>
          <w:sz w:val="21"/>
          <w:szCs w:val="21"/>
        </w:rPr>
        <w:t xml:space="preserve">4.4  </w:t>
      </w:r>
      <w:r>
        <w:rPr>
          <w:rFonts w:hint="eastAsia"/>
          <w:sz w:val="21"/>
          <w:szCs w:val="21"/>
        </w:rPr>
        <w:t>移交策划</w:t>
      </w:r>
      <w:bookmarkEnd w:id="671"/>
      <w:bookmarkEnd w:id="672"/>
      <w:bookmarkEnd w:id="673"/>
    </w:p>
    <w:p w14:paraId="4DAC9489">
      <w:pPr>
        <w:jc w:val="left"/>
        <w:rPr>
          <w:rFonts w:hint="eastAsia"/>
          <w:sz w:val="21"/>
          <w:szCs w:val="21"/>
        </w:rPr>
      </w:pPr>
      <w:r>
        <w:rPr>
          <w:sz w:val="21"/>
          <w:szCs w:val="21"/>
        </w:rPr>
        <w:t>4.4.</w:t>
      </w:r>
      <w:r>
        <w:rPr>
          <w:rFonts w:hint="eastAsia"/>
          <w:sz w:val="21"/>
          <w:szCs w:val="21"/>
        </w:rPr>
        <w:t>1</w:t>
      </w:r>
      <w:r>
        <w:rPr>
          <w:sz w:val="21"/>
          <w:szCs w:val="21"/>
        </w:rPr>
        <w:t xml:space="preserve">  </w:t>
      </w:r>
      <w:r>
        <w:rPr>
          <w:rFonts w:hint="eastAsia"/>
          <w:sz w:val="21"/>
          <w:szCs w:val="21"/>
        </w:rPr>
        <w:t>策划文件宜明确推动全过程数字化、网络化、智能化技术应用，利用信息化管理平台，支撑各参与方、各阶段的信息共享与传递。</w:t>
      </w:r>
    </w:p>
    <w:p w14:paraId="70CB2FCC">
      <w:pPr>
        <w:spacing w:before="120" w:beforeLines="50" w:after="120" w:afterLines="50"/>
        <w:jc w:val="center"/>
        <w:outlineLvl w:val="0"/>
        <w:rPr>
          <w:rFonts w:hint="eastAsia"/>
          <w:sz w:val="21"/>
          <w:szCs w:val="21"/>
        </w:rPr>
      </w:pPr>
      <w:bookmarkStart w:id="674" w:name="_Toc28657"/>
      <w:bookmarkStart w:id="675" w:name="_Toc19628"/>
      <w:r>
        <w:rPr>
          <w:sz w:val="21"/>
          <w:szCs w:val="21"/>
        </w:rPr>
        <w:t xml:space="preserve">5  </w:t>
      </w:r>
      <w:r>
        <w:rPr>
          <w:rFonts w:hint="eastAsia"/>
          <w:sz w:val="21"/>
          <w:szCs w:val="21"/>
        </w:rPr>
        <w:t>绿色</w:t>
      </w:r>
      <w:r>
        <w:rPr>
          <w:sz w:val="21"/>
          <w:szCs w:val="21"/>
        </w:rPr>
        <w:t>设计</w:t>
      </w:r>
      <w:bookmarkEnd w:id="674"/>
      <w:bookmarkEnd w:id="675"/>
    </w:p>
    <w:p w14:paraId="3DF591C2">
      <w:pPr>
        <w:spacing w:before="120" w:beforeLines="50" w:after="120" w:afterLines="50"/>
        <w:jc w:val="center"/>
        <w:outlineLvl w:val="1"/>
        <w:rPr>
          <w:rFonts w:hint="eastAsia"/>
          <w:sz w:val="21"/>
          <w:szCs w:val="21"/>
        </w:rPr>
      </w:pPr>
      <w:bookmarkStart w:id="676" w:name="_Toc28226"/>
      <w:bookmarkStart w:id="677" w:name="_Toc23306"/>
      <w:r>
        <w:fldChar w:fldCharType="begin"/>
      </w:r>
      <w:r>
        <w:instrText xml:space="preserve"> HYPERLINK \l "_Toc162470870" </w:instrText>
      </w:r>
      <w:r>
        <w:fldChar w:fldCharType="separate"/>
      </w:r>
      <w:r>
        <w:rPr>
          <w:sz w:val="21"/>
          <w:szCs w:val="21"/>
        </w:rPr>
        <w:t>5.1</w:t>
      </w:r>
      <w:bookmarkStart w:id="678" w:name="_Hlk170555742"/>
      <w:r>
        <w:rPr>
          <w:sz w:val="21"/>
          <w:szCs w:val="21"/>
        </w:rPr>
        <w:t xml:space="preserve">  </w:t>
      </w:r>
      <w:r>
        <w:rPr>
          <w:rFonts w:hint="eastAsia"/>
          <w:sz w:val="21"/>
          <w:szCs w:val="21"/>
        </w:rPr>
        <w:t>火力发电（含</w:t>
      </w:r>
      <w:bookmarkStart w:id="679" w:name="_Hlk170555811"/>
      <w:r>
        <w:rPr>
          <w:rFonts w:hint="eastAsia"/>
          <w:sz w:val="21"/>
          <w:szCs w:val="21"/>
        </w:rPr>
        <w:t>核电常规岛</w:t>
      </w:r>
      <w:bookmarkEnd w:id="679"/>
      <w:r>
        <w:rPr>
          <w:rFonts w:hint="eastAsia"/>
          <w:sz w:val="21"/>
          <w:szCs w:val="21"/>
        </w:rPr>
        <w:t>）工程</w:t>
      </w:r>
      <w:bookmarkEnd w:id="678"/>
      <w:r>
        <w:rPr>
          <w:rFonts w:hint="eastAsia"/>
          <w:sz w:val="21"/>
          <w:szCs w:val="21"/>
        </w:rPr>
        <w:fldChar w:fldCharType="end"/>
      </w:r>
      <w:bookmarkEnd w:id="676"/>
      <w:bookmarkEnd w:id="677"/>
    </w:p>
    <w:p w14:paraId="10E581A4">
      <w:pPr>
        <w:spacing w:line="500" w:lineRule="exact"/>
        <w:ind w:firstLine="420"/>
        <w:rPr>
          <w:rFonts w:hint="eastAsia"/>
          <w:sz w:val="21"/>
          <w:szCs w:val="21"/>
        </w:rPr>
      </w:pPr>
      <w:r>
        <w:rPr>
          <w:rFonts w:hint="eastAsia"/>
          <w:sz w:val="21"/>
          <w:szCs w:val="21"/>
        </w:rPr>
        <w:t>火力发电（含核电常规岛）工程包括燃煤发电、核电常规岛、燃气蒸汽联合循环、垃圾发电、生物质能发电。</w:t>
      </w:r>
    </w:p>
    <w:p w14:paraId="4FAB32F7">
      <w:pPr>
        <w:spacing w:before="120" w:beforeLines="50" w:after="240" w:afterLines="100"/>
        <w:jc w:val="center"/>
        <w:rPr>
          <w:rFonts w:hint="eastAsia"/>
          <w:sz w:val="21"/>
          <w:szCs w:val="21"/>
        </w:rPr>
      </w:pPr>
      <w:r>
        <w:rPr>
          <w:sz w:val="21"/>
          <w:szCs w:val="21"/>
        </w:rPr>
        <w:t xml:space="preserve">Ⅰ   </w:t>
      </w:r>
      <w:r>
        <w:rPr>
          <w:rFonts w:hint="eastAsia"/>
          <w:sz w:val="21"/>
          <w:szCs w:val="21"/>
        </w:rPr>
        <w:t>技术</w:t>
      </w:r>
      <w:r>
        <w:rPr>
          <w:sz w:val="21"/>
          <w:szCs w:val="21"/>
        </w:rPr>
        <w:t>先进</w:t>
      </w:r>
    </w:p>
    <w:p w14:paraId="75CF0505">
      <w:pPr>
        <w:spacing w:line="500" w:lineRule="exact"/>
        <w:ind w:firstLine="420"/>
        <w:rPr>
          <w:rFonts w:hint="eastAsia"/>
          <w:sz w:val="21"/>
          <w:szCs w:val="21"/>
        </w:rPr>
      </w:pPr>
      <w:r>
        <w:rPr>
          <w:sz w:val="21"/>
          <w:szCs w:val="21"/>
        </w:rPr>
        <w:t>技术先进性评价重视</w:t>
      </w:r>
      <w:r>
        <w:rPr>
          <w:rFonts w:hint="eastAsia"/>
          <w:sz w:val="21"/>
          <w:szCs w:val="21"/>
        </w:rPr>
        <w:t>电厂总体设计科学合理，全寿命周期的技术经济性最佳。通用项条文1</w:t>
      </w:r>
      <w:r>
        <w:rPr>
          <w:sz w:val="21"/>
          <w:szCs w:val="21"/>
        </w:rPr>
        <w:t>4</w:t>
      </w:r>
      <w:r>
        <w:rPr>
          <w:rFonts w:hint="eastAsia"/>
          <w:sz w:val="21"/>
          <w:szCs w:val="21"/>
        </w:rPr>
        <w:t>条，专用项条文4条。每类工程通用、专用条文合计为满分值，进行评判时按照同类工程进行统计评分。</w:t>
      </w:r>
    </w:p>
    <w:p w14:paraId="2200821C">
      <w:pPr>
        <w:spacing w:line="500" w:lineRule="exact"/>
        <w:ind w:firstLine="420"/>
        <w:rPr>
          <w:rFonts w:hint="eastAsia"/>
          <w:sz w:val="21"/>
          <w:szCs w:val="21"/>
        </w:rPr>
      </w:pPr>
      <w:r>
        <w:rPr>
          <w:rFonts w:hint="eastAsia"/>
          <w:sz w:val="21"/>
          <w:szCs w:val="21"/>
        </w:rPr>
        <w:t>根据构建新型电力系统政策要求，对燃煤发电厂机组可靠性、灵活性要求进行评价。以发电为主的机组，工艺系统先进，设备配置水平高，技术出力调节能力满足</w:t>
      </w:r>
      <w:r>
        <w:rPr>
          <w:sz w:val="21"/>
          <w:szCs w:val="21"/>
        </w:rPr>
        <w:t>20%-100%额定出力，深度调峰能力、顶峰能力满足电力系统调节的要求</w:t>
      </w:r>
      <w:r>
        <w:rPr>
          <w:rFonts w:hint="eastAsia"/>
          <w:sz w:val="21"/>
          <w:szCs w:val="21"/>
        </w:rPr>
        <w:t>；对于热电联产机组，能实现热电解耦，热电解耦技术路线包括低压缸切除技术、旁路蒸汽供热技术、蓄热水罐技术、电锅炉技术、余热利用+蓄热水罐等，在保供热需求前提下技术出力调节能力满足</w:t>
      </w:r>
      <w:r>
        <w:rPr>
          <w:sz w:val="21"/>
          <w:szCs w:val="21"/>
        </w:rPr>
        <w:t>30%-100%额定出力。</w:t>
      </w:r>
    </w:p>
    <w:p w14:paraId="088C383A">
      <w:pPr>
        <w:spacing w:before="120" w:beforeLines="50" w:after="240" w:afterLines="100"/>
        <w:jc w:val="center"/>
        <w:rPr>
          <w:rFonts w:hint="eastAsia"/>
          <w:sz w:val="21"/>
          <w:szCs w:val="21"/>
        </w:rPr>
      </w:pPr>
      <w:r>
        <w:rPr>
          <w:sz w:val="21"/>
          <w:szCs w:val="21"/>
        </w:rPr>
        <w:t xml:space="preserve">Ⅱ   </w:t>
      </w:r>
      <w:r>
        <w:rPr>
          <w:rFonts w:hint="eastAsia"/>
          <w:sz w:val="21"/>
          <w:szCs w:val="21"/>
        </w:rPr>
        <w:t>资源节约</w:t>
      </w:r>
    </w:p>
    <w:p w14:paraId="0655CA90">
      <w:pPr>
        <w:spacing w:line="500" w:lineRule="exact"/>
        <w:ind w:firstLine="420"/>
        <w:rPr>
          <w:rFonts w:hint="eastAsia"/>
          <w:sz w:val="21"/>
          <w:szCs w:val="21"/>
        </w:rPr>
      </w:pPr>
      <w:r>
        <w:rPr>
          <w:rFonts w:hint="eastAsia"/>
          <w:sz w:val="21"/>
          <w:szCs w:val="21"/>
        </w:rPr>
        <w:t>资源节约按照节约土地、节约能源、节约用水、节约材料进行评价，共25条全部为通用项条文。</w:t>
      </w:r>
    </w:p>
    <w:p w14:paraId="2448A059">
      <w:pPr>
        <w:spacing w:line="500" w:lineRule="exact"/>
        <w:ind w:firstLine="420"/>
        <w:rPr>
          <w:rFonts w:hint="eastAsia"/>
          <w:sz w:val="21"/>
          <w:szCs w:val="21"/>
        </w:rPr>
      </w:pPr>
      <w:r>
        <w:rPr>
          <w:rFonts w:hint="eastAsia"/>
          <w:sz w:val="21"/>
          <w:szCs w:val="21"/>
        </w:rPr>
        <w:t>节约土地主要从不占用基本农田（林地）、紧凑型总平面布置、节约用地新技术及工艺、充分利用既有设施等方面评价，单位千瓦用地指标先进性是衡量节约用地的主要指标，作为重点控制。</w:t>
      </w:r>
    </w:p>
    <w:p w14:paraId="113C4C5A">
      <w:pPr>
        <w:spacing w:line="500" w:lineRule="exact"/>
        <w:ind w:firstLine="420"/>
        <w:rPr>
          <w:rFonts w:hint="eastAsia"/>
          <w:sz w:val="21"/>
          <w:szCs w:val="21"/>
          <w:lang w:val="en-GB"/>
        </w:rPr>
      </w:pPr>
      <w:r>
        <w:rPr>
          <w:rFonts w:hint="eastAsia"/>
          <w:sz w:val="21"/>
          <w:szCs w:val="21"/>
        </w:rPr>
        <w:t>节约能源主要从高效节能设备，先进的用能工艺，</w:t>
      </w:r>
      <w:r>
        <w:rPr>
          <w:sz w:val="21"/>
          <w:szCs w:val="21"/>
        </w:rPr>
        <w:t>节能管理措施</w:t>
      </w:r>
      <w:r>
        <w:rPr>
          <w:sz w:val="21"/>
          <w:szCs w:val="21"/>
          <w:lang w:val="en-GB"/>
        </w:rPr>
        <w:t>,</w:t>
      </w:r>
      <w:r>
        <w:rPr>
          <w:rFonts w:hint="eastAsia"/>
          <w:sz w:val="21"/>
          <w:szCs w:val="21"/>
        </w:rPr>
        <w:t xml:space="preserve"> 新型节能照明系统，建筑节能</w:t>
      </w:r>
      <w:r>
        <w:rPr>
          <w:sz w:val="21"/>
          <w:szCs w:val="21"/>
          <w:lang w:val="en-GB"/>
        </w:rPr>
        <w:t>,</w:t>
      </w:r>
      <w:r>
        <w:rPr>
          <w:rFonts w:hint="eastAsia"/>
          <w:sz w:val="21"/>
          <w:szCs w:val="21"/>
        </w:rPr>
        <w:t>装配式技术</w:t>
      </w:r>
      <w:r>
        <w:rPr>
          <w:sz w:val="21"/>
          <w:szCs w:val="21"/>
          <w:lang w:val="en-GB"/>
        </w:rPr>
        <w:t>,</w:t>
      </w:r>
      <w:r>
        <w:rPr>
          <w:rFonts w:hint="eastAsia"/>
          <w:sz w:val="21"/>
          <w:szCs w:val="21"/>
        </w:rPr>
        <w:t>清洁能源积极嵌入建筑</w:t>
      </w:r>
      <w:r>
        <w:rPr>
          <w:rFonts w:hint="eastAsia"/>
          <w:sz w:val="21"/>
          <w:szCs w:val="21"/>
          <w:lang w:val="en-GB"/>
        </w:rPr>
        <w:t>等方面评价，其中装配式技术、清洁能源嵌入技术是国家积极倡导的建筑节能技术，在电力工程建设应用在快速推广，纳入节能评价内容。节约能源的主要评价指标供电煤耗、厂用电率的先进性，可与中国电力企业联合会编制的同时期《□□年</w:t>
      </w:r>
      <w:r>
        <w:rPr>
          <w:sz w:val="21"/>
          <w:szCs w:val="21"/>
          <w:lang w:val="en-GB"/>
        </w:rPr>
        <w:t>电力行业火电机组能效水平对标报告</w:t>
      </w:r>
      <w:r>
        <w:rPr>
          <w:rFonts w:hint="eastAsia"/>
          <w:sz w:val="21"/>
          <w:szCs w:val="21"/>
          <w:lang w:val="en-GB"/>
        </w:rPr>
        <w:t>》对标数据进行比对，判别指标的先进性。</w:t>
      </w:r>
    </w:p>
    <w:p w14:paraId="5149E040">
      <w:pPr>
        <w:spacing w:line="500" w:lineRule="exact"/>
        <w:ind w:firstLine="420"/>
        <w:rPr>
          <w:rFonts w:hint="eastAsia"/>
          <w:sz w:val="21"/>
          <w:szCs w:val="21"/>
        </w:rPr>
      </w:pPr>
      <w:r>
        <w:rPr>
          <w:rFonts w:hint="eastAsia"/>
          <w:sz w:val="21"/>
          <w:szCs w:val="21"/>
        </w:rPr>
        <w:t>节约</w:t>
      </w:r>
      <w:r>
        <w:rPr>
          <w:sz w:val="21"/>
          <w:szCs w:val="21"/>
        </w:rPr>
        <w:t>用水倡导积极采用城市污水处理厂中水、矿井疏干水、海水水源</w:t>
      </w:r>
      <w:r>
        <w:rPr>
          <w:rFonts w:hint="eastAsia"/>
          <w:sz w:val="21"/>
          <w:szCs w:val="21"/>
        </w:rPr>
        <w:t>等，进行智能化水务管理，提高水的重复利用率，实现全厂废水零排放。在缺水地区重视雨水控制及利用（收集回用、土壤入渗、调蓄排放），褐煤提水技术的应用，节约用水。节约用水主要评价指标</w:t>
      </w:r>
      <w:r>
        <w:rPr>
          <w:sz w:val="21"/>
          <w:szCs w:val="21"/>
        </w:rPr>
        <w:t>设计</w:t>
      </w:r>
      <w:r>
        <w:rPr>
          <w:rFonts w:hint="eastAsia"/>
          <w:sz w:val="21"/>
          <w:szCs w:val="21"/>
        </w:rPr>
        <w:t>耗水指标先进性，</w:t>
      </w:r>
      <w:r>
        <w:rPr>
          <w:rFonts w:hint="eastAsia"/>
          <w:sz w:val="21"/>
          <w:szCs w:val="21"/>
          <w:lang w:val="en-GB"/>
        </w:rPr>
        <w:t>可与中国电力企业联合会编制的同时期《□□年</w:t>
      </w:r>
      <w:r>
        <w:rPr>
          <w:sz w:val="21"/>
          <w:szCs w:val="21"/>
          <w:lang w:val="en-GB"/>
        </w:rPr>
        <w:t>电力行业火电机组能效水平对标报告</w:t>
      </w:r>
      <w:r>
        <w:rPr>
          <w:rFonts w:hint="eastAsia"/>
          <w:sz w:val="21"/>
          <w:szCs w:val="21"/>
          <w:lang w:val="en-GB"/>
        </w:rPr>
        <w:t>》对标数据进行比对，判别指标的先进性。</w:t>
      </w:r>
    </w:p>
    <w:p w14:paraId="1A2CE300">
      <w:pPr>
        <w:spacing w:line="500" w:lineRule="exact"/>
        <w:ind w:firstLine="420"/>
        <w:rPr>
          <w:rFonts w:hint="eastAsia"/>
          <w:sz w:val="21"/>
          <w:szCs w:val="21"/>
        </w:rPr>
      </w:pPr>
      <w:r>
        <w:rPr>
          <w:rFonts w:hint="eastAsia"/>
          <w:sz w:val="21"/>
          <w:szCs w:val="21"/>
        </w:rPr>
        <w:t>节约</w:t>
      </w:r>
      <w:r>
        <w:rPr>
          <w:sz w:val="21"/>
          <w:szCs w:val="21"/>
        </w:rPr>
        <w:t>材料重点评价</w:t>
      </w:r>
      <w:r>
        <w:rPr>
          <w:rFonts w:hint="eastAsia"/>
          <w:sz w:val="21"/>
          <w:szCs w:val="21"/>
        </w:rPr>
        <w:t>钢材、水泥和电缆等消耗量，同比达到国内同类型机组先进水平。</w:t>
      </w:r>
      <w:r>
        <w:rPr>
          <w:sz w:val="21"/>
          <w:szCs w:val="21"/>
        </w:rPr>
        <w:t xml:space="preserve"> </w:t>
      </w:r>
    </w:p>
    <w:p w14:paraId="470D321E">
      <w:pPr>
        <w:spacing w:before="120" w:beforeLines="50" w:after="240" w:afterLines="100"/>
        <w:jc w:val="center"/>
        <w:rPr>
          <w:rFonts w:hint="eastAsia"/>
          <w:sz w:val="21"/>
          <w:szCs w:val="21"/>
        </w:rPr>
      </w:pPr>
      <w:r>
        <w:rPr>
          <w:sz w:val="21"/>
          <w:szCs w:val="21"/>
        </w:rPr>
        <w:t xml:space="preserve">Ⅲ   </w:t>
      </w:r>
      <w:r>
        <w:rPr>
          <w:rFonts w:hint="eastAsia"/>
          <w:sz w:val="21"/>
          <w:szCs w:val="21"/>
        </w:rPr>
        <w:t>生态环保</w:t>
      </w:r>
    </w:p>
    <w:p w14:paraId="60488ECD">
      <w:pPr>
        <w:spacing w:line="500" w:lineRule="exact"/>
        <w:ind w:firstLine="420"/>
        <w:rPr>
          <w:rFonts w:hint="eastAsia"/>
          <w:sz w:val="21"/>
          <w:szCs w:val="21"/>
        </w:rPr>
      </w:pPr>
      <w:r>
        <w:rPr>
          <w:rFonts w:hint="eastAsia"/>
          <w:sz w:val="21"/>
          <w:szCs w:val="21"/>
        </w:rPr>
        <w:t>生态</w:t>
      </w:r>
      <w:r>
        <w:rPr>
          <w:sz w:val="21"/>
          <w:szCs w:val="21"/>
        </w:rPr>
        <w:t>环保重点评价</w:t>
      </w:r>
      <w:r>
        <w:rPr>
          <w:rFonts w:hint="eastAsia"/>
          <w:sz w:val="21"/>
          <w:szCs w:val="21"/>
        </w:rPr>
        <w:t>环保技术路线先进性，</w:t>
      </w:r>
      <w:r>
        <w:rPr>
          <w:sz w:val="21"/>
          <w:szCs w:val="21"/>
        </w:rPr>
        <w:t xml:space="preserve">工程尘、硫、氮、水、气、声、渣、灰全过程、全要素、全链条全面环保达标，并经行业主管部门验收通过。 </w:t>
      </w:r>
    </w:p>
    <w:p w14:paraId="5A9B2982">
      <w:pPr>
        <w:spacing w:before="120" w:beforeLines="50" w:after="240" w:afterLines="100"/>
        <w:jc w:val="center"/>
        <w:rPr>
          <w:rFonts w:hint="eastAsia"/>
          <w:sz w:val="21"/>
          <w:szCs w:val="21"/>
        </w:rPr>
      </w:pPr>
      <w:r>
        <w:rPr>
          <w:sz w:val="21"/>
          <w:szCs w:val="21"/>
        </w:rPr>
        <w:t xml:space="preserve">Ⅳ   </w:t>
      </w:r>
      <w:r>
        <w:rPr>
          <w:rFonts w:hint="eastAsia"/>
          <w:sz w:val="21"/>
          <w:szCs w:val="21"/>
        </w:rPr>
        <w:t>综合效益</w:t>
      </w:r>
    </w:p>
    <w:p w14:paraId="0D9454AB">
      <w:pPr>
        <w:spacing w:line="500" w:lineRule="exact"/>
        <w:ind w:firstLine="420"/>
        <w:rPr>
          <w:rFonts w:hint="eastAsia"/>
          <w:sz w:val="21"/>
          <w:szCs w:val="21"/>
        </w:rPr>
      </w:pPr>
      <w:r>
        <w:rPr>
          <w:rFonts w:hint="eastAsia"/>
          <w:sz w:val="21"/>
          <w:szCs w:val="21"/>
        </w:rPr>
        <w:t>综合</w:t>
      </w:r>
      <w:r>
        <w:rPr>
          <w:sz w:val="21"/>
          <w:szCs w:val="21"/>
        </w:rPr>
        <w:t>效益评价从项目本身</w:t>
      </w:r>
      <w:r>
        <w:rPr>
          <w:rFonts w:hint="eastAsia"/>
          <w:sz w:val="21"/>
          <w:szCs w:val="21"/>
        </w:rPr>
        <w:t>经济效益，项目社会效益及环保效益进行评价，在实现自身经济效益同事，实现社会、生态及环保效益多赢。</w:t>
      </w:r>
      <w:r>
        <w:rPr>
          <w:sz w:val="21"/>
          <w:szCs w:val="21"/>
        </w:rPr>
        <w:t>重点考核综合投资及资本金内部收益率指标。</w:t>
      </w:r>
    </w:p>
    <w:p w14:paraId="0E80E1F1">
      <w:pPr>
        <w:spacing w:before="120" w:beforeLines="50" w:after="240" w:afterLines="100"/>
        <w:jc w:val="center"/>
        <w:rPr>
          <w:rFonts w:hint="eastAsia"/>
          <w:sz w:val="21"/>
          <w:szCs w:val="21"/>
        </w:rPr>
      </w:pPr>
      <w:r>
        <w:rPr>
          <w:sz w:val="21"/>
          <w:szCs w:val="21"/>
        </w:rPr>
        <w:t xml:space="preserve">Ⅴ   </w:t>
      </w:r>
      <w:r>
        <w:rPr>
          <w:rFonts w:hint="eastAsia"/>
          <w:sz w:val="21"/>
          <w:szCs w:val="21"/>
        </w:rPr>
        <w:t>科技创新</w:t>
      </w:r>
    </w:p>
    <w:p w14:paraId="01688869">
      <w:pPr>
        <w:spacing w:line="500" w:lineRule="exact"/>
        <w:ind w:firstLine="420"/>
        <w:rPr>
          <w:rFonts w:hint="eastAsia"/>
          <w:sz w:val="21"/>
          <w:szCs w:val="21"/>
        </w:rPr>
      </w:pPr>
      <w:r>
        <w:rPr>
          <w:rFonts w:hint="eastAsia"/>
          <w:sz w:val="21"/>
          <w:szCs w:val="21"/>
        </w:rPr>
        <w:t>科技创新重点评价项目采用的新技术、新工艺、新流程、新材料、新装备、新产品等技术创新成果，</w:t>
      </w:r>
      <w:r>
        <w:rPr>
          <w:sz w:val="21"/>
          <w:szCs w:val="21"/>
        </w:rPr>
        <w:t>依托工程取得的创新成果（课题、专利、专有技术、奖项、竞赛活动成果、国家示范试点、参编标准、期刊论文等</w:t>
      </w:r>
      <w:r>
        <w:rPr>
          <w:rFonts w:hint="eastAsia"/>
          <w:sz w:val="21"/>
          <w:szCs w:val="21"/>
        </w:rPr>
        <w:t>），</w:t>
      </w:r>
      <w:r>
        <w:rPr>
          <w:sz w:val="21"/>
          <w:szCs w:val="21"/>
        </w:rPr>
        <w:t>创新成果把取得省、部级及以上科技进步奖项作为重点评判，</w:t>
      </w:r>
      <w:r>
        <w:rPr>
          <w:rFonts w:hint="eastAsia"/>
          <w:sz w:val="21"/>
          <w:szCs w:val="21"/>
        </w:rPr>
        <w:t>依托工程的科技创新成果需要取得相应级别主管部门的验收（评审）证明。</w:t>
      </w:r>
    </w:p>
    <w:p w14:paraId="2245DDEB">
      <w:pPr>
        <w:spacing w:before="120" w:beforeLines="50" w:after="240" w:afterLines="100"/>
        <w:jc w:val="center"/>
        <w:outlineLvl w:val="1"/>
        <w:rPr>
          <w:rFonts w:hint="eastAsia"/>
          <w:sz w:val="21"/>
          <w:szCs w:val="21"/>
        </w:rPr>
      </w:pPr>
      <w:bookmarkStart w:id="680" w:name="_Toc10353"/>
      <w:bookmarkStart w:id="681" w:name="_Toc5967"/>
      <w:r>
        <w:fldChar w:fldCharType="begin"/>
      </w:r>
      <w:r>
        <w:instrText xml:space="preserve"> HYPERLINK "file:///D:\\发电事业部2022\\03%202022外部标准编制及审核\\外部标准编写2022\\绿色施工和新技术应用规范\\电力建设工程绿色建造评价规范\\《电力建设工程绿色建造评价规范》初稿讨论会20240619-20\\20240620-21修改\\条文说明汇总\\条文说明%20汇总.docx" \l "_Toc162470870" </w:instrText>
      </w:r>
      <w:r>
        <w:fldChar w:fldCharType="separate"/>
      </w:r>
      <w:r>
        <w:rPr>
          <w:rFonts w:hint="eastAsia"/>
          <w:sz w:val="21"/>
          <w:szCs w:val="21"/>
        </w:rPr>
        <w:t>5.</w:t>
      </w:r>
      <w:r>
        <w:rPr>
          <w:sz w:val="21"/>
          <w:szCs w:val="21"/>
        </w:rPr>
        <w:t xml:space="preserve">2  </w:t>
      </w:r>
      <w:r>
        <w:rPr>
          <w:rFonts w:hint="eastAsia"/>
          <w:sz w:val="21"/>
          <w:szCs w:val="21"/>
        </w:rPr>
        <w:t>水力发电（含抽水蓄能）</w:t>
      </w:r>
      <w:r>
        <w:rPr>
          <w:rFonts w:hint="eastAsia"/>
          <w:sz w:val="21"/>
          <w:szCs w:val="21"/>
        </w:rPr>
        <w:fldChar w:fldCharType="end"/>
      </w:r>
      <w:bookmarkEnd w:id="680"/>
      <w:bookmarkEnd w:id="681"/>
    </w:p>
    <w:p w14:paraId="6D5F3592">
      <w:pPr>
        <w:ind w:firstLine="420" w:firstLineChars="200"/>
        <w:rPr>
          <w:rFonts w:hint="eastAsia" w:cs="Times New Roman"/>
          <w:sz w:val="21"/>
          <w:szCs w:val="21"/>
        </w:rPr>
      </w:pPr>
      <w:r>
        <w:rPr>
          <w:rFonts w:hint="eastAsia" w:cs="Times New Roman"/>
          <w:sz w:val="21"/>
          <w:szCs w:val="21"/>
        </w:rPr>
        <w:t>水力发电工程分为常规水电站和抽水蓄能电站，绿色设计评价内容相近，不再分类编制评价内容。</w:t>
      </w:r>
    </w:p>
    <w:p w14:paraId="78970607">
      <w:pPr>
        <w:spacing w:before="120" w:beforeLines="50" w:after="240" w:afterLines="100"/>
        <w:jc w:val="center"/>
        <w:rPr>
          <w:rFonts w:hint="eastAsia"/>
          <w:sz w:val="21"/>
          <w:szCs w:val="21"/>
        </w:rPr>
      </w:pPr>
      <w:r>
        <w:rPr>
          <w:rFonts w:hint="eastAsia"/>
          <w:sz w:val="21"/>
          <w:szCs w:val="21"/>
        </w:rPr>
        <w:t>Ⅰ 技术先进</w:t>
      </w:r>
    </w:p>
    <w:p w14:paraId="54CF36FF">
      <w:pPr>
        <w:ind w:right="-120" w:rightChars="-50"/>
        <w:rPr>
          <w:rFonts w:hint="eastAsia" w:cs="Times New Roman"/>
          <w:sz w:val="21"/>
          <w:szCs w:val="21"/>
        </w:rPr>
      </w:pPr>
      <w:r>
        <w:rPr>
          <w:rFonts w:cs="Times New Roman"/>
          <w:sz w:val="21"/>
          <w:szCs w:val="21"/>
        </w:rPr>
        <w:t xml:space="preserve">5.2.1  </w:t>
      </w:r>
      <w:r>
        <w:rPr>
          <w:rFonts w:hint="eastAsia" w:cs="Times New Roman"/>
          <w:sz w:val="21"/>
          <w:szCs w:val="21"/>
        </w:rPr>
        <w:t>技术先进性评价应重视技术创新，重点对自主创新技术进行评价，对电站枢纽布置、施工总布置、地质参数选取、主要建筑物设计、地基处理方案、渗控设计、金属结构设计、电气设计等全方面进行评价。</w:t>
      </w:r>
    </w:p>
    <w:p w14:paraId="2C7DC99A">
      <w:pPr>
        <w:spacing w:before="120" w:beforeLines="50" w:after="240" w:afterLines="100"/>
        <w:jc w:val="center"/>
        <w:rPr>
          <w:rFonts w:hint="eastAsia"/>
          <w:sz w:val="21"/>
          <w:szCs w:val="21"/>
        </w:rPr>
      </w:pPr>
      <w:r>
        <w:rPr>
          <w:rFonts w:hint="eastAsia"/>
          <w:sz w:val="21"/>
          <w:szCs w:val="21"/>
        </w:rPr>
        <w:t>Ⅱ资源节约</w:t>
      </w:r>
    </w:p>
    <w:p w14:paraId="70ABE12C">
      <w:pPr>
        <w:ind w:right="-120" w:rightChars="-50"/>
        <w:rPr>
          <w:rFonts w:hint="eastAsia" w:cs="Times New Roman"/>
          <w:sz w:val="21"/>
          <w:szCs w:val="21"/>
        </w:rPr>
      </w:pPr>
      <w:r>
        <w:rPr>
          <w:rFonts w:cs="Times New Roman"/>
          <w:sz w:val="21"/>
          <w:szCs w:val="21"/>
        </w:rPr>
        <w:t xml:space="preserve">5.3.2  </w:t>
      </w:r>
      <w:r>
        <w:rPr>
          <w:rFonts w:hint="eastAsia" w:cs="Times New Roman"/>
          <w:sz w:val="21"/>
          <w:szCs w:val="21"/>
        </w:rPr>
        <w:t>资源节约按照节约土地、节约能源、节约用水、节约材料四个方面进行评价。</w:t>
      </w:r>
    </w:p>
    <w:p w14:paraId="0CEA5916">
      <w:pPr>
        <w:ind w:right="-120" w:rightChars="-50"/>
        <w:rPr>
          <w:rFonts w:hint="eastAsia" w:cs="Times New Roman"/>
          <w:sz w:val="21"/>
          <w:szCs w:val="21"/>
        </w:rPr>
      </w:pPr>
      <w:r>
        <w:rPr>
          <w:rFonts w:hint="eastAsia" w:cs="Times New Roman"/>
          <w:sz w:val="21"/>
          <w:szCs w:val="21"/>
        </w:rPr>
        <w:t>节约土地主要从保护耕地（林地）、紧凑型枢纽布置（施工总平面布置）、水土保持等方面评价。</w:t>
      </w:r>
    </w:p>
    <w:p w14:paraId="15685D76">
      <w:pPr>
        <w:ind w:right="-120" w:rightChars="-50"/>
        <w:rPr>
          <w:rFonts w:hint="eastAsia" w:cs="Times New Roman"/>
          <w:sz w:val="21"/>
          <w:szCs w:val="21"/>
        </w:rPr>
      </w:pPr>
      <w:r>
        <w:rPr>
          <w:rFonts w:hint="eastAsia" w:cs="Times New Roman"/>
          <w:sz w:val="21"/>
          <w:szCs w:val="21"/>
        </w:rPr>
        <w:t>节约能源主要从高效的水轮发电机组、高效节能永久设备，高效节能施工设备、自然通风采光、节能建材、合理利用太阳能资源等方面评价。</w:t>
      </w:r>
    </w:p>
    <w:p w14:paraId="5FD641BF">
      <w:pPr>
        <w:ind w:right="-120" w:rightChars="-50"/>
        <w:rPr>
          <w:rFonts w:hint="eastAsia" w:cs="Times New Roman"/>
          <w:sz w:val="21"/>
          <w:szCs w:val="21"/>
        </w:rPr>
      </w:pPr>
      <w:r>
        <w:rPr>
          <w:rFonts w:hint="eastAsia" w:cs="Times New Roman"/>
          <w:sz w:val="21"/>
          <w:szCs w:val="21"/>
        </w:rPr>
        <w:t>节约用水主要从提高水资源的重复利用率、污废水回用、积水系统等方面进行评价。</w:t>
      </w:r>
    </w:p>
    <w:p w14:paraId="39A519F9">
      <w:pPr>
        <w:ind w:right="-120" w:rightChars="-50"/>
        <w:rPr>
          <w:rFonts w:hint="eastAsia" w:cs="Times New Roman"/>
          <w:sz w:val="21"/>
          <w:szCs w:val="21"/>
        </w:rPr>
      </w:pPr>
      <w:r>
        <w:rPr>
          <w:rFonts w:hint="eastAsia" w:cs="Times New Roman"/>
          <w:sz w:val="21"/>
          <w:szCs w:val="21"/>
        </w:rPr>
        <w:t xml:space="preserve">节约材料重点评价开挖渣料回用、节约钢材、水泥、砂石和电缆等消耗量，同比达到国内先进水平。 </w:t>
      </w:r>
    </w:p>
    <w:p w14:paraId="0DE23A47">
      <w:pPr>
        <w:spacing w:before="120" w:beforeLines="50" w:after="240" w:afterLines="100"/>
        <w:jc w:val="center"/>
        <w:rPr>
          <w:rFonts w:hint="eastAsia"/>
          <w:sz w:val="21"/>
          <w:szCs w:val="21"/>
        </w:rPr>
      </w:pPr>
      <w:r>
        <w:rPr>
          <w:rFonts w:hint="eastAsia"/>
          <w:sz w:val="21"/>
          <w:szCs w:val="21"/>
        </w:rPr>
        <w:t xml:space="preserve">Ⅲ生态环保 </w:t>
      </w:r>
    </w:p>
    <w:p w14:paraId="3AE280F2">
      <w:pPr>
        <w:ind w:right="-120" w:rightChars="-50"/>
        <w:rPr>
          <w:rFonts w:hint="eastAsia" w:cs="Times New Roman"/>
          <w:sz w:val="21"/>
          <w:szCs w:val="21"/>
        </w:rPr>
      </w:pPr>
      <w:r>
        <w:rPr>
          <w:rFonts w:cs="Times New Roman"/>
          <w:sz w:val="21"/>
          <w:szCs w:val="21"/>
        </w:rPr>
        <w:t xml:space="preserve">5.3.3  </w:t>
      </w:r>
      <w:r>
        <w:rPr>
          <w:rFonts w:hint="eastAsia" w:cs="Times New Roman"/>
          <w:sz w:val="21"/>
          <w:szCs w:val="21"/>
        </w:rPr>
        <w:t xml:space="preserve">生态环保重点评价建筑与周边自然环境的和谐、生态保护措施、水土保护措施，施工过程中扬尘和噪音控制、固体废弃物和污废水布置等全面达标。 </w:t>
      </w:r>
    </w:p>
    <w:p w14:paraId="1E79A4E0">
      <w:pPr>
        <w:spacing w:before="120" w:beforeLines="50" w:after="240" w:afterLines="100"/>
        <w:jc w:val="center"/>
        <w:rPr>
          <w:rFonts w:hint="eastAsia"/>
          <w:sz w:val="21"/>
          <w:szCs w:val="21"/>
        </w:rPr>
      </w:pPr>
      <w:r>
        <w:rPr>
          <w:rFonts w:hint="eastAsia"/>
          <w:sz w:val="21"/>
          <w:szCs w:val="21"/>
        </w:rPr>
        <w:t>Ⅳ综合效益</w:t>
      </w:r>
    </w:p>
    <w:p w14:paraId="3BB6DA80">
      <w:pPr>
        <w:ind w:right="-120" w:rightChars="-50"/>
        <w:rPr>
          <w:rFonts w:hint="eastAsia" w:cs="Times New Roman"/>
          <w:sz w:val="21"/>
          <w:szCs w:val="21"/>
        </w:rPr>
      </w:pPr>
      <w:r>
        <w:rPr>
          <w:rFonts w:cs="Times New Roman"/>
          <w:sz w:val="21"/>
          <w:szCs w:val="21"/>
        </w:rPr>
        <w:t xml:space="preserve">5.3.4  </w:t>
      </w:r>
      <w:r>
        <w:rPr>
          <w:rFonts w:hint="eastAsia" w:cs="Times New Roman"/>
          <w:sz w:val="21"/>
          <w:szCs w:val="21"/>
        </w:rPr>
        <w:t>综合效益评价从项目本身经济效益，项目社会效益及环保效益进行评价，在实现自身经济效益同事，实现社会、生态及环保效益多赢。</w:t>
      </w:r>
    </w:p>
    <w:p w14:paraId="70E93205">
      <w:pPr>
        <w:spacing w:before="120" w:beforeLines="50" w:after="240" w:afterLines="100"/>
        <w:jc w:val="center"/>
        <w:rPr>
          <w:rFonts w:hint="eastAsia"/>
          <w:sz w:val="21"/>
          <w:szCs w:val="21"/>
        </w:rPr>
      </w:pPr>
      <w:r>
        <w:rPr>
          <w:rFonts w:hint="eastAsia"/>
          <w:sz w:val="21"/>
          <w:szCs w:val="21"/>
        </w:rPr>
        <w:t>Ⅴ科技创新</w:t>
      </w:r>
    </w:p>
    <w:p w14:paraId="3D30DBA2">
      <w:pPr>
        <w:ind w:right="-120" w:rightChars="-50"/>
        <w:rPr>
          <w:rFonts w:hint="eastAsia" w:cs="Times New Roman"/>
          <w:sz w:val="21"/>
          <w:szCs w:val="21"/>
        </w:rPr>
      </w:pPr>
      <w:r>
        <w:rPr>
          <w:rFonts w:cs="Times New Roman"/>
          <w:sz w:val="21"/>
          <w:szCs w:val="21"/>
        </w:rPr>
        <w:t xml:space="preserve">5.3.5  </w:t>
      </w:r>
      <w:r>
        <w:rPr>
          <w:rFonts w:hint="eastAsia" w:cs="Times New Roman"/>
          <w:sz w:val="21"/>
          <w:szCs w:val="21"/>
        </w:rPr>
        <w:t>科技创新重点评价项目采用新技术、新工艺、新流程、新材料、新装备、新产品等技术创新成果，依托工程取得的创新成果（课题、专利、专有技术、奖项、竞赛活动成果、国家示范试点、参编标准、期刊论文等）。</w:t>
      </w:r>
    </w:p>
    <w:p w14:paraId="1666AC66">
      <w:pPr>
        <w:spacing w:before="120" w:beforeLines="50" w:after="120" w:afterLines="50"/>
        <w:jc w:val="center"/>
        <w:outlineLvl w:val="1"/>
        <w:rPr>
          <w:rFonts w:hint="eastAsia"/>
          <w:sz w:val="21"/>
          <w:szCs w:val="21"/>
        </w:rPr>
      </w:pPr>
      <w:bookmarkStart w:id="682" w:name="_Toc19184"/>
      <w:bookmarkStart w:id="683" w:name="_Toc9304"/>
      <w:r>
        <w:fldChar w:fldCharType="begin"/>
      </w:r>
      <w:r>
        <w:instrText xml:space="preserve"> HYPERLINK "file:///D:\\发电事业部2022\\03%202022外部标准编制及审核\\外部标准编写2022\\绿色施工和新技术应用规范\\电力建设工程绿色建造评价规范\\《电力建设工程绿色建造评价规范》初稿讨论会20240619-20\\20240620-21修改\\条文说明汇总\\条文说明%20汇总.docx" \l "_Toc162470870" </w:instrText>
      </w:r>
      <w:r>
        <w:fldChar w:fldCharType="separate"/>
      </w:r>
      <w:r>
        <w:rPr>
          <w:rFonts w:hint="eastAsia"/>
          <w:sz w:val="21"/>
          <w:szCs w:val="21"/>
        </w:rPr>
        <w:t>5.3</w:t>
      </w:r>
      <w:r>
        <w:rPr>
          <w:sz w:val="21"/>
          <w:szCs w:val="21"/>
        </w:rPr>
        <w:t xml:space="preserve">  </w:t>
      </w:r>
      <w:r>
        <w:rPr>
          <w:rFonts w:hint="eastAsia"/>
          <w:sz w:val="21"/>
          <w:szCs w:val="21"/>
        </w:rPr>
        <w:t>风力发电工程</w:t>
      </w:r>
      <w:r>
        <w:rPr>
          <w:rFonts w:hint="eastAsia"/>
          <w:sz w:val="21"/>
          <w:szCs w:val="21"/>
        </w:rPr>
        <w:fldChar w:fldCharType="end"/>
      </w:r>
      <w:bookmarkEnd w:id="682"/>
      <w:bookmarkEnd w:id="683"/>
    </w:p>
    <w:p w14:paraId="7BF070A9">
      <w:pPr>
        <w:ind w:firstLine="420" w:firstLineChars="200"/>
        <w:rPr>
          <w:rFonts w:hint="eastAsia" w:cs="Times New Roman"/>
          <w:sz w:val="21"/>
          <w:szCs w:val="21"/>
        </w:rPr>
      </w:pPr>
      <w:r>
        <w:rPr>
          <w:rFonts w:hint="eastAsia" w:cs="Times New Roman"/>
          <w:sz w:val="21"/>
          <w:szCs w:val="21"/>
        </w:rPr>
        <w:t>风力发电工程分为陆上风力发电工程和海上风力发电工程。每类工程通用项、专用项合计为满分值，进行评判时按照同类工程进行统计评分。</w:t>
      </w:r>
    </w:p>
    <w:p w14:paraId="521EF8A8">
      <w:pPr>
        <w:spacing w:before="120" w:beforeLines="50" w:after="240" w:afterLines="100"/>
        <w:jc w:val="center"/>
        <w:rPr>
          <w:rFonts w:hint="eastAsia"/>
          <w:sz w:val="21"/>
          <w:szCs w:val="21"/>
        </w:rPr>
      </w:pPr>
      <w:r>
        <w:rPr>
          <w:rFonts w:hint="eastAsia"/>
          <w:sz w:val="21"/>
          <w:szCs w:val="21"/>
        </w:rPr>
        <w:t xml:space="preserve">Ⅰ </w:t>
      </w:r>
      <w:r>
        <w:rPr>
          <w:sz w:val="21"/>
          <w:szCs w:val="21"/>
        </w:rPr>
        <w:t xml:space="preserve"> </w:t>
      </w:r>
      <w:r>
        <w:rPr>
          <w:rFonts w:hint="eastAsia"/>
          <w:sz w:val="21"/>
          <w:szCs w:val="21"/>
        </w:rPr>
        <w:t>技术先进</w:t>
      </w:r>
    </w:p>
    <w:p w14:paraId="09362937">
      <w:pPr>
        <w:outlineLvl w:val="0"/>
        <w:rPr>
          <w:rFonts w:hint="eastAsia"/>
          <w:sz w:val="21"/>
          <w:szCs w:val="21"/>
        </w:rPr>
      </w:pPr>
      <w:bookmarkStart w:id="684" w:name="_Toc24320"/>
      <w:bookmarkStart w:id="685" w:name="_Toc4068"/>
      <w:r>
        <w:rPr>
          <w:rFonts w:hint="eastAsia"/>
          <w:sz w:val="21"/>
          <w:szCs w:val="21"/>
        </w:rPr>
        <w:t>5</w:t>
      </w:r>
      <w:r>
        <w:rPr>
          <w:sz w:val="21"/>
          <w:szCs w:val="21"/>
        </w:rPr>
        <w:t>.3.1</w:t>
      </w:r>
      <w:bookmarkEnd w:id="684"/>
      <w:bookmarkEnd w:id="685"/>
    </w:p>
    <w:p w14:paraId="7DD7D0D5">
      <w:pPr>
        <w:ind w:firstLine="420" w:firstLineChars="200"/>
        <w:rPr>
          <w:rFonts w:hint="eastAsia"/>
          <w:sz w:val="21"/>
          <w:szCs w:val="21"/>
        </w:rPr>
      </w:pPr>
      <w:r>
        <w:rPr>
          <w:sz w:val="21"/>
          <w:szCs w:val="21"/>
        </w:rPr>
        <w:t xml:space="preserve">1  </w:t>
      </w:r>
      <w:r>
        <w:rPr>
          <w:rFonts w:hint="eastAsia"/>
          <w:sz w:val="21"/>
          <w:szCs w:val="21"/>
        </w:rPr>
        <w:t>风电场的微观选址工作复杂繁琐，特别是陆上风电，需考虑的限制性因素众多，比如：生态红线、军事、空域限高、铁路、公路、架空线、居民点、压覆矿、文物、周边风场等；选择合理的风机间距，间距过小导致尾流过大，影响发电量，间距过大占地和投资会增加；微观选址工作需在避让相关限制性因素的前提下，选择出风资源利用率高、技术可行、投资小的风机点位。</w:t>
      </w:r>
    </w:p>
    <w:p w14:paraId="5B7381E0">
      <w:pPr>
        <w:ind w:firstLine="420" w:firstLineChars="200"/>
        <w:rPr>
          <w:rFonts w:hint="eastAsia"/>
          <w:sz w:val="21"/>
          <w:szCs w:val="21"/>
        </w:rPr>
      </w:pPr>
      <w:r>
        <w:rPr>
          <w:sz w:val="21"/>
          <w:szCs w:val="21"/>
        </w:rPr>
        <w:t xml:space="preserve">5  </w:t>
      </w:r>
      <w:r>
        <w:rPr>
          <w:rFonts w:hint="eastAsia"/>
          <w:sz w:val="21"/>
          <w:szCs w:val="21"/>
        </w:rPr>
        <w:t>陆上风电和海上风电基础的设计对于投资影响大，也是设计水平的体现，需要进行多种风机基础形式的技术经济比选，形成相关报告并通过审查。</w:t>
      </w:r>
    </w:p>
    <w:p w14:paraId="794A4A02">
      <w:pPr>
        <w:ind w:firstLine="420" w:firstLineChars="200"/>
        <w:rPr>
          <w:rFonts w:hint="eastAsia"/>
          <w:sz w:val="21"/>
          <w:szCs w:val="21"/>
        </w:rPr>
      </w:pPr>
      <w:r>
        <w:rPr>
          <w:sz w:val="21"/>
          <w:szCs w:val="21"/>
        </w:rPr>
        <w:t xml:space="preserve">7  </w:t>
      </w:r>
      <w:r>
        <w:rPr>
          <w:rFonts w:hint="eastAsia"/>
          <w:sz w:val="21"/>
          <w:szCs w:val="21"/>
        </w:rPr>
        <w:t>风电项目涉及土建、电气、消防、暖通等多个专业，采用三维设计方式可有效减少碰撞的数量，减少现场的返工和修改，提高施工速度。特别是对于海上风电的风机基础和海上变电站（换流站）空间狭小，设备管线多，三维设计尤其重要。</w:t>
      </w:r>
    </w:p>
    <w:p w14:paraId="3206348D">
      <w:pPr>
        <w:spacing w:before="120" w:beforeLines="50" w:after="240" w:afterLines="100"/>
        <w:jc w:val="center"/>
        <w:rPr>
          <w:rFonts w:hint="eastAsia"/>
          <w:sz w:val="21"/>
          <w:szCs w:val="21"/>
        </w:rPr>
      </w:pPr>
      <w:r>
        <w:rPr>
          <w:rFonts w:hint="eastAsia"/>
          <w:sz w:val="21"/>
          <w:szCs w:val="21"/>
        </w:rPr>
        <w:t>Ⅱ</w:t>
      </w:r>
      <w:r>
        <w:rPr>
          <w:sz w:val="21"/>
          <w:szCs w:val="21"/>
        </w:rPr>
        <w:t xml:space="preserve">  </w:t>
      </w:r>
      <w:r>
        <w:rPr>
          <w:rFonts w:hint="eastAsia"/>
          <w:sz w:val="21"/>
          <w:szCs w:val="21"/>
        </w:rPr>
        <w:t>资源节约</w:t>
      </w:r>
    </w:p>
    <w:p w14:paraId="331AC896">
      <w:pPr>
        <w:jc w:val="left"/>
        <w:rPr>
          <w:rFonts w:hint="eastAsia"/>
          <w:sz w:val="21"/>
          <w:szCs w:val="21"/>
        </w:rPr>
      </w:pPr>
      <w:r>
        <w:rPr>
          <w:rFonts w:hint="eastAsia"/>
          <w:sz w:val="21"/>
          <w:szCs w:val="21"/>
        </w:rPr>
        <w:t>5</w:t>
      </w:r>
      <w:r>
        <w:rPr>
          <w:sz w:val="21"/>
          <w:szCs w:val="21"/>
        </w:rPr>
        <w:t>.3.2</w:t>
      </w:r>
    </w:p>
    <w:p w14:paraId="258DE149">
      <w:pPr>
        <w:ind w:firstLine="420" w:firstLineChars="200"/>
        <w:jc w:val="left"/>
        <w:rPr>
          <w:rFonts w:hint="eastAsia"/>
          <w:sz w:val="21"/>
          <w:szCs w:val="21"/>
        </w:rPr>
      </w:pPr>
      <w:r>
        <w:rPr>
          <w:sz w:val="21"/>
          <w:szCs w:val="21"/>
        </w:rPr>
        <w:t xml:space="preserve">5  </w:t>
      </w:r>
      <w:r>
        <w:rPr>
          <w:rFonts w:hint="eastAsia"/>
          <w:sz w:val="21"/>
          <w:szCs w:val="21"/>
        </w:rPr>
        <w:t>风电项目用地（海）指标合理，满足节地（海）的要求，与同类项目相比，用地（海）面积少。</w:t>
      </w:r>
    </w:p>
    <w:p w14:paraId="4F08693D">
      <w:pPr>
        <w:ind w:firstLine="420" w:firstLineChars="200"/>
        <w:jc w:val="left"/>
        <w:rPr>
          <w:rFonts w:hint="eastAsia"/>
          <w:sz w:val="21"/>
          <w:szCs w:val="21"/>
        </w:rPr>
      </w:pPr>
      <w:r>
        <w:rPr>
          <w:sz w:val="21"/>
          <w:szCs w:val="21"/>
        </w:rPr>
        <w:t xml:space="preserve">7  </w:t>
      </w:r>
      <w:r>
        <w:rPr>
          <w:rFonts w:hint="eastAsia"/>
          <w:sz w:val="21"/>
          <w:szCs w:val="21"/>
        </w:rPr>
        <w:t>陆上风机基础体型合理，混凝土和钢筋工程量少；陆上变电站结构体系选择合理，选用绿色建材，节省混凝土和钢筋。</w:t>
      </w:r>
    </w:p>
    <w:p w14:paraId="10BA1A16">
      <w:pPr>
        <w:spacing w:before="120" w:beforeLines="50" w:after="240" w:afterLines="100"/>
        <w:jc w:val="center"/>
        <w:rPr>
          <w:rFonts w:hint="eastAsia"/>
          <w:sz w:val="21"/>
          <w:szCs w:val="21"/>
        </w:rPr>
      </w:pPr>
      <w:r>
        <w:rPr>
          <w:rFonts w:hint="eastAsia"/>
          <w:sz w:val="21"/>
          <w:szCs w:val="21"/>
        </w:rPr>
        <w:t>Ⅲ</w:t>
      </w:r>
      <w:r>
        <w:rPr>
          <w:sz w:val="21"/>
          <w:szCs w:val="21"/>
        </w:rPr>
        <w:t xml:space="preserve">  </w:t>
      </w:r>
      <w:r>
        <w:rPr>
          <w:rFonts w:hint="eastAsia"/>
          <w:sz w:val="21"/>
          <w:szCs w:val="21"/>
        </w:rPr>
        <w:t>生态环保</w:t>
      </w:r>
    </w:p>
    <w:p w14:paraId="4E877810">
      <w:pPr>
        <w:jc w:val="left"/>
        <w:rPr>
          <w:rFonts w:hint="eastAsia"/>
          <w:sz w:val="21"/>
          <w:szCs w:val="21"/>
        </w:rPr>
      </w:pPr>
      <w:r>
        <w:rPr>
          <w:rFonts w:hint="eastAsia"/>
          <w:sz w:val="21"/>
          <w:szCs w:val="21"/>
        </w:rPr>
        <w:t>5</w:t>
      </w:r>
      <w:r>
        <w:rPr>
          <w:sz w:val="21"/>
          <w:szCs w:val="21"/>
        </w:rPr>
        <w:t>.3.3</w:t>
      </w:r>
    </w:p>
    <w:p w14:paraId="3E15CEE3">
      <w:pPr>
        <w:ind w:firstLine="420" w:firstLineChars="200"/>
        <w:jc w:val="left"/>
        <w:rPr>
          <w:rFonts w:hint="eastAsia"/>
          <w:sz w:val="21"/>
          <w:szCs w:val="21"/>
        </w:rPr>
      </w:pPr>
      <w:r>
        <w:rPr>
          <w:sz w:val="21"/>
          <w:szCs w:val="21"/>
        </w:rPr>
        <w:t xml:space="preserve">1  </w:t>
      </w:r>
      <w:r>
        <w:rPr>
          <w:rFonts w:hint="eastAsia"/>
          <w:sz w:val="21"/>
          <w:szCs w:val="21"/>
        </w:rPr>
        <w:t>陆上风电根据所处的生态环境，如草原、戈壁、山地、平原等，设计需考虑和周边环境的统一协调，不破坏当地的生态环境；海上风电需考虑海洋生物、海洋环境的影响。</w:t>
      </w:r>
    </w:p>
    <w:p w14:paraId="65AEA278">
      <w:pPr>
        <w:ind w:firstLine="420" w:firstLineChars="200"/>
        <w:jc w:val="left"/>
        <w:outlineLvl w:val="0"/>
        <w:rPr>
          <w:rFonts w:hint="eastAsia"/>
          <w:sz w:val="21"/>
          <w:szCs w:val="21"/>
        </w:rPr>
      </w:pPr>
      <w:bookmarkStart w:id="686" w:name="_Toc9242"/>
      <w:bookmarkStart w:id="687" w:name="_Toc19642"/>
      <w:r>
        <w:rPr>
          <w:sz w:val="21"/>
          <w:szCs w:val="21"/>
        </w:rPr>
        <w:t xml:space="preserve">4  </w:t>
      </w:r>
      <w:r>
        <w:rPr>
          <w:rFonts w:hint="eastAsia"/>
          <w:sz w:val="21"/>
          <w:szCs w:val="21"/>
        </w:rPr>
        <w:t>根据环评报告等相关要求，选用符合要求的低噪声施工机械。</w:t>
      </w:r>
      <w:bookmarkEnd w:id="686"/>
      <w:bookmarkEnd w:id="687"/>
    </w:p>
    <w:p w14:paraId="779BC4C9">
      <w:pPr>
        <w:spacing w:before="120" w:beforeLines="50" w:after="240" w:afterLines="100"/>
        <w:jc w:val="center"/>
        <w:rPr>
          <w:rFonts w:hint="eastAsia"/>
          <w:sz w:val="21"/>
          <w:szCs w:val="21"/>
        </w:rPr>
      </w:pPr>
      <w:r>
        <w:rPr>
          <w:rFonts w:hint="eastAsia"/>
          <w:sz w:val="21"/>
          <w:szCs w:val="21"/>
        </w:rPr>
        <w:t>Ⅳ</w:t>
      </w:r>
      <w:r>
        <w:rPr>
          <w:sz w:val="21"/>
          <w:szCs w:val="21"/>
        </w:rPr>
        <w:t xml:space="preserve">  </w:t>
      </w:r>
      <w:r>
        <w:rPr>
          <w:rFonts w:hint="eastAsia"/>
          <w:sz w:val="21"/>
          <w:szCs w:val="21"/>
        </w:rPr>
        <w:t>综合效益</w:t>
      </w:r>
    </w:p>
    <w:p w14:paraId="2DD94224">
      <w:pPr>
        <w:jc w:val="left"/>
        <w:outlineLvl w:val="1"/>
        <w:rPr>
          <w:rFonts w:hint="eastAsia"/>
          <w:sz w:val="21"/>
          <w:szCs w:val="21"/>
        </w:rPr>
      </w:pPr>
      <w:bookmarkStart w:id="688" w:name="_Toc13594"/>
      <w:bookmarkStart w:id="689" w:name="_Toc12665"/>
      <w:r>
        <w:rPr>
          <w:rFonts w:hint="eastAsia"/>
          <w:sz w:val="21"/>
          <w:szCs w:val="21"/>
        </w:rPr>
        <w:t>5</w:t>
      </w:r>
      <w:r>
        <w:rPr>
          <w:sz w:val="21"/>
          <w:szCs w:val="21"/>
        </w:rPr>
        <w:t>.3.4</w:t>
      </w:r>
      <w:bookmarkEnd w:id="688"/>
      <w:bookmarkEnd w:id="689"/>
    </w:p>
    <w:p w14:paraId="02CB20F2">
      <w:pPr>
        <w:ind w:firstLine="420" w:firstLineChars="200"/>
        <w:jc w:val="left"/>
        <w:rPr>
          <w:rFonts w:hint="eastAsia"/>
          <w:sz w:val="21"/>
          <w:szCs w:val="21"/>
        </w:rPr>
      </w:pPr>
      <w:r>
        <w:rPr>
          <w:sz w:val="21"/>
          <w:szCs w:val="21"/>
        </w:rPr>
        <w:t xml:space="preserve">2  </w:t>
      </w:r>
      <w:r>
        <w:rPr>
          <w:rFonts w:hint="eastAsia"/>
          <w:sz w:val="21"/>
          <w:szCs w:val="21"/>
        </w:rPr>
        <w:t>风电项目需充分考虑和当地以及相关产业的融合，做好“风电+”的带动性和示范性。比如：制氢、制氨、储能、旅游、科普教育、海洋牧场等。</w:t>
      </w:r>
    </w:p>
    <w:p w14:paraId="45BB8A6D">
      <w:pPr>
        <w:spacing w:before="120" w:beforeLines="50" w:after="120" w:afterLines="50"/>
        <w:jc w:val="center"/>
        <w:outlineLvl w:val="1"/>
        <w:rPr>
          <w:rFonts w:hint="eastAsia"/>
          <w:sz w:val="21"/>
          <w:szCs w:val="21"/>
        </w:rPr>
      </w:pPr>
      <w:bookmarkStart w:id="690" w:name="_Toc29856"/>
      <w:bookmarkStart w:id="691" w:name="_Toc9322"/>
      <w:r>
        <w:rPr>
          <w:sz w:val="21"/>
          <w:szCs w:val="21"/>
        </w:rPr>
        <w:t>5.</w:t>
      </w:r>
      <w:r>
        <w:rPr>
          <w:rFonts w:hint="eastAsia"/>
          <w:sz w:val="21"/>
          <w:szCs w:val="21"/>
        </w:rPr>
        <w:t>4</w:t>
      </w:r>
      <w:r>
        <w:rPr>
          <w:sz w:val="21"/>
          <w:szCs w:val="21"/>
        </w:rPr>
        <w:t xml:space="preserve">  太阳能发电工程</w:t>
      </w:r>
      <w:bookmarkEnd w:id="661"/>
      <w:bookmarkEnd w:id="690"/>
      <w:bookmarkEnd w:id="691"/>
    </w:p>
    <w:p w14:paraId="46BA5F60">
      <w:pPr>
        <w:spacing w:before="120" w:beforeLines="50" w:after="240" w:afterLines="100"/>
        <w:jc w:val="center"/>
        <w:rPr>
          <w:rFonts w:hint="eastAsia"/>
          <w:sz w:val="21"/>
          <w:szCs w:val="21"/>
        </w:rPr>
      </w:pPr>
      <w:bookmarkStart w:id="692" w:name="_Toc169276096"/>
      <w:r>
        <w:rPr>
          <w:rFonts w:hint="eastAsia"/>
          <w:sz w:val="21"/>
          <w:szCs w:val="21"/>
        </w:rPr>
        <w:t>Ⅰ  技术先进</w:t>
      </w:r>
    </w:p>
    <w:bookmarkEnd w:id="692"/>
    <w:p w14:paraId="76E9C64E">
      <w:pPr>
        <w:rPr>
          <w:rFonts w:hint="eastAsia"/>
          <w:sz w:val="21"/>
          <w:szCs w:val="21"/>
        </w:rPr>
      </w:pPr>
      <w:r>
        <w:rPr>
          <w:sz w:val="21"/>
          <w:szCs w:val="21"/>
        </w:rPr>
        <w:t>5.</w:t>
      </w:r>
      <w:r>
        <w:rPr>
          <w:rFonts w:hint="eastAsia"/>
          <w:sz w:val="21"/>
          <w:szCs w:val="21"/>
        </w:rPr>
        <w:t>4</w:t>
      </w:r>
      <w:r>
        <w:rPr>
          <w:sz w:val="21"/>
          <w:szCs w:val="21"/>
        </w:rPr>
        <w:t xml:space="preserve">.1  </w:t>
      </w:r>
      <w:r>
        <w:rPr>
          <w:rFonts w:hint="eastAsia"/>
          <w:sz w:val="21"/>
          <w:szCs w:val="21"/>
        </w:rPr>
        <w:t>技术先进评价是绿色建造评价的一项核心内容，本条从电站选址、总平布置、各部位布局、可再生能源利用、设备选型、自动化程度等方面对太阳能发电工程进行技术评价，在注重技术先进的同时，对灵活性、可扩性、实用性、安全性和节能环保等方面提出了要求。</w:t>
      </w:r>
    </w:p>
    <w:p w14:paraId="016995C7">
      <w:pPr>
        <w:spacing w:before="120" w:beforeLines="50" w:after="240" w:afterLines="100"/>
        <w:jc w:val="center"/>
        <w:rPr>
          <w:rFonts w:hint="eastAsia"/>
          <w:sz w:val="21"/>
          <w:szCs w:val="21"/>
        </w:rPr>
      </w:pPr>
      <w:r>
        <w:rPr>
          <w:rFonts w:hint="eastAsia"/>
          <w:sz w:val="21"/>
          <w:szCs w:val="21"/>
        </w:rPr>
        <w:t xml:space="preserve">Ⅱ </w:t>
      </w:r>
      <w:r>
        <w:rPr>
          <w:sz w:val="21"/>
          <w:szCs w:val="21"/>
        </w:rPr>
        <w:t xml:space="preserve"> </w:t>
      </w:r>
      <w:r>
        <w:rPr>
          <w:rFonts w:hint="eastAsia"/>
          <w:sz w:val="21"/>
          <w:szCs w:val="21"/>
        </w:rPr>
        <w:t>资源节约</w:t>
      </w:r>
    </w:p>
    <w:p w14:paraId="4AA39516">
      <w:pPr>
        <w:rPr>
          <w:rFonts w:hint="eastAsia"/>
          <w:sz w:val="21"/>
          <w:szCs w:val="21"/>
        </w:rPr>
      </w:pPr>
      <w:r>
        <w:rPr>
          <w:rFonts w:hint="eastAsia"/>
          <w:sz w:val="21"/>
          <w:szCs w:val="21"/>
        </w:rPr>
        <w:t>5.4.2</w:t>
      </w:r>
      <w:r>
        <w:rPr>
          <w:sz w:val="21"/>
          <w:szCs w:val="21"/>
        </w:rPr>
        <w:t xml:space="preserve"> </w:t>
      </w:r>
      <w:r>
        <w:rPr>
          <w:rFonts w:hint="eastAsia"/>
          <w:sz w:val="21"/>
          <w:szCs w:val="21"/>
        </w:rPr>
        <w:t xml:space="preserve"> 资源节约评价主要从节能、节地、节水、节材方面进行评价，对电站的设计和工程施工过程提出具体要求。</w:t>
      </w:r>
    </w:p>
    <w:p w14:paraId="009B43C4">
      <w:pPr>
        <w:spacing w:before="120" w:beforeLines="50" w:after="240" w:afterLines="100"/>
        <w:jc w:val="center"/>
        <w:rPr>
          <w:rFonts w:hint="eastAsia"/>
          <w:sz w:val="21"/>
          <w:szCs w:val="21"/>
        </w:rPr>
      </w:pPr>
      <w:r>
        <w:rPr>
          <w:rFonts w:hint="eastAsia"/>
          <w:sz w:val="21"/>
          <w:szCs w:val="21"/>
        </w:rPr>
        <w:t xml:space="preserve">Ⅲ </w:t>
      </w:r>
      <w:r>
        <w:rPr>
          <w:sz w:val="21"/>
          <w:szCs w:val="21"/>
        </w:rPr>
        <w:t xml:space="preserve"> </w:t>
      </w:r>
      <w:r>
        <w:rPr>
          <w:rFonts w:hint="eastAsia"/>
          <w:sz w:val="21"/>
          <w:szCs w:val="21"/>
        </w:rPr>
        <w:t>生态环保</w:t>
      </w:r>
    </w:p>
    <w:p w14:paraId="5F835BD1">
      <w:pPr>
        <w:ind w:firstLine="420" w:firstLineChars="200"/>
        <w:rPr>
          <w:rFonts w:hint="eastAsia"/>
          <w:sz w:val="21"/>
          <w:szCs w:val="21"/>
        </w:rPr>
      </w:pPr>
      <w:r>
        <w:rPr>
          <w:sz w:val="21"/>
          <w:szCs w:val="21"/>
        </w:rPr>
        <w:t>5.</w:t>
      </w:r>
      <w:r>
        <w:rPr>
          <w:rFonts w:hint="eastAsia"/>
          <w:sz w:val="21"/>
          <w:szCs w:val="21"/>
        </w:rPr>
        <w:t>4</w:t>
      </w:r>
      <w:r>
        <w:rPr>
          <w:sz w:val="21"/>
          <w:szCs w:val="21"/>
        </w:rPr>
        <w:t>.3</w:t>
      </w:r>
      <w:r>
        <w:rPr>
          <w:rFonts w:hint="eastAsia"/>
          <w:sz w:val="21"/>
          <w:szCs w:val="21"/>
        </w:rPr>
        <w:t xml:space="preserve"> </w:t>
      </w:r>
      <w:r>
        <w:rPr>
          <w:sz w:val="21"/>
          <w:szCs w:val="21"/>
        </w:rPr>
        <w:t xml:space="preserve"> </w:t>
      </w:r>
      <w:r>
        <w:rPr>
          <w:rFonts w:hint="eastAsia"/>
          <w:sz w:val="21"/>
          <w:szCs w:val="21"/>
        </w:rPr>
        <w:t>生态环保评价主要从八个方面进行评价，值得重点说明的是，水上光伏施工容易对水体环境造成污染，因此提出相应要求；陆上牧光互补型光伏发电项目组件离地面的高度影响动物的迁徙，考虑到目前常见的光伏羊等应用场景，确定组件离地最小高度为1.2m；光热电站聚热区域温度较高，易灼烧鸟类，因此要求安装驱鸟装置。</w:t>
      </w:r>
    </w:p>
    <w:p w14:paraId="4D6641CF">
      <w:pPr>
        <w:spacing w:before="120" w:beforeLines="50" w:after="240" w:afterLines="100"/>
        <w:jc w:val="center"/>
        <w:rPr>
          <w:rFonts w:hint="eastAsia"/>
          <w:sz w:val="21"/>
          <w:szCs w:val="21"/>
        </w:rPr>
      </w:pPr>
      <w:r>
        <w:rPr>
          <w:rFonts w:hint="eastAsia"/>
          <w:sz w:val="21"/>
          <w:szCs w:val="21"/>
        </w:rPr>
        <w:t xml:space="preserve">Ⅳ </w:t>
      </w:r>
      <w:r>
        <w:rPr>
          <w:sz w:val="21"/>
          <w:szCs w:val="21"/>
        </w:rPr>
        <w:t xml:space="preserve"> </w:t>
      </w:r>
      <w:r>
        <w:rPr>
          <w:rFonts w:hint="eastAsia"/>
          <w:sz w:val="21"/>
          <w:szCs w:val="21"/>
        </w:rPr>
        <w:t>综合效益</w:t>
      </w:r>
    </w:p>
    <w:p w14:paraId="66F7822E">
      <w:pPr>
        <w:ind w:firstLine="420" w:firstLineChars="200"/>
        <w:rPr>
          <w:rFonts w:hint="eastAsia"/>
          <w:sz w:val="21"/>
          <w:szCs w:val="21"/>
        </w:rPr>
      </w:pPr>
      <w:r>
        <w:rPr>
          <w:sz w:val="21"/>
          <w:szCs w:val="21"/>
        </w:rPr>
        <w:t>5.</w:t>
      </w:r>
      <w:r>
        <w:rPr>
          <w:rFonts w:hint="eastAsia"/>
          <w:sz w:val="21"/>
          <w:szCs w:val="21"/>
        </w:rPr>
        <w:t>4</w:t>
      </w:r>
      <w:r>
        <w:rPr>
          <w:sz w:val="21"/>
          <w:szCs w:val="21"/>
        </w:rPr>
        <w:t>.4</w:t>
      </w:r>
      <w:r>
        <w:rPr>
          <w:rFonts w:hint="eastAsia"/>
          <w:sz w:val="21"/>
          <w:szCs w:val="21"/>
        </w:rPr>
        <w:t xml:space="preserve"> </w:t>
      </w:r>
      <w:r>
        <w:rPr>
          <w:sz w:val="21"/>
          <w:szCs w:val="21"/>
        </w:rPr>
        <w:t xml:space="preserve"> </w:t>
      </w:r>
      <w:r>
        <w:rPr>
          <w:rFonts w:hint="eastAsia"/>
          <w:sz w:val="21"/>
          <w:szCs w:val="21"/>
        </w:rPr>
        <w:t>综合效益评</w:t>
      </w:r>
      <w:r>
        <w:rPr>
          <w:sz w:val="21"/>
          <w:szCs w:val="21"/>
        </w:rPr>
        <w:t>价</w:t>
      </w:r>
      <w:r>
        <w:rPr>
          <w:rFonts w:hint="eastAsia"/>
          <w:sz w:val="21"/>
          <w:szCs w:val="21"/>
        </w:rPr>
        <w:t>主要从经济效益和社会效益两方面进行评价，太阳能光伏电站的投资不仅应获得相应的收益，还应在精准扶贫、乡村振兴、生态环保等方面发挥积极的社会效益</w:t>
      </w:r>
      <w:r>
        <w:rPr>
          <w:sz w:val="21"/>
          <w:szCs w:val="21"/>
        </w:rPr>
        <w:t>。</w:t>
      </w:r>
    </w:p>
    <w:p w14:paraId="404A12B3">
      <w:pPr>
        <w:spacing w:before="120" w:beforeLines="50" w:after="240" w:afterLines="100"/>
        <w:jc w:val="center"/>
        <w:rPr>
          <w:rFonts w:hint="eastAsia"/>
          <w:sz w:val="21"/>
          <w:szCs w:val="21"/>
        </w:rPr>
      </w:pPr>
      <w:bookmarkStart w:id="693" w:name="_Toc169276139"/>
      <w:r>
        <w:rPr>
          <w:rFonts w:hint="eastAsia"/>
          <w:sz w:val="21"/>
          <w:szCs w:val="21"/>
        </w:rPr>
        <w:t>Ⅴ  科技创新</w:t>
      </w:r>
    </w:p>
    <w:p w14:paraId="74BC3DC2">
      <w:pPr>
        <w:ind w:firstLine="420" w:firstLineChars="200"/>
        <w:rPr>
          <w:rFonts w:hint="eastAsia"/>
          <w:sz w:val="21"/>
          <w:szCs w:val="21"/>
        </w:rPr>
      </w:pPr>
      <w:r>
        <w:rPr>
          <w:rFonts w:hint="eastAsia"/>
          <w:sz w:val="21"/>
          <w:szCs w:val="21"/>
        </w:rPr>
        <w:t>5.4.5</w:t>
      </w:r>
      <w:bookmarkEnd w:id="693"/>
      <w:r>
        <w:rPr>
          <w:rFonts w:hint="eastAsia"/>
          <w:sz w:val="21"/>
          <w:szCs w:val="21"/>
        </w:rPr>
        <w:t xml:space="preserve"> </w:t>
      </w:r>
      <w:r>
        <w:rPr>
          <w:sz w:val="21"/>
          <w:szCs w:val="21"/>
        </w:rPr>
        <w:t xml:space="preserve"> </w:t>
      </w:r>
      <w:r>
        <w:rPr>
          <w:rFonts w:hint="eastAsia"/>
          <w:sz w:val="21"/>
          <w:szCs w:val="21"/>
        </w:rPr>
        <w:t>科技创新评价主要从已有科技创新成果的应用和自主创新形成的成果两方面进行评价，对于推动科技创新工作和太阳能发电工程建造技术进步十分必要，加快形成具有自主知识产权的原创性成果，推动新质生产力发展。</w:t>
      </w:r>
    </w:p>
    <w:p w14:paraId="749A286B">
      <w:pPr>
        <w:spacing w:before="120" w:beforeLines="50" w:after="120" w:afterLines="50"/>
        <w:jc w:val="center"/>
        <w:outlineLvl w:val="1"/>
        <w:rPr>
          <w:rFonts w:hint="eastAsia"/>
          <w:sz w:val="21"/>
          <w:szCs w:val="21"/>
        </w:rPr>
      </w:pPr>
      <w:bookmarkStart w:id="694" w:name="_Toc25644"/>
      <w:bookmarkStart w:id="695" w:name="_Toc20278"/>
      <w:r>
        <w:rPr>
          <w:sz w:val="21"/>
          <w:szCs w:val="21"/>
        </w:rPr>
        <w:t>5.5  输变电工程</w:t>
      </w:r>
      <w:bookmarkEnd w:id="694"/>
      <w:bookmarkEnd w:id="695"/>
    </w:p>
    <w:p w14:paraId="590D9545">
      <w:pPr>
        <w:spacing w:before="120" w:beforeLines="50" w:after="240" w:afterLines="100"/>
        <w:jc w:val="center"/>
        <w:rPr>
          <w:rFonts w:hint="eastAsia"/>
          <w:sz w:val="21"/>
          <w:szCs w:val="21"/>
        </w:rPr>
      </w:pPr>
      <w:r>
        <w:rPr>
          <w:rFonts w:hint="eastAsia"/>
          <w:sz w:val="21"/>
          <w:szCs w:val="21"/>
        </w:rPr>
        <w:t xml:space="preserve">Ⅰ </w:t>
      </w:r>
      <w:r>
        <w:rPr>
          <w:sz w:val="21"/>
          <w:szCs w:val="21"/>
        </w:rPr>
        <w:t xml:space="preserve"> </w:t>
      </w:r>
      <w:r>
        <w:rPr>
          <w:rFonts w:hint="eastAsia"/>
          <w:sz w:val="21"/>
          <w:szCs w:val="21"/>
        </w:rPr>
        <w:t>技术先进</w:t>
      </w:r>
    </w:p>
    <w:p w14:paraId="79245067">
      <w:pPr>
        <w:outlineLvl w:val="2"/>
        <w:rPr>
          <w:rFonts w:hint="eastAsia"/>
          <w:sz w:val="21"/>
          <w:szCs w:val="21"/>
        </w:rPr>
      </w:pPr>
      <w:bookmarkStart w:id="696" w:name="_Toc14877"/>
      <w:r>
        <w:rPr>
          <w:rFonts w:hint="eastAsia"/>
          <w:sz w:val="21"/>
          <w:szCs w:val="21"/>
        </w:rPr>
        <w:t>5.</w:t>
      </w:r>
      <w:r>
        <w:rPr>
          <w:sz w:val="21"/>
          <w:szCs w:val="21"/>
        </w:rPr>
        <w:t>5</w:t>
      </w:r>
      <w:r>
        <w:rPr>
          <w:rFonts w:hint="eastAsia"/>
          <w:sz w:val="21"/>
          <w:szCs w:val="21"/>
        </w:rPr>
        <w:t>.</w:t>
      </w:r>
      <w:r>
        <w:rPr>
          <w:sz w:val="21"/>
          <w:szCs w:val="21"/>
        </w:rPr>
        <w:t>1</w:t>
      </w:r>
      <w:bookmarkEnd w:id="696"/>
    </w:p>
    <w:p w14:paraId="012D858B">
      <w:pPr>
        <w:ind w:firstLine="420" w:firstLineChars="200"/>
        <w:rPr>
          <w:rFonts w:hint="eastAsia"/>
          <w:sz w:val="21"/>
          <w:szCs w:val="21"/>
        </w:rPr>
      </w:pPr>
      <w:r>
        <w:rPr>
          <w:rFonts w:hint="eastAsia"/>
          <w:sz w:val="21"/>
          <w:szCs w:val="21"/>
        </w:rPr>
        <w:t xml:space="preserve">1 </w:t>
      </w:r>
      <w:r>
        <w:rPr>
          <w:sz w:val="21"/>
          <w:szCs w:val="21"/>
        </w:rPr>
        <w:t xml:space="preserve"> 本条主要是对</w:t>
      </w:r>
      <w:r>
        <w:rPr>
          <w:rFonts w:hint="eastAsia"/>
          <w:sz w:val="21"/>
          <w:szCs w:val="21"/>
        </w:rPr>
        <w:t>其他章节</w:t>
      </w:r>
      <w:r>
        <w:rPr>
          <w:sz w:val="21"/>
          <w:szCs w:val="21"/>
        </w:rPr>
        <w:t>未提及的其他技</w:t>
      </w:r>
      <w:r>
        <w:rPr>
          <w:rFonts w:hint="eastAsia"/>
          <w:sz w:val="21"/>
          <w:szCs w:val="21"/>
        </w:rPr>
        <w:t>术和管理创新进行要求。目的是鼓励和引导项目采用不在本标准所列的绿色评价指标范围内，但在保护自然资源和生态环境、节约资源、减少环境污染、智能化系统建设等方面实现良好性能提升的创新技术和措施，例如采用能量回收技术、蓄冷蓄热技术、天然供冷技术等等。</w:t>
      </w:r>
    </w:p>
    <w:p w14:paraId="4A68DE5E">
      <w:pPr>
        <w:ind w:firstLine="420" w:firstLineChars="200"/>
        <w:rPr>
          <w:rFonts w:hint="eastAsia"/>
          <w:sz w:val="21"/>
          <w:szCs w:val="21"/>
        </w:rPr>
      </w:pPr>
      <w:r>
        <w:rPr>
          <w:rFonts w:hint="eastAsia"/>
          <w:sz w:val="21"/>
          <w:szCs w:val="21"/>
        </w:rPr>
        <w:t>2</w:t>
      </w:r>
      <w:r>
        <w:rPr>
          <w:sz w:val="21"/>
          <w:szCs w:val="21"/>
        </w:rPr>
        <w:t xml:space="preserve"> </w:t>
      </w:r>
      <w:r>
        <w:rPr>
          <w:rFonts w:hint="eastAsia"/>
          <w:sz w:val="21"/>
          <w:szCs w:val="21"/>
        </w:rPr>
        <w:t xml:space="preserve"> </w:t>
      </w:r>
      <w:r>
        <w:rPr>
          <w:sz w:val="21"/>
          <w:szCs w:val="21"/>
        </w:rPr>
        <w:t>电气设备的节能选型</w:t>
      </w:r>
      <w:r>
        <w:rPr>
          <w:rFonts w:hint="eastAsia"/>
          <w:sz w:val="21"/>
          <w:szCs w:val="21"/>
        </w:rPr>
        <w:t>及可靠性，对于项目的运行与能效起着关键性作用，本条文对电气设备选型进行要求。</w:t>
      </w:r>
    </w:p>
    <w:p w14:paraId="342790D2">
      <w:pPr>
        <w:ind w:firstLine="420" w:firstLineChars="200"/>
        <w:rPr>
          <w:rFonts w:hint="eastAsia"/>
          <w:sz w:val="21"/>
          <w:szCs w:val="21"/>
        </w:rPr>
      </w:pPr>
      <w:r>
        <w:rPr>
          <w:rFonts w:hint="eastAsia"/>
          <w:sz w:val="21"/>
          <w:szCs w:val="21"/>
        </w:rPr>
        <w:t>3</w:t>
      </w:r>
      <w:r>
        <w:rPr>
          <w:sz w:val="21"/>
          <w:szCs w:val="21"/>
        </w:rPr>
        <w:t xml:space="preserve"> 条主要评估</w:t>
      </w:r>
      <w:r>
        <w:rPr>
          <w:rFonts w:hint="eastAsia"/>
          <w:sz w:val="21"/>
          <w:szCs w:val="21"/>
        </w:rPr>
        <w:t>项目</w:t>
      </w:r>
      <w:r>
        <w:rPr>
          <w:sz w:val="21"/>
          <w:szCs w:val="21"/>
        </w:rPr>
        <w:t>智能环境设备监控</w:t>
      </w:r>
      <w:r>
        <w:rPr>
          <w:rFonts w:hint="eastAsia"/>
          <w:sz w:val="21"/>
          <w:szCs w:val="21"/>
        </w:rPr>
        <w:t>及控制</w:t>
      </w:r>
      <w:r>
        <w:rPr>
          <w:sz w:val="21"/>
          <w:szCs w:val="21"/>
        </w:rPr>
        <w:t>系统，包括</w:t>
      </w:r>
      <w:r>
        <w:rPr>
          <w:rFonts w:hint="eastAsia"/>
          <w:sz w:val="21"/>
          <w:szCs w:val="21"/>
        </w:rPr>
        <w:t xml:space="preserve">设备状态检测、照明控制、环境监测以及暖通控制等功能。 </w:t>
      </w:r>
    </w:p>
    <w:p w14:paraId="6CEB90F8">
      <w:pPr>
        <w:ind w:firstLine="420" w:firstLineChars="200"/>
        <w:rPr>
          <w:rFonts w:hint="eastAsia"/>
          <w:sz w:val="21"/>
          <w:szCs w:val="21"/>
        </w:rPr>
      </w:pPr>
      <w:r>
        <w:rPr>
          <w:rFonts w:hint="eastAsia"/>
          <w:sz w:val="21"/>
          <w:szCs w:val="21"/>
        </w:rPr>
        <w:t>5</w:t>
      </w:r>
      <w:r>
        <w:rPr>
          <w:sz w:val="21"/>
          <w:szCs w:val="21"/>
        </w:rPr>
        <w:t xml:space="preserve">  建筑信息模型(BIM)是建</w:t>
      </w:r>
      <w:r>
        <w:rPr>
          <w:rFonts w:hint="eastAsia"/>
          <w:sz w:val="21"/>
          <w:szCs w:val="21"/>
        </w:rPr>
        <w:t>筑业信息化的重要支撑技术。BIM 是在 CAD 技术基础上发展起来的多维模型信息集成技术。</w:t>
      </w:r>
    </w:p>
    <w:p w14:paraId="24255B47">
      <w:pPr>
        <w:ind w:firstLine="420" w:firstLineChars="200"/>
        <w:rPr>
          <w:rFonts w:hint="eastAsia"/>
          <w:sz w:val="21"/>
          <w:szCs w:val="21"/>
        </w:rPr>
      </w:pPr>
      <w:r>
        <w:rPr>
          <w:rFonts w:hint="eastAsia"/>
          <w:sz w:val="21"/>
          <w:szCs w:val="21"/>
        </w:rPr>
        <w:t xml:space="preserve">BIM 是集成了建筑工程项目各种相关信息的工程数据模型，能使设计 </w:t>
      </w:r>
    </w:p>
    <w:p w14:paraId="482B7CE6">
      <w:pPr>
        <w:ind w:firstLine="420" w:firstLineChars="200"/>
        <w:rPr>
          <w:rFonts w:hint="eastAsia"/>
          <w:sz w:val="21"/>
          <w:szCs w:val="21"/>
        </w:rPr>
      </w:pPr>
      <w:r>
        <w:rPr>
          <w:rFonts w:hint="eastAsia"/>
          <w:sz w:val="21"/>
          <w:szCs w:val="21"/>
        </w:rPr>
        <w:t xml:space="preserve">人员和工程人员能够对各种建筑信息做出正确的应对，实现数据共享并协同工作。 </w:t>
      </w:r>
    </w:p>
    <w:p w14:paraId="47634FAF">
      <w:pPr>
        <w:ind w:firstLine="420" w:firstLineChars="200"/>
        <w:rPr>
          <w:rFonts w:hint="eastAsia"/>
          <w:sz w:val="21"/>
          <w:szCs w:val="21"/>
        </w:rPr>
      </w:pPr>
      <w:r>
        <w:rPr>
          <w:rFonts w:hint="eastAsia"/>
          <w:sz w:val="21"/>
          <w:szCs w:val="21"/>
        </w:rPr>
        <w:t xml:space="preserve">BIM 技术支持建筑工程全寿命期的信息管理和利用。在建筑工程建设的各阶 </w:t>
      </w:r>
    </w:p>
    <w:p w14:paraId="47F4B508">
      <w:pPr>
        <w:ind w:firstLine="420" w:firstLineChars="200"/>
        <w:rPr>
          <w:rFonts w:hint="eastAsia"/>
          <w:sz w:val="21"/>
          <w:szCs w:val="21"/>
        </w:rPr>
      </w:pPr>
      <w:r>
        <w:rPr>
          <w:rFonts w:hint="eastAsia"/>
          <w:sz w:val="21"/>
          <w:szCs w:val="21"/>
        </w:rPr>
        <w:t xml:space="preserve">段支持基于 BIM 的数据交换和共享，可以极大地提升建筑工程信息化整体水平， </w:t>
      </w:r>
    </w:p>
    <w:p w14:paraId="11D1C030">
      <w:pPr>
        <w:ind w:firstLine="420" w:firstLineChars="200"/>
        <w:rPr>
          <w:rFonts w:hint="eastAsia"/>
          <w:sz w:val="21"/>
          <w:szCs w:val="21"/>
        </w:rPr>
      </w:pPr>
      <w:r>
        <w:rPr>
          <w:rFonts w:hint="eastAsia"/>
          <w:sz w:val="21"/>
          <w:szCs w:val="21"/>
        </w:rPr>
        <w:t xml:space="preserve">工程建设各阶段、各专业之间的协作配合可以在更高层次上充分利用各自资源， </w:t>
      </w:r>
    </w:p>
    <w:p w14:paraId="36C6A178">
      <w:pPr>
        <w:ind w:firstLine="420" w:firstLineChars="200"/>
        <w:rPr>
          <w:rFonts w:hint="eastAsia"/>
          <w:sz w:val="21"/>
          <w:szCs w:val="21"/>
        </w:rPr>
      </w:pPr>
      <w:r>
        <w:rPr>
          <w:rFonts w:hint="eastAsia"/>
          <w:sz w:val="21"/>
          <w:szCs w:val="21"/>
        </w:rPr>
        <w:t xml:space="preserve">有效地避免由于数据不通畅带来的重复性劳动，大大提高整个工程的质量和效率， </w:t>
      </w:r>
    </w:p>
    <w:p w14:paraId="7D2D3CA0">
      <w:pPr>
        <w:ind w:firstLine="420" w:firstLineChars="200"/>
        <w:rPr>
          <w:rFonts w:hint="eastAsia"/>
          <w:sz w:val="21"/>
          <w:szCs w:val="21"/>
        </w:rPr>
      </w:pPr>
      <w:r>
        <w:rPr>
          <w:rFonts w:hint="eastAsia"/>
          <w:sz w:val="21"/>
          <w:szCs w:val="21"/>
        </w:rPr>
        <w:t>并显著降低成本。</w:t>
      </w:r>
    </w:p>
    <w:p w14:paraId="4B7BC3A1">
      <w:pPr>
        <w:ind w:firstLine="420" w:firstLineChars="200"/>
        <w:rPr>
          <w:rFonts w:hint="eastAsia"/>
          <w:sz w:val="21"/>
          <w:szCs w:val="21"/>
        </w:rPr>
      </w:pPr>
      <w:r>
        <w:rPr>
          <w:rFonts w:hint="eastAsia"/>
          <w:sz w:val="21"/>
          <w:szCs w:val="21"/>
        </w:rPr>
        <w:t>6</w:t>
      </w:r>
      <w:r>
        <w:rPr>
          <w:sz w:val="21"/>
          <w:szCs w:val="21"/>
        </w:rPr>
        <w:t xml:space="preserve">  </w:t>
      </w:r>
      <w:r>
        <w:rPr>
          <w:rFonts w:hint="eastAsia"/>
          <w:sz w:val="21"/>
          <w:szCs w:val="21"/>
        </w:rPr>
        <w:t>变电站（换流站）</w:t>
      </w:r>
      <w:r>
        <w:rPr>
          <w:sz w:val="21"/>
          <w:szCs w:val="21"/>
        </w:rPr>
        <w:t>总平面设计的原则是综合考虑</w:t>
      </w:r>
      <w:r>
        <w:rPr>
          <w:rFonts w:hint="eastAsia"/>
          <w:sz w:val="21"/>
          <w:szCs w:val="21"/>
        </w:rPr>
        <w:t>工艺要求、</w:t>
      </w:r>
      <w:r>
        <w:rPr>
          <w:sz w:val="21"/>
          <w:szCs w:val="21"/>
        </w:rPr>
        <w:t>基地容积率、限高、绿化率、交通等功能</w:t>
      </w:r>
      <w:r>
        <w:rPr>
          <w:rFonts w:hint="eastAsia"/>
          <w:sz w:val="21"/>
          <w:szCs w:val="21"/>
        </w:rPr>
        <w:t>因素基础上，优化功能布局、体形、朝向。</w:t>
      </w:r>
    </w:p>
    <w:p w14:paraId="660CDAEB">
      <w:pPr>
        <w:ind w:firstLine="420" w:firstLineChars="200"/>
        <w:rPr>
          <w:rFonts w:hint="eastAsia"/>
          <w:sz w:val="21"/>
          <w:szCs w:val="21"/>
        </w:rPr>
      </w:pPr>
      <w:r>
        <w:rPr>
          <w:rFonts w:hint="eastAsia"/>
          <w:sz w:val="21"/>
          <w:szCs w:val="21"/>
        </w:rPr>
        <w:t>7</w:t>
      </w:r>
      <w:r>
        <w:rPr>
          <w:sz w:val="21"/>
          <w:szCs w:val="21"/>
        </w:rPr>
        <w:t xml:space="preserve">  </w:t>
      </w:r>
      <w:r>
        <w:rPr>
          <w:rFonts w:hint="eastAsia"/>
          <w:sz w:val="21"/>
          <w:szCs w:val="21"/>
        </w:rPr>
        <w:t>变电站（换流站）空间布局</w:t>
      </w:r>
      <w:r>
        <w:rPr>
          <w:sz w:val="21"/>
          <w:szCs w:val="21"/>
        </w:rPr>
        <w:t>的原则是</w:t>
      </w:r>
      <w:r>
        <w:rPr>
          <w:rFonts w:hint="eastAsia"/>
          <w:sz w:val="21"/>
          <w:szCs w:val="21"/>
        </w:rPr>
        <w:t>满足工艺要求基础上，综合考虑设计接线、设备运输、值守运维人员便捷程度等因素，优化设备布置与建筑物内空间布局。</w:t>
      </w:r>
    </w:p>
    <w:p w14:paraId="163744A3">
      <w:pPr>
        <w:ind w:firstLine="420" w:firstLineChars="200"/>
        <w:rPr>
          <w:rFonts w:hint="eastAsia"/>
          <w:sz w:val="21"/>
          <w:szCs w:val="21"/>
        </w:rPr>
      </w:pPr>
      <w:r>
        <w:rPr>
          <w:rFonts w:hint="eastAsia"/>
          <w:sz w:val="21"/>
          <w:szCs w:val="21"/>
        </w:rPr>
        <w:t>9</w:t>
      </w:r>
      <w:r>
        <w:rPr>
          <w:sz w:val="21"/>
          <w:szCs w:val="21"/>
        </w:rPr>
        <w:t xml:space="preserve">  </w:t>
      </w:r>
      <w:r>
        <w:rPr>
          <w:rFonts w:hint="eastAsia"/>
          <w:sz w:val="21"/>
          <w:szCs w:val="21"/>
        </w:rPr>
        <w:t>地基处理方案选取原则为经济合理，减少对环境的污染。优先选用工厂化预制的桩型；当采用灌注桩时，宜考虑采用长螺旋钻孔压灌桩技术等。当采用桩基、强夯或复合地基处理时，变电站地基处理宜一次性建设。</w:t>
      </w:r>
    </w:p>
    <w:p w14:paraId="6150DDD5">
      <w:pPr>
        <w:ind w:firstLine="420" w:firstLineChars="200"/>
        <w:rPr>
          <w:rFonts w:hint="eastAsia"/>
          <w:sz w:val="21"/>
          <w:szCs w:val="21"/>
        </w:rPr>
      </w:pPr>
      <w:r>
        <w:rPr>
          <w:rFonts w:hint="eastAsia"/>
          <w:sz w:val="21"/>
          <w:szCs w:val="21"/>
        </w:rPr>
        <w:t>结构体系选取原则为综合考虑安全耐久、节能减排、易于建造等因素，根据结构设计工作年限、结构安全等级和抗震设防烈度等要求，优先采用工厂加工、现场组装的装配式结构体系。</w:t>
      </w:r>
    </w:p>
    <w:p w14:paraId="765B0C31">
      <w:pPr>
        <w:ind w:firstLine="420" w:firstLineChars="200"/>
        <w:rPr>
          <w:rFonts w:hint="eastAsia"/>
          <w:sz w:val="21"/>
          <w:szCs w:val="21"/>
        </w:rPr>
      </w:pPr>
      <w:r>
        <w:rPr>
          <w:rFonts w:hint="eastAsia"/>
          <w:sz w:val="21"/>
          <w:szCs w:val="21"/>
        </w:rPr>
        <w:t xml:space="preserve">11 </w:t>
      </w:r>
      <w:r>
        <w:rPr>
          <w:sz w:val="21"/>
          <w:szCs w:val="21"/>
        </w:rPr>
        <w:t xml:space="preserve"> </w:t>
      </w:r>
      <w:r>
        <w:rPr>
          <w:rFonts w:hint="eastAsia"/>
          <w:sz w:val="21"/>
          <w:szCs w:val="21"/>
        </w:rPr>
        <w:t>输电线路的防雷设计原则为根据线路电压、负荷性质和系统运行方式，结合当地线路的运行经验、地区雷电活动强弱、地形地貌特点及土壤电阻率高低等情况，计算耐雷水平并通过技术经济比较，采用合理的防雷方式。</w:t>
      </w:r>
    </w:p>
    <w:p w14:paraId="1DEFAF83">
      <w:pPr>
        <w:ind w:firstLine="420" w:firstLineChars="200"/>
        <w:rPr>
          <w:rFonts w:hint="eastAsia"/>
          <w:sz w:val="21"/>
          <w:szCs w:val="21"/>
        </w:rPr>
      </w:pPr>
      <w:r>
        <w:rPr>
          <w:rFonts w:hint="eastAsia"/>
          <w:sz w:val="21"/>
          <w:szCs w:val="21"/>
        </w:rPr>
        <w:t>引用自Q/GDW 10716—2022 《架空输电线路电流融冰技术导则》第5.2.1条，对于新建 500kV（750kV、330kV）交流输电线路，以抗为主、融为辅，尽量满足规定的重现期设计冰厚要求，难以达到时，应配置融冰装置。第5.6.1条，对于新建 220kV 交流输电线路，应结合附近线路覆冰情况，可配置融冰装置。</w:t>
      </w:r>
    </w:p>
    <w:p w14:paraId="0F2CE3DF">
      <w:pPr>
        <w:ind w:firstLine="420" w:firstLineChars="200"/>
        <w:rPr>
          <w:rFonts w:hint="eastAsia"/>
          <w:sz w:val="21"/>
          <w:szCs w:val="21"/>
        </w:rPr>
      </w:pPr>
      <w:r>
        <w:rPr>
          <w:rFonts w:hint="eastAsia"/>
          <w:sz w:val="21"/>
          <w:szCs w:val="21"/>
        </w:rPr>
        <w:t xml:space="preserve">12 </w:t>
      </w:r>
      <w:r>
        <w:rPr>
          <w:sz w:val="21"/>
          <w:szCs w:val="21"/>
        </w:rPr>
        <w:t xml:space="preserve"> </w:t>
      </w:r>
      <w:r>
        <w:rPr>
          <w:rFonts w:hint="eastAsia"/>
          <w:sz w:val="21"/>
          <w:szCs w:val="21"/>
        </w:rPr>
        <w:t>电缆路径设计原则是综合考虑路径长度、环境保护、水土保持、施工便捷、运行可靠和维护方便等因素，统筹兼顾，做到技术可行、安全适用、环境友好、经济合理。</w:t>
      </w:r>
    </w:p>
    <w:p w14:paraId="482EAD17">
      <w:pPr>
        <w:spacing w:before="120" w:beforeLines="50" w:after="240" w:afterLines="100"/>
        <w:jc w:val="center"/>
        <w:rPr>
          <w:rFonts w:hint="eastAsia"/>
          <w:sz w:val="21"/>
          <w:szCs w:val="21"/>
        </w:rPr>
      </w:pPr>
      <w:r>
        <w:rPr>
          <w:rFonts w:hint="eastAsia"/>
          <w:sz w:val="21"/>
          <w:szCs w:val="21"/>
        </w:rPr>
        <w:t>Ⅱ</w:t>
      </w:r>
      <w:r>
        <w:rPr>
          <w:sz w:val="21"/>
          <w:szCs w:val="21"/>
        </w:rPr>
        <w:t xml:space="preserve">  </w:t>
      </w:r>
      <w:r>
        <w:rPr>
          <w:rFonts w:hint="eastAsia"/>
          <w:sz w:val="21"/>
          <w:szCs w:val="21"/>
        </w:rPr>
        <w:t>资源节约</w:t>
      </w:r>
    </w:p>
    <w:p w14:paraId="41B32558">
      <w:pPr>
        <w:rPr>
          <w:rFonts w:hint="eastAsia"/>
          <w:sz w:val="21"/>
          <w:szCs w:val="21"/>
        </w:rPr>
      </w:pPr>
      <w:r>
        <w:rPr>
          <w:rFonts w:hint="eastAsia"/>
          <w:sz w:val="21"/>
          <w:szCs w:val="21"/>
        </w:rPr>
        <w:t>5.</w:t>
      </w:r>
      <w:r>
        <w:rPr>
          <w:sz w:val="21"/>
          <w:szCs w:val="21"/>
        </w:rPr>
        <w:t>5</w:t>
      </w:r>
      <w:r>
        <w:rPr>
          <w:rFonts w:hint="eastAsia"/>
          <w:sz w:val="21"/>
          <w:szCs w:val="21"/>
        </w:rPr>
        <w:t>.</w:t>
      </w:r>
      <w:r>
        <w:rPr>
          <w:sz w:val="21"/>
          <w:szCs w:val="21"/>
        </w:rPr>
        <w:t>2</w:t>
      </w:r>
    </w:p>
    <w:p w14:paraId="10AC8095">
      <w:pPr>
        <w:ind w:firstLine="420" w:firstLineChars="200"/>
        <w:rPr>
          <w:rFonts w:hint="eastAsia"/>
          <w:sz w:val="21"/>
          <w:szCs w:val="21"/>
        </w:rPr>
      </w:pPr>
      <w:r>
        <w:rPr>
          <w:rFonts w:hint="eastAsia"/>
          <w:sz w:val="21"/>
          <w:szCs w:val="21"/>
        </w:rPr>
        <w:t>1</w:t>
      </w:r>
      <w:r>
        <w:rPr>
          <w:sz w:val="21"/>
          <w:szCs w:val="21"/>
        </w:rPr>
        <w:t xml:space="preserve">  </w:t>
      </w:r>
      <w:r>
        <w:rPr>
          <w:rFonts w:hint="eastAsia"/>
          <w:sz w:val="21"/>
          <w:szCs w:val="21"/>
        </w:rPr>
        <w:t>用地指标是控制项目节地的关键性指标，要求优于已有规定的指标值。</w:t>
      </w:r>
    </w:p>
    <w:p w14:paraId="44CD7EEA">
      <w:pPr>
        <w:ind w:firstLine="420" w:firstLineChars="200"/>
        <w:rPr>
          <w:rFonts w:hint="eastAsia"/>
          <w:sz w:val="21"/>
          <w:szCs w:val="21"/>
        </w:rPr>
      </w:pPr>
      <w:r>
        <w:rPr>
          <w:rFonts w:hint="eastAsia"/>
          <w:sz w:val="21"/>
          <w:szCs w:val="21"/>
        </w:rPr>
        <w:t>2</w:t>
      </w:r>
      <w:r>
        <w:rPr>
          <w:sz w:val="21"/>
          <w:szCs w:val="21"/>
        </w:rPr>
        <w:t xml:space="preserve">  </w:t>
      </w:r>
      <w:r>
        <w:rPr>
          <w:rFonts w:hint="eastAsia"/>
          <w:sz w:val="21"/>
          <w:szCs w:val="21"/>
        </w:rPr>
        <w:t>能源利用效率是控制项目节能的关键性指标，要求应用节能型设备。</w:t>
      </w:r>
    </w:p>
    <w:p w14:paraId="1A8AA5FC">
      <w:pPr>
        <w:ind w:firstLine="420" w:firstLineChars="200"/>
        <w:rPr>
          <w:rFonts w:hint="eastAsia"/>
          <w:sz w:val="21"/>
          <w:szCs w:val="21"/>
        </w:rPr>
      </w:pPr>
      <w:r>
        <w:rPr>
          <w:rFonts w:hint="eastAsia"/>
          <w:sz w:val="21"/>
          <w:szCs w:val="21"/>
        </w:rPr>
        <w:t>3</w:t>
      </w:r>
      <w:r>
        <w:rPr>
          <w:sz w:val="21"/>
          <w:szCs w:val="21"/>
        </w:rPr>
        <w:t xml:space="preserve">  </w:t>
      </w:r>
      <w:r>
        <w:rPr>
          <w:rFonts w:hint="eastAsia"/>
          <w:sz w:val="21"/>
          <w:szCs w:val="21"/>
        </w:rPr>
        <w:t>优先选用指强度钢筋、高强度混凝土、预应力混凝土楼板、预制构件应用混凝土、高强钢材在内的绿色建材，以实现项目节材。</w:t>
      </w:r>
    </w:p>
    <w:p w14:paraId="540E7941">
      <w:pPr>
        <w:ind w:firstLine="420" w:firstLineChars="200"/>
        <w:outlineLvl w:val="2"/>
        <w:rPr>
          <w:rFonts w:hint="eastAsia"/>
          <w:sz w:val="21"/>
          <w:szCs w:val="21"/>
        </w:rPr>
      </w:pPr>
      <w:bookmarkStart w:id="697" w:name="_Toc32191"/>
      <w:r>
        <w:rPr>
          <w:rFonts w:hint="eastAsia"/>
          <w:sz w:val="21"/>
          <w:szCs w:val="21"/>
        </w:rPr>
        <w:t>4</w:t>
      </w:r>
      <w:r>
        <w:rPr>
          <w:sz w:val="21"/>
          <w:szCs w:val="21"/>
        </w:rPr>
        <w:t xml:space="preserve">  </w:t>
      </w:r>
      <w:r>
        <w:rPr>
          <w:rFonts w:hint="eastAsia"/>
          <w:sz w:val="21"/>
          <w:szCs w:val="21"/>
        </w:rPr>
        <w:t>要求项目材料消耗量领先国内同类工程。</w:t>
      </w:r>
      <w:bookmarkEnd w:id="697"/>
    </w:p>
    <w:p w14:paraId="4A4EA21B">
      <w:pPr>
        <w:ind w:firstLine="420" w:firstLineChars="200"/>
        <w:rPr>
          <w:rFonts w:hint="eastAsia"/>
          <w:sz w:val="21"/>
          <w:szCs w:val="21"/>
        </w:rPr>
      </w:pPr>
      <w:r>
        <w:rPr>
          <w:rFonts w:hint="eastAsia"/>
          <w:sz w:val="21"/>
          <w:szCs w:val="21"/>
        </w:rPr>
        <w:t xml:space="preserve">5 </w:t>
      </w:r>
      <w:r>
        <w:rPr>
          <w:sz w:val="21"/>
          <w:szCs w:val="21"/>
        </w:rPr>
        <w:t xml:space="preserve"> </w:t>
      </w:r>
      <w:r>
        <w:rPr>
          <w:rFonts w:hint="eastAsia"/>
          <w:sz w:val="21"/>
          <w:szCs w:val="21"/>
        </w:rPr>
        <w:t>参照GB 20052《电力变压器能效限定值及能效等级》第5.2条变压器能效限定值。</w:t>
      </w:r>
    </w:p>
    <w:p w14:paraId="45ADCA70">
      <w:pPr>
        <w:ind w:firstLine="420" w:firstLineChars="200"/>
        <w:rPr>
          <w:rFonts w:hint="eastAsia"/>
          <w:sz w:val="21"/>
          <w:szCs w:val="21"/>
        </w:rPr>
      </w:pPr>
      <w:r>
        <w:rPr>
          <w:rFonts w:hint="eastAsia"/>
          <w:sz w:val="21"/>
          <w:szCs w:val="21"/>
        </w:rPr>
        <w:t xml:space="preserve">6 </w:t>
      </w:r>
      <w:r>
        <w:rPr>
          <w:sz w:val="21"/>
          <w:szCs w:val="21"/>
        </w:rPr>
        <w:t xml:space="preserve"> </w:t>
      </w:r>
      <w:r>
        <w:rPr>
          <w:rFonts w:hint="eastAsia"/>
          <w:sz w:val="21"/>
          <w:szCs w:val="21"/>
        </w:rPr>
        <w:t>参照GB 50034《建筑照明设计标准》和DL/T 5390《发电厂和变电站照明设计技术规定》中的2级能效标准。</w:t>
      </w:r>
    </w:p>
    <w:p w14:paraId="373C025B">
      <w:pPr>
        <w:ind w:firstLine="420" w:firstLineChars="200"/>
        <w:rPr>
          <w:rFonts w:hint="eastAsia"/>
          <w:sz w:val="21"/>
          <w:szCs w:val="21"/>
        </w:rPr>
      </w:pPr>
      <w:r>
        <w:rPr>
          <w:rFonts w:hint="eastAsia"/>
          <w:sz w:val="21"/>
          <w:szCs w:val="21"/>
        </w:rPr>
        <w:t xml:space="preserve">7 </w:t>
      </w:r>
      <w:r>
        <w:rPr>
          <w:sz w:val="21"/>
          <w:szCs w:val="21"/>
        </w:rPr>
        <w:t xml:space="preserve"> </w:t>
      </w:r>
      <w:r>
        <w:rPr>
          <w:rFonts w:hint="eastAsia"/>
          <w:sz w:val="21"/>
          <w:szCs w:val="21"/>
        </w:rPr>
        <w:t>变电站（换流站）</w:t>
      </w:r>
      <w:r>
        <w:rPr>
          <w:sz w:val="21"/>
          <w:szCs w:val="21"/>
        </w:rPr>
        <w:t>建筑的热</w:t>
      </w:r>
      <w:r>
        <w:rPr>
          <w:rFonts w:hint="eastAsia"/>
          <w:sz w:val="21"/>
          <w:szCs w:val="21"/>
        </w:rPr>
        <w:t>工设计与地区气候相适应，保证室内基本的热环境要求。建筑热工设计主要包括建筑物及其围护结构的保温、防热和防潮设计。</w:t>
      </w:r>
    </w:p>
    <w:p w14:paraId="14332478">
      <w:pPr>
        <w:ind w:firstLine="420" w:firstLineChars="200"/>
        <w:rPr>
          <w:rFonts w:hint="eastAsia"/>
          <w:sz w:val="21"/>
          <w:szCs w:val="21"/>
        </w:rPr>
      </w:pPr>
      <w:r>
        <w:rPr>
          <w:rFonts w:hint="eastAsia"/>
          <w:sz w:val="21"/>
          <w:szCs w:val="21"/>
        </w:rPr>
        <w:t xml:space="preserve">8 </w:t>
      </w:r>
      <w:r>
        <w:rPr>
          <w:sz w:val="21"/>
          <w:szCs w:val="21"/>
        </w:rPr>
        <w:t xml:space="preserve"> </w:t>
      </w:r>
      <w:r>
        <w:rPr>
          <w:rFonts w:hint="eastAsia"/>
          <w:sz w:val="21"/>
          <w:szCs w:val="21"/>
        </w:rPr>
        <w:t>变电站（换流站）建（构）筑物部品、部件宜采用标准化设计，固化部品、部件选型；固化专业间接口设计，形成设备电气接口和土建接口标准化方案；使用集成化模块化建筑部品，宜采用标准化部件，提高工程品质，降低运行维护成本。</w:t>
      </w:r>
    </w:p>
    <w:p w14:paraId="090AC70B">
      <w:pPr>
        <w:ind w:firstLine="420" w:firstLineChars="200"/>
        <w:rPr>
          <w:rFonts w:hint="eastAsia"/>
          <w:sz w:val="21"/>
          <w:szCs w:val="21"/>
        </w:rPr>
      </w:pPr>
      <w:r>
        <w:rPr>
          <w:rFonts w:hint="eastAsia"/>
          <w:sz w:val="21"/>
          <w:szCs w:val="21"/>
        </w:rPr>
        <w:t>9</w:t>
      </w:r>
      <w:r>
        <w:rPr>
          <w:sz w:val="21"/>
          <w:szCs w:val="21"/>
        </w:rPr>
        <w:t xml:space="preserve"> </w:t>
      </w:r>
      <w:r>
        <w:rPr>
          <w:rFonts w:hint="eastAsia"/>
          <w:sz w:val="21"/>
          <w:szCs w:val="21"/>
        </w:rPr>
        <w:t xml:space="preserve"> 国务院办公厅 </w:t>
      </w:r>
      <w:r>
        <w:rPr>
          <w:sz w:val="21"/>
          <w:szCs w:val="21"/>
        </w:rPr>
        <w:t xml:space="preserve">2015 </w:t>
      </w:r>
      <w:r>
        <w:rPr>
          <w:rFonts w:hint="eastAsia"/>
          <w:sz w:val="21"/>
          <w:szCs w:val="21"/>
        </w:rPr>
        <w:t xml:space="preserve">年 </w:t>
      </w:r>
      <w:r>
        <w:rPr>
          <w:sz w:val="21"/>
          <w:szCs w:val="21"/>
        </w:rPr>
        <w:t xml:space="preserve">10 </w:t>
      </w:r>
      <w:r>
        <w:rPr>
          <w:rFonts w:hint="eastAsia"/>
          <w:sz w:val="21"/>
          <w:szCs w:val="21"/>
        </w:rPr>
        <w:t>月印发的《关于推进海绵城市建设的指导意见》指出，建设海绵城市，统筹发挥自然生态功能和人工干预功能，有效控制雨水径流，实现自然积存、自然渗透、自然净化的城市发展方式，有利于修复城市水生态、涵养水资源，增强城市防涝能力，扩大公共产品有效投资，提高新型城镇化质量，促进人与自然和谐发展。建海绵城市就要有</w:t>
      </w:r>
      <w:r>
        <w:rPr>
          <w:sz w:val="21"/>
          <w:szCs w:val="21"/>
        </w:rPr>
        <w:t>“</w:t>
      </w:r>
      <w:r>
        <w:rPr>
          <w:rFonts w:hint="eastAsia"/>
          <w:sz w:val="21"/>
          <w:szCs w:val="21"/>
        </w:rPr>
        <w:t>海绵体</w:t>
      </w:r>
      <w:r>
        <w:rPr>
          <w:sz w:val="21"/>
          <w:szCs w:val="21"/>
        </w:rPr>
        <w:t>”</w:t>
      </w:r>
      <w:r>
        <w:rPr>
          <w:rFonts w:hint="eastAsia"/>
          <w:sz w:val="21"/>
          <w:szCs w:val="21"/>
        </w:rPr>
        <w:t>。城市</w:t>
      </w:r>
      <w:r>
        <w:rPr>
          <w:sz w:val="21"/>
          <w:szCs w:val="21"/>
        </w:rPr>
        <w:t>“</w:t>
      </w:r>
      <w:r>
        <w:rPr>
          <w:rFonts w:hint="eastAsia"/>
          <w:sz w:val="21"/>
          <w:szCs w:val="21"/>
        </w:rPr>
        <w:t>海绵体</w:t>
      </w:r>
      <w:r>
        <w:rPr>
          <w:sz w:val="21"/>
          <w:szCs w:val="21"/>
        </w:rPr>
        <w:t>”</w:t>
      </w:r>
      <w:r>
        <w:rPr>
          <w:rFonts w:hint="eastAsia"/>
          <w:sz w:val="21"/>
          <w:szCs w:val="21"/>
        </w:rPr>
        <w:t>既包括河、湖、池塘等水系，也包括绿地、花园、可渗透路面这样的城市配套设施。雨水通过这些</w:t>
      </w:r>
      <w:r>
        <w:rPr>
          <w:sz w:val="21"/>
          <w:szCs w:val="21"/>
        </w:rPr>
        <w:t>“</w:t>
      </w:r>
      <w:r>
        <w:rPr>
          <w:rFonts w:hint="eastAsia"/>
          <w:sz w:val="21"/>
          <w:szCs w:val="21"/>
        </w:rPr>
        <w:t>海绵体</w:t>
      </w:r>
      <w:r>
        <w:rPr>
          <w:sz w:val="21"/>
          <w:szCs w:val="21"/>
        </w:rPr>
        <w:t>”</w:t>
      </w:r>
      <w:r>
        <w:rPr>
          <w:rFonts w:hint="eastAsia"/>
          <w:sz w:val="21"/>
          <w:szCs w:val="21"/>
        </w:rPr>
        <w:t xml:space="preserve">下渗、滞蓄、净化、回用，最后剩余部分径流通过管网、泵站外排，缓减城市内涝的压力。 </w:t>
      </w:r>
    </w:p>
    <w:p w14:paraId="7D82B45A">
      <w:pPr>
        <w:ind w:firstLine="420" w:firstLineChars="200"/>
        <w:rPr>
          <w:rFonts w:hint="eastAsia"/>
          <w:sz w:val="21"/>
          <w:szCs w:val="21"/>
        </w:rPr>
      </w:pPr>
      <w:r>
        <w:rPr>
          <w:rFonts w:hint="eastAsia"/>
          <w:sz w:val="21"/>
          <w:szCs w:val="21"/>
        </w:rPr>
        <w:t>节水器具等级参照GB25501-2019 《水嘴水效限定值及水效等级》4.3.1条关于水嘴水效等级分类，以及GB30717-2019《蹲便器水效限定值及水效等级》4.3.1条，关于蹲便器水效等级分类确定。</w:t>
      </w:r>
    </w:p>
    <w:p w14:paraId="1A4DEC37">
      <w:pPr>
        <w:ind w:firstLine="420" w:firstLineChars="200"/>
        <w:rPr>
          <w:rFonts w:hint="eastAsia"/>
          <w:sz w:val="21"/>
          <w:szCs w:val="21"/>
        </w:rPr>
      </w:pPr>
      <w:r>
        <w:rPr>
          <w:rFonts w:hint="eastAsia"/>
          <w:sz w:val="21"/>
          <w:szCs w:val="21"/>
        </w:rPr>
        <w:t xml:space="preserve">11 </w:t>
      </w:r>
      <w:r>
        <w:rPr>
          <w:sz w:val="21"/>
          <w:szCs w:val="21"/>
        </w:rPr>
        <w:t xml:space="preserve"> </w:t>
      </w:r>
      <w:r>
        <w:rPr>
          <w:rFonts w:hint="eastAsia"/>
          <w:sz w:val="21"/>
          <w:szCs w:val="21"/>
        </w:rPr>
        <w:t>塔型与基础选择对架空线路工程的占地指标较为关键，</w:t>
      </w:r>
      <w:bookmarkStart w:id="698" w:name="sys654047"/>
      <w:r>
        <w:rPr>
          <w:rFonts w:hint="eastAsia"/>
          <w:sz w:val="21"/>
          <w:szCs w:val="21"/>
        </w:rPr>
        <w:t>塔型规划应综合考虑技术经济和线路沿线情况，合理优化塔型、根开及占地面积。</w:t>
      </w:r>
      <w:bookmarkEnd w:id="698"/>
      <w:bookmarkStart w:id="699" w:name="sys6544739"/>
      <w:r>
        <w:rPr>
          <w:rFonts w:hint="eastAsia"/>
          <w:sz w:val="21"/>
          <w:szCs w:val="21"/>
        </w:rPr>
        <w:t>城区及城郊等塔位受限地段，优先采用钢管杆、窄基塔、混凝土杆等占地面积</w:t>
      </w:r>
      <w:bookmarkStart w:id="700" w:name="bkReivew2020155"/>
      <w:r>
        <w:rPr>
          <w:rFonts w:hint="eastAsia"/>
          <w:sz w:val="21"/>
          <w:szCs w:val="21"/>
        </w:rPr>
        <w:t>小</w:t>
      </w:r>
      <w:bookmarkEnd w:id="700"/>
      <w:r>
        <w:rPr>
          <w:rFonts w:hint="eastAsia"/>
          <w:sz w:val="21"/>
          <w:szCs w:val="21"/>
        </w:rPr>
        <w:t>的杆塔。</w:t>
      </w:r>
      <w:bookmarkEnd w:id="699"/>
    </w:p>
    <w:p w14:paraId="3A6BB5D9">
      <w:pPr>
        <w:ind w:firstLine="420" w:firstLineChars="200"/>
        <w:rPr>
          <w:rFonts w:hint="eastAsia"/>
          <w:sz w:val="21"/>
          <w:szCs w:val="21"/>
        </w:rPr>
      </w:pPr>
      <w:r>
        <w:rPr>
          <w:rFonts w:hint="eastAsia"/>
          <w:sz w:val="21"/>
          <w:szCs w:val="21"/>
        </w:rPr>
        <w:t>基础型式应综合考虑进场条件、地形地貌、地质条件等因素后合理选用。</w:t>
      </w:r>
    </w:p>
    <w:p w14:paraId="512C24B1">
      <w:pPr>
        <w:ind w:firstLine="420" w:firstLineChars="200"/>
        <w:rPr>
          <w:rFonts w:hint="eastAsia"/>
          <w:sz w:val="21"/>
          <w:szCs w:val="21"/>
        </w:rPr>
      </w:pPr>
      <w:r>
        <w:rPr>
          <w:rFonts w:hint="eastAsia"/>
          <w:sz w:val="21"/>
          <w:szCs w:val="21"/>
        </w:rPr>
        <w:t xml:space="preserve">12 </w:t>
      </w:r>
      <w:r>
        <w:rPr>
          <w:sz w:val="21"/>
          <w:szCs w:val="21"/>
        </w:rPr>
        <w:t xml:space="preserve"> </w:t>
      </w:r>
      <w:r>
        <w:rPr>
          <w:rFonts w:hint="eastAsia"/>
          <w:sz w:val="21"/>
          <w:szCs w:val="21"/>
        </w:rPr>
        <w:t>接头数量是电缆工程节材的关键性指标，在满足工艺要求得前提下，尽量增大电缆段长，减少接头数量。</w:t>
      </w:r>
    </w:p>
    <w:p w14:paraId="2588727E">
      <w:pPr>
        <w:spacing w:before="120" w:beforeLines="50" w:after="240" w:afterLines="100"/>
        <w:jc w:val="center"/>
        <w:rPr>
          <w:rFonts w:hint="eastAsia"/>
          <w:sz w:val="21"/>
          <w:szCs w:val="21"/>
        </w:rPr>
      </w:pPr>
      <w:r>
        <w:rPr>
          <w:rFonts w:hint="eastAsia"/>
          <w:sz w:val="21"/>
          <w:szCs w:val="21"/>
        </w:rPr>
        <w:t>Ⅲ</w:t>
      </w:r>
      <w:r>
        <w:rPr>
          <w:sz w:val="21"/>
          <w:szCs w:val="21"/>
        </w:rPr>
        <w:t xml:space="preserve">  </w:t>
      </w:r>
      <w:r>
        <w:rPr>
          <w:rFonts w:hint="eastAsia"/>
          <w:sz w:val="21"/>
          <w:szCs w:val="21"/>
        </w:rPr>
        <w:t>生态环保</w:t>
      </w:r>
    </w:p>
    <w:p w14:paraId="7E9D1D97">
      <w:pPr>
        <w:ind w:firstLine="420" w:firstLineChars="200"/>
        <w:outlineLvl w:val="1"/>
        <w:rPr>
          <w:rFonts w:hint="eastAsia"/>
          <w:sz w:val="21"/>
          <w:szCs w:val="21"/>
        </w:rPr>
      </w:pPr>
      <w:bookmarkStart w:id="701" w:name="_Toc2278"/>
      <w:bookmarkStart w:id="702" w:name="_Toc20067"/>
      <w:r>
        <w:rPr>
          <w:rFonts w:hint="eastAsia"/>
          <w:sz w:val="21"/>
          <w:szCs w:val="21"/>
        </w:rPr>
        <w:t>5.</w:t>
      </w:r>
      <w:r>
        <w:rPr>
          <w:sz w:val="21"/>
          <w:szCs w:val="21"/>
        </w:rPr>
        <w:t>5</w:t>
      </w:r>
      <w:r>
        <w:rPr>
          <w:rFonts w:hint="eastAsia"/>
          <w:sz w:val="21"/>
          <w:szCs w:val="21"/>
        </w:rPr>
        <w:t>.</w:t>
      </w:r>
      <w:r>
        <w:rPr>
          <w:sz w:val="21"/>
          <w:szCs w:val="21"/>
        </w:rPr>
        <w:t>3</w:t>
      </w:r>
      <w:bookmarkEnd w:id="701"/>
      <w:bookmarkEnd w:id="702"/>
    </w:p>
    <w:p w14:paraId="6C85378B">
      <w:pPr>
        <w:ind w:firstLine="420" w:firstLineChars="200"/>
        <w:rPr>
          <w:rFonts w:hint="eastAsia"/>
          <w:sz w:val="21"/>
          <w:szCs w:val="21"/>
        </w:rPr>
      </w:pPr>
      <w:r>
        <w:rPr>
          <w:rFonts w:hint="eastAsia"/>
          <w:sz w:val="21"/>
          <w:szCs w:val="21"/>
        </w:rPr>
        <w:t>1</w:t>
      </w:r>
      <w:r>
        <w:rPr>
          <w:sz w:val="21"/>
          <w:szCs w:val="21"/>
        </w:rPr>
        <w:t xml:space="preserve">  </w:t>
      </w:r>
      <w:r>
        <w:rPr>
          <w:rFonts w:hint="eastAsia"/>
          <w:sz w:val="21"/>
          <w:szCs w:val="21"/>
        </w:rPr>
        <w:t>因地制宜是设计首先要考虑的因素，不仅仅需要考虑当地气候条件，还需要综合场地周边的社会历史文化、地形、城市规划、道路、环境等条件的制约因素，权衡各因素之间的相互关系，通过多方面分析、优化项目的规划设计。</w:t>
      </w:r>
    </w:p>
    <w:p w14:paraId="4DB0BBEB">
      <w:pPr>
        <w:ind w:firstLine="420" w:firstLineChars="200"/>
        <w:rPr>
          <w:rFonts w:hint="eastAsia"/>
          <w:sz w:val="21"/>
          <w:szCs w:val="21"/>
        </w:rPr>
      </w:pPr>
      <w:r>
        <w:rPr>
          <w:rFonts w:hint="eastAsia"/>
          <w:sz w:val="21"/>
          <w:szCs w:val="21"/>
        </w:rPr>
        <w:t>2</w:t>
      </w:r>
      <w:r>
        <w:rPr>
          <w:sz w:val="21"/>
          <w:szCs w:val="21"/>
        </w:rPr>
        <w:t xml:space="preserve">  </w:t>
      </w:r>
      <w:r>
        <w:rPr>
          <w:rFonts w:hint="eastAsia"/>
          <w:sz w:val="21"/>
          <w:szCs w:val="21"/>
        </w:rPr>
        <w:t>建设项目应对场地的地形和场地内可利用的资源进行勘察，充分利用原有地形地貌进行场地设计以及建筑、生态景观的布局，尽量减少土石方量。</w:t>
      </w:r>
    </w:p>
    <w:p w14:paraId="1025F9EB">
      <w:pPr>
        <w:ind w:firstLine="420" w:firstLineChars="200"/>
        <w:rPr>
          <w:rFonts w:hint="eastAsia"/>
          <w:sz w:val="21"/>
          <w:szCs w:val="21"/>
        </w:rPr>
      </w:pPr>
      <w:r>
        <w:rPr>
          <w:rFonts w:hint="eastAsia"/>
          <w:sz w:val="21"/>
          <w:szCs w:val="21"/>
        </w:rPr>
        <w:t>3</w:t>
      </w:r>
      <w:r>
        <w:rPr>
          <w:sz w:val="21"/>
          <w:szCs w:val="21"/>
        </w:rPr>
        <w:t xml:space="preserve">  设计前，应充分了解</w:t>
      </w:r>
      <w:r>
        <w:rPr>
          <w:rFonts w:hint="eastAsia"/>
          <w:sz w:val="21"/>
          <w:szCs w:val="21"/>
        </w:rPr>
        <w:t>项目所在区域的市政给排水条件、水资源状况、气候特点等实际情况，通过全面的分析研究，制定水资源利用方案，提高水资源循环利用率，制定合理的污废水（油）排放方案。</w:t>
      </w:r>
    </w:p>
    <w:p w14:paraId="1BF17428">
      <w:pPr>
        <w:ind w:firstLine="420" w:firstLineChars="200"/>
        <w:rPr>
          <w:rFonts w:hint="eastAsia"/>
          <w:sz w:val="21"/>
          <w:szCs w:val="21"/>
        </w:rPr>
      </w:pPr>
      <w:r>
        <w:rPr>
          <w:rFonts w:hint="eastAsia"/>
          <w:sz w:val="21"/>
          <w:szCs w:val="21"/>
        </w:rPr>
        <w:t>4</w:t>
      </w:r>
      <w:r>
        <w:rPr>
          <w:sz w:val="21"/>
          <w:szCs w:val="21"/>
        </w:rPr>
        <w:t xml:space="preserve">  </w:t>
      </w:r>
      <w:r>
        <w:rPr>
          <w:rFonts w:hint="eastAsia"/>
          <w:sz w:val="21"/>
          <w:szCs w:val="21"/>
        </w:rPr>
        <w:t>建设过程中</w:t>
      </w:r>
      <w:r>
        <w:rPr>
          <w:sz w:val="21"/>
          <w:szCs w:val="21"/>
        </w:rPr>
        <w:t>减少开发建设过程对场地及周边环</w:t>
      </w:r>
      <w:r>
        <w:rPr>
          <w:rFonts w:hint="eastAsia"/>
          <w:sz w:val="21"/>
          <w:szCs w:val="21"/>
        </w:rPr>
        <w:t>境生态系统的改变，包括原有植被、水体、山体、地标行泄洪通道、滞蓄洪坑塘洼地等。在建设过程中确需改造场地内的地形、地貌、水体、植被等时，应在工程结束后及时采取生态复原措施，减少对原场地环境的改变和破坏。</w:t>
      </w:r>
    </w:p>
    <w:p w14:paraId="1901D676">
      <w:pPr>
        <w:ind w:firstLine="420" w:firstLineChars="200"/>
        <w:rPr>
          <w:rFonts w:hint="eastAsia"/>
          <w:sz w:val="21"/>
          <w:szCs w:val="21"/>
        </w:rPr>
      </w:pPr>
      <w:r>
        <w:rPr>
          <w:rFonts w:hint="eastAsia"/>
          <w:sz w:val="21"/>
          <w:szCs w:val="21"/>
        </w:rPr>
        <w:t>5</w:t>
      </w:r>
      <w:r>
        <w:rPr>
          <w:sz w:val="21"/>
          <w:szCs w:val="21"/>
        </w:rPr>
        <w:t xml:space="preserve"> </w:t>
      </w:r>
      <w:r>
        <w:rPr>
          <w:rFonts w:hint="eastAsia"/>
          <w:sz w:val="21"/>
          <w:szCs w:val="21"/>
        </w:rPr>
        <w:t xml:space="preserve"> 电磁辐射应符合现行国家标准《电磁环境控制限值》GB 8702 的有关规定；</w:t>
      </w:r>
    </w:p>
    <w:p w14:paraId="768D1B9F">
      <w:pPr>
        <w:ind w:firstLine="420" w:firstLineChars="200"/>
        <w:rPr>
          <w:rFonts w:hint="eastAsia"/>
          <w:sz w:val="21"/>
          <w:szCs w:val="21"/>
        </w:rPr>
      </w:pPr>
      <w:r>
        <w:rPr>
          <w:rFonts w:hint="eastAsia"/>
          <w:sz w:val="21"/>
          <w:szCs w:val="21"/>
        </w:rPr>
        <w:t xml:space="preserve">6 </w:t>
      </w:r>
      <w:r>
        <w:rPr>
          <w:sz w:val="21"/>
          <w:szCs w:val="21"/>
        </w:rPr>
        <w:t xml:space="preserve"> </w:t>
      </w:r>
      <w:r>
        <w:rPr>
          <w:rFonts w:hint="eastAsia"/>
          <w:sz w:val="21"/>
          <w:szCs w:val="21"/>
        </w:rPr>
        <w:t>对建筑物内部的噪声源，应通过选用低噪声设备、设置有效隔声、隔振、吸声、消声等综合措施来控制。符合现行国家标准《工业企业厂界噪声排放标准》GB12348的规定。</w:t>
      </w:r>
    </w:p>
    <w:p w14:paraId="1E6989CA">
      <w:pPr>
        <w:jc w:val="center"/>
        <w:outlineLvl w:val="1"/>
        <w:rPr>
          <w:rFonts w:hint="eastAsia"/>
          <w:sz w:val="21"/>
          <w:szCs w:val="21"/>
        </w:rPr>
      </w:pPr>
      <w:bookmarkStart w:id="703" w:name="_Toc12798"/>
      <w:bookmarkStart w:id="704" w:name="_Toc29404"/>
      <w:r>
        <w:fldChar w:fldCharType="begin"/>
      </w:r>
      <w:r>
        <w:instrText xml:space="preserve"> HYPERLINK \l "_Toc162470870" </w:instrText>
      </w:r>
      <w:r>
        <w:fldChar w:fldCharType="separate"/>
      </w:r>
      <w:r>
        <w:rPr>
          <w:sz w:val="21"/>
          <w:szCs w:val="21"/>
        </w:rPr>
        <w:t>5.</w:t>
      </w:r>
      <w:r>
        <w:rPr>
          <w:rFonts w:hint="eastAsia"/>
          <w:sz w:val="21"/>
          <w:szCs w:val="21"/>
        </w:rPr>
        <w:t>6</w:t>
      </w:r>
      <w:r>
        <w:rPr>
          <w:sz w:val="21"/>
          <w:szCs w:val="21"/>
        </w:rPr>
        <w:t xml:space="preserve">  </w:t>
      </w:r>
      <w:r>
        <w:rPr>
          <w:rFonts w:hint="eastAsia"/>
          <w:sz w:val="21"/>
          <w:szCs w:val="21"/>
        </w:rPr>
        <w:t>电力储能工程</w:t>
      </w:r>
      <w:r>
        <w:rPr>
          <w:rFonts w:hint="eastAsia"/>
          <w:sz w:val="21"/>
          <w:szCs w:val="21"/>
        </w:rPr>
        <w:fldChar w:fldCharType="end"/>
      </w:r>
      <w:bookmarkEnd w:id="703"/>
      <w:bookmarkEnd w:id="704"/>
    </w:p>
    <w:p w14:paraId="51D7DAEE">
      <w:pPr>
        <w:ind w:firstLine="420" w:firstLineChars="200"/>
        <w:rPr>
          <w:rFonts w:hint="eastAsia"/>
          <w:sz w:val="21"/>
          <w:szCs w:val="21"/>
        </w:rPr>
      </w:pPr>
      <w:r>
        <w:rPr>
          <w:rFonts w:hint="eastAsia"/>
          <w:sz w:val="21"/>
          <w:szCs w:val="21"/>
        </w:rPr>
        <w:t>电力储能工程包括</w:t>
      </w:r>
      <w:r>
        <w:rPr>
          <w:sz w:val="21"/>
          <w:szCs w:val="21"/>
        </w:rPr>
        <w:t>电化学储能（锂电、液流、燃料电池、钠离子、铅酸、铅炭）工程</w:t>
      </w:r>
      <w:r>
        <w:rPr>
          <w:rFonts w:hint="eastAsia"/>
          <w:sz w:val="21"/>
          <w:szCs w:val="21"/>
        </w:rPr>
        <w:t>、</w:t>
      </w:r>
      <w:r>
        <w:rPr>
          <w:sz w:val="21"/>
          <w:szCs w:val="21"/>
        </w:rPr>
        <w:t>飞轮储能工程</w:t>
      </w:r>
      <w:r>
        <w:rPr>
          <w:rFonts w:hint="eastAsia"/>
          <w:sz w:val="21"/>
          <w:szCs w:val="21"/>
        </w:rPr>
        <w:t>、</w:t>
      </w:r>
      <w:r>
        <w:rPr>
          <w:sz w:val="21"/>
          <w:szCs w:val="21"/>
        </w:rPr>
        <w:t>压缩空气</w:t>
      </w:r>
      <w:r>
        <w:rPr>
          <w:rFonts w:hint="eastAsia"/>
          <w:sz w:val="21"/>
          <w:szCs w:val="21"/>
        </w:rPr>
        <w:t>储能工程，不包括抽水蓄能储能工程，其他储能工程如重力储能、氢储能工程等可根据情况参照执行。进行评价计分时，按照同类工程进行统计评分。</w:t>
      </w:r>
    </w:p>
    <w:p w14:paraId="60F6C06A">
      <w:pPr>
        <w:ind w:firstLine="420"/>
        <w:jc w:val="center"/>
        <w:rPr>
          <w:rFonts w:hint="eastAsia"/>
          <w:sz w:val="21"/>
          <w:szCs w:val="21"/>
        </w:rPr>
      </w:pPr>
      <w:r>
        <w:rPr>
          <w:sz w:val="21"/>
          <w:szCs w:val="21"/>
        </w:rPr>
        <w:t xml:space="preserve">Ⅰ   </w:t>
      </w:r>
      <w:r>
        <w:rPr>
          <w:rFonts w:hint="eastAsia"/>
          <w:sz w:val="21"/>
          <w:szCs w:val="21"/>
        </w:rPr>
        <w:t>技术</w:t>
      </w:r>
      <w:r>
        <w:rPr>
          <w:sz w:val="21"/>
          <w:szCs w:val="21"/>
        </w:rPr>
        <w:t>先进</w:t>
      </w:r>
    </w:p>
    <w:p w14:paraId="7540882F">
      <w:pPr>
        <w:rPr>
          <w:rFonts w:hint="eastAsia"/>
          <w:sz w:val="21"/>
          <w:szCs w:val="21"/>
        </w:rPr>
      </w:pPr>
      <w:r>
        <w:rPr>
          <w:rFonts w:hint="eastAsia"/>
          <w:sz w:val="21"/>
          <w:szCs w:val="21"/>
        </w:rPr>
        <w:t>5.6.1</w:t>
      </w:r>
      <w:r>
        <w:rPr>
          <w:sz w:val="21"/>
          <w:szCs w:val="21"/>
        </w:rPr>
        <w:t xml:space="preserve">  技术先进性评价</w:t>
      </w:r>
      <w:r>
        <w:rPr>
          <w:rFonts w:hint="eastAsia"/>
          <w:sz w:val="21"/>
          <w:szCs w:val="21"/>
        </w:rPr>
        <w:t>重点包括储能工程总体设计科学先进，全寿命周期的技术经济性优，储能技术路线先进。评价目的在于促进多种电力储能技术发展，促进电力储能装备制造业降本增效及产业升级，有利于新型电力系统的构建及高科技产业发展</w:t>
      </w:r>
      <w:r>
        <w:rPr>
          <w:sz w:val="21"/>
          <w:szCs w:val="21"/>
        </w:rPr>
        <w:t>。</w:t>
      </w:r>
    </w:p>
    <w:p w14:paraId="47B55F92">
      <w:pPr>
        <w:ind w:firstLine="420"/>
        <w:jc w:val="center"/>
        <w:rPr>
          <w:rFonts w:hint="eastAsia"/>
          <w:sz w:val="21"/>
          <w:szCs w:val="21"/>
        </w:rPr>
      </w:pPr>
      <w:r>
        <w:rPr>
          <w:sz w:val="21"/>
          <w:szCs w:val="21"/>
        </w:rPr>
        <w:t xml:space="preserve">Ⅱ   </w:t>
      </w:r>
      <w:r>
        <w:rPr>
          <w:rFonts w:hint="eastAsia"/>
          <w:sz w:val="21"/>
          <w:szCs w:val="21"/>
        </w:rPr>
        <w:t>资源节约</w:t>
      </w:r>
    </w:p>
    <w:p w14:paraId="14203E7B">
      <w:pPr>
        <w:rPr>
          <w:rFonts w:hint="eastAsia"/>
          <w:sz w:val="21"/>
          <w:szCs w:val="21"/>
        </w:rPr>
      </w:pPr>
      <w:r>
        <w:rPr>
          <w:rFonts w:hint="eastAsia"/>
          <w:sz w:val="21"/>
          <w:szCs w:val="21"/>
        </w:rPr>
        <w:t>5.6.2</w:t>
      </w:r>
      <w:r>
        <w:rPr>
          <w:sz w:val="21"/>
          <w:szCs w:val="21"/>
        </w:rPr>
        <w:t xml:space="preserve">  </w:t>
      </w:r>
      <w:r>
        <w:rPr>
          <w:rFonts w:hint="eastAsia"/>
          <w:sz w:val="21"/>
          <w:szCs w:val="21"/>
        </w:rPr>
        <w:t>资源节约按照节约土地、节约能源、节约用水、节约材料进行评价。</w:t>
      </w:r>
    </w:p>
    <w:p w14:paraId="3409B160">
      <w:pPr>
        <w:ind w:firstLine="420"/>
        <w:rPr>
          <w:rFonts w:hint="eastAsia"/>
          <w:sz w:val="21"/>
          <w:szCs w:val="21"/>
        </w:rPr>
      </w:pPr>
      <w:r>
        <w:rPr>
          <w:rFonts w:hint="eastAsia"/>
          <w:sz w:val="21"/>
          <w:szCs w:val="21"/>
        </w:rPr>
        <w:t>节约土地主要从不占用基本农田（林地）、紧凑型总平面布置、节约用地新技术及工艺、积极利用荒漠化土地等方面评价。</w:t>
      </w:r>
    </w:p>
    <w:p w14:paraId="72E68EA8">
      <w:pPr>
        <w:ind w:firstLine="420"/>
        <w:rPr>
          <w:rFonts w:hint="eastAsia"/>
          <w:sz w:val="21"/>
          <w:szCs w:val="21"/>
          <w:lang w:val="en-GB"/>
        </w:rPr>
      </w:pPr>
      <w:r>
        <w:rPr>
          <w:rFonts w:hint="eastAsia"/>
          <w:sz w:val="21"/>
          <w:szCs w:val="21"/>
        </w:rPr>
        <w:t>节约能源主要从高效节能设备，先进的用能工艺，</w:t>
      </w:r>
      <w:r>
        <w:rPr>
          <w:sz w:val="21"/>
          <w:szCs w:val="21"/>
        </w:rPr>
        <w:t>节能管理措施</w:t>
      </w:r>
      <w:r>
        <w:rPr>
          <w:sz w:val="21"/>
          <w:szCs w:val="21"/>
          <w:lang w:val="en-GB"/>
        </w:rPr>
        <w:t>,</w:t>
      </w:r>
      <w:r>
        <w:rPr>
          <w:rFonts w:hint="eastAsia"/>
          <w:sz w:val="21"/>
          <w:szCs w:val="21"/>
        </w:rPr>
        <w:t xml:space="preserve"> 新型节能照明系统，建筑节能</w:t>
      </w:r>
      <w:r>
        <w:rPr>
          <w:sz w:val="21"/>
          <w:szCs w:val="21"/>
          <w:lang w:val="en-GB"/>
        </w:rPr>
        <w:t>,</w:t>
      </w:r>
      <w:r>
        <w:rPr>
          <w:rFonts w:hint="eastAsia"/>
          <w:sz w:val="21"/>
          <w:szCs w:val="21"/>
        </w:rPr>
        <w:t>装配式技术</w:t>
      </w:r>
      <w:r>
        <w:rPr>
          <w:sz w:val="21"/>
          <w:szCs w:val="21"/>
          <w:lang w:val="en-GB"/>
        </w:rPr>
        <w:t>,</w:t>
      </w:r>
      <w:r>
        <w:rPr>
          <w:rFonts w:hint="eastAsia"/>
          <w:sz w:val="21"/>
          <w:szCs w:val="21"/>
        </w:rPr>
        <w:t>清洁能源积极嵌入建筑</w:t>
      </w:r>
      <w:r>
        <w:rPr>
          <w:rFonts w:hint="eastAsia"/>
          <w:sz w:val="21"/>
          <w:szCs w:val="21"/>
          <w:lang w:val="en-GB"/>
        </w:rPr>
        <w:t>等方面评价，其中装配式技术、清洁能源嵌入是近几年国家积极倡导的建筑节能技术，纳入节能评价内容。</w:t>
      </w:r>
    </w:p>
    <w:p w14:paraId="11FBBA9F">
      <w:pPr>
        <w:ind w:firstLine="420"/>
        <w:rPr>
          <w:rFonts w:hint="eastAsia"/>
          <w:sz w:val="21"/>
          <w:szCs w:val="21"/>
        </w:rPr>
      </w:pPr>
      <w:r>
        <w:rPr>
          <w:rFonts w:hint="eastAsia"/>
          <w:sz w:val="21"/>
          <w:szCs w:val="21"/>
        </w:rPr>
        <w:t>节约</w:t>
      </w:r>
      <w:r>
        <w:rPr>
          <w:sz w:val="21"/>
          <w:szCs w:val="21"/>
        </w:rPr>
        <w:t>用水倡导积极采用新型节水器材</w:t>
      </w:r>
      <w:r>
        <w:rPr>
          <w:rFonts w:hint="eastAsia"/>
          <w:sz w:val="21"/>
          <w:szCs w:val="21"/>
        </w:rPr>
        <w:t>、</w:t>
      </w:r>
      <w:r>
        <w:rPr>
          <w:sz w:val="21"/>
          <w:szCs w:val="21"/>
        </w:rPr>
        <w:t>管材</w:t>
      </w:r>
      <w:r>
        <w:rPr>
          <w:rFonts w:hint="eastAsia"/>
          <w:sz w:val="21"/>
          <w:szCs w:val="21"/>
        </w:rPr>
        <w:t>，提高水的重复利用率，实现全厂废水零排放。在缺水地区重视雨水控制及利用（收集回用、土壤入渗、调蓄排放），节约用水。</w:t>
      </w:r>
    </w:p>
    <w:p w14:paraId="01331558">
      <w:pPr>
        <w:ind w:firstLine="420"/>
        <w:rPr>
          <w:rFonts w:hint="eastAsia"/>
          <w:sz w:val="21"/>
          <w:szCs w:val="21"/>
        </w:rPr>
      </w:pPr>
      <w:r>
        <w:rPr>
          <w:rFonts w:hint="eastAsia"/>
          <w:sz w:val="21"/>
          <w:szCs w:val="21"/>
        </w:rPr>
        <w:t>节约</w:t>
      </w:r>
      <w:r>
        <w:rPr>
          <w:sz w:val="21"/>
          <w:szCs w:val="21"/>
        </w:rPr>
        <w:t>材料重点评价</w:t>
      </w:r>
      <w:r>
        <w:rPr>
          <w:rFonts w:hint="eastAsia"/>
          <w:sz w:val="21"/>
          <w:szCs w:val="21"/>
        </w:rPr>
        <w:t>钢材、水泥和电缆等消耗量，同比达到国内先进水平。</w:t>
      </w:r>
      <w:r>
        <w:rPr>
          <w:sz w:val="21"/>
          <w:szCs w:val="21"/>
        </w:rPr>
        <w:t xml:space="preserve"> </w:t>
      </w:r>
    </w:p>
    <w:p w14:paraId="1FC6918F">
      <w:pPr>
        <w:ind w:firstLine="420"/>
        <w:jc w:val="center"/>
        <w:rPr>
          <w:rFonts w:hint="eastAsia"/>
          <w:sz w:val="21"/>
          <w:szCs w:val="21"/>
        </w:rPr>
      </w:pPr>
      <w:r>
        <w:rPr>
          <w:sz w:val="21"/>
          <w:szCs w:val="21"/>
        </w:rPr>
        <w:t xml:space="preserve">Ⅲ   </w:t>
      </w:r>
      <w:r>
        <w:rPr>
          <w:rFonts w:hint="eastAsia"/>
          <w:sz w:val="21"/>
          <w:szCs w:val="21"/>
        </w:rPr>
        <w:t>生态环保</w:t>
      </w:r>
    </w:p>
    <w:p w14:paraId="1FCAE475">
      <w:pPr>
        <w:rPr>
          <w:rFonts w:hint="eastAsia"/>
          <w:sz w:val="21"/>
          <w:szCs w:val="21"/>
        </w:rPr>
      </w:pPr>
      <w:r>
        <w:rPr>
          <w:rFonts w:hint="eastAsia"/>
          <w:sz w:val="21"/>
          <w:szCs w:val="21"/>
        </w:rPr>
        <w:t>5.6.3</w:t>
      </w:r>
      <w:r>
        <w:rPr>
          <w:sz w:val="21"/>
          <w:szCs w:val="21"/>
        </w:rPr>
        <w:t xml:space="preserve">  </w:t>
      </w:r>
      <w:r>
        <w:rPr>
          <w:rFonts w:hint="eastAsia"/>
          <w:sz w:val="21"/>
          <w:szCs w:val="21"/>
        </w:rPr>
        <w:t>生态</w:t>
      </w:r>
      <w:r>
        <w:rPr>
          <w:sz w:val="21"/>
          <w:szCs w:val="21"/>
        </w:rPr>
        <w:t>环保重点评价</w:t>
      </w:r>
      <w:r>
        <w:rPr>
          <w:rFonts w:hint="eastAsia"/>
          <w:sz w:val="21"/>
          <w:szCs w:val="21"/>
        </w:rPr>
        <w:t>环保技术路线先进性，与</w:t>
      </w:r>
      <w:r>
        <w:rPr>
          <w:sz w:val="21"/>
          <w:szCs w:val="21"/>
        </w:rPr>
        <w:t>生态环境协调</w:t>
      </w:r>
      <w:r>
        <w:rPr>
          <w:rFonts w:hint="eastAsia"/>
          <w:sz w:val="21"/>
          <w:szCs w:val="21"/>
        </w:rPr>
        <w:t>，</w:t>
      </w:r>
      <w:r>
        <w:rPr>
          <w:sz w:val="21"/>
          <w:szCs w:val="21"/>
        </w:rPr>
        <w:t>减少噪声</w:t>
      </w:r>
      <w:r>
        <w:rPr>
          <w:rFonts w:hint="eastAsia"/>
          <w:sz w:val="21"/>
          <w:szCs w:val="21"/>
        </w:rPr>
        <w:t>、生活废水</w:t>
      </w:r>
      <w:r>
        <w:rPr>
          <w:sz w:val="21"/>
          <w:szCs w:val="21"/>
        </w:rPr>
        <w:t xml:space="preserve">等环境影响。 </w:t>
      </w:r>
    </w:p>
    <w:p w14:paraId="45AB22C0">
      <w:pPr>
        <w:ind w:firstLine="420"/>
        <w:jc w:val="center"/>
        <w:rPr>
          <w:rFonts w:hint="eastAsia"/>
          <w:sz w:val="21"/>
          <w:szCs w:val="21"/>
        </w:rPr>
      </w:pPr>
      <w:r>
        <w:rPr>
          <w:sz w:val="21"/>
          <w:szCs w:val="21"/>
        </w:rPr>
        <w:t xml:space="preserve">Ⅳ   </w:t>
      </w:r>
      <w:r>
        <w:rPr>
          <w:rFonts w:hint="eastAsia"/>
          <w:sz w:val="21"/>
          <w:szCs w:val="21"/>
        </w:rPr>
        <w:t>综合效益</w:t>
      </w:r>
    </w:p>
    <w:p w14:paraId="5160F175">
      <w:pPr>
        <w:rPr>
          <w:rFonts w:hint="eastAsia"/>
          <w:sz w:val="21"/>
          <w:szCs w:val="21"/>
        </w:rPr>
      </w:pPr>
      <w:r>
        <w:rPr>
          <w:rFonts w:hint="eastAsia"/>
          <w:sz w:val="21"/>
          <w:szCs w:val="21"/>
        </w:rPr>
        <w:t>5.6.4</w:t>
      </w:r>
      <w:r>
        <w:rPr>
          <w:sz w:val="21"/>
          <w:szCs w:val="21"/>
        </w:rPr>
        <w:t xml:space="preserve">  </w:t>
      </w:r>
      <w:r>
        <w:rPr>
          <w:rFonts w:hint="eastAsia"/>
          <w:sz w:val="21"/>
          <w:szCs w:val="21"/>
        </w:rPr>
        <w:t>综合</w:t>
      </w:r>
      <w:r>
        <w:rPr>
          <w:sz w:val="21"/>
          <w:szCs w:val="21"/>
        </w:rPr>
        <w:t>效益评价从项目本身</w:t>
      </w:r>
      <w:r>
        <w:rPr>
          <w:rFonts w:hint="eastAsia"/>
          <w:sz w:val="21"/>
          <w:szCs w:val="21"/>
        </w:rPr>
        <w:t>经济效益，项目社会效益及环保效益进行评价，在实现自身经济效益同时，实现社会、生态及环保效益多赢。</w:t>
      </w:r>
    </w:p>
    <w:p w14:paraId="0F1C059A">
      <w:pPr>
        <w:ind w:firstLine="420"/>
        <w:jc w:val="center"/>
        <w:rPr>
          <w:rFonts w:hint="eastAsia"/>
          <w:sz w:val="21"/>
          <w:szCs w:val="21"/>
        </w:rPr>
      </w:pPr>
      <w:r>
        <w:rPr>
          <w:sz w:val="21"/>
          <w:szCs w:val="21"/>
        </w:rPr>
        <w:t xml:space="preserve">Ⅴ   </w:t>
      </w:r>
      <w:r>
        <w:rPr>
          <w:rFonts w:hint="eastAsia"/>
          <w:sz w:val="21"/>
          <w:szCs w:val="21"/>
        </w:rPr>
        <w:t>科技创新</w:t>
      </w:r>
    </w:p>
    <w:p w14:paraId="410F8E3B">
      <w:pPr>
        <w:rPr>
          <w:rFonts w:hint="eastAsia"/>
          <w:sz w:val="21"/>
          <w:szCs w:val="21"/>
        </w:rPr>
      </w:pPr>
      <w:r>
        <w:rPr>
          <w:rFonts w:hint="eastAsia"/>
          <w:sz w:val="21"/>
          <w:szCs w:val="21"/>
        </w:rPr>
        <w:t>5.6.5</w:t>
      </w:r>
      <w:r>
        <w:rPr>
          <w:sz w:val="21"/>
          <w:szCs w:val="21"/>
        </w:rPr>
        <w:t xml:space="preserve">  </w:t>
      </w:r>
      <w:r>
        <w:rPr>
          <w:rFonts w:hint="eastAsia"/>
          <w:sz w:val="21"/>
          <w:szCs w:val="21"/>
        </w:rPr>
        <w:t>科技创新重点评价项目采用新技术、新工艺、新流程、新材料、新装备、新产品等技术创新成果，有利于促进科技成果在工程项目上的应用。工程项目本身功能定位及技术路线就具有新颖性、开创性的项目，也应视为科技创新。科技创新还体现在</w:t>
      </w:r>
      <w:r>
        <w:rPr>
          <w:sz w:val="21"/>
          <w:szCs w:val="21"/>
        </w:rPr>
        <w:t>依托工程取得的创新成果（课题、专利、专有技术、奖项、竞赛活动成果、国家示范试点、参编标准、期刊论文等</w:t>
      </w:r>
      <w:r>
        <w:rPr>
          <w:rFonts w:hint="eastAsia"/>
          <w:sz w:val="21"/>
          <w:szCs w:val="21"/>
        </w:rPr>
        <w:t>），形成工程项目与科技项目相互促进。</w:t>
      </w:r>
    </w:p>
    <w:p w14:paraId="0CD04A7F">
      <w:pPr>
        <w:rPr>
          <w:rFonts w:hint="eastAsia"/>
          <w:sz w:val="21"/>
          <w:szCs w:val="21"/>
        </w:rPr>
      </w:pPr>
      <w:bookmarkStart w:id="705" w:name="pindex296"/>
      <w:bookmarkEnd w:id="705"/>
    </w:p>
    <w:p w14:paraId="2DC6B48B">
      <w:pPr>
        <w:rPr>
          <w:rFonts w:hint="eastAsia"/>
          <w:sz w:val="21"/>
          <w:szCs w:val="21"/>
        </w:rPr>
      </w:pPr>
    </w:p>
    <w:p w14:paraId="3B08FA22">
      <w:pPr>
        <w:rPr>
          <w:rFonts w:hint="eastAsia"/>
          <w:sz w:val="21"/>
          <w:szCs w:val="21"/>
        </w:rPr>
      </w:pPr>
    </w:p>
    <w:p w14:paraId="6270C8AF">
      <w:pPr>
        <w:rPr>
          <w:rFonts w:hint="eastAsia"/>
          <w:sz w:val="21"/>
          <w:szCs w:val="21"/>
        </w:rPr>
      </w:pPr>
    </w:p>
    <w:p w14:paraId="1BCFD5B7">
      <w:pPr>
        <w:rPr>
          <w:rFonts w:hint="eastAsia"/>
          <w:sz w:val="21"/>
          <w:szCs w:val="21"/>
        </w:rPr>
      </w:pPr>
    </w:p>
    <w:p w14:paraId="0F4695CA">
      <w:pPr>
        <w:rPr>
          <w:rFonts w:hint="eastAsia"/>
          <w:sz w:val="21"/>
          <w:szCs w:val="21"/>
        </w:rPr>
      </w:pPr>
    </w:p>
    <w:p w14:paraId="21ED24BA">
      <w:pPr>
        <w:rPr>
          <w:rFonts w:hint="eastAsia"/>
          <w:sz w:val="21"/>
          <w:szCs w:val="21"/>
        </w:rPr>
      </w:pPr>
    </w:p>
    <w:p w14:paraId="21A6ABD8">
      <w:pPr>
        <w:rPr>
          <w:rFonts w:hint="eastAsia"/>
          <w:sz w:val="21"/>
          <w:szCs w:val="21"/>
        </w:rPr>
      </w:pPr>
    </w:p>
    <w:p w14:paraId="121B40C2">
      <w:pPr>
        <w:rPr>
          <w:rFonts w:hint="eastAsia"/>
          <w:sz w:val="21"/>
          <w:szCs w:val="21"/>
        </w:rPr>
      </w:pPr>
    </w:p>
    <w:p w14:paraId="3A900A4C">
      <w:pPr>
        <w:rPr>
          <w:rFonts w:hint="eastAsia"/>
          <w:sz w:val="21"/>
          <w:szCs w:val="21"/>
        </w:rPr>
      </w:pPr>
    </w:p>
    <w:p w14:paraId="42E7EBD0">
      <w:pPr>
        <w:rPr>
          <w:rFonts w:hint="eastAsia"/>
          <w:sz w:val="21"/>
          <w:szCs w:val="21"/>
        </w:rPr>
      </w:pPr>
    </w:p>
    <w:p w14:paraId="564E5B1C">
      <w:pPr>
        <w:rPr>
          <w:rFonts w:hint="eastAsia"/>
          <w:sz w:val="21"/>
          <w:szCs w:val="21"/>
        </w:rPr>
      </w:pPr>
    </w:p>
    <w:p w14:paraId="170A2521">
      <w:pPr>
        <w:rPr>
          <w:rFonts w:hint="eastAsia"/>
          <w:sz w:val="21"/>
          <w:szCs w:val="21"/>
        </w:rPr>
      </w:pPr>
    </w:p>
    <w:p w14:paraId="7B3F224D">
      <w:pPr>
        <w:rPr>
          <w:rFonts w:hint="eastAsia"/>
          <w:sz w:val="21"/>
          <w:szCs w:val="21"/>
        </w:rPr>
      </w:pPr>
    </w:p>
    <w:p w14:paraId="4013D078">
      <w:pPr>
        <w:rPr>
          <w:rFonts w:hint="eastAsia"/>
          <w:sz w:val="21"/>
          <w:szCs w:val="21"/>
        </w:rPr>
      </w:pPr>
    </w:p>
    <w:p w14:paraId="53316608">
      <w:pPr>
        <w:rPr>
          <w:rFonts w:hint="eastAsia"/>
          <w:sz w:val="21"/>
          <w:szCs w:val="21"/>
        </w:rPr>
      </w:pPr>
    </w:p>
    <w:p w14:paraId="292423F7">
      <w:pPr>
        <w:rPr>
          <w:rFonts w:hint="eastAsia"/>
          <w:sz w:val="21"/>
          <w:szCs w:val="21"/>
        </w:rPr>
      </w:pPr>
    </w:p>
    <w:p w14:paraId="6A847326">
      <w:pPr>
        <w:rPr>
          <w:rFonts w:hint="eastAsia"/>
          <w:sz w:val="21"/>
          <w:szCs w:val="21"/>
        </w:rPr>
      </w:pPr>
    </w:p>
    <w:p w14:paraId="76427063">
      <w:pPr>
        <w:rPr>
          <w:rFonts w:hint="eastAsia"/>
          <w:sz w:val="21"/>
          <w:szCs w:val="21"/>
        </w:rPr>
      </w:pPr>
    </w:p>
    <w:p w14:paraId="6DDE8245">
      <w:pPr>
        <w:spacing w:before="120" w:beforeLines="50" w:after="120" w:afterLines="50"/>
        <w:jc w:val="center"/>
        <w:outlineLvl w:val="0"/>
        <w:rPr>
          <w:rFonts w:hint="eastAsia"/>
          <w:sz w:val="21"/>
          <w:szCs w:val="21"/>
        </w:rPr>
      </w:pPr>
      <w:bookmarkStart w:id="706" w:name="_Toc12542"/>
      <w:bookmarkStart w:id="707" w:name="_Toc32101"/>
      <w:r>
        <w:rPr>
          <w:sz w:val="21"/>
          <w:szCs w:val="21"/>
        </w:rPr>
        <w:t xml:space="preserve">6 </w:t>
      </w:r>
      <w:r>
        <w:rPr>
          <w:rFonts w:hint="eastAsia"/>
          <w:sz w:val="21"/>
          <w:szCs w:val="21"/>
        </w:rPr>
        <w:t>绿色</w:t>
      </w:r>
      <w:r>
        <w:rPr>
          <w:sz w:val="21"/>
          <w:szCs w:val="21"/>
        </w:rPr>
        <w:t>施工</w:t>
      </w:r>
      <w:bookmarkEnd w:id="706"/>
      <w:bookmarkEnd w:id="707"/>
    </w:p>
    <w:p w14:paraId="0C387819">
      <w:pPr>
        <w:spacing w:before="120" w:beforeLines="50" w:after="120" w:afterLines="50"/>
        <w:jc w:val="center"/>
        <w:outlineLvl w:val="1"/>
        <w:rPr>
          <w:rFonts w:hint="eastAsia"/>
          <w:sz w:val="21"/>
          <w:szCs w:val="21"/>
        </w:rPr>
      </w:pPr>
      <w:bookmarkStart w:id="708" w:name="_Toc30552"/>
      <w:bookmarkStart w:id="709" w:name="_Toc7199"/>
      <w:r>
        <w:rPr>
          <w:sz w:val="21"/>
          <w:szCs w:val="21"/>
        </w:rPr>
        <w:t>6.1 管理</w:t>
      </w:r>
      <w:r>
        <w:rPr>
          <w:rFonts w:hint="eastAsia"/>
          <w:sz w:val="21"/>
          <w:szCs w:val="21"/>
        </w:rPr>
        <w:t>科学</w:t>
      </w:r>
      <w:bookmarkEnd w:id="708"/>
      <w:bookmarkEnd w:id="709"/>
    </w:p>
    <w:p w14:paraId="6D640144">
      <w:pPr>
        <w:adjustRightInd w:val="0"/>
        <w:snapToGrid w:val="0"/>
        <w:rPr>
          <w:rFonts w:hint="eastAsia"/>
          <w:sz w:val="21"/>
          <w:szCs w:val="21"/>
        </w:rPr>
      </w:pPr>
      <w:r>
        <w:rPr>
          <w:rFonts w:hint="eastAsia"/>
          <w:sz w:val="21"/>
          <w:szCs w:val="21"/>
        </w:rPr>
        <w:t>6.1.1绿色施工科学管理应坚持以人为本、环境保护优先原则，实现资源的高效利用，最大程度地节约资源和减少对环境负面影响。对绿色施工的从组织管理、目标管理、实施管理等环节进行规范，用于指导工程建设全过程实行绿色施工。</w:t>
      </w:r>
    </w:p>
    <w:p w14:paraId="309171A9">
      <w:pPr>
        <w:spacing w:before="120" w:beforeLines="50" w:after="120" w:afterLines="50"/>
        <w:jc w:val="center"/>
        <w:outlineLvl w:val="1"/>
        <w:rPr>
          <w:rFonts w:hint="eastAsia"/>
          <w:sz w:val="21"/>
          <w:szCs w:val="21"/>
        </w:rPr>
      </w:pPr>
      <w:bookmarkStart w:id="710" w:name="_Toc935"/>
      <w:bookmarkStart w:id="711" w:name="_Toc21092"/>
      <w:r>
        <w:rPr>
          <w:sz w:val="21"/>
          <w:szCs w:val="21"/>
        </w:rPr>
        <w:t>6.2 安全环保</w:t>
      </w:r>
      <w:bookmarkEnd w:id="710"/>
      <w:bookmarkEnd w:id="711"/>
    </w:p>
    <w:p w14:paraId="56C21FDC">
      <w:pPr>
        <w:adjustRightInd w:val="0"/>
        <w:snapToGrid w:val="0"/>
        <w:jc w:val="center"/>
        <w:rPr>
          <w:rFonts w:hint="eastAsia"/>
          <w:sz w:val="21"/>
          <w:szCs w:val="21"/>
        </w:rPr>
      </w:pPr>
      <w:r>
        <w:rPr>
          <w:rFonts w:hint="eastAsia"/>
          <w:sz w:val="21"/>
          <w:szCs w:val="21"/>
        </w:rPr>
        <w:t>Ⅰ</w:t>
      </w:r>
      <w:r>
        <w:rPr>
          <w:sz w:val="21"/>
          <w:szCs w:val="21"/>
        </w:rPr>
        <w:t>通用项</w:t>
      </w:r>
    </w:p>
    <w:p w14:paraId="704D0EFD">
      <w:pPr>
        <w:adjustRightInd w:val="0"/>
        <w:snapToGrid w:val="0"/>
        <w:rPr>
          <w:rFonts w:hint="eastAsia"/>
          <w:sz w:val="21"/>
          <w:szCs w:val="21"/>
        </w:rPr>
      </w:pPr>
      <w:r>
        <w:rPr>
          <w:sz w:val="21"/>
          <w:szCs w:val="21"/>
        </w:rPr>
        <w:t>6.2.</w:t>
      </w:r>
      <w:r>
        <w:rPr>
          <w:rFonts w:hint="eastAsia"/>
          <w:sz w:val="21"/>
          <w:szCs w:val="21"/>
        </w:rPr>
        <w:t>2应制定施工现场环境污染和职业危害等突发事件的应急预案。</w:t>
      </w:r>
    </w:p>
    <w:p w14:paraId="5744F878">
      <w:pPr>
        <w:adjustRightInd w:val="0"/>
        <w:snapToGrid w:val="0"/>
        <w:rPr>
          <w:rFonts w:hint="eastAsia"/>
          <w:sz w:val="21"/>
          <w:szCs w:val="21"/>
        </w:rPr>
      </w:pPr>
      <w:r>
        <w:rPr>
          <w:sz w:val="21"/>
          <w:szCs w:val="21"/>
        </w:rPr>
        <w:t>6.2.</w:t>
      </w:r>
      <w:r>
        <w:rPr>
          <w:rFonts w:hint="eastAsia"/>
          <w:sz w:val="21"/>
          <w:szCs w:val="21"/>
        </w:rPr>
        <w:t>3扬尘控制主要包括施工场地的处理、设置施工围挡、施工过程和施工拆除四个阶段。扬尘控制应每天由专人采集数据，形成数据台账，根据数据情况，启用降尘措施。</w:t>
      </w:r>
    </w:p>
    <w:p w14:paraId="0BFCF77A">
      <w:pPr>
        <w:adjustRightInd w:val="0"/>
        <w:snapToGrid w:val="0"/>
        <w:ind w:firstLine="420" w:firstLineChars="200"/>
        <w:rPr>
          <w:rFonts w:hint="eastAsia"/>
          <w:sz w:val="21"/>
          <w:szCs w:val="21"/>
        </w:rPr>
      </w:pPr>
      <w:r>
        <w:rPr>
          <w:sz w:val="21"/>
          <w:szCs w:val="21"/>
        </w:rPr>
        <w:t>1</w:t>
      </w:r>
      <w:r>
        <w:rPr>
          <w:rFonts w:hint="eastAsia"/>
          <w:sz w:val="21"/>
          <w:szCs w:val="21"/>
        </w:rPr>
        <w:t>通过监控系统随时监控工地现场扬尘情况，施工现场安装</w:t>
      </w:r>
      <w:r>
        <w:rPr>
          <w:sz w:val="21"/>
          <w:szCs w:val="21"/>
        </w:rPr>
        <w:t>PM2.5和PM10监控系统，通过系统检测数据进行现场控制。</w:t>
      </w:r>
      <w:r>
        <w:rPr>
          <w:rFonts w:hint="eastAsia"/>
          <w:sz w:val="21"/>
          <w:szCs w:val="21"/>
        </w:rPr>
        <w:t>扬尘监测系统宜安装在施工工地的围挡内且相对固定的地点；选择在工地周围视野良好、通风条件良好的位置；在线监测设备基座应釆用砌筑或混凝土浇筑予以固定；监测仪器采样口应垂直设置，采样口到在线检测仪器的管道长度应小于</w:t>
      </w:r>
      <w:r>
        <w:rPr>
          <w:sz w:val="21"/>
          <w:szCs w:val="21"/>
        </w:rPr>
        <w:t>2.5m，釆样口高度应设置在距离地面3.5±0.5m处，离反射面大于3.5m。占地面积在10000㎡以上的建设工程，在建设工程施工现场应至少安装1套扬尘在线监测设备，每增加10000㎡宜增设1个监测点，增设的监测点应设置在距离主要扬尘源5m处。</w:t>
      </w:r>
    </w:p>
    <w:p w14:paraId="02AEBBAC">
      <w:pPr>
        <w:adjustRightInd w:val="0"/>
        <w:snapToGrid w:val="0"/>
        <w:ind w:firstLine="420" w:firstLineChars="200"/>
        <w:outlineLvl w:val="0"/>
        <w:rPr>
          <w:rFonts w:hint="eastAsia"/>
          <w:sz w:val="21"/>
          <w:szCs w:val="21"/>
        </w:rPr>
      </w:pPr>
      <w:bookmarkStart w:id="712" w:name="_Toc1106"/>
      <w:bookmarkStart w:id="713" w:name="_Toc20462"/>
      <w:r>
        <w:rPr>
          <w:rFonts w:hint="eastAsia"/>
          <w:sz w:val="21"/>
          <w:szCs w:val="21"/>
        </w:rPr>
        <w:t>3对于易产生扬尘的作业应采取防尘、抑尘及降尘措施，如：</w:t>
      </w:r>
      <w:bookmarkEnd w:id="712"/>
      <w:bookmarkEnd w:id="713"/>
    </w:p>
    <w:p w14:paraId="04625961">
      <w:pPr>
        <w:adjustRightInd w:val="0"/>
        <w:snapToGrid w:val="0"/>
        <w:ind w:firstLine="420" w:firstLineChars="200"/>
        <w:rPr>
          <w:rFonts w:hint="eastAsia"/>
          <w:sz w:val="21"/>
          <w:szCs w:val="21"/>
        </w:rPr>
      </w:pPr>
      <w:r>
        <w:rPr>
          <w:rFonts w:hint="eastAsia"/>
          <w:sz w:val="21"/>
          <w:szCs w:val="21"/>
        </w:rPr>
        <w:t>1）</w:t>
      </w:r>
      <w:r>
        <w:rPr>
          <w:sz w:val="21"/>
          <w:szCs w:val="21"/>
        </w:rPr>
        <w:t>结构施工期间，对模板内的木屑，废渣清理</w:t>
      </w:r>
      <w:r>
        <w:rPr>
          <w:rFonts w:hint="eastAsia"/>
          <w:sz w:val="21"/>
          <w:szCs w:val="21"/>
        </w:rPr>
        <w:t>应</w:t>
      </w:r>
      <w:r>
        <w:rPr>
          <w:sz w:val="21"/>
          <w:szCs w:val="21"/>
        </w:rPr>
        <w:t>采用大型吸尘器，避免使用吹</w:t>
      </w:r>
      <w:r>
        <w:rPr>
          <w:rFonts w:hint="eastAsia"/>
          <w:sz w:val="21"/>
          <w:szCs w:val="21"/>
        </w:rPr>
        <w:t>风器等易产生扬尘的设备，防止灰</w:t>
      </w:r>
      <w:r>
        <w:rPr>
          <w:sz w:val="21"/>
          <w:szCs w:val="21"/>
        </w:rPr>
        <w:t>尘的扩散。机械剔凿作业时可用局部遮挡、掩盖、水淋等防护措施</w:t>
      </w:r>
      <w:r>
        <w:rPr>
          <w:rFonts w:hint="eastAsia"/>
          <w:sz w:val="21"/>
          <w:szCs w:val="21"/>
        </w:rPr>
        <w:t>；2）拆除施工时，对拆除建筑进行喷淋除尘并设置立体式遮挡尘土的防护设施；3）当进行爆破拆除时，应采用清理积尘、淋湿地面、预湿墙体、屋面敷水袋、楼面蓄水、建筑外设高压喷雾状水系统、搭设防尘排栅等综合降尘措施。</w:t>
      </w:r>
    </w:p>
    <w:p w14:paraId="4C0B91F1">
      <w:pPr>
        <w:adjustRightInd w:val="0"/>
        <w:snapToGrid w:val="0"/>
        <w:rPr>
          <w:rFonts w:hint="eastAsia"/>
          <w:sz w:val="21"/>
          <w:szCs w:val="21"/>
        </w:rPr>
      </w:pPr>
      <w:r>
        <w:rPr>
          <w:sz w:val="21"/>
          <w:szCs w:val="21"/>
        </w:rPr>
        <w:t>6.2.</w:t>
      </w:r>
      <w:r>
        <w:rPr>
          <w:rFonts w:hint="eastAsia"/>
          <w:sz w:val="21"/>
          <w:szCs w:val="21"/>
        </w:rPr>
        <w:t>4</w:t>
      </w:r>
      <w:r>
        <w:rPr>
          <w:sz w:val="21"/>
          <w:szCs w:val="21"/>
        </w:rPr>
        <w:t>水土污染</w:t>
      </w:r>
      <w:r>
        <w:rPr>
          <w:rFonts w:hint="eastAsia"/>
          <w:sz w:val="21"/>
          <w:szCs w:val="21"/>
        </w:rPr>
        <w:t>控制，结合施工作业及生活区域产生的废（污）水污染源进行识别，主要包括但不限于：生产废（污）水（施工排水、车辆冲洗水、拌合系统产生的废水、建筑物上部施工用水产生的废水、基坑内废水、泥浆处理产生的废水、石料冲洗、围堰施工振动引起的底泥扰动迁移、半幅导流阶段水土流失造成地表水污染等）；生活废（污）水（食堂、厕所、淋浴间产生的污水等）。</w:t>
      </w:r>
    </w:p>
    <w:p w14:paraId="72EAA1C1">
      <w:pPr>
        <w:adjustRightInd w:val="0"/>
        <w:snapToGrid w:val="0"/>
        <w:rPr>
          <w:rFonts w:hint="eastAsia"/>
          <w:sz w:val="21"/>
          <w:szCs w:val="21"/>
        </w:rPr>
      </w:pPr>
      <w:r>
        <w:rPr>
          <w:sz w:val="21"/>
          <w:szCs w:val="21"/>
        </w:rPr>
        <w:t>6.2.</w:t>
      </w:r>
      <w:r>
        <w:rPr>
          <w:rFonts w:hint="eastAsia"/>
          <w:sz w:val="21"/>
          <w:szCs w:val="21"/>
        </w:rPr>
        <w:t>5对施工过程中产生的废气进行识别，主要包括但不限于：施工机械设备排放的废气、施工工艺产生的废气、生活废气等。</w:t>
      </w:r>
    </w:p>
    <w:p w14:paraId="2E4C6A84">
      <w:pPr>
        <w:adjustRightInd w:val="0"/>
        <w:snapToGrid w:val="0"/>
        <w:ind w:firstLine="420" w:firstLineChars="200"/>
        <w:rPr>
          <w:rFonts w:hint="eastAsia"/>
          <w:sz w:val="21"/>
          <w:szCs w:val="21"/>
        </w:rPr>
      </w:pPr>
      <w:r>
        <w:rPr>
          <w:sz w:val="21"/>
          <w:szCs w:val="21"/>
        </w:rPr>
        <w:t>4</w:t>
      </w:r>
      <w:r>
        <w:rPr>
          <w:rFonts w:hint="eastAsia"/>
          <w:sz w:val="21"/>
          <w:szCs w:val="21"/>
        </w:rPr>
        <w:t>施工现场进行喷漆、喷砂、除锈作业，应按照当地政府要求，采取有效措施。</w:t>
      </w:r>
    </w:p>
    <w:p w14:paraId="449F181A">
      <w:pPr>
        <w:adjustRightInd w:val="0"/>
        <w:snapToGrid w:val="0"/>
        <w:rPr>
          <w:rFonts w:hint="eastAsia"/>
          <w:sz w:val="21"/>
          <w:szCs w:val="21"/>
        </w:rPr>
      </w:pPr>
      <w:r>
        <w:rPr>
          <w:sz w:val="21"/>
          <w:szCs w:val="21"/>
        </w:rPr>
        <w:t>6.2.</w:t>
      </w:r>
      <w:r>
        <w:rPr>
          <w:rFonts w:hint="eastAsia"/>
          <w:sz w:val="21"/>
          <w:szCs w:val="21"/>
        </w:rPr>
        <w:t>6结合施工作业对光污染源进行识别，主要包括但不限于夜间照明、电弧焊接等。</w:t>
      </w:r>
    </w:p>
    <w:p w14:paraId="266C8898">
      <w:pPr>
        <w:adjustRightInd w:val="0"/>
        <w:snapToGrid w:val="0"/>
        <w:ind w:firstLine="420" w:firstLineChars="200"/>
        <w:rPr>
          <w:rFonts w:hint="eastAsia"/>
          <w:sz w:val="21"/>
          <w:szCs w:val="21"/>
        </w:rPr>
      </w:pPr>
      <w:r>
        <w:rPr>
          <w:sz w:val="21"/>
          <w:szCs w:val="21"/>
        </w:rPr>
        <w:t xml:space="preserve">2 </w:t>
      </w:r>
      <w:r>
        <w:rPr>
          <w:rFonts w:hint="eastAsia"/>
          <w:sz w:val="21"/>
          <w:szCs w:val="21"/>
        </w:rPr>
        <w:t>电焊作业宜搭设操作棚，避免造成光污染，或者在焊点周围设挡板，挡板高度和宽度以不影响周围居民场所为宜。焊接作业设置遮光罩，减少弧光外泄影响周边环境，遮光罩采用不燃材料制作。焊工应佩戴个人防护用品施焊。</w:t>
      </w:r>
    </w:p>
    <w:p w14:paraId="2CC0FF52">
      <w:pPr>
        <w:adjustRightInd w:val="0"/>
        <w:snapToGrid w:val="0"/>
        <w:rPr>
          <w:rFonts w:hint="eastAsia"/>
          <w:sz w:val="21"/>
          <w:szCs w:val="21"/>
        </w:rPr>
      </w:pPr>
      <w:r>
        <w:rPr>
          <w:sz w:val="21"/>
          <w:szCs w:val="21"/>
        </w:rPr>
        <w:t>6.2.</w:t>
      </w:r>
      <w:r>
        <w:rPr>
          <w:rFonts w:hint="eastAsia"/>
          <w:sz w:val="21"/>
          <w:szCs w:val="21"/>
        </w:rPr>
        <w:t>7施工场界环境噪音排放昼间不应超过</w:t>
      </w:r>
      <w:r>
        <w:rPr>
          <w:sz w:val="21"/>
          <w:szCs w:val="21"/>
        </w:rPr>
        <w:t>70dB（A）,夜间不应超过55dB（A）。</w:t>
      </w:r>
    </w:p>
    <w:p w14:paraId="030FA6F0">
      <w:pPr>
        <w:adjustRightInd w:val="0"/>
        <w:snapToGrid w:val="0"/>
        <w:jc w:val="center"/>
        <w:rPr>
          <w:rFonts w:hint="eastAsia"/>
          <w:sz w:val="21"/>
          <w:szCs w:val="21"/>
        </w:rPr>
      </w:pPr>
      <w:r>
        <w:rPr>
          <w:rFonts w:hint="eastAsia"/>
          <w:sz w:val="21"/>
          <w:szCs w:val="21"/>
        </w:rPr>
        <w:t>Ⅱ</w:t>
      </w:r>
      <w:r>
        <w:rPr>
          <w:sz w:val="21"/>
          <w:szCs w:val="21"/>
        </w:rPr>
        <w:t xml:space="preserve"> 专用项</w:t>
      </w:r>
    </w:p>
    <w:p w14:paraId="0A83F6DE">
      <w:pPr>
        <w:adjustRightInd w:val="0"/>
        <w:snapToGrid w:val="0"/>
        <w:outlineLvl w:val="1"/>
        <w:rPr>
          <w:rFonts w:hint="eastAsia"/>
          <w:color w:val="FF0000"/>
          <w:sz w:val="21"/>
          <w:szCs w:val="21"/>
        </w:rPr>
      </w:pPr>
      <w:bookmarkStart w:id="714" w:name="_Toc1656"/>
      <w:bookmarkStart w:id="715" w:name="_Toc12082"/>
      <w:r>
        <w:fldChar w:fldCharType="begin"/>
      </w:r>
      <w:r>
        <w:instrText xml:space="preserve"> HYPERLINK \l "_Toc162470929" </w:instrText>
      </w:r>
      <w:r>
        <w:fldChar w:fldCharType="separate"/>
      </w:r>
      <w:r>
        <w:rPr>
          <w:sz w:val="21"/>
          <w:szCs w:val="21"/>
        </w:rPr>
        <w:t>6.2.1</w:t>
      </w:r>
      <w:r>
        <w:rPr>
          <w:rFonts w:hint="eastAsia"/>
          <w:sz w:val="21"/>
          <w:szCs w:val="21"/>
        </w:rPr>
        <w:t>0</w:t>
      </w:r>
      <w:r>
        <w:rPr>
          <w:sz w:val="21"/>
          <w:szCs w:val="21"/>
        </w:rPr>
        <w:t xml:space="preserve"> 火电</w:t>
      </w:r>
      <w:r>
        <w:rPr>
          <w:rFonts w:hint="eastAsia"/>
          <w:sz w:val="21"/>
          <w:szCs w:val="21"/>
        </w:rPr>
        <w:t>工程安全环保专用项</w:t>
      </w:r>
      <w:r>
        <w:rPr>
          <w:rFonts w:hint="eastAsia"/>
          <w:sz w:val="21"/>
          <w:szCs w:val="21"/>
        </w:rPr>
        <w:fldChar w:fldCharType="end"/>
      </w:r>
      <w:bookmarkEnd w:id="714"/>
      <w:bookmarkEnd w:id="715"/>
    </w:p>
    <w:p w14:paraId="03A2668A">
      <w:pPr>
        <w:adjustRightInd w:val="0"/>
        <w:snapToGrid w:val="0"/>
        <w:ind w:firstLine="420" w:firstLineChars="200"/>
        <w:outlineLvl w:val="0"/>
        <w:rPr>
          <w:rFonts w:hint="eastAsia"/>
          <w:sz w:val="21"/>
          <w:szCs w:val="21"/>
        </w:rPr>
      </w:pPr>
      <w:bookmarkStart w:id="716" w:name="_Toc21699"/>
      <w:bookmarkStart w:id="717" w:name="_Toc7917"/>
      <w:r>
        <w:rPr>
          <w:sz w:val="21"/>
          <w:szCs w:val="21"/>
        </w:rPr>
        <w:t>1  燃煤发电工程</w:t>
      </w:r>
      <w:bookmarkEnd w:id="716"/>
      <w:bookmarkEnd w:id="717"/>
    </w:p>
    <w:p w14:paraId="084475F9">
      <w:pPr>
        <w:adjustRightInd w:val="0"/>
        <w:snapToGrid w:val="0"/>
        <w:ind w:firstLine="420" w:firstLineChars="200"/>
        <w:rPr>
          <w:rFonts w:hint="eastAsia"/>
          <w:sz w:val="21"/>
          <w:szCs w:val="21"/>
        </w:rPr>
      </w:pPr>
      <w:r>
        <w:rPr>
          <w:rFonts w:hint="eastAsia"/>
          <w:sz w:val="21"/>
          <w:szCs w:val="21"/>
        </w:rPr>
        <w:t>3）锅炉管排不合适时，使用坡口机进行处理，尽量避免使用磨光机，必须使用磨光机处理时要采用篷布临时遮盖</w:t>
      </w:r>
    </w:p>
    <w:p w14:paraId="456E7E5E">
      <w:pPr>
        <w:adjustRightInd w:val="0"/>
        <w:snapToGrid w:val="0"/>
        <w:ind w:firstLine="420" w:firstLineChars="200"/>
        <w:rPr>
          <w:rFonts w:hint="eastAsia"/>
          <w:sz w:val="21"/>
          <w:szCs w:val="21"/>
        </w:rPr>
      </w:pPr>
      <w:r>
        <w:rPr>
          <w:rFonts w:hint="eastAsia"/>
          <w:sz w:val="21"/>
          <w:szCs w:val="21"/>
        </w:rPr>
        <w:t>5）锅炉吹管、锅炉清洗等制定专门的措施，并严格执行，减少对环境不良影响，机组吹管要选择合适的消音器，排汽口应考虑周围的建筑物，达到经过建筑物的反复折射减低吹管噪音。</w:t>
      </w:r>
    </w:p>
    <w:p w14:paraId="3AF2B5D4">
      <w:pPr>
        <w:adjustRightInd w:val="0"/>
        <w:snapToGrid w:val="0"/>
        <w:ind w:firstLine="420" w:firstLineChars="200"/>
        <w:rPr>
          <w:rFonts w:hint="eastAsia"/>
          <w:sz w:val="21"/>
          <w:szCs w:val="21"/>
        </w:rPr>
      </w:pPr>
      <w:r>
        <w:rPr>
          <w:rFonts w:hint="eastAsia"/>
          <w:sz w:val="21"/>
          <w:szCs w:val="21"/>
        </w:rPr>
        <w:t>7）现场设置带油废弃物回收垃圾箱，回收后的带油废弃物要放到指定地点，由安全员定期进监督、检查,并做好记录。沾染了油、油脂的手套，擦拭油污的棉纱、破布等及时回收，由安全员负责现场油污染物清理的检查和监督。燃油系统油循环完成后，清理滤油器时油要用容器接住，不能污染地面。</w:t>
      </w:r>
    </w:p>
    <w:p w14:paraId="0C3660D5">
      <w:pPr>
        <w:adjustRightInd w:val="0"/>
        <w:snapToGrid w:val="0"/>
        <w:outlineLvl w:val="1"/>
        <w:rPr>
          <w:rFonts w:hint="eastAsia"/>
          <w:color w:val="FF0000"/>
          <w:sz w:val="21"/>
          <w:szCs w:val="21"/>
        </w:rPr>
      </w:pPr>
      <w:bookmarkStart w:id="718" w:name="_Toc169276156"/>
      <w:bookmarkStart w:id="719" w:name="_Toc2078"/>
      <w:bookmarkStart w:id="720" w:name="_Toc10140"/>
      <w:r>
        <w:rPr>
          <w:sz w:val="21"/>
          <w:szCs w:val="21"/>
        </w:rPr>
        <w:t>6.2.</w:t>
      </w:r>
      <w:r>
        <w:rPr>
          <w:rFonts w:hint="eastAsia"/>
          <w:sz w:val="21"/>
          <w:szCs w:val="21"/>
        </w:rPr>
        <w:t>11</w:t>
      </w:r>
      <w:r>
        <w:rPr>
          <w:sz w:val="21"/>
          <w:szCs w:val="21"/>
        </w:rPr>
        <w:t xml:space="preserve"> </w:t>
      </w:r>
      <w:r>
        <w:rPr>
          <w:rFonts w:hint="eastAsia"/>
          <w:sz w:val="21"/>
          <w:szCs w:val="21"/>
        </w:rPr>
        <w:t>水电水利专用项</w:t>
      </w:r>
      <w:bookmarkEnd w:id="718"/>
      <w:bookmarkEnd w:id="719"/>
      <w:bookmarkEnd w:id="720"/>
    </w:p>
    <w:p w14:paraId="1D2D848D">
      <w:pPr>
        <w:adjustRightInd w:val="0"/>
        <w:snapToGrid w:val="0"/>
        <w:ind w:firstLine="420" w:firstLineChars="200"/>
        <w:outlineLvl w:val="0"/>
        <w:rPr>
          <w:rFonts w:hint="eastAsia"/>
          <w:sz w:val="21"/>
          <w:szCs w:val="21"/>
        </w:rPr>
      </w:pPr>
      <w:bookmarkStart w:id="721" w:name="_Toc32268"/>
      <w:bookmarkStart w:id="722" w:name="_Toc17565"/>
      <w:r>
        <w:rPr>
          <w:rFonts w:hint="eastAsia"/>
          <w:sz w:val="21"/>
          <w:szCs w:val="21"/>
        </w:rPr>
        <w:t>1</w:t>
      </w:r>
      <w:r>
        <w:rPr>
          <w:sz w:val="21"/>
          <w:szCs w:val="21"/>
        </w:rPr>
        <w:t xml:space="preserve">  </w:t>
      </w:r>
      <w:r>
        <w:rPr>
          <w:rFonts w:hint="eastAsia"/>
          <w:sz w:val="21"/>
          <w:szCs w:val="21"/>
        </w:rPr>
        <w:t>水力发电（含抽水蓄能）工程</w:t>
      </w:r>
      <w:bookmarkEnd w:id="721"/>
      <w:bookmarkEnd w:id="722"/>
    </w:p>
    <w:p w14:paraId="7642DF66">
      <w:pPr>
        <w:adjustRightInd w:val="0"/>
        <w:snapToGrid w:val="0"/>
        <w:ind w:firstLine="420" w:firstLineChars="200"/>
        <w:rPr>
          <w:rFonts w:hint="eastAsia"/>
          <w:sz w:val="21"/>
          <w:szCs w:val="21"/>
        </w:rPr>
      </w:pPr>
      <w:r>
        <w:rPr>
          <w:rFonts w:hint="eastAsia"/>
          <w:sz w:val="21"/>
          <w:szCs w:val="21"/>
        </w:rPr>
        <w:t>2～3）建设项目中的生态环境保护设施与主体工程同时设计、同时施工、同时投产使用。水电工程蓄水验收前，与蓄水相关的环境保护措施实施情况是评价的一项重要内容，与蓄水相关的过鱼设施、库区珍稀保护植物和古大树移栽树等应完成。</w:t>
      </w:r>
    </w:p>
    <w:p w14:paraId="7E814583">
      <w:pPr>
        <w:adjustRightInd w:val="0"/>
        <w:snapToGrid w:val="0"/>
        <w:ind w:firstLine="420" w:firstLineChars="200"/>
        <w:rPr>
          <w:rFonts w:hint="eastAsia"/>
          <w:sz w:val="21"/>
          <w:szCs w:val="21"/>
        </w:rPr>
      </w:pPr>
      <w:r>
        <w:rPr>
          <w:sz w:val="21"/>
          <w:szCs w:val="21"/>
        </w:rPr>
        <w:t>4</w:t>
      </w:r>
      <w:r>
        <w:rPr>
          <w:rFonts w:hint="eastAsia"/>
          <w:sz w:val="21"/>
          <w:szCs w:val="21"/>
        </w:rPr>
        <w:t>）大江截流前边坡开挖施工，应避免石渣入江，不得影响河道正常行洪。</w:t>
      </w:r>
    </w:p>
    <w:p w14:paraId="40549D5D">
      <w:pPr>
        <w:adjustRightInd w:val="0"/>
        <w:snapToGrid w:val="0"/>
        <w:ind w:firstLine="420" w:firstLineChars="200"/>
        <w:outlineLvl w:val="1"/>
        <w:rPr>
          <w:rFonts w:hint="eastAsia"/>
          <w:sz w:val="21"/>
          <w:szCs w:val="21"/>
        </w:rPr>
      </w:pPr>
      <w:bookmarkStart w:id="723" w:name="_Toc27700"/>
      <w:bookmarkStart w:id="724" w:name="_Toc19545"/>
      <w:r>
        <w:rPr>
          <w:rFonts w:hint="eastAsia"/>
          <w:sz w:val="21"/>
          <w:szCs w:val="21"/>
        </w:rPr>
        <w:t>5）火工材料管理，应服从当地公安部门统一要求。</w:t>
      </w:r>
      <w:bookmarkEnd w:id="723"/>
      <w:bookmarkEnd w:id="724"/>
    </w:p>
    <w:p w14:paraId="0925CC7C">
      <w:pPr>
        <w:ind w:right="-120" w:rightChars="-50"/>
        <w:outlineLvl w:val="2"/>
        <w:rPr>
          <w:rFonts w:hint="eastAsia" w:cs="Times New Roman"/>
          <w:sz w:val="21"/>
          <w:szCs w:val="21"/>
        </w:rPr>
      </w:pPr>
      <w:bookmarkStart w:id="725" w:name="_Toc169276158"/>
      <w:bookmarkStart w:id="726" w:name="_Toc29203"/>
      <w:r>
        <w:rPr>
          <w:sz w:val="21"/>
          <w:szCs w:val="21"/>
        </w:rPr>
        <w:t>6.2.</w:t>
      </w:r>
      <w:r>
        <w:rPr>
          <w:rFonts w:hint="eastAsia"/>
          <w:sz w:val="21"/>
          <w:szCs w:val="21"/>
        </w:rPr>
        <w:t>12</w:t>
      </w:r>
      <w:r>
        <w:rPr>
          <w:sz w:val="21"/>
          <w:szCs w:val="21"/>
        </w:rPr>
        <w:t xml:space="preserve"> </w:t>
      </w:r>
      <w:r>
        <w:rPr>
          <w:rFonts w:hint="eastAsia"/>
          <w:sz w:val="21"/>
          <w:szCs w:val="21"/>
        </w:rPr>
        <w:t>风力发电专用项</w:t>
      </w:r>
      <w:bookmarkEnd w:id="725"/>
      <w:bookmarkEnd w:id="726"/>
    </w:p>
    <w:p w14:paraId="0A226068">
      <w:pPr>
        <w:ind w:right="-120" w:rightChars="-50" w:firstLine="420" w:firstLineChars="200"/>
        <w:rPr>
          <w:rFonts w:hint="eastAsia" w:cs="Times New Roman"/>
          <w:sz w:val="21"/>
          <w:szCs w:val="21"/>
        </w:rPr>
      </w:pPr>
      <w:r>
        <w:rPr>
          <w:rFonts w:hint="eastAsia" w:cs="Times New Roman"/>
          <w:sz w:val="21"/>
          <w:szCs w:val="21"/>
        </w:rPr>
        <w:t>本条对风力发电工程安全环保评价专用项提出要求，专用项按照陆上风电和海上风电项目分别列出。</w:t>
      </w:r>
    </w:p>
    <w:p w14:paraId="63D92176">
      <w:pPr>
        <w:ind w:right="-120" w:rightChars="-50" w:firstLine="420" w:firstLineChars="200"/>
        <w:outlineLvl w:val="0"/>
        <w:rPr>
          <w:rFonts w:hint="eastAsia" w:cs="Times New Roman"/>
          <w:sz w:val="21"/>
          <w:szCs w:val="21"/>
        </w:rPr>
      </w:pPr>
      <w:bookmarkStart w:id="727" w:name="_Toc28379"/>
      <w:bookmarkStart w:id="728" w:name="_Toc19736"/>
      <w:r>
        <w:rPr>
          <w:rFonts w:hint="eastAsia" w:cs="Times New Roman"/>
          <w:sz w:val="21"/>
          <w:szCs w:val="21"/>
        </w:rPr>
        <w:t>1 陆上风电。</w:t>
      </w:r>
      <w:bookmarkEnd w:id="727"/>
      <w:bookmarkEnd w:id="728"/>
    </w:p>
    <w:p w14:paraId="1BE5A81A">
      <w:pPr>
        <w:numPr>
          <w:ilvl w:val="0"/>
          <w:numId w:val="2"/>
        </w:numPr>
        <w:ind w:right="-120" w:rightChars="-50" w:firstLine="420" w:firstLineChars="200"/>
        <w:rPr>
          <w:rFonts w:hint="eastAsia" w:cs="Times New Roman"/>
          <w:sz w:val="21"/>
          <w:szCs w:val="21"/>
        </w:rPr>
      </w:pPr>
      <w:r>
        <w:rPr>
          <w:rFonts w:hint="eastAsia" w:cs="Times New Roman"/>
          <w:sz w:val="21"/>
          <w:szCs w:val="21"/>
        </w:rPr>
        <w:t>风机基础土方开挖方案应经专家论证，在保证安全的前提下采取合理的放坡和边坡支护形式，控制开挖面积，减少对原状土扰动范围。</w:t>
      </w:r>
    </w:p>
    <w:p w14:paraId="546EA710">
      <w:pPr>
        <w:adjustRightInd w:val="0"/>
        <w:snapToGrid w:val="0"/>
        <w:outlineLvl w:val="1"/>
        <w:rPr>
          <w:rFonts w:hint="eastAsia"/>
          <w:color w:val="FF0000"/>
          <w:sz w:val="21"/>
          <w:szCs w:val="21"/>
        </w:rPr>
      </w:pPr>
      <w:bookmarkStart w:id="729" w:name="_Toc3847"/>
      <w:bookmarkStart w:id="730" w:name="_Toc9845"/>
      <w:r>
        <w:rPr>
          <w:sz w:val="21"/>
          <w:szCs w:val="21"/>
        </w:rPr>
        <w:t>6.2.</w:t>
      </w:r>
      <w:r>
        <w:rPr>
          <w:rFonts w:hint="eastAsia"/>
          <w:sz w:val="21"/>
          <w:szCs w:val="21"/>
        </w:rPr>
        <w:t>13</w:t>
      </w:r>
      <w:r>
        <w:rPr>
          <w:sz w:val="21"/>
          <w:szCs w:val="21"/>
        </w:rPr>
        <w:t xml:space="preserve"> </w:t>
      </w:r>
      <w:r>
        <w:rPr>
          <w:rFonts w:hint="eastAsia"/>
          <w:sz w:val="21"/>
          <w:szCs w:val="21"/>
        </w:rPr>
        <w:t>太阳能发电工程专用项</w:t>
      </w:r>
      <w:bookmarkEnd w:id="729"/>
      <w:bookmarkEnd w:id="730"/>
    </w:p>
    <w:p w14:paraId="340C04CD">
      <w:pPr>
        <w:adjustRightInd w:val="0"/>
        <w:snapToGrid w:val="0"/>
        <w:ind w:firstLine="420" w:firstLineChars="200"/>
        <w:rPr>
          <w:rFonts w:hint="eastAsia"/>
          <w:sz w:val="21"/>
          <w:szCs w:val="21"/>
        </w:rPr>
      </w:pPr>
      <w:r>
        <w:rPr>
          <w:rFonts w:hint="eastAsia"/>
          <w:sz w:val="21"/>
          <w:szCs w:val="21"/>
        </w:rPr>
        <w:t>太阳能发电工程安全环保专用项评价分水上光伏、陆上光伏和光热发电项目，针对三种类型的项目特点，本条提出相应安全环保要求，各项目应采取施工区域封闭、防落水、防触电等措施以保障安全。</w:t>
      </w:r>
    </w:p>
    <w:p w14:paraId="4C210D34">
      <w:pPr>
        <w:adjustRightInd w:val="0"/>
        <w:snapToGrid w:val="0"/>
        <w:outlineLvl w:val="1"/>
        <w:rPr>
          <w:rFonts w:hint="eastAsia" w:cs="Times New Roman"/>
          <w:sz w:val="21"/>
          <w:szCs w:val="21"/>
        </w:rPr>
      </w:pPr>
      <w:bookmarkStart w:id="731" w:name="_Toc169276157"/>
      <w:bookmarkStart w:id="732" w:name="_Toc26093"/>
      <w:bookmarkStart w:id="733" w:name="_Toc23873"/>
      <w:bookmarkStart w:id="734" w:name="_Toc169276160"/>
      <w:r>
        <w:rPr>
          <w:rFonts w:hint="eastAsia" w:cs="Times New Roman"/>
          <w:sz w:val="21"/>
          <w:szCs w:val="21"/>
        </w:rPr>
        <w:t>6.2.14</w:t>
      </w:r>
      <w:bookmarkEnd w:id="731"/>
      <w:r>
        <w:rPr>
          <w:rFonts w:hint="eastAsia" w:cs="Times New Roman"/>
          <w:sz w:val="21"/>
          <w:szCs w:val="21"/>
        </w:rPr>
        <w:t>输</w:t>
      </w:r>
      <w:r>
        <w:rPr>
          <w:rFonts w:cs="Times New Roman"/>
          <w:sz w:val="21"/>
          <w:szCs w:val="21"/>
        </w:rPr>
        <w:t>变电</w:t>
      </w:r>
      <w:r>
        <w:rPr>
          <w:rFonts w:hint="eastAsia" w:cs="Times New Roman"/>
          <w:sz w:val="21"/>
          <w:szCs w:val="21"/>
        </w:rPr>
        <w:t>工程专用项</w:t>
      </w:r>
      <w:bookmarkEnd w:id="732"/>
      <w:bookmarkEnd w:id="733"/>
    </w:p>
    <w:p w14:paraId="2B0470D7">
      <w:pPr>
        <w:adjustRightInd w:val="0"/>
        <w:snapToGrid w:val="0"/>
        <w:ind w:firstLine="420" w:firstLineChars="200"/>
        <w:outlineLvl w:val="0"/>
        <w:rPr>
          <w:rFonts w:hint="eastAsia" w:cs="Times New Roman"/>
          <w:sz w:val="21"/>
          <w:szCs w:val="21"/>
        </w:rPr>
      </w:pPr>
      <w:bookmarkStart w:id="735" w:name="_Toc2604"/>
      <w:bookmarkStart w:id="736" w:name="_Toc12068"/>
      <w:r>
        <w:rPr>
          <w:rFonts w:hint="eastAsia" w:cs="Times New Roman"/>
          <w:sz w:val="21"/>
          <w:szCs w:val="21"/>
        </w:rPr>
        <w:t>1</w:t>
      </w:r>
      <w:r>
        <w:rPr>
          <w:rFonts w:cs="Times New Roman"/>
          <w:sz w:val="21"/>
          <w:szCs w:val="21"/>
        </w:rPr>
        <w:t xml:space="preserve">  </w:t>
      </w:r>
      <w:r>
        <w:rPr>
          <w:rFonts w:hint="eastAsia" w:cs="Times New Roman"/>
          <w:sz w:val="21"/>
          <w:szCs w:val="21"/>
        </w:rPr>
        <w:t>变电（换流）站</w:t>
      </w:r>
      <w:bookmarkEnd w:id="735"/>
      <w:bookmarkEnd w:id="736"/>
    </w:p>
    <w:p w14:paraId="64699FA0">
      <w:pPr>
        <w:adjustRightInd w:val="0"/>
        <w:snapToGrid w:val="0"/>
        <w:ind w:firstLine="630" w:firstLineChars="300"/>
        <w:rPr>
          <w:rFonts w:hint="eastAsia" w:cs="Times New Roman"/>
          <w:sz w:val="21"/>
          <w:szCs w:val="21"/>
        </w:rPr>
      </w:pPr>
      <w:r>
        <w:rPr>
          <w:rFonts w:hint="eastAsia" w:cs="Times New Roman"/>
          <w:sz w:val="21"/>
          <w:szCs w:val="21"/>
        </w:rPr>
        <w:t>1）土石方施工考虑建设地域内的文物保护、环境保护、减少对原有地面形态的扰动和破坏。非施工作业区采取绿色处理或覆盖防尘网等措施保护环境。</w:t>
      </w:r>
    </w:p>
    <w:p w14:paraId="431DADD1">
      <w:pPr>
        <w:adjustRightInd w:val="0"/>
        <w:snapToGrid w:val="0"/>
        <w:ind w:firstLine="630" w:firstLineChars="300"/>
        <w:rPr>
          <w:rFonts w:hint="eastAsia" w:cs="Times New Roman"/>
          <w:sz w:val="21"/>
          <w:szCs w:val="21"/>
        </w:rPr>
      </w:pPr>
      <w:r>
        <w:rPr>
          <w:rFonts w:hint="eastAsia" w:cs="Times New Roman"/>
          <w:sz w:val="21"/>
          <w:szCs w:val="21"/>
        </w:rPr>
        <w:t>2）灌注桩作业时产生的泥浆包含大量悬浮物，无组织排放将对周边生态环境造成严重污染，应建立由制浆池、泥浆池、沉淀池和循环槽等组成的泥浆循环系统，并采用优质管材，减少阀门和接口的数量，禁止发生外溢漫流的情况。</w:t>
      </w:r>
    </w:p>
    <w:p w14:paraId="64A20BF5">
      <w:pPr>
        <w:adjustRightInd w:val="0"/>
        <w:snapToGrid w:val="0"/>
        <w:ind w:firstLine="420" w:firstLineChars="200"/>
        <w:rPr>
          <w:rFonts w:hint="eastAsia" w:cs="Times New Roman"/>
          <w:sz w:val="21"/>
          <w:szCs w:val="21"/>
        </w:rPr>
      </w:pPr>
      <w:r>
        <w:rPr>
          <w:rFonts w:hint="eastAsia" w:cs="Times New Roman"/>
          <w:sz w:val="21"/>
          <w:szCs w:val="21"/>
        </w:rPr>
        <w:t>鼓励护壁和清孔泥浆利用生态环保泥浆；也可将泥浆进化器快速清理出工程泥浆中的有害固体后余下的干净泥浆再次返回到工程桩基孔（槽）内循环使用；可使用泥浆固化设备将现场水压出重复使用等，达到环境保护的目的。</w:t>
      </w:r>
    </w:p>
    <w:p w14:paraId="37B19876">
      <w:pPr>
        <w:adjustRightInd w:val="0"/>
        <w:snapToGrid w:val="0"/>
        <w:ind w:firstLine="630" w:firstLineChars="300"/>
        <w:rPr>
          <w:rFonts w:hint="eastAsia" w:cs="Times New Roman"/>
          <w:sz w:val="21"/>
          <w:szCs w:val="21"/>
        </w:rPr>
      </w:pPr>
      <w:r>
        <w:rPr>
          <w:rFonts w:hint="eastAsia" w:cs="Times New Roman"/>
          <w:sz w:val="21"/>
          <w:szCs w:val="21"/>
        </w:rPr>
        <w:t>3）钢结构防腐、防火涂料采用环保、耐候性好的材料，减少对环境污染，增加材料使用寿命。喷涂作业施工若操作不慎会引起材料飞散，污染环境。故施工时应对作业面外易飞散物污染的部位，采取涂料外泄措施。</w:t>
      </w:r>
    </w:p>
    <w:p w14:paraId="3332B445">
      <w:pPr>
        <w:adjustRightInd w:val="0"/>
        <w:snapToGrid w:val="0"/>
        <w:ind w:firstLine="630" w:firstLineChars="300"/>
        <w:rPr>
          <w:rFonts w:hint="eastAsia" w:cs="Times New Roman"/>
          <w:sz w:val="21"/>
          <w:szCs w:val="21"/>
        </w:rPr>
      </w:pPr>
      <w:r>
        <w:rPr>
          <w:rFonts w:hint="eastAsia" w:cs="Times New Roman"/>
          <w:sz w:val="21"/>
          <w:szCs w:val="21"/>
        </w:rPr>
        <w:t>4）滚涂和刷涂作业时，滚筒和刷子和作业面直接接触，可减少涂料防水材料的使用量，且不宜产生飞散颗粒，减少环境污染和保护人身安全。喷涂作业施工极易产生材料飞散，污染环境，故施工时应采取涂料外泄措施。</w:t>
      </w:r>
    </w:p>
    <w:p w14:paraId="3B3A86E5">
      <w:pPr>
        <w:adjustRightInd w:val="0"/>
        <w:snapToGrid w:val="0"/>
        <w:ind w:firstLine="630" w:firstLineChars="300"/>
        <w:rPr>
          <w:rFonts w:hint="eastAsia" w:cs="Times New Roman"/>
          <w:sz w:val="21"/>
          <w:szCs w:val="21"/>
        </w:rPr>
      </w:pPr>
      <w:r>
        <w:rPr>
          <w:rFonts w:hint="eastAsia" w:cs="Times New Roman"/>
          <w:sz w:val="21"/>
          <w:szCs w:val="21"/>
        </w:rPr>
        <w:t>5）装饰装修工程中采用沥青类、煤油类防腐、防潮处理剂施工时略有毒性，影响施工作业人员的安全健康。</w:t>
      </w:r>
    </w:p>
    <w:p w14:paraId="4F55D223">
      <w:pPr>
        <w:adjustRightInd w:val="0"/>
        <w:snapToGrid w:val="0"/>
        <w:ind w:firstLine="630" w:firstLineChars="300"/>
        <w:rPr>
          <w:rFonts w:hint="eastAsia" w:cs="Times New Roman"/>
          <w:sz w:val="21"/>
          <w:szCs w:val="21"/>
        </w:rPr>
      </w:pPr>
      <w:r>
        <w:rPr>
          <w:rFonts w:hint="eastAsia" w:cs="Times New Roman"/>
          <w:sz w:val="21"/>
          <w:szCs w:val="21"/>
        </w:rPr>
        <w:t>6）换填法施工过程中，运土车应为封闭自卸式，回填区域运用洒水车、雾炮喷淋等措施减少扬尘扩散；回填工作应连续进行，且需密切关注天气变化，遇到四级以上大风天气不进行土方回填，土方回填压实后，立即进行防尘网覆盖，防止扬尘污染。</w:t>
      </w:r>
      <w:r>
        <w:rPr>
          <w:rFonts w:cs="Times New Roman"/>
          <w:sz w:val="21"/>
          <w:szCs w:val="21"/>
        </w:rPr>
        <w:t>4级风以上天气严禁回填土施工，施工间歇时对回填土进行覆盖。灰土过筛施工采取避风措施。</w:t>
      </w:r>
    </w:p>
    <w:p w14:paraId="2A6B657A">
      <w:pPr>
        <w:adjustRightInd w:val="0"/>
        <w:snapToGrid w:val="0"/>
        <w:ind w:firstLine="630" w:firstLineChars="300"/>
        <w:rPr>
          <w:rFonts w:hint="eastAsia" w:cs="Times New Roman"/>
          <w:sz w:val="21"/>
          <w:szCs w:val="21"/>
        </w:rPr>
      </w:pPr>
      <w:r>
        <w:rPr>
          <w:rFonts w:hint="eastAsia" w:cs="Times New Roman"/>
          <w:sz w:val="21"/>
          <w:szCs w:val="21"/>
        </w:rPr>
        <w:t>7）电池液含有对中有毒有害物质，若电池液泄露，可能会对环境造成污染、设备造成破坏。当电池液进入设备内部造成氧化腐蚀，导致设备短路、故障等问题；进入水源、土壤中时，会污染环境，影响生态平衡，对人类和动物的健康造成潜在危害。</w:t>
      </w:r>
    </w:p>
    <w:p w14:paraId="7520CE36">
      <w:pPr>
        <w:adjustRightInd w:val="0"/>
        <w:snapToGrid w:val="0"/>
        <w:ind w:firstLine="630" w:firstLineChars="300"/>
        <w:rPr>
          <w:rFonts w:hint="eastAsia" w:cs="Times New Roman"/>
          <w:sz w:val="21"/>
          <w:szCs w:val="21"/>
        </w:rPr>
      </w:pPr>
      <w:r>
        <w:rPr>
          <w:rFonts w:hint="eastAsia" w:cs="Times New Roman"/>
          <w:sz w:val="21"/>
          <w:szCs w:val="21"/>
        </w:rPr>
        <w:t>8）绝缘油属于危险化学品，危化的存储与回收，需专人专管，存放区域满足危化品管理的要求。绝缘油的渗漏将严重造成土壤污染，造成地区环境污染，影响周围生态环境。</w:t>
      </w:r>
    </w:p>
    <w:p w14:paraId="0693E61B">
      <w:pPr>
        <w:adjustRightInd w:val="0"/>
        <w:snapToGrid w:val="0"/>
        <w:ind w:firstLine="630" w:firstLineChars="300"/>
        <w:rPr>
          <w:rFonts w:hint="eastAsia" w:cs="Times New Roman"/>
          <w:sz w:val="21"/>
          <w:szCs w:val="21"/>
        </w:rPr>
      </w:pPr>
      <w:r>
        <w:rPr>
          <w:rFonts w:hint="eastAsia" w:cs="Times New Roman"/>
          <w:sz w:val="21"/>
          <w:szCs w:val="21"/>
        </w:rPr>
        <w:t>9）油浸式变压器油务作业工序需正确规范，避免因操作不当，造成油损伤，人为性造成油品污染，加大现场油务作业量，一旦损伤性油品处理不当，将严重造成土壤污染，造成地区环境污染，影响周围生态环境。故，油务工作需按规范开展。</w:t>
      </w:r>
    </w:p>
    <w:p w14:paraId="72EF5047">
      <w:pPr>
        <w:adjustRightInd w:val="0"/>
        <w:snapToGrid w:val="0"/>
        <w:ind w:firstLine="630" w:firstLineChars="300"/>
        <w:rPr>
          <w:rFonts w:hint="eastAsia" w:cs="Times New Roman"/>
          <w:sz w:val="21"/>
          <w:szCs w:val="21"/>
        </w:rPr>
      </w:pPr>
      <w:r>
        <w:rPr>
          <w:rFonts w:hint="eastAsia" w:cs="Times New Roman"/>
          <w:sz w:val="21"/>
          <w:szCs w:val="21"/>
        </w:rPr>
        <w:t>10）大型油浸式变压器均需开展内检作业，且对内检人员穿着、现场防尘、防潮要求高，且均属于一次性装备，带油装备属固体废弃物，施工现场对固废需针对性处理，避免影响周围生态环境。</w:t>
      </w:r>
    </w:p>
    <w:p w14:paraId="61E7B604">
      <w:pPr>
        <w:adjustRightInd w:val="0"/>
        <w:snapToGrid w:val="0"/>
        <w:ind w:firstLine="630" w:firstLineChars="300"/>
        <w:rPr>
          <w:rFonts w:hint="eastAsia" w:cs="Times New Roman"/>
          <w:sz w:val="21"/>
          <w:szCs w:val="21"/>
        </w:rPr>
      </w:pPr>
      <w:r>
        <w:rPr>
          <w:rFonts w:hint="eastAsia" w:cs="Times New Roman"/>
          <w:sz w:val="21"/>
          <w:szCs w:val="21"/>
        </w:rPr>
        <w:t>11）GIS配电装置安装现场配备风淋房、颗粒物检测仪、温湿度计、除湿器、空气净化器，可有效提升安装环境质量，避免设备因质量原因造成设备事故，引起六氟化硫气体泄漏，进而破坏周围生态环境。</w:t>
      </w:r>
    </w:p>
    <w:p w14:paraId="113EABF8">
      <w:pPr>
        <w:adjustRightInd w:val="0"/>
        <w:snapToGrid w:val="0"/>
        <w:ind w:firstLine="630" w:firstLineChars="300"/>
        <w:rPr>
          <w:rFonts w:hint="eastAsia" w:cs="Times New Roman"/>
          <w:sz w:val="21"/>
          <w:szCs w:val="21"/>
        </w:rPr>
      </w:pPr>
      <w:r>
        <w:rPr>
          <w:rFonts w:hint="eastAsia" w:cs="Times New Roman"/>
          <w:sz w:val="21"/>
          <w:szCs w:val="21"/>
        </w:rPr>
        <w:t>12）六氟化硫属于危化品，做好六氟化硫的使用检测，可大大降低六氟化硫气体大面积泄漏事故的发生，避免造成区域性环境污染。</w:t>
      </w:r>
    </w:p>
    <w:p w14:paraId="2C580DE1">
      <w:pPr>
        <w:adjustRightInd w:val="0"/>
        <w:snapToGrid w:val="0"/>
        <w:ind w:firstLine="630" w:firstLineChars="300"/>
        <w:rPr>
          <w:rFonts w:hint="eastAsia" w:cs="Times New Roman"/>
          <w:sz w:val="21"/>
          <w:szCs w:val="21"/>
        </w:rPr>
      </w:pPr>
      <w:r>
        <w:rPr>
          <w:rFonts w:hint="eastAsia" w:cs="Times New Roman"/>
          <w:sz w:val="21"/>
          <w:szCs w:val="21"/>
        </w:rPr>
        <w:t>13）液压油属于危险化学品，危化的存储与回收，需专人专管，液压设备工作时，压力一般达到兆帕级，管路管控不当极易造成渗漏，液压油将造成土壤污染，造成地区环境污染，影响周围生态环境。</w:t>
      </w:r>
    </w:p>
    <w:p w14:paraId="491940D6">
      <w:pPr>
        <w:adjustRightInd w:val="0"/>
        <w:snapToGrid w:val="0"/>
        <w:ind w:firstLine="630" w:firstLineChars="300"/>
        <w:rPr>
          <w:rFonts w:hint="eastAsia" w:cs="Times New Roman"/>
          <w:sz w:val="21"/>
          <w:szCs w:val="21"/>
        </w:rPr>
      </w:pPr>
      <w:r>
        <w:rPr>
          <w:rFonts w:hint="eastAsia" w:cs="Times New Roman"/>
          <w:sz w:val="21"/>
          <w:szCs w:val="21"/>
        </w:rPr>
        <w:t>14）电缆头、电缆皮属固体废弃物，固废难以自然降解，随意丢弃无法有效自然降解，极易造成周围土壤环境的污染。</w:t>
      </w:r>
    </w:p>
    <w:p w14:paraId="68D9323F">
      <w:pPr>
        <w:adjustRightInd w:val="0"/>
        <w:snapToGrid w:val="0"/>
        <w:ind w:firstLine="420" w:firstLineChars="200"/>
        <w:outlineLvl w:val="0"/>
        <w:rPr>
          <w:rFonts w:hint="eastAsia" w:cs="Times New Roman"/>
          <w:sz w:val="21"/>
          <w:szCs w:val="21"/>
        </w:rPr>
      </w:pPr>
      <w:bookmarkStart w:id="737" w:name="_Toc29963"/>
      <w:bookmarkStart w:id="738" w:name="_Toc22997"/>
      <w:r>
        <w:rPr>
          <w:rFonts w:hint="eastAsia" w:cs="Times New Roman"/>
          <w:sz w:val="21"/>
          <w:szCs w:val="21"/>
        </w:rPr>
        <w:t>2</w:t>
      </w:r>
      <w:r>
        <w:rPr>
          <w:rFonts w:cs="Times New Roman"/>
          <w:sz w:val="21"/>
          <w:szCs w:val="21"/>
        </w:rPr>
        <w:t xml:space="preserve">  </w:t>
      </w:r>
      <w:r>
        <w:rPr>
          <w:rFonts w:hint="eastAsia" w:cs="Times New Roman"/>
          <w:sz w:val="21"/>
          <w:szCs w:val="21"/>
        </w:rPr>
        <w:t>架空输电线路</w:t>
      </w:r>
      <w:bookmarkEnd w:id="737"/>
      <w:bookmarkEnd w:id="738"/>
    </w:p>
    <w:p w14:paraId="6F69994A">
      <w:pPr>
        <w:adjustRightInd w:val="0"/>
        <w:snapToGrid w:val="0"/>
        <w:ind w:firstLine="630" w:firstLineChars="300"/>
        <w:rPr>
          <w:rFonts w:hint="eastAsia" w:cs="Times New Roman"/>
          <w:sz w:val="21"/>
          <w:szCs w:val="21"/>
        </w:rPr>
      </w:pPr>
      <w:r>
        <w:rPr>
          <w:rFonts w:hint="eastAsia" w:cs="Times New Roman"/>
          <w:sz w:val="21"/>
          <w:szCs w:val="21"/>
        </w:rPr>
        <w:t>1）灌注桩等基础施工应考虑考虑建设地域内的文物保护、环境保护、减少对原有地面形态的扰动和破坏。非施工作业区采取绿色处理或覆盖防尘网等措施保护环境作业时产生的泥浆包含大量悬浮物，无组织排放将对周边生态环境造成严重污染，应建立由制浆池、泥浆池、沉淀池和循环槽等措施及设备组成的泥浆循环系。</w:t>
      </w:r>
    </w:p>
    <w:p w14:paraId="412A9622">
      <w:pPr>
        <w:adjustRightInd w:val="0"/>
        <w:snapToGrid w:val="0"/>
        <w:ind w:firstLine="630" w:firstLineChars="300"/>
        <w:rPr>
          <w:rFonts w:hint="eastAsia" w:cs="Times New Roman"/>
          <w:sz w:val="21"/>
          <w:szCs w:val="21"/>
        </w:rPr>
      </w:pPr>
      <w:r>
        <w:rPr>
          <w:rFonts w:hint="eastAsia" w:cs="Times New Roman"/>
          <w:sz w:val="21"/>
          <w:szCs w:val="21"/>
        </w:rPr>
        <w:t>2）架空线路施工过程中的，应确保施工各项操作安全与环保。设置隔油布可避免油污污染环境；对危险品进行妥善存放和管理，能降低安全风险；鼓励使用充电式电动工器具、对木质材料进行检疫和消杀，可减少对环境的影响并防止虫害传播。</w:t>
      </w:r>
    </w:p>
    <w:p w14:paraId="19CE5FB6">
      <w:pPr>
        <w:adjustRightInd w:val="0"/>
        <w:snapToGrid w:val="0"/>
        <w:ind w:firstLine="630" w:firstLineChars="300"/>
        <w:rPr>
          <w:rFonts w:hint="eastAsia" w:cs="Times New Roman"/>
          <w:sz w:val="21"/>
          <w:szCs w:val="21"/>
        </w:rPr>
      </w:pPr>
      <w:r>
        <w:rPr>
          <w:rFonts w:hint="eastAsia" w:cs="Times New Roman"/>
          <w:sz w:val="21"/>
          <w:szCs w:val="21"/>
        </w:rPr>
        <w:t>3）预拌混凝土由专业搅拌站生产，其原材料质量及配合比控制更稳定，能有效保证混凝土质量，确保架空线路基础的稳固性和耐久性。此外，预拌混凝土在搅拌站集中生产，便于集中处理粉尘、废水、废渣等污染物，降低施工现场及周边环境污染，且无需现场堆放原材料与搅拌，节省空间和时间，加快施工进度。</w:t>
      </w:r>
    </w:p>
    <w:p w14:paraId="1D3A75ED">
      <w:pPr>
        <w:adjustRightInd w:val="0"/>
        <w:snapToGrid w:val="0"/>
        <w:ind w:firstLine="630" w:firstLineChars="300"/>
        <w:rPr>
          <w:rFonts w:hint="eastAsia" w:cs="Times New Roman"/>
          <w:sz w:val="21"/>
          <w:szCs w:val="21"/>
        </w:rPr>
      </w:pPr>
      <w:r>
        <w:rPr>
          <w:rFonts w:hint="eastAsia" w:cs="Times New Roman"/>
          <w:sz w:val="21"/>
          <w:szCs w:val="21"/>
        </w:rPr>
        <w:t>4）用抱杆组立铁塔，要合理布置地锚坑、拉线与控制绳，规划塔材堆放及组装区域，以减少土地扰动，保障施工安全并提升效率。在导引绳牵引、导地线展放施工中，运用无人机、牵张机等机械设备，能降低树木植被损害，有益环保，减少通道开辟与树木砍伐，保护生态，契合可持续发展需求。</w:t>
      </w:r>
    </w:p>
    <w:p w14:paraId="66CAD066">
      <w:pPr>
        <w:adjustRightInd w:val="0"/>
        <w:snapToGrid w:val="0"/>
        <w:ind w:firstLine="420" w:firstLineChars="200"/>
        <w:outlineLvl w:val="0"/>
        <w:rPr>
          <w:rFonts w:hint="eastAsia" w:cs="Times New Roman"/>
          <w:sz w:val="21"/>
          <w:szCs w:val="21"/>
        </w:rPr>
      </w:pPr>
      <w:bookmarkStart w:id="739" w:name="_Toc30286"/>
      <w:bookmarkStart w:id="740" w:name="_Toc12065"/>
      <w:r>
        <w:rPr>
          <w:rFonts w:hint="eastAsia" w:cs="Times New Roman"/>
          <w:sz w:val="21"/>
          <w:szCs w:val="21"/>
        </w:rPr>
        <w:t>3</w:t>
      </w:r>
      <w:r>
        <w:rPr>
          <w:rFonts w:cs="Times New Roman"/>
          <w:sz w:val="21"/>
          <w:szCs w:val="21"/>
        </w:rPr>
        <w:t xml:space="preserve">  </w:t>
      </w:r>
      <w:r>
        <w:rPr>
          <w:rFonts w:hint="eastAsia" w:cs="Times New Roman"/>
          <w:sz w:val="21"/>
          <w:szCs w:val="21"/>
        </w:rPr>
        <w:t>电缆工程</w:t>
      </w:r>
      <w:bookmarkEnd w:id="739"/>
      <w:bookmarkEnd w:id="740"/>
    </w:p>
    <w:p w14:paraId="0DA9C7F4">
      <w:pPr>
        <w:adjustRightInd w:val="0"/>
        <w:snapToGrid w:val="0"/>
        <w:ind w:firstLine="630" w:firstLineChars="300"/>
        <w:rPr>
          <w:rFonts w:hint="eastAsia" w:cs="Times New Roman"/>
          <w:sz w:val="21"/>
          <w:szCs w:val="21"/>
        </w:rPr>
      </w:pPr>
      <w:r>
        <w:rPr>
          <w:rFonts w:hint="eastAsia" w:cs="Times New Roman"/>
          <w:sz w:val="21"/>
          <w:szCs w:val="21"/>
        </w:rPr>
        <w:t>1）电缆土建施工当中，应严格落实施工噪声管理相关规定，尽量采用低噪声设备进行现场施工；应严格按照环评提出的废水防治措施进行废水的治理，对固体废弃物应进行分类，及时清运至政府部门指定的建筑垃圾堆放场所，不得随意排放；应严格控制施工作业范围，尽可能减少对土壤和植被的破坏。</w:t>
      </w:r>
    </w:p>
    <w:p w14:paraId="45688886">
      <w:pPr>
        <w:adjustRightInd w:val="0"/>
        <w:snapToGrid w:val="0"/>
        <w:ind w:firstLine="630" w:firstLineChars="300"/>
        <w:rPr>
          <w:rFonts w:hint="eastAsia" w:cs="Times New Roman"/>
          <w:sz w:val="21"/>
          <w:szCs w:val="21"/>
        </w:rPr>
      </w:pPr>
      <w:r>
        <w:rPr>
          <w:rFonts w:hint="eastAsia" w:cs="Times New Roman"/>
          <w:sz w:val="21"/>
          <w:szCs w:val="21"/>
        </w:rPr>
        <w:t>2）木质包装电缆盘或光缆盘材料应符合国家林业局规定的植物检疫要求，鼓励采用杨木或全钢线盘，不建议采用松木，以避免携带松材线虫病，造成虫害的可能。到场后应及时进行消杀，防止虫害传播，施工结束后及时回收处理。</w:t>
      </w:r>
    </w:p>
    <w:p w14:paraId="564A4EF3">
      <w:pPr>
        <w:adjustRightInd w:val="0"/>
        <w:snapToGrid w:val="0"/>
        <w:ind w:firstLine="630" w:firstLineChars="300"/>
        <w:rPr>
          <w:rFonts w:hint="eastAsia" w:cs="Times New Roman"/>
          <w:sz w:val="21"/>
          <w:szCs w:val="21"/>
        </w:rPr>
      </w:pPr>
      <w:r>
        <w:rPr>
          <w:rFonts w:hint="eastAsia" w:cs="Times New Roman"/>
          <w:sz w:val="21"/>
          <w:szCs w:val="21"/>
        </w:rPr>
        <w:t>3）电缆进仓作业工序需正确规范，避免因操作不当，人为性造成油品污染或绝缘气体泄漏，造成土壤或空气污染，影响周围生态环境。</w:t>
      </w:r>
    </w:p>
    <w:p w14:paraId="7BC3AB0C">
      <w:pPr>
        <w:adjustRightInd w:val="0"/>
        <w:snapToGrid w:val="0"/>
        <w:ind w:firstLine="630" w:firstLineChars="300"/>
        <w:rPr>
          <w:rFonts w:hint="eastAsia" w:cs="Times New Roman"/>
          <w:sz w:val="21"/>
          <w:szCs w:val="21"/>
        </w:rPr>
      </w:pPr>
      <w:r>
        <w:rPr>
          <w:rFonts w:hint="eastAsia" w:cs="Times New Roman"/>
          <w:sz w:val="21"/>
          <w:szCs w:val="21"/>
        </w:rPr>
        <w:t>4）电缆预处理时应对金属护套进行加热，并去除其表面覆盖的沥青，以便进行后续的封铅工作。加热过程中应在制作区域下方铺设垫布等物品，做好防止沥青滴落污染地面的措施。对电缆绝缘主体进行打磨时绝缘、半导电颗粒会飞散、飘洒，应做好对其的清理工作，防止作业人员吸入，对身体造成伤害。</w:t>
      </w:r>
    </w:p>
    <w:p w14:paraId="1C85E558">
      <w:pPr>
        <w:adjustRightInd w:val="0"/>
        <w:snapToGrid w:val="0"/>
        <w:outlineLvl w:val="1"/>
        <w:rPr>
          <w:rFonts w:hint="eastAsia"/>
          <w:color w:val="FF0000"/>
          <w:sz w:val="21"/>
          <w:szCs w:val="21"/>
        </w:rPr>
      </w:pPr>
      <w:bookmarkStart w:id="741" w:name="_Toc4818"/>
      <w:bookmarkStart w:id="742" w:name="_Toc19407"/>
      <w:r>
        <w:rPr>
          <w:sz w:val="21"/>
          <w:szCs w:val="21"/>
        </w:rPr>
        <w:t>6.2.</w:t>
      </w:r>
      <w:r>
        <w:rPr>
          <w:rFonts w:hint="eastAsia"/>
          <w:sz w:val="21"/>
          <w:szCs w:val="21"/>
        </w:rPr>
        <w:t>15</w:t>
      </w:r>
      <w:r>
        <w:rPr>
          <w:sz w:val="21"/>
          <w:szCs w:val="21"/>
        </w:rPr>
        <w:t xml:space="preserve"> </w:t>
      </w:r>
      <w:r>
        <w:rPr>
          <w:rFonts w:hint="eastAsia"/>
          <w:sz w:val="21"/>
          <w:szCs w:val="21"/>
        </w:rPr>
        <w:t>电力储能专用项</w:t>
      </w:r>
      <w:bookmarkEnd w:id="734"/>
      <w:bookmarkEnd w:id="741"/>
      <w:bookmarkEnd w:id="742"/>
    </w:p>
    <w:p w14:paraId="57BC2FB8">
      <w:pPr>
        <w:adjustRightInd w:val="0"/>
        <w:snapToGrid w:val="0"/>
        <w:ind w:firstLine="630" w:firstLineChars="300"/>
        <w:outlineLvl w:val="0"/>
        <w:rPr>
          <w:rFonts w:hint="eastAsia"/>
          <w:sz w:val="21"/>
          <w:szCs w:val="21"/>
        </w:rPr>
      </w:pPr>
      <w:bookmarkStart w:id="743" w:name="_Toc27277"/>
      <w:bookmarkStart w:id="744" w:name="_Toc2562"/>
      <w:r>
        <w:rPr>
          <w:sz w:val="21"/>
          <w:szCs w:val="21"/>
        </w:rPr>
        <w:t>1  电化学（锂电、液流、燃料电池、钠离子、铅酸、铅炭）储能</w:t>
      </w:r>
      <w:bookmarkEnd w:id="743"/>
      <w:bookmarkEnd w:id="744"/>
    </w:p>
    <w:p w14:paraId="697F7C02">
      <w:pPr>
        <w:adjustRightInd w:val="0"/>
        <w:snapToGrid w:val="0"/>
        <w:ind w:firstLine="630" w:firstLineChars="300"/>
        <w:rPr>
          <w:rFonts w:hint="eastAsia"/>
          <w:sz w:val="21"/>
          <w:szCs w:val="21"/>
        </w:rPr>
      </w:pPr>
      <w:r>
        <w:rPr>
          <w:sz w:val="21"/>
          <w:szCs w:val="21"/>
        </w:rPr>
        <w:t>1）当前市场化程度最高</w:t>
      </w:r>
      <w:r>
        <w:rPr>
          <w:rFonts w:hint="eastAsia"/>
          <w:sz w:val="21"/>
          <w:szCs w:val="21"/>
        </w:rPr>
        <w:t>、</w:t>
      </w:r>
      <w:r>
        <w:rPr>
          <w:sz w:val="21"/>
          <w:szCs w:val="21"/>
        </w:rPr>
        <w:t>最具经济技术优势的磷酸铁锂电池仍无法做到本质安全可靠</w:t>
      </w:r>
      <w:r>
        <w:rPr>
          <w:rFonts w:hint="eastAsia"/>
          <w:sz w:val="21"/>
          <w:szCs w:val="21"/>
        </w:rPr>
        <w:t>，其他电化学储能同样存在程度不一的安全环保问题。</w:t>
      </w:r>
      <w:r>
        <w:rPr>
          <w:sz w:val="21"/>
          <w:szCs w:val="21"/>
        </w:rPr>
        <w:t>本条</w:t>
      </w:r>
      <w:r>
        <w:rPr>
          <w:rFonts w:hint="eastAsia"/>
          <w:sz w:val="21"/>
          <w:szCs w:val="21"/>
        </w:rPr>
        <w:t>通过</w:t>
      </w:r>
      <w:r>
        <w:rPr>
          <w:sz w:val="21"/>
          <w:szCs w:val="21"/>
        </w:rPr>
        <w:t>检查相关制度措施文件</w:t>
      </w:r>
      <w:r>
        <w:rPr>
          <w:rFonts w:hint="eastAsia"/>
          <w:sz w:val="21"/>
          <w:szCs w:val="21"/>
        </w:rPr>
        <w:t>，</w:t>
      </w:r>
      <w:r>
        <w:rPr>
          <w:sz w:val="21"/>
          <w:szCs w:val="21"/>
        </w:rPr>
        <w:t>在消防及应急事故处理方面</w:t>
      </w:r>
      <w:r>
        <w:rPr>
          <w:rFonts w:hint="eastAsia"/>
          <w:sz w:val="21"/>
          <w:szCs w:val="21"/>
        </w:rPr>
        <w:t>，</w:t>
      </w:r>
      <w:r>
        <w:rPr>
          <w:sz w:val="21"/>
          <w:szCs w:val="21"/>
        </w:rPr>
        <w:t>达到督促提升安全环保要求的作用</w:t>
      </w:r>
      <w:r>
        <w:rPr>
          <w:rFonts w:hint="eastAsia"/>
          <w:sz w:val="21"/>
          <w:szCs w:val="21"/>
        </w:rPr>
        <w:t>。</w:t>
      </w:r>
    </w:p>
    <w:p w14:paraId="5AC55495">
      <w:pPr>
        <w:adjustRightInd w:val="0"/>
        <w:snapToGrid w:val="0"/>
        <w:ind w:firstLine="630" w:firstLineChars="300"/>
        <w:outlineLvl w:val="1"/>
        <w:rPr>
          <w:rFonts w:hint="eastAsia"/>
          <w:sz w:val="21"/>
          <w:szCs w:val="21"/>
        </w:rPr>
      </w:pPr>
      <w:bookmarkStart w:id="745" w:name="_Toc28921"/>
      <w:bookmarkStart w:id="746" w:name="_Toc5353"/>
      <w:r>
        <w:rPr>
          <w:rFonts w:hint="eastAsia"/>
          <w:sz w:val="21"/>
          <w:szCs w:val="21"/>
        </w:rPr>
        <w:t>2）本条通过制度措施加强对废旧电池全过程备案备查。</w:t>
      </w:r>
      <w:bookmarkEnd w:id="745"/>
      <w:bookmarkEnd w:id="746"/>
    </w:p>
    <w:p w14:paraId="5F4ABBA2">
      <w:pPr>
        <w:adjustRightInd w:val="0"/>
        <w:snapToGrid w:val="0"/>
        <w:ind w:firstLine="630" w:firstLineChars="300"/>
        <w:rPr>
          <w:rFonts w:hint="eastAsia"/>
          <w:sz w:val="21"/>
          <w:szCs w:val="21"/>
        </w:rPr>
      </w:pPr>
      <w:r>
        <w:rPr>
          <w:rFonts w:hint="eastAsia"/>
          <w:sz w:val="21"/>
          <w:szCs w:val="21"/>
        </w:rPr>
        <w:t>3）本条主要通过检查施工单位电化学安全专篇，督促施工单位对电化学储能项目采取针对性安全施工措施。</w:t>
      </w:r>
    </w:p>
    <w:p w14:paraId="510D1815">
      <w:pPr>
        <w:adjustRightInd w:val="0"/>
        <w:snapToGrid w:val="0"/>
        <w:ind w:firstLine="630" w:firstLineChars="300"/>
        <w:rPr>
          <w:rFonts w:hint="eastAsia"/>
          <w:sz w:val="21"/>
          <w:szCs w:val="21"/>
        </w:rPr>
      </w:pPr>
      <w:r>
        <w:rPr>
          <w:rFonts w:hint="eastAsia"/>
          <w:sz w:val="21"/>
          <w:szCs w:val="21"/>
        </w:rPr>
        <w:t>5）本条强调电化学储能各参与方要密切配合才能避免各种潜在风险。</w:t>
      </w:r>
    </w:p>
    <w:p w14:paraId="7E61BC7C">
      <w:pPr>
        <w:adjustRightInd w:val="0"/>
        <w:snapToGrid w:val="0"/>
        <w:ind w:firstLine="630" w:firstLineChars="300"/>
        <w:outlineLvl w:val="0"/>
        <w:rPr>
          <w:rFonts w:hint="eastAsia"/>
          <w:sz w:val="21"/>
          <w:szCs w:val="21"/>
        </w:rPr>
      </w:pPr>
      <w:bookmarkStart w:id="747" w:name="_Toc13455"/>
      <w:bookmarkStart w:id="748" w:name="_Toc23844"/>
      <w:r>
        <w:rPr>
          <w:sz w:val="21"/>
          <w:szCs w:val="21"/>
        </w:rPr>
        <w:t>2  飞轮储能</w:t>
      </w:r>
      <w:bookmarkEnd w:id="747"/>
      <w:bookmarkEnd w:id="748"/>
    </w:p>
    <w:p w14:paraId="0688DF9B">
      <w:pPr>
        <w:adjustRightInd w:val="0"/>
        <w:snapToGrid w:val="0"/>
        <w:ind w:firstLine="630" w:firstLineChars="300"/>
        <w:rPr>
          <w:rFonts w:hint="eastAsia"/>
          <w:sz w:val="21"/>
          <w:szCs w:val="21"/>
        </w:rPr>
      </w:pPr>
      <w:r>
        <w:rPr>
          <w:rFonts w:hint="eastAsia"/>
          <w:sz w:val="21"/>
          <w:szCs w:val="21"/>
        </w:rPr>
        <w:t>5）飞轮属于精密机械，但已封装集成于封闭腔体内，对清洁度的要求已经大大降低。</w:t>
      </w:r>
    </w:p>
    <w:p w14:paraId="4BF6E8D7">
      <w:pPr>
        <w:adjustRightInd w:val="0"/>
        <w:snapToGrid w:val="0"/>
        <w:ind w:firstLine="630" w:firstLineChars="300"/>
        <w:rPr>
          <w:rFonts w:hint="eastAsia"/>
          <w:sz w:val="21"/>
          <w:szCs w:val="21"/>
        </w:rPr>
      </w:pPr>
      <w:r>
        <w:rPr>
          <w:rFonts w:hint="eastAsia"/>
          <w:sz w:val="21"/>
          <w:szCs w:val="21"/>
        </w:rPr>
        <w:t>7）飞轮安装在地面以下，特别要注意在施工过程中采取措施防止雨水倒灌损坏飞轮装置。</w:t>
      </w:r>
    </w:p>
    <w:p w14:paraId="5A4F6E66">
      <w:pPr>
        <w:adjustRightInd w:val="0"/>
        <w:snapToGrid w:val="0"/>
        <w:ind w:firstLine="630" w:firstLineChars="300"/>
        <w:outlineLvl w:val="0"/>
        <w:rPr>
          <w:rFonts w:hint="eastAsia"/>
          <w:sz w:val="21"/>
          <w:szCs w:val="21"/>
        </w:rPr>
      </w:pPr>
      <w:bookmarkStart w:id="749" w:name="_Toc9772"/>
      <w:bookmarkStart w:id="750" w:name="_Toc23887"/>
      <w:r>
        <w:rPr>
          <w:rFonts w:hint="eastAsia"/>
          <w:sz w:val="21"/>
          <w:szCs w:val="21"/>
        </w:rPr>
        <w:t>3</w:t>
      </w:r>
      <w:r>
        <w:rPr>
          <w:sz w:val="21"/>
          <w:szCs w:val="21"/>
        </w:rPr>
        <w:t>压缩空气储能</w:t>
      </w:r>
      <w:bookmarkEnd w:id="749"/>
      <w:bookmarkEnd w:id="750"/>
    </w:p>
    <w:p w14:paraId="344B2748">
      <w:pPr>
        <w:adjustRightInd w:val="0"/>
        <w:snapToGrid w:val="0"/>
        <w:ind w:firstLine="630" w:firstLineChars="300"/>
        <w:rPr>
          <w:rFonts w:hint="eastAsia"/>
          <w:sz w:val="21"/>
          <w:szCs w:val="21"/>
        </w:rPr>
      </w:pPr>
      <w:r>
        <w:rPr>
          <w:rFonts w:hint="eastAsia"/>
          <w:sz w:val="21"/>
          <w:szCs w:val="21"/>
        </w:rPr>
        <w:t>2）压缩空气储能项目在调试阶段，尤其要注意防止压缩空气泄露导致人员安全风险。</w:t>
      </w:r>
    </w:p>
    <w:p w14:paraId="422EC208">
      <w:pPr>
        <w:spacing w:before="120" w:beforeLines="50" w:after="120" w:afterLines="50"/>
        <w:jc w:val="center"/>
        <w:outlineLvl w:val="1"/>
        <w:rPr>
          <w:rFonts w:hint="eastAsia"/>
          <w:sz w:val="21"/>
          <w:szCs w:val="21"/>
        </w:rPr>
      </w:pPr>
      <w:bookmarkStart w:id="751" w:name="_Toc6508"/>
      <w:bookmarkStart w:id="752" w:name="_Toc22313"/>
      <w:r>
        <w:fldChar w:fldCharType="begin"/>
      </w:r>
      <w:r>
        <w:instrText xml:space="preserve"> HYPERLINK \l "_Toc162470926" </w:instrText>
      </w:r>
      <w:r>
        <w:fldChar w:fldCharType="separate"/>
      </w:r>
      <w:r>
        <w:rPr>
          <w:sz w:val="21"/>
          <w:szCs w:val="21"/>
        </w:rPr>
        <w:t xml:space="preserve">6.3 </w:t>
      </w:r>
      <w:r>
        <w:rPr>
          <w:rFonts w:hint="eastAsia"/>
          <w:sz w:val="21"/>
          <w:szCs w:val="21"/>
        </w:rPr>
        <w:t>资源节约</w:t>
      </w:r>
      <w:r>
        <w:rPr>
          <w:rFonts w:hint="eastAsia"/>
          <w:sz w:val="21"/>
          <w:szCs w:val="21"/>
        </w:rPr>
        <w:fldChar w:fldCharType="end"/>
      </w:r>
      <w:bookmarkEnd w:id="751"/>
      <w:bookmarkEnd w:id="752"/>
    </w:p>
    <w:p w14:paraId="16D694AF">
      <w:pPr>
        <w:adjustRightInd w:val="0"/>
        <w:snapToGrid w:val="0"/>
        <w:jc w:val="center"/>
        <w:rPr>
          <w:rFonts w:hint="eastAsia"/>
          <w:sz w:val="21"/>
          <w:szCs w:val="21"/>
        </w:rPr>
      </w:pPr>
      <w:r>
        <w:rPr>
          <w:rFonts w:hint="eastAsia"/>
          <w:sz w:val="21"/>
          <w:szCs w:val="21"/>
        </w:rPr>
        <w:t xml:space="preserve">Ⅰ </w:t>
      </w:r>
      <w:r>
        <w:fldChar w:fldCharType="begin"/>
      </w:r>
      <w:r>
        <w:instrText xml:space="preserve"> HYPERLINK \l "_Toc162470927" </w:instrText>
      </w:r>
      <w:r>
        <w:fldChar w:fldCharType="separate"/>
      </w:r>
      <w:r>
        <w:rPr>
          <w:rFonts w:hint="eastAsia"/>
          <w:sz w:val="21"/>
          <w:szCs w:val="21"/>
        </w:rPr>
        <w:t>材料节约与循环利用</w:t>
      </w:r>
      <w:r>
        <w:rPr>
          <w:rFonts w:hint="eastAsia"/>
          <w:sz w:val="21"/>
          <w:szCs w:val="21"/>
        </w:rPr>
        <w:fldChar w:fldCharType="end"/>
      </w:r>
    </w:p>
    <w:p w14:paraId="4112C701">
      <w:pPr>
        <w:adjustRightInd w:val="0"/>
        <w:snapToGrid w:val="0"/>
        <w:outlineLvl w:val="2"/>
        <w:rPr>
          <w:rFonts w:hint="eastAsia"/>
          <w:sz w:val="21"/>
          <w:szCs w:val="21"/>
        </w:rPr>
      </w:pPr>
      <w:bookmarkStart w:id="753" w:name="_Toc12245"/>
      <w:r>
        <w:fldChar w:fldCharType="begin"/>
      </w:r>
      <w:r>
        <w:instrText xml:space="preserve"> HYPERLINK \l "_Toc162470928" </w:instrText>
      </w:r>
      <w:r>
        <w:fldChar w:fldCharType="separate"/>
      </w:r>
      <w:bookmarkStart w:id="754" w:name="_Toc169276163"/>
      <w:r>
        <w:rPr>
          <w:sz w:val="21"/>
          <w:szCs w:val="21"/>
        </w:rPr>
        <w:t xml:space="preserve">6.3.1 </w:t>
      </w:r>
      <w:r>
        <w:fldChar w:fldCharType="begin"/>
      </w:r>
      <w:r>
        <w:instrText xml:space="preserve"> HYPERLINK \l "_Toc162470927" </w:instrText>
      </w:r>
      <w:r>
        <w:fldChar w:fldCharType="separate"/>
      </w:r>
      <w:r>
        <w:rPr>
          <w:rFonts w:hint="eastAsia"/>
          <w:sz w:val="21"/>
          <w:szCs w:val="21"/>
        </w:rPr>
        <w:t>材料节约与循环利用</w:t>
      </w:r>
      <w:r>
        <w:rPr>
          <w:rFonts w:hint="eastAsia"/>
          <w:sz w:val="21"/>
          <w:szCs w:val="21"/>
        </w:rPr>
        <w:fldChar w:fldCharType="end"/>
      </w:r>
      <w:r>
        <w:rPr>
          <w:rFonts w:hint="eastAsia"/>
          <w:sz w:val="21"/>
          <w:szCs w:val="21"/>
        </w:rPr>
        <w:t>通用项</w:t>
      </w:r>
      <w:r>
        <w:rPr>
          <w:rFonts w:hint="eastAsia"/>
          <w:sz w:val="21"/>
          <w:szCs w:val="21"/>
        </w:rPr>
        <w:fldChar w:fldCharType="end"/>
      </w:r>
      <w:bookmarkEnd w:id="753"/>
      <w:bookmarkEnd w:id="754"/>
    </w:p>
    <w:p w14:paraId="08694B81">
      <w:pPr>
        <w:adjustRightInd w:val="0"/>
        <w:snapToGrid w:val="0"/>
        <w:ind w:firstLine="420" w:firstLineChars="200"/>
        <w:rPr>
          <w:rFonts w:hint="eastAsia"/>
          <w:color w:val="FF0000"/>
          <w:sz w:val="21"/>
          <w:szCs w:val="21"/>
        </w:rPr>
      </w:pPr>
      <w:r>
        <w:rPr>
          <w:rFonts w:hint="eastAsia"/>
          <w:sz w:val="21"/>
          <w:szCs w:val="21"/>
        </w:rPr>
        <w:t>1主要材料节约技术方案及措施如下：现场使用预拌混凝土和预拌砂浆，采用集中搅拌的方式，减少散堆放、倒运过程造成的损失；优化混凝土配合比设计，在检测合格的前提下，通过添加粉煤灰、工业废料、矿山废渣等，减少水泥用量；</w:t>
      </w:r>
      <w:r>
        <w:rPr>
          <w:sz w:val="21"/>
          <w:szCs w:val="21"/>
        </w:rPr>
        <w:t>优化钢筋支撑体系，以结构钢筋代替措施性钢筋，以钢筋废料代替支撑体系型钢</w:t>
      </w:r>
      <w:r>
        <w:rPr>
          <w:rFonts w:hint="eastAsia"/>
          <w:sz w:val="21"/>
          <w:szCs w:val="21"/>
        </w:rPr>
        <w:t>；</w:t>
      </w:r>
      <w:r>
        <w:rPr>
          <w:sz w:val="21"/>
          <w:szCs w:val="21"/>
        </w:rPr>
        <w:t>优化钢结构的制作和安装方法，大型钢结构宜采用工厂制作、现场拼装的方式</w:t>
      </w:r>
      <w:r>
        <w:rPr>
          <w:rFonts w:hint="eastAsia"/>
          <w:sz w:val="21"/>
          <w:szCs w:val="21"/>
        </w:rPr>
        <w:t>。钢结构安装</w:t>
      </w:r>
      <w:r>
        <w:rPr>
          <w:sz w:val="21"/>
          <w:szCs w:val="21"/>
        </w:rPr>
        <w:t>宜采用分段吊装</w:t>
      </w:r>
      <w:r>
        <w:rPr>
          <w:rFonts w:hint="eastAsia"/>
          <w:sz w:val="21"/>
          <w:szCs w:val="21"/>
        </w:rPr>
        <w:t>、</w:t>
      </w:r>
      <w:r>
        <w:rPr>
          <w:sz w:val="21"/>
          <w:szCs w:val="21"/>
        </w:rPr>
        <w:t>整体提升</w:t>
      </w:r>
      <w:r>
        <w:rPr>
          <w:rFonts w:hint="eastAsia"/>
          <w:sz w:val="21"/>
          <w:szCs w:val="21"/>
        </w:rPr>
        <w:t>、</w:t>
      </w:r>
      <w:r>
        <w:rPr>
          <w:sz w:val="21"/>
          <w:szCs w:val="21"/>
        </w:rPr>
        <w:t>滑移、顶升等安装方法，</w:t>
      </w:r>
      <w:r>
        <w:rPr>
          <w:rFonts w:hint="eastAsia"/>
          <w:sz w:val="21"/>
          <w:szCs w:val="21"/>
        </w:rPr>
        <w:t>尽量</w:t>
      </w:r>
      <w:r>
        <w:rPr>
          <w:sz w:val="21"/>
          <w:szCs w:val="21"/>
        </w:rPr>
        <w:t>减少措施</w:t>
      </w:r>
      <w:r>
        <w:rPr>
          <w:rFonts w:hint="eastAsia"/>
          <w:sz w:val="21"/>
          <w:szCs w:val="21"/>
        </w:rPr>
        <w:t>性钢材</w:t>
      </w:r>
      <w:r>
        <w:rPr>
          <w:sz w:val="21"/>
          <w:szCs w:val="21"/>
        </w:rPr>
        <w:t>用量</w:t>
      </w:r>
      <w:r>
        <w:rPr>
          <w:rFonts w:hint="eastAsia"/>
          <w:sz w:val="21"/>
          <w:szCs w:val="21"/>
        </w:rPr>
        <w:t>；</w:t>
      </w:r>
      <w:r>
        <w:rPr>
          <w:sz w:val="21"/>
          <w:szCs w:val="21"/>
        </w:rPr>
        <w:t>电缆附件以及防火隔板、涂料、包带、堵料等防火材料，其储存保管应严格按厂家的产品技术性能要求保管、存放，避免材料失效、报废。</w:t>
      </w:r>
    </w:p>
    <w:p w14:paraId="4A825B0B">
      <w:pPr>
        <w:adjustRightInd w:val="0"/>
        <w:snapToGrid w:val="0"/>
        <w:ind w:firstLine="420" w:firstLineChars="200"/>
        <w:rPr>
          <w:rFonts w:hint="eastAsia"/>
          <w:sz w:val="21"/>
          <w:szCs w:val="21"/>
        </w:rPr>
      </w:pPr>
      <w:r>
        <w:rPr>
          <w:rFonts w:hint="eastAsia"/>
          <w:sz w:val="21"/>
          <w:szCs w:val="21"/>
        </w:rPr>
        <w:t>4）优化材料的配料、下料方案主要措施如下：</w:t>
      </w:r>
      <w:r>
        <w:rPr>
          <w:sz w:val="21"/>
          <w:szCs w:val="21"/>
        </w:rPr>
        <w:t>钢筋</w:t>
      </w:r>
      <w:r>
        <w:rPr>
          <w:rFonts w:hint="eastAsia"/>
          <w:sz w:val="21"/>
          <w:szCs w:val="21"/>
        </w:rPr>
        <w:t>、管道</w:t>
      </w:r>
      <w:r>
        <w:rPr>
          <w:sz w:val="21"/>
          <w:szCs w:val="21"/>
        </w:rPr>
        <w:t>宜采用集中加工配送技术，通过优化钢筋配料、下料方案，减少因下料不当而造成的浪费</w:t>
      </w:r>
      <w:r>
        <w:rPr>
          <w:rFonts w:hint="eastAsia"/>
          <w:sz w:val="21"/>
          <w:szCs w:val="21"/>
        </w:rPr>
        <w:t>；钢筋进行集中设计，宜采用钢筋数控专用加工机械制作；</w:t>
      </w:r>
      <w:r>
        <w:rPr>
          <w:sz w:val="21"/>
          <w:szCs w:val="21"/>
        </w:rPr>
        <w:t>电缆配盘应合理，缆线在终端与接头附近应预留适合的长度，减少现场的材料损耗。</w:t>
      </w:r>
    </w:p>
    <w:p w14:paraId="05EBA445">
      <w:pPr>
        <w:adjustRightInd w:val="0"/>
        <w:snapToGrid w:val="0"/>
        <w:ind w:firstLine="420" w:firstLineChars="200"/>
        <w:outlineLvl w:val="0"/>
        <w:rPr>
          <w:rFonts w:hint="eastAsia"/>
          <w:sz w:val="21"/>
          <w:szCs w:val="21"/>
        </w:rPr>
      </w:pPr>
      <w:bookmarkStart w:id="755" w:name="_Toc716"/>
      <w:bookmarkStart w:id="756" w:name="_Toc11195"/>
      <w:r>
        <w:rPr>
          <w:rFonts w:hint="eastAsia"/>
          <w:sz w:val="21"/>
          <w:szCs w:val="21"/>
        </w:rPr>
        <w:t>2材料循环再利用措施</w:t>
      </w:r>
      <w:bookmarkEnd w:id="755"/>
      <w:bookmarkEnd w:id="756"/>
    </w:p>
    <w:p w14:paraId="3C09946D">
      <w:pPr>
        <w:adjustRightInd w:val="0"/>
        <w:snapToGrid w:val="0"/>
        <w:ind w:firstLine="420" w:firstLineChars="200"/>
        <w:rPr>
          <w:rFonts w:hint="eastAsia"/>
          <w:sz w:val="21"/>
          <w:szCs w:val="21"/>
        </w:rPr>
      </w:pPr>
      <w:r>
        <w:rPr>
          <w:rFonts w:hint="eastAsia"/>
          <w:sz w:val="21"/>
          <w:szCs w:val="21"/>
        </w:rPr>
        <w:t>2）模板应以节约自然资源为原则，推广使用管件合一的脚手架和支撑体系，推广使用工具式模板类新型模板材料；采取措施提高模板、脚手架等材料的周转次数。</w:t>
      </w:r>
      <w:r>
        <w:rPr>
          <w:sz w:val="21"/>
          <w:szCs w:val="21"/>
        </w:rPr>
        <w:t>采用新型的模板，模板使用过程中做好维护工作，拆模方式合理，防止拆模损坏模板边角，提高模板周转利用率，增加周转次数</w:t>
      </w:r>
      <w:r>
        <w:rPr>
          <w:rFonts w:hint="eastAsia"/>
          <w:sz w:val="21"/>
          <w:szCs w:val="21"/>
        </w:rPr>
        <w:t>；</w:t>
      </w:r>
      <w:r>
        <w:rPr>
          <w:sz w:val="21"/>
          <w:szCs w:val="21"/>
        </w:rPr>
        <w:t>采用定型钢模代替传统的木模板，方钢管代替传统的木材作为模板背楞，降低木材使用和损耗</w:t>
      </w:r>
      <w:r>
        <w:rPr>
          <w:rFonts w:hint="eastAsia"/>
          <w:sz w:val="21"/>
          <w:szCs w:val="21"/>
        </w:rPr>
        <w:t>；</w:t>
      </w:r>
      <w:r>
        <w:rPr>
          <w:sz w:val="21"/>
          <w:szCs w:val="21"/>
        </w:rPr>
        <w:t>采用定型钢框胶合板、钢框竹模、组拼式大模板、铝合金模板代替传统木模板，增加模板支撑系统周转次数</w:t>
      </w:r>
      <w:r>
        <w:rPr>
          <w:rFonts w:hint="eastAsia"/>
          <w:sz w:val="21"/>
          <w:szCs w:val="21"/>
        </w:rPr>
        <w:t>；</w:t>
      </w:r>
      <w:r>
        <w:rPr>
          <w:sz w:val="21"/>
          <w:szCs w:val="21"/>
        </w:rPr>
        <w:t>采用</w:t>
      </w:r>
      <w:r>
        <w:rPr>
          <w:rFonts w:hint="eastAsia"/>
          <w:sz w:val="21"/>
          <w:szCs w:val="21"/>
        </w:rPr>
        <w:t>新型脚手架模板支持体系，如采用</w:t>
      </w:r>
      <w:r>
        <w:rPr>
          <w:sz w:val="21"/>
          <w:szCs w:val="21"/>
        </w:rPr>
        <w:t>碗扣式、承插式、</w:t>
      </w:r>
      <w:r>
        <w:rPr>
          <w:rFonts w:hint="eastAsia"/>
          <w:sz w:val="21"/>
          <w:szCs w:val="21"/>
        </w:rPr>
        <w:t>盘扣</w:t>
      </w:r>
      <w:r>
        <w:rPr>
          <w:sz w:val="21"/>
          <w:szCs w:val="21"/>
        </w:rPr>
        <w:t>式钢管脚手架模板支撑体系代替传统的钢管扣件脚手架模板支撑体系</w:t>
      </w:r>
      <w:r>
        <w:rPr>
          <w:rFonts w:hint="eastAsia"/>
          <w:sz w:val="21"/>
          <w:szCs w:val="21"/>
        </w:rPr>
        <w:t>，减少钢材使用量</w:t>
      </w:r>
      <w:r>
        <w:rPr>
          <w:sz w:val="21"/>
          <w:szCs w:val="21"/>
        </w:rPr>
        <w:t>。</w:t>
      </w:r>
      <w:r>
        <w:rPr>
          <w:rFonts w:hint="eastAsia"/>
          <w:sz w:val="21"/>
          <w:szCs w:val="21"/>
        </w:rPr>
        <w:t>）</w:t>
      </w:r>
    </w:p>
    <w:p w14:paraId="568FFDA0">
      <w:pPr>
        <w:adjustRightInd w:val="0"/>
        <w:snapToGrid w:val="0"/>
        <w:ind w:firstLine="420" w:firstLineChars="200"/>
        <w:rPr>
          <w:rFonts w:hint="eastAsia"/>
          <w:sz w:val="21"/>
          <w:szCs w:val="21"/>
        </w:rPr>
      </w:pPr>
      <w:r>
        <w:rPr>
          <w:rFonts w:hint="eastAsia"/>
          <w:color w:val="000000" w:themeColor="text1"/>
          <w:sz w:val="21"/>
          <w:szCs w:val="21"/>
          <w14:textFill>
            <w14:solidFill>
              <w14:schemeClr w14:val="tx1"/>
            </w14:solidFill>
          </w14:textFill>
        </w:rPr>
        <w:t>4）</w:t>
      </w:r>
      <w:r>
        <w:rPr>
          <w:sz w:val="21"/>
          <w:szCs w:val="21"/>
        </w:rPr>
        <w:t>推广采用城市交通镀锌喷塑钢护栏代替脚手管围栏周转使用，减少脚手管、扣件投入，提高现场安全文明施工水平。</w:t>
      </w:r>
    </w:p>
    <w:p w14:paraId="6D01CFC5">
      <w:pPr>
        <w:adjustRightInd w:val="0"/>
        <w:snapToGrid w:val="0"/>
        <w:outlineLvl w:val="1"/>
        <w:rPr>
          <w:rFonts w:hint="eastAsia"/>
          <w:color w:val="FF0000"/>
          <w:sz w:val="21"/>
          <w:szCs w:val="21"/>
        </w:rPr>
      </w:pPr>
      <w:bookmarkStart w:id="757" w:name="_Toc169276165"/>
      <w:bookmarkStart w:id="758" w:name="_Toc21312"/>
      <w:bookmarkStart w:id="759" w:name="_Toc5139"/>
      <w:r>
        <w:rPr>
          <w:sz w:val="21"/>
          <w:szCs w:val="21"/>
        </w:rPr>
        <w:t xml:space="preserve">6.3.3 </w:t>
      </w:r>
      <w:r>
        <w:rPr>
          <w:rFonts w:hint="eastAsia"/>
          <w:sz w:val="21"/>
          <w:szCs w:val="21"/>
        </w:rPr>
        <w:t>水电水利专用项</w:t>
      </w:r>
      <w:bookmarkEnd w:id="757"/>
      <w:bookmarkEnd w:id="758"/>
      <w:bookmarkEnd w:id="759"/>
    </w:p>
    <w:p w14:paraId="798CA0F0">
      <w:pPr>
        <w:adjustRightInd w:val="0"/>
        <w:snapToGrid w:val="0"/>
        <w:ind w:firstLine="420" w:firstLineChars="200"/>
        <w:rPr>
          <w:rFonts w:hint="eastAsia"/>
          <w:sz w:val="21"/>
          <w:szCs w:val="21"/>
        </w:rPr>
      </w:pPr>
      <w:r>
        <w:rPr>
          <w:rFonts w:hint="eastAsia"/>
          <w:sz w:val="21"/>
          <w:szCs w:val="21"/>
        </w:rPr>
        <w:t>水工大体积混凝土的配合比设计应通过现场试验确定，混凝土强度、防渗性能、防冻性能等各项指标须满足设计要求。</w:t>
      </w:r>
    </w:p>
    <w:p w14:paraId="23071871">
      <w:pPr>
        <w:adjustRightInd w:val="0"/>
        <w:snapToGrid w:val="0"/>
        <w:outlineLvl w:val="1"/>
        <w:rPr>
          <w:rFonts w:hint="eastAsia"/>
          <w:color w:val="FF0000"/>
          <w:sz w:val="21"/>
          <w:szCs w:val="21"/>
        </w:rPr>
      </w:pPr>
      <w:bookmarkStart w:id="760" w:name="_Toc169276167"/>
      <w:bookmarkStart w:id="761" w:name="_Toc8712"/>
      <w:bookmarkStart w:id="762" w:name="_Toc25488"/>
      <w:r>
        <w:rPr>
          <w:sz w:val="21"/>
          <w:szCs w:val="21"/>
        </w:rPr>
        <w:t>6.3.</w:t>
      </w:r>
      <w:r>
        <w:rPr>
          <w:rFonts w:hint="eastAsia"/>
          <w:sz w:val="21"/>
          <w:szCs w:val="21"/>
        </w:rPr>
        <w:t>4</w:t>
      </w:r>
      <w:r>
        <w:rPr>
          <w:sz w:val="21"/>
          <w:szCs w:val="21"/>
        </w:rPr>
        <w:t xml:space="preserve"> </w:t>
      </w:r>
      <w:r>
        <w:rPr>
          <w:rFonts w:hint="eastAsia"/>
          <w:sz w:val="21"/>
          <w:szCs w:val="21"/>
        </w:rPr>
        <w:t>风力发电专用项</w:t>
      </w:r>
      <w:bookmarkEnd w:id="760"/>
      <w:bookmarkEnd w:id="761"/>
      <w:bookmarkEnd w:id="762"/>
    </w:p>
    <w:p w14:paraId="62416743">
      <w:pPr>
        <w:ind w:right="-120" w:rightChars="-50" w:firstLine="420" w:firstLineChars="200"/>
        <w:rPr>
          <w:rFonts w:hint="eastAsia" w:cs="Times New Roman"/>
          <w:sz w:val="21"/>
          <w:szCs w:val="21"/>
        </w:rPr>
      </w:pPr>
      <w:r>
        <w:rPr>
          <w:rFonts w:hint="eastAsia" w:cs="Times New Roman"/>
          <w:sz w:val="21"/>
          <w:szCs w:val="21"/>
        </w:rPr>
        <w:t>本条对风力发电工程</w:t>
      </w:r>
      <w:r>
        <w:fldChar w:fldCharType="begin"/>
      </w:r>
      <w:r>
        <w:instrText xml:space="preserve"> HYPERLINK \l "_Toc162470927" </w:instrText>
      </w:r>
      <w:r>
        <w:fldChar w:fldCharType="separate"/>
      </w:r>
      <w:r>
        <w:rPr>
          <w:rFonts w:hint="eastAsia" w:cs="Times New Roman"/>
          <w:sz w:val="21"/>
          <w:szCs w:val="21"/>
        </w:rPr>
        <w:t>材料节约与循环利用</w:t>
      </w:r>
      <w:r>
        <w:rPr>
          <w:rFonts w:hint="eastAsia" w:cs="Times New Roman"/>
          <w:sz w:val="21"/>
          <w:szCs w:val="21"/>
        </w:rPr>
        <w:fldChar w:fldCharType="end"/>
      </w:r>
      <w:r>
        <w:rPr>
          <w:rFonts w:hint="eastAsia" w:cs="Times New Roman"/>
          <w:sz w:val="21"/>
          <w:szCs w:val="21"/>
        </w:rPr>
        <w:t>评价专用项提出要求，专用项按照陆上风电和海上风电项目分别列出。</w:t>
      </w:r>
    </w:p>
    <w:p w14:paraId="022368BC">
      <w:pPr>
        <w:ind w:right="-120" w:rightChars="-50" w:firstLine="420" w:firstLineChars="200"/>
        <w:rPr>
          <w:rFonts w:hint="eastAsia" w:cs="Times New Roman"/>
          <w:sz w:val="21"/>
          <w:szCs w:val="21"/>
        </w:rPr>
      </w:pPr>
      <w:r>
        <w:rPr>
          <w:rFonts w:hint="eastAsia" w:cs="Times New Roman"/>
          <w:sz w:val="21"/>
          <w:szCs w:val="21"/>
        </w:rPr>
        <w:t>1 陆上风电的材料节约主要控制重点是风机基础钢筋、混凝土等大宗材料，应通过采用科学的管理和先进的数字化、信息化手段降低材料损耗率。</w:t>
      </w:r>
    </w:p>
    <w:p w14:paraId="23759D49">
      <w:pPr>
        <w:ind w:right="-120" w:rightChars="-50" w:firstLine="420" w:firstLineChars="200"/>
        <w:rPr>
          <w:rFonts w:hint="eastAsia"/>
          <w:sz w:val="21"/>
          <w:szCs w:val="21"/>
        </w:rPr>
      </w:pPr>
      <w:r>
        <w:rPr>
          <w:rFonts w:hint="eastAsia" w:cs="Times New Roman"/>
          <w:sz w:val="21"/>
          <w:szCs w:val="21"/>
        </w:rPr>
        <w:t>2 海上风电的材料节约主要是提高</w:t>
      </w:r>
      <w:r>
        <w:rPr>
          <w:rFonts w:hint="eastAsia"/>
          <w:sz w:val="21"/>
          <w:szCs w:val="21"/>
        </w:rPr>
        <w:t>大宗钢结构工厂化加工比例，根据现场安装需求及方案设计对工厂化加工、分段提出明确要求，减少加工厂材料损耗率。</w:t>
      </w:r>
    </w:p>
    <w:p w14:paraId="721FBAB5">
      <w:pPr>
        <w:adjustRightInd w:val="0"/>
        <w:snapToGrid w:val="0"/>
        <w:outlineLvl w:val="1"/>
        <w:rPr>
          <w:rFonts w:hint="eastAsia"/>
          <w:color w:val="FF0000"/>
          <w:sz w:val="21"/>
          <w:szCs w:val="21"/>
        </w:rPr>
      </w:pPr>
      <w:bookmarkStart w:id="763" w:name="_Toc169276168"/>
      <w:bookmarkStart w:id="764" w:name="_Toc24757"/>
      <w:bookmarkStart w:id="765" w:name="_Toc27519"/>
      <w:r>
        <w:rPr>
          <w:sz w:val="21"/>
          <w:szCs w:val="21"/>
        </w:rPr>
        <w:t>6.3.</w:t>
      </w:r>
      <w:r>
        <w:rPr>
          <w:rFonts w:hint="eastAsia"/>
          <w:sz w:val="21"/>
          <w:szCs w:val="21"/>
        </w:rPr>
        <w:t>5</w:t>
      </w:r>
      <w:r>
        <w:rPr>
          <w:sz w:val="21"/>
          <w:szCs w:val="21"/>
        </w:rPr>
        <w:t xml:space="preserve"> </w:t>
      </w:r>
      <w:r>
        <w:rPr>
          <w:rFonts w:hint="eastAsia"/>
          <w:sz w:val="21"/>
          <w:szCs w:val="21"/>
        </w:rPr>
        <w:t>太阳能发电工程专用项</w:t>
      </w:r>
      <w:bookmarkEnd w:id="763"/>
      <w:bookmarkEnd w:id="764"/>
      <w:bookmarkEnd w:id="765"/>
    </w:p>
    <w:p w14:paraId="464AA3A5">
      <w:pPr>
        <w:adjustRightInd w:val="0"/>
        <w:snapToGrid w:val="0"/>
        <w:ind w:firstLine="420" w:firstLineChars="200"/>
        <w:rPr>
          <w:rFonts w:hint="eastAsia"/>
          <w:sz w:val="21"/>
          <w:szCs w:val="21"/>
        </w:rPr>
      </w:pPr>
      <w:r>
        <w:rPr>
          <w:rFonts w:hint="eastAsia"/>
          <w:sz w:val="21"/>
          <w:szCs w:val="21"/>
        </w:rPr>
        <w:t>太阳能发电工程材料节约与循环利用专用项评价分水上光伏、陆上光伏和光热发电项目，针对材料利用、设备倒运、电缆敷设等提出了具体要求，提倡材料的节约和循环利用，打造绿色型项目。</w:t>
      </w:r>
    </w:p>
    <w:p w14:paraId="3874CE61">
      <w:pPr>
        <w:adjustRightInd w:val="0"/>
        <w:snapToGrid w:val="0"/>
        <w:outlineLvl w:val="1"/>
        <w:rPr>
          <w:rFonts w:hint="eastAsia"/>
          <w:color w:val="FF0000"/>
          <w:sz w:val="21"/>
          <w:szCs w:val="21"/>
        </w:rPr>
      </w:pPr>
      <w:bookmarkStart w:id="766" w:name="_Toc169276166"/>
      <w:bookmarkStart w:id="767" w:name="_Toc8532"/>
      <w:bookmarkStart w:id="768" w:name="_Toc174"/>
      <w:bookmarkStart w:id="769" w:name="_Toc169276169"/>
      <w:r>
        <w:rPr>
          <w:sz w:val="21"/>
          <w:szCs w:val="21"/>
        </w:rPr>
        <w:t>6.3.</w:t>
      </w:r>
      <w:r>
        <w:rPr>
          <w:rFonts w:hint="eastAsia"/>
          <w:sz w:val="21"/>
          <w:szCs w:val="21"/>
        </w:rPr>
        <w:t>6</w:t>
      </w:r>
      <w:r>
        <w:rPr>
          <w:sz w:val="21"/>
          <w:szCs w:val="21"/>
        </w:rPr>
        <w:t xml:space="preserve"> </w:t>
      </w:r>
      <w:r>
        <w:rPr>
          <w:rFonts w:hint="eastAsia"/>
          <w:sz w:val="21"/>
          <w:szCs w:val="21"/>
        </w:rPr>
        <w:t>输变电专用项</w:t>
      </w:r>
      <w:bookmarkEnd w:id="766"/>
      <w:bookmarkEnd w:id="767"/>
      <w:bookmarkEnd w:id="768"/>
    </w:p>
    <w:p w14:paraId="741E261E">
      <w:pPr>
        <w:adjustRightInd w:val="0"/>
        <w:snapToGrid w:val="0"/>
        <w:ind w:firstLine="420" w:firstLineChars="200"/>
        <w:outlineLvl w:val="0"/>
        <w:rPr>
          <w:rFonts w:hint="eastAsia"/>
          <w:color w:val="000000" w:themeColor="text1"/>
          <w:sz w:val="21"/>
          <w:szCs w:val="21"/>
          <w14:textFill>
            <w14:solidFill>
              <w14:schemeClr w14:val="tx1"/>
            </w14:solidFill>
          </w14:textFill>
        </w:rPr>
      </w:pPr>
      <w:bookmarkStart w:id="770" w:name="_Toc12407"/>
      <w:bookmarkStart w:id="771" w:name="_Toc18843"/>
      <w:r>
        <w:rPr>
          <w:rFonts w:hint="eastAsia"/>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变电（换流）站</w:t>
      </w:r>
      <w:bookmarkEnd w:id="770"/>
      <w:bookmarkEnd w:id="771"/>
    </w:p>
    <w:p w14:paraId="43A946A8">
      <w:pPr>
        <w:adjustRightInd w:val="0"/>
        <w:snapToGrid w:val="0"/>
        <w:ind w:firstLine="630" w:firstLineChars="3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钢结构深化设计时，结合加工、运输、安装方案和焊接工艺要求，确定分段、分节数量和位置，优化节点构造，减少钢材用量。钢混组合结构中的钢结构构件，结合配筋情况，在深化设计时，确定与钢筋的连接方式。钢筋连接、套筒焊接、钢筋连接板焊接及预留孔在工厂加工时完成。装配式混凝土结构安装所需的埋件和连接件以及室内外装饰装修所需的连接件，在工厂制作时准确预留、预埋。</w:t>
      </w:r>
    </w:p>
    <w:p w14:paraId="50087B50">
      <w:pPr>
        <w:adjustRightInd w:val="0"/>
        <w:snapToGrid w:val="0"/>
        <w:ind w:firstLine="630" w:firstLineChars="3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2）门窗、管线与墙面装修同步进行可减少对墙面的损坏和污染。现场剔凿不仅容易产生扬尘，且线凿需要用砂浆覆盖，造成材料二次浪费。</w:t>
      </w:r>
    </w:p>
    <w:p w14:paraId="706F958F">
      <w:pPr>
        <w:adjustRightInd w:val="0"/>
        <w:snapToGrid w:val="0"/>
        <w:ind w:firstLine="630" w:firstLineChars="3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3）光电缆的敷设路径因合理，转弯半径满足规范要求，过渡预留现场敷设长度，属对资源的过渡浪费。</w:t>
      </w:r>
    </w:p>
    <w:p w14:paraId="03C98591">
      <w:pPr>
        <w:adjustRightInd w:val="0"/>
        <w:snapToGrid w:val="0"/>
        <w:ind w:firstLine="630" w:firstLineChars="3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5）电缆进仓作业工序多，涉及六氟化硫、酒精纸、铜接头、锡条等材料种类繁多，且多为一次性损耗品，返工作业将增加材料的二次浪费。</w:t>
      </w:r>
    </w:p>
    <w:p w14:paraId="6515AD77">
      <w:pPr>
        <w:adjustRightInd w:val="0"/>
        <w:snapToGrid w:val="0"/>
        <w:ind w:firstLine="630" w:firstLineChars="3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6）试验套管安装于较小气室，有利于节约六氟化硫气体的使用量，节约资源。</w:t>
      </w:r>
    </w:p>
    <w:p w14:paraId="0BACAB5D">
      <w:pPr>
        <w:adjustRightInd w:val="0"/>
        <w:snapToGrid w:val="0"/>
        <w:ind w:firstLine="420" w:firstLineChars="200"/>
        <w:outlineLvl w:val="0"/>
        <w:rPr>
          <w:rFonts w:hint="eastAsia"/>
          <w:color w:val="000000" w:themeColor="text1"/>
          <w:sz w:val="21"/>
          <w:szCs w:val="21"/>
          <w14:textFill>
            <w14:solidFill>
              <w14:schemeClr w14:val="tx1"/>
            </w14:solidFill>
          </w14:textFill>
        </w:rPr>
      </w:pPr>
      <w:bookmarkStart w:id="772" w:name="_Toc31547"/>
      <w:bookmarkStart w:id="773" w:name="_Toc26394"/>
      <w:r>
        <w:rPr>
          <w:rFonts w:hint="eastAsia"/>
          <w:color w:val="000000" w:themeColor="text1"/>
          <w:sz w:val="21"/>
          <w:szCs w:val="21"/>
          <w14:textFill>
            <w14:solidFill>
              <w14:schemeClr w14:val="tx1"/>
            </w14:solidFill>
          </w14:textFill>
        </w:rPr>
        <w:t>2</w:t>
      </w:r>
      <w:r>
        <w:rPr>
          <w:color w:val="000000" w:themeColor="text1"/>
          <w:sz w:val="21"/>
          <w:szCs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架空输电线路</w:t>
      </w:r>
      <w:bookmarkEnd w:id="772"/>
      <w:bookmarkEnd w:id="773"/>
    </w:p>
    <w:p w14:paraId="7A36CF4C">
      <w:pPr>
        <w:adjustRightInd w:val="0"/>
        <w:snapToGrid w:val="0"/>
        <w:ind w:firstLine="420" w:firstLineChars="2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钢筋施工，基于环保与资源节约需求优化钢筋放样下料并采用成型钢筋集中加工，受力钢筋宜机械连接，箍筋采用一笔箍或焊接封闭箍，可节约材料、降低成本、保证质量；对于基础支模，应采用可重复利用模板，施工中要回收散落材料，将短木方接长，拼接木、竹胶合板边角余料，以此实现材料循环利用，减少资源浪费与环境污染。</w:t>
      </w:r>
    </w:p>
    <w:p w14:paraId="23BB7F83">
      <w:pPr>
        <w:adjustRightInd w:val="0"/>
        <w:snapToGrid w:val="0"/>
        <w:ind w:firstLine="420" w:firstLineChars="200"/>
        <w:outlineLvl w:val="0"/>
        <w:rPr>
          <w:rFonts w:hint="eastAsia"/>
          <w:color w:val="000000" w:themeColor="text1"/>
          <w:sz w:val="21"/>
          <w:szCs w:val="21"/>
          <w14:textFill>
            <w14:solidFill>
              <w14:schemeClr w14:val="tx1"/>
            </w14:solidFill>
          </w14:textFill>
        </w:rPr>
      </w:pPr>
      <w:bookmarkStart w:id="774" w:name="_Toc12505"/>
      <w:bookmarkStart w:id="775" w:name="_Toc12475"/>
      <w:r>
        <w:rPr>
          <w:rFonts w:hint="eastAsia"/>
          <w:color w:val="000000" w:themeColor="text1"/>
          <w:sz w:val="21"/>
          <w:szCs w:val="21"/>
          <w14:textFill>
            <w14:solidFill>
              <w14:schemeClr w14:val="tx1"/>
            </w14:solidFill>
          </w14:textFill>
        </w:rPr>
        <w:t>3</w:t>
      </w:r>
      <w:r>
        <w:rPr>
          <w:color w:val="000000" w:themeColor="text1"/>
          <w:sz w:val="21"/>
          <w:szCs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电缆工程</w:t>
      </w:r>
      <w:bookmarkEnd w:id="774"/>
      <w:bookmarkEnd w:id="775"/>
    </w:p>
    <w:p w14:paraId="6B178374">
      <w:pPr>
        <w:adjustRightInd w:val="0"/>
        <w:snapToGrid w:val="0"/>
        <w:ind w:firstLine="630" w:firstLineChars="30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2）电缆段长量测时应充分考虑其敷设路径布置及转弯处最小半径要求，缆线在终端与接头附近应预留适合的长度，便于电缆附件与设备的对接，减少现场的材料损耗。</w:t>
      </w:r>
    </w:p>
    <w:p w14:paraId="001AE232">
      <w:pPr>
        <w:adjustRightInd w:val="0"/>
        <w:snapToGrid w:val="0"/>
        <w:ind w:firstLine="630" w:firstLineChars="300"/>
        <w:rPr>
          <w:rFonts w:hint="eastAsia"/>
          <w:sz w:val="21"/>
          <w:szCs w:val="21"/>
        </w:rPr>
      </w:pPr>
      <w:r>
        <w:rPr>
          <w:rFonts w:hint="eastAsia"/>
          <w:sz w:val="21"/>
          <w:szCs w:val="21"/>
        </w:rPr>
        <w:t>3）电缆附件以及防火隔板、涂料、包带、堵料等材料属于电缆防火、防水封堵所需的重要材料，其储存保管应符合产品技术性能要求，防止因保管不当造成材料失效、浪费。</w:t>
      </w:r>
    </w:p>
    <w:p w14:paraId="22643EC1">
      <w:pPr>
        <w:adjustRightInd w:val="0"/>
        <w:snapToGrid w:val="0"/>
        <w:outlineLvl w:val="1"/>
        <w:rPr>
          <w:rFonts w:hint="eastAsia"/>
          <w:color w:val="FF0000"/>
          <w:sz w:val="21"/>
          <w:szCs w:val="21"/>
        </w:rPr>
      </w:pPr>
      <w:bookmarkStart w:id="776" w:name="_Toc4850"/>
      <w:bookmarkStart w:id="777" w:name="_Toc3245"/>
      <w:r>
        <w:rPr>
          <w:sz w:val="21"/>
          <w:szCs w:val="21"/>
        </w:rPr>
        <w:t xml:space="preserve">6.3.7 </w:t>
      </w:r>
      <w:r>
        <w:rPr>
          <w:rFonts w:hint="eastAsia"/>
          <w:sz w:val="21"/>
          <w:szCs w:val="21"/>
        </w:rPr>
        <w:t>电力储能专用项</w:t>
      </w:r>
      <w:bookmarkEnd w:id="769"/>
      <w:bookmarkEnd w:id="776"/>
      <w:bookmarkEnd w:id="777"/>
    </w:p>
    <w:p w14:paraId="7AC83A7E">
      <w:pPr>
        <w:ind w:firstLine="420" w:firstLineChars="200"/>
        <w:outlineLvl w:val="0"/>
        <w:rPr>
          <w:rFonts w:hint="eastAsia"/>
          <w:sz w:val="21"/>
          <w:szCs w:val="21"/>
        </w:rPr>
      </w:pPr>
      <w:bookmarkStart w:id="778" w:name="_Toc21948"/>
      <w:bookmarkStart w:id="779" w:name="_Toc12484"/>
      <w:r>
        <w:rPr>
          <w:sz w:val="21"/>
          <w:szCs w:val="21"/>
        </w:rPr>
        <w:t>1  电化学（锂电、液流、燃料电池、钠离子、铅酸、铅炭）储能</w:t>
      </w:r>
      <w:bookmarkEnd w:id="778"/>
      <w:bookmarkEnd w:id="779"/>
    </w:p>
    <w:p w14:paraId="6E78EDD4">
      <w:pPr>
        <w:ind w:firstLine="420" w:firstLineChars="200"/>
        <w:rPr>
          <w:rFonts w:hint="eastAsia"/>
          <w:sz w:val="21"/>
          <w:szCs w:val="21"/>
        </w:rPr>
      </w:pPr>
      <w:r>
        <w:rPr>
          <w:rFonts w:hint="eastAsia"/>
          <w:sz w:val="21"/>
          <w:szCs w:val="21"/>
        </w:rPr>
        <w:t>1）电化学储能集装箱数量较多，主接地网预留引出线位置与集装箱外壳接地点位置配合，能够节省大量接地材料。</w:t>
      </w:r>
    </w:p>
    <w:p w14:paraId="3048DA2C">
      <w:pPr>
        <w:ind w:firstLine="420" w:firstLineChars="200"/>
        <w:rPr>
          <w:rFonts w:hint="eastAsia"/>
          <w:sz w:val="21"/>
          <w:szCs w:val="21"/>
        </w:rPr>
      </w:pPr>
      <w:r>
        <w:rPr>
          <w:rFonts w:hint="eastAsia"/>
          <w:sz w:val="21"/>
          <w:szCs w:val="21"/>
        </w:rPr>
        <w:t>2）设备材料节约也包括本项目节约的或损坏的设备材料经处理后具备重复应用于其他项目的条件。</w:t>
      </w:r>
    </w:p>
    <w:p w14:paraId="75E6A312">
      <w:pPr>
        <w:ind w:firstLine="420" w:firstLineChars="200"/>
        <w:outlineLvl w:val="0"/>
        <w:rPr>
          <w:rFonts w:hint="eastAsia"/>
          <w:sz w:val="21"/>
          <w:szCs w:val="21"/>
        </w:rPr>
      </w:pPr>
      <w:bookmarkStart w:id="780" w:name="_Toc15438"/>
      <w:bookmarkStart w:id="781" w:name="_Toc19143"/>
      <w:r>
        <w:rPr>
          <w:sz w:val="21"/>
          <w:szCs w:val="21"/>
        </w:rPr>
        <w:t>2  飞轮储能</w:t>
      </w:r>
      <w:bookmarkEnd w:id="780"/>
      <w:bookmarkEnd w:id="781"/>
    </w:p>
    <w:p w14:paraId="2C0AE89E">
      <w:pPr>
        <w:ind w:firstLine="420" w:firstLineChars="200"/>
        <w:rPr>
          <w:rFonts w:hint="eastAsia"/>
          <w:sz w:val="21"/>
          <w:szCs w:val="21"/>
        </w:rPr>
      </w:pPr>
      <w:r>
        <w:rPr>
          <w:rFonts w:hint="eastAsia"/>
          <w:sz w:val="21"/>
          <w:szCs w:val="21"/>
        </w:rPr>
        <w:t>1）在施工阶段和调试、运维阶段，对飞轮储能系统各部件良好的保护、保养也是</w:t>
      </w:r>
      <w:r>
        <w:rPr>
          <w:sz w:val="21"/>
          <w:szCs w:val="21"/>
        </w:rPr>
        <w:t>一种潜在的设备材料节约的方式</w:t>
      </w:r>
      <w:r>
        <w:rPr>
          <w:rFonts w:hint="eastAsia"/>
          <w:sz w:val="21"/>
          <w:szCs w:val="21"/>
        </w:rPr>
        <w:t>。</w:t>
      </w:r>
    </w:p>
    <w:p w14:paraId="398AD1A3">
      <w:pPr>
        <w:ind w:firstLine="420" w:firstLineChars="200"/>
        <w:outlineLvl w:val="0"/>
        <w:rPr>
          <w:rFonts w:hint="eastAsia"/>
          <w:sz w:val="21"/>
          <w:szCs w:val="21"/>
        </w:rPr>
      </w:pPr>
      <w:bookmarkStart w:id="782" w:name="_Toc32051"/>
      <w:bookmarkStart w:id="783" w:name="_Toc32520"/>
      <w:r>
        <w:rPr>
          <w:sz w:val="21"/>
          <w:szCs w:val="21"/>
        </w:rPr>
        <w:t>3压缩空气储能</w:t>
      </w:r>
      <w:bookmarkEnd w:id="782"/>
      <w:bookmarkEnd w:id="783"/>
    </w:p>
    <w:p w14:paraId="1D9924B2">
      <w:pPr>
        <w:ind w:firstLine="420" w:firstLineChars="200"/>
        <w:outlineLvl w:val="1"/>
        <w:rPr>
          <w:rFonts w:hint="eastAsia"/>
          <w:sz w:val="21"/>
          <w:szCs w:val="21"/>
        </w:rPr>
      </w:pPr>
      <w:bookmarkStart w:id="784" w:name="_Toc6244"/>
      <w:bookmarkStart w:id="785" w:name="_Toc10871"/>
      <w:r>
        <w:rPr>
          <w:rFonts w:hint="eastAsia"/>
          <w:sz w:val="21"/>
          <w:szCs w:val="21"/>
        </w:rPr>
        <w:t>3）设备保护、保养也是一种</w:t>
      </w:r>
      <w:r>
        <w:rPr>
          <w:sz w:val="21"/>
          <w:szCs w:val="21"/>
        </w:rPr>
        <w:t>潜在的设备材料节约的方式</w:t>
      </w:r>
      <w:r>
        <w:rPr>
          <w:rFonts w:hint="eastAsia"/>
          <w:sz w:val="21"/>
          <w:szCs w:val="21"/>
        </w:rPr>
        <w:t>。</w:t>
      </w:r>
      <w:bookmarkEnd w:id="784"/>
      <w:bookmarkEnd w:id="785"/>
    </w:p>
    <w:p w14:paraId="17218946">
      <w:pPr>
        <w:adjustRightInd w:val="0"/>
        <w:snapToGrid w:val="0"/>
        <w:jc w:val="center"/>
        <w:rPr>
          <w:rFonts w:hint="eastAsia"/>
          <w:sz w:val="21"/>
          <w:szCs w:val="21"/>
        </w:rPr>
      </w:pPr>
      <w:r>
        <w:rPr>
          <w:rFonts w:hint="eastAsia"/>
          <w:sz w:val="21"/>
          <w:szCs w:val="21"/>
        </w:rPr>
        <w:t>Ⅱ 建筑垃圾控制与循环利用</w:t>
      </w:r>
    </w:p>
    <w:p w14:paraId="7C9BF647">
      <w:pPr>
        <w:adjustRightInd w:val="0"/>
        <w:snapToGrid w:val="0"/>
        <w:outlineLvl w:val="2"/>
        <w:rPr>
          <w:rFonts w:hint="eastAsia"/>
          <w:sz w:val="21"/>
          <w:szCs w:val="21"/>
        </w:rPr>
      </w:pPr>
      <w:bookmarkStart w:id="786" w:name="_Toc5138"/>
      <w:r>
        <w:fldChar w:fldCharType="begin"/>
      </w:r>
      <w:r>
        <w:instrText xml:space="preserve"> HYPERLINK \l "_Toc162470928" </w:instrText>
      </w:r>
      <w:r>
        <w:fldChar w:fldCharType="separate"/>
      </w:r>
      <w:bookmarkStart w:id="787" w:name="_Toc169276171"/>
      <w:r>
        <w:rPr>
          <w:sz w:val="21"/>
          <w:szCs w:val="21"/>
        </w:rPr>
        <w:t>6.3.</w:t>
      </w:r>
      <w:r>
        <w:rPr>
          <w:rFonts w:hint="eastAsia"/>
          <w:sz w:val="21"/>
          <w:szCs w:val="21"/>
        </w:rPr>
        <w:t>8</w:t>
      </w:r>
      <w:r>
        <w:fldChar w:fldCharType="begin"/>
      </w:r>
      <w:r>
        <w:instrText xml:space="preserve"> HYPERLINK \l "_Toc162470928" </w:instrText>
      </w:r>
      <w:r>
        <w:fldChar w:fldCharType="separate"/>
      </w:r>
      <w:r>
        <w:rPr>
          <w:rFonts w:hint="eastAsia"/>
          <w:sz w:val="21"/>
          <w:szCs w:val="21"/>
        </w:rPr>
        <w:t>建筑垃圾控制与循环利用通用项</w:t>
      </w:r>
      <w:r>
        <w:rPr>
          <w:rFonts w:hint="eastAsia"/>
          <w:sz w:val="21"/>
          <w:szCs w:val="21"/>
        </w:rPr>
        <w:fldChar w:fldCharType="end"/>
      </w:r>
      <w:r>
        <w:rPr>
          <w:rFonts w:hint="eastAsia"/>
          <w:sz w:val="21"/>
          <w:szCs w:val="21"/>
        </w:rPr>
        <w:t>评价包括以下内容：</w:t>
      </w:r>
      <w:r>
        <w:rPr>
          <w:rFonts w:hint="eastAsia"/>
          <w:sz w:val="21"/>
          <w:szCs w:val="21"/>
        </w:rPr>
        <w:fldChar w:fldCharType="end"/>
      </w:r>
      <w:bookmarkEnd w:id="786"/>
      <w:bookmarkEnd w:id="787"/>
      <w:r>
        <w:rPr>
          <w:sz w:val="21"/>
          <w:szCs w:val="21"/>
        </w:rPr>
        <w:t xml:space="preserve"> </w:t>
      </w:r>
    </w:p>
    <w:p w14:paraId="0643F64F">
      <w:pPr>
        <w:adjustRightInd w:val="0"/>
        <w:snapToGrid w:val="0"/>
        <w:ind w:firstLine="420" w:firstLineChars="200"/>
        <w:outlineLvl w:val="0"/>
        <w:rPr>
          <w:rFonts w:hint="eastAsia"/>
          <w:sz w:val="21"/>
          <w:szCs w:val="21"/>
        </w:rPr>
      </w:pPr>
      <w:bookmarkStart w:id="788" w:name="_Toc15654"/>
      <w:bookmarkStart w:id="789" w:name="_Toc8007"/>
      <w:r>
        <w:rPr>
          <w:rFonts w:hint="eastAsia"/>
          <w:sz w:val="21"/>
          <w:szCs w:val="21"/>
        </w:rPr>
        <w:t>1建筑垃圾控制措施</w:t>
      </w:r>
      <w:bookmarkEnd w:id="788"/>
      <w:bookmarkEnd w:id="789"/>
    </w:p>
    <w:p w14:paraId="784CF98E">
      <w:pPr>
        <w:adjustRightInd w:val="0"/>
        <w:snapToGrid w:val="0"/>
        <w:ind w:firstLine="420" w:firstLineChars="200"/>
        <w:rPr>
          <w:rFonts w:hint="eastAsia"/>
          <w:sz w:val="21"/>
          <w:szCs w:val="21"/>
        </w:rPr>
      </w:pPr>
      <w:r>
        <w:rPr>
          <w:rFonts w:hint="eastAsia"/>
          <w:sz w:val="21"/>
          <w:szCs w:val="21"/>
        </w:rPr>
        <w:t>目前建筑垃圾的数量很大，堆放或填埋均占用大量的土地；对环境产生很大的影响，包括建筑垃圾的淋滤液渗入土层和含水层，破坏土壤环境，污染地下水，有机物质发生分解产生有害气体，污染空气；同时建筑垃圾的产出，也意味着资源的浪费。因此减少建筑垃圾产出，涉及节地、节能、节材和保护环境这样一个可持续发展的综合性问题。建筑垃圾减量化应在材料采购、材料管理、施工管理的全过程实施。建筑垃圾应分类收集、集中堆放，回收和再利用。</w:t>
      </w:r>
    </w:p>
    <w:p w14:paraId="3C0EBA04">
      <w:pPr>
        <w:adjustRightInd w:val="0"/>
        <w:snapToGrid w:val="0"/>
        <w:ind w:firstLine="420" w:firstLineChars="200"/>
        <w:rPr>
          <w:rFonts w:hint="eastAsia"/>
          <w:sz w:val="21"/>
          <w:szCs w:val="21"/>
        </w:rPr>
      </w:pPr>
      <w:r>
        <w:rPr>
          <w:rFonts w:hint="eastAsia"/>
          <w:sz w:val="21"/>
          <w:szCs w:val="21"/>
        </w:rPr>
        <w:t>绿色施工要求施工企业制定建筑垃圾现场回收再利用方案，根据规模针对再利用措施合理在施工现场修建封闭、分类集中建筑垃圾堆放站，施工过程中，应对建筑垃圾进行分类回收，集中堆放。对产生的建筑垃圾尽可能地在现场再利用能有效减少建筑垃圾外运带来的能耗、消耗及环境污染。建筑垃圾的统计可基于材料无效使用和现场及时计量的方法计算。所谓材料无效使用方法，是指采购的建筑材料使用未能形成产值的部分，以及周转材料的消耗，建材、设备等的包装材料等。现场及时计量方法，是指对产生的建筑垃圾及时计量，包括建筑废弃物、建筑垃圾回收量、再利用量等。最后换算成每万平方米建筑面积产生的建筑垃圾量。</w:t>
      </w:r>
    </w:p>
    <w:p w14:paraId="1C0307FE">
      <w:pPr>
        <w:adjustRightInd w:val="0"/>
        <w:snapToGrid w:val="0"/>
        <w:ind w:firstLine="420" w:firstLineChars="200"/>
        <w:outlineLvl w:val="0"/>
        <w:rPr>
          <w:rFonts w:hint="eastAsia"/>
          <w:sz w:val="21"/>
          <w:szCs w:val="21"/>
        </w:rPr>
      </w:pPr>
      <w:bookmarkStart w:id="790" w:name="_Toc14"/>
      <w:bookmarkStart w:id="791" w:name="_Toc11369"/>
      <w:r>
        <w:rPr>
          <w:rFonts w:hint="eastAsia"/>
          <w:sz w:val="21"/>
          <w:szCs w:val="21"/>
        </w:rPr>
        <w:t>2建筑垃圾循环利用措施</w:t>
      </w:r>
      <w:bookmarkEnd w:id="790"/>
      <w:bookmarkEnd w:id="791"/>
    </w:p>
    <w:p w14:paraId="3B565B43">
      <w:pPr>
        <w:adjustRightInd w:val="0"/>
        <w:snapToGrid w:val="0"/>
        <w:ind w:firstLine="420" w:firstLineChars="200"/>
        <w:rPr>
          <w:rFonts w:hint="eastAsia"/>
          <w:sz w:val="21"/>
          <w:szCs w:val="21"/>
        </w:rPr>
      </w:pPr>
      <w:r>
        <w:rPr>
          <w:rFonts w:hint="eastAsia"/>
          <w:sz w:val="21"/>
          <w:szCs w:val="21"/>
        </w:rPr>
        <w:t>可回收利用物是指适宜回收循环使用和资源利用的废物。主要包括：①</w:t>
      </w:r>
      <w:r>
        <w:rPr>
          <w:sz w:val="21"/>
          <w:szCs w:val="21"/>
        </w:rPr>
        <w:t xml:space="preserve"> 纸类：未严重玷污的</w:t>
      </w:r>
      <w:r>
        <w:rPr>
          <w:rFonts w:hint="eastAsia"/>
          <w:sz w:val="21"/>
          <w:szCs w:val="21"/>
        </w:rPr>
        <w:t>文字用纸、包装用纸和其他纸制品等。如报纸、各种包装纸、办公用纸、广告纸片、纸盒等；②</w:t>
      </w:r>
      <w:r>
        <w:rPr>
          <w:sz w:val="21"/>
          <w:szCs w:val="21"/>
        </w:rPr>
        <w:t>塑料：</w:t>
      </w:r>
      <w:r>
        <w:rPr>
          <w:rFonts w:hint="eastAsia"/>
          <w:sz w:val="21"/>
          <w:szCs w:val="21"/>
        </w:rPr>
        <w:t>废容器塑料、包装塑料等塑料制品。比如各种塑料袋、塑料瓶、泡沫塑料、一次性塑料餐盒餐具、硬塑料等；③</w:t>
      </w:r>
      <w:r>
        <w:rPr>
          <w:sz w:val="21"/>
          <w:szCs w:val="21"/>
        </w:rPr>
        <w:t xml:space="preserve"> 金属：各种类别的废金属物品。如易拉罐、铁皮罐头盒、铅皮牙膏皮等；④ 玻璃：有色和</w:t>
      </w:r>
      <w:r>
        <w:rPr>
          <w:rFonts w:hint="eastAsia"/>
          <w:sz w:val="21"/>
          <w:szCs w:val="21"/>
        </w:rPr>
        <w:t>无色废玻璃制品；⑤</w:t>
      </w:r>
      <w:r>
        <w:rPr>
          <w:sz w:val="21"/>
          <w:szCs w:val="21"/>
        </w:rPr>
        <w:t xml:space="preserve"> 织物：旧纺织衣物和纺织制品。不可回收利用物指除可回收利用物之外的垃圾，</w:t>
      </w:r>
      <w:r>
        <w:rPr>
          <w:rFonts w:hint="eastAsia"/>
          <w:sz w:val="21"/>
          <w:szCs w:val="21"/>
        </w:rPr>
        <w:t>常见的有在自然条件下易分解的垃圾，如果皮、菜叶、剩菜剩饭、花草树枝树叶等。还有就是有害的，有污染的，不能进行二次分解再造的都属于不可回收垃圾。</w:t>
      </w:r>
    </w:p>
    <w:p w14:paraId="7AF7F7D2">
      <w:pPr>
        <w:adjustRightInd w:val="0"/>
        <w:snapToGrid w:val="0"/>
        <w:ind w:firstLine="420" w:firstLineChars="200"/>
        <w:rPr>
          <w:rFonts w:hint="eastAsia"/>
          <w:sz w:val="21"/>
          <w:szCs w:val="21"/>
        </w:rPr>
      </w:pPr>
      <w:r>
        <w:rPr>
          <w:rFonts w:hint="eastAsia"/>
          <w:sz w:val="21"/>
          <w:szCs w:val="21"/>
        </w:rPr>
        <w:t>建筑垃圾减量既节约资源又减少排放。建筑施工应从原材料采购、材料管理、施工管理等全过程进行建筑垃圾减量控制。同时施工中产生的建筑垃圾应采取措施尽可能地在现场再利用，现场再利用分直接再利用和加工后再利用两种。直接再利用如短钢筋用来焊接地沟盖板等；加工后再利用如混凝土类建筑垃圾粉碎后用于制砖等。</w:t>
      </w:r>
    </w:p>
    <w:p w14:paraId="15EB355E">
      <w:pPr>
        <w:adjustRightInd w:val="0"/>
        <w:snapToGrid w:val="0"/>
        <w:outlineLvl w:val="1"/>
        <w:rPr>
          <w:rFonts w:hint="eastAsia"/>
          <w:sz w:val="21"/>
          <w:szCs w:val="21"/>
        </w:rPr>
      </w:pPr>
      <w:bookmarkStart w:id="792" w:name="_Toc169276175"/>
      <w:bookmarkStart w:id="793" w:name="_Toc5335"/>
      <w:bookmarkStart w:id="794" w:name="_Toc3966"/>
      <w:r>
        <w:rPr>
          <w:sz w:val="21"/>
          <w:szCs w:val="21"/>
        </w:rPr>
        <w:t>6.3.</w:t>
      </w:r>
      <w:r>
        <w:rPr>
          <w:rFonts w:hint="eastAsia"/>
          <w:sz w:val="21"/>
          <w:szCs w:val="21"/>
        </w:rPr>
        <w:t>11风力发电专用项</w:t>
      </w:r>
      <w:bookmarkEnd w:id="792"/>
      <w:bookmarkEnd w:id="793"/>
      <w:bookmarkEnd w:id="794"/>
    </w:p>
    <w:p w14:paraId="7B6B1735">
      <w:pPr>
        <w:ind w:right="-120" w:rightChars="-50" w:firstLine="420" w:firstLineChars="200"/>
        <w:rPr>
          <w:rFonts w:hint="eastAsia"/>
          <w:sz w:val="21"/>
          <w:szCs w:val="21"/>
        </w:rPr>
      </w:pPr>
      <w:bookmarkStart w:id="795" w:name="_Toc169276176"/>
      <w:r>
        <w:rPr>
          <w:rFonts w:hint="eastAsia"/>
          <w:sz w:val="21"/>
          <w:szCs w:val="21"/>
        </w:rPr>
        <w:t>本条对</w:t>
      </w:r>
      <w:r>
        <w:rPr>
          <w:sz w:val="21"/>
          <w:szCs w:val="21"/>
        </w:rPr>
        <w:t>风力发电</w:t>
      </w:r>
      <w:r>
        <w:fldChar w:fldCharType="begin"/>
      </w:r>
      <w:r>
        <w:instrText xml:space="preserve"> HYPERLINK \l "_Toc162470929" </w:instrText>
      </w:r>
      <w:r>
        <w:fldChar w:fldCharType="separate"/>
      </w:r>
      <w:r>
        <w:rPr>
          <w:rFonts w:hint="eastAsia"/>
          <w:sz w:val="21"/>
          <w:szCs w:val="21"/>
        </w:rPr>
        <w:t>工程</w:t>
      </w:r>
      <w:r>
        <w:rPr>
          <w:rFonts w:hint="eastAsia"/>
          <w:sz w:val="21"/>
          <w:szCs w:val="21"/>
        </w:rPr>
        <w:fldChar w:fldCharType="end"/>
      </w:r>
      <w:r>
        <w:rPr>
          <w:rFonts w:hint="eastAsia"/>
          <w:sz w:val="21"/>
          <w:szCs w:val="21"/>
        </w:rPr>
        <w:t>建筑垃圾控制与循环利用评价专用项提出要求，专用项按照陆上风电和海上风电项目分别列出。</w:t>
      </w:r>
    </w:p>
    <w:p w14:paraId="56665812">
      <w:pPr>
        <w:ind w:right="-120" w:rightChars="-50" w:firstLine="420" w:firstLineChars="200"/>
        <w:outlineLvl w:val="0"/>
        <w:rPr>
          <w:rFonts w:hint="eastAsia" w:cs="Times New Roman"/>
          <w:sz w:val="21"/>
          <w:szCs w:val="21"/>
        </w:rPr>
      </w:pPr>
      <w:bookmarkStart w:id="796" w:name="_Toc13868"/>
      <w:bookmarkStart w:id="797" w:name="_Toc7999"/>
      <w:r>
        <w:rPr>
          <w:rFonts w:hint="eastAsia" w:cs="Times New Roman"/>
          <w:sz w:val="21"/>
          <w:szCs w:val="21"/>
        </w:rPr>
        <w:t>2 海上风电</w:t>
      </w:r>
      <w:bookmarkEnd w:id="796"/>
      <w:bookmarkEnd w:id="797"/>
    </w:p>
    <w:p w14:paraId="2F4D8248">
      <w:pPr>
        <w:ind w:right="-120" w:rightChars="-50" w:firstLine="420" w:firstLineChars="200"/>
        <w:rPr>
          <w:rFonts w:hint="eastAsia" w:cs="Times New Roman"/>
          <w:sz w:val="21"/>
          <w:szCs w:val="21"/>
        </w:rPr>
      </w:pPr>
      <w:r>
        <w:rPr>
          <w:rFonts w:hint="eastAsia" w:cs="Times New Roman"/>
          <w:sz w:val="21"/>
          <w:szCs w:val="21"/>
        </w:rPr>
        <w:t>2）风电施工船舶应当配备有盖、不渗漏、不外溢的垃圾存储设备，按照固体垃圾、生活垃圾、废油、废水、有毒有害垃圾等类型分类存放，与有资质的垃圾回收单位签订回收合同，定期回收处理。</w:t>
      </w:r>
    </w:p>
    <w:p w14:paraId="4B8BD288">
      <w:pPr>
        <w:adjustRightInd w:val="0"/>
        <w:snapToGrid w:val="0"/>
        <w:outlineLvl w:val="1"/>
        <w:rPr>
          <w:rFonts w:hint="eastAsia"/>
          <w:color w:val="FF0000"/>
          <w:sz w:val="21"/>
          <w:szCs w:val="21"/>
        </w:rPr>
      </w:pPr>
      <w:bookmarkStart w:id="798" w:name="_Toc2703"/>
      <w:bookmarkStart w:id="799" w:name="_Toc31667"/>
      <w:r>
        <w:rPr>
          <w:sz w:val="21"/>
          <w:szCs w:val="21"/>
        </w:rPr>
        <w:t>6.3.</w:t>
      </w:r>
      <w:r>
        <w:rPr>
          <w:rFonts w:hint="eastAsia"/>
          <w:sz w:val="21"/>
          <w:szCs w:val="21"/>
        </w:rPr>
        <w:t>12太阳能发电工程专用项</w:t>
      </w:r>
      <w:bookmarkEnd w:id="795"/>
      <w:bookmarkEnd w:id="798"/>
      <w:bookmarkEnd w:id="799"/>
    </w:p>
    <w:p w14:paraId="4E188518">
      <w:pPr>
        <w:adjustRightInd w:val="0"/>
        <w:snapToGrid w:val="0"/>
        <w:ind w:firstLine="420" w:firstLineChars="200"/>
        <w:rPr>
          <w:rFonts w:hint="eastAsia"/>
          <w:sz w:val="21"/>
          <w:szCs w:val="21"/>
        </w:rPr>
      </w:pPr>
      <w:r>
        <w:rPr>
          <w:rFonts w:hint="eastAsia"/>
          <w:sz w:val="21"/>
          <w:szCs w:val="21"/>
        </w:rPr>
        <w:t>工程施工所需光伏组件、电缆、定日镜等设备数量庞大，设备的包装纸盒若不回收利用，一方面将对环境造成污染，另一方面回收利用后产生经济价值，因此在包装纸盒回收提出了要求。</w:t>
      </w:r>
    </w:p>
    <w:p w14:paraId="1DB6D3D2">
      <w:pPr>
        <w:adjustRightInd w:val="0"/>
        <w:snapToGrid w:val="0"/>
        <w:outlineLvl w:val="1"/>
        <w:rPr>
          <w:rFonts w:hint="eastAsia"/>
          <w:color w:val="FF0000"/>
          <w:sz w:val="21"/>
          <w:szCs w:val="21"/>
        </w:rPr>
      </w:pPr>
      <w:bookmarkStart w:id="800" w:name="_Toc169276174"/>
      <w:bookmarkStart w:id="801" w:name="_Toc7664"/>
      <w:bookmarkStart w:id="802" w:name="_Toc24355"/>
      <w:bookmarkStart w:id="803" w:name="_Toc169276177"/>
      <w:r>
        <w:rPr>
          <w:sz w:val="21"/>
          <w:szCs w:val="21"/>
        </w:rPr>
        <w:t>6.3.</w:t>
      </w:r>
      <w:r>
        <w:rPr>
          <w:rFonts w:hint="eastAsia"/>
          <w:sz w:val="21"/>
          <w:szCs w:val="21"/>
        </w:rPr>
        <w:t>13输变电工程专用项</w:t>
      </w:r>
      <w:bookmarkEnd w:id="800"/>
      <w:bookmarkEnd w:id="801"/>
      <w:bookmarkEnd w:id="802"/>
    </w:p>
    <w:p w14:paraId="09E8DA90">
      <w:pPr>
        <w:adjustRightInd w:val="0"/>
        <w:snapToGrid w:val="0"/>
        <w:ind w:firstLine="420" w:firstLineChars="200"/>
        <w:outlineLvl w:val="0"/>
        <w:rPr>
          <w:rFonts w:hint="eastAsia"/>
          <w:sz w:val="21"/>
          <w:szCs w:val="21"/>
        </w:rPr>
      </w:pPr>
      <w:bookmarkStart w:id="804" w:name="_Toc17700"/>
      <w:bookmarkStart w:id="805" w:name="_Toc13979"/>
      <w:r>
        <w:rPr>
          <w:rFonts w:hint="eastAsia"/>
          <w:sz w:val="21"/>
          <w:szCs w:val="21"/>
        </w:rPr>
        <w:t>1</w:t>
      </w:r>
      <w:r>
        <w:rPr>
          <w:sz w:val="21"/>
          <w:szCs w:val="21"/>
        </w:rPr>
        <w:t xml:space="preserve">  </w:t>
      </w:r>
      <w:r>
        <w:rPr>
          <w:rFonts w:hint="eastAsia"/>
          <w:sz w:val="21"/>
          <w:szCs w:val="21"/>
        </w:rPr>
        <w:t>变电（换流）站</w:t>
      </w:r>
      <w:bookmarkEnd w:id="804"/>
      <w:bookmarkEnd w:id="805"/>
    </w:p>
    <w:p w14:paraId="45156D6D">
      <w:pPr>
        <w:adjustRightInd w:val="0"/>
        <w:snapToGrid w:val="0"/>
        <w:ind w:firstLine="630" w:firstLineChars="300"/>
        <w:rPr>
          <w:rFonts w:hint="eastAsia"/>
          <w:sz w:val="21"/>
          <w:szCs w:val="21"/>
        </w:rPr>
      </w:pPr>
      <w:r>
        <w:rPr>
          <w:rFonts w:hint="eastAsia"/>
          <w:sz w:val="21"/>
          <w:szCs w:val="21"/>
        </w:rPr>
        <w:t>1）混凝土浇筑余料可制作散水、雨水井等小型预制件，也可用做临时道路硬化等措施，最大限度降低混凝土实际损耗量。</w:t>
      </w:r>
    </w:p>
    <w:p w14:paraId="6213C164">
      <w:pPr>
        <w:adjustRightInd w:val="0"/>
        <w:snapToGrid w:val="0"/>
        <w:ind w:firstLine="630" w:firstLineChars="300"/>
        <w:rPr>
          <w:rFonts w:hint="eastAsia"/>
          <w:sz w:val="21"/>
          <w:szCs w:val="21"/>
        </w:rPr>
      </w:pPr>
      <w:r>
        <w:rPr>
          <w:rFonts w:hint="eastAsia"/>
          <w:sz w:val="21"/>
          <w:szCs w:val="21"/>
        </w:rPr>
        <w:t>2）钢柱、钢梁、檩条、龙骨等钢结构构件采用现场加工时，应有废料再利用的措施，利用BIM等信息化、智能化设备加工钢构件，减少废料产生。</w:t>
      </w:r>
    </w:p>
    <w:p w14:paraId="2AEF0E85">
      <w:pPr>
        <w:adjustRightInd w:val="0"/>
        <w:snapToGrid w:val="0"/>
        <w:ind w:firstLine="420" w:firstLineChars="200"/>
        <w:outlineLvl w:val="0"/>
        <w:rPr>
          <w:rFonts w:hint="eastAsia"/>
          <w:sz w:val="21"/>
          <w:szCs w:val="21"/>
        </w:rPr>
      </w:pPr>
      <w:bookmarkStart w:id="806" w:name="_Toc12977"/>
      <w:bookmarkStart w:id="807" w:name="_Toc9804"/>
      <w:r>
        <w:rPr>
          <w:rFonts w:hint="eastAsia"/>
          <w:sz w:val="21"/>
          <w:szCs w:val="21"/>
        </w:rPr>
        <w:t>2</w:t>
      </w:r>
      <w:r>
        <w:rPr>
          <w:sz w:val="21"/>
          <w:szCs w:val="21"/>
        </w:rPr>
        <w:t xml:space="preserve">  </w:t>
      </w:r>
      <w:r>
        <w:rPr>
          <w:rFonts w:hint="eastAsia"/>
          <w:sz w:val="21"/>
          <w:szCs w:val="21"/>
        </w:rPr>
        <w:t>架空输电线路</w:t>
      </w:r>
      <w:bookmarkEnd w:id="806"/>
      <w:bookmarkEnd w:id="807"/>
    </w:p>
    <w:p w14:paraId="300CBB17">
      <w:pPr>
        <w:adjustRightInd w:val="0"/>
        <w:snapToGrid w:val="0"/>
        <w:ind w:firstLine="420" w:firstLineChars="200"/>
        <w:rPr>
          <w:rFonts w:hint="eastAsia"/>
          <w:sz w:val="21"/>
          <w:szCs w:val="21"/>
        </w:rPr>
      </w:pPr>
      <w:r>
        <w:rPr>
          <w:rFonts w:hint="eastAsia"/>
          <w:sz w:val="21"/>
          <w:szCs w:val="21"/>
        </w:rPr>
        <w:t>采用先进施工工艺与绿色材料，可提高效率、保证质量，减少资源浪费与环境污染。规范固体废物处理，从源头减少危险废物产生并进行分类回收与无害化处置。禁止在施工现场融化沥青、焚烧油毡等，以防产生有害烟尘和气体，保护人员健康与环境.</w:t>
      </w:r>
    </w:p>
    <w:p w14:paraId="737232BA">
      <w:pPr>
        <w:adjustRightInd w:val="0"/>
        <w:snapToGrid w:val="0"/>
        <w:ind w:firstLine="420" w:firstLineChars="200"/>
        <w:outlineLvl w:val="0"/>
        <w:rPr>
          <w:rFonts w:hint="eastAsia"/>
          <w:sz w:val="21"/>
          <w:szCs w:val="21"/>
        </w:rPr>
      </w:pPr>
      <w:bookmarkStart w:id="808" w:name="_Toc27394"/>
      <w:bookmarkStart w:id="809" w:name="_Toc17057"/>
      <w:r>
        <w:rPr>
          <w:rFonts w:hint="eastAsia"/>
          <w:sz w:val="21"/>
          <w:szCs w:val="21"/>
        </w:rPr>
        <w:t>3</w:t>
      </w:r>
      <w:r>
        <w:rPr>
          <w:sz w:val="21"/>
          <w:szCs w:val="21"/>
        </w:rPr>
        <w:t xml:space="preserve">  </w:t>
      </w:r>
      <w:r>
        <w:rPr>
          <w:rFonts w:hint="eastAsia"/>
          <w:sz w:val="21"/>
          <w:szCs w:val="21"/>
        </w:rPr>
        <w:t>电缆工程</w:t>
      </w:r>
      <w:bookmarkEnd w:id="808"/>
      <w:bookmarkEnd w:id="809"/>
    </w:p>
    <w:p w14:paraId="7F10ED72">
      <w:pPr>
        <w:adjustRightInd w:val="0"/>
        <w:snapToGrid w:val="0"/>
        <w:ind w:firstLine="420" w:firstLineChars="200"/>
        <w:rPr>
          <w:rFonts w:hint="eastAsia"/>
          <w:sz w:val="21"/>
          <w:szCs w:val="21"/>
        </w:rPr>
      </w:pPr>
      <w:r>
        <w:rPr>
          <w:rFonts w:hint="eastAsia"/>
          <w:sz w:val="21"/>
          <w:szCs w:val="21"/>
        </w:rPr>
        <w:t>电缆接头制作涉及到电动工器具的使用及电源线盘的接入，制作电缆接头前应先搭设临时工棚，工作平台牢固平整并可靠接地，防止造成人身伤害，同时便于施工杂物清洁以及外部不利环境因素的影响。工棚内设置专用垃圾桶，施工后的废弃带材、绝缘胶或其他杂物应分类堆放，集中处理，避免其污染环境。</w:t>
      </w:r>
    </w:p>
    <w:p w14:paraId="47723390">
      <w:pPr>
        <w:adjustRightInd w:val="0"/>
        <w:snapToGrid w:val="0"/>
        <w:outlineLvl w:val="1"/>
        <w:rPr>
          <w:rFonts w:hint="eastAsia"/>
          <w:color w:val="FF0000"/>
          <w:sz w:val="21"/>
          <w:szCs w:val="21"/>
        </w:rPr>
      </w:pPr>
      <w:bookmarkStart w:id="810" w:name="_Toc32726"/>
      <w:bookmarkStart w:id="811" w:name="_Toc600"/>
      <w:r>
        <w:rPr>
          <w:sz w:val="21"/>
          <w:szCs w:val="21"/>
        </w:rPr>
        <w:t>6.3.</w:t>
      </w:r>
      <w:r>
        <w:rPr>
          <w:rFonts w:hint="eastAsia"/>
          <w:sz w:val="21"/>
          <w:szCs w:val="21"/>
        </w:rPr>
        <w:t>14</w:t>
      </w:r>
      <w:r>
        <w:rPr>
          <w:sz w:val="21"/>
          <w:szCs w:val="21"/>
        </w:rPr>
        <w:t xml:space="preserve"> </w:t>
      </w:r>
      <w:r>
        <w:rPr>
          <w:rFonts w:hint="eastAsia"/>
          <w:sz w:val="21"/>
          <w:szCs w:val="21"/>
        </w:rPr>
        <w:t>储能工程专用项</w:t>
      </w:r>
      <w:bookmarkEnd w:id="803"/>
      <w:bookmarkEnd w:id="810"/>
      <w:bookmarkEnd w:id="811"/>
    </w:p>
    <w:p w14:paraId="0330EC9D">
      <w:pPr>
        <w:ind w:firstLine="420" w:firstLineChars="200"/>
        <w:rPr>
          <w:rFonts w:hint="eastAsia"/>
          <w:sz w:val="21"/>
          <w:szCs w:val="21"/>
        </w:rPr>
      </w:pPr>
      <w:r>
        <w:rPr>
          <w:rFonts w:hint="eastAsia"/>
          <w:sz w:val="21"/>
          <w:szCs w:val="21"/>
        </w:rPr>
        <w:t>本条主要从土石</w:t>
      </w:r>
      <w:r>
        <w:rPr>
          <w:sz w:val="21"/>
          <w:szCs w:val="21"/>
        </w:rPr>
        <w:t>挖方、填方平衡，渣场堆放量少</w:t>
      </w:r>
      <w:r>
        <w:rPr>
          <w:rFonts w:hint="eastAsia"/>
          <w:sz w:val="21"/>
          <w:szCs w:val="21"/>
        </w:rPr>
        <w:t>、</w:t>
      </w:r>
      <w:r>
        <w:rPr>
          <w:sz w:val="21"/>
          <w:szCs w:val="21"/>
        </w:rPr>
        <w:t>减少建筑垃圾外运</w:t>
      </w:r>
      <w:r>
        <w:rPr>
          <w:rFonts w:hint="eastAsia"/>
          <w:sz w:val="21"/>
          <w:szCs w:val="21"/>
        </w:rPr>
        <w:t>体现建筑垃圾控制与循环利用。</w:t>
      </w:r>
    </w:p>
    <w:p w14:paraId="06F1F996">
      <w:pPr>
        <w:adjustRightInd w:val="0"/>
        <w:snapToGrid w:val="0"/>
        <w:jc w:val="center"/>
        <w:rPr>
          <w:rFonts w:hint="eastAsia"/>
          <w:sz w:val="21"/>
          <w:szCs w:val="21"/>
        </w:rPr>
      </w:pPr>
      <w:r>
        <w:rPr>
          <w:rFonts w:hint="eastAsia"/>
          <w:sz w:val="21"/>
          <w:szCs w:val="21"/>
        </w:rPr>
        <w:t>Ⅲ</w:t>
      </w:r>
      <w:r>
        <w:rPr>
          <w:sz w:val="21"/>
          <w:szCs w:val="21"/>
        </w:rPr>
        <w:t xml:space="preserve"> </w:t>
      </w:r>
      <w:r>
        <w:rPr>
          <w:rFonts w:hint="eastAsia"/>
          <w:sz w:val="21"/>
          <w:szCs w:val="21"/>
        </w:rPr>
        <w:t>水资源节约与循环利用</w:t>
      </w:r>
    </w:p>
    <w:p w14:paraId="0C00ABF7">
      <w:pPr>
        <w:adjustRightInd w:val="0"/>
        <w:snapToGrid w:val="0"/>
        <w:outlineLvl w:val="1"/>
        <w:rPr>
          <w:rFonts w:hint="eastAsia"/>
          <w:sz w:val="21"/>
          <w:szCs w:val="21"/>
        </w:rPr>
      </w:pPr>
      <w:bookmarkStart w:id="812" w:name="_Toc1526"/>
      <w:bookmarkStart w:id="813" w:name="_Toc16452"/>
      <w:r>
        <w:fldChar w:fldCharType="begin"/>
      </w:r>
      <w:r>
        <w:instrText xml:space="preserve"> HYPERLINK \l "_Toc162470928" </w:instrText>
      </w:r>
      <w:r>
        <w:fldChar w:fldCharType="separate"/>
      </w:r>
      <w:bookmarkStart w:id="814" w:name="_Toc169276179"/>
      <w:r>
        <w:rPr>
          <w:sz w:val="21"/>
          <w:szCs w:val="21"/>
        </w:rPr>
        <w:t>6.3.</w:t>
      </w:r>
      <w:r>
        <w:rPr>
          <w:rFonts w:hint="eastAsia"/>
          <w:sz w:val="21"/>
          <w:szCs w:val="21"/>
        </w:rPr>
        <w:t>15</w:t>
      </w:r>
      <w:r>
        <w:rPr>
          <w:sz w:val="21"/>
          <w:szCs w:val="21"/>
        </w:rPr>
        <w:t xml:space="preserve"> </w:t>
      </w:r>
      <w:r>
        <w:rPr>
          <w:rFonts w:hint="eastAsia"/>
          <w:sz w:val="21"/>
          <w:szCs w:val="21"/>
        </w:rPr>
        <w:t>水资源节约与循环利用通用项</w:t>
      </w:r>
      <w:r>
        <w:rPr>
          <w:rFonts w:hint="eastAsia"/>
          <w:sz w:val="21"/>
          <w:szCs w:val="21"/>
        </w:rPr>
        <w:fldChar w:fldCharType="end"/>
      </w:r>
      <w:bookmarkEnd w:id="812"/>
      <w:bookmarkEnd w:id="813"/>
      <w:bookmarkEnd w:id="814"/>
    </w:p>
    <w:p w14:paraId="10D1DD3E">
      <w:pPr>
        <w:adjustRightInd w:val="0"/>
        <w:snapToGrid w:val="0"/>
        <w:ind w:firstLine="420" w:firstLineChars="200"/>
        <w:outlineLvl w:val="0"/>
        <w:rPr>
          <w:rFonts w:hint="eastAsia"/>
          <w:sz w:val="21"/>
          <w:szCs w:val="21"/>
        </w:rPr>
      </w:pPr>
      <w:bookmarkStart w:id="815" w:name="_Toc27635"/>
      <w:bookmarkStart w:id="816" w:name="_Toc7613"/>
      <w:r>
        <w:rPr>
          <w:rFonts w:hint="eastAsia"/>
          <w:sz w:val="21"/>
          <w:szCs w:val="21"/>
        </w:rPr>
        <w:t>1</w:t>
      </w:r>
      <w:r>
        <w:rPr>
          <w:sz w:val="21"/>
          <w:szCs w:val="21"/>
        </w:rPr>
        <w:t>水资源节约</w:t>
      </w:r>
      <w:r>
        <w:rPr>
          <w:rFonts w:hint="eastAsia"/>
          <w:sz w:val="21"/>
          <w:szCs w:val="21"/>
        </w:rPr>
        <w:t>措施</w:t>
      </w:r>
      <w:bookmarkEnd w:id="815"/>
      <w:bookmarkEnd w:id="816"/>
    </w:p>
    <w:p w14:paraId="5E2158C9">
      <w:pPr>
        <w:adjustRightInd w:val="0"/>
        <w:snapToGrid w:val="0"/>
        <w:ind w:firstLine="420" w:firstLineChars="200"/>
        <w:rPr>
          <w:rFonts w:hint="eastAsia"/>
          <w:color w:val="FF0000"/>
          <w:sz w:val="21"/>
          <w:szCs w:val="21"/>
        </w:rPr>
      </w:pPr>
      <w:r>
        <w:rPr>
          <w:rFonts w:hint="eastAsia"/>
          <w:sz w:val="21"/>
          <w:szCs w:val="21"/>
        </w:rPr>
        <w:t>3）混凝土</w:t>
      </w:r>
      <w:r>
        <w:rPr>
          <w:sz w:val="21"/>
          <w:szCs w:val="21"/>
        </w:rPr>
        <w:t>搅拌</w:t>
      </w:r>
      <w:r>
        <w:rPr>
          <w:rFonts w:hint="eastAsia"/>
          <w:sz w:val="21"/>
          <w:szCs w:val="21"/>
        </w:rPr>
        <w:t>及</w:t>
      </w:r>
      <w:r>
        <w:rPr>
          <w:sz w:val="21"/>
          <w:szCs w:val="21"/>
        </w:rPr>
        <w:t>养护</w:t>
      </w:r>
      <w:r>
        <w:rPr>
          <w:rFonts w:hint="eastAsia"/>
          <w:sz w:val="21"/>
          <w:szCs w:val="21"/>
        </w:rPr>
        <w:t>可</w:t>
      </w:r>
      <w:r>
        <w:rPr>
          <w:sz w:val="21"/>
          <w:szCs w:val="21"/>
        </w:rPr>
        <w:t>采用薄膜覆盖养护替代传统洒水养护，利用薄膜把混凝土表面裸露部分严密覆盖，既保证混凝土得到充分养护，又可减少养护用水量。</w:t>
      </w:r>
    </w:p>
    <w:p w14:paraId="4057F1FC">
      <w:pPr>
        <w:adjustRightInd w:val="0"/>
        <w:snapToGrid w:val="0"/>
        <w:ind w:firstLine="420" w:firstLineChars="200"/>
        <w:outlineLvl w:val="0"/>
        <w:rPr>
          <w:rFonts w:hint="eastAsia"/>
          <w:sz w:val="21"/>
          <w:szCs w:val="21"/>
        </w:rPr>
      </w:pPr>
      <w:bookmarkStart w:id="817" w:name="_Toc15958"/>
      <w:bookmarkStart w:id="818" w:name="_Toc21576"/>
      <w:r>
        <w:rPr>
          <w:rFonts w:hint="eastAsia"/>
          <w:sz w:val="21"/>
          <w:szCs w:val="21"/>
        </w:rPr>
        <w:t>2</w:t>
      </w:r>
      <w:r>
        <w:rPr>
          <w:sz w:val="21"/>
          <w:szCs w:val="21"/>
        </w:rPr>
        <w:t>水资源高效利用</w:t>
      </w:r>
      <w:r>
        <w:rPr>
          <w:rFonts w:hint="eastAsia"/>
          <w:sz w:val="21"/>
          <w:szCs w:val="21"/>
        </w:rPr>
        <w:t>措施：</w:t>
      </w:r>
      <w:bookmarkEnd w:id="817"/>
      <w:bookmarkEnd w:id="818"/>
    </w:p>
    <w:p w14:paraId="08EB17A8">
      <w:pPr>
        <w:adjustRightInd w:val="0"/>
        <w:snapToGrid w:val="0"/>
        <w:ind w:firstLine="420" w:firstLineChars="200"/>
        <w:rPr>
          <w:rFonts w:hint="eastAsia"/>
          <w:sz w:val="21"/>
          <w:szCs w:val="21"/>
        </w:rPr>
      </w:pPr>
      <w:r>
        <w:rPr>
          <w:rFonts w:hint="eastAsia"/>
          <w:sz w:val="21"/>
          <w:szCs w:val="21"/>
        </w:rPr>
        <w:t>3</w:t>
      </w:r>
      <w:r>
        <w:rPr>
          <w:sz w:val="21"/>
          <w:szCs w:val="21"/>
        </w:rPr>
        <w:t>）采用薄膜覆盖养护替代传统洒水养护，利用薄膜把混凝土表面裸露部分严密覆盖，既保证混凝土得到充分养护，又可减少养护用水量。</w:t>
      </w:r>
    </w:p>
    <w:p w14:paraId="3DF749F8">
      <w:pPr>
        <w:adjustRightInd w:val="0"/>
        <w:snapToGrid w:val="0"/>
        <w:outlineLvl w:val="1"/>
        <w:rPr>
          <w:rFonts w:hint="eastAsia"/>
          <w:color w:val="FF0000"/>
          <w:sz w:val="21"/>
          <w:szCs w:val="21"/>
        </w:rPr>
      </w:pPr>
      <w:bookmarkStart w:id="819" w:name="_Toc12750"/>
      <w:bookmarkStart w:id="820" w:name="_Toc17839"/>
      <w:r>
        <w:fldChar w:fldCharType="begin"/>
      </w:r>
      <w:r>
        <w:instrText xml:space="preserve"> HYPERLINK \l "_Toc162470929" </w:instrText>
      </w:r>
      <w:r>
        <w:fldChar w:fldCharType="separate"/>
      </w:r>
      <w:bookmarkStart w:id="821" w:name="_Toc169276180"/>
      <w:r>
        <w:rPr>
          <w:sz w:val="21"/>
          <w:szCs w:val="21"/>
        </w:rPr>
        <w:t>6.3.</w:t>
      </w:r>
      <w:r>
        <w:rPr>
          <w:rFonts w:hint="eastAsia"/>
          <w:sz w:val="21"/>
          <w:szCs w:val="21"/>
        </w:rPr>
        <w:t>16</w:t>
      </w:r>
      <w:r>
        <w:rPr>
          <w:sz w:val="21"/>
          <w:szCs w:val="21"/>
        </w:rPr>
        <w:t xml:space="preserve"> </w:t>
      </w:r>
      <w:r>
        <w:fldChar w:fldCharType="begin"/>
      </w:r>
      <w:r>
        <w:instrText xml:space="preserve"> HYPERLINK \l "_Toc162470929" </w:instrText>
      </w:r>
      <w:r>
        <w:fldChar w:fldCharType="separate"/>
      </w:r>
      <w:r>
        <w:rPr>
          <w:rFonts w:hint="eastAsia"/>
          <w:sz w:val="21"/>
          <w:szCs w:val="21"/>
        </w:rPr>
        <w:t>火电工程水资源节约与循环利用</w:t>
      </w:r>
      <w:r>
        <w:rPr>
          <w:rFonts w:hint="eastAsia"/>
          <w:sz w:val="21"/>
          <w:szCs w:val="21"/>
        </w:rPr>
        <w:fldChar w:fldCharType="end"/>
      </w:r>
      <w:r>
        <w:rPr>
          <w:rFonts w:hint="eastAsia"/>
          <w:sz w:val="21"/>
          <w:szCs w:val="21"/>
        </w:rPr>
        <w:t>专用项</w:t>
      </w:r>
      <w:r>
        <w:rPr>
          <w:rFonts w:hint="eastAsia"/>
          <w:sz w:val="21"/>
          <w:szCs w:val="21"/>
        </w:rPr>
        <w:fldChar w:fldCharType="end"/>
      </w:r>
      <w:bookmarkEnd w:id="819"/>
      <w:bookmarkEnd w:id="820"/>
      <w:bookmarkEnd w:id="821"/>
    </w:p>
    <w:p w14:paraId="52DD82F0">
      <w:pPr>
        <w:adjustRightInd w:val="0"/>
        <w:snapToGrid w:val="0"/>
        <w:ind w:firstLine="420" w:firstLineChars="200"/>
        <w:outlineLvl w:val="0"/>
        <w:rPr>
          <w:rFonts w:hint="eastAsia"/>
          <w:sz w:val="21"/>
          <w:szCs w:val="21"/>
        </w:rPr>
      </w:pPr>
      <w:bookmarkStart w:id="822" w:name="_Toc28783"/>
      <w:bookmarkStart w:id="823" w:name="_Toc27792"/>
      <w:bookmarkStart w:id="824" w:name="_Toc169276181"/>
      <w:r>
        <w:rPr>
          <w:sz w:val="21"/>
          <w:szCs w:val="21"/>
        </w:rPr>
        <w:t>1燃煤发电工程</w:t>
      </w:r>
      <w:bookmarkEnd w:id="822"/>
      <w:bookmarkEnd w:id="823"/>
    </w:p>
    <w:p w14:paraId="16F514D8">
      <w:pPr>
        <w:adjustRightInd w:val="0"/>
        <w:snapToGrid w:val="0"/>
        <w:ind w:firstLine="420" w:firstLineChars="200"/>
        <w:rPr>
          <w:rFonts w:hint="eastAsia"/>
          <w:sz w:val="21"/>
          <w:szCs w:val="21"/>
        </w:rPr>
      </w:pPr>
      <w:r>
        <w:rPr>
          <w:rFonts w:hint="eastAsia"/>
          <w:sz w:val="21"/>
          <w:szCs w:val="21"/>
        </w:rPr>
        <w:t>4）结合补给水源水量和水质条件、空气质量、循环水处理工艺等综合因素，补给水水源采用加酸、加阻垢剂联合处理，保证循环水水质稳定不阻垢，提高循环水的浓缩倍率，从而达到节水目的；循环水泵电机和上部轴承冷却采用泵出口压力水，冷却后直接回流至循环水泵进水前池回收利用</w:t>
      </w:r>
      <w:r>
        <w:rPr>
          <w:sz w:val="21"/>
          <w:szCs w:val="21"/>
        </w:rPr>
        <w:t>。</w:t>
      </w:r>
    </w:p>
    <w:p w14:paraId="532D6C46">
      <w:pPr>
        <w:adjustRightInd w:val="0"/>
        <w:snapToGrid w:val="0"/>
        <w:ind w:firstLine="420" w:firstLineChars="200"/>
        <w:rPr>
          <w:rFonts w:hint="eastAsia"/>
          <w:sz w:val="21"/>
          <w:szCs w:val="21"/>
        </w:rPr>
      </w:pPr>
      <w:r>
        <w:rPr>
          <w:rFonts w:hint="eastAsia"/>
          <w:sz w:val="21"/>
          <w:szCs w:val="21"/>
        </w:rPr>
        <w:t>6）试运期间节水措施：宜回收脱硫废水，通过深度处理后用作冷却塔补充水；凝结水精处理系统配置前置过滤器，从而能在机组启动阶段，缩短冲洗时间，减少凝结水的排放；锅炉排烟采用低温静电除尘器，输煤系统除尘采用布袋除尘器，最大限度地减少冲洗用水；主厂房洁净回收水，经炉后回收水池回收至废水区回用水池，与其他处理达标的工业废水一起作为全厂集中回用水系统水源；输煤除灰渣用水、排水包括冲洗水系统、喷雾抑尘用水系统和煤场喷洒水系统。</w:t>
      </w:r>
      <w:r>
        <w:rPr>
          <w:sz w:val="21"/>
          <w:szCs w:val="21"/>
        </w:rPr>
        <w:t>3个系统的节水措施：一是调湿灰用水对水质要求不高，由处理达标的脱硫系统废水提供，无法回收。二是冲洗和喷雾抑尘用水的排水将由输煤构筑物或煤场排水集中汇集至煤场附近的煤泥沉淀池，经初步沉淀并升压后送至旁边含煤废水处理设备集中处理，该设备采用加药混凝、沉淀、过滤工艺，合格废水作为煤场喷淋及输煤构筑物冲洗水源重复利用</w:t>
      </w:r>
      <w:r>
        <w:rPr>
          <w:rFonts w:hint="eastAsia"/>
          <w:sz w:val="21"/>
          <w:szCs w:val="21"/>
        </w:rPr>
        <w:t>；原水预处理站设反应沉淀池、空气擦洗滤池、加药间、加氯间、污泥调节池等。通过设计合理分析，尽量减少原水预处理站出力，从而降低工程投资和自用水消耗。具体措施：原水预处理站滤池反冲洗水排入反冲洗水调节池后，输送至反应沉淀池作为补水，减少了原水的取水量。原水预处理站排泥采用浓缩脱水处理，通过离心脱水机，排泥水中的悬浮物被压成泥饼，泥饼用车运至电厂灰场填埋。浓缩脱水后清水回到反应沉淀池重新处理。</w:t>
      </w:r>
    </w:p>
    <w:p w14:paraId="109F900D">
      <w:pPr>
        <w:adjustRightInd w:val="0"/>
        <w:snapToGrid w:val="0"/>
        <w:outlineLvl w:val="1"/>
        <w:rPr>
          <w:rFonts w:hint="eastAsia"/>
          <w:color w:val="FF0000"/>
          <w:sz w:val="21"/>
          <w:szCs w:val="21"/>
        </w:rPr>
      </w:pPr>
      <w:bookmarkStart w:id="825" w:name="_Toc7834"/>
      <w:bookmarkStart w:id="826" w:name="_Toc6175"/>
      <w:r>
        <w:rPr>
          <w:sz w:val="21"/>
          <w:szCs w:val="21"/>
        </w:rPr>
        <w:t>6.3</w:t>
      </w:r>
      <w:r>
        <w:rPr>
          <w:rFonts w:hint="eastAsia"/>
          <w:sz w:val="21"/>
          <w:szCs w:val="21"/>
        </w:rPr>
        <w:t>.17</w:t>
      </w:r>
      <w:r>
        <w:rPr>
          <w:sz w:val="21"/>
          <w:szCs w:val="21"/>
        </w:rPr>
        <w:t xml:space="preserve"> 水电水利（含抽水蓄能）工程</w:t>
      </w:r>
      <w:r>
        <w:rPr>
          <w:rFonts w:hint="eastAsia"/>
          <w:sz w:val="21"/>
          <w:szCs w:val="21"/>
        </w:rPr>
        <w:t>专用项</w:t>
      </w:r>
      <w:bookmarkEnd w:id="824"/>
      <w:bookmarkEnd w:id="825"/>
      <w:bookmarkEnd w:id="826"/>
    </w:p>
    <w:p w14:paraId="5465F54C">
      <w:pPr>
        <w:adjustRightInd w:val="0"/>
        <w:snapToGrid w:val="0"/>
        <w:ind w:firstLine="420" w:firstLineChars="200"/>
        <w:rPr>
          <w:rFonts w:hint="eastAsia"/>
          <w:sz w:val="21"/>
          <w:szCs w:val="21"/>
        </w:rPr>
      </w:pPr>
      <w:r>
        <w:rPr>
          <w:rFonts w:hint="eastAsia"/>
          <w:sz w:val="21"/>
          <w:szCs w:val="21"/>
        </w:rPr>
        <w:t>水电工程防渗系统运行情况直接关系到工程能否达到设计预期，应重点检查大坝系统、厂房系统的实际渗漏量，并于设计预警值进行对比。</w:t>
      </w:r>
    </w:p>
    <w:p w14:paraId="668055C0">
      <w:pPr>
        <w:adjustRightInd w:val="0"/>
        <w:snapToGrid w:val="0"/>
        <w:outlineLvl w:val="1"/>
        <w:rPr>
          <w:rFonts w:hint="eastAsia"/>
          <w:sz w:val="21"/>
          <w:szCs w:val="21"/>
        </w:rPr>
      </w:pPr>
      <w:bookmarkStart w:id="827" w:name="_Toc169276183"/>
      <w:bookmarkStart w:id="828" w:name="_Toc30307"/>
      <w:bookmarkStart w:id="829" w:name="_Toc16532"/>
      <w:r>
        <w:rPr>
          <w:sz w:val="21"/>
          <w:szCs w:val="21"/>
        </w:rPr>
        <w:t>6.3.</w:t>
      </w:r>
      <w:r>
        <w:rPr>
          <w:rFonts w:hint="eastAsia"/>
          <w:sz w:val="21"/>
          <w:szCs w:val="21"/>
        </w:rPr>
        <w:t>18</w:t>
      </w:r>
      <w:r>
        <w:rPr>
          <w:sz w:val="21"/>
          <w:szCs w:val="21"/>
        </w:rPr>
        <w:t xml:space="preserve"> </w:t>
      </w:r>
      <w:r>
        <w:rPr>
          <w:rFonts w:hint="eastAsia"/>
          <w:sz w:val="21"/>
          <w:szCs w:val="21"/>
        </w:rPr>
        <w:t>风力发电专用项</w:t>
      </w:r>
      <w:bookmarkEnd w:id="827"/>
      <w:bookmarkEnd w:id="828"/>
      <w:bookmarkEnd w:id="829"/>
    </w:p>
    <w:p w14:paraId="64668B3A">
      <w:pPr>
        <w:ind w:right="-120" w:rightChars="-50" w:firstLine="420" w:firstLineChars="200"/>
        <w:rPr>
          <w:rFonts w:hint="eastAsia"/>
          <w:sz w:val="21"/>
          <w:szCs w:val="21"/>
        </w:rPr>
      </w:pPr>
      <w:bookmarkStart w:id="830" w:name="_Toc169276184"/>
      <w:r>
        <w:rPr>
          <w:rFonts w:hint="eastAsia"/>
          <w:sz w:val="21"/>
          <w:szCs w:val="21"/>
        </w:rPr>
        <w:t>本条对风力发电</w:t>
      </w:r>
      <w:r>
        <w:fldChar w:fldCharType="begin"/>
      </w:r>
      <w:r>
        <w:instrText xml:space="preserve"> HYPERLINK \l "_Toc162470929" </w:instrText>
      </w:r>
      <w:r>
        <w:fldChar w:fldCharType="separate"/>
      </w:r>
      <w:r>
        <w:rPr>
          <w:rFonts w:hint="eastAsia"/>
          <w:sz w:val="21"/>
          <w:szCs w:val="21"/>
        </w:rPr>
        <w:t>工程水资源节约与循环利用</w:t>
      </w:r>
      <w:r>
        <w:rPr>
          <w:rFonts w:hint="eastAsia"/>
          <w:sz w:val="21"/>
          <w:szCs w:val="21"/>
        </w:rPr>
        <w:fldChar w:fldCharType="end"/>
      </w:r>
      <w:r>
        <w:rPr>
          <w:rFonts w:hint="eastAsia"/>
          <w:sz w:val="21"/>
          <w:szCs w:val="21"/>
        </w:rPr>
        <w:t>评价专用项提出要求，专用项按照陆上风电和海上风电项目分别列出。</w:t>
      </w:r>
      <w:r>
        <w:rPr>
          <w:sz w:val="21"/>
          <w:szCs w:val="21"/>
        </w:rPr>
        <w:t xml:space="preserve"> </w:t>
      </w:r>
    </w:p>
    <w:p w14:paraId="4CF8202A">
      <w:pPr>
        <w:ind w:right="-120" w:rightChars="-50" w:firstLine="420" w:firstLineChars="200"/>
        <w:rPr>
          <w:rFonts w:hint="eastAsia" w:cs="Times New Roman"/>
          <w:sz w:val="21"/>
          <w:szCs w:val="21"/>
        </w:rPr>
      </w:pPr>
      <w:r>
        <w:rPr>
          <w:sz w:val="21"/>
          <w:szCs w:val="21"/>
        </w:rPr>
        <w:t xml:space="preserve"> </w:t>
      </w:r>
      <w:r>
        <w:rPr>
          <w:rFonts w:hint="eastAsia" w:cs="Times New Roman"/>
          <w:sz w:val="21"/>
          <w:szCs w:val="21"/>
        </w:rPr>
        <w:t>1 陆上风电的水资源节约主要控制重点是风机基础养护用水，应采取有效的节水措施减少养护用水量。施工现场有条件区域应设置废水、雨水回收设施，对废水、雨水进行回收后循环利用。</w:t>
      </w:r>
    </w:p>
    <w:p w14:paraId="65F6BAE8">
      <w:pPr>
        <w:ind w:right="-120" w:rightChars="-50" w:firstLine="420" w:firstLineChars="200"/>
        <w:rPr>
          <w:rFonts w:hint="eastAsia"/>
          <w:sz w:val="21"/>
          <w:szCs w:val="21"/>
        </w:rPr>
      </w:pPr>
      <w:r>
        <w:rPr>
          <w:rFonts w:hint="eastAsia" w:cs="Times New Roman"/>
          <w:sz w:val="21"/>
          <w:szCs w:val="21"/>
        </w:rPr>
        <w:t>2 海上风电现场船舶供水统一调配，实行定期定量供水，有条件的船舶应配备自动净水装置，施工中尽量多利用非传统水源。</w:t>
      </w:r>
    </w:p>
    <w:p w14:paraId="456D3358">
      <w:pPr>
        <w:adjustRightInd w:val="0"/>
        <w:snapToGrid w:val="0"/>
        <w:outlineLvl w:val="1"/>
        <w:rPr>
          <w:rFonts w:hint="eastAsia"/>
          <w:color w:val="FF0000"/>
          <w:sz w:val="21"/>
          <w:szCs w:val="21"/>
        </w:rPr>
      </w:pPr>
      <w:bookmarkStart w:id="831" w:name="_Toc9951"/>
      <w:bookmarkStart w:id="832" w:name="_Toc25277"/>
      <w:r>
        <w:rPr>
          <w:sz w:val="21"/>
          <w:szCs w:val="21"/>
        </w:rPr>
        <w:t>6.3.</w:t>
      </w:r>
      <w:r>
        <w:rPr>
          <w:rFonts w:hint="eastAsia"/>
          <w:sz w:val="21"/>
          <w:szCs w:val="21"/>
        </w:rPr>
        <w:t>19</w:t>
      </w:r>
      <w:r>
        <w:rPr>
          <w:sz w:val="21"/>
          <w:szCs w:val="21"/>
        </w:rPr>
        <w:t xml:space="preserve"> 太阳能</w:t>
      </w:r>
      <w:r>
        <w:rPr>
          <w:rFonts w:hint="eastAsia"/>
          <w:sz w:val="21"/>
          <w:szCs w:val="21"/>
        </w:rPr>
        <w:t>发电工</w:t>
      </w:r>
      <w:r>
        <w:rPr>
          <w:sz w:val="21"/>
          <w:szCs w:val="21"/>
        </w:rPr>
        <w:t>程</w:t>
      </w:r>
      <w:r>
        <w:rPr>
          <w:rFonts w:hint="eastAsia"/>
          <w:sz w:val="21"/>
          <w:szCs w:val="21"/>
        </w:rPr>
        <w:t>专用项</w:t>
      </w:r>
      <w:bookmarkEnd w:id="830"/>
      <w:bookmarkEnd w:id="831"/>
      <w:bookmarkEnd w:id="832"/>
    </w:p>
    <w:p w14:paraId="09578160">
      <w:pPr>
        <w:adjustRightInd w:val="0"/>
        <w:snapToGrid w:val="0"/>
        <w:ind w:firstLine="420" w:firstLineChars="200"/>
        <w:rPr>
          <w:rFonts w:hint="eastAsia"/>
          <w:sz w:val="21"/>
          <w:szCs w:val="21"/>
        </w:rPr>
      </w:pPr>
      <w:r>
        <w:rPr>
          <w:rFonts w:hint="eastAsia"/>
          <w:sz w:val="21"/>
          <w:szCs w:val="21"/>
        </w:rPr>
        <w:t>工程采用的光伏组件、定日镜等的清洗可采用雨水，同时在施工过程中合理使用中水等实现水资源最大利用。</w:t>
      </w:r>
    </w:p>
    <w:p w14:paraId="7D0B0182">
      <w:pPr>
        <w:adjustRightInd w:val="0"/>
        <w:snapToGrid w:val="0"/>
        <w:outlineLvl w:val="1"/>
        <w:rPr>
          <w:rFonts w:hint="eastAsia"/>
          <w:sz w:val="21"/>
          <w:szCs w:val="21"/>
        </w:rPr>
      </w:pPr>
      <w:bookmarkStart w:id="833" w:name="_Toc169276182"/>
      <w:bookmarkStart w:id="834" w:name="_Toc4561"/>
      <w:bookmarkStart w:id="835" w:name="_Toc4825"/>
      <w:r>
        <w:rPr>
          <w:sz w:val="21"/>
          <w:szCs w:val="21"/>
        </w:rPr>
        <w:t>6.3.</w:t>
      </w:r>
      <w:r>
        <w:rPr>
          <w:rFonts w:hint="eastAsia"/>
          <w:sz w:val="21"/>
          <w:szCs w:val="21"/>
        </w:rPr>
        <w:t>20</w:t>
      </w:r>
      <w:r>
        <w:rPr>
          <w:sz w:val="21"/>
          <w:szCs w:val="21"/>
        </w:rPr>
        <w:t xml:space="preserve"> 输变电工程</w:t>
      </w:r>
      <w:r>
        <w:rPr>
          <w:rFonts w:hint="eastAsia"/>
          <w:sz w:val="21"/>
          <w:szCs w:val="21"/>
        </w:rPr>
        <w:t>专用项</w:t>
      </w:r>
      <w:bookmarkEnd w:id="833"/>
      <w:bookmarkEnd w:id="834"/>
      <w:bookmarkEnd w:id="835"/>
    </w:p>
    <w:p w14:paraId="2A45DCED">
      <w:pPr>
        <w:adjustRightInd w:val="0"/>
        <w:snapToGrid w:val="0"/>
        <w:ind w:firstLine="420" w:firstLineChars="200"/>
        <w:outlineLvl w:val="0"/>
        <w:rPr>
          <w:rFonts w:hint="eastAsia"/>
          <w:sz w:val="21"/>
          <w:szCs w:val="21"/>
        </w:rPr>
      </w:pPr>
      <w:bookmarkStart w:id="836" w:name="_Toc12278"/>
      <w:bookmarkStart w:id="837" w:name="_Toc17200"/>
      <w:bookmarkStart w:id="838" w:name="_Toc169276185"/>
      <w:r>
        <w:rPr>
          <w:rFonts w:hint="eastAsia"/>
          <w:sz w:val="21"/>
          <w:szCs w:val="21"/>
        </w:rPr>
        <w:t>1</w:t>
      </w:r>
      <w:r>
        <w:rPr>
          <w:sz w:val="21"/>
          <w:szCs w:val="21"/>
        </w:rPr>
        <w:t xml:space="preserve">  </w:t>
      </w:r>
      <w:r>
        <w:rPr>
          <w:rFonts w:hint="eastAsia"/>
          <w:sz w:val="21"/>
          <w:szCs w:val="21"/>
        </w:rPr>
        <w:t>变电（换流）站</w:t>
      </w:r>
      <w:bookmarkEnd w:id="836"/>
      <w:bookmarkEnd w:id="837"/>
    </w:p>
    <w:p w14:paraId="55393DF2">
      <w:pPr>
        <w:adjustRightInd w:val="0"/>
        <w:snapToGrid w:val="0"/>
        <w:ind w:firstLine="630" w:firstLineChars="300"/>
        <w:rPr>
          <w:rFonts w:hint="eastAsia"/>
          <w:sz w:val="21"/>
          <w:szCs w:val="21"/>
        </w:rPr>
      </w:pPr>
      <w:r>
        <w:rPr>
          <w:rFonts w:hint="eastAsia"/>
          <w:sz w:val="21"/>
          <w:szCs w:val="21"/>
        </w:rPr>
        <w:t>1）根据结构、构件或制品情况、环境条件、原材料情况以及对混凝土性能、质量的要求等，采用混凝土节水工艺养护。</w:t>
      </w:r>
    </w:p>
    <w:p w14:paraId="100A628E">
      <w:pPr>
        <w:adjustRightInd w:val="0"/>
        <w:snapToGrid w:val="0"/>
        <w:ind w:firstLine="420" w:firstLineChars="200"/>
        <w:rPr>
          <w:rFonts w:hint="eastAsia"/>
          <w:sz w:val="21"/>
          <w:szCs w:val="21"/>
        </w:rPr>
      </w:pPr>
      <w:r>
        <w:rPr>
          <w:rFonts w:hint="eastAsia"/>
          <w:sz w:val="21"/>
          <w:szCs w:val="21"/>
        </w:rPr>
        <w:t>常温施工时，采用塑料薄膜覆盖利用混凝土内蒸发的水分自养护，冬季或大体积混凝土施工时，采用塑料薄膜加保温材料覆盖保湿、保温养护。当采用洒水或喷雾养护时，养护用水使用回收的基坑降水或雨水等非传统水源，以节约养护用水。</w:t>
      </w:r>
    </w:p>
    <w:p w14:paraId="79739BCD">
      <w:pPr>
        <w:adjustRightInd w:val="0"/>
        <w:snapToGrid w:val="0"/>
        <w:ind w:firstLine="630" w:firstLineChars="300"/>
        <w:rPr>
          <w:rFonts w:hint="eastAsia"/>
          <w:sz w:val="21"/>
          <w:szCs w:val="21"/>
        </w:rPr>
      </w:pPr>
      <w:r>
        <w:rPr>
          <w:rFonts w:hint="eastAsia"/>
          <w:sz w:val="21"/>
          <w:szCs w:val="21"/>
        </w:rPr>
        <w:t>2）建筑给排水系统及变电（换流）站水消防系统，主变（换流变）等电气设备水消防系统的水（箱）池及管道的冲洗用水，及其蓄水试验、管道压力试验、消防喷淋试验等试验用水应有组织排放和收集，经处理后重复利用，并在试验前应制订渗漏应急措施，以节约用水并提高水资源循环利用率；</w:t>
      </w:r>
    </w:p>
    <w:p w14:paraId="632D0CD8">
      <w:pPr>
        <w:adjustRightInd w:val="0"/>
        <w:snapToGrid w:val="0"/>
        <w:ind w:firstLine="630" w:firstLineChars="300"/>
        <w:rPr>
          <w:rFonts w:hint="eastAsia"/>
          <w:sz w:val="21"/>
          <w:szCs w:val="21"/>
        </w:rPr>
      </w:pPr>
      <w:r>
        <w:rPr>
          <w:rFonts w:hint="eastAsia"/>
          <w:sz w:val="21"/>
          <w:szCs w:val="21"/>
        </w:rPr>
        <w:t>3）污水管道、雨水管道试验及冲洗用水等生产用水应采用收集的雨水和回收处理的生产用水等非传统水源。喷洒路面、绿化浇灌、车辆冲洗、卫生间冲洗用水等施工杂务用水采用回收处理后重复利用的非传统水源。对食堂洗菜池、盥洗台等用水收集回收处理，用于对水质要求不高的喷洒路面、绿化浇灌、卫生间等会冲洗用水。生产、生活用非传统水源应进行水质检测，并符合工程质量用水标准和生活卫生水质标准。</w:t>
      </w:r>
    </w:p>
    <w:p w14:paraId="5252A098">
      <w:pPr>
        <w:adjustRightInd w:val="0"/>
        <w:snapToGrid w:val="0"/>
        <w:ind w:firstLine="420" w:firstLineChars="200"/>
        <w:outlineLvl w:val="0"/>
        <w:rPr>
          <w:rFonts w:hint="eastAsia"/>
          <w:sz w:val="21"/>
          <w:szCs w:val="21"/>
        </w:rPr>
      </w:pPr>
      <w:bookmarkStart w:id="839" w:name="_Toc31754"/>
      <w:bookmarkStart w:id="840" w:name="_Toc8916"/>
      <w:r>
        <w:rPr>
          <w:rFonts w:hint="eastAsia"/>
          <w:sz w:val="21"/>
          <w:szCs w:val="21"/>
        </w:rPr>
        <w:t>2</w:t>
      </w:r>
      <w:r>
        <w:rPr>
          <w:sz w:val="21"/>
          <w:szCs w:val="21"/>
        </w:rPr>
        <w:t xml:space="preserve">  </w:t>
      </w:r>
      <w:r>
        <w:rPr>
          <w:rFonts w:hint="eastAsia"/>
          <w:sz w:val="21"/>
          <w:szCs w:val="21"/>
        </w:rPr>
        <w:t>架空输电线路</w:t>
      </w:r>
      <w:bookmarkEnd w:id="839"/>
      <w:bookmarkEnd w:id="840"/>
    </w:p>
    <w:p w14:paraId="46E7D729">
      <w:pPr>
        <w:adjustRightInd w:val="0"/>
        <w:snapToGrid w:val="0"/>
        <w:ind w:firstLine="420" w:firstLineChars="200"/>
        <w:rPr>
          <w:rFonts w:hint="eastAsia"/>
          <w:sz w:val="21"/>
          <w:szCs w:val="21"/>
        </w:rPr>
      </w:pPr>
      <w:r>
        <w:rPr>
          <w:rFonts w:hint="eastAsia"/>
          <w:sz w:val="21"/>
          <w:szCs w:val="21"/>
        </w:rPr>
        <w:t>杆塔基础施工采用绿色环保的节水工艺和混凝土养护工艺，实现水资源节约与再利用，常温施工时，采用塑料薄膜覆盖利用混凝土内蒸发的水分自养护，冬季或大体积混凝土施工时，采用塑料薄膜加保温材料覆盖保湿、保温养护。当采用洒水或喷雾养护时，养护用水使用回收的基坑降水或雨水等非传统水源，以节约养护用水。</w:t>
      </w:r>
    </w:p>
    <w:p w14:paraId="473627F8">
      <w:pPr>
        <w:adjustRightInd w:val="0"/>
        <w:snapToGrid w:val="0"/>
        <w:ind w:firstLine="420" w:firstLineChars="200"/>
        <w:outlineLvl w:val="0"/>
        <w:rPr>
          <w:rFonts w:hint="eastAsia"/>
          <w:sz w:val="21"/>
          <w:szCs w:val="21"/>
        </w:rPr>
      </w:pPr>
      <w:bookmarkStart w:id="841" w:name="_Toc6648"/>
      <w:bookmarkStart w:id="842" w:name="_Toc23006"/>
      <w:r>
        <w:rPr>
          <w:rFonts w:hint="eastAsia"/>
          <w:sz w:val="21"/>
          <w:szCs w:val="21"/>
        </w:rPr>
        <w:t>3</w:t>
      </w:r>
      <w:r>
        <w:rPr>
          <w:sz w:val="21"/>
          <w:szCs w:val="21"/>
        </w:rPr>
        <w:t xml:space="preserve">  </w:t>
      </w:r>
      <w:r>
        <w:rPr>
          <w:rFonts w:hint="eastAsia"/>
          <w:sz w:val="21"/>
          <w:szCs w:val="21"/>
        </w:rPr>
        <w:t>电缆线路</w:t>
      </w:r>
      <w:bookmarkEnd w:id="841"/>
      <w:bookmarkEnd w:id="842"/>
    </w:p>
    <w:p w14:paraId="03A83A67">
      <w:pPr>
        <w:adjustRightInd w:val="0"/>
        <w:snapToGrid w:val="0"/>
        <w:ind w:firstLine="420" w:firstLineChars="200"/>
        <w:rPr>
          <w:rFonts w:hint="eastAsia"/>
          <w:sz w:val="21"/>
          <w:szCs w:val="21"/>
        </w:rPr>
      </w:pPr>
      <w:r>
        <w:rPr>
          <w:rFonts w:hint="eastAsia"/>
          <w:sz w:val="21"/>
          <w:szCs w:val="21"/>
        </w:rPr>
        <w:t>电缆隧道常温施工时，采用塑料薄膜覆盖利用混凝土内蒸发的水分自养护，冬季或大体积混凝土施工时，采用塑料薄膜加保温材料覆盖保湿、保温养护。当采用洒水或喷雾养护时，养护用水使用回收的基坑降水或雨水等非传统水源，以节约养护用水。</w:t>
      </w:r>
    </w:p>
    <w:p w14:paraId="67D524B5">
      <w:pPr>
        <w:adjustRightInd w:val="0"/>
        <w:snapToGrid w:val="0"/>
        <w:outlineLvl w:val="1"/>
        <w:rPr>
          <w:rFonts w:hint="eastAsia"/>
          <w:color w:val="FF0000"/>
          <w:sz w:val="21"/>
          <w:szCs w:val="21"/>
        </w:rPr>
      </w:pPr>
      <w:bookmarkStart w:id="843" w:name="_Toc6300"/>
      <w:bookmarkStart w:id="844" w:name="_Toc31507"/>
      <w:r>
        <w:rPr>
          <w:sz w:val="21"/>
          <w:szCs w:val="21"/>
        </w:rPr>
        <w:t>6.3.</w:t>
      </w:r>
      <w:r>
        <w:rPr>
          <w:rFonts w:hint="eastAsia"/>
          <w:sz w:val="21"/>
          <w:szCs w:val="21"/>
        </w:rPr>
        <w:t>21</w:t>
      </w:r>
      <w:r>
        <w:rPr>
          <w:sz w:val="21"/>
          <w:szCs w:val="21"/>
        </w:rPr>
        <w:t xml:space="preserve"> 储能工程</w:t>
      </w:r>
      <w:r>
        <w:rPr>
          <w:rFonts w:hint="eastAsia"/>
          <w:sz w:val="21"/>
          <w:szCs w:val="21"/>
        </w:rPr>
        <w:t>专用项</w:t>
      </w:r>
      <w:bookmarkEnd w:id="838"/>
      <w:bookmarkEnd w:id="843"/>
      <w:bookmarkEnd w:id="844"/>
    </w:p>
    <w:p w14:paraId="76EE22CB">
      <w:pPr>
        <w:adjustRightInd w:val="0"/>
        <w:snapToGrid w:val="0"/>
        <w:ind w:firstLine="630" w:firstLineChars="300"/>
        <w:rPr>
          <w:rFonts w:hint="eastAsia"/>
          <w:sz w:val="21"/>
          <w:szCs w:val="21"/>
        </w:rPr>
      </w:pPr>
      <w:r>
        <w:rPr>
          <w:rFonts w:hint="eastAsia"/>
          <w:sz w:val="21"/>
          <w:szCs w:val="21"/>
        </w:rPr>
        <w:t xml:space="preserve">电力储能工程相对于其他工程运维过程中几乎不需要用水，主要是运维人员生活用水。水资源节约与循环利用主要是从施工过程中节约用水，包括基坑降水等措施。 </w:t>
      </w:r>
    </w:p>
    <w:p w14:paraId="28B9CD4B">
      <w:pPr>
        <w:adjustRightInd w:val="0"/>
        <w:snapToGrid w:val="0"/>
        <w:jc w:val="center"/>
        <w:outlineLvl w:val="2"/>
        <w:rPr>
          <w:rFonts w:hint="eastAsia"/>
          <w:sz w:val="21"/>
          <w:szCs w:val="21"/>
        </w:rPr>
      </w:pPr>
      <w:bookmarkStart w:id="845" w:name="_Toc13971"/>
      <w:r>
        <w:rPr>
          <w:rFonts w:hint="eastAsia"/>
          <w:sz w:val="21"/>
          <w:szCs w:val="21"/>
        </w:rPr>
        <w:t>Ⅳ</w:t>
      </w:r>
      <w:r>
        <w:rPr>
          <w:sz w:val="21"/>
          <w:szCs w:val="21"/>
        </w:rPr>
        <w:t xml:space="preserve"> </w:t>
      </w:r>
      <w:r>
        <w:rPr>
          <w:rFonts w:hint="eastAsia"/>
          <w:sz w:val="21"/>
          <w:szCs w:val="21"/>
        </w:rPr>
        <w:t>能源节约与高效利用</w:t>
      </w:r>
      <w:bookmarkEnd w:id="845"/>
    </w:p>
    <w:p w14:paraId="7B058059">
      <w:pPr>
        <w:adjustRightInd w:val="0"/>
        <w:snapToGrid w:val="0"/>
        <w:outlineLvl w:val="1"/>
        <w:rPr>
          <w:rFonts w:hint="eastAsia"/>
          <w:sz w:val="21"/>
          <w:szCs w:val="21"/>
        </w:rPr>
      </w:pPr>
      <w:bookmarkStart w:id="846" w:name="_Toc25974"/>
      <w:bookmarkStart w:id="847" w:name="_Toc11241"/>
      <w:r>
        <w:fldChar w:fldCharType="begin"/>
      </w:r>
      <w:r>
        <w:instrText xml:space="preserve"> HYPERLINK \l "_Toc162470928" </w:instrText>
      </w:r>
      <w:r>
        <w:fldChar w:fldCharType="separate"/>
      </w:r>
      <w:bookmarkStart w:id="848" w:name="_Toc169276187"/>
      <w:r>
        <w:rPr>
          <w:sz w:val="21"/>
          <w:szCs w:val="21"/>
        </w:rPr>
        <w:t>6.3.</w:t>
      </w:r>
      <w:r>
        <w:rPr>
          <w:rFonts w:hint="eastAsia"/>
          <w:sz w:val="21"/>
          <w:szCs w:val="21"/>
        </w:rPr>
        <w:t>22</w:t>
      </w:r>
      <w:r>
        <w:rPr>
          <w:sz w:val="21"/>
          <w:szCs w:val="21"/>
        </w:rPr>
        <w:t xml:space="preserve"> </w:t>
      </w:r>
      <w:r>
        <w:rPr>
          <w:rFonts w:hint="eastAsia"/>
          <w:sz w:val="21"/>
          <w:szCs w:val="21"/>
        </w:rPr>
        <w:t>能源节约与高效利用评价</w:t>
      </w:r>
      <w:r>
        <w:rPr>
          <w:sz w:val="21"/>
          <w:szCs w:val="21"/>
        </w:rPr>
        <w:t>通用项</w:t>
      </w:r>
      <w:r>
        <w:rPr>
          <w:sz w:val="21"/>
          <w:szCs w:val="21"/>
        </w:rPr>
        <w:fldChar w:fldCharType="end"/>
      </w:r>
      <w:r>
        <w:rPr>
          <w:rFonts w:hint="eastAsia"/>
          <w:sz w:val="21"/>
          <w:szCs w:val="21"/>
        </w:rPr>
        <w:t>包括以下内容：</w:t>
      </w:r>
      <w:bookmarkEnd w:id="846"/>
      <w:bookmarkEnd w:id="847"/>
      <w:bookmarkEnd w:id="848"/>
      <w:r>
        <w:rPr>
          <w:sz w:val="21"/>
          <w:szCs w:val="21"/>
        </w:rPr>
        <w:t xml:space="preserve"> </w:t>
      </w:r>
    </w:p>
    <w:p w14:paraId="1D19C8D3">
      <w:pPr>
        <w:adjustRightInd w:val="0"/>
        <w:snapToGrid w:val="0"/>
        <w:ind w:firstLine="420" w:firstLineChars="200"/>
        <w:outlineLvl w:val="0"/>
        <w:rPr>
          <w:rFonts w:hint="eastAsia"/>
          <w:sz w:val="21"/>
          <w:szCs w:val="21"/>
        </w:rPr>
      </w:pPr>
      <w:bookmarkStart w:id="849" w:name="_Toc31527"/>
      <w:bookmarkStart w:id="850" w:name="_Toc26035"/>
      <w:r>
        <w:rPr>
          <w:rFonts w:hint="eastAsia"/>
          <w:sz w:val="21"/>
          <w:szCs w:val="21"/>
        </w:rPr>
        <w:t>4选用合理的机械设备</w:t>
      </w:r>
      <w:bookmarkEnd w:id="849"/>
      <w:bookmarkEnd w:id="850"/>
    </w:p>
    <w:p w14:paraId="013A0F1D">
      <w:pPr>
        <w:adjustRightInd w:val="0"/>
        <w:snapToGrid w:val="0"/>
        <w:ind w:firstLine="420" w:firstLineChars="200"/>
        <w:rPr>
          <w:rFonts w:hint="eastAsia"/>
          <w:sz w:val="21"/>
          <w:szCs w:val="21"/>
        </w:rPr>
      </w:pPr>
      <w:r>
        <w:rPr>
          <w:rFonts w:hint="eastAsia"/>
          <w:sz w:val="21"/>
          <w:szCs w:val="21"/>
        </w:rPr>
        <w:t>1）</w:t>
      </w:r>
      <w:r>
        <w:rPr>
          <w:sz w:val="21"/>
          <w:szCs w:val="21"/>
        </w:rPr>
        <w:t>塔式起重机应用变频技术，使起重机实现平稳操作，提高运行效率，改善超负荷作业，消除起制动冲击。塔式起重机具备自动节能操作模式，能较大提高系统功率因数和整机工作效率，节能效果显著，平均节电率可达实20%以上。采用节能节电型设备，如逆变式电焊机和能耗低、效率高的手持电动工具，采用变频水泵用于高层供水，以利节电。</w:t>
      </w:r>
    </w:p>
    <w:p w14:paraId="2B627173">
      <w:pPr>
        <w:adjustRightInd w:val="0"/>
        <w:snapToGrid w:val="0"/>
        <w:ind w:firstLine="420" w:firstLineChars="200"/>
        <w:rPr>
          <w:rFonts w:hint="eastAsia"/>
          <w:sz w:val="21"/>
          <w:szCs w:val="21"/>
        </w:rPr>
      </w:pPr>
      <w:r>
        <w:rPr>
          <w:rFonts w:hint="eastAsia"/>
          <w:sz w:val="21"/>
          <w:szCs w:val="21"/>
        </w:rPr>
        <w:t>2）</w:t>
      </w:r>
      <w:r>
        <w:rPr>
          <w:sz w:val="21"/>
          <w:szCs w:val="21"/>
        </w:rPr>
        <w:t>施工机械设备在满足负荷要求的前提下，考虑电机经济运行，使电力系统有功损耗最小。</w:t>
      </w:r>
    </w:p>
    <w:p w14:paraId="7AA71F2B">
      <w:pPr>
        <w:adjustRightInd w:val="0"/>
        <w:snapToGrid w:val="0"/>
        <w:ind w:firstLine="420" w:firstLineChars="200"/>
        <w:rPr>
          <w:rFonts w:hint="eastAsia"/>
          <w:sz w:val="21"/>
          <w:szCs w:val="21"/>
        </w:rPr>
      </w:pPr>
      <w:r>
        <w:rPr>
          <w:rFonts w:hint="eastAsia"/>
          <w:sz w:val="21"/>
          <w:szCs w:val="21"/>
        </w:rPr>
        <w:t>5</w:t>
      </w:r>
      <w:r>
        <w:rPr>
          <w:sz w:val="21"/>
          <w:szCs w:val="21"/>
        </w:rPr>
        <w:t>施工用电及照明节能措施</w:t>
      </w:r>
      <w:r>
        <w:rPr>
          <w:rFonts w:hint="eastAsia"/>
          <w:sz w:val="21"/>
          <w:szCs w:val="21"/>
        </w:rPr>
        <w:t>：</w:t>
      </w:r>
      <w:r>
        <w:rPr>
          <w:sz w:val="21"/>
          <w:szCs w:val="21"/>
        </w:rPr>
        <w:t>合理布置临时用电线路</w:t>
      </w:r>
      <w:r>
        <w:rPr>
          <w:rFonts w:hint="eastAsia"/>
          <w:sz w:val="21"/>
          <w:szCs w:val="21"/>
        </w:rPr>
        <w:t>，</w:t>
      </w:r>
      <w:r>
        <w:rPr>
          <w:sz w:val="21"/>
          <w:szCs w:val="21"/>
        </w:rPr>
        <w:t>做到线路最短，变压器、配电室（总配电箱）与用电负荷中心尽可能靠近，在编制临时用电施工组织设计时</w:t>
      </w:r>
      <w:r>
        <w:rPr>
          <w:rFonts w:hint="eastAsia"/>
          <w:sz w:val="21"/>
          <w:szCs w:val="21"/>
        </w:rPr>
        <w:t>应综合考虑，并定期检查制度的实施情况。</w:t>
      </w:r>
      <w:r>
        <w:rPr>
          <w:sz w:val="21"/>
          <w:szCs w:val="21"/>
        </w:rPr>
        <w:t>采用两台变压器并联运行，或</w:t>
      </w:r>
      <w:r>
        <w:rPr>
          <w:rFonts w:hint="eastAsia"/>
          <w:sz w:val="21"/>
          <w:szCs w:val="21"/>
        </w:rPr>
        <w:t>将</w:t>
      </w:r>
      <w:r>
        <w:rPr>
          <w:sz w:val="21"/>
          <w:szCs w:val="21"/>
        </w:rPr>
        <w:t>生产用电、生活用电与照明</w:t>
      </w:r>
      <w:r>
        <w:rPr>
          <w:rFonts w:hint="eastAsia"/>
          <w:sz w:val="21"/>
          <w:szCs w:val="21"/>
        </w:rPr>
        <w:t>用电</w:t>
      </w:r>
      <w:r>
        <w:rPr>
          <w:sz w:val="21"/>
          <w:szCs w:val="21"/>
        </w:rPr>
        <w:t>分开</w:t>
      </w:r>
      <w:r>
        <w:rPr>
          <w:rFonts w:hint="eastAsia"/>
          <w:sz w:val="21"/>
          <w:szCs w:val="21"/>
        </w:rPr>
        <w:t>设置</w:t>
      </w:r>
      <w:r>
        <w:rPr>
          <w:sz w:val="21"/>
          <w:szCs w:val="21"/>
        </w:rPr>
        <w:t>不同的变压器</w:t>
      </w:r>
      <w:r>
        <w:rPr>
          <w:rFonts w:hint="eastAsia"/>
          <w:sz w:val="21"/>
          <w:szCs w:val="21"/>
        </w:rPr>
        <w:t>。</w:t>
      </w:r>
      <w:r>
        <w:rPr>
          <w:sz w:val="21"/>
          <w:szCs w:val="21"/>
        </w:rPr>
        <w:t>在轻负载的情况下，将一部分变压器退出运行，以减少变压器的损耗</w:t>
      </w:r>
      <w:r>
        <w:rPr>
          <w:rFonts w:hint="eastAsia"/>
          <w:sz w:val="21"/>
          <w:szCs w:val="21"/>
        </w:rPr>
        <w:t>。</w:t>
      </w:r>
      <w:r>
        <w:rPr>
          <w:sz w:val="21"/>
          <w:szCs w:val="21"/>
        </w:rPr>
        <w:t>照明优先采用LED节能型灯具，照明设计以满足最低照度为原则，不</w:t>
      </w:r>
      <w:r>
        <w:rPr>
          <w:rFonts w:hint="eastAsia"/>
          <w:sz w:val="21"/>
          <w:szCs w:val="21"/>
        </w:rPr>
        <w:t>应</w:t>
      </w:r>
      <w:r>
        <w:rPr>
          <w:sz w:val="21"/>
          <w:szCs w:val="21"/>
        </w:rPr>
        <w:t>超过20%。走道及楼梯间采用声光控照明技术。施工现场、生活区内宜采用太阳能路灯。塔吊照明采用LED</w:t>
      </w:r>
      <w:r>
        <w:rPr>
          <w:rFonts w:hint="eastAsia"/>
          <w:sz w:val="21"/>
          <w:szCs w:val="21"/>
        </w:rPr>
        <w:t>照明灯具，塔吊</w:t>
      </w:r>
      <w:r>
        <w:rPr>
          <w:sz w:val="21"/>
          <w:szCs w:val="21"/>
        </w:rPr>
        <w:t>LED灯光</w:t>
      </w:r>
      <w:r>
        <w:rPr>
          <w:rFonts w:hint="eastAsia"/>
          <w:sz w:val="21"/>
          <w:szCs w:val="21"/>
        </w:rPr>
        <w:t>线</w:t>
      </w:r>
      <w:r>
        <w:rPr>
          <w:sz w:val="21"/>
          <w:szCs w:val="21"/>
        </w:rPr>
        <w:t>均匀，</w:t>
      </w:r>
      <w:r>
        <w:rPr>
          <w:rFonts w:hint="eastAsia"/>
          <w:sz w:val="21"/>
          <w:szCs w:val="21"/>
        </w:rPr>
        <w:t>照射范围</w:t>
      </w:r>
      <w:r>
        <w:rPr>
          <w:sz w:val="21"/>
          <w:szCs w:val="21"/>
        </w:rPr>
        <w:t>大，</w:t>
      </w:r>
      <w:r>
        <w:rPr>
          <w:rFonts w:hint="eastAsia"/>
          <w:sz w:val="21"/>
          <w:szCs w:val="21"/>
        </w:rPr>
        <w:t>附带</w:t>
      </w:r>
      <w:r>
        <w:rPr>
          <w:sz w:val="21"/>
          <w:szCs w:val="21"/>
        </w:rPr>
        <w:t>120</w:t>
      </w:r>
      <w:r>
        <w:rPr>
          <w:rFonts w:hint="eastAsia"/>
          <w:sz w:val="21"/>
          <w:szCs w:val="21"/>
        </w:rPr>
        <w:t>°可调节支架，可充分满足现场照明要求。</w:t>
      </w:r>
    </w:p>
    <w:p w14:paraId="7863AA85">
      <w:pPr>
        <w:adjustRightInd w:val="0"/>
        <w:snapToGrid w:val="0"/>
        <w:ind w:firstLine="420" w:firstLineChars="200"/>
        <w:rPr>
          <w:rFonts w:hint="eastAsia"/>
          <w:sz w:val="21"/>
          <w:szCs w:val="21"/>
        </w:rPr>
      </w:pPr>
      <w:r>
        <w:rPr>
          <w:rFonts w:hint="eastAsia"/>
          <w:sz w:val="21"/>
          <w:szCs w:val="21"/>
        </w:rPr>
        <w:t>6</w:t>
      </w:r>
      <w:r>
        <w:rPr>
          <w:sz w:val="21"/>
          <w:szCs w:val="21"/>
        </w:rPr>
        <w:t>临时设施节能</w:t>
      </w:r>
      <w:r>
        <w:rPr>
          <w:rFonts w:hint="eastAsia"/>
          <w:sz w:val="21"/>
          <w:szCs w:val="21"/>
        </w:rPr>
        <w:t>措施：</w:t>
      </w:r>
      <w:r>
        <w:rPr>
          <w:sz w:val="21"/>
          <w:szCs w:val="21"/>
        </w:rPr>
        <w:t>施工现场临时设施的围护结构</w:t>
      </w:r>
      <w:r>
        <w:rPr>
          <w:rFonts w:hint="eastAsia"/>
          <w:sz w:val="21"/>
          <w:szCs w:val="21"/>
        </w:rPr>
        <w:t>，</w:t>
      </w:r>
      <w:r>
        <w:rPr>
          <w:sz w:val="21"/>
          <w:szCs w:val="21"/>
        </w:rPr>
        <w:t>围护墙体、屋面、门窗等部位使用保温隔热性能指标达标的节能材料，并满足防火要求。活动</w:t>
      </w:r>
      <w:r>
        <w:rPr>
          <w:rFonts w:hint="eastAsia"/>
          <w:sz w:val="21"/>
          <w:szCs w:val="21"/>
        </w:rPr>
        <w:t>彩</w:t>
      </w:r>
      <w:r>
        <w:rPr>
          <w:sz w:val="21"/>
          <w:szCs w:val="21"/>
        </w:rPr>
        <w:t>板房厂商应提供板房材料导热系数、防火性能</w:t>
      </w:r>
      <w:r>
        <w:rPr>
          <w:rFonts w:hint="eastAsia"/>
          <w:sz w:val="21"/>
          <w:szCs w:val="21"/>
        </w:rPr>
        <w:t>检测</w:t>
      </w:r>
      <w:r>
        <w:rPr>
          <w:sz w:val="21"/>
          <w:szCs w:val="21"/>
        </w:rPr>
        <w:t>合格报告。</w:t>
      </w:r>
    </w:p>
    <w:p w14:paraId="22919625">
      <w:pPr>
        <w:adjustRightInd w:val="0"/>
        <w:snapToGrid w:val="0"/>
        <w:ind w:firstLine="420" w:firstLineChars="200"/>
        <w:rPr>
          <w:rFonts w:hint="eastAsia"/>
          <w:sz w:val="21"/>
          <w:szCs w:val="21"/>
        </w:rPr>
      </w:pPr>
      <w:r>
        <w:rPr>
          <w:rFonts w:hint="eastAsia"/>
          <w:sz w:val="21"/>
          <w:szCs w:val="21"/>
        </w:rPr>
        <w:t>7</w:t>
      </w:r>
      <w:r>
        <w:rPr>
          <w:sz w:val="21"/>
          <w:szCs w:val="21"/>
        </w:rPr>
        <w:t>可再生能源综合利用措施</w:t>
      </w:r>
      <w:r>
        <w:rPr>
          <w:rFonts w:hint="eastAsia"/>
          <w:sz w:val="21"/>
          <w:szCs w:val="21"/>
        </w:rPr>
        <w:t>：</w:t>
      </w:r>
      <w:r>
        <w:rPr>
          <w:sz w:val="21"/>
          <w:szCs w:val="21"/>
        </w:rPr>
        <w:t>1）施工现场可利用的可再生能源主要包括：风能、太阳能、空气能、地热能等。2）根据当地气候和自然条件，生活区、生产区内照明可充分利用太阳能、风能发电，如采用太阳能、风能路灯。3）在生活区宿舍内可安装太阳能热水器、太阳能饭灶或空气能热水系统等，减少施工用电能耗。</w:t>
      </w:r>
      <w:r>
        <w:rPr>
          <w:rFonts w:hint="eastAsia"/>
          <w:sz w:val="21"/>
          <w:szCs w:val="21"/>
        </w:rPr>
        <w:t>4）生活区宿舍设置空气源热泵热水器、太阳能热水器，用于提供生活热水。</w:t>
      </w:r>
    </w:p>
    <w:p w14:paraId="4639DD96">
      <w:pPr>
        <w:adjustRightInd w:val="0"/>
        <w:snapToGrid w:val="0"/>
        <w:outlineLvl w:val="1"/>
        <w:rPr>
          <w:rFonts w:hint="eastAsia"/>
          <w:color w:val="FF0000"/>
          <w:sz w:val="21"/>
          <w:szCs w:val="21"/>
        </w:rPr>
      </w:pPr>
      <w:bookmarkStart w:id="851" w:name="_Toc23799"/>
      <w:bookmarkStart w:id="852" w:name="_Toc24925"/>
      <w:r>
        <w:fldChar w:fldCharType="begin"/>
      </w:r>
      <w:r>
        <w:instrText xml:space="preserve"> HYPERLINK \l "_Toc162470929" </w:instrText>
      </w:r>
      <w:r>
        <w:fldChar w:fldCharType="separate"/>
      </w:r>
      <w:bookmarkStart w:id="853" w:name="_Toc169276188"/>
      <w:r>
        <w:rPr>
          <w:sz w:val="21"/>
          <w:szCs w:val="21"/>
        </w:rPr>
        <w:t>6.3.</w:t>
      </w:r>
      <w:r>
        <w:rPr>
          <w:rFonts w:hint="eastAsia"/>
          <w:sz w:val="21"/>
          <w:szCs w:val="21"/>
        </w:rPr>
        <w:t>23</w:t>
      </w:r>
      <w:r>
        <w:rPr>
          <w:sz w:val="21"/>
          <w:szCs w:val="21"/>
        </w:rPr>
        <w:t xml:space="preserve"> </w:t>
      </w:r>
      <w:r>
        <w:rPr>
          <w:rFonts w:hint="eastAsia"/>
          <w:sz w:val="21"/>
          <w:szCs w:val="21"/>
        </w:rPr>
        <w:t>火电工程能源节约与高效利用专用项：</w:t>
      </w:r>
      <w:r>
        <w:rPr>
          <w:rFonts w:hint="eastAsia"/>
          <w:sz w:val="21"/>
          <w:szCs w:val="21"/>
        </w:rPr>
        <w:fldChar w:fldCharType="end"/>
      </w:r>
      <w:bookmarkEnd w:id="851"/>
      <w:bookmarkEnd w:id="852"/>
      <w:bookmarkEnd w:id="853"/>
      <w:r>
        <w:rPr>
          <w:color w:val="FF0000"/>
          <w:sz w:val="21"/>
          <w:szCs w:val="21"/>
        </w:rPr>
        <w:t xml:space="preserve"> </w:t>
      </w:r>
    </w:p>
    <w:p w14:paraId="34F69CA8">
      <w:pPr>
        <w:adjustRightInd w:val="0"/>
        <w:snapToGrid w:val="0"/>
        <w:ind w:firstLine="420" w:firstLineChars="200"/>
        <w:rPr>
          <w:rFonts w:hint="eastAsia"/>
          <w:sz w:val="21"/>
          <w:szCs w:val="21"/>
        </w:rPr>
      </w:pPr>
      <w:r>
        <w:rPr>
          <w:rFonts w:hint="eastAsia"/>
          <w:sz w:val="21"/>
          <w:szCs w:val="21"/>
        </w:rPr>
        <w:t>试运期间可从优化燃料选择与处理、合理调整燃烧参数、优化锅炉操作、合理利用余热、合理安排停炉时间等方面制定减少燃油消耗的主要措施。</w:t>
      </w:r>
    </w:p>
    <w:p w14:paraId="73E4B8B6">
      <w:pPr>
        <w:adjustRightInd w:val="0"/>
        <w:snapToGrid w:val="0"/>
        <w:ind w:firstLine="420" w:firstLineChars="200"/>
        <w:rPr>
          <w:rFonts w:hint="eastAsia"/>
          <w:sz w:val="21"/>
          <w:szCs w:val="21"/>
        </w:rPr>
      </w:pPr>
      <w:r>
        <w:rPr>
          <w:rFonts w:hint="eastAsia"/>
          <w:sz w:val="21"/>
          <w:szCs w:val="21"/>
        </w:rPr>
        <w:t>一是优化燃料选择与处理：尽量选择燃烧效率高、污染物排放少的燃料。例如，逐步替代传统煤炭为天然气或其他清洁能源，以减少能源消耗和环境污染；在试运期间，特别是在锅炉吹管阶段，应确保入炉煤质达到设计煤质要求，以提高炉膛稳定燃烧和及早断油稳燃的能力。</w:t>
      </w:r>
    </w:p>
    <w:p w14:paraId="288F1C99">
      <w:pPr>
        <w:adjustRightInd w:val="0"/>
        <w:snapToGrid w:val="0"/>
        <w:ind w:firstLine="420" w:firstLineChars="200"/>
        <w:rPr>
          <w:rFonts w:hint="eastAsia"/>
          <w:sz w:val="21"/>
          <w:szCs w:val="21"/>
        </w:rPr>
      </w:pPr>
      <w:r>
        <w:rPr>
          <w:rFonts w:hint="eastAsia"/>
          <w:sz w:val="21"/>
          <w:szCs w:val="21"/>
        </w:rPr>
        <w:t>二是合理调整燃烧参数：正确设置燃烧参数，避免过量供给燃料或空气，保证燃烧的充分和稳定。同时，合理调整燃烧温度，减少冷凝和过热现象，进一步提高热效率。</w:t>
      </w:r>
    </w:p>
    <w:p w14:paraId="1548E470">
      <w:pPr>
        <w:adjustRightInd w:val="0"/>
        <w:snapToGrid w:val="0"/>
        <w:ind w:firstLine="420" w:firstLineChars="200"/>
        <w:rPr>
          <w:rFonts w:hint="eastAsia"/>
          <w:sz w:val="21"/>
          <w:szCs w:val="21"/>
        </w:rPr>
      </w:pPr>
      <w:r>
        <w:rPr>
          <w:rFonts w:hint="eastAsia"/>
          <w:sz w:val="21"/>
          <w:szCs w:val="21"/>
        </w:rPr>
        <w:t>三是优化锅炉操作：尽早投入辅助设备：如尽早投入启动锅炉、除氧器、暖风器等辅助设备以提高给水温度和热风温度，改善着火条件并减少耗油；做好锅炉冷态通风试验和风量标定试验，对锅炉烟、风系统、燃烧系统进行优化调整，为锅炉吹管、整启过程中热态燃烧调整、投粉断油提供扎实的技术依据及良好的设备基础；通过油枪出力试验，掌握燃油系统运行调整状况及方法，作为热态运行控制调整依据。根据启动油枪和投煤油枪作用的不同，配备不同容量的油枪雾化片，在保证燃烧需要的前提下采用小容量雾化片；油枪着火后，需注意观察燃烧情况，及时合理地调整二次风风压，确保油枪着火稳定，无闪烁现象，不冒黑烟；控制合理的运行氧量优化燃烧过程，提高锅炉热效率。</w:t>
      </w:r>
    </w:p>
    <w:p w14:paraId="287061C6">
      <w:pPr>
        <w:adjustRightInd w:val="0"/>
        <w:snapToGrid w:val="0"/>
        <w:ind w:firstLine="420" w:firstLineChars="200"/>
        <w:rPr>
          <w:rFonts w:hint="eastAsia"/>
          <w:sz w:val="21"/>
          <w:szCs w:val="21"/>
        </w:rPr>
      </w:pPr>
      <w:r>
        <w:rPr>
          <w:rFonts w:hint="eastAsia"/>
          <w:sz w:val="21"/>
          <w:szCs w:val="21"/>
        </w:rPr>
        <w:t>四是合理利用余热：利用火电厂锅炉产生的余热，通过余热锅炉等设备回收锅炉烟气中的废热，用于供暖、供热或其他用途，避免能量的浪费。此外，还可以利用余热来预热供给锅炉的水，减少再热水所需的燃料消耗。</w:t>
      </w:r>
    </w:p>
    <w:p w14:paraId="7A63AE89">
      <w:pPr>
        <w:adjustRightInd w:val="0"/>
        <w:snapToGrid w:val="0"/>
        <w:ind w:firstLine="420" w:firstLineChars="200"/>
        <w:rPr>
          <w:rFonts w:hint="eastAsia"/>
          <w:sz w:val="21"/>
          <w:szCs w:val="21"/>
        </w:rPr>
      </w:pPr>
      <w:r>
        <w:rPr>
          <w:rFonts w:hint="eastAsia"/>
          <w:sz w:val="21"/>
          <w:szCs w:val="21"/>
        </w:rPr>
        <w:t>五是注重监测与维护：建立完善的监测体系：通过安装传感器和监测系统，实时监测锅炉的各项运行参数，如温度、压力、流量等，及时发现并处理异常情况。加强设备维护：定期对锅炉及其辅助设备进行维护和保养，如清洗烟道、传热器等部件，防止因积灰、堵塞等原因导致的能量损失。同时，保持锅炉及其辅助设备的良好状态，减少因设备故障导致的启停次数和燃油消耗。</w:t>
      </w:r>
    </w:p>
    <w:p w14:paraId="5D2BB428">
      <w:pPr>
        <w:adjustRightInd w:val="0"/>
        <w:snapToGrid w:val="0"/>
        <w:ind w:firstLine="420" w:firstLineChars="200"/>
        <w:rPr>
          <w:rFonts w:hint="eastAsia"/>
          <w:sz w:val="21"/>
          <w:szCs w:val="21"/>
        </w:rPr>
      </w:pPr>
      <w:r>
        <w:rPr>
          <w:rFonts w:hint="eastAsia"/>
          <w:sz w:val="21"/>
          <w:szCs w:val="21"/>
        </w:rPr>
        <w:t>六是合理安排停炉时段：在蒸汽吹管过程中应安排至少</w:t>
      </w:r>
      <w:r>
        <w:rPr>
          <w:sz w:val="21"/>
          <w:szCs w:val="21"/>
        </w:rPr>
        <w:t>2次（时间12小时以上）的停炉大冷却，这样既能保证吹管质量，又能节省吹管阶段燃油量</w:t>
      </w:r>
      <w:r>
        <w:rPr>
          <w:rFonts w:hint="eastAsia"/>
          <w:sz w:val="21"/>
          <w:szCs w:val="21"/>
        </w:rPr>
        <w:t>；优化疏水及排汽控制，在升温升压过程中，应合理控制疏水及排汽量，尽量减少不必要的过大疏水及排汽量，以减少损失并达到节油的目的。</w:t>
      </w:r>
    </w:p>
    <w:p w14:paraId="70AB3C11">
      <w:pPr>
        <w:adjustRightInd w:val="0"/>
        <w:snapToGrid w:val="0"/>
        <w:outlineLvl w:val="1"/>
        <w:rPr>
          <w:rFonts w:hint="eastAsia"/>
          <w:color w:val="FF0000"/>
          <w:sz w:val="21"/>
          <w:szCs w:val="21"/>
        </w:rPr>
      </w:pPr>
      <w:bookmarkStart w:id="854" w:name="_Toc169276189"/>
      <w:bookmarkStart w:id="855" w:name="_Toc28942"/>
      <w:bookmarkStart w:id="856" w:name="_Toc956"/>
      <w:r>
        <w:rPr>
          <w:sz w:val="21"/>
          <w:szCs w:val="21"/>
        </w:rPr>
        <w:t>6.3.</w:t>
      </w:r>
      <w:r>
        <w:rPr>
          <w:rFonts w:hint="eastAsia"/>
          <w:sz w:val="21"/>
          <w:szCs w:val="21"/>
        </w:rPr>
        <w:t>24</w:t>
      </w:r>
      <w:r>
        <w:rPr>
          <w:sz w:val="21"/>
          <w:szCs w:val="21"/>
        </w:rPr>
        <w:t>水电水利（含抽水蓄能）工程</w:t>
      </w:r>
      <w:r>
        <w:rPr>
          <w:rFonts w:hint="eastAsia"/>
          <w:sz w:val="21"/>
          <w:szCs w:val="21"/>
        </w:rPr>
        <w:t>专用项</w:t>
      </w:r>
      <w:bookmarkEnd w:id="854"/>
      <w:bookmarkEnd w:id="855"/>
      <w:bookmarkEnd w:id="856"/>
    </w:p>
    <w:p w14:paraId="742C5AB3">
      <w:pPr>
        <w:adjustRightInd w:val="0"/>
        <w:snapToGrid w:val="0"/>
        <w:ind w:firstLine="420" w:firstLineChars="200"/>
        <w:rPr>
          <w:rFonts w:hint="eastAsia"/>
          <w:sz w:val="21"/>
          <w:szCs w:val="21"/>
        </w:rPr>
      </w:pPr>
      <w:r>
        <w:rPr>
          <w:rFonts w:hint="eastAsia"/>
          <w:sz w:val="21"/>
          <w:szCs w:val="21"/>
        </w:rPr>
        <w:t>水力发电工程规模通常较大，各类物资、砂石料等运输能耗高，各类建筑物集中布置能够有效降低运输能耗。</w:t>
      </w:r>
    </w:p>
    <w:p w14:paraId="64A06F0D">
      <w:pPr>
        <w:adjustRightInd w:val="0"/>
        <w:snapToGrid w:val="0"/>
        <w:outlineLvl w:val="1"/>
        <w:rPr>
          <w:rFonts w:hint="eastAsia"/>
          <w:sz w:val="21"/>
          <w:szCs w:val="21"/>
        </w:rPr>
      </w:pPr>
      <w:bookmarkStart w:id="857" w:name="_Toc169276191"/>
      <w:bookmarkStart w:id="858" w:name="_Toc24994"/>
      <w:bookmarkStart w:id="859" w:name="_Toc873"/>
      <w:r>
        <w:rPr>
          <w:sz w:val="21"/>
          <w:szCs w:val="21"/>
        </w:rPr>
        <w:t>6.3.</w:t>
      </w:r>
      <w:r>
        <w:rPr>
          <w:rFonts w:hint="eastAsia"/>
          <w:sz w:val="21"/>
          <w:szCs w:val="21"/>
        </w:rPr>
        <w:t>25</w:t>
      </w:r>
      <w:r>
        <w:rPr>
          <w:sz w:val="21"/>
          <w:szCs w:val="21"/>
        </w:rPr>
        <w:t>风力发电工程专用项</w:t>
      </w:r>
      <w:bookmarkEnd w:id="857"/>
      <w:bookmarkEnd w:id="858"/>
      <w:bookmarkEnd w:id="859"/>
    </w:p>
    <w:p w14:paraId="79D12075">
      <w:pPr>
        <w:ind w:right="-120" w:rightChars="-50" w:firstLine="420" w:firstLineChars="200"/>
        <w:rPr>
          <w:rFonts w:hint="eastAsia"/>
          <w:sz w:val="21"/>
          <w:szCs w:val="21"/>
        </w:rPr>
      </w:pPr>
      <w:bookmarkStart w:id="860" w:name="_Toc169276192"/>
      <w:r>
        <w:rPr>
          <w:rFonts w:hint="eastAsia"/>
          <w:sz w:val="21"/>
          <w:szCs w:val="21"/>
        </w:rPr>
        <w:t>本条对</w:t>
      </w:r>
      <w:r>
        <w:rPr>
          <w:sz w:val="21"/>
          <w:szCs w:val="21"/>
        </w:rPr>
        <w:t>风力发电</w:t>
      </w:r>
      <w:r>
        <w:rPr>
          <w:rFonts w:hint="eastAsia"/>
          <w:sz w:val="21"/>
          <w:szCs w:val="21"/>
        </w:rPr>
        <w:t>工</w:t>
      </w:r>
      <w:r>
        <w:rPr>
          <w:sz w:val="21"/>
          <w:szCs w:val="21"/>
        </w:rPr>
        <w:t>程</w:t>
      </w:r>
      <w:r>
        <w:rPr>
          <w:rFonts w:hint="eastAsia"/>
          <w:sz w:val="21"/>
          <w:szCs w:val="21"/>
        </w:rPr>
        <w:t>能源节约与高效利用评价专用项提出要求，专用项按照陆上风电和海上风电项目分别列出。</w:t>
      </w:r>
      <w:r>
        <w:rPr>
          <w:sz w:val="21"/>
          <w:szCs w:val="21"/>
        </w:rPr>
        <w:t xml:space="preserve"> </w:t>
      </w:r>
    </w:p>
    <w:p w14:paraId="66D7276E">
      <w:pPr>
        <w:ind w:right="-120" w:rightChars="-50" w:firstLine="420" w:firstLineChars="200"/>
        <w:rPr>
          <w:rFonts w:hint="eastAsia" w:cs="Times New Roman"/>
          <w:sz w:val="21"/>
          <w:szCs w:val="21"/>
        </w:rPr>
      </w:pPr>
      <w:r>
        <w:rPr>
          <w:rFonts w:hint="eastAsia" w:cs="Times New Roman"/>
          <w:sz w:val="21"/>
          <w:szCs w:val="21"/>
        </w:rPr>
        <w:t xml:space="preserve"> 2 海上风电项目能源节约重点控制燃油消耗，应合理安排施工内容，减少各类船舶的无效交通造成的燃油浪费。</w:t>
      </w:r>
    </w:p>
    <w:p w14:paraId="67109BC6">
      <w:pPr>
        <w:adjustRightInd w:val="0"/>
        <w:snapToGrid w:val="0"/>
        <w:outlineLvl w:val="1"/>
        <w:rPr>
          <w:rFonts w:hint="eastAsia"/>
          <w:color w:val="FF0000"/>
          <w:sz w:val="21"/>
          <w:szCs w:val="21"/>
        </w:rPr>
      </w:pPr>
      <w:bookmarkStart w:id="861" w:name="_Toc15627"/>
      <w:bookmarkStart w:id="862" w:name="_Toc24051"/>
      <w:r>
        <w:rPr>
          <w:sz w:val="21"/>
          <w:szCs w:val="21"/>
        </w:rPr>
        <w:t>6.3.</w:t>
      </w:r>
      <w:r>
        <w:rPr>
          <w:rFonts w:hint="eastAsia"/>
          <w:sz w:val="21"/>
          <w:szCs w:val="21"/>
        </w:rPr>
        <w:t>26</w:t>
      </w:r>
      <w:r>
        <w:rPr>
          <w:sz w:val="21"/>
          <w:szCs w:val="21"/>
        </w:rPr>
        <w:t>太阳能发电工程</w:t>
      </w:r>
      <w:r>
        <w:rPr>
          <w:rFonts w:hint="eastAsia"/>
          <w:sz w:val="21"/>
          <w:szCs w:val="21"/>
        </w:rPr>
        <w:t>专用项</w:t>
      </w:r>
      <w:bookmarkEnd w:id="860"/>
      <w:bookmarkEnd w:id="861"/>
      <w:bookmarkEnd w:id="862"/>
    </w:p>
    <w:p w14:paraId="0334DB97">
      <w:pPr>
        <w:ind w:firstLine="420" w:firstLineChars="200"/>
        <w:rPr>
          <w:rFonts w:hint="eastAsia"/>
          <w:sz w:val="21"/>
          <w:szCs w:val="21"/>
        </w:rPr>
      </w:pPr>
      <w:r>
        <w:rPr>
          <w:rFonts w:hint="eastAsia"/>
          <w:sz w:val="21"/>
          <w:szCs w:val="21"/>
        </w:rPr>
        <w:t>在能源节约过程中提倡采用可再生能源，优先采用高效率、低能耗的机械设备，应对能源消耗进行量化控制，实现能源的节约。</w:t>
      </w:r>
    </w:p>
    <w:p w14:paraId="1DD8EF79">
      <w:pPr>
        <w:adjustRightInd w:val="0"/>
        <w:snapToGrid w:val="0"/>
        <w:outlineLvl w:val="1"/>
        <w:rPr>
          <w:rFonts w:hint="eastAsia"/>
          <w:color w:val="FF0000"/>
          <w:sz w:val="21"/>
          <w:szCs w:val="21"/>
        </w:rPr>
      </w:pPr>
      <w:bookmarkStart w:id="863" w:name="_Toc169276190"/>
      <w:bookmarkStart w:id="864" w:name="_Toc18513"/>
      <w:bookmarkStart w:id="865" w:name="_Toc22486"/>
      <w:r>
        <w:rPr>
          <w:sz w:val="21"/>
          <w:szCs w:val="21"/>
        </w:rPr>
        <w:t>6.3.</w:t>
      </w:r>
      <w:r>
        <w:rPr>
          <w:rFonts w:hint="eastAsia"/>
          <w:sz w:val="21"/>
          <w:szCs w:val="21"/>
        </w:rPr>
        <w:t>27</w:t>
      </w:r>
      <w:r>
        <w:rPr>
          <w:sz w:val="21"/>
          <w:szCs w:val="21"/>
        </w:rPr>
        <w:t>输变电工程专用项</w:t>
      </w:r>
      <w:bookmarkEnd w:id="863"/>
      <w:bookmarkEnd w:id="864"/>
      <w:bookmarkEnd w:id="865"/>
    </w:p>
    <w:p w14:paraId="2667B09B">
      <w:pPr>
        <w:ind w:firstLine="420" w:firstLineChars="200"/>
        <w:outlineLvl w:val="0"/>
        <w:rPr>
          <w:rFonts w:hint="eastAsia"/>
          <w:sz w:val="21"/>
          <w:szCs w:val="21"/>
        </w:rPr>
      </w:pPr>
      <w:bookmarkStart w:id="866" w:name="_Toc7976"/>
      <w:bookmarkStart w:id="867" w:name="_Toc19227"/>
      <w:bookmarkStart w:id="868" w:name="_Toc169276193"/>
      <w:r>
        <w:rPr>
          <w:rFonts w:hint="eastAsia"/>
          <w:sz w:val="21"/>
          <w:szCs w:val="21"/>
        </w:rPr>
        <w:t>1</w:t>
      </w:r>
      <w:r>
        <w:rPr>
          <w:sz w:val="21"/>
          <w:szCs w:val="21"/>
        </w:rPr>
        <w:t xml:space="preserve">  </w:t>
      </w:r>
      <w:r>
        <w:rPr>
          <w:rFonts w:hint="eastAsia"/>
          <w:sz w:val="21"/>
          <w:szCs w:val="21"/>
        </w:rPr>
        <w:t>变电（换流）站</w:t>
      </w:r>
      <w:bookmarkEnd w:id="866"/>
      <w:bookmarkEnd w:id="867"/>
    </w:p>
    <w:p w14:paraId="72EEE4E6">
      <w:pPr>
        <w:ind w:firstLine="420" w:firstLineChars="200"/>
        <w:rPr>
          <w:rFonts w:hint="eastAsia"/>
          <w:sz w:val="21"/>
          <w:szCs w:val="21"/>
        </w:rPr>
      </w:pPr>
      <w:r>
        <w:rPr>
          <w:rFonts w:hint="eastAsia"/>
          <w:sz w:val="21"/>
          <w:szCs w:val="21"/>
        </w:rPr>
        <w:t>1)应根据施工进度计划、施工工序对材料、设备等物资的需求，以及施工场地实际条件情况，合理制订物资进场计划和施工物资布置，减少物资二次倒运的能耗。</w:t>
      </w:r>
    </w:p>
    <w:p w14:paraId="51D04D68">
      <w:pPr>
        <w:ind w:firstLine="420" w:firstLineChars="200"/>
        <w:rPr>
          <w:rFonts w:hint="eastAsia"/>
          <w:sz w:val="21"/>
          <w:szCs w:val="21"/>
        </w:rPr>
      </w:pPr>
      <w:r>
        <w:rPr>
          <w:rFonts w:hint="eastAsia"/>
          <w:sz w:val="21"/>
          <w:szCs w:val="21"/>
        </w:rPr>
        <w:t>因地制宜合理布置主（换流）变等设备组合安装场地，使设备组合安装场地与设备基础就位安装位置距离最近，减少设备基础就位运输能耗。</w:t>
      </w:r>
    </w:p>
    <w:p w14:paraId="3F366061">
      <w:pPr>
        <w:ind w:firstLine="420" w:firstLineChars="200"/>
        <w:rPr>
          <w:rFonts w:hint="eastAsia"/>
          <w:sz w:val="21"/>
          <w:szCs w:val="21"/>
        </w:rPr>
      </w:pPr>
      <w:r>
        <w:rPr>
          <w:rFonts w:hint="eastAsia"/>
          <w:sz w:val="21"/>
          <w:szCs w:val="21"/>
        </w:rPr>
        <w:t>2）合理计划施工工序和施工组织，减少夜间、高温、寒冷情况下的施工时间，以减少夜间、高温、寒冷情况下的施工照明、降温和采暖等能耗。控制变电（换流）站各系统调试和试运行时间，不少于要求时间且不超过控制目标时间，以减少能源消耗。</w:t>
      </w:r>
    </w:p>
    <w:p w14:paraId="241C3BA9">
      <w:pPr>
        <w:ind w:firstLine="420" w:firstLineChars="200"/>
        <w:rPr>
          <w:rFonts w:hint="eastAsia"/>
          <w:sz w:val="21"/>
          <w:szCs w:val="21"/>
        </w:rPr>
      </w:pPr>
      <w:r>
        <w:rPr>
          <w:rFonts w:hint="eastAsia"/>
          <w:sz w:val="21"/>
          <w:szCs w:val="21"/>
        </w:rPr>
        <w:t>3）主变（换流变）等充油设备，热油循环过程中滤油机加热脱水缸中的温度应控制在65℃士5℃范围内，油箱内温度不应低于40℃。当环境温度全天平均低于15℃时，应对油箱采取保温措施，减少滤油机加热电能消耗。</w:t>
      </w:r>
    </w:p>
    <w:p w14:paraId="6A2994BD">
      <w:pPr>
        <w:ind w:firstLine="420" w:firstLineChars="200"/>
        <w:rPr>
          <w:rFonts w:hint="eastAsia"/>
          <w:sz w:val="21"/>
          <w:szCs w:val="21"/>
        </w:rPr>
      </w:pPr>
      <w:r>
        <w:rPr>
          <w:rFonts w:hint="eastAsia"/>
          <w:sz w:val="21"/>
          <w:szCs w:val="21"/>
        </w:rPr>
        <w:t>4）根据工程地址气候条件，因地制宜利用自然能源，采用太阳能集热器、地（水、气）源热泵等供热，户外照明采用包括风光互补的太阳能路灯，并采用户外照明自动控制装置，减少能源消耗。</w:t>
      </w:r>
    </w:p>
    <w:p w14:paraId="583C0866">
      <w:pPr>
        <w:ind w:firstLine="420" w:firstLineChars="200"/>
        <w:outlineLvl w:val="0"/>
        <w:rPr>
          <w:rFonts w:hint="eastAsia"/>
          <w:sz w:val="21"/>
          <w:szCs w:val="21"/>
        </w:rPr>
      </w:pPr>
      <w:bookmarkStart w:id="869" w:name="_Toc32027"/>
      <w:bookmarkStart w:id="870" w:name="_Toc5682"/>
      <w:r>
        <w:rPr>
          <w:rFonts w:hint="eastAsia"/>
          <w:sz w:val="21"/>
          <w:szCs w:val="21"/>
        </w:rPr>
        <w:t>2</w:t>
      </w:r>
      <w:r>
        <w:rPr>
          <w:sz w:val="21"/>
          <w:szCs w:val="21"/>
        </w:rPr>
        <w:t xml:space="preserve">  </w:t>
      </w:r>
      <w:r>
        <w:rPr>
          <w:rFonts w:hint="eastAsia"/>
          <w:sz w:val="21"/>
          <w:szCs w:val="21"/>
        </w:rPr>
        <w:t>架空输电线路</w:t>
      </w:r>
      <w:bookmarkEnd w:id="869"/>
      <w:bookmarkEnd w:id="870"/>
    </w:p>
    <w:p w14:paraId="121B26EC">
      <w:pPr>
        <w:ind w:firstLine="420" w:firstLineChars="200"/>
        <w:rPr>
          <w:rFonts w:hint="eastAsia"/>
          <w:sz w:val="21"/>
          <w:szCs w:val="21"/>
        </w:rPr>
      </w:pPr>
      <w:r>
        <w:rPr>
          <w:rFonts w:hint="eastAsia"/>
          <w:sz w:val="21"/>
          <w:szCs w:val="21"/>
        </w:rPr>
        <w:t>1）物料运输和施工选用低噪、环保、节能、高效的机械化作业设备，可降低施工能耗，减少噪声污染，提高施工效率，实现绿色施工中的节能减排、环境保护及资源优化，推动可持续发展。</w:t>
      </w:r>
    </w:p>
    <w:p w14:paraId="36B0D47F">
      <w:pPr>
        <w:ind w:firstLine="420" w:firstLineChars="200"/>
        <w:rPr>
          <w:rFonts w:hint="eastAsia"/>
          <w:sz w:val="21"/>
          <w:szCs w:val="21"/>
        </w:rPr>
      </w:pPr>
      <w:r>
        <w:rPr>
          <w:rFonts w:hint="eastAsia"/>
          <w:sz w:val="21"/>
          <w:szCs w:val="21"/>
        </w:rPr>
        <w:t>2）线路施工计划的合理安排，减少夜间、高温、寒冷情况下的施工时间，可实现节能减排，能降低施工照明、降温和采暖的能耗，减轻光污染，缓解环境压力，保障施工条件，提高施工效率和质量，促进资源有效利用与环境保护。</w:t>
      </w:r>
    </w:p>
    <w:p w14:paraId="38D4DEC9">
      <w:pPr>
        <w:ind w:firstLine="420" w:firstLineChars="200"/>
        <w:outlineLvl w:val="0"/>
        <w:rPr>
          <w:rFonts w:hint="eastAsia"/>
          <w:sz w:val="21"/>
          <w:szCs w:val="21"/>
        </w:rPr>
      </w:pPr>
      <w:bookmarkStart w:id="871" w:name="_Toc5772"/>
      <w:bookmarkStart w:id="872" w:name="_Toc12075"/>
      <w:r>
        <w:rPr>
          <w:rFonts w:hint="eastAsia"/>
          <w:sz w:val="21"/>
          <w:szCs w:val="21"/>
        </w:rPr>
        <w:t>3</w:t>
      </w:r>
      <w:r>
        <w:rPr>
          <w:sz w:val="21"/>
          <w:szCs w:val="21"/>
        </w:rPr>
        <w:t xml:space="preserve">  </w:t>
      </w:r>
      <w:r>
        <w:rPr>
          <w:rFonts w:hint="eastAsia"/>
          <w:sz w:val="21"/>
          <w:szCs w:val="21"/>
        </w:rPr>
        <w:t>电缆线路</w:t>
      </w:r>
      <w:bookmarkEnd w:id="871"/>
      <w:bookmarkEnd w:id="872"/>
    </w:p>
    <w:p w14:paraId="597385E8">
      <w:pPr>
        <w:ind w:firstLine="420" w:firstLineChars="200"/>
        <w:rPr>
          <w:rFonts w:hint="eastAsia"/>
          <w:sz w:val="21"/>
          <w:szCs w:val="21"/>
        </w:rPr>
      </w:pPr>
      <w:r>
        <w:rPr>
          <w:rFonts w:hint="eastAsia"/>
          <w:sz w:val="21"/>
          <w:szCs w:val="21"/>
        </w:rPr>
        <w:t>1）电缆隧道施工，物料通常经过投料口或工作井口进行投放，位置较为固定。应统筹考虑物料的投放区段、使用时间、作业类别，充分利用布设有门式起重机的工作井或投料口进行投料作业，从而避免物料的二次倒运，减少小型起重机械的使用频率。</w:t>
      </w:r>
    </w:p>
    <w:p w14:paraId="3FE4FAA9">
      <w:pPr>
        <w:ind w:firstLine="420" w:firstLineChars="200"/>
        <w:rPr>
          <w:rFonts w:hint="eastAsia"/>
          <w:sz w:val="21"/>
          <w:szCs w:val="21"/>
        </w:rPr>
      </w:pPr>
      <w:r>
        <w:rPr>
          <w:rFonts w:hint="eastAsia"/>
          <w:sz w:val="21"/>
          <w:szCs w:val="21"/>
        </w:rPr>
        <w:t>2）电缆施工应充分进行现场勘察，根据电缆段长的差异确定合理的施工工序，减少敷设机械设备、发电机等施工设备设施使用时间。</w:t>
      </w:r>
    </w:p>
    <w:p w14:paraId="4E70F604">
      <w:pPr>
        <w:ind w:firstLine="420" w:firstLineChars="200"/>
        <w:rPr>
          <w:rFonts w:hint="eastAsia"/>
          <w:sz w:val="21"/>
          <w:szCs w:val="21"/>
        </w:rPr>
      </w:pPr>
      <w:r>
        <w:rPr>
          <w:rFonts w:hint="eastAsia"/>
          <w:sz w:val="21"/>
          <w:szCs w:val="21"/>
        </w:rPr>
        <w:t>采用电缆输送机敷设，要根据电缆自重及敷设现场情况综合计算、合理布置电缆输送机。一般每隔30m～100m放置一台电缆输送机，每隔3m～4m放置1个滑车。在路径拐弯、上下坡等地方应额外增补电缆输送机，并加设专用的拐弯滑车。</w:t>
      </w:r>
    </w:p>
    <w:p w14:paraId="5E9AE260">
      <w:pPr>
        <w:ind w:firstLine="630" w:firstLineChars="300"/>
        <w:rPr>
          <w:rFonts w:hint="eastAsia"/>
          <w:sz w:val="21"/>
          <w:szCs w:val="21"/>
        </w:rPr>
      </w:pPr>
      <w:r>
        <w:rPr>
          <w:rFonts w:hint="eastAsia"/>
          <w:sz w:val="21"/>
          <w:szCs w:val="21"/>
        </w:rPr>
        <w:t>电缆施工应充分进行现场勘察，确定合适的电缆入井位置及放线架布置位置，使现场施工、占道、电缆盘堆放等对周边环境影响最小，电缆敷设装置、机械调整移动的次数最少，减少电缆牵引距离和施工机械设备倒运距离。</w:t>
      </w:r>
    </w:p>
    <w:p w14:paraId="76EB5E6E">
      <w:pPr>
        <w:ind w:firstLine="420" w:firstLineChars="200"/>
        <w:rPr>
          <w:rFonts w:hint="eastAsia"/>
          <w:sz w:val="21"/>
          <w:szCs w:val="21"/>
        </w:rPr>
      </w:pPr>
      <w:r>
        <w:rPr>
          <w:rFonts w:hint="eastAsia"/>
          <w:sz w:val="21"/>
          <w:szCs w:val="21"/>
        </w:rPr>
        <w:t>3）电缆施工应充分考虑人口集中区域中的作业场景，根据现场和周边环境情况，对施工机械和设备进行节能、减排和降耗指标分析和比较，采用高性能、低噪声和低能耗的机械设备。</w:t>
      </w:r>
    </w:p>
    <w:p w14:paraId="3E928ED5">
      <w:pPr>
        <w:adjustRightInd w:val="0"/>
        <w:snapToGrid w:val="0"/>
        <w:outlineLvl w:val="1"/>
        <w:rPr>
          <w:rFonts w:hint="eastAsia"/>
          <w:color w:val="FF0000"/>
          <w:sz w:val="21"/>
          <w:szCs w:val="21"/>
        </w:rPr>
      </w:pPr>
      <w:bookmarkStart w:id="873" w:name="_Toc24648"/>
      <w:bookmarkStart w:id="874" w:name="_Toc31410"/>
      <w:r>
        <w:rPr>
          <w:sz w:val="21"/>
          <w:szCs w:val="21"/>
        </w:rPr>
        <w:t>6.3.</w:t>
      </w:r>
      <w:r>
        <w:rPr>
          <w:rFonts w:hint="eastAsia"/>
          <w:sz w:val="21"/>
          <w:szCs w:val="21"/>
        </w:rPr>
        <w:t>28</w:t>
      </w:r>
      <w:r>
        <w:rPr>
          <w:sz w:val="21"/>
          <w:szCs w:val="21"/>
        </w:rPr>
        <w:t>储能工程</w:t>
      </w:r>
      <w:r>
        <w:rPr>
          <w:rFonts w:hint="eastAsia"/>
          <w:sz w:val="21"/>
          <w:szCs w:val="21"/>
        </w:rPr>
        <w:t>专用项</w:t>
      </w:r>
      <w:bookmarkEnd w:id="868"/>
      <w:bookmarkEnd w:id="873"/>
      <w:bookmarkEnd w:id="874"/>
    </w:p>
    <w:p w14:paraId="177E5860">
      <w:pPr>
        <w:ind w:firstLine="630" w:firstLineChars="300"/>
        <w:rPr>
          <w:rFonts w:hint="eastAsia"/>
          <w:sz w:val="21"/>
          <w:szCs w:val="21"/>
        </w:rPr>
      </w:pPr>
      <w:r>
        <w:rPr>
          <w:sz w:val="21"/>
          <w:szCs w:val="21"/>
        </w:rPr>
        <w:t>设备到场时机及合理的分时段到场</w:t>
      </w:r>
      <w:r>
        <w:rPr>
          <w:rFonts w:hint="eastAsia"/>
          <w:sz w:val="21"/>
          <w:szCs w:val="21"/>
        </w:rPr>
        <w:t>，</w:t>
      </w:r>
      <w:r>
        <w:rPr>
          <w:sz w:val="21"/>
          <w:szCs w:val="21"/>
        </w:rPr>
        <w:t>是电力储能项目能源节约的重要方式</w:t>
      </w:r>
      <w:r>
        <w:rPr>
          <w:rFonts w:hint="eastAsia"/>
          <w:sz w:val="21"/>
          <w:szCs w:val="21"/>
        </w:rPr>
        <w:t>。加强对现场施工用电设备的管理，也是能源节约与高效利用的重要措施。</w:t>
      </w:r>
    </w:p>
    <w:p w14:paraId="651109EE">
      <w:pPr>
        <w:adjustRightInd w:val="0"/>
        <w:snapToGrid w:val="0"/>
        <w:jc w:val="center"/>
        <w:rPr>
          <w:rFonts w:hint="eastAsia"/>
          <w:sz w:val="21"/>
          <w:szCs w:val="21"/>
        </w:rPr>
      </w:pPr>
      <w:r>
        <w:rPr>
          <w:rFonts w:hint="eastAsia"/>
          <w:sz w:val="21"/>
          <w:szCs w:val="21"/>
        </w:rPr>
        <w:t>Ⅴ</w:t>
      </w:r>
      <w:r>
        <w:rPr>
          <w:sz w:val="21"/>
          <w:szCs w:val="21"/>
        </w:rPr>
        <w:t xml:space="preserve"> </w:t>
      </w:r>
      <w:r>
        <w:rPr>
          <w:rFonts w:hint="eastAsia"/>
          <w:sz w:val="21"/>
          <w:szCs w:val="21"/>
        </w:rPr>
        <w:t>节约用地</w:t>
      </w:r>
    </w:p>
    <w:p w14:paraId="59B6CBFF">
      <w:pPr>
        <w:adjustRightInd w:val="0"/>
        <w:snapToGrid w:val="0"/>
        <w:outlineLvl w:val="1"/>
        <w:rPr>
          <w:rFonts w:hint="eastAsia"/>
          <w:color w:val="FF0000"/>
          <w:sz w:val="21"/>
          <w:szCs w:val="21"/>
        </w:rPr>
      </w:pPr>
      <w:bookmarkStart w:id="875" w:name="_Toc169276200"/>
      <w:bookmarkStart w:id="876" w:name="_Toc28953"/>
      <w:bookmarkStart w:id="877" w:name="_Toc1337"/>
      <w:r>
        <w:rPr>
          <w:sz w:val="21"/>
          <w:szCs w:val="21"/>
        </w:rPr>
        <w:t>6.3.</w:t>
      </w:r>
      <w:r>
        <w:rPr>
          <w:rFonts w:hint="eastAsia"/>
          <w:sz w:val="21"/>
          <w:szCs w:val="21"/>
        </w:rPr>
        <w:t>33</w:t>
      </w:r>
      <w:r>
        <w:rPr>
          <w:sz w:val="21"/>
          <w:szCs w:val="21"/>
        </w:rPr>
        <w:t xml:space="preserve"> 太阳能发电工程专用项</w:t>
      </w:r>
      <w:bookmarkEnd w:id="875"/>
      <w:bookmarkEnd w:id="876"/>
      <w:bookmarkEnd w:id="877"/>
    </w:p>
    <w:p w14:paraId="54BCDBFD">
      <w:pPr>
        <w:adjustRightInd w:val="0"/>
        <w:snapToGrid w:val="0"/>
        <w:ind w:firstLine="420" w:firstLineChars="200"/>
        <w:rPr>
          <w:rFonts w:hint="eastAsia"/>
          <w:sz w:val="21"/>
          <w:szCs w:val="21"/>
        </w:rPr>
      </w:pPr>
      <w:r>
        <w:rPr>
          <w:rFonts w:hint="eastAsia"/>
          <w:sz w:val="21"/>
          <w:szCs w:val="21"/>
        </w:rPr>
        <w:t>节约用地主要从电站永久用地节约和施工用地节约，应合理规划阵列区布置，在减少阴影遮挡的同时减少用地面积，在施工过程中应优化施工布置，注重防汛防洪和消防安全，尽可能减少临时用地面积，实现对植被的最大限度保护。</w:t>
      </w:r>
    </w:p>
    <w:p w14:paraId="6C505764">
      <w:pPr>
        <w:adjustRightInd w:val="0"/>
        <w:snapToGrid w:val="0"/>
        <w:outlineLvl w:val="1"/>
        <w:rPr>
          <w:rFonts w:hint="eastAsia"/>
          <w:color w:val="FF0000"/>
          <w:sz w:val="21"/>
          <w:szCs w:val="21"/>
        </w:rPr>
      </w:pPr>
      <w:bookmarkStart w:id="878" w:name="_Toc169276198"/>
      <w:bookmarkStart w:id="879" w:name="_Toc9224"/>
      <w:bookmarkStart w:id="880" w:name="_Toc19711"/>
      <w:bookmarkStart w:id="881" w:name="_Toc169276201"/>
      <w:r>
        <w:rPr>
          <w:sz w:val="21"/>
          <w:szCs w:val="21"/>
        </w:rPr>
        <w:t>6.3.</w:t>
      </w:r>
      <w:r>
        <w:rPr>
          <w:rFonts w:hint="eastAsia"/>
          <w:sz w:val="21"/>
          <w:szCs w:val="21"/>
        </w:rPr>
        <w:t>34</w:t>
      </w:r>
      <w:r>
        <w:rPr>
          <w:sz w:val="21"/>
          <w:szCs w:val="21"/>
        </w:rPr>
        <w:t xml:space="preserve"> 输变电工程</w:t>
      </w:r>
      <w:r>
        <w:rPr>
          <w:rFonts w:hint="eastAsia"/>
          <w:sz w:val="21"/>
          <w:szCs w:val="21"/>
        </w:rPr>
        <w:t>专用项</w:t>
      </w:r>
      <w:bookmarkEnd w:id="878"/>
      <w:bookmarkEnd w:id="879"/>
      <w:bookmarkEnd w:id="880"/>
    </w:p>
    <w:p w14:paraId="61359967">
      <w:pPr>
        <w:adjustRightInd w:val="0"/>
        <w:snapToGrid w:val="0"/>
        <w:ind w:firstLine="420" w:firstLineChars="200"/>
        <w:outlineLvl w:val="0"/>
        <w:rPr>
          <w:rFonts w:hint="eastAsia"/>
          <w:sz w:val="21"/>
          <w:szCs w:val="21"/>
        </w:rPr>
      </w:pPr>
      <w:bookmarkStart w:id="882" w:name="_Toc3273"/>
      <w:bookmarkStart w:id="883" w:name="_Toc29576"/>
      <w:r>
        <w:rPr>
          <w:rFonts w:hint="eastAsia"/>
          <w:sz w:val="21"/>
          <w:szCs w:val="21"/>
        </w:rPr>
        <w:t>1</w:t>
      </w:r>
      <w:r>
        <w:rPr>
          <w:sz w:val="21"/>
          <w:szCs w:val="21"/>
        </w:rPr>
        <w:t xml:space="preserve">  </w:t>
      </w:r>
      <w:r>
        <w:rPr>
          <w:rFonts w:hint="eastAsia"/>
          <w:sz w:val="21"/>
          <w:szCs w:val="21"/>
        </w:rPr>
        <w:t>变电（换流 ）站</w:t>
      </w:r>
      <w:bookmarkEnd w:id="882"/>
      <w:bookmarkEnd w:id="883"/>
    </w:p>
    <w:p w14:paraId="604AEAD8">
      <w:pPr>
        <w:adjustRightInd w:val="0"/>
        <w:snapToGrid w:val="0"/>
        <w:ind w:firstLine="420" w:firstLineChars="200"/>
        <w:rPr>
          <w:rFonts w:hint="eastAsia"/>
          <w:sz w:val="21"/>
          <w:szCs w:val="21"/>
        </w:rPr>
      </w:pPr>
      <w:r>
        <w:rPr>
          <w:rFonts w:hint="eastAsia"/>
          <w:sz w:val="21"/>
          <w:szCs w:val="21"/>
        </w:rPr>
        <w:t>施工前有土石方总体调配方案，对开挖土石方进行再利用。施工中挖出的弃土堆置时，应避免流失，并应回填利用，尽量做到土石方量挖填平衡，减少土石方外运运输量；有条件时应考虑邻近施工场地间的土石方资源调配。剥离的表土要做好保护，堆土边沿可用装入表土的植生袋进行拦挡，上部用密目网苫盖密封、牢固，减少扬尘及水土流失可能性。</w:t>
      </w:r>
    </w:p>
    <w:p w14:paraId="352045EC">
      <w:pPr>
        <w:adjustRightInd w:val="0"/>
        <w:snapToGrid w:val="0"/>
        <w:ind w:firstLine="420" w:firstLineChars="200"/>
        <w:outlineLvl w:val="0"/>
        <w:rPr>
          <w:rFonts w:hint="eastAsia"/>
          <w:sz w:val="21"/>
          <w:szCs w:val="21"/>
        </w:rPr>
      </w:pPr>
      <w:bookmarkStart w:id="884" w:name="_Toc30922"/>
      <w:bookmarkStart w:id="885" w:name="_Toc10893"/>
      <w:r>
        <w:rPr>
          <w:rFonts w:hint="eastAsia"/>
          <w:sz w:val="21"/>
          <w:szCs w:val="21"/>
        </w:rPr>
        <w:t>2</w:t>
      </w:r>
      <w:r>
        <w:rPr>
          <w:sz w:val="21"/>
          <w:szCs w:val="21"/>
        </w:rPr>
        <w:t xml:space="preserve">  </w:t>
      </w:r>
      <w:r>
        <w:rPr>
          <w:rFonts w:hint="eastAsia"/>
          <w:sz w:val="21"/>
          <w:szCs w:val="21"/>
        </w:rPr>
        <w:t>架空输电线路</w:t>
      </w:r>
      <w:bookmarkEnd w:id="884"/>
      <w:bookmarkEnd w:id="885"/>
    </w:p>
    <w:p w14:paraId="32274654">
      <w:pPr>
        <w:adjustRightInd w:val="0"/>
        <w:snapToGrid w:val="0"/>
        <w:ind w:firstLine="420" w:firstLineChars="200"/>
        <w:rPr>
          <w:rFonts w:hint="eastAsia"/>
          <w:sz w:val="21"/>
          <w:szCs w:val="21"/>
        </w:rPr>
      </w:pPr>
      <w:r>
        <w:rPr>
          <w:rFonts w:hint="eastAsia"/>
          <w:sz w:val="21"/>
          <w:szCs w:val="21"/>
        </w:rPr>
        <w:t>1）在平地及适合机械化施工的山地、丘陵全面应用机械化装备，无运输通道的山地、丘陵宜用标准金属索道运输以减少占地与砍伐，无法用索道时应结合巡线道路合理修筑施工便道，可提高施工效率、减少环境影响、节约资源并实现可持续发展。</w:t>
      </w:r>
    </w:p>
    <w:p w14:paraId="27C1C4F5">
      <w:pPr>
        <w:adjustRightInd w:val="0"/>
        <w:snapToGrid w:val="0"/>
        <w:ind w:firstLine="420" w:firstLineChars="200"/>
        <w:rPr>
          <w:rFonts w:hint="eastAsia"/>
          <w:sz w:val="21"/>
          <w:szCs w:val="21"/>
        </w:rPr>
      </w:pPr>
      <w:r>
        <w:rPr>
          <w:rFonts w:hint="eastAsia"/>
          <w:sz w:val="21"/>
          <w:szCs w:val="21"/>
        </w:rPr>
        <w:t>2）塔基区开挖扰动及永久占压区、施工道路开挖扰动区域进行表土剥离可保护土壤，减少土壤侵蚀，降低水土流失风险。土石方堆放时底部应设置隔离措施，将生熟土分开，并做防护坎，以防止石方对土壤的破坏与污染，减少水土流失。基础回填时先填生土以提供承载能力，后填熟土以利植被生长，再进行地貌复原，恢复施工区域原有地形和生态平衡。</w:t>
      </w:r>
    </w:p>
    <w:p w14:paraId="4FADA692">
      <w:pPr>
        <w:adjustRightInd w:val="0"/>
        <w:snapToGrid w:val="0"/>
        <w:ind w:firstLine="420" w:firstLineChars="200"/>
        <w:rPr>
          <w:rFonts w:hint="eastAsia"/>
          <w:sz w:val="21"/>
          <w:szCs w:val="21"/>
        </w:rPr>
      </w:pPr>
      <w:r>
        <w:rPr>
          <w:rFonts w:hint="eastAsia"/>
          <w:sz w:val="21"/>
          <w:szCs w:val="21"/>
        </w:rPr>
        <w:t>灌注桩基础在水田施工时应考虑泥浆池的复耕处理问题。能恢复土地原有功能，减少土地占用，避免环境污染，体现了土地资源的可持续利用理念，保障农业生产。</w:t>
      </w:r>
    </w:p>
    <w:p w14:paraId="53DC1863">
      <w:pPr>
        <w:adjustRightInd w:val="0"/>
        <w:snapToGrid w:val="0"/>
        <w:ind w:firstLine="420" w:firstLineChars="200"/>
        <w:rPr>
          <w:rFonts w:hint="eastAsia"/>
          <w:sz w:val="21"/>
          <w:szCs w:val="21"/>
        </w:rPr>
      </w:pPr>
      <w:r>
        <w:rPr>
          <w:rFonts w:hint="eastAsia"/>
          <w:sz w:val="21"/>
          <w:szCs w:val="21"/>
        </w:rPr>
        <w:t>3）杆塔组立阶段利用基础阶段临时占地，达到节约土地资源、降低成本、减少环境影响、便于施工管理的目的，具体可通过规划统筹和优化施工方案来实现。</w:t>
      </w:r>
    </w:p>
    <w:p w14:paraId="3DA076A4">
      <w:pPr>
        <w:adjustRightInd w:val="0"/>
        <w:snapToGrid w:val="0"/>
        <w:ind w:firstLine="420" w:firstLineChars="200"/>
        <w:rPr>
          <w:rFonts w:hint="eastAsia"/>
          <w:sz w:val="21"/>
          <w:szCs w:val="21"/>
        </w:rPr>
      </w:pPr>
      <w:r>
        <w:rPr>
          <w:rFonts w:hint="eastAsia"/>
          <w:sz w:val="21"/>
          <w:szCs w:val="21"/>
        </w:rPr>
        <w:t>4）鼓励使用履带、轮胎式起重机等机械设备进行杆塔组立，可减少土地开挖与对土地的扰动，保护生态环境，提高施工效率与安全性。</w:t>
      </w:r>
    </w:p>
    <w:p w14:paraId="4FF441E7">
      <w:pPr>
        <w:adjustRightInd w:val="0"/>
        <w:snapToGrid w:val="0"/>
        <w:ind w:firstLine="420" w:firstLineChars="200"/>
        <w:outlineLvl w:val="0"/>
        <w:rPr>
          <w:rFonts w:hint="eastAsia"/>
          <w:sz w:val="21"/>
          <w:szCs w:val="21"/>
        </w:rPr>
      </w:pPr>
      <w:bookmarkStart w:id="886" w:name="_Toc295"/>
      <w:bookmarkStart w:id="887" w:name="_Toc26759"/>
      <w:r>
        <w:rPr>
          <w:rFonts w:hint="eastAsia"/>
          <w:sz w:val="21"/>
          <w:szCs w:val="21"/>
        </w:rPr>
        <w:t>3</w:t>
      </w:r>
      <w:r>
        <w:rPr>
          <w:sz w:val="21"/>
          <w:szCs w:val="21"/>
        </w:rPr>
        <w:t xml:space="preserve">  </w:t>
      </w:r>
      <w:r>
        <w:rPr>
          <w:rFonts w:hint="eastAsia"/>
          <w:sz w:val="21"/>
          <w:szCs w:val="21"/>
        </w:rPr>
        <w:t>电缆工程</w:t>
      </w:r>
      <w:bookmarkEnd w:id="886"/>
      <w:bookmarkEnd w:id="887"/>
    </w:p>
    <w:p w14:paraId="689109F7">
      <w:pPr>
        <w:adjustRightInd w:val="0"/>
        <w:snapToGrid w:val="0"/>
        <w:ind w:firstLine="630" w:firstLineChars="300"/>
        <w:rPr>
          <w:rFonts w:hint="eastAsia"/>
          <w:sz w:val="21"/>
          <w:szCs w:val="21"/>
        </w:rPr>
      </w:pPr>
      <w:r>
        <w:rPr>
          <w:rFonts w:hint="eastAsia"/>
          <w:sz w:val="21"/>
          <w:szCs w:val="21"/>
        </w:rPr>
        <w:t>1）电缆施工常涉及施工临时占地、临时占据交通道路等工况，应统筹安排物料堆放场地以及运输路径，避免造成交通堵塞，影响居民工作生活。</w:t>
      </w:r>
    </w:p>
    <w:p w14:paraId="1F383AC6">
      <w:pPr>
        <w:adjustRightInd w:val="0"/>
        <w:snapToGrid w:val="0"/>
        <w:ind w:firstLine="630" w:firstLineChars="300"/>
        <w:rPr>
          <w:rFonts w:hint="eastAsia"/>
          <w:sz w:val="21"/>
          <w:szCs w:val="21"/>
        </w:rPr>
      </w:pPr>
      <w:r>
        <w:rPr>
          <w:rFonts w:hint="eastAsia"/>
          <w:sz w:val="21"/>
          <w:szCs w:val="21"/>
        </w:rPr>
        <w:t>2）施工前有土石方总体调配方案，对开挖土石方进行再利用。施工中挖出的弃土堆置时，应避免流失，并应回填利用，尽量做到土石方量挖填平衡，减少土石方外运运输量；土石方堆放时底部应设置隔离措施，将生熟土分开，并做防护坎，以防止石方对土壤的破坏与污染，减少水土流失。基础回填时先填生土以提供承载能力，后填熟土以利植被生长，再进行地貌复原，恢复施工区域原有地形和生态平衡。</w:t>
      </w:r>
    </w:p>
    <w:p w14:paraId="4B3382F0">
      <w:pPr>
        <w:adjustRightInd w:val="0"/>
        <w:snapToGrid w:val="0"/>
        <w:outlineLvl w:val="1"/>
        <w:rPr>
          <w:rFonts w:hint="eastAsia"/>
          <w:color w:val="FF0000"/>
          <w:sz w:val="21"/>
          <w:szCs w:val="21"/>
        </w:rPr>
      </w:pPr>
      <w:bookmarkStart w:id="888" w:name="_Toc1383"/>
      <w:bookmarkStart w:id="889" w:name="_Toc16638"/>
      <w:r>
        <w:rPr>
          <w:sz w:val="21"/>
          <w:szCs w:val="21"/>
        </w:rPr>
        <w:t>6.3.</w:t>
      </w:r>
      <w:r>
        <w:rPr>
          <w:rFonts w:hint="eastAsia"/>
          <w:sz w:val="21"/>
          <w:szCs w:val="21"/>
        </w:rPr>
        <w:t>35</w:t>
      </w:r>
      <w:r>
        <w:rPr>
          <w:sz w:val="21"/>
          <w:szCs w:val="21"/>
        </w:rPr>
        <w:t xml:space="preserve"> 储能工程专用项</w:t>
      </w:r>
      <w:bookmarkEnd w:id="881"/>
      <w:bookmarkEnd w:id="888"/>
      <w:bookmarkEnd w:id="889"/>
    </w:p>
    <w:p w14:paraId="12331632">
      <w:pPr>
        <w:adjustRightInd w:val="0"/>
        <w:snapToGrid w:val="0"/>
        <w:ind w:firstLine="630" w:firstLineChars="300"/>
        <w:rPr>
          <w:rFonts w:hint="eastAsia"/>
          <w:sz w:val="21"/>
          <w:szCs w:val="21"/>
        </w:rPr>
      </w:pPr>
      <w:r>
        <w:rPr>
          <w:sz w:val="21"/>
          <w:szCs w:val="21"/>
        </w:rPr>
        <w:t>优化各安装设备到场时间</w:t>
      </w:r>
      <w:r>
        <w:rPr>
          <w:rFonts w:hint="eastAsia"/>
          <w:sz w:val="21"/>
          <w:szCs w:val="21"/>
        </w:rPr>
        <w:t>，</w:t>
      </w:r>
      <w:r>
        <w:rPr>
          <w:sz w:val="21"/>
          <w:szCs w:val="21"/>
        </w:rPr>
        <w:t>是电力储能工程节约用地的重要措施</w:t>
      </w:r>
      <w:r>
        <w:rPr>
          <w:rFonts w:hint="eastAsia"/>
          <w:sz w:val="21"/>
          <w:szCs w:val="21"/>
        </w:rPr>
        <w:t>。</w:t>
      </w:r>
    </w:p>
    <w:p w14:paraId="4CE729F2">
      <w:pPr>
        <w:adjustRightInd w:val="0"/>
        <w:snapToGrid w:val="0"/>
        <w:rPr>
          <w:rFonts w:hint="eastAsia"/>
          <w:sz w:val="21"/>
          <w:szCs w:val="21"/>
        </w:rPr>
      </w:pPr>
    </w:p>
    <w:p w14:paraId="5B410214">
      <w:pPr>
        <w:spacing w:before="120" w:beforeLines="50" w:after="120" w:afterLines="50"/>
        <w:jc w:val="center"/>
        <w:outlineLvl w:val="2"/>
        <w:rPr>
          <w:rFonts w:hint="eastAsia"/>
          <w:sz w:val="21"/>
          <w:szCs w:val="21"/>
        </w:rPr>
      </w:pPr>
      <w:bookmarkStart w:id="890" w:name="_Toc22866"/>
      <w:r>
        <w:rPr>
          <w:sz w:val="21"/>
          <w:szCs w:val="21"/>
        </w:rPr>
        <w:t xml:space="preserve">6.4 </w:t>
      </w:r>
      <w:r>
        <w:rPr>
          <w:rFonts w:hint="eastAsia"/>
          <w:sz w:val="21"/>
          <w:szCs w:val="21"/>
        </w:rPr>
        <w:t>技术创新</w:t>
      </w:r>
      <w:bookmarkEnd w:id="890"/>
    </w:p>
    <w:p w14:paraId="67F998F2">
      <w:pPr>
        <w:adjustRightInd w:val="0"/>
        <w:snapToGrid w:val="0"/>
        <w:rPr>
          <w:rFonts w:hint="eastAsia"/>
          <w:sz w:val="21"/>
          <w:szCs w:val="21"/>
        </w:rPr>
      </w:pPr>
      <w:r>
        <w:rPr>
          <w:sz w:val="21"/>
          <w:szCs w:val="21"/>
        </w:rPr>
        <w:t>6.4.</w:t>
      </w:r>
      <w:r>
        <w:rPr>
          <w:rFonts w:hint="eastAsia"/>
          <w:sz w:val="21"/>
          <w:szCs w:val="21"/>
        </w:rPr>
        <w:t>1应制定绿色建造科研计划、实施、研究及推广应用的管理体系、制度和方法并结合工程特点，立项开展有关绿色建造方面新技术、新工艺、新材料、新设备的开发和推广应用的研究。不断形成具有自主知识产权的创新技术、新施工工艺、工法。</w:t>
      </w:r>
    </w:p>
    <w:p w14:paraId="6D6D7A64">
      <w:pPr>
        <w:adjustRightInd w:val="0"/>
        <w:snapToGrid w:val="0"/>
        <w:rPr>
          <w:rFonts w:hint="eastAsia"/>
          <w:sz w:val="21"/>
          <w:szCs w:val="21"/>
        </w:rPr>
      </w:pPr>
      <w:r>
        <w:rPr>
          <w:sz w:val="21"/>
          <w:szCs w:val="21"/>
        </w:rPr>
        <w:t>6.4.2</w:t>
      </w:r>
      <w:r>
        <w:rPr>
          <w:rFonts w:hint="eastAsia"/>
          <w:sz w:val="21"/>
          <w:szCs w:val="21"/>
        </w:rPr>
        <w:t>应积极采用住房和城乡建设部及地方的推荐技术，采用“建筑</w:t>
      </w:r>
      <w:r>
        <w:rPr>
          <w:sz w:val="21"/>
          <w:szCs w:val="21"/>
        </w:rPr>
        <w:t xml:space="preserve">10 </w:t>
      </w:r>
      <w:r>
        <w:rPr>
          <w:rFonts w:hint="eastAsia"/>
          <w:sz w:val="21"/>
          <w:szCs w:val="21"/>
        </w:rPr>
        <w:t>项新技术”。推广具有显著经济效益的自主研发的专利技术。</w:t>
      </w:r>
    </w:p>
    <w:p w14:paraId="1BFD3F8C">
      <w:pPr>
        <w:spacing w:before="120" w:beforeLines="50" w:after="120" w:afterLines="50"/>
        <w:jc w:val="center"/>
        <w:outlineLvl w:val="2"/>
        <w:rPr>
          <w:rFonts w:hint="eastAsia"/>
          <w:sz w:val="21"/>
          <w:szCs w:val="21"/>
        </w:rPr>
      </w:pPr>
      <w:bookmarkStart w:id="891" w:name="_Toc20858"/>
      <w:r>
        <w:rPr>
          <w:sz w:val="21"/>
          <w:szCs w:val="21"/>
        </w:rPr>
        <w:t xml:space="preserve">6.5 </w:t>
      </w:r>
      <w:r>
        <w:rPr>
          <w:rFonts w:hint="eastAsia"/>
          <w:sz w:val="21"/>
          <w:szCs w:val="21"/>
        </w:rPr>
        <w:t>综合效益</w:t>
      </w:r>
      <w:bookmarkEnd w:id="891"/>
    </w:p>
    <w:p w14:paraId="5D7BA304">
      <w:pPr>
        <w:adjustRightInd w:val="0"/>
        <w:snapToGrid w:val="0"/>
        <w:rPr>
          <w:rFonts w:hint="eastAsia"/>
          <w:sz w:val="21"/>
          <w:szCs w:val="21"/>
        </w:rPr>
      </w:pPr>
      <w:r>
        <w:rPr>
          <w:rFonts w:hint="eastAsia"/>
          <w:sz w:val="21"/>
          <w:szCs w:val="21"/>
        </w:rPr>
        <w:t>6.5.1应取得实施绿色建造过程取得的经济效益、社会效益和生态效益的分析及证明。</w:t>
      </w:r>
    </w:p>
    <w:p w14:paraId="6B29C364">
      <w:pPr>
        <w:adjustRightInd w:val="0"/>
        <w:snapToGrid w:val="0"/>
        <w:rPr>
          <w:rFonts w:hint="eastAsia"/>
          <w:sz w:val="21"/>
          <w:szCs w:val="21"/>
        </w:rPr>
      </w:pPr>
      <w:r>
        <w:rPr>
          <w:sz w:val="21"/>
          <w:szCs w:val="21"/>
        </w:rPr>
        <w:t>6.5.</w:t>
      </w:r>
      <w:r>
        <w:rPr>
          <w:rFonts w:hint="eastAsia"/>
          <w:sz w:val="21"/>
          <w:szCs w:val="21"/>
        </w:rPr>
        <w:t>2施工现场应根据《中华人民共和国职业病防治法》及《职业病分类和目录》制定职业病预防措施，定期对从事有职业病危害作业的人员进行体检；施工现场平面布置时应执行生活区、办公区、施工作业区分离的原则，生活设施远离有毒有害物质。临时办公和生活区距有毒有害存放地为</w:t>
      </w:r>
      <w:r>
        <w:rPr>
          <w:sz w:val="21"/>
          <w:szCs w:val="21"/>
        </w:rPr>
        <w:t>50m</w:t>
      </w:r>
      <w:r>
        <w:rPr>
          <w:rFonts w:hint="eastAsia"/>
          <w:sz w:val="21"/>
          <w:szCs w:val="21"/>
        </w:rPr>
        <w:t>，因场地限制不能满足要求时应采取隔离措施。生活区、办公区的通道、楼梯处应设置应急疏散、逃生指示标识和应急照明灯、并在醒目位置设置安全应急疏散平面布置图。施工组织设计有保证现场人员健康的应急预案，预案内容应涉及火灾、爆炸、高空坠落、物体打击、触电、机械伤害、坍塌、</w:t>
      </w:r>
      <w:r>
        <w:rPr>
          <w:sz w:val="21"/>
          <w:szCs w:val="21"/>
        </w:rPr>
        <w:t>SARS</w:t>
      </w:r>
      <w:r>
        <w:rPr>
          <w:rFonts w:hint="eastAsia"/>
          <w:sz w:val="21"/>
          <w:szCs w:val="21"/>
        </w:rPr>
        <w:t>、疟疾、禽流感、霍乱、登革热、鼠疫、新型冠状病毒等，一旦发生上述事件，现场能果断处理，避免事态扩大和蔓延。</w:t>
      </w:r>
    </w:p>
    <w:p w14:paraId="3C39C598">
      <w:pPr>
        <w:adjustRightInd w:val="0"/>
        <w:snapToGrid w:val="0"/>
        <w:ind w:firstLine="420" w:firstLineChars="200"/>
        <w:rPr>
          <w:rFonts w:hint="eastAsia"/>
          <w:sz w:val="21"/>
          <w:szCs w:val="21"/>
        </w:rPr>
      </w:pPr>
      <w:r>
        <w:rPr>
          <w:rFonts w:hint="eastAsia"/>
          <w:sz w:val="21"/>
          <w:szCs w:val="21"/>
        </w:rPr>
        <w:t>结合企业技术管理水平，技术装备水平，当地环境，工程状况，合理组织施工作业队伍。根据培训内容，施工总承包单位应组织现场作业人员参加培训。培训过程中需留存影像、签到表、培训记录等过程资料。培训类型分为专业机构培训、企业培训、项目部培训、邀请外部专家培训。采用现场授课、多媒体视听、师徒式培训、现场实体样板体验等多种形式进行</w:t>
      </w:r>
    </w:p>
    <w:p w14:paraId="0F5E3236">
      <w:pPr>
        <w:rPr>
          <w:rFonts w:hint="eastAsia"/>
          <w:sz w:val="21"/>
          <w:szCs w:val="21"/>
        </w:rPr>
      </w:pPr>
    </w:p>
    <w:p w14:paraId="2BB8FADD">
      <w:pPr>
        <w:rPr>
          <w:rFonts w:hint="eastAsia"/>
          <w:sz w:val="21"/>
          <w:szCs w:val="21"/>
        </w:rPr>
      </w:pPr>
    </w:p>
    <w:p w14:paraId="727CC16E">
      <w:pPr>
        <w:rPr>
          <w:rFonts w:hint="eastAsia"/>
          <w:sz w:val="21"/>
          <w:szCs w:val="21"/>
        </w:rPr>
      </w:pPr>
    </w:p>
    <w:p w14:paraId="1626E8B8">
      <w:pPr>
        <w:spacing w:before="120" w:beforeLines="50" w:after="120" w:afterLines="50"/>
        <w:jc w:val="center"/>
        <w:outlineLvl w:val="0"/>
        <w:rPr>
          <w:rFonts w:hint="eastAsia"/>
          <w:sz w:val="21"/>
          <w:szCs w:val="21"/>
        </w:rPr>
      </w:pPr>
      <w:bookmarkStart w:id="892" w:name="_Toc2934"/>
      <w:bookmarkStart w:id="893" w:name="_Toc17331"/>
      <w:bookmarkStart w:id="898" w:name="_GoBack"/>
      <w:bookmarkEnd w:id="898"/>
      <w:r>
        <w:rPr>
          <w:rFonts w:hint="eastAsia"/>
          <w:sz w:val="21"/>
          <w:szCs w:val="21"/>
        </w:rPr>
        <w:t>7  绿色移交</w:t>
      </w:r>
      <w:bookmarkEnd w:id="892"/>
      <w:bookmarkEnd w:id="893"/>
    </w:p>
    <w:p w14:paraId="6DBA9403">
      <w:pPr>
        <w:spacing w:before="120" w:beforeLines="50" w:after="120" w:afterLines="50"/>
        <w:jc w:val="center"/>
        <w:outlineLvl w:val="1"/>
        <w:rPr>
          <w:rFonts w:hint="eastAsia"/>
          <w:sz w:val="21"/>
          <w:szCs w:val="21"/>
        </w:rPr>
      </w:pPr>
      <w:bookmarkStart w:id="894" w:name="_Toc15257"/>
      <w:bookmarkStart w:id="895" w:name="_Toc9203"/>
      <w:r>
        <w:rPr>
          <w:rFonts w:hint="eastAsia"/>
          <w:sz w:val="21"/>
          <w:szCs w:val="21"/>
        </w:rPr>
        <w:t>7.1</w:t>
      </w:r>
      <w:r>
        <w:rPr>
          <w:sz w:val="21"/>
          <w:szCs w:val="21"/>
        </w:rPr>
        <w:t xml:space="preserve"> </w:t>
      </w:r>
      <w:r>
        <w:rPr>
          <w:rFonts w:hint="eastAsia"/>
          <w:sz w:val="21"/>
          <w:szCs w:val="21"/>
        </w:rPr>
        <w:t xml:space="preserve"> 综合效能</w:t>
      </w:r>
      <w:bookmarkEnd w:id="894"/>
      <w:bookmarkEnd w:id="895"/>
    </w:p>
    <w:p w14:paraId="29CD27A2">
      <w:pPr>
        <w:adjustRightInd w:val="0"/>
        <w:snapToGrid w:val="0"/>
        <w:rPr>
          <w:rFonts w:hint="eastAsia"/>
          <w:sz w:val="21"/>
          <w:szCs w:val="21"/>
        </w:rPr>
      </w:pPr>
      <w:r>
        <w:rPr>
          <w:rFonts w:hint="eastAsia"/>
          <w:sz w:val="21"/>
          <w:szCs w:val="21"/>
        </w:rPr>
        <w:t xml:space="preserve">7.1.1 </w:t>
      </w:r>
      <w:r>
        <w:rPr>
          <w:sz w:val="21"/>
          <w:szCs w:val="21"/>
        </w:rPr>
        <w:t xml:space="preserve"> </w:t>
      </w:r>
      <w:r>
        <w:rPr>
          <w:rFonts w:hint="eastAsia"/>
          <w:sz w:val="21"/>
          <w:szCs w:val="21"/>
        </w:rPr>
        <w:t>项目绿色建造过程采取保护环境、减少资源浪费措施；实现节能、环保、减排的目标。</w:t>
      </w:r>
    </w:p>
    <w:p w14:paraId="3E764519">
      <w:pPr>
        <w:rPr>
          <w:rFonts w:hint="eastAsia"/>
          <w:sz w:val="21"/>
          <w:szCs w:val="21"/>
        </w:rPr>
      </w:pPr>
    </w:p>
    <w:sectPr>
      <w:pgSz w:w="9979" w:h="14181"/>
      <w:pgMar w:top="1418" w:right="1134" w:bottom="1134" w:left="1418" w:header="851" w:footer="992" w:gutter="0"/>
      <w:cols w:space="425"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EFF" w:usb1="C0007843" w:usb2="00000009" w:usb3="00000000" w:csb0="400001FF" w:csb1="FFFF0000"/>
  </w:font>
  <w:font w:name="Arial Black">
    <w:panose1 w:val="020B0A04020102020204"/>
    <w:charset w:val="00"/>
    <w:family w:val="swiss"/>
    <w:pitch w:val="default"/>
    <w:sig w:usb0="A00002AF" w:usb1="400078FB" w:usb2="00000000" w:usb3="00000000" w:csb0="6000009F" w:csb1="DFD70000"/>
  </w:font>
  <w:font w:name="Gungsuh">
    <w:altName w:val="Malgun Gothic"/>
    <w:panose1 w:val="00000000000000000000"/>
    <w:charset w:val="81"/>
    <w:family w:val="roman"/>
    <w:pitch w:val="default"/>
    <w:sig w:usb0="00000000" w:usb1="00000000" w:usb2="00000030" w:usb3="00000000" w:csb0="0008009F" w:csb1="00000000"/>
  </w:font>
  <w:font w:name="Consolas">
    <w:panose1 w:val="020B0609020204030204"/>
    <w:charset w:val="00"/>
    <w:family w:val="modern"/>
    <w:pitch w:val="default"/>
    <w:sig w:usb0="E00006FF" w:usb1="0000FCFF" w:usb2="00000001" w:usb3="00000000" w:csb0="6000019F" w:csb1="DFD70000"/>
  </w:font>
  <w:font w:name="Tahoma">
    <w:panose1 w:val="020B0604030504040204"/>
    <w:charset w:val="00"/>
    <w:family w:val="auto"/>
    <w:pitch w:val="default"/>
    <w:sig w:usb0="E1002EFF" w:usb1="C000605B" w:usb2="00000029" w:usb3="00000000" w:csb0="200101FF" w:csb1="20280000"/>
  </w:font>
  <w:font w:name="方正小标宋_GBK">
    <w:panose1 w:val="03000509000000000000"/>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Malgun Gothic">
    <w:panose1 w:val="020B0503020000020004"/>
    <w:charset w:val="81"/>
    <w:family w:val="auto"/>
    <w:pitch w:val="default"/>
    <w:sig w:usb0="9000002F" w:usb1="29D77CFB" w:usb2="00000012" w:usb3="00000000" w:csb0="00080001" w:csb1="00000000"/>
  </w:font>
  <w:font w:name="方正公文小标宋">
    <w:panose1 w:val="02000500000000000000"/>
    <w:charset w:val="86"/>
    <w:family w:val="auto"/>
    <w:pitch w:val="default"/>
    <w:sig w:usb0="A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霞鹜文楷">
    <w:panose1 w:val="02020500000000000000"/>
    <w:charset w:val="86"/>
    <w:family w:val="auto"/>
    <w:pitch w:val="default"/>
    <w:sig w:usb0="800002A7" w:usb1="3BDF3C73" w:usb2="04000016" w:usb3="00000000" w:csb0="40140093" w:csb1="CDD60000"/>
  </w:font>
  <w:font w:name="方正舒体">
    <w:panose1 w:val="02010601030101010101"/>
    <w:charset w:val="86"/>
    <w:family w:val="auto"/>
    <w:pitch w:val="default"/>
    <w:sig w:usb0="00000003"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A1C2D">
    <w:pPr>
      <w:pStyle w:val="22"/>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27F4C">
    <w:pPr>
      <w:pStyle w:val="22"/>
      <w:rPr>
        <w:rFonts w:hint="eastAsia"/>
      </w:rPr>
    </w:pPr>
    <w:r>
      <w:rPr>
        <w:rStyle w:val="38"/>
      </w:rPr>
      <w:fldChar w:fldCharType="begin"/>
    </w:r>
    <w:r>
      <w:rPr>
        <w:rStyle w:val="38"/>
      </w:rPr>
      <w:instrText xml:space="preserve"> PAGE </w:instrText>
    </w:r>
    <w:r>
      <w:rPr>
        <w:rStyle w:val="38"/>
      </w:rPr>
      <w:fldChar w:fldCharType="separate"/>
    </w:r>
    <w:r>
      <w:rPr>
        <w:rStyle w:val="38"/>
      </w:rPr>
      <w:t>24</w:t>
    </w:r>
    <w:r>
      <w:rPr>
        <w:rStyle w:val="3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4D72D4"/>
    <w:multiLevelType w:val="singleLevel"/>
    <w:tmpl w:val="9B4D72D4"/>
    <w:lvl w:ilvl="0" w:tentative="0">
      <w:start w:val="1"/>
      <w:numFmt w:val="decimal"/>
      <w:suff w:val="nothing"/>
      <w:lvlText w:val="%1）"/>
      <w:lvlJc w:val="left"/>
    </w:lvl>
  </w:abstractNum>
  <w:abstractNum w:abstractNumId="1">
    <w:nsid w:val="DE8CC9ED"/>
    <w:multiLevelType w:val="singleLevel"/>
    <w:tmpl w:val="DE8CC9ED"/>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4"/>
  <w:embedSystemFonts/>
  <w:bordersDoNotSurroundHeader w:val="1"/>
  <w:bordersDoNotSurroundFooter w:val="1"/>
  <w:hideSpellingErrors/>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jMTdkYjc2MWFkYWZjMjgzNWU2Y2UwY2E3OWRiODAifQ=="/>
  </w:docVars>
  <w:rsids>
    <w:rsidRoot w:val="00217FC6"/>
    <w:rsid w:val="00000BE8"/>
    <w:rsid w:val="000012FF"/>
    <w:rsid w:val="000015D2"/>
    <w:rsid w:val="0000224B"/>
    <w:rsid w:val="00002452"/>
    <w:rsid w:val="0000255A"/>
    <w:rsid w:val="00003377"/>
    <w:rsid w:val="00004837"/>
    <w:rsid w:val="00004990"/>
    <w:rsid w:val="0000554F"/>
    <w:rsid w:val="00010E95"/>
    <w:rsid w:val="00011155"/>
    <w:rsid w:val="00013575"/>
    <w:rsid w:val="00013AFC"/>
    <w:rsid w:val="00017934"/>
    <w:rsid w:val="00017B74"/>
    <w:rsid w:val="00021A64"/>
    <w:rsid w:val="00022E04"/>
    <w:rsid w:val="00030189"/>
    <w:rsid w:val="00033040"/>
    <w:rsid w:val="0003457E"/>
    <w:rsid w:val="00034971"/>
    <w:rsid w:val="00036486"/>
    <w:rsid w:val="00036D99"/>
    <w:rsid w:val="0003710B"/>
    <w:rsid w:val="00041107"/>
    <w:rsid w:val="00041C25"/>
    <w:rsid w:val="0004344D"/>
    <w:rsid w:val="00045ACA"/>
    <w:rsid w:val="00047FA6"/>
    <w:rsid w:val="00050959"/>
    <w:rsid w:val="00050AD2"/>
    <w:rsid w:val="00051827"/>
    <w:rsid w:val="00051C8E"/>
    <w:rsid w:val="00052A3D"/>
    <w:rsid w:val="00052B19"/>
    <w:rsid w:val="00053160"/>
    <w:rsid w:val="00053AC1"/>
    <w:rsid w:val="000546AC"/>
    <w:rsid w:val="00055084"/>
    <w:rsid w:val="000554E0"/>
    <w:rsid w:val="00057239"/>
    <w:rsid w:val="00060064"/>
    <w:rsid w:val="00060A70"/>
    <w:rsid w:val="00062465"/>
    <w:rsid w:val="00063BFC"/>
    <w:rsid w:val="00064A61"/>
    <w:rsid w:val="000653C2"/>
    <w:rsid w:val="0006653E"/>
    <w:rsid w:val="000667B4"/>
    <w:rsid w:val="000668F2"/>
    <w:rsid w:val="0007072A"/>
    <w:rsid w:val="000709E1"/>
    <w:rsid w:val="00071DD9"/>
    <w:rsid w:val="00072A22"/>
    <w:rsid w:val="00072EB7"/>
    <w:rsid w:val="00074419"/>
    <w:rsid w:val="00077107"/>
    <w:rsid w:val="00077212"/>
    <w:rsid w:val="0008279A"/>
    <w:rsid w:val="00082CC3"/>
    <w:rsid w:val="00085B7F"/>
    <w:rsid w:val="00085BFD"/>
    <w:rsid w:val="00085CF0"/>
    <w:rsid w:val="0008619D"/>
    <w:rsid w:val="0008721C"/>
    <w:rsid w:val="0008732B"/>
    <w:rsid w:val="00087957"/>
    <w:rsid w:val="00090291"/>
    <w:rsid w:val="00090304"/>
    <w:rsid w:val="00092846"/>
    <w:rsid w:val="000936EC"/>
    <w:rsid w:val="00094D78"/>
    <w:rsid w:val="00096466"/>
    <w:rsid w:val="000A0D4C"/>
    <w:rsid w:val="000A23DA"/>
    <w:rsid w:val="000A2636"/>
    <w:rsid w:val="000A413F"/>
    <w:rsid w:val="000A4960"/>
    <w:rsid w:val="000A5101"/>
    <w:rsid w:val="000A571C"/>
    <w:rsid w:val="000A77ED"/>
    <w:rsid w:val="000A7A24"/>
    <w:rsid w:val="000B098A"/>
    <w:rsid w:val="000B16D7"/>
    <w:rsid w:val="000B2549"/>
    <w:rsid w:val="000B3573"/>
    <w:rsid w:val="000B3E61"/>
    <w:rsid w:val="000B4104"/>
    <w:rsid w:val="000B4916"/>
    <w:rsid w:val="000B5AE4"/>
    <w:rsid w:val="000B5BC3"/>
    <w:rsid w:val="000B62F2"/>
    <w:rsid w:val="000B64DC"/>
    <w:rsid w:val="000C1522"/>
    <w:rsid w:val="000C1F3A"/>
    <w:rsid w:val="000C4B3F"/>
    <w:rsid w:val="000C53C0"/>
    <w:rsid w:val="000C568B"/>
    <w:rsid w:val="000C6361"/>
    <w:rsid w:val="000C6D0C"/>
    <w:rsid w:val="000D0C37"/>
    <w:rsid w:val="000D0FF0"/>
    <w:rsid w:val="000D10EC"/>
    <w:rsid w:val="000D1210"/>
    <w:rsid w:val="000D1514"/>
    <w:rsid w:val="000D19EA"/>
    <w:rsid w:val="000D1EEC"/>
    <w:rsid w:val="000D2287"/>
    <w:rsid w:val="000D2338"/>
    <w:rsid w:val="000D2C71"/>
    <w:rsid w:val="000D466A"/>
    <w:rsid w:val="000D4BCA"/>
    <w:rsid w:val="000D5F96"/>
    <w:rsid w:val="000D7346"/>
    <w:rsid w:val="000D7AA8"/>
    <w:rsid w:val="000E046F"/>
    <w:rsid w:val="000E0D37"/>
    <w:rsid w:val="000E0F47"/>
    <w:rsid w:val="000E3EF2"/>
    <w:rsid w:val="000E65C5"/>
    <w:rsid w:val="000E7D02"/>
    <w:rsid w:val="000E7D44"/>
    <w:rsid w:val="000F0628"/>
    <w:rsid w:val="000F1453"/>
    <w:rsid w:val="000F1799"/>
    <w:rsid w:val="000F1B14"/>
    <w:rsid w:val="000F1D2B"/>
    <w:rsid w:val="000F24A4"/>
    <w:rsid w:val="000F2A69"/>
    <w:rsid w:val="000F313C"/>
    <w:rsid w:val="000F3901"/>
    <w:rsid w:val="000F452F"/>
    <w:rsid w:val="000F497A"/>
    <w:rsid w:val="000F57AB"/>
    <w:rsid w:val="000F7F9E"/>
    <w:rsid w:val="00102DFA"/>
    <w:rsid w:val="00106710"/>
    <w:rsid w:val="00106D1D"/>
    <w:rsid w:val="00107BEC"/>
    <w:rsid w:val="00113472"/>
    <w:rsid w:val="00114F95"/>
    <w:rsid w:val="00116449"/>
    <w:rsid w:val="00116F41"/>
    <w:rsid w:val="0012074D"/>
    <w:rsid w:val="00121747"/>
    <w:rsid w:val="00124C7E"/>
    <w:rsid w:val="001256AA"/>
    <w:rsid w:val="00127D2F"/>
    <w:rsid w:val="00127F97"/>
    <w:rsid w:val="00130373"/>
    <w:rsid w:val="001331D6"/>
    <w:rsid w:val="00133DD0"/>
    <w:rsid w:val="001353F2"/>
    <w:rsid w:val="001354F9"/>
    <w:rsid w:val="00136439"/>
    <w:rsid w:val="00136561"/>
    <w:rsid w:val="00136AF6"/>
    <w:rsid w:val="00136B66"/>
    <w:rsid w:val="00137198"/>
    <w:rsid w:val="0014193C"/>
    <w:rsid w:val="0014257A"/>
    <w:rsid w:val="00142BEB"/>
    <w:rsid w:val="00143687"/>
    <w:rsid w:val="00143D4C"/>
    <w:rsid w:val="00147808"/>
    <w:rsid w:val="00152410"/>
    <w:rsid w:val="0015271E"/>
    <w:rsid w:val="00155988"/>
    <w:rsid w:val="00157CD6"/>
    <w:rsid w:val="00157D5B"/>
    <w:rsid w:val="00160ED5"/>
    <w:rsid w:val="00161A09"/>
    <w:rsid w:val="00163E8E"/>
    <w:rsid w:val="00165E89"/>
    <w:rsid w:val="00174D6F"/>
    <w:rsid w:val="00175186"/>
    <w:rsid w:val="00177905"/>
    <w:rsid w:val="00177907"/>
    <w:rsid w:val="00177B2D"/>
    <w:rsid w:val="0018291A"/>
    <w:rsid w:val="00184C71"/>
    <w:rsid w:val="001856E9"/>
    <w:rsid w:val="0018619C"/>
    <w:rsid w:val="00192297"/>
    <w:rsid w:val="00192645"/>
    <w:rsid w:val="0019633E"/>
    <w:rsid w:val="00197184"/>
    <w:rsid w:val="001A037F"/>
    <w:rsid w:val="001A0A40"/>
    <w:rsid w:val="001A3167"/>
    <w:rsid w:val="001A523A"/>
    <w:rsid w:val="001B041A"/>
    <w:rsid w:val="001B062A"/>
    <w:rsid w:val="001B1E47"/>
    <w:rsid w:val="001B2896"/>
    <w:rsid w:val="001B411D"/>
    <w:rsid w:val="001B4567"/>
    <w:rsid w:val="001B54D0"/>
    <w:rsid w:val="001B7345"/>
    <w:rsid w:val="001B7A50"/>
    <w:rsid w:val="001C09E4"/>
    <w:rsid w:val="001C0C62"/>
    <w:rsid w:val="001C153B"/>
    <w:rsid w:val="001C2B38"/>
    <w:rsid w:val="001C4624"/>
    <w:rsid w:val="001C4939"/>
    <w:rsid w:val="001C779F"/>
    <w:rsid w:val="001C7EE8"/>
    <w:rsid w:val="001D1324"/>
    <w:rsid w:val="001D221A"/>
    <w:rsid w:val="001D683A"/>
    <w:rsid w:val="001E0677"/>
    <w:rsid w:val="001E1640"/>
    <w:rsid w:val="001E1A60"/>
    <w:rsid w:val="001E2C8A"/>
    <w:rsid w:val="001E3BD2"/>
    <w:rsid w:val="001E4FC8"/>
    <w:rsid w:val="001E59BF"/>
    <w:rsid w:val="001E6617"/>
    <w:rsid w:val="001F0DD1"/>
    <w:rsid w:val="001F0F1C"/>
    <w:rsid w:val="001F10B1"/>
    <w:rsid w:val="001F21D3"/>
    <w:rsid w:val="001F2E52"/>
    <w:rsid w:val="001F2FC3"/>
    <w:rsid w:val="001F395A"/>
    <w:rsid w:val="001F5436"/>
    <w:rsid w:val="001F6782"/>
    <w:rsid w:val="001F79EF"/>
    <w:rsid w:val="002003B5"/>
    <w:rsid w:val="00201935"/>
    <w:rsid w:val="00202F81"/>
    <w:rsid w:val="00204A2F"/>
    <w:rsid w:val="00205664"/>
    <w:rsid w:val="0020566A"/>
    <w:rsid w:val="00206BB2"/>
    <w:rsid w:val="00207B62"/>
    <w:rsid w:val="002106D6"/>
    <w:rsid w:val="00210B81"/>
    <w:rsid w:val="00210D62"/>
    <w:rsid w:val="002156CC"/>
    <w:rsid w:val="0021636D"/>
    <w:rsid w:val="00217FA4"/>
    <w:rsid w:val="00217FC6"/>
    <w:rsid w:val="00220DDA"/>
    <w:rsid w:val="0022156E"/>
    <w:rsid w:val="00222C0D"/>
    <w:rsid w:val="0022306D"/>
    <w:rsid w:val="00223B54"/>
    <w:rsid w:val="0022401F"/>
    <w:rsid w:val="00224043"/>
    <w:rsid w:val="00224A92"/>
    <w:rsid w:val="002250B6"/>
    <w:rsid w:val="00231113"/>
    <w:rsid w:val="00231226"/>
    <w:rsid w:val="002313A1"/>
    <w:rsid w:val="002323B4"/>
    <w:rsid w:val="00232BE4"/>
    <w:rsid w:val="00233D11"/>
    <w:rsid w:val="00234896"/>
    <w:rsid w:val="002358DC"/>
    <w:rsid w:val="002358E0"/>
    <w:rsid w:val="0023699D"/>
    <w:rsid w:val="00240923"/>
    <w:rsid w:val="00241DCA"/>
    <w:rsid w:val="00242B65"/>
    <w:rsid w:val="00242DAE"/>
    <w:rsid w:val="00245E6F"/>
    <w:rsid w:val="002461AC"/>
    <w:rsid w:val="00250606"/>
    <w:rsid w:val="0025244C"/>
    <w:rsid w:val="00252689"/>
    <w:rsid w:val="002531FE"/>
    <w:rsid w:val="00253284"/>
    <w:rsid w:val="002541F9"/>
    <w:rsid w:val="00254AB8"/>
    <w:rsid w:val="00255992"/>
    <w:rsid w:val="00255DB2"/>
    <w:rsid w:val="00257051"/>
    <w:rsid w:val="00260C6C"/>
    <w:rsid w:val="0026135A"/>
    <w:rsid w:val="0026169D"/>
    <w:rsid w:val="00263856"/>
    <w:rsid w:val="00266508"/>
    <w:rsid w:val="00270403"/>
    <w:rsid w:val="00270752"/>
    <w:rsid w:val="0027085A"/>
    <w:rsid w:val="00271A4F"/>
    <w:rsid w:val="0027289B"/>
    <w:rsid w:val="0027376F"/>
    <w:rsid w:val="002744DF"/>
    <w:rsid w:val="0027520F"/>
    <w:rsid w:val="0027610A"/>
    <w:rsid w:val="0028107B"/>
    <w:rsid w:val="0028177C"/>
    <w:rsid w:val="00281E07"/>
    <w:rsid w:val="0028394F"/>
    <w:rsid w:val="00284465"/>
    <w:rsid w:val="002846CF"/>
    <w:rsid w:val="00284CA8"/>
    <w:rsid w:val="00285C26"/>
    <w:rsid w:val="002864F4"/>
    <w:rsid w:val="00286A0E"/>
    <w:rsid w:val="00287A74"/>
    <w:rsid w:val="00291FE4"/>
    <w:rsid w:val="00292F57"/>
    <w:rsid w:val="00294E7A"/>
    <w:rsid w:val="002953E6"/>
    <w:rsid w:val="0029591B"/>
    <w:rsid w:val="002966FF"/>
    <w:rsid w:val="002A2806"/>
    <w:rsid w:val="002A2D5B"/>
    <w:rsid w:val="002A34AF"/>
    <w:rsid w:val="002A36A3"/>
    <w:rsid w:val="002A5C27"/>
    <w:rsid w:val="002A69BD"/>
    <w:rsid w:val="002B0C49"/>
    <w:rsid w:val="002B0DDA"/>
    <w:rsid w:val="002B1461"/>
    <w:rsid w:val="002B44D5"/>
    <w:rsid w:val="002B455A"/>
    <w:rsid w:val="002B5858"/>
    <w:rsid w:val="002B5C8F"/>
    <w:rsid w:val="002B6734"/>
    <w:rsid w:val="002B7065"/>
    <w:rsid w:val="002B70FA"/>
    <w:rsid w:val="002C0212"/>
    <w:rsid w:val="002C064C"/>
    <w:rsid w:val="002C1766"/>
    <w:rsid w:val="002C2738"/>
    <w:rsid w:val="002C356B"/>
    <w:rsid w:val="002C35DB"/>
    <w:rsid w:val="002C3839"/>
    <w:rsid w:val="002C4475"/>
    <w:rsid w:val="002C4F4E"/>
    <w:rsid w:val="002C5077"/>
    <w:rsid w:val="002C5F69"/>
    <w:rsid w:val="002C6351"/>
    <w:rsid w:val="002C734E"/>
    <w:rsid w:val="002D04A2"/>
    <w:rsid w:val="002D1D33"/>
    <w:rsid w:val="002D1DC0"/>
    <w:rsid w:val="002D238B"/>
    <w:rsid w:val="002D4601"/>
    <w:rsid w:val="002D525D"/>
    <w:rsid w:val="002D59A2"/>
    <w:rsid w:val="002D5CBE"/>
    <w:rsid w:val="002D6B47"/>
    <w:rsid w:val="002D6E54"/>
    <w:rsid w:val="002D743E"/>
    <w:rsid w:val="002E0B9E"/>
    <w:rsid w:val="002E34B9"/>
    <w:rsid w:val="002E3B2C"/>
    <w:rsid w:val="002E4037"/>
    <w:rsid w:val="002F0AC4"/>
    <w:rsid w:val="002F2372"/>
    <w:rsid w:val="002F247C"/>
    <w:rsid w:val="002F473D"/>
    <w:rsid w:val="002F47A5"/>
    <w:rsid w:val="002F5032"/>
    <w:rsid w:val="002F5A9B"/>
    <w:rsid w:val="002F6C83"/>
    <w:rsid w:val="00300036"/>
    <w:rsid w:val="00300601"/>
    <w:rsid w:val="00300728"/>
    <w:rsid w:val="00301821"/>
    <w:rsid w:val="003039EE"/>
    <w:rsid w:val="003043AE"/>
    <w:rsid w:val="00305387"/>
    <w:rsid w:val="00307873"/>
    <w:rsid w:val="00312D08"/>
    <w:rsid w:val="003144AC"/>
    <w:rsid w:val="00314A34"/>
    <w:rsid w:val="00314A6A"/>
    <w:rsid w:val="0031575D"/>
    <w:rsid w:val="0031652D"/>
    <w:rsid w:val="003166EF"/>
    <w:rsid w:val="00316E5F"/>
    <w:rsid w:val="00317A33"/>
    <w:rsid w:val="00317AEB"/>
    <w:rsid w:val="00317BC8"/>
    <w:rsid w:val="00320047"/>
    <w:rsid w:val="003208C9"/>
    <w:rsid w:val="00321657"/>
    <w:rsid w:val="003218BC"/>
    <w:rsid w:val="00321AF9"/>
    <w:rsid w:val="00321BB4"/>
    <w:rsid w:val="00322968"/>
    <w:rsid w:val="0032403A"/>
    <w:rsid w:val="00324381"/>
    <w:rsid w:val="00324C4A"/>
    <w:rsid w:val="003251F1"/>
    <w:rsid w:val="00325DE3"/>
    <w:rsid w:val="00325FF7"/>
    <w:rsid w:val="0032669D"/>
    <w:rsid w:val="003300B8"/>
    <w:rsid w:val="00330B00"/>
    <w:rsid w:val="00330DE9"/>
    <w:rsid w:val="00331CCB"/>
    <w:rsid w:val="00332193"/>
    <w:rsid w:val="00335477"/>
    <w:rsid w:val="00336A31"/>
    <w:rsid w:val="00340207"/>
    <w:rsid w:val="00341C6E"/>
    <w:rsid w:val="00342C31"/>
    <w:rsid w:val="0034382F"/>
    <w:rsid w:val="00343C9D"/>
    <w:rsid w:val="00344834"/>
    <w:rsid w:val="003451F3"/>
    <w:rsid w:val="0034565E"/>
    <w:rsid w:val="00345926"/>
    <w:rsid w:val="003507A9"/>
    <w:rsid w:val="00350B02"/>
    <w:rsid w:val="003528BF"/>
    <w:rsid w:val="00352EB5"/>
    <w:rsid w:val="003552C5"/>
    <w:rsid w:val="00355412"/>
    <w:rsid w:val="00355694"/>
    <w:rsid w:val="003579E2"/>
    <w:rsid w:val="00357DF9"/>
    <w:rsid w:val="0036062F"/>
    <w:rsid w:val="003609B4"/>
    <w:rsid w:val="00360B16"/>
    <w:rsid w:val="00360E74"/>
    <w:rsid w:val="00361C2D"/>
    <w:rsid w:val="003621BA"/>
    <w:rsid w:val="00363C08"/>
    <w:rsid w:val="00363CAA"/>
    <w:rsid w:val="00364502"/>
    <w:rsid w:val="003663DB"/>
    <w:rsid w:val="00367ACD"/>
    <w:rsid w:val="003706FF"/>
    <w:rsid w:val="00372048"/>
    <w:rsid w:val="00372C1F"/>
    <w:rsid w:val="003733DF"/>
    <w:rsid w:val="003756E2"/>
    <w:rsid w:val="003760EE"/>
    <w:rsid w:val="0038021F"/>
    <w:rsid w:val="0038030D"/>
    <w:rsid w:val="00380637"/>
    <w:rsid w:val="00381372"/>
    <w:rsid w:val="003826E2"/>
    <w:rsid w:val="00382C0E"/>
    <w:rsid w:val="00382C24"/>
    <w:rsid w:val="00384321"/>
    <w:rsid w:val="00386547"/>
    <w:rsid w:val="003870B7"/>
    <w:rsid w:val="00387A78"/>
    <w:rsid w:val="00393E4F"/>
    <w:rsid w:val="003955CD"/>
    <w:rsid w:val="00396A64"/>
    <w:rsid w:val="00397972"/>
    <w:rsid w:val="00397A15"/>
    <w:rsid w:val="00397DE4"/>
    <w:rsid w:val="003A07E5"/>
    <w:rsid w:val="003A1DF9"/>
    <w:rsid w:val="003A3621"/>
    <w:rsid w:val="003A3F02"/>
    <w:rsid w:val="003A412B"/>
    <w:rsid w:val="003A571C"/>
    <w:rsid w:val="003A6579"/>
    <w:rsid w:val="003A6DCC"/>
    <w:rsid w:val="003A6E53"/>
    <w:rsid w:val="003B104D"/>
    <w:rsid w:val="003B1D73"/>
    <w:rsid w:val="003B34CA"/>
    <w:rsid w:val="003B36BC"/>
    <w:rsid w:val="003B3ED7"/>
    <w:rsid w:val="003B5E6F"/>
    <w:rsid w:val="003B675F"/>
    <w:rsid w:val="003B7316"/>
    <w:rsid w:val="003B76C2"/>
    <w:rsid w:val="003C116E"/>
    <w:rsid w:val="003C279B"/>
    <w:rsid w:val="003C4C73"/>
    <w:rsid w:val="003C6F7C"/>
    <w:rsid w:val="003C76D8"/>
    <w:rsid w:val="003C7707"/>
    <w:rsid w:val="003D245A"/>
    <w:rsid w:val="003D29A8"/>
    <w:rsid w:val="003D42A8"/>
    <w:rsid w:val="003D4C2B"/>
    <w:rsid w:val="003D52A0"/>
    <w:rsid w:val="003E1410"/>
    <w:rsid w:val="003E1757"/>
    <w:rsid w:val="003E3428"/>
    <w:rsid w:val="003E6B09"/>
    <w:rsid w:val="003E6EDD"/>
    <w:rsid w:val="003E7081"/>
    <w:rsid w:val="003E762A"/>
    <w:rsid w:val="003F1DEF"/>
    <w:rsid w:val="003F25BA"/>
    <w:rsid w:val="003F2B59"/>
    <w:rsid w:val="003F31DD"/>
    <w:rsid w:val="003F3595"/>
    <w:rsid w:val="003F35A9"/>
    <w:rsid w:val="003F3DF5"/>
    <w:rsid w:val="003F64A9"/>
    <w:rsid w:val="003F72C9"/>
    <w:rsid w:val="003F789A"/>
    <w:rsid w:val="003F78F3"/>
    <w:rsid w:val="003F7B74"/>
    <w:rsid w:val="00400876"/>
    <w:rsid w:val="00401AFA"/>
    <w:rsid w:val="00401D37"/>
    <w:rsid w:val="00402A3D"/>
    <w:rsid w:val="0040357C"/>
    <w:rsid w:val="00403C4B"/>
    <w:rsid w:val="00405B1C"/>
    <w:rsid w:val="00405BC1"/>
    <w:rsid w:val="00405CB1"/>
    <w:rsid w:val="00406619"/>
    <w:rsid w:val="00406A00"/>
    <w:rsid w:val="0040705F"/>
    <w:rsid w:val="00407CDD"/>
    <w:rsid w:val="00410D4A"/>
    <w:rsid w:val="00413305"/>
    <w:rsid w:val="004139B7"/>
    <w:rsid w:val="0041535E"/>
    <w:rsid w:val="00416BA9"/>
    <w:rsid w:val="00417712"/>
    <w:rsid w:val="00417E85"/>
    <w:rsid w:val="004208EE"/>
    <w:rsid w:val="0042243E"/>
    <w:rsid w:val="00423718"/>
    <w:rsid w:val="00424B3A"/>
    <w:rsid w:val="0042544D"/>
    <w:rsid w:val="004254FF"/>
    <w:rsid w:val="00425594"/>
    <w:rsid w:val="00427176"/>
    <w:rsid w:val="004275DF"/>
    <w:rsid w:val="00427C09"/>
    <w:rsid w:val="004312D0"/>
    <w:rsid w:val="004316D7"/>
    <w:rsid w:val="00431C31"/>
    <w:rsid w:val="0043235D"/>
    <w:rsid w:val="0043282C"/>
    <w:rsid w:val="004345A8"/>
    <w:rsid w:val="0043532F"/>
    <w:rsid w:val="00435BEA"/>
    <w:rsid w:val="00435E90"/>
    <w:rsid w:val="00436325"/>
    <w:rsid w:val="00436A56"/>
    <w:rsid w:val="004377D7"/>
    <w:rsid w:val="00437C57"/>
    <w:rsid w:val="004405E4"/>
    <w:rsid w:val="00441463"/>
    <w:rsid w:val="00441CFD"/>
    <w:rsid w:val="00442CB9"/>
    <w:rsid w:val="004437CF"/>
    <w:rsid w:val="0044658C"/>
    <w:rsid w:val="00447F32"/>
    <w:rsid w:val="00450156"/>
    <w:rsid w:val="00450275"/>
    <w:rsid w:val="0045116C"/>
    <w:rsid w:val="004513C1"/>
    <w:rsid w:val="004529F9"/>
    <w:rsid w:val="00453612"/>
    <w:rsid w:val="004537B1"/>
    <w:rsid w:val="004540DE"/>
    <w:rsid w:val="0045450F"/>
    <w:rsid w:val="00455859"/>
    <w:rsid w:val="00460896"/>
    <w:rsid w:val="00460E37"/>
    <w:rsid w:val="00460EEE"/>
    <w:rsid w:val="0046117B"/>
    <w:rsid w:val="00461E53"/>
    <w:rsid w:val="004629D9"/>
    <w:rsid w:val="00462ACD"/>
    <w:rsid w:val="00462B6E"/>
    <w:rsid w:val="00462DE2"/>
    <w:rsid w:val="00463D46"/>
    <w:rsid w:val="00465A99"/>
    <w:rsid w:val="0046659A"/>
    <w:rsid w:val="00467604"/>
    <w:rsid w:val="00471595"/>
    <w:rsid w:val="00471A32"/>
    <w:rsid w:val="0047200D"/>
    <w:rsid w:val="004727C1"/>
    <w:rsid w:val="004749EE"/>
    <w:rsid w:val="00474AB2"/>
    <w:rsid w:val="004753EF"/>
    <w:rsid w:val="004754F2"/>
    <w:rsid w:val="00475B76"/>
    <w:rsid w:val="00475D80"/>
    <w:rsid w:val="00476183"/>
    <w:rsid w:val="00477579"/>
    <w:rsid w:val="00477A60"/>
    <w:rsid w:val="00481128"/>
    <w:rsid w:val="00481F6C"/>
    <w:rsid w:val="004828D3"/>
    <w:rsid w:val="00483893"/>
    <w:rsid w:val="004847A7"/>
    <w:rsid w:val="00484A58"/>
    <w:rsid w:val="00486AF2"/>
    <w:rsid w:val="004879D6"/>
    <w:rsid w:val="00487A36"/>
    <w:rsid w:val="00492096"/>
    <w:rsid w:val="00492305"/>
    <w:rsid w:val="00492500"/>
    <w:rsid w:val="00492FC8"/>
    <w:rsid w:val="0049363A"/>
    <w:rsid w:val="00493B55"/>
    <w:rsid w:val="00496C48"/>
    <w:rsid w:val="004A0CE5"/>
    <w:rsid w:val="004A0E95"/>
    <w:rsid w:val="004A1979"/>
    <w:rsid w:val="004A1A63"/>
    <w:rsid w:val="004A2498"/>
    <w:rsid w:val="004A2953"/>
    <w:rsid w:val="004A298C"/>
    <w:rsid w:val="004A3198"/>
    <w:rsid w:val="004A3C9C"/>
    <w:rsid w:val="004A44EB"/>
    <w:rsid w:val="004A5572"/>
    <w:rsid w:val="004A6162"/>
    <w:rsid w:val="004A65A3"/>
    <w:rsid w:val="004A6AF5"/>
    <w:rsid w:val="004A7BA7"/>
    <w:rsid w:val="004B2F2B"/>
    <w:rsid w:val="004B3C3F"/>
    <w:rsid w:val="004B3F5C"/>
    <w:rsid w:val="004B415F"/>
    <w:rsid w:val="004B5965"/>
    <w:rsid w:val="004B61A5"/>
    <w:rsid w:val="004B627C"/>
    <w:rsid w:val="004B701E"/>
    <w:rsid w:val="004B7D5A"/>
    <w:rsid w:val="004C0EE4"/>
    <w:rsid w:val="004C2034"/>
    <w:rsid w:val="004C24BE"/>
    <w:rsid w:val="004C2EB9"/>
    <w:rsid w:val="004C32D3"/>
    <w:rsid w:val="004C4752"/>
    <w:rsid w:val="004C5A7A"/>
    <w:rsid w:val="004C7A46"/>
    <w:rsid w:val="004D1064"/>
    <w:rsid w:val="004D17CF"/>
    <w:rsid w:val="004D30E0"/>
    <w:rsid w:val="004D37DC"/>
    <w:rsid w:val="004D4077"/>
    <w:rsid w:val="004D5504"/>
    <w:rsid w:val="004D7C9B"/>
    <w:rsid w:val="004E039E"/>
    <w:rsid w:val="004E10B5"/>
    <w:rsid w:val="004E2EE5"/>
    <w:rsid w:val="004E3F37"/>
    <w:rsid w:val="004E75FF"/>
    <w:rsid w:val="004E7B10"/>
    <w:rsid w:val="004F0A34"/>
    <w:rsid w:val="004F0D4F"/>
    <w:rsid w:val="004F1124"/>
    <w:rsid w:val="004F11ED"/>
    <w:rsid w:val="004F5716"/>
    <w:rsid w:val="004F5B29"/>
    <w:rsid w:val="004F7B06"/>
    <w:rsid w:val="004F7C82"/>
    <w:rsid w:val="00500207"/>
    <w:rsid w:val="00500B06"/>
    <w:rsid w:val="0050265B"/>
    <w:rsid w:val="00503409"/>
    <w:rsid w:val="00507431"/>
    <w:rsid w:val="0050748B"/>
    <w:rsid w:val="00507804"/>
    <w:rsid w:val="005116AA"/>
    <w:rsid w:val="00511BDC"/>
    <w:rsid w:val="00511CA1"/>
    <w:rsid w:val="005122D1"/>
    <w:rsid w:val="0051236D"/>
    <w:rsid w:val="00512EE0"/>
    <w:rsid w:val="00513F59"/>
    <w:rsid w:val="0051515F"/>
    <w:rsid w:val="00516E8E"/>
    <w:rsid w:val="00520133"/>
    <w:rsid w:val="00521F81"/>
    <w:rsid w:val="00521FB5"/>
    <w:rsid w:val="0052239E"/>
    <w:rsid w:val="00522891"/>
    <w:rsid w:val="00522B7C"/>
    <w:rsid w:val="00523EA0"/>
    <w:rsid w:val="0052581D"/>
    <w:rsid w:val="00526F3F"/>
    <w:rsid w:val="00526F91"/>
    <w:rsid w:val="005304CA"/>
    <w:rsid w:val="00531DEB"/>
    <w:rsid w:val="00534A97"/>
    <w:rsid w:val="005375A1"/>
    <w:rsid w:val="005379ED"/>
    <w:rsid w:val="00540641"/>
    <w:rsid w:val="0054092F"/>
    <w:rsid w:val="00543CF0"/>
    <w:rsid w:val="005449FB"/>
    <w:rsid w:val="00544B4D"/>
    <w:rsid w:val="00545CF3"/>
    <w:rsid w:val="00546BDD"/>
    <w:rsid w:val="00547F27"/>
    <w:rsid w:val="0055035F"/>
    <w:rsid w:val="0055055F"/>
    <w:rsid w:val="00550ADC"/>
    <w:rsid w:val="00551033"/>
    <w:rsid w:val="00551280"/>
    <w:rsid w:val="005516CC"/>
    <w:rsid w:val="00551A10"/>
    <w:rsid w:val="00552B7E"/>
    <w:rsid w:val="005535D7"/>
    <w:rsid w:val="005537A7"/>
    <w:rsid w:val="00553BBE"/>
    <w:rsid w:val="00555940"/>
    <w:rsid w:val="00555C67"/>
    <w:rsid w:val="005573BF"/>
    <w:rsid w:val="00557B4A"/>
    <w:rsid w:val="00557F98"/>
    <w:rsid w:val="0056026D"/>
    <w:rsid w:val="00561A45"/>
    <w:rsid w:val="00562B01"/>
    <w:rsid w:val="00563C05"/>
    <w:rsid w:val="00564CCB"/>
    <w:rsid w:val="00565F59"/>
    <w:rsid w:val="00566524"/>
    <w:rsid w:val="00570999"/>
    <w:rsid w:val="00571A95"/>
    <w:rsid w:val="00572409"/>
    <w:rsid w:val="00572A87"/>
    <w:rsid w:val="00573E98"/>
    <w:rsid w:val="00574773"/>
    <w:rsid w:val="0057547E"/>
    <w:rsid w:val="00575602"/>
    <w:rsid w:val="00575C0B"/>
    <w:rsid w:val="00576131"/>
    <w:rsid w:val="005765C0"/>
    <w:rsid w:val="00580085"/>
    <w:rsid w:val="00581335"/>
    <w:rsid w:val="00585D79"/>
    <w:rsid w:val="00586A55"/>
    <w:rsid w:val="00587498"/>
    <w:rsid w:val="00590854"/>
    <w:rsid w:val="00590E8A"/>
    <w:rsid w:val="00592635"/>
    <w:rsid w:val="0059343F"/>
    <w:rsid w:val="00593DBF"/>
    <w:rsid w:val="00597DE2"/>
    <w:rsid w:val="005A0C2B"/>
    <w:rsid w:val="005A1131"/>
    <w:rsid w:val="005A16FD"/>
    <w:rsid w:val="005A2A61"/>
    <w:rsid w:val="005A3002"/>
    <w:rsid w:val="005A3ACE"/>
    <w:rsid w:val="005A49B7"/>
    <w:rsid w:val="005A649D"/>
    <w:rsid w:val="005B15AA"/>
    <w:rsid w:val="005B1685"/>
    <w:rsid w:val="005B1CB3"/>
    <w:rsid w:val="005B1FB5"/>
    <w:rsid w:val="005B5AB1"/>
    <w:rsid w:val="005B69E5"/>
    <w:rsid w:val="005B6C29"/>
    <w:rsid w:val="005B719F"/>
    <w:rsid w:val="005C3056"/>
    <w:rsid w:val="005C3BBB"/>
    <w:rsid w:val="005C3D4C"/>
    <w:rsid w:val="005C4508"/>
    <w:rsid w:val="005C4BFF"/>
    <w:rsid w:val="005C5571"/>
    <w:rsid w:val="005C6BA0"/>
    <w:rsid w:val="005C6E9C"/>
    <w:rsid w:val="005D20BF"/>
    <w:rsid w:val="005D3A21"/>
    <w:rsid w:val="005D3ABD"/>
    <w:rsid w:val="005D3FBA"/>
    <w:rsid w:val="005D4ACA"/>
    <w:rsid w:val="005D75B4"/>
    <w:rsid w:val="005E029C"/>
    <w:rsid w:val="005E59BA"/>
    <w:rsid w:val="005E710D"/>
    <w:rsid w:val="005F0B41"/>
    <w:rsid w:val="005F14EF"/>
    <w:rsid w:val="005F1570"/>
    <w:rsid w:val="005F25BA"/>
    <w:rsid w:val="005F3CB8"/>
    <w:rsid w:val="005F41CF"/>
    <w:rsid w:val="005F5E87"/>
    <w:rsid w:val="005F6556"/>
    <w:rsid w:val="005F676C"/>
    <w:rsid w:val="005F6FC7"/>
    <w:rsid w:val="005F71DE"/>
    <w:rsid w:val="005F727B"/>
    <w:rsid w:val="00600C4D"/>
    <w:rsid w:val="006020ED"/>
    <w:rsid w:val="00602923"/>
    <w:rsid w:val="00603826"/>
    <w:rsid w:val="00604362"/>
    <w:rsid w:val="00605C1E"/>
    <w:rsid w:val="006109D2"/>
    <w:rsid w:val="00612411"/>
    <w:rsid w:val="006136DA"/>
    <w:rsid w:val="00613AC4"/>
    <w:rsid w:val="00613F51"/>
    <w:rsid w:val="0061653B"/>
    <w:rsid w:val="00621742"/>
    <w:rsid w:val="00621DB5"/>
    <w:rsid w:val="00621F79"/>
    <w:rsid w:val="0062248C"/>
    <w:rsid w:val="006227C6"/>
    <w:rsid w:val="00622A56"/>
    <w:rsid w:val="006231AB"/>
    <w:rsid w:val="00623318"/>
    <w:rsid w:val="0062442E"/>
    <w:rsid w:val="00625092"/>
    <w:rsid w:val="00626268"/>
    <w:rsid w:val="006267CC"/>
    <w:rsid w:val="00626D9E"/>
    <w:rsid w:val="00630D78"/>
    <w:rsid w:val="006332C9"/>
    <w:rsid w:val="006333DA"/>
    <w:rsid w:val="00635542"/>
    <w:rsid w:val="00635635"/>
    <w:rsid w:val="0063623A"/>
    <w:rsid w:val="0064080E"/>
    <w:rsid w:val="00640B16"/>
    <w:rsid w:val="00641507"/>
    <w:rsid w:val="00641AAA"/>
    <w:rsid w:val="00651814"/>
    <w:rsid w:val="00651C48"/>
    <w:rsid w:val="00652571"/>
    <w:rsid w:val="006527E5"/>
    <w:rsid w:val="00652853"/>
    <w:rsid w:val="006536AC"/>
    <w:rsid w:val="0065597A"/>
    <w:rsid w:val="00656DA6"/>
    <w:rsid w:val="00660B46"/>
    <w:rsid w:val="006616D8"/>
    <w:rsid w:val="00661C0C"/>
    <w:rsid w:val="006623E6"/>
    <w:rsid w:val="006626A3"/>
    <w:rsid w:val="006633DB"/>
    <w:rsid w:val="0066361A"/>
    <w:rsid w:val="00663FC1"/>
    <w:rsid w:val="00665427"/>
    <w:rsid w:val="00666592"/>
    <w:rsid w:val="00666A71"/>
    <w:rsid w:val="00666CEF"/>
    <w:rsid w:val="006678D8"/>
    <w:rsid w:val="00667FF1"/>
    <w:rsid w:val="006711E4"/>
    <w:rsid w:val="00671DB1"/>
    <w:rsid w:val="00673CE4"/>
    <w:rsid w:val="00675638"/>
    <w:rsid w:val="006757D7"/>
    <w:rsid w:val="00675D4B"/>
    <w:rsid w:val="00676F87"/>
    <w:rsid w:val="00677385"/>
    <w:rsid w:val="0068078F"/>
    <w:rsid w:val="00681984"/>
    <w:rsid w:val="00682385"/>
    <w:rsid w:val="00682458"/>
    <w:rsid w:val="006834A4"/>
    <w:rsid w:val="00683FF8"/>
    <w:rsid w:val="00684AE0"/>
    <w:rsid w:val="00684E52"/>
    <w:rsid w:val="00685C7D"/>
    <w:rsid w:val="00687647"/>
    <w:rsid w:val="00690C39"/>
    <w:rsid w:val="0069179E"/>
    <w:rsid w:val="00693BD2"/>
    <w:rsid w:val="00695BA9"/>
    <w:rsid w:val="0069614F"/>
    <w:rsid w:val="00696EC1"/>
    <w:rsid w:val="00697ADC"/>
    <w:rsid w:val="006A06A7"/>
    <w:rsid w:val="006A0A9D"/>
    <w:rsid w:val="006A1A19"/>
    <w:rsid w:val="006A1DAF"/>
    <w:rsid w:val="006A2711"/>
    <w:rsid w:val="006A46A6"/>
    <w:rsid w:val="006A620F"/>
    <w:rsid w:val="006A67FE"/>
    <w:rsid w:val="006A6BFF"/>
    <w:rsid w:val="006A78DB"/>
    <w:rsid w:val="006B13DF"/>
    <w:rsid w:val="006B170B"/>
    <w:rsid w:val="006B1DC4"/>
    <w:rsid w:val="006B1DEC"/>
    <w:rsid w:val="006B3F7F"/>
    <w:rsid w:val="006B41BF"/>
    <w:rsid w:val="006B5AE0"/>
    <w:rsid w:val="006B5E94"/>
    <w:rsid w:val="006B60CD"/>
    <w:rsid w:val="006B73F4"/>
    <w:rsid w:val="006B7690"/>
    <w:rsid w:val="006B7F74"/>
    <w:rsid w:val="006C08B4"/>
    <w:rsid w:val="006C1002"/>
    <w:rsid w:val="006C1117"/>
    <w:rsid w:val="006C189F"/>
    <w:rsid w:val="006C30E2"/>
    <w:rsid w:val="006C3112"/>
    <w:rsid w:val="006C4528"/>
    <w:rsid w:val="006C4FA1"/>
    <w:rsid w:val="006C6B3E"/>
    <w:rsid w:val="006D18BA"/>
    <w:rsid w:val="006D1A91"/>
    <w:rsid w:val="006D6ADC"/>
    <w:rsid w:val="006D73DF"/>
    <w:rsid w:val="006E1CC5"/>
    <w:rsid w:val="006E2262"/>
    <w:rsid w:val="006E2E23"/>
    <w:rsid w:val="006E30E0"/>
    <w:rsid w:val="006E3D4D"/>
    <w:rsid w:val="006F3D7B"/>
    <w:rsid w:val="006F3F6E"/>
    <w:rsid w:val="006F5668"/>
    <w:rsid w:val="006F5FD7"/>
    <w:rsid w:val="006F6F1D"/>
    <w:rsid w:val="006F72B7"/>
    <w:rsid w:val="006F7527"/>
    <w:rsid w:val="006F759F"/>
    <w:rsid w:val="006F7EED"/>
    <w:rsid w:val="00700B0A"/>
    <w:rsid w:val="00700C8C"/>
    <w:rsid w:val="00700E3F"/>
    <w:rsid w:val="00701E37"/>
    <w:rsid w:val="00704285"/>
    <w:rsid w:val="00706745"/>
    <w:rsid w:val="00707027"/>
    <w:rsid w:val="00710321"/>
    <w:rsid w:val="007107CF"/>
    <w:rsid w:val="007128BE"/>
    <w:rsid w:val="00712B0F"/>
    <w:rsid w:val="00714605"/>
    <w:rsid w:val="0071541B"/>
    <w:rsid w:val="007156BB"/>
    <w:rsid w:val="00716AE2"/>
    <w:rsid w:val="007173D2"/>
    <w:rsid w:val="007217B9"/>
    <w:rsid w:val="0072188B"/>
    <w:rsid w:val="00722143"/>
    <w:rsid w:val="00722619"/>
    <w:rsid w:val="0072297F"/>
    <w:rsid w:val="00722F40"/>
    <w:rsid w:val="00722F59"/>
    <w:rsid w:val="007234CD"/>
    <w:rsid w:val="00725587"/>
    <w:rsid w:val="00726989"/>
    <w:rsid w:val="00727145"/>
    <w:rsid w:val="0072787F"/>
    <w:rsid w:val="00727C61"/>
    <w:rsid w:val="00730A02"/>
    <w:rsid w:val="00732FED"/>
    <w:rsid w:val="00733717"/>
    <w:rsid w:val="00733FE5"/>
    <w:rsid w:val="007341DC"/>
    <w:rsid w:val="00735FF9"/>
    <w:rsid w:val="00736132"/>
    <w:rsid w:val="0073677C"/>
    <w:rsid w:val="00741BA5"/>
    <w:rsid w:val="007430C6"/>
    <w:rsid w:val="007443FA"/>
    <w:rsid w:val="00744B7E"/>
    <w:rsid w:val="007454E9"/>
    <w:rsid w:val="007459BD"/>
    <w:rsid w:val="007459EC"/>
    <w:rsid w:val="0074622D"/>
    <w:rsid w:val="00746747"/>
    <w:rsid w:val="00750800"/>
    <w:rsid w:val="0075258D"/>
    <w:rsid w:val="007545A6"/>
    <w:rsid w:val="00756460"/>
    <w:rsid w:val="007571D5"/>
    <w:rsid w:val="00760B2A"/>
    <w:rsid w:val="007613CD"/>
    <w:rsid w:val="007617A2"/>
    <w:rsid w:val="00764FC6"/>
    <w:rsid w:val="007656AB"/>
    <w:rsid w:val="0076767D"/>
    <w:rsid w:val="00767CC6"/>
    <w:rsid w:val="00771F50"/>
    <w:rsid w:val="007732DB"/>
    <w:rsid w:val="0077369A"/>
    <w:rsid w:val="00773893"/>
    <w:rsid w:val="00775749"/>
    <w:rsid w:val="00775E17"/>
    <w:rsid w:val="00776A36"/>
    <w:rsid w:val="007776D3"/>
    <w:rsid w:val="00777DAE"/>
    <w:rsid w:val="00781C17"/>
    <w:rsid w:val="007830B8"/>
    <w:rsid w:val="00783F13"/>
    <w:rsid w:val="00784875"/>
    <w:rsid w:val="00787D60"/>
    <w:rsid w:val="00787D70"/>
    <w:rsid w:val="00790F76"/>
    <w:rsid w:val="00791C57"/>
    <w:rsid w:val="00792062"/>
    <w:rsid w:val="00795406"/>
    <w:rsid w:val="00795A65"/>
    <w:rsid w:val="0079679E"/>
    <w:rsid w:val="00796D19"/>
    <w:rsid w:val="00796F03"/>
    <w:rsid w:val="0079761E"/>
    <w:rsid w:val="007A02C6"/>
    <w:rsid w:val="007A2794"/>
    <w:rsid w:val="007A2FB9"/>
    <w:rsid w:val="007A6259"/>
    <w:rsid w:val="007A6D2F"/>
    <w:rsid w:val="007A6F66"/>
    <w:rsid w:val="007A7B0E"/>
    <w:rsid w:val="007B021E"/>
    <w:rsid w:val="007B5023"/>
    <w:rsid w:val="007B5136"/>
    <w:rsid w:val="007B7127"/>
    <w:rsid w:val="007B7681"/>
    <w:rsid w:val="007C020F"/>
    <w:rsid w:val="007C0332"/>
    <w:rsid w:val="007C0630"/>
    <w:rsid w:val="007C089F"/>
    <w:rsid w:val="007C0D04"/>
    <w:rsid w:val="007C301D"/>
    <w:rsid w:val="007C3084"/>
    <w:rsid w:val="007C3CE7"/>
    <w:rsid w:val="007C4E22"/>
    <w:rsid w:val="007C50C6"/>
    <w:rsid w:val="007C546B"/>
    <w:rsid w:val="007C552A"/>
    <w:rsid w:val="007C6940"/>
    <w:rsid w:val="007C7A58"/>
    <w:rsid w:val="007C7C80"/>
    <w:rsid w:val="007D3DFA"/>
    <w:rsid w:val="007D4AB7"/>
    <w:rsid w:val="007D5157"/>
    <w:rsid w:val="007D5395"/>
    <w:rsid w:val="007D5EA9"/>
    <w:rsid w:val="007D5FC2"/>
    <w:rsid w:val="007D6EA6"/>
    <w:rsid w:val="007E0147"/>
    <w:rsid w:val="007E16B8"/>
    <w:rsid w:val="007E221B"/>
    <w:rsid w:val="007E35D9"/>
    <w:rsid w:val="007E6466"/>
    <w:rsid w:val="007E6814"/>
    <w:rsid w:val="007E683E"/>
    <w:rsid w:val="007F03E0"/>
    <w:rsid w:val="007F0D7F"/>
    <w:rsid w:val="007F144A"/>
    <w:rsid w:val="00802859"/>
    <w:rsid w:val="00803202"/>
    <w:rsid w:val="008063FC"/>
    <w:rsid w:val="008064F4"/>
    <w:rsid w:val="00807030"/>
    <w:rsid w:val="00811B56"/>
    <w:rsid w:val="008144BF"/>
    <w:rsid w:val="00815249"/>
    <w:rsid w:val="00817E5F"/>
    <w:rsid w:val="00820F10"/>
    <w:rsid w:val="00821A58"/>
    <w:rsid w:val="00822D9F"/>
    <w:rsid w:val="00823461"/>
    <w:rsid w:val="0082369C"/>
    <w:rsid w:val="0082604C"/>
    <w:rsid w:val="00826335"/>
    <w:rsid w:val="0083152F"/>
    <w:rsid w:val="008315AD"/>
    <w:rsid w:val="00831F1B"/>
    <w:rsid w:val="00832C5E"/>
    <w:rsid w:val="00833031"/>
    <w:rsid w:val="00833C35"/>
    <w:rsid w:val="00835439"/>
    <w:rsid w:val="00835FFB"/>
    <w:rsid w:val="008376C6"/>
    <w:rsid w:val="0083771F"/>
    <w:rsid w:val="00840D48"/>
    <w:rsid w:val="00840D95"/>
    <w:rsid w:val="00841890"/>
    <w:rsid w:val="00841E4A"/>
    <w:rsid w:val="00842FBF"/>
    <w:rsid w:val="008443DF"/>
    <w:rsid w:val="00844DEA"/>
    <w:rsid w:val="00845DF9"/>
    <w:rsid w:val="00846544"/>
    <w:rsid w:val="00847A9E"/>
    <w:rsid w:val="0085065D"/>
    <w:rsid w:val="008509F4"/>
    <w:rsid w:val="00853ABD"/>
    <w:rsid w:val="00854A64"/>
    <w:rsid w:val="00854BF7"/>
    <w:rsid w:val="00855B1C"/>
    <w:rsid w:val="00855C4D"/>
    <w:rsid w:val="00856572"/>
    <w:rsid w:val="00863527"/>
    <w:rsid w:val="00863693"/>
    <w:rsid w:val="008646FC"/>
    <w:rsid w:val="00864C6B"/>
    <w:rsid w:val="00865359"/>
    <w:rsid w:val="008657DF"/>
    <w:rsid w:val="00872B98"/>
    <w:rsid w:val="00873391"/>
    <w:rsid w:val="0087390E"/>
    <w:rsid w:val="00874545"/>
    <w:rsid w:val="008767FE"/>
    <w:rsid w:val="00877180"/>
    <w:rsid w:val="00880213"/>
    <w:rsid w:val="0088045E"/>
    <w:rsid w:val="008805F8"/>
    <w:rsid w:val="00880EB4"/>
    <w:rsid w:val="0088164F"/>
    <w:rsid w:val="0088206B"/>
    <w:rsid w:val="008824F5"/>
    <w:rsid w:val="00882F7E"/>
    <w:rsid w:val="00884E08"/>
    <w:rsid w:val="00884F11"/>
    <w:rsid w:val="00886B08"/>
    <w:rsid w:val="0088762E"/>
    <w:rsid w:val="00890F13"/>
    <w:rsid w:val="00891D03"/>
    <w:rsid w:val="00893D80"/>
    <w:rsid w:val="00893F32"/>
    <w:rsid w:val="008A01C5"/>
    <w:rsid w:val="008A2456"/>
    <w:rsid w:val="008B24AF"/>
    <w:rsid w:val="008B45E8"/>
    <w:rsid w:val="008B4731"/>
    <w:rsid w:val="008B5C26"/>
    <w:rsid w:val="008B68A6"/>
    <w:rsid w:val="008C1427"/>
    <w:rsid w:val="008C1C6D"/>
    <w:rsid w:val="008C46D8"/>
    <w:rsid w:val="008C538E"/>
    <w:rsid w:val="008C584E"/>
    <w:rsid w:val="008C595A"/>
    <w:rsid w:val="008C6307"/>
    <w:rsid w:val="008C75E9"/>
    <w:rsid w:val="008C7922"/>
    <w:rsid w:val="008D15A5"/>
    <w:rsid w:val="008D223B"/>
    <w:rsid w:val="008D2BB8"/>
    <w:rsid w:val="008D36AC"/>
    <w:rsid w:val="008D3897"/>
    <w:rsid w:val="008D39B1"/>
    <w:rsid w:val="008D5C35"/>
    <w:rsid w:val="008D707E"/>
    <w:rsid w:val="008E1F54"/>
    <w:rsid w:val="008E2513"/>
    <w:rsid w:val="008E2A38"/>
    <w:rsid w:val="008E5FCE"/>
    <w:rsid w:val="008E675A"/>
    <w:rsid w:val="008E6EC8"/>
    <w:rsid w:val="008E7305"/>
    <w:rsid w:val="008F0BE3"/>
    <w:rsid w:val="008F10A5"/>
    <w:rsid w:val="008F1133"/>
    <w:rsid w:val="008F190C"/>
    <w:rsid w:val="008F2267"/>
    <w:rsid w:val="008F2A05"/>
    <w:rsid w:val="008F34DB"/>
    <w:rsid w:val="008F35F8"/>
    <w:rsid w:val="008F7FF7"/>
    <w:rsid w:val="009002BC"/>
    <w:rsid w:val="0090233D"/>
    <w:rsid w:val="00902424"/>
    <w:rsid w:val="00902AAC"/>
    <w:rsid w:val="009061CA"/>
    <w:rsid w:val="0090675D"/>
    <w:rsid w:val="009068A0"/>
    <w:rsid w:val="00906ACE"/>
    <w:rsid w:val="009076A5"/>
    <w:rsid w:val="00910849"/>
    <w:rsid w:val="0091166F"/>
    <w:rsid w:val="00911D7B"/>
    <w:rsid w:val="00911DF8"/>
    <w:rsid w:val="00913BD9"/>
    <w:rsid w:val="00916ADE"/>
    <w:rsid w:val="00917E5D"/>
    <w:rsid w:val="00922138"/>
    <w:rsid w:val="00922497"/>
    <w:rsid w:val="009226AA"/>
    <w:rsid w:val="00925971"/>
    <w:rsid w:val="009277FA"/>
    <w:rsid w:val="00927866"/>
    <w:rsid w:val="00934129"/>
    <w:rsid w:val="00934CCD"/>
    <w:rsid w:val="009354AD"/>
    <w:rsid w:val="0093624F"/>
    <w:rsid w:val="0094198B"/>
    <w:rsid w:val="00941FEC"/>
    <w:rsid w:val="0094242A"/>
    <w:rsid w:val="00942EA9"/>
    <w:rsid w:val="00943817"/>
    <w:rsid w:val="0094394D"/>
    <w:rsid w:val="0094439B"/>
    <w:rsid w:val="009447E5"/>
    <w:rsid w:val="00945F9A"/>
    <w:rsid w:val="0094740C"/>
    <w:rsid w:val="00951C9E"/>
    <w:rsid w:val="00953B64"/>
    <w:rsid w:val="009548BD"/>
    <w:rsid w:val="00954B53"/>
    <w:rsid w:val="00955796"/>
    <w:rsid w:val="00956ADB"/>
    <w:rsid w:val="00956B66"/>
    <w:rsid w:val="00956BA3"/>
    <w:rsid w:val="009572F3"/>
    <w:rsid w:val="00960691"/>
    <w:rsid w:val="00960E67"/>
    <w:rsid w:val="00960EB3"/>
    <w:rsid w:val="00962A8B"/>
    <w:rsid w:val="00962BF3"/>
    <w:rsid w:val="00963BCA"/>
    <w:rsid w:val="009671E6"/>
    <w:rsid w:val="00971126"/>
    <w:rsid w:val="00971CB4"/>
    <w:rsid w:val="009730AE"/>
    <w:rsid w:val="009736A2"/>
    <w:rsid w:val="00974004"/>
    <w:rsid w:val="0097593A"/>
    <w:rsid w:val="00976276"/>
    <w:rsid w:val="00976893"/>
    <w:rsid w:val="00976E65"/>
    <w:rsid w:val="00980813"/>
    <w:rsid w:val="00980951"/>
    <w:rsid w:val="00980DF7"/>
    <w:rsid w:val="009811BF"/>
    <w:rsid w:val="0098388D"/>
    <w:rsid w:val="009843D7"/>
    <w:rsid w:val="00986760"/>
    <w:rsid w:val="00986828"/>
    <w:rsid w:val="00987319"/>
    <w:rsid w:val="0098764D"/>
    <w:rsid w:val="00987D14"/>
    <w:rsid w:val="00987ED1"/>
    <w:rsid w:val="00990287"/>
    <w:rsid w:val="0099159D"/>
    <w:rsid w:val="009944BE"/>
    <w:rsid w:val="009950EC"/>
    <w:rsid w:val="00995CF9"/>
    <w:rsid w:val="0099635C"/>
    <w:rsid w:val="00996EB0"/>
    <w:rsid w:val="009A00BB"/>
    <w:rsid w:val="009A15B4"/>
    <w:rsid w:val="009A1ED5"/>
    <w:rsid w:val="009A3E7E"/>
    <w:rsid w:val="009A41A7"/>
    <w:rsid w:val="009A5CFB"/>
    <w:rsid w:val="009B0151"/>
    <w:rsid w:val="009B11E3"/>
    <w:rsid w:val="009B2174"/>
    <w:rsid w:val="009B2F2B"/>
    <w:rsid w:val="009B38F6"/>
    <w:rsid w:val="009B42E7"/>
    <w:rsid w:val="009B4BEF"/>
    <w:rsid w:val="009B4D92"/>
    <w:rsid w:val="009B4F60"/>
    <w:rsid w:val="009B59C3"/>
    <w:rsid w:val="009B697E"/>
    <w:rsid w:val="009B7CF7"/>
    <w:rsid w:val="009C047A"/>
    <w:rsid w:val="009C0611"/>
    <w:rsid w:val="009C145D"/>
    <w:rsid w:val="009C2C4B"/>
    <w:rsid w:val="009C4F8D"/>
    <w:rsid w:val="009C5A20"/>
    <w:rsid w:val="009C6144"/>
    <w:rsid w:val="009C6422"/>
    <w:rsid w:val="009C66A5"/>
    <w:rsid w:val="009C7413"/>
    <w:rsid w:val="009C7AFC"/>
    <w:rsid w:val="009C7DE2"/>
    <w:rsid w:val="009D1FE2"/>
    <w:rsid w:val="009D26FD"/>
    <w:rsid w:val="009D3D20"/>
    <w:rsid w:val="009D3EB9"/>
    <w:rsid w:val="009D53D0"/>
    <w:rsid w:val="009D6726"/>
    <w:rsid w:val="009D6E86"/>
    <w:rsid w:val="009E1086"/>
    <w:rsid w:val="009E38B2"/>
    <w:rsid w:val="009E4B4C"/>
    <w:rsid w:val="009E5538"/>
    <w:rsid w:val="009E6C32"/>
    <w:rsid w:val="009F03AB"/>
    <w:rsid w:val="009F06DC"/>
    <w:rsid w:val="009F291A"/>
    <w:rsid w:val="009F31D3"/>
    <w:rsid w:val="009F381B"/>
    <w:rsid w:val="009F577E"/>
    <w:rsid w:val="009F611B"/>
    <w:rsid w:val="009F68CD"/>
    <w:rsid w:val="009F6A0D"/>
    <w:rsid w:val="00A000DC"/>
    <w:rsid w:val="00A01D52"/>
    <w:rsid w:val="00A032E3"/>
    <w:rsid w:val="00A07158"/>
    <w:rsid w:val="00A0735D"/>
    <w:rsid w:val="00A10237"/>
    <w:rsid w:val="00A105B4"/>
    <w:rsid w:val="00A1079E"/>
    <w:rsid w:val="00A10DCE"/>
    <w:rsid w:val="00A1231A"/>
    <w:rsid w:val="00A129AB"/>
    <w:rsid w:val="00A138BF"/>
    <w:rsid w:val="00A14C64"/>
    <w:rsid w:val="00A15011"/>
    <w:rsid w:val="00A167C3"/>
    <w:rsid w:val="00A2023D"/>
    <w:rsid w:val="00A2135C"/>
    <w:rsid w:val="00A215C3"/>
    <w:rsid w:val="00A244D0"/>
    <w:rsid w:val="00A24608"/>
    <w:rsid w:val="00A25236"/>
    <w:rsid w:val="00A25C8A"/>
    <w:rsid w:val="00A2609A"/>
    <w:rsid w:val="00A27BBE"/>
    <w:rsid w:val="00A30AC9"/>
    <w:rsid w:val="00A30AFC"/>
    <w:rsid w:val="00A31A2A"/>
    <w:rsid w:val="00A334E1"/>
    <w:rsid w:val="00A33EC4"/>
    <w:rsid w:val="00A34AE0"/>
    <w:rsid w:val="00A34B0A"/>
    <w:rsid w:val="00A36985"/>
    <w:rsid w:val="00A37248"/>
    <w:rsid w:val="00A432F3"/>
    <w:rsid w:val="00A43963"/>
    <w:rsid w:val="00A441BF"/>
    <w:rsid w:val="00A45C2B"/>
    <w:rsid w:val="00A461EC"/>
    <w:rsid w:val="00A50081"/>
    <w:rsid w:val="00A5107C"/>
    <w:rsid w:val="00A511FD"/>
    <w:rsid w:val="00A518DD"/>
    <w:rsid w:val="00A53B8B"/>
    <w:rsid w:val="00A546D1"/>
    <w:rsid w:val="00A54C38"/>
    <w:rsid w:val="00A55053"/>
    <w:rsid w:val="00A552F0"/>
    <w:rsid w:val="00A55599"/>
    <w:rsid w:val="00A56D4C"/>
    <w:rsid w:val="00A5749C"/>
    <w:rsid w:val="00A575D3"/>
    <w:rsid w:val="00A6031F"/>
    <w:rsid w:val="00A6046E"/>
    <w:rsid w:val="00A6110F"/>
    <w:rsid w:val="00A618EB"/>
    <w:rsid w:val="00A623EC"/>
    <w:rsid w:val="00A63A31"/>
    <w:rsid w:val="00A661F9"/>
    <w:rsid w:val="00A67368"/>
    <w:rsid w:val="00A71ADB"/>
    <w:rsid w:val="00A71AF5"/>
    <w:rsid w:val="00A72883"/>
    <w:rsid w:val="00A7388E"/>
    <w:rsid w:val="00A73945"/>
    <w:rsid w:val="00A753A4"/>
    <w:rsid w:val="00A76666"/>
    <w:rsid w:val="00A76975"/>
    <w:rsid w:val="00A76B9F"/>
    <w:rsid w:val="00A777BD"/>
    <w:rsid w:val="00A80CE0"/>
    <w:rsid w:val="00A81458"/>
    <w:rsid w:val="00A8184D"/>
    <w:rsid w:val="00A836AE"/>
    <w:rsid w:val="00A838AB"/>
    <w:rsid w:val="00A83F4C"/>
    <w:rsid w:val="00A8523F"/>
    <w:rsid w:val="00A86996"/>
    <w:rsid w:val="00A86CEC"/>
    <w:rsid w:val="00A91157"/>
    <w:rsid w:val="00A916B0"/>
    <w:rsid w:val="00A92710"/>
    <w:rsid w:val="00A93731"/>
    <w:rsid w:val="00A93E9F"/>
    <w:rsid w:val="00A95C41"/>
    <w:rsid w:val="00A979ED"/>
    <w:rsid w:val="00AA1185"/>
    <w:rsid w:val="00AA14BA"/>
    <w:rsid w:val="00AA170A"/>
    <w:rsid w:val="00AA196B"/>
    <w:rsid w:val="00AA1C8A"/>
    <w:rsid w:val="00AA31B7"/>
    <w:rsid w:val="00AA36C2"/>
    <w:rsid w:val="00AA3839"/>
    <w:rsid w:val="00AA3AA0"/>
    <w:rsid w:val="00AA4DAC"/>
    <w:rsid w:val="00AA4FFB"/>
    <w:rsid w:val="00AA5F35"/>
    <w:rsid w:val="00AA7740"/>
    <w:rsid w:val="00AB0CAB"/>
    <w:rsid w:val="00AB2481"/>
    <w:rsid w:val="00AB371A"/>
    <w:rsid w:val="00AB38D5"/>
    <w:rsid w:val="00AB3F63"/>
    <w:rsid w:val="00AB47AA"/>
    <w:rsid w:val="00AB545A"/>
    <w:rsid w:val="00AB5F83"/>
    <w:rsid w:val="00AB64EC"/>
    <w:rsid w:val="00AB65BC"/>
    <w:rsid w:val="00AB70F9"/>
    <w:rsid w:val="00AB7DFE"/>
    <w:rsid w:val="00AC0E93"/>
    <w:rsid w:val="00AC179B"/>
    <w:rsid w:val="00AC1BB7"/>
    <w:rsid w:val="00AC3103"/>
    <w:rsid w:val="00AC31F8"/>
    <w:rsid w:val="00AC5AE2"/>
    <w:rsid w:val="00AC5FDD"/>
    <w:rsid w:val="00AC7478"/>
    <w:rsid w:val="00AC77AB"/>
    <w:rsid w:val="00AC7A9A"/>
    <w:rsid w:val="00AD0622"/>
    <w:rsid w:val="00AD0F7B"/>
    <w:rsid w:val="00AD2168"/>
    <w:rsid w:val="00AD22A3"/>
    <w:rsid w:val="00AD313B"/>
    <w:rsid w:val="00AD325F"/>
    <w:rsid w:val="00AD477E"/>
    <w:rsid w:val="00AD492D"/>
    <w:rsid w:val="00AD5291"/>
    <w:rsid w:val="00AE053C"/>
    <w:rsid w:val="00AE0B2D"/>
    <w:rsid w:val="00AE2913"/>
    <w:rsid w:val="00AE5045"/>
    <w:rsid w:val="00AE5820"/>
    <w:rsid w:val="00AF23A6"/>
    <w:rsid w:val="00AF63D3"/>
    <w:rsid w:val="00AF6488"/>
    <w:rsid w:val="00AF748D"/>
    <w:rsid w:val="00AF7FFA"/>
    <w:rsid w:val="00B03ABE"/>
    <w:rsid w:val="00B058EE"/>
    <w:rsid w:val="00B05E02"/>
    <w:rsid w:val="00B0702B"/>
    <w:rsid w:val="00B07320"/>
    <w:rsid w:val="00B10E3A"/>
    <w:rsid w:val="00B11EDD"/>
    <w:rsid w:val="00B133A6"/>
    <w:rsid w:val="00B1364F"/>
    <w:rsid w:val="00B138D7"/>
    <w:rsid w:val="00B15969"/>
    <w:rsid w:val="00B15DF6"/>
    <w:rsid w:val="00B16D50"/>
    <w:rsid w:val="00B2010E"/>
    <w:rsid w:val="00B2054E"/>
    <w:rsid w:val="00B20F7F"/>
    <w:rsid w:val="00B227A5"/>
    <w:rsid w:val="00B23BF9"/>
    <w:rsid w:val="00B2401E"/>
    <w:rsid w:val="00B2456D"/>
    <w:rsid w:val="00B26CB0"/>
    <w:rsid w:val="00B27B9A"/>
    <w:rsid w:val="00B314B3"/>
    <w:rsid w:val="00B33305"/>
    <w:rsid w:val="00B33C02"/>
    <w:rsid w:val="00B35E1B"/>
    <w:rsid w:val="00B36127"/>
    <w:rsid w:val="00B37594"/>
    <w:rsid w:val="00B37E7E"/>
    <w:rsid w:val="00B4179C"/>
    <w:rsid w:val="00B4182E"/>
    <w:rsid w:val="00B41FB4"/>
    <w:rsid w:val="00B4247F"/>
    <w:rsid w:val="00B439E9"/>
    <w:rsid w:val="00B43D73"/>
    <w:rsid w:val="00B44BA9"/>
    <w:rsid w:val="00B44F9C"/>
    <w:rsid w:val="00B45199"/>
    <w:rsid w:val="00B47D60"/>
    <w:rsid w:val="00B52554"/>
    <w:rsid w:val="00B53F8D"/>
    <w:rsid w:val="00B55A69"/>
    <w:rsid w:val="00B55BB3"/>
    <w:rsid w:val="00B57686"/>
    <w:rsid w:val="00B57DFC"/>
    <w:rsid w:val="00B60866"/>
    <w:rsid w:val="00B612A0"/>
    <w:rsid w:val="00B628F4"/>
    <w:rsid w:val="00B6378B"/>
    <w:rsid w:val="00B63C48"/>
    <w:rsid w:val="00B64133"/>
    <w:rsid w:val="00B65441"/>
    <w:rsid w:val="00B704C5"/>
    <w:rsid w:val="00B70F21"/>
    <w:rsid w:val="00B7119F"/>
    <w:rsid w:val="00B7295F"/>
    <w:rsid w:val="00B72E3C"/>
    <w:rsid w:val="00B737E8"/>
    <w:rsid w:val="00B7452E"/>
    <w:rsid w:val="00B750B9"/>
    <w:rsid w:val="00B815BA"/>
    <w:rsid w:val="00B82875"/>
    <w:rsid w:val="00B83BE3"/>
    <w:rsid w:val="00B8424E"/>
    <w:rsid w:val="00B8436C"/>
    <w:rsid w:val="00B84A55"/>
    <w:rsid w:val="00B853AC"/>
    <w:rsid w:val="00B85BB5"/>
    <w:rsid w:val="00B862F7"/>
    <w:rsid w:val="00B902EE"/>
    <w:rsid w:val="00B93573"/>
    <w:rsid w:val="00B9472E"/>
    <w:rsid w:val="00BA0959"/>
    <w:rsid w:val="00BA0B59"/>
    <w:rsid w:val="00BA10D9"/>
    <w:rsid w:val="00BA13FA"/>
    <w:rsid w:val="00BA461A"/>
    <w:rsid w:val="00BA5739"/>
    <w:rsid w:val="00BA5974"/>
    <w:rsid w:val="00BA71FA"/>
    <w:rsid w:val="00BA76A9"/>
    <w:rsid w:val="00BA7E92"/>
    <w:rsid w:val="00BB0ABB"/>
    <w:rsid w:val="00BB0B8A"/>
    <w:rsid w:val="00BB16E1"/>
    <w:rsid w:val="00BB2AD1"/>
    <w:rsid w:val="00BB47C8"/>
    <w:rsid w:val="00BB5087"/>
    <w:rsid w:val="00BB591E"/>
    <w:rsid w:val="00BC12B8"/>
    <w:rsid w:val="00BC162A"/>
    <w:rsid w:val="00BC32F5"/>
    <w:rsid w:val="00BC4978"/>
    <w:rsid w:val="00BC4A34"/>
    <w:rsid w:val="00BC5155"/>
    <w:rsid w:val="00BC555A"/>
    <w:rsid w:val="00BC5A0E"/>
    <w:rsid w:val="00BC671C"/>
    <w:rsid w:val="00BC67C2"/>
    <w:rsid w:val="00BC67F0"/>
    <w:rsid w:val="00BD1423"/>
    <w:rsid w:val="00BD33DD"/>
    <w:rsid w:val="00BD4869"/>
    <w:rsid w:val="00BD5A0A"/>
    <w:rsid w:val="00BD5DBC"/>
    <w:rsid w:val="00BE060E"/>
    <w:rsid w:val="00BE06D6"/>
    <w:rsid w:val="00BE2544"/>
    <w:rsid w:val="00BE3B69"/>
    <w:rsid w:val="00BE458F"/>
    <w:rsid w:val="00BE7C83"/>
    <w:rsid w:val="00BE7DEB"/>
    <w:rsid w:val="00BF1032"/>
    <w:rsid w:val="00BF128D"/>
    <w:rsid w:val="00BF12EF"/>
    <w:rsid w:val="00BF2137"/>
    <w:rsid w:val="00BF4019"/>
    <w:rsid w:val="00BF43B6"/>
    <w:rsid w:val="00BF4ACD"/>
    <w:rsid w:val="00BF5757"/>
    <w:rsid w:val="00C00D01"/>
    <w:rsid w:val="00C01278"/>
    <w:rsid w:val="00C02C8D"/>
    <w:rsid w:val="00C037EF"/>
    <w:rsid w:val="00C03A01"/>
    <w:rsid w:val="00C05BB5"/>
    <w:rsid w:val="00C05C1B"/>
    <w:rsid w:val="00C05E12"/>
    <w:rsid w:val="00C061DA"/>
    <w:rsid w:val="00C07093"/>
    <w:rsid w:val="00C1113A"/>
    <w:rsid w:val="00C115EB"/>
    <w:rsid w:val="00C11668"/>
    <w:rsid w:val="00C128F3"/>
    <w:rsid w:val="00C136AD"/>
    <w:rsid w:val="00C16709"/>
    <w:rsid w:val="00C1733D"/>
    <w:rsid w:val="00C2098C"/>
    <w:rsid w:val="00C21635"/>
    <w:rsid w:val="00C220F0"/>
    <w:rsid w:val="00C22596"/>
    <w:rsid w:val="00C22C79"/>
    <w:rsid w:val="00C22F0F"/>
    <w:rsid w:val="00C236D7"/>
    <w:rsid w:val="00C24457"/>
    <w:rsid w:val="00C24789"/>
    <w:rsid w:val="00C268E7"/>
    <w:rsid w:val="00C26C16"/>
    <w:rsid w:val="00C2739B"/>
    <w:rsid w:val="00C27FB7"/>
    <w:rsid w:val="00C30930"/>
    <w:rsid w:val="00C30AA4"/>
    <w:rsid w:val="00C30CCE"/>
    <w:rsid w:val="00C30D32"/>
    <w:rsid w:val="00C314C7"/>
    <w:rsid w:val="00C31ABE"/>
    <w:rsid w:val="00C32592"/>
    <w:rsid w:val="00C32689"/>
    <w:rsid w:val="00C3566F"/>
    <w:rsid w:val="00C35980"/>
    <w:rsid w:val="00C35BDA"/>
    <w:rsid w:val="00C35CD3"/>
    <w:rsid w:val="00C36B11"/>
    <w:rsid w:val="00C37EDC"/>
    <w:rsid w:val="00C40CFE"/>
    <w:rsid w:val="00C414B6"/>
    <w:rsid w:val="00C41ED9"/>
    <w:rsid w:val="00C474E0"/>
    <w:rsid w:val="00C479CE"/>
    <w:rsid w:val="00C50E76"/>
    <w:rsid w:val="00C51923"/>
    <w:rsid w:val="00C51BA4"/>
    <w:rsid w:val="00C51DF8"/>
    <w:rsid w:val="00C5323A"/>
    <w:rsid w:val="00C5645C"/>
    <w:rsid w:val="00C57374"/>
    <w:rsid w:val="00C57761"/>
    <w:rsid w:val="00C57FB9"/>
    <w:rsid w:val="00C60E30"/>
    <w:rsid w:val="00C63993"/>
    <w:rsid w:val="00C72057"/>
    <w:rsid w:val="00C7382D"/>
    <w:rsid w:val="00C73FC1"/>
    <w:rsid w:val="00C74E9F"/>
    <w:rsid w:val="00C75762"/>
    <w:rsid w:val="00C825D9"/>
    <w:rsid w:val="00C8297B"/>
    <w:rsid w:val="00C82B66"/>
    <w:rsid w:val="00C8313B"/>
    <w:rsid w:val="00C845EE"/>
    <w:rsid w:val="00C84715"/>
    <w:rsid w:val="00C84B08"/>
    <w:rsid w:val="00C86509"/>
    <w:rsid w:val="00C86939"/>
    <w:rsid w:val="00C87F52"/>
    <w:rsid w:val="00C87F77"/>
    <w:rsid w:val="00C92567"/>
    <w:rsid w:val="00C92631"/>
    <w:rsid w:val="00C92D05"/>
    <w:rsid w:val="00C9359E"/>
    <w:rsid w:val="00C946D8"/>
    <w:rsid w:val="00C9518D"/>
    <w:rsid w:val="00C958B8"/>
    <w:rsid w:val="00CA0567"/>
    <w:rsid w:val="00CA056D"/>
    <w:rsid w:val="00CA1C32"/>
    <w:rsid w:val="00CA2C5C"/>
    <w:rsid w:val="00CA2DA9"/>
    <w:rsid w:val="00CA4CD3"/>
    <w:rsid w:val="00CA6E7B"/>
    <w:rsid w:val="00CA72D3"/>
    <w:rsid w:val="00CB01F2"/>
    <w:rsid w:val="00CB09C4"/>
    <w:rsid w:val="00CB298E"/>
    <w:rsid w:val="00CB2EF1"/>
    <w:rsid w:val="00CB3A31"/>
    <w:rsid w:val="00CB3C5A"/>
    <w:rsid w:val="00CB3D22"/>
    <w:rsid w:val="00CB46CB"/>
    <w:rsid w:val="00CB5634"/>
    <w:rsid w:val="00CB7D88"/>
    <w:rsid w:val="00CC2E91"/>
    <w:rsid w:val="00CC3222"/>
    <w:rsid w:val="00CC324E"/>
    <w:rsid w:val="00CC3D75"/>
    <w:rsid w:val="00CC600F"/>
    <w:rsid w:val="00CC6A03"/>
    <w:rsid w:val="00CC6AE1"/>
    <w:rsid w:val="00CD04F7"/>
    <w:rsid w:val="00CD1179"/>
    <w:rsid w:val="00CD1204"/>
    <w:rsid w:val="00CD12FB"/>
    <w:rsid w:val="00CD22C0"/>
    <w:rsid w:val="00CD280D"/>
    <w:rsid w:val="00CD32B7"/>
    <w:rsid w:val="00CD41B5"/>
    <w:rsid w:val="00CD624F"/>
    <w:rsid w:val="00CD682B"/>
    <w:rsid w:val="00CD6A5A"/>
    <w:rsid w:val="00CD6C2D"/>
    <w:rsid w:val="00CD7A29"/>
    <w:rsid w:val="00CE1B6B"/>
    <w:rsid w:val="00CE2E67"/>
    <w:rsid w:val="00CE4191"/>
    <w:rsid w:val="00CE6211"/>
    <w:rsid w:val="00CE6713"/>
    <w:rsid w:val="00CE6D21"/>
    <w:rsid w:val="00CF003F"/>
    <w:rsid w:val="00CF0100"/>
    <w:rsid w:val="00CF12BD"/>
    <w:rsid w:val="00CF1E28"/>
    <w:rsid w:val="00CF2BCA"/>
    <w:rsid w:val="00CF330D"/>
    <w:rsid w:val="00CF37C2"/>
    <w:rsid w:val="00CF4E7F"/>
    <w:rsid w:val="00CF5BD4"/>
    <w:rsid w:val="00CF6489"/>
    <w:rsid w:val="00CF6C6F"/>
    <w:rsid w:val="00D00068"/>
    <w:rsid w:val="00D00884"/>
    <w:rsid w:val="00D014AE"/>
    <w:rsid w:val="00D0380E"/>
    <w:rsid w:val="00D03FB4"/>
    <w:rsid w:val="00D0489A"/>
    <w:rsid w:val="00D05F47"/>
    <w:rsid w:val="00D07172"/>
    <w:rsid w:val="00D07C22"/>
    <w:rsid w:val="00D07D9E"/>
    <w:rsid w:val="00D10FC4"/>
    <w:rsid w:val="00D114C6"/>
    <w:rsid w:val="00D13E29"/>
    <w:rsid w:val="00D20464"/>
    <w:rsid w:val="00D204A1"/>
    <w:rsid w:val="00D217A4"/>
    <w:rsid w:val="00D22B35"/>
    <w:rsid w:val="00D23C6C"/>
    <w:rsid w:val="00D24228"/>
    <w:rsid w:val="00D251D9"/>
    <w:rsid w:val="00D2532E"/>
    <w:rsid w:val="00D25D2B"/>
    <w:rsid w:val="00D25D79"/>
    <w:rsid w:val="00D273A2"/>
    <w:rsid w:val="00D274D7"/>
    <w:rsid w:val="00D276D9"/>
    <w:rsid w:val="00D279D4"/>
    <w:rsid w:val="00D31F71"/>
    <w:rsid w:val="00D33943"/>
    <w:rsid w:val="00D35045"/>
    <w:rsid w:val="00D36561"/>
    <w:rsid w:val="00D3677F"/>
    <w:rsid w:val="00D37F8E"/>
    <w:rsid w:val="00D430B5"/>
    <w:rsid w:val="00D441A4"/>
    <w:rsid w:val="00D45B5F"/>
    <w:rsid w:val="00D45CB4"/>
    <w:rsid w:val="00D46F6F"/>
    <w:rsid w:val="00D47F11"/>
    <w:rsid w:val="00D50BD8"/>
    <w:rsid w:val="00D5172F"/>
    <w:rsid w:val="00D52D9A"/>
    <w:rsid w:val="00D53837"/>
    <w:rsid w:val="00D55886"/>
    <w:rsid w:val="00D57F60"/>
    <w:rsid w:val="00D60AB0"/>
    <w:rsid w:val="00D61AD1"/>
    <w:rsid w:val="00D622D6"/>
    <w:rsid w:val="00D62C85"/>
    <w:rsid w:val="00D639E6"/>
    <w:rsid w:val="00D6443F"/>
    <w:rsid w:val="00D64D44"/>
    <w:rsid w:val="00D657DB"/>
    <w:rsid w:val="00D65DC4"/>
    <w:rsid w:val="00D664C2"/>
    <w:rsid w:val="00D67F5C"/>
    <w:rsid w:val="00D74118"/>
    <w:rsid w:val="00D74257"/>
    <w:rsid w:val="00D74A81"/>
    <w:rsid w:val="00D7560A"/>
    <w:rsid w:val="00D80D28"/>
    <w:rsid w:val="00D81398"/>
    <w:rsid w:val="00D81DC8"/>
    <w:rsid w:val="00D82177"/>
    <w:rsid w:val="00D83A97"/>
    <w:rsid w:val="00D8433D"/>
    <w:rsid w:val="00D858E8"/>
    <w:rsid w:val="00D86735"/>
    <w:rsid w:val="00D86AA5"/>
    <w:rsid w:val="00D8728A"/>
    <w:rsid w:val="00D900DE"/>
    <w:rsid w:val="00D90A38"/>
    <w:rsid w:val="00D90A3F"/>
    <w:rsid w:val="00D91BFE"/>
    <w:rsid w:val="00D920AE"/>
    <w:rsid w:val="00D923CC"/>
    <w:rsid w:val="00D9284B"/>
    <w:rsid w:val="00D92BD8"/>
    <w:rsid w:val="00D948BF"/>
    <w:rsid w:val="00D94F69"/>
    <w:rsid w:val="00D950B1"/>
    <w:rsid w:val="00D95552"/>
    <w:rsid w:val="00D95AC9"/>
    <w:rsid w:val="00D9653B"/>
    <w:rsid w:val="00D97659"/>
    <w:rsid w:val="00DA060E"/>
    <w:rsid w:val="00DA0FC9"/>
    <w:rsid w:val="00DA14D8"/>
    <w:rsid w:val="00DA195B"/>
    <w:rsid w:val="00DA2FD6"/>
    <w:rsid w:val="00DA35D0"/>
    <w:rsid w:val="00DA3765"/>
    <w:rsid w:val="00DA47BA"/>
    <w:rsid w:val="00DA4B44"/>
    <w:rsid w:val="00DA5701"/>
    <w:rsid w:val="00DA5FD2"/>
    <w:rsid w:val="00DA6151"/>
    <w:rsid w:val="00DA62C1"/>
    <w:rsid w:val="00DA7AD6"/>
    <w:rsid w:val="00DB17E2"/>
    <w:rsid w:val="00DB2190"/>
    <w:rsid w:val="00DB221D"/>
    <w:rsid w:val="00DB27A1"/>
    <w:rsid w:val="00DB34C2"/>
    <w:rsid w:val="00DB38CD"/>
    <w:rsid w:val="00DB45BB"/>
    <w:rsid w:val="00DB45F6"/>
    <w:rsid w:val="00DB7E6C"/>
    <w:rsid w:val="00DC09C9"/>
    <w:rsid w:val="00DC0C98"/>
    <w:rsid w:val="00DC1B52"/>
    <w:rsid w:val="00DC2E4B"/>
    <w:rsid w:val="00DC3F63"/>
    <w:rsid w:val="00DC4B43"/>
    <w:rsid w:val="00DC56FF"/>
    <w:rsid w:val="00DC63FA"/>
    <w:rsid w:val="00DC6C36"/>
    <w:rsid w:val="00DD106D"/>
    <w:rsid w:val="00DD282C"/>
    <w:rsid w:val="00DD297A"/>
    <w:rsid w:val="00DD3251"/>
    <w:rsid w:val="00DD363A"/>
    <w:rsid w:val="00DD367B"/>
    <w:rsid w:val="00DD3E4D"/>
    <w:rsid w:val="00DD45D0"/>
    <w:rsid w:val="00DD5159"/>
    <w:rsid w:val="00DD5E9E"/>
    <w:rsid w:val="00DE0279"/>
    <w:rsid w:val="00DE1463"/>
    <w:rsid w:val="00DE3067"/>
    <w:rsid w:val="00DE3EE0"/>
    <w:rsid w:val="00DE4171"/>
    <w:rsid w:val="00DE42E0"/>
    <w:rsid w:val="00DE44DC"/>
    <w:rsid w:val="00DE5460"/>
    <w:rsid w:val="00DE5F5E"/>
    <w:rsid w:val="00DE66D7"/>
    <w:rsid w:val="00DF1B5C"/>
    <w:rsid w:val="00DF27AF"/>
    <w:rsid w:val="00DF28F4"/>
    <w:rsid w:val="00DF3522"/>
    <w:rsid w:val="00E00331"/>
    <w:rsid w:val="00E00A66"/>
    <w:rsid w:val="00E012C6"/>
    <w:rsid w:val="00E013DE"/>
    <w:rsid w:val="00E0160D"/>
    <w:rsid w:val="00E021FB"/>
    <w:rsid w:val="00E02712"/>
    <w:rsid w:val="00E02BAA"/>
    <w:rsid w:val="00E04E25"/>
    <w:rsid w:val="00E04EFA"/>
    <w:rsid w:val="00E05912"/>
    <w:rsid w:val="00E06C3E"/>
    <w:rsid w:val="00E07469"/>
    <w:rsid w:val="00E101AD"/>
    <w:rsid w:val="00E11F01"/>
    <w:rsid w:val="00E1224A"/>
    <w:rsid w:val="00E14547"/>
    <w:rsid w:val="00E1686C"/>
    <w:rsid w:val="00E16B21"/>
    <w:rsid w:val="00E16E9C"/>
    <w:rsid w:val="00E1710A"/>
    <w:rsid w:val="00E17866"/>
    <w:rsid w:val="00E2040A"/>
    <w:rsid w:val="00E21096"/>
    <w:rsid w:val="00E2147A"/>
    <w:rsid w:val="00E217D7"/>
    <w:rsid w:val="00E22E47"/>
    <w:rsid w:val="00E23CFF"/>
    <w:rsid w:val="00E23F15"/>
    <w:rsid w:val="00E24159"/>
    <w:rsid w:val="00E24526"/>
    <w:rsid w:val="00E251B4"/>
    <w:rsid w:val="00E2547A"/>
    <w:rsid w:val="00E259AF"/>
    <w:rsid w:val="00E26AA6"/>
    <w:rsid w:val="00E27B04"/>
    <w:rsid w:val="00E30537"/>
    <w:rsid w:val="00E30E5B"/>
    <w:rsid w:val="00E31D74"/>
    <w:rsid w:val="00E330CE"/>
    <w:rsid w:val="00E35FEF"/>
    <w:rsid w:val="00E363C6"/>
    <w:rsid w:val="00E366AE"/>
    <w:rsid w:val="00E4061D"/>
    <w:rsid w:val="00E40767"/>
    <w:rsid w:val="00E40AF5"/>
    <w:rsid w:val="00E40C18"/>
    <w:rsid w:val="00E41302"/>
    <w:rsid w:val="00E44D9F"/>
    <w:rsid w:val="00E4548F"/>
    <w:rsid w:val="00E45620"/>
    <w:rsid w:val="00E461D4"/>
    <w:rsid w:val="00E46806"/>
    <w:rsid w:val="00E470F9"/>
    <w:rsid w:val="00E5196C"/>
    <w:rsid w:val="00E51C96"/>
    <w:rsid w:val="00E52E17"/>
    <w:rsid w:val="00E55579"/>
    <w:rsid w:val="00E5755D"/>
    <w:rsid w:val="00E603AC"/>
    <w:rsid w:val="00E606D6"/>
    <w:rsid w:val="00E61B35"/>
    <w:rsid w:val="00E61DD9"/>
    <w:rsid w:val="00E62065"/>
    <w:rsid w:val="00E639AB"/>
    <w:rsid w:val="00E63B76"/>
    <w:rsid w:val="00E6505F"/>
    <w:rsid w:val="00E70AD5"/>
    <w:rsid w:val="00E715F2"/>
    <w:rsid w:val="00E72A52"/>
    <w:rsid w:val="00E74251"/>
    <w:rsid w:val="00E7462A"/>
    <w:rsid w:val="00E80D05"/>
    <w:rsid w:val="00E81075"/>
    <w:rsid w:val="00E82AD4"/>
    <w:rsid w:val="00E82BE9"/>
    <w:rsid w:val="00E82CC2"/>
    <w:rsid w:val="00E840E3"/>
    <w:rsid w:val="00E8484A"/>
    <w:rsid w:val="00E84E50"/>
    <w:rsid w:val="00E857E2"/>
    <w:rsid w:val="00E85941"/>
    <w:rsid w:val="00E86139"/>
    <w:rsid w:val="00E86492"/>
    <w:rsid w:val="00E86C39"/>
    <w:rsid w:val="00E907E2"/>
    <w:rsid w:val="00E90860"/>
    <w:rsid w:val="00E91A8A"/>
    <w:rsid w:val="00E939AC"/>
    <w:rsid w:val="00E93B89"/>
    <w:rsid w:val="00E94508"/>
    <w:rsid w:val="00E955E2"/>
    <w:rsid w:val="00E96825"/>
    <w:rsid w:val="00EA094D"/>
    <w:rsid w:val="00EA1558"/>
    <w:rsid w:val="00EA1AD1"/>
    <w:rsid w:val="00EA1E88"/>
    <w:rsid w:val="00EA207A"/>
    <w:rsid w:val="00EA2A77"/>
    <w:rsid w:val="00EA2EF9"/>
    <w:rsid w:val="00EA6188"/>
    <w:rsid w:val="00EA69C0"/>
    <w:rsid w:val="00EA7A53"/>
    <w:rsid w:val="00EB04F0"/>
    <w:rsid w:val="00EB08FA"/>
    <w:rsid w:val="00EB14CB"/>
    <w:rsid w:val="00EB21CA"/>
    <w:rsid w:val="00EB2912"/>
    <w:rsid w:val="00EB4E9F"/>
    <w:rsid w:val="00EC017A"/>
    <w:rsid w:val="00EC166B"/>
    <w:rsid w:val="00EC3696"/>
    <w:rsid w:val="00EC3B74"/>
    <w:rsid w:val="00EC43AB"/>
    <w:rsid w:val="00EC5521"/>
    <w:rsid w:val="00EC629A"/>
    <w:rsid w:val="00EC6777"/>
    <w:rsid w:val="00EC677B"/>
    <w:rsid w:val="00EC7B26"/>
    <w:rsid w:val="00ED1253"/>
    <w:rsid w:val="00ED3A58"/>
    <w:rsid w:val="00ED679D"/>
    <w:rsid w:val="00EE3766"/>
    <w:rsid w:val="00EE409B"/>
    <w:rsid w:val="00EE63FF"/>
    <w:rsid w:val="00EE68BD"/>
    <w:rsid w:val="00EE7EF1"/>
    <w:rsid w:val="00EF088D"/>
    <w:rsid w:val="00EF17D2"/>
    <w:rsid w:val="00EF17FF"/>
    <w:rsid w:val="00EF1B71"/>
    <w:rsid w:val="00EF4A31"/>
    <w:rsid w:val="00EF7A2A"/>
    <w:rsid w:val="00EF7E7D"/>
    <w:rsid w:val="00EF7F17"/>
    <w:rsid w:val="00F02944"/>
    <w:rsid w:val="00F04151"/>
    <w:rsid w:val="00F047BA"/>
    <w:rsid w:val="00F05198"/>
    <w:rsid w:val="00F05E66"/>
    <w:rsid w:val="00F1036E"/>
    <w:rsid w:val="00F1167C"/>
    <w:rsid w:val="00F12090"/>
    <w:rsid w:val="00F12312"/>
    <w:rsid w:val="00F13048"/>
    <w:rsid w:val="00F139DC"/>
    <w:rsid w:val="00F13D8B"/>
    <w:rsid w:val="00F14A7C"/>
    <w:rsid w:val="00F15BFE"/>
    <w:rsid w:val="00F160F8"/>
    <w:rsid w:val="00F16CFE"/>
    <w:rsid w:val="00F178E5"/>
    <w:rsid w:val="00F17BA7"/>
    <w:rsid w:val="00F17CE3"/>
    <w:rsid w:val="00F21237"/>
    <w:rsid w:val="00F215CF"/>
    <w:rsid w:val="00F21D42"/>
    <w:rsid w:val="00F21DEE"/>
    <w:rsid w:val="00F2241D"/>
    <w:rsid w:val="00F22FF0"/>
    <w:rsid w:val="00F25335"/>
    <w:rsid w:val="00F339A2"/>
    <w:rsid w:val="00F3512C"/>
    <w:rsid w:val="00F35616"/>
    <w:rsid w:val="00F442CF"/>
    <w:rsid w:val="00F44B25"/>
    <w:rsid w:val="00F44EAC"/>
    <w:rsid w:val="00F453C3"/>
    <w:rsid w:val="00F46382"/>
    <w:rsid w:val="00F46757"/>
    <w:rsid w:val="00F46ACF"/>
    <w:rsid w:val="00F5056F"/>
    <w:rsid w:val="00F51841"/>
    <w:rsid w:val="00F53E4D"/>
    <w:rsid w:val="00F55370"/>
    <w:rsid w:val="00F564D2"/>
    <w:rsid w:val="00F567EB"/>
    <w:rsid w:val="00F57720"/>
    <w:rsid w:val="00F57964"/>
    <w:rsid w:val="00F61624"/>
    <w:rsid w:val="00F61F40"/>
    <w:rsid w:val="00F63500"/>
    <w:rsid w:val="00F63B64"/>
    <w:rsid w:val="00F64811"/>
    <w:rsid w:val="00F66392"/>
    <w:rsid w:val="00F66E82"/>
    <w:rsid w:val="00F675FA"/>
    <w:rsid w:val="00F70685"/>
    <w:rsid w:val="00F711A0"/>
    <w:rsid w:val="00F73F78"/>
    <w:rsid w:val="00F76274"/>
    <w:rsid w:val="00F765C9"/>
    <w:rsid w:val="00F77300"/>
    <w:rsid w:val="00F77AE7"/>
    <w:rsid w:val="00F80B3A"/>
    <w:rsid w:val="00F80B6F"/>
    <w:rsid w:val="00F81132"/>
    <w:rsid w:val="00F811B3"/>
    <w:rsid w:val="00F81530"/>
    <w:rsid w:val="00F82035"/>
    <w:rsid w:val="00F8294E"/>
    <w:rsid w:val="00F82A86"/>
    <w:rsid w:val="00F8496C"/>
    <w:rsid w:val="00F84BE4"/>
    <w:rsid w:val="00F84C77"/>
    <w:rsid w:val="00F86154"/>
    <w:rsid w:val="00F86FF9"/>
    <w:rsid w:val="00F874CD"/>
    <w:rsid w:val="00F94283"/>
    <w:rsid w:val="00F94C0D"/>
    <w:rsid w:val="00F96009"/>
    <w:rsid w:val="00F973E3"/>
    <w:rsid w:val="00FA15F3"/>
    <w:rsid w:val="00FA20DD"/>
    <w:rsid w:val="00FA35B5"/>
    <w:rsid w:val="00FA4D70"/>
    <w:rsid w:val="00FA53A3"/>
    <w:rsid w:val="00FA64B0"/>
    <w:rsid w:val="00FA76D0"/>
    <w:rsid w:val="00FB133F"/>
    <w:rsid w:val="00FB46F7"/>
    <w:rsid w:val="00FB5484"/>
    <w:rsid w:val="00FC166C"/>
    <w:rsid w:val="00FC1B9F"/>
    <w:rsid w:val="00FC25B2"/>
    <w:rsid w:val="00FC62D5"/>
    <w:rsid w:val="00FC658A"/>
    <w:rsid w:val="00FC6D3B"/>
    <w:rsid w:val="00FC760B"/>
    <w:rsid w:val="00FD07F9"/>
    <w:rsid w:val="00FD0CCD"/>
    <w:rsid w:val="00FE0606"/>
    <w:rsid w:val="00FE0A39"/>
    <w:rsid w:val="00FE2122"/>
    <w:rsid w:val="00FE218C"/>
    <w:rsid w:val="00FE2C1B"/>
    <w:rsid w:val="00FE2E53"/>
    <w:rsid w:val="00FE35C4"/>
    <w:rsid w:val="00FE36B4"/>
    <w:rsid w:val="00FE3E8A"/>
    <w:rsid w:val="00FE42C3"/>
    <w:rsid w:val="00FE44FF"/>
    <w:rsid w:val="00FE5697"/>
    <w:rsid w:val="00FE633F"/>
    <w:rsid w:val="00FF0588"/>
    <w:rsid w:val="00FF1A8D"/>
    <w:rsid w:val="00FF3D9C"/>
    <w:rsid w:val="00FF4488"/>
    <w:rsid w:val="00FF48D8"/>
    <w:rsid w:val="00FF5AC7"/>
    <w:rsid w:val="00FF637F"/>
    <w:rsid w:val="00FF63A1"/>
    <w:rsid w:val="00FF68B9"/>
    <w:rsid w:val="00FF72D7"/>
    <w:rsid w:val="00FF7DB0"/>
    <w:rsid w:val="00FF7EE3"/>
    <w:rsid w:val="011375A8"/>
    <w:rsid w:val="02A053E0"/>
    <w:rsid w:val="03433F84"/>
    <w:rsid w:val="04B57CCA"/>
    <w:rsid w:val="04EE51E1"/>
    <w:rsid w:val="05096B07"/>
    <w:rsid w:val="08253C58"/>
    <w:rsid w:val="08BA0844"/>
    <w:rsid w:val="09646A02"/>
    <w:rsid w:val="09734E97"/>
    <w:rsid w:val="0983332C"/>
    <w:rsid w:val="09CF031F"/>
    <w:rsid w:val="09E446B7"/>
    <w:rsid w:val="09F2225F"/>
    <w:rsid w:val="0AA3355A"/>
    <w:rsid w:val="0AC05EBA"/>
    <w:rsid w:val="0B8E5FB8"/>
    <w:rsid w:val="0BA13F3D"/>
    <w:rsid w:val="0BB423E5"/>
    <w:rsid w:val="0D472EFE"/>
    <w:rsid w:val="0D821B4C"/>
    <w:rsid w:val="0DE63E89"/>
    <w:rsid w:val="0DF93BBD"/>
    <w:rsid w:val="0EF02B48"/>
    <w:rsid w:val="0F0547E3"/>
    <w:rsid w:val="0FD07339"/>
    <w:rsid w:val="10376C1E"/>
    <w:rsid w:val="10F01DC4"/>
    <w:rsid w:val="10F17004"/>
    <w:rsid w:val="11131439"/>
    <w:rsid w:val="118C4D48"/>
    <w:rsid w:val="11E80A94"/>
    <w:rsid w:val="12107727"/>
    <w:rsid w:val="13054DB2"/>
    <w:rsid w:val="137F4B64"/>
    <w:rsid w:val="139A199E"/>
    <w:rsid w:val="13D44784"/>
    <w:rsid w:val="140D6614"/>
    <w:rsid w:val="148B7538"/>
    <w:rsid w:val="14E530ED"/>
    <w:rsid w:val="16442095"/>
    <w:rsid w:val="16924BAE"/>
    <w:rsid w:val="16A9014A"/>
    <w:rsid w:val="171E5517"/>
    <w:rsid w:val="173D7210"/>
    <w:rsid w:val="176C6BB0"/>
    <w:rsid w:val="188E3A9B"/>
    <w:rsid w:val="193208CA"/>
    <w:rsid w:val="19406B43"/>
    <w:rsid w:val="1A685DCC"/>
    <w:rsid w:val="1AD800D4"/>
    <w:rsid w:val="1B2D1349"/>
    <w:rsid w:val="1BA927AE"/>
    <w:rsid w:val="1C183DA8"/>
    <w:rsid w:val="1C2D7127"/>
    <w:rsid w:val="1C393D1E"/>
    <w:rsid w:val="1C676ADD"/>
    <w:rsid w:val="1C7B60E4"/>
    <w:rsid w:val="1CDB57B1"/>
    <w:rsid w:val="1D046632"/>
    <w:rsid w:val="1DD53D5B"/>
    <w:rsid w:val="1E110AAE"/>
    <w:rsid w:val="1F811C64"/>
    <w:rsid w:val="1F8D353F"/>
    <w:rsid w:val="1FA12306"/>
    <w:rsid w:val="214473ED"/>
    <w:rsid w:val="217355DC"/>
    <w:rsid w:val="21842B78"/>
    <w:rsid w:val="21845A3B"/>
    <w:rsid w:val="21E07116"/>
    <w:rsid w:val="21E309B4"/>
    <w:rsid w:val="22832569"/>
    <w:rsid w:val="22842F43"/>
    <w:rsid w:val="229D5007"/>
    <w:rsid w:val="2346744C"/>
    <w:rsid w:val="23B87C1E"/>
    <w:rsid w:val="24156E1F"/>
    <w:rsid w:val="248F097F"/>
    <w:rsid w:val="250D55E9"/>
    <w:rsid w:val="27D33279"/>
    <w:rsid w:val="27E1545A"/>
    <w:rsid w:val="28AF7842"/>
    <w:rsid w:val="28C11323"/>
    <w:rsid w:val="2A1C0F07"/>
    <w:rsid w:val="2B65243A"/>
    <w:rsid w:val="2BFD08C4"/>
    <w:rsid w:val="2C1A3467"/>
    <w:rsid w:val="2CB96525"/>
    <w:rsid w:val="2D477EDA"/>
    <w:rsid w:val="2E0E6DB8"/>
    <w:rsid w:val="2EF51D26"/>
    <w:rsid w:val="2F0517D7"/>
    <w:rsid w:val="2F5E78CC"/>
    <w:rsid w:val="2F8A6913"/>
    <w:rsid w:val="30405223"/>
    <w:rsid w:val="30B5176D"/>
    <w:rsid w:val="313034EA"/>
    <w:rsid w:val="319B6BB5"/>
    <w:rsid w:val="31D43E75"/>
    <w:rsid w:val="32877139"/>
    <w:rsid w:val="32D8641B"/>
    <w:rsid w:val="332B21BB"/>
    <w:rsid w:val="337B6D0E"/>
    <w:rsid w:val="33CA102F"/>
    <w:rsid w:val="34036C94"/>
    <w:rsid w:val="343E7CCC"/>
    <w:rsid w:val="3496754B"/>
    <w:rsid w:val="34FA0BAE"/>
    <w:rsid w:val="359528C1"/>
    <w:rsid w:val="359978AF"/>
    <w:rsid w:val="35BC17F0"/>
    <w:rsid w:val="35E87898"/>
    <w:rsid w:val="36115D5A"/>
    <w:rsid w:val="36341386"/>
    <w:rsid w:val="368816D2"/>
    <w:rsid w:val="36C46BAE"/>
    <w:rsid w:val="37B564F7"/>
    <w:rsid w:val="38325D99"/>
    <w:rsid w:val="386F3993"/>
    <w:rsid w:val="38A24CCD"/>
    <w:rsid w:val="3951224F"/>
    <w:rsid w:val="3B89767A"/>
    <w:rsid w:val="3CB60D47"/>
    <w:rsid w:val="3CDC5A84"/>
    <w:rsid w:val="3D755B93"/>
    <w:rsid w:val="3D7D3B8B"/>
    <w:rsid w:val="3DE47CE0"/>
    <w:rsid w:val="3E587ADE"/>
    <w:rsid w:val="3EBA2645"/>
    <w:rsid w:val="3F850EA5"/>
    <w:rsid w:val="4004001B"/>
    <w:rsid w:val="407C4056"/>
    <w:rsid w:val="40925627"/>
    <w:rsid w:val="40E045E4"/>
    <w:rsid w:val="41065CB3"/>
    <w:rsid w:val="41676AB4"/>
    <w:rsid w:val="42660B19"/>
    <w:rsid w:val="445720BE"/>
    <w:rsid w:val="44872FC9"/>
    <w:rsid w:val="45FE72BB"/>
    <w:rsid w:val="46244F73"/>
    <w:rsid w:val="46641814"/>
    <w:rsid w:val="46886011"/>
    <w:rsid w:val="475249B4"/>
    <w:rsid w:val="481334F1"/>
    <w:rsid w:val="48757D08"/>
    <w:rsid w:val="48D24F85"/>
    <w:rsid w:val="49262DB0"/>
    <w:rsid w:val="492F7ED0"/>
    <w:rsid w:val="497E0E3E"/>
    <w:rsid w:val="4A315EB1"/>
    <w:rsid w:val="4A835FE1"/>
    <w:rsid w:val="4AC24D5B"/>
    <w:rsid w:val="4B223A4B"/>
    <w:rsid w:val="4B2C3442"/>
    <w:rsid w:val="4B6202EC"/>
    <w:rsid w:val="4BB62FE7"/>
    <w:rsid w:val="4BDA60D4"/>
    <w:rsid w:val="4CE30CE7"/>
    <w:rsid w:val="4D387556"/>
    <w:rsid w:val="4D814A59"/>
    <w:rsid w:val="4DF551E8"/>
    <w:rsid w:val="4E200716"/>
    <w:rsid w:val="4E233B70"/>
    <w:rsid w:val="4E473EF5"/>
    <w:rsid w:val="4F7A3E56"/>
    <w:rsid w:val="4FA71E03"/>
    <w:rsid w:val="4FC67D34"/>
    <w:rsid w:val="4FE60546"/>
    <w:rsid w:val="50B408C4"/>
    <w:rsid w:val="51E51FEA"/>
    <w:rsid w:val="52770B21"/>
    <w:rsid w:val="52F47B62"/>
    <w:rsid w:val="53073C53"/>
    <w:rsid w:val="53476745"/>
    <w:rsid w:val="537863BA"/>
    <w:rsid w:val="53CE4770"/>
    <w:rsid w:val="54196C13"/>
    <w:rsid w:val="551E7032"/>
    <w:rsid w:val="56614C8A"/>
    <w:rsid w:val="56BA722E"/>
    <w:rsid w:val="575B456D"/>
    <w:rsid w:val="57702B65"/>
    <w:rsid w:val="57B123DF"/>
    <w:rsid w:val="583628E4"/>
    <w:rsid w:val="5A1F5D26"/>
    <w:rsid w:val="5A3612C1"/>
    <w:rsid w:val="5AE42ACB"/>
    <w:rsid w:val="5B2630E4"/>
    <w:rsid w:val="5B4B48F9"/>
    <w:rsid w:val="5D280B21"/>
    <w:rsid w:val="5D2B49E2"/>
    <w:rsid w:val="5D30766A"/>
    <w:rsid w:val="5E437B09"/>
    <w:rsid w:val="5F530220"/>
    <w:rsid w:val="5F5A335C"/>
    <w:rsid w:val="60CB69BE"/>
    <w:rsid w:val="61453B98"/>
    <w:rsid w:val="61B72CE8"/>
    <w:rsid w:val="627913CF"/>
    <w:rsid w:val="62C5157C"/>
    <w:rsid w:val="637B1AF3"/>
    <w:rsid w:val="639B14F1"/>
    <w:rsid w:val="63E853DA"/>
    <w:rsid w:val="644B1C02"/>
    <w:rsid w:val="64540CC2"/>
    <w:rsid w:val="650F6997"/>
    <w:rsid w:val="65562818"/>
    <w:rsid w:val="65E240AB"/>
    <w:rsid w:val="67301AEF"/>
    <w:rsid w:val="682D5AB2"/>
    <w:rsid w:val="684572FE"/>
    <w:rsid w:val="68F0088D"/>
    <w:rsid w:val="693B41FE"/>
    <w:rsid w:val="6B17268F"/>
    <w:rsid w:val="6B6B33B3"/>
    <w:rsid w:val="6B700A62"/>
    <w:rsid w:val="6CB43503"/>
    <w:rsid w:val="6DAB3516"/>
    <w:rsid w:val="6E1312A6"/>
    <w:rsid w:val="6E7E2EFE"/>
    <w:rsid w:val="6EC74EC6"/>
    <w:rsid w:val="6F0D2199"/>
    <w:rsid w:val="6F101C89"/>
    <w:rsid w:val="6FC0720B"/>
    <w:rsid w:val="70441BEA"/>
    <w:rsid w:val="7075449A"/>
    <w:rsid w:val="70B2124A"/>
    <w:rsid w:val="71883D59"/>
    <w:rsid w:val="71922E29"/>
    <w:rsid w:val="72181794"/>
    <w:rsid w:val="724203AC"/>
    <w:rsid w:val="73102258"/>
    <w:rsid w:val="73D2750D"/>
    <w:rsid w:val="748A7DE8"/>
    <w:rsid w:val="75143CB6"/>
    <w:rsid w:val="7691545E"/>
    <w:rsid w:val="76F62FB4"/>
    <w:rsid w:val="77664B3C"/>
    <w:rsid w:val="77A13FE0"/>
    <w:rsid w:val="77A6318B"/>
    <w:rsid w:val="77CD6969"/>
    <w:rsid w:val="77EE068E"/>
    <w:rsid w:val="78397B5B"/>
    <w:rsid w:val="78B95140"/>
    <w:rsid w:val="78E74094"/>
    <w:rsid w:val="79334EF2"/>
    <w:rsid w:val="79B17BC5"/>
    <w:rsid w:val="7A3C4454"/>
    <w:rsid w:val="7A8F6158"/>
    <w:rsid w:val="7B2A7C2F"/>
    <w:rsid w:val="7B3D5BB4"/>
    <w:rsid w:val="7B446F42"/>
    <w:rsid w:val="7B4E1B6F"/>
    <w:rsid w:val="7BC10593"/>
    <w:rsid w:val="7C2C2BC2"/>
    <w:rsid w:val="7C690A14"/>
    <w:rsid w:val="7E1E2243"/>
    <w:rsid w:val="7EC6266D"/>
    <w:rsid w:val="7ED1262C"/>
    <w:rsid w:val="7F062761"/>
    <w:rsid w:val="7F473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0"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semiHidden="0"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iPriority="0"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宋体" w:eastAsia="宋体" w:cstheme="minorBidi"/>
      <w:kern w:val="2"/>
      <w:sz w:val="24"/>
      <w:szCs w:val="24"/>
      <w:lang w:val="en-US" w:eastAsia="zh-CN" w:bidi="ar-SA"/>
    </w:rPr>
  </w:style>
  <w:style w:type="paragraph" w:styleId="2">
    <w:name w:val="heading 1"/>
    <w:basedOn w:val="1"/>
    <w:next w:val="1"/>
    <w:link w:val="4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60"/>
    <w:unhideWhenUsed/>
    <w:qFormat/>
    <w:uiPriority w:val="9"/>
    <w:pPr>
      <w:pBdr>
        <w:bottom w:val="single" w:color="5B9BD5" w:themeColor="accent1" w:sz="8" w:space="1"/>
      </w:pBdr>
      <w:spacing w:before="200" w:after="80"/>
      <w:outlineLvl w:val="1"/>
    </w:pPr>
    <w:rPr>
      <w:rFonts w:asciiTheme="majorHAnsi" w:hAnsiTheme="majorHAnsi" w:eastAsiaTheme="majorEastAsia" w:cstheme="majorBidi"/>
      <w:color w:val="2E75B6" w:themeColor="accent1" w:themeShade="BF"/>
    </w:rPr>
  </w:style>
  <w:style w:type="paragraph" w:styleId="4">
    <w:name w:val="heading 3"/>
    <w:basedOn w:val="1"/>
    <w:next w:val="1"/>
    <w:link w:val="61"/>
    <w:unhideWhenUsed/>
    <w:qFormat/>
    <w:uiPriority w:val="9"/>
    <w:pPr>
      <w:pBdr>
        <w:bottom w:val="single" w:color="9CC2E5" w:themeColor="accent1" w:themeTint="99" w:sz="4" w:space="1"/>
      </w:pBdr>
      <w:spacing w:before="200" w:after="80"/>
      <w:outlineLvl w:val="2"/>
    </w:pPr>
    <w:rPr>
      <w:rFonts w:asciiTheme="majorHAnsi" w:hAnsiTheme="majorHAnsi" w:eastAsiaTheme="majorEastAsia" w:cstheme="majorBidi"/>
      <w:color w:val="5B9BD5" w:themeColor="accent1"/>
      <w14:textFill>
        <w14:solidFill>
          <w14:schemeClr w14:val="accent1"/>
        </w14:solidFill>
      </w14:textFill>
    </w:rPr>
  </w:style>
  <w:style w:type="paragraph" w:styleId="5">
    <w:name w:val="heading 4"/>
    <w:basedOn w:val="1"/>
    <w:next w:val="1"/>
    <w:link w:val="62"/>
    <w:unhideWhenUsed/>
    <w:qFormat/>
    <w:uiPriority w:val="9"/>
    <w:pPr>
      <w:pBdr>
        <w:bottom w:val="single" w:color="BDD6EE" w:themeColor="accent1" w:themeTint="66" w:sz="4" w:space="2"/>
      </w:pBdr>
      <w:spacing w:before="200" w:after="80"/>
      <w:outlineLvl w:val="3"/>
    </w:pPr>
    <w:rPr>
      <w:rFonts w:asciiTheme="majorHAnsi" w:hAnsiTheme="majorHAnsi" w:eastAsiaTheme="majorEastAsia" w:cstheme="majorBidi"/>
      <w:i/>
      <w:iCs/>
      <w:color w:val="5B9BD5" w:themeColor="accent1"/>
      <w14:textFill>
        <w14:solidFill>
          <w14:schemeClr w14:val="accent1"/>
        </w14:solidFill>
      </w14:textFill>
    </w:rPr>
  </w:style>
  <w:style w:type="paragraph" w:styleId="6">
    <w:name w:val="heading 5"/>
    <w:basedOn w:val="1"/>
    <w:next w:val="1"/>
    <w:link w:val="63"/>
    <w:autoRedefine/>
    <w:unhideWhenUsed/>
    <w:qFormat/>
    <w:uiPriority w:val="9"/>
    <w:pPr>
      <w:spacing w:before="200" w:after="80"/>
      <w:outlineLvl w:val="4"/>
    </w:pPr>
    <w:rPr>
      <w:rFonts w:asciiTheme="majorHAnsi" w:hAnsiTheme="majorHAnsi" w:eastAsiaTheme="majorEastAsia" w:cstheme="majorBidi"/>
      <w:color w:val="5B9BD5" w:themeColor="accent1"/>
      <w14:textFill>
        <w14:solidFill>
          <w14:schemeClr w14:val="accent1"/>
        </w14:solidFill>
      </w14:textFill>
    </w:rPr>
  </w:style>
  <w:style w:type="paragraph" w:styleId="7">
    <w:name w:val="heading 6"/>
    <w:basedOn w:val="1"/>
    <w:next w:val="1"/>
    <w:link w:val="64"/>
    <w:unhideWhenUsed/>
    <w:qFormat/>
    <w:uiPriority w:val="9"/>
    <w:pPr>
      <w:spacing w:before="280" w:after="100"/>
      <w:outlineLvl w:val="5"/>
    </w:pPr>
    <w:rPr>
      <w:rFonts w:asciiTheme="majorHAnsi" w:hAnsiTheme="majorHAnsi" w:eastAsiaTheme="majorEastAsia" w:cstheme="majorBidi"/>
      <w:i/>
      <w:iCs/>
      <w:color w:val="5B9BD5" w:themeColor="accent1"/>
      <w14:textFill>
        <w14:solidFill>
          <w14:schemeClr w14:val="accent1"/>
        </w14:solidFill>
      </w14:textFill>
    </w:rPr>
  </w:style>
  <w:style w:type="paragraph" w:styleId="8">
    <w:name w:val="heading 7"/>
    <w:basedOn w:val="1"/>
    <w:next w:val="1"/>
    <w:link w:val="65"/>
    <w:autoRedefine/>
    <w:unhideWhenUsed/>
    <w:qFormat/>
    <w:uiPriority w:val="9"/>
    <w:pPr>
      <w:spacing w:before="320" w:after="100"/>
      <w:outlineLvl w:val="6"/>
    </w:pPr>
    <w:rPr>
      <w:rFonts w:asciiTheme="majorHAnsi" w:hAnsiTheme="majorHAnsi" w:eastAsiaTheme="majorEastAsia" w:cstheme="majorBidi"/>
      <w:b/>
      <w:bCs/>
      <w:color w:val="A5A5A5" w:themeColor="accent3"/>
      <w:sz w:val="20"/>
      <w:szCs w:val="20"/>
      <w14:textFill>
        <w14:solidFill>
          <w14:schemeClr w14:val="accent3"/>
        </w14:solidFill>
      </w14:textFill>
    </w:rPr>
  </w:style>
  <w:style w:type="paragraph" w:styleId="9">
    <w:name w:val="heading 8"/>
    <w:basedOn w:val="1"/>
    <w:next w:val="1"/>
    <w:link w:val="66"/>
    <w:autoRedefine/>
    <w:unhideWhenUsed/>
    <w:qFormat/>
    <w:uiPriority w:val="9"/>
    <w:pPr>
      <w:spacing w:before="320" w:after="100"/>
      <w:outlineLvl w:val="7"/>
    </w:pPr>
    <w:rPr>
      <w:rFonts w:asciiTheme="majorHAnsi" w:hAnsiTheme="majorHAnsi" w:eastAsiaTheme="majorEastAsia" w:cstheme="majorBidi"/>
      <w:b/>
      <w:bCs/>
      <w:i/>
      <w:iCs/>
      <w:color w:val="A5A5A5" w:themeColor="accent3"/>
      <w:sz w:val="20"/>
      <w:szCs w:val="20"/>
      <w14:textFill>
        <w14:solidFill>
          <w14:schemeClr w14:val="accent3"/>
        </w14:solidFill>
      </w14:textFill>
    </w:rPr>
  </w:style>
  <w:style w:type="paragraph" w:styleId="10">
    <w:name w:val="heading 9"/>
    <w:basedOn w:val="1"/>
    <w:next w:val="1"/>
    <w:link w:val="67"/>
    <w:autoRedefine/>
    <w:unhideWhenUsed/>
    <w:qFormat/>
    <w:uiPriority w:val="9"/>
    <w:pPr>
      <w:spacing w:before="320" w:after="100"/>
      <w:outlineLvl w:val="8"/>
    </w:pPr>
    <w:rPr>
      <w:rFonts w:asciiTheme="majorHAnsi" w:hAnsiTheme="majorHAnsi" w:eastAsiaTheme="majorEastAsia" w:cstheme="majorBidi"/>
      <w:i/>
      <w:iCs/>
      <w:color w:val="A5A5A5" w:themeColor="accent3"/>
      <w:sz w:val="20"/>
      <w:szCs w:val="20"/>
      <w14:textFill>
        <w14:solidFill>
          <w14:schemeClr w14:val="accent3"/>
        </w14:solidFill>
      </w14:textFill>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widowControl w:val="0"/>
      <w:spacing w:line="240" w:lineRule="auto"/>
      <w:ind w:left="2520" w:leftChars="1200"/>
    </w:pPr>
    <w:rPr>
      <w:rFonts w:asciiTheme="minorHAnsi" w:hAnsiTheme="minorHAnsi" w:eastAsiaTheme="minorEastAsia"/>
      <w:sz w:val="21"/>
      <w:szCs w:val="22"/>
    </w:rPr>
  </w:style>
  <w:style w:type="paragraph" w:styleId="12">
    <w:name w:val="caption"/>
    <w:basedOn w:val="1"/>
    <w:next w:val="1"/>
    <w:autoRedefine/>
    <w:unhideWhenUsed/>
    <w:qFormat/>
    <w:uiPriority w:val="35"/>
    <w:rPr>
      <w:b/>
      <w:bCs/>
      <w:sz w:val="18"/>
      <w:szCs w:val="18"/>
    </w:rPr>
  </w:style>
  <w:style w:type="paragraph" w:styleId="13">
    <w:name w:val="Document Map"/>
    <w:basedOn w:val="1"/>
    <w:link w:val="59"/>
    <w:autoRedefine/>
    <w:semiHidden/>
    <w:unhideWhenUsed/>
    <w:qFormat/>
    <w:uiPriority w:val="99"/>
    <w:rPr>
      <w:sz w:val="18"/>
      <w:szCs w:val="18"/>
    </w:rPr>
  </w:style>
  <w:style w:type="paragraph" w:styleId="14">
    <w:name w:val="annotation text"/>
    <w:basedOn w:val="1"/>
    <w:link w:val="58"/>
    <w:autoRedefine/>
    <w:unhideWhenUsed/>
    <w:qFormat/>
    <w:uiPriority w:val="99"/>
    <w:pPr>
      <w:jc w:val="left"/>
    </w:pPr>
  </w:style>
  <w:style w:type="paragraph" w:styleId="15">
    <w:name w:val="Body Text"/>
    <w:basedOn w:val="1"/>
    <w:link w:val="88"/>
    <w:qFormat/>
    <w:uiPriority w:val="99"/>
    <w:pPr>
      <w:widowControl w:val="0"/>
      <w:adjustRightInd w:val="0"/>
      <w:snapToGrid w:val="0"/>
      <w:jc w:val="center"/>
    </w:pPr>
    <w:rPr>
      <w:rFonts w:ascii="华文中宋" w:hAnsi="华文中宋" w:eastAsia="华文中宋" w:cs="Times New Roman"/>
      <w:kern w:val="0"/>
      <w:sz w:val="52"/>
      <w:szCs w:val="52"/>
    </w:rPr>
  </w:style>
  <w:style w:type="paragraph" w:styleId="16">
    <w:name w:val="toc 5"/>
    <w:basedOn w:val="1"/>
    <w:next w:val="1"/>
    <w:autoRedefine/>
    <w:unhideWhenUsed/>
    <w:qFormat/>
    <w:uiPriority w:val="39"/>
    <w:pPr>
      <w:widowControl w:val="0"/>
      <w:spacing w:line="240" w:lineRule="auto"/>
      <w:ind w:left="1680" w:leftChars="800"/>
    </w:pPr>
    <w:rPr>
      <w:rFonts w:asciiTheme="minorHAnsi" w:hAnsiTheme="minorHAnsi" w:eastAsiaTheme="minorEastAsia"/>
      <w:sz w:val="21"/>
      <w:szCs w:val="22"/>
    </w:rPr>
  </w:style>
  <w:style w:type="paragraph" w:styleId="17">
    <w:name w:val="toc 3"/>
    <w:basedOn w:val="1"/>
    <w:next w:val="1"/>
    <w:autoRedefine/>
    <w:unhideWhenUsed/>
    <w:qFormat/>
    <w:uiPriority w:val="39"/>
    <w:pPr>
      <w:ind w:left="840" w:leftChars="400"/>
    </w:pPr>
  </w:style>
  <w:style w:type="paragraph" w:styleId="18">
    <w:name w:val="Plain Text"/>
    <w:basedOn w:val="1"/>
    <w:link w:val="89"/>
    <w:qFormat/>
    <w:uiPriority w:val="0"/>
    <w:pPr>
      <w:widowControl w:val="0"/>
      <w:spacing w:line="240" w:lineRule="auto"/>
    </w:pPr>
    <w:rPr>
      <w:rFonts w:hAnsi="Courier New" w:cs="Times New Roman" w:eastAsiaTheme="minorEastAsia"/>
      <w:sz w:val="21"/>
      <w:szCs w:val="21"/>
    </w:rPr>
  </w:style>
  <w:style w:type="paragraph" w:styleId="19">
    <w:name w:val="toc 8"/>
    <w:basedOn w:val="1"/>
    <w:next w:val="1"/>
    <w:autoRedefine/>
    <w:unhideWhenUsed/>
    <w:qFormat/>
    <w:uiPriority w:val="39"/>
    <w:pPr>
      <w:widowControl w:val="0"/>
      <w:spacing w:line="240" w:lineRule="auto"/>
      <w:ind w:left="2940" w:leftChars="1400"/>
    </w:pPr>
    <w:rPr>
      <w:rFonts w:asciiTheme="minorHAnsi" w:hAnsiTheme="minorHAnsi" w:eastAsiaTheme="minorEastAsia"/>
      <w:sz w:val="21"/>
      <w:szCs w:val="22"/>
    </w:rPr>
  </w:style>
  <w:style w:type="paragraph" w:styleId="20">
    <w:name w:val="Date"/>
    <w:basedOn w:val="1"/>
    <w:next w:val="1"/>
    <w:link w:val="47"/>
    <w:autoRedefine/>
    <w:unhideWhenUsed/>
    <w:qFormat/>
    <w:uiPriority w:val="0"/>
    <w:pPr>
      <w:ind w:left="100" w:leftChars="2500"/>
    </w:pPr>
  </w:style>
  <w:style w:type="paragraph" w:styleId="21">
    <w:name w:val="Balloon Text"/>
    <w:basedOn w:val="1"/>
    <w:link w:val="55"/>
    <w:autoRedefine/>
    <w:unhideWhenUsed/>
    <w:qFormat/>
    <w:uiPriority w:val="0"/>
    <w:pPr>
      <w:spacing w:line="240" w:lineRule="auto"/>
    </w:pPr>
    <w:rPr>
      <w:sz w:val="18"/>
      <w:szCs w:val="18"/>
    </w:rPr>
  </w:style>
  <w:style w:type="paragraph" w:styleId="22">
    <w:name w:val="footer"/>
    <w:basedOn w:val="1"/>
    <w:link w:val="46"/>
    <w:autoRedefine/>
    <w:unhideWhenUsed/>
    <w:qFormat/>
    <w:uiPriority w:val="99"/>
    <w:pPr>
      <w:tabs>
        <w:tab w:val="center" w:pos="4153"/>
        <w:tab w:val="right" w:pos="8306"/>
      </w:tabs>
      <w:snapToGrid w:val="0"/>
      <w:spacing w:line="240" w:lineRule="auto"/>
      <w:jc w:val="left"/>
    </w:pPr>
    <w:rPr>
      <w:sz w:val="18"/>
      <w:szCs w:val="18"/>
    </w:rPr>
  </w:style>
  <w:style w:type="paragraph" w:styleId="23">
    <w:name w:val="header"/>
    <w:basedOn w:val="1"/>
    <w:link w:val="45"/>
    <w:autoRedefine/>
    <w:unhideWhenUsed/>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24">
    <w:name w:val="toc 1"/>
    <w:basedOn w:val="1"/>
    <w:next w:val="1"/>
    <w:autoRedefine/>
    <w:unhideWhenUsed/>
    <w:qFormat/>
    <w:uiPriority w:val="0"/>
  </w:style>
  <w:style w:type="paragraph" w:styleId="25">
    <w:name w:val="toc 4"/>
    <w:basedOn w:val="1"/>
    <w:next w:val="1"/>
    <w:autoRedefine/>
    <w:unhideWhenUsed/>
    <w:qFormat/>
    <w:uiPriority w:val="39"/>
    <w:pPr>
      <w:widowControl w:val="0"/>
      <w:spacing w:line="240" w:lineRule="auto"/>
      <w:ind w:left="1260" w:leftChars="600"/>
    </w:pPr>
    <w:rPr>
      <w:rFonts w:asciiTheme="minorHAnsi" w:hAnsiTheme="minorHAnsi" w:eastAsiaTheme="minorEastAsia"/>
      <w:sz w:val="21"/>
      <w:szCs w:val="22"/>
    </w:rPr>
  </w:style>
  <w:style w:type="paragraph" w:styleId="26">
    <w:name w:val="Subtitle"/>
    <w:basedOn w:val="1"/>
    <w:next w:val="1"/>
    <w:link w:val="69"/>
    <w:autoRedefine/>
    <w:qFormat/>
    <w:uiPriority w:val="11"/>
    <w:pPr>
      <w:spacing w:before="200" w:after="900"/>
      <w:jc w:val="right"/>
    </w:pPr>
    <w:rPr>
      <w:i/>
      <w:iCs/>
    </w:rPr>
  </w:style>
  <w:style w:type="paragraph" w:styleId="27">
    <w:name w:val="footnote text"/>
    <w:basedOn w:val="1"/>
    <w:link w:val="56"/>
    <w:autoRedefine/>
    <w:unhideWhenUsed/>
    <w:qFormat/>
    <w:uiPriority w:val="0"/>
    <w:pPr>
      <w:widowControl w:val="0"/>
      <w:snapToGrid w:val="0"/>
      <w:spacing w:line="240" w:lineRule="auto"/>
      <w:jc w:val="left"/>
    </w:pPr>
    <w:rPr>
      <w:rFonts w:ascii="Calibri" w:hAnsi="Calibri" w:cs="Times New Roman"/>
      <w:sz w:val="18"/>
    </w:rPr>
  </w:style>
  <w:style w:type="paragraph" w:styleId="28">
    <w:name w:val="toc 6"/>
    <w:basedOn w:val="1"/>
    <w:next w:val="1"/>
    <w:autoRedefine/>
    <w:unhideWhenUsed/>
    <w:qFormat/>
    <w:uiPriority w:val="39"/>
    <w:pPr>
      <w:widowControl w:val="0"/>
      <w:spacing w:line="240" w:lineRule="auto"/>
      <w:ind w:left="2100" w:leftChars="1000"/>
    </w:pPr>
    <w:rPr>
      <w:rFonts w:asciiTheme="minorHAnsi" w:hAnsiTheme="minorHAnsi" w:eastAsiaTheme="minorEastAsia"/>
      <w:sz w:val="21"/>
      <w:szCs w:val="22"/>
    </w:rPr>
  </w:style>
  <w:style w:type="paragraph" w:styleId="29">
    <w:name w:val="toc 2"/>
    <w:basedOn w:val="1"/>
    <w:next w:val="1"/>
    <w:autoRedefine/>
    <w:unhideWhenUsed/>
    <w:qFormat/>
    <w:uiPriority w:val="39"/>
    <w:pPr>
      <w:ind w:left="420" w:leftChars="200"/>
    </w:pPr>
  </w:style>
  <w:style w:type="paragraph" w:styleId="30">
    <w:name w:val="toc 9"/>
    <w:basedOn w:val="1"/>
    <w:next w:val="1"/>
    <w:autoRedefine/>
    <w:unhideWhenUsed/>
    <w:qFormat/>
    <w:uiPriority w:val="39"/>
    <w:pPr>
      <w:widowControl w:val="0"/>
      <w:spacing w:line="240" w:lineRule="auto"/>
      <w:ind w:left="3360" w:leftChars="1600"/>
    </w:pPr>
    <w:rPr>
      <w:rFonts w:asciiTheme="minorHAnsi" w:hAnsiTheme="minorHAnsi" w:eastAsiaTheme="minorEastAsia"/>
      <w:sz w:val="21"/>
      <w:szCs w:val="22"/>
    </w:rPr>
  </w:style>
  <w:style w:type="paragraph" w:styleId="31">
    <w:name w:val="Normal (Web)"/>
    <w:basedOn w:val="1"/>
    <w:qFormat/>
    <w:uiPriority w:val="0"/>
    <w:pPr>
      <w:spacing w:before="100" w:beforeAutospacing="1" w:after="100" w:afterAutospacing="1" w:line="240" w:lineRule="auto"/>
      <w:jc w:val="left"/>
    </w:pPr>
    <w:rPr>
      <w:rFonts w:cs="宋体"/>
      <w:kern w:val="0"/>
    </w:rPr>
  </w:style>
  <w:style w:type="paragraph" w:styleId="32">
    <w:name w:val="Title"/>
    <w:basedOn w:val="1"/>
    <w:next w:val="1"/>
    <w:link w:val="68"/>
    <w:autoRedefine/>
    <w:qFormat/>
    <w:uiPriority w:val="10"/>
    <w:pPr>
      <w:pBdr>
        <w:top w:val="single" w:color="ADCDEA" w:themeColor="accent1" w:themeTint="7F" w:sz="8" w:space="10"/>
        <w:bottom w:val="single" w:color="A5A5A5" w:themeColor="accent3" w:sz="24" w:space="15"/>
      </w:pBdr>
      <w:jc w:val="center"/>
    </w:pPr>
    <w:rPr>
      <w:rFonts w:asciiTheme="majorHAnsi" w:hAnsiTheme="majorHAnsi" w:eastAsiaTheme="majorEastAsia" w:cstheme="majorBidi"/>
      <w:i/>
      <w:iCs/>
      <w:color w:val="1F4E79" w:themeColor="accent1" w:themeShade="80"/>
      <w:sz w:val="60"/>
      <w:szCs w:val="60"/>
    </w:rPr>
  </w:style>
  <w:style w:type="paragraph" w:styleId="33">
    <w:name w:val="annotation subject"/>
    <w:basedOn w:val="14"/>
    <w:next w:val="14"/>
    <w:link w:val="85"/>
    <w:unhideWhenUsed/>
    <w:qFormat/>
    <w:uiPriority w:val="99"/>
    <w:rPr>
      <w:b/>
      <w:bCs/>
    </w:rPr>
  </w:style>
  <w:style w:type="table" w:styleId="35">
    <w:name w:val="Table Grid"/>
    <w:basedOn w:val="34"/>
    <w:autoRedefine/>
    <w:qFormat/>
    <w:uiPriority w:val="0"/>
    <w:rPr>
      <w:rFonts w:asciiTheme="minorHAnsi" w:hAnsiTheme="minorHAnsi" w:eastAsiaTheme="minorEastAsia"/>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37">
    <w:name w:val="Strong"/>
    <w:basedOn w:val="36"/>
    <w:autoRedefine/>
    <w:qFormat/>
    <w:uiPriority w:val="22"/>
    <w:rPr>
      <w:b/>
      <w:bCs/>
      <w:spacing w:val="0"/>
    </w:rPr>
  </w:style>
  <w:style w:type="character" w:styleId="38">
    <w:name w:val="page number"/>
    <w:autoRedefine/>
    <w:qFormat/>
    <w:uiPriority w:val="0"/>
    <w:rPr>
      <w:rFonts w:cs="Times New Roman"/>
    </w:rPr>
  </w:style>
  <w:style w:type="character" w:styleId="39">
    <w:name w:val="FollowedHyperlink"/>
    <w:basedOn w:val="36"/>
    <w:autoRedefine/>
    <w:semiHidden/>
    <w:unhideWhenUsed/>
    <w:qFormat/>
    <w:uiPriority w:val="99"/>
    <w:rPr>
      <w:color w:val="954F72" w:themeColor="followedHyperlink"/>
      <w:u w:val="single"/>
      <w14:textFill>
        <w14:solidFill>
          <w14:schemeClr w14:val="folHlink"/>
        </w14:solidFill>
      </w14:textFill>
    </w:rPr>
  </w:style>
  <w:style w:type="character" w:styleId="40">
    <w:name w:val="Emphasis"/>
    <w:autoRedefine/>
    <w:qFormat/>
    <w:uiPriority w:val="20"/>
    <w:rPr>
      <w:b/>
      <w:bCs/>
      <w:i/>
      <w:iCs/>
      <w:color w:val="595959" w:themeColor="text1" w:themeTint="A6"/>
      <w14:textFill>
        <w14:solidFill>
          <w14:schemeClr w14:val="tx1">
            <w14:lumMod w14:val="65000"/>
            <w14:lumOff w14:val="35000"/>
          </w14:schemeClr>
        </w14:solidFill>
      </w14:textFill>
    </w:rPr>
  </w:style>
  <w:style w:type="character" w:styleId="41">
    <w:name w:val="Hyperlink"/>
    <w:basedOn w:val="36"/>
    <w:autoRedefine/>
    <w:unhideWhenUsed/>
    <w:qFormat/>
    <w:uiPriority w:val="99"/>
    <w:rPr>
      <w:color w:val="0563C1" w:themeColor="hyperlink"/>
      <w:u w:val="single"/>
      <w14:textFill>
        <w14:solidFill>
          <w14:schemeClr w14:val="hlink"/>
        </w14:solidFill>
      </w14:textFill>
    </w:rPr>
  </w:style>
  <w:style w:type="character" w:styleId="42">
    <w:name w:val="annotation reference"/>
    <w:basedOn w:val="36"/>
    <w:autoRedefine/>
    <w:unhideWhenUsed/>
    <w:qFormat/>
    <w:uiPriority w:val="99"/>
    <w:rPr>
      <w:sz w:val="21"/>
      <w:szCs w:val="21"/>
    </w:rPr>
  </w:style>
  <w:style w:type="character" w:styleId="43">
    <w:name w:val="footnote reference"/>
    <w:autoRedefine/>
    <w:unhideWhenUsed/>
    <w:qFormat/>
    <w:uiPriority w:val="0"/>
    <w:rPr>
      <w:vertAlign w:val="superscript"/>
    </w:rPr>
  </w:style>
  <w:style w:type="paragraph" w:customStyle="1" w:styleId="44">
    <w:name w:val="样式1"/>
    <w:basedOn w:val="1"/>
    <w:qFormat/>
    <w:uiPriority w:val="99"/>
    <w:pPr>
      <w:widowControl w:val="0"/>
      <w:topLinePunct/>
      <w:spacing w:line="960" w:lineRule="auto"/>
      <w:jc w:val="center"/>
    </w:pPr>
    <w:rPr>
      <w:rFonts w:ascii="Times New Roman" w:hAnsi="Times New Roman" w:cs="Times New Roman"/>
      <w:sz w:val="28"/>
      <w:szCs w:val="28"/>
    </w:rPr>
  </w:style>
  <w:style w:type="character" w:customStyle="1" w:styleId="45">
    <w:name w:val="页眉 字符"/>
    <w:basedOn w:val="36"/>
    <w:link w:val="23"/>
    <w:autoRedefine/>
    <w:qFormat/>
    <w:uiPriority w:val="0"/>
    <w:rPr>
      <w:sz w:val="18"/>
      <w:szCs w:val="18"/>
    </w:rPr>
  </w:style>
  <w:style w:type="character" w:customStyle="1" w:styleId="46">
    <w:name w:val="页脚 字符"/>
    <w:basedOn w:val="36"/>
    <w:link w:val="22"/>
    <w:autoRedefine/>
    <w:qFormat/>
    <w:uiPriority w:val="0"/>
    <w:rPr>
      <w:sz w:val="18"/>
      <w:szCs w:val="18"/>
    </w:rPr>
  </w:style>
  <w:style w:type="character" w:customStyle="1" w:styleId="47">
    <w:name w:val="日期 字符"/>
    <w:basedOn w:val="36"/>
    <w:link w:val="20"/>
    <w:autoRedefine/>
    <w:qFormat/>
    <w:uiPriority w:val="0"/>
  </w:style>
  <w:style w:type="character" w:customStyle="1" w:styleId="48">
    <w:name w:val="标题 1 字符"/>
    <w:basedOn w:val="36"/>
    <w:link w:val="2"/>
    <w:autoRedefine/>
    <w:qFormat/>
    <w:uiPriority w:val="9"/>
    <w:rPr>
      <w:b/>
      <w:bCs/>
      <w:kern w:val="44"/>
      <w:sz w:val="44"/>
      <w:szCs w:val="44"/>
    </w:rPr>
  </w:style>
  <w:style w:type="paragraph" w:customStyle="1" w:styleId="49">
    <w:name w:val="TOC 标题1"/>
    <w:basedOn w:val="2"/>
    <w:next w:val="1"/>
    <w:autoRedefine/>
    <w:unhideWhenUsed/>
    <w:qFormat/>
    <w:uiPriority w:val="39"/>
    <w:pPr>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styleId="50">
    <w:name w:val="List Paragraph"/>
    <w:basedOn w:val="1"/>
    <w:autoRedefine/>
    <w:qFormat/>
    <w:uiPriority w:val="34"/>
    <w:pPr>
      <w:ind w:firstLine="420" w:firstLineChars="200"/>
    </w:pPr>
  </w:style>
  <w:style w:type="paragraph" w:customStyle="1" w:styleId="51">
    <w:name w:val="1级标题"/>
    <w:basedOn w:val="2"/>
    <w:link w:val="52"/>
    <w:autoRedefine/>
    <w:qFormat/>
    <w:uiPriority w:val="0"/>
    <w:pPr>
      <w:widowControl w:val="0"/>
      <w:snapToGrid w:val="0"/>
      <w:spacing w:before="120" w:line="360" w:lineRule="auto"/>
      <w:ind w:firstLine="420" w:firstLineChars="200"/>
      <w:jc w:val="center"/>
    </w:pPr>
    <w:rPr>
      <w:rFonts w:cs="Times New Roman"/>
      <w:b w:val="0"/>
      <w:sz w:val="21"/>
      <w:szCs w:val="21"/>
    </w:rPr>
  </w:style>
  <w:style w:type="character" w:customStyle="1" w:styleId="52">
    <w:name w:val="1级标题 Char"/>
    <w:basedOn w:val="48"/>
    <w:link w:val="51"/>
    <w:autoRedefine/>
    <w:qFormat/>
    <w:uiPriority w:val="0"/>
    <w:rPr>
      <w:rFonts w:cs="Times New Roman"/>
      <w:b w:val="0"/>
      <w:kern w:val="44"/>
      <w:sz w:val="21"/>
      <w:szCs w:val="21"/>
    </w:rPr>
  </w:style>
  <w:style w:type="paragraph" w:customStyle="1" w:styleId="53">
    <w:name w:val="列出段落1"/>
    <w:basedOn w:val="1"/>
    <w:autoRedefine/>
    <w:qFormat/>
    <w:uiPriority w:val="0"/>
    <w:pPr>
      <w:widowControl w:val="0"/>
      <w:spacing w:line="240" w:lineRule="auto"/>
      <w:ind w:firstLine="420" w:firstLineChars="200"/>
    </w:pPr>
    <w:rPr>
      <w:rFonts w:ascii="Times New Roman" w:hAnsi="Times New Roman" w:cs="Times New Roman"/>
      <w:sz w:val="21"/>
    </w:rPr>
  </w:style>
  <w:style w:type="character" w:customStyle="1" w:styleId="54">
    <w:name w:val="页脚 Char3"/>
    <w:basedOn w:val="36"/>
    <w:autoRedefine/>
    <w:qFormat/>
    <w:uiPriority w:val="99"/>
    <w:rPr>
      <w:rFonts w:ascii="Times New Roman" w:hAnsi="Times New Roman" w:eastAsia="宋体" w:cs="Times New Roman"/>
      <w:sz w:val="18"/>
      <w:szCs w:val="20"/>
    </w:rPr>
  </w:style>
  <w:style w:type="character" w:customStyle="1" w:styleId="55">
    <w:name w:val="批注框文本 字符"/>
    <w:basedOn w:val="36"/>
    <w:link w:val="21"/>
    <w:autoRedefine/>
    <w:qFormat/>
    <w:uiPriority w:val="0"/>
    <w:rPr>
      <w:sz w:val="18"/>
      <w:szCs w:val="18"/>
    </w:rPr>
  </w:style>
  <w:style w:type="character" w:customStyle="1" w:styleId="56">
    <w:name w:val="脚注文本 字符"/>
    <w:basedOn w:val="36"/>
    <w:link w:val="27"/>
    <w:autoRedefine/>
    <w:qFormat/>
    <w:uiPriority w:val="0"/>
    <w:rPr>
      <w:rFonts w:ascii="Calibri" w:hAnsi="Calibri" w:cs="Times New Roman"/>
      <w:sz w:val="18"/>
    </w:rPr>
  </w:style>
  <w:style w:type="paragraph" w:customStyle="1" w:styleId="57">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58">
    <w:name w:val="批注文字 字符"/>
    <w:basedOn w:val="36"/>
    <w:link w:val="14"/>
    <w:autoRedefine/>
    <w:qFormat/>
    <w:uiPriority w:val="99"/>
  </w:style>
  <w:style w:type="character" w:customStyle="1" w:styleId="59">
    <w:name w:val="文档结构图 字符"/>
    <w:basedOn w:val="36"/>
    <w:link w:val="13"/>
    <w:autoRedefine/>
    <w:semiHidden/>
    <w:qFormat/>
    <w:uiPriority w:val="99"/>
    <w:rPr>
      <w:sz w:val="18"/>
      <w:szCs w:val="18"/>
    </w:rPr>
  </w:style>
  <w:style w:type="character" w:customStyle="1" w:styleId="60">
    <w:name w:val="标题 2 字符"/>
    <w:basedOn w:val="36"/>
    <w:link w:val="3"/>
    <w:autoRedefine/>
    <w:qFormat/>
    <w:uiPriority w:val="9"/>
    <w:rPr>
      <w:rFonts w:asciiTheme="majorHAnsi" w:hAnsiTheme="majorHAnsi" w:eastAsiaTheme="majorEastAsia" w:cstheme="majorBidi"/>
      <w:color w:val="2E75B6" w:themeColor="accent1" w:themeShade="BF"/>
    </w:rPr>
  </w:style>
  <w:style w:type="character" w:customStyle="1" w:styleId="61">
    <w:name w:val="标题 3 字符"/>
    <w:basedOn w:val="36"/>
    <w:link w:val="4"/>
    <w:autoRedefine/>
    <w:qFormat/>
    <w:uiPriority w:val="9"/>
    <w:rPr>
      <w:rFonts w:asciiTheme="majorHAnsi" w:hAnsiTheme="majorHAnsi" w:eastAsiaTheme="majorEastAsia" w:cstheme="majorBidi"/>
      <w:color w:val="5B9BD5" w:themeColor="accent1"/>
      <w14:textFill>
        <w14:solidFill>
          <w14:schemeClr w14:val="accent1"/>
        </w14:solidFill>
      </w14:textFill>
    </w:rPr>
  </w:style>
  <w:style w:type="character" w:customStyle="1" w:styleId="62">
    <w:name w:val="标题 4 字符"/>
    <w:basedOn w:val="36"/>
    <w:link w:val="5"/>
    <w:autoRedefine/>
    <w:qFormat/>
    <w:uiPriority w:val="9"/>
    <w:rPr>
      <w:rFonts w:asciiTheme="majorHAnsi" w:hAnsiTheme="majorHAnsi" w:eastAsiaTheme="majorEastAsia" w:cstheme="majorBidi"/>
      <w:i/>
      <w:iCs/>
      <w:color w:val="5B9BD5" w:themeColor="accent1"/>
      <w14:textFill>
        <w14:solidFill>
          <w14:schemeClr w14:val="accent1"/>
        </w14:solidFill>
      </w14:textFill>
    </w:rPr>
  </w:style>
  <w:style w:type="character" w:customStyle="1" w:styleId="63">
    <w:name w:val="标题 5 字符"/>
    <w:basedOn w:val="36"/>
    <w:link w:val="6"/>
    <w:autoRedefine/>
    <w:qFormat/>
    <w:uiPriority w:val="9"/>
    <w:rPr>
      <w:rFonts w:asciiTheme="majorHAnsi" w:hAnsiTheme="majorHAnsi" w:eastAsiaTheme="majorEastAsia" w:cstheme="majorBidi"/>
      <w:color w:val="5B9BD5" w:themeColor="accent1"/>
      <w14:textFill>
        <w14:solidFill>
          <w14:schemeClr w14:val="accent1"/>
        </w14:solidFill>
      </w14:textFill>
    </w:rPr>
  </w:style>
  <w:style w:type="character" w:customStyle="1" w:styleId="64">
    <w:name w:val="标题 6 字符"/>
    <w:basedOn w:val="36"/>
    <w:link w:val="7"/>
    <w:autoRedefine/>
    <w:qFormat/>
    <w:uiPriority w:val="9"/>
    <w:rPr>
      <w:rFonts w:asciiTheme="majorHAnsi" w:hAnsiTheme="majorHAnsi" w:eastAsiaTheme="majorEastAsia" w:cstheme="majorBidi"/>
      <w:i/>
      <w:iCs/>
      <w:color w:val="5B9BD5" w:themeColor="accent1"/>
      <w14:textFill>
        <w14:solidFill>
          <w14:schemeClr w14:val="accent1"/>
        </w14:solidFill>
      </w14:textFill>
    </w:rPr>
  </w:style>
  <w:style w:type="character" w:customStyle="1" w:styleId="65">
    <w:name w:val="标题 7 字符"/>
    <w:basedOn w:val="36"/>
    <w:link w:val="8"/>
    <w:autoRedefine/>
    <w:qFormat/>
    <w:uiPriority w:val="9"/>
    <w:rPr>
      <w:rFonts w:asciiTheme="majorHAnsi" w:hAnsiTheme="majorHAnsi" w:eastAsiaTheme="majorEastAsia" w:cstheme="majorBidi"/>
      <w:b/>
      <w:bCs/>
      <w:color w:val="A5A5A5" w:themeColor="accent3"/>
      <w:sz w:val="20"/>
      <w:szCs w:val="20"/>
      <w14:textFill>
        <w14:solidFill>
          <w14:schemeClr w14:val="accent3"/>
        </w14:solidFill>
      </w14:textFill>
    </w:rPr>
  </w:style>
  <w:style w:type="character" w:customStyle="1" w:styleId="66">
    <w:name w:val="标题 8 字符"/>
    <w:basedOn w:val="36"/>
    <w:link w:val="9"/>
    <w:autoRedefine/>
    <w:qFormat/>
    <w:uiPriority w:val="9"/>
    <w:rPr>
      <w:rFonts w:asciiTheme="majorHAnsi" w:hAnsiTheme="majorHAnsi" w:eastAsiaTheme="majorEastAsia" w:cstheme="majorBidi"/>
      <w:b/>
      <w:bCs/>
      <w:i/>
      <w:iCs/>
      <w:color w:val="A5A5A5" w:themeColor="accent3"/>
      <w:sz w:val="20"/>
      <w:szCs w:val="20"/>
      <w14:textFill>
        <w14:solidFill>
          <w14:schemeClr w14:val="accent3"/>
        </w14:solidFill>
      </w14:textFill>
    </w:rPr>
  </w:style>
  <w:style w:type="character" w:customStyle="1" w:styleId="67">
    <w:name w:val="标题 9 字符"/>
    <w:basedOn w:val="36"/>
    <w:link w:val="10"/>
    <w:autoRedefine/>
    <w:qFormat/>
    <w:uiPriority w:val="9"/>
    <w:rPr>
      <w:rFonts w:asciiTheme="majorHAnsi" w:hAnsiTheme="majorHAnsi" w:eastAsiaTheme="majorEastAsia" w:cstheme="majorBidi"/>
      <w:i/>
      <w:iCs/>
      <w:color w:val="A5A5A5" w:themeColor="accent3"/>
      <w:sz w:val="20"/>
      <w:szCs w:val="20"/>
      <w14:textFill>
        <w14:solidFill>
          <w14:schemeClr w14:val="accent3"/>
        </w14:solidFill>
      </w14:textFill>
    </w:rPr>
  </w:style>
  <w:style w:type="character" w:customStyle="1" w:styleId="68">
    <w:name w:val="标题 字符"/>
    <w:basedOn w:val="36"/>
    <w:link w:val="32"/>
    <w:autoRedefine/>
    <w:qFormat/>
    <w:uiPriority w:val="10"/>
    <w:rPr>
      <w:rFonts w:asciiTheme="majorHAnsi" w:hAnsiTheme="majorHAnsi" w:eastAsiaTheme="majorEastAsia" w:cstheme="majorBidi"/>
      <w:i/>
      <w:iCs/>
      <w:color w:val="1F4E79" w:themeColor="accent1" w:themeShade="80"/>
      <w:sz w:val="60"/>
      <w:szCs w:val="60"/>
    </w:rPr>
  </w:style>
  <w:style w:type="character" w:customStyle="1" w:styleId="69">
    <w:name w:val="副标题 字符"/>
    <w:basedOn w:val="36"/>
    <w:link w:val="26"/>
    <w:autoRedefine/>
    <w:qFormat/>
    <w:uiPriority w:val="11"/>
    <w:rPr>
      <w:i/>
      <w:iCs/>
    </w:rPr>
  </w:style>
  <w:style w:type="paragraph" w:styleId="70">
    <w:name w:val="No Spacing"/>
    <w:basedOn w:val="1"/>
    <w:link w:val="71"/>
    <w:autoRedefine/>
    <w:qFormat/>
    <w:uiPriority w:val="1"/>
  </w:style>
  <w:style w:type="character" w:customStyle="1" w:styleId="71">
    <w:name w:val="无间隔 字符"/>
    <w:basedOn w:val="36"/>
    <w:link w:val="70"/>
    <w:autoRedefine/>
    <w:qFormat/>
    <w:uiPriority w:val="1"/>
  </w:style>
  <w:style w:type="paragraph" w:styleId="72">
    <w:name w:val="Quote"/>
    <w:basedOn w:val="1"/>
    <w:next w:val="1"/>
    <w:link w:val="73"/>
    <w:autoRedefine/>
    <w:qFormat/>
    <w:uiPriority w:val="29"/>
    <w:rPr>
      <w:rFonts w:asciiTheme="majorHAnsi" w:hAnsiTheme="majorHAnsi"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73">
    <w:name w:val="引用 字符"/>
    <w:basedOn w:val="36"/>
    <w:link w:val="72"/>
    <w:autoRedefine/>
    <w:qFormat/>
    <w:uiPriority w:val="29"/>
    <w:rPr>
      <w:rFonts w:asciiTheme="majorHAnsi" w:hAnsiTheme="majorHAnsi" w:eastAsiaTheme="majorEastAsia" w:cstheme="majorBidi"/>
      <w:i/>
      <w:iCs/>
      <w:color w:val="595959" w:themeColor="text1" w:themeTint="A6"/>
      <w14:textFill>
        <w14:solidFill>
          <w14:schemeClr w14:val="tx1">
            <w14:lumMod w14:val="65000"/>
            <w14:lumOff w14:val="35000"/>
          </w14:schemeClr>
        </w14:solidFill>
      </w14:textFill>
    </w:rPr>
  </w:style>
  <w:style w:type="paragraph" w:styleId="74">
    <w:name w:val="Intense Quote"/>
    <w:basedOn w:val="1"/>
    <w:next w:val="1"/>
    <w:link w:val="75"/>
    <w:autoRedefine/>
    <w:qFormat/>
    <w:uiPriority w:val="30"/>
    <w:pPr>
      <w:pBdr>
        <w:top w:val="single" w:color="BDD6EE" w:themeColor="accent1" w:themeTint="66" w:sz="12" w:space="10"/>
        <w:left w:val="single" w:color="5B9BD5" w:themeColor="accent1" w:sz="36" w:space="4"/>
        <w:bottom w:val="single" w:color="A5A5A5" w:themeColor="accent3" w:sz="24" w:space="10"/>
        <w:right w:val="single" w:color="5B9BD5" w:themeColor="accent1" w:sz="36" w:space="4"/>
      </w:pBdr>
      <w:shd w:val="clear" w:color="auto" w:fill="5B9BD5" w:themeFill="accent1"/>
      <w:spacing w:before="320" w:after="320" w:line="300" w:lineRule="auto"/>
      <w:ind w:left="1440" w:right="1440"/>
    </w:pPr>
    <w:rPr>
      <w:rFonts w:asciiTheme="majorHAnsi" w:hAnsiTheme="majorHAnsi" w:eastAsiaTheme="majorEastAsia" w:cstheme="majorBidi"/>
      <w:i/>
      <w:iCs/>
      <w:color w:val="FFFFFF" w:themeColor="background1"/>
      <w14:textFill>
        <w14:solidFill>
          <w14:schemeClr w14:val="bg1"/>
        </w14:solidFill>
      </w14:textFill>
    </w:rPr>
  </w:style>
  <w:style w:type="character" w:customStyle="1" w:styleId="75">
    <w:name w:val="明显引用 字符"/>
    <w:basedOn w:val="36"/>
    <w:link w:val="74"/>
    <w:autoRedefine/>
    <w:qFormat/>
    <w:uiPriority w:val="30"/>
    <w:rPr>
      <w:rFonts w:asciiTheme="majorHAnsi" w:hAnsiTheme="majorHAnsi" w:eastAsiaTheme="majorEastAsia" w:cstheme="majorBidi"/>
      <w:i/>
      <w:iCs/>
      <w:color w:val="FFFFFF" w:themeColor="background1"/>
      <w:shd w:val="clear" w:color="auto" w:fill="5B9BD5" w:themeFill="accent1"/>
      <w14:textFill>
        <w14:solidFill>
          <w14:schemeClr w14:val="bg1"/>
        </w14:solidFill>
      </w14:textFill>
    </w:rPr>
  </w:style>
  <w:style w:type="character" w:customStyle="1" w:styleId="76">
    <w:name w:val="不明显强调1"/>
    <w:autoRedefine/>
    <w:qFormat/>
    <w:uiPriority w:val="19"/>
    <w:rPr>
      <w:i/>
      <w:iCs/>
      <w:color w:val="595959" w:themeColor="text1" w:themeTint="A6"/>
      <w14:textFill>
        <w14:solidFill>
          <w14:schemeClr w14:val="tx1">
            <w14:lumMod w14:val="65000"/>
            <w14:lumOff w14:val="35000"/>
          </w14:schemeClr>
        </w14:solidFill>
      </w14:textFill>
    </w:rPr>
  </w:style>
  <w:style w:type="character" w:customStyle="1" w:styleId="77">
    <w:name w:val="明显强调1"/>
    <w:autoRedefine/>
    <w:qFormat/>
    <w:uiPriority w:val="21"/>
    <w:rPr>
      <w:b/>
      <w:bCs/>
      <w:i/>
      <w:iCs/>
      <w:color w:val="5B9BD5" w:themeColor="accent1"/>
      <w:sz w:val="22"/>
      <w:szCs w:val="22"/>
      <w14:textFill>
        <w14:solidFill>
          <w14:schemeClr w14:val="accent1"/>
        </w14:solidFill>
      </w14:textFill>
    </w:rPr>
  </w:style>
  <w:style w:type="character" w:customStyle="1" w:styleId="78">
    <w:name w:val="不明显参考1"/>
    <w:autoRedefine/>
    <w:qFormat/>
    <w:uiPriority w:val="31"/>
    <w:rPr>
      <w:color w:val="auto"/>
      <w:u w:val="single" w:color="A5A5A5" w:themeColor="accent3"/>
    </w:rPr>
  </w:style>
  <w:style w:type="character" w:customStyle="1" w:styleId="79">
    <w:name w:val="明显参考1"/>
    <w:basedOn w:val="36"/>
    <w:autoRedefine/>
    <w:qFormat/>
    <w:uiPriority w:val="32"/>
    <w:rPr>
      <w:b/>
      <w:bCs/>
      <w:color w:val="7C7C7C" w:themeColor="accent3" w:themeShade="BF"/>
      <w:u w:val="single" w:color="A5A5A5" w:themeColor="accent3"/>
    </w:rPr>
  </w:style>
  <w:style w:type="character" w:customStyle="1" w:styleId="80">
    <w:name w:val="书籍标题1"/>
    <w:basedOn w:val="36"/>
    <w:autoRedefine/>
    <w:qFormat/>
    <w:uiPriority w:val="33"/>
    <w:rPr>
      <w:rFonts w:asciiTheme="majorHAnsi" w:hAnsiTheme="majorHAnsi" w:eastAsiaTheme="majorEastAsia" w:cstheme="majorBidi"/>
      <w:b/>
      <w:bCs/>
      <w:i/>
      <w:iCs/>
      <w:color w:val="auto"/>
    </w:rPr>
  </w:style>
  <w:style w:type="paragraph" w:customStyle="1" w:styleId="81">
    <w:name w:val="无间隔1"/>
    <w:autoRedefine/>
    <w:qFormat/>
    <w:uiPriority w:val="0"/>
    <w:pPr>
      <w:adjustRightInd w:val="0"/>
      <w:snapToGrid w:val="0"/>
      <w:ind w:firstLine="360"/>
    </w:pPr>
    <w:rPr>
      <w:rFonts w:asciiTheme="minorHAnsi" w:hAnsiTheme="minorHAnsi" w:eastAsiaTheme="minorEastAsia" w:cstheme="minorBidi"/>
      <w:sz w:val="22"/>
      <w:szCs w:val="22"/>
      <w:lang w:val="en-US" w:eastAsia="zh-CN" w:bidi="ar-SA"/>
    </w:rPr>
  </w:style>
  <w:style w:type="character" w:customStyle="1" w:styleId="82">
    <w:name w:val="fontstyle01"/>
    <w:autoRedefine/>
    <w:qFormat/>
    <w:uiPriority w:val="0"/>
    <w:rPr>
      <w:rFonts w:ascii="宋体" w:hAnsi="宋体" w:eastAsia="宋体" w:cs="宋体"/>
      <w:color w:val="000000"/>
      <w:sz w:val="28"/>
      <w:szCs w:val="28"/>
    </w:rPr>
  </w:style>
  <w:style w:type="paragraph" w:customStyle="1" w:styleId="83">
    <w:name w:val="湖南有色左"/>
    <w:basedOn w:val="1"/>
    <w:autoRedefine/>
    <w:qFormat/>
    <w:uiPriority w:val="0"/>
    <w:rPr>
      <w:rFonts w:ascii="Arial" w:hAnsi="Arial" w:cs="Times New Roman"/>
      <w:sz w:val="21"/>
      <w:szCs w:val="21"/>
    </w:rPr>
  </w:style>
  <w:style w:type="paragraph" w:customStyle="1" w:styleId="84">
    <w:name w:val="Revision"/>
    <w:hidden/>
    <w:semiHidden/>
    <w:qFormat/>
    <w:uiPriority w:val="99"/>
    <w:rPr>
      <w:rFonts w:ascii="宋体" w:hAnsi="宋体" w:eastAsia="宋体" w:cstheme="minorBidi"/>
      <w:kern w:val="2"/>
      <w:sz w:val="24"/>
      <w:szCs w:val="24"/>
      <w:lang w:val="en-US" w:eastAsia="zh-CN" w:bidi="ar-SA"/>
    </w:rPr>
  </w:style>
  <w:style w:type="character" w:customStyle="1" w:styleId="85">
    <w:name w:val="批注主题 字符"/>
    <w:basedOn w:val="58"/>
    <w:link w:val="33"/>
    <w:qFormat/>
    <w:uiPriority w:val="99"/>
    <w:rPr>
      <w:b/>
      <w:bCs/>
      <w:kern w:val="2"/>
      <w:sz w:val="24"/>
      <w:szCs w:val="24"/>
    </w:rPr>
  </w:style>
  <w:style w:type="paragraph" w:customStyle="1" w:styleId="86">
    <w:name w:val="列出段落11"/>
    <w:basedOn w:val="1"/>
    <w:qFormat/>
    <w:uiPriority w:val="99"/>
    <w:pPr>
      <w:widowControl w:val="0"/>
      <w:spacing w:line="240" w:lineRule="auto"/>
      <w:ind w:firstLine="420" w:firstLineChars="200"/>
    </w:pPr>
    <w:rPr>
      <w:rFonts w:ascii="Times New Roman" w:hAnsi="Times New Roman" w:cs="Times New Roman"/>
      <w:sz w:val="21"/>
    </w:rPr>
  </w:style>
  <w:style w:type="paragraph" w:customStyle="1" w:styleId="87">
    <w:name w:val="TOC Heading"/>
    <w:basedOn w:val="2"/>
    <w:next w:val="1"/>
    <w:unhideWhenUsed/>
    <w:qFormat/>
    <w:uiPriority w:val="39"/>
    <w:pPr>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88">
    <w:name w:val="正文文本 字符"/>
    <w:basedOn w:val="36"/>
    <w:link w:val="15"/>
    <w:qFormat/>
    <w:uiPriority w:val="99"/>
    <w:rPr>
      <w:rFonts w:ascii="华文中宋" w:hAnsi="华文中宋" w:eastAsia="华文中宋" w:cs="Times New Roman"/>
      <w:sz w:val="52"/>
      <w:szCs w:val="52"/>
    </w:rPr>
  </w:style>
  <w:style w:type="character" w:customStyle="1" w:styleId="89">
    <w:name w:val="纯文本 字符"/>
    <w:basedOn w:val="36"/>
    <w:link w:val="18"/>
    <w:qFormat/>
    <w:uiPriority w:val="0"/>
    <w:rPr>
      <w:rFonts w:hAnsi="Courier New" w:cs="Times New Roman" w:eastAsiaTheme="minorEastAsia"/>
      <w:kern w:val="2"/>
      <w:sz w:val="21"/>
      <w:szCs w:val="21"/>
    </w:rPr>
  </w:style>
  <w:style w:type="paragraph" w:customStyle="1" w:styleId="90">
    <w:name w:val="Char"/>
    <w:basedOn w:val="1"/>
    <w:qFormat/>
    <w:uiPriority w:val="0"/>
    <w:pPr>
      <w:widowControl w:val="0"/>
      <w:spacing w:line="240" w:lineRule="auto"/>
    </w:pPr>
    <w:rPr>
      <w:rFonts w:ascii="Times New Roman" w:hAnsi="Times New Roman" w:cs="Times New Roman"/>
      <w:sz w:val="21"/>
    </w:rPr>
  </w:style>
  <w:style w:type="character" w:customStyle="1" w:styleId="91">
    <w:name w:val="日期 Char1"/>
    <w:basedOn w:val="36"/>
    <w:semiHidden/>
    <w:qFormat/>
    <w:uiPriority w:val="99"/>
    <w:rPr>
      <w:rFonts w:ascii="Times New Roman" w:hAnsi="Times New Roman" w:eastAsia="宋体" w:cs="Times New Roman"/>
      <w:szCs w:val="24"/>
    </w:rPr>
  </w:style>
  <w:style w:type="character" w:customStyle="1" w:styleId="92">
    <w:name w:val="Date Char1"/>
    <w:semiHidden/>
    <w:qFormat/>
    <w:uiPriority w:val="99"/>
    <w:rPr>
      <w:rFonts w:ascii="Times New Roman" w:hAnsi="Times New Roman"/>
      <w:kern w:val="2"/>
      <w:sz w:val="21"/>
      <w:szCs w:val="24"/>
    </w:rPr>
  </w:style>
  <w:style w:type="character" w:customStyle="1" w:styleId="93">
    <w:name w:val="纯文本 Char1"/>
    <w:basedOn w:val="36"/>
    <w:qFormat/>
    <w:uiPriority w:val="0"/>
    <w:rPr>
      <w:rFonts w:ascii="宋体" w:hAnsi="Courier New" w:eastAsia="宋体" w:cs="Courier New"/>
      <w:szCs w:val="21"/>
    </w:rPr>
  </w:style>
  <w:style w:type="character" w:customStyle="1" w:styleId="94">
    <w:name w:val="Plain Text Char1"/>
    <w:semiHidden/>
    <w:qFormat/>
    <w:uiPriority w:val="99"/>
    <w:rPr>
      <w:rFonts w:ascii="宋体" w:hAnsi="Courier New" w:cs="Courier New"/>
      <w:kern w:val="2"/>
      <w:sz w:val="21"/>
      <w:szCs w:val="21"/>
    </w:rPr>
  </w:style>
  <w:style w:type="paragraph" w:customStyle="1" w:styleId="95">
    <w:name w:val="Char Char"/>
    <w:basedOn w:val="1"/>
    <w:qFormat/>
    <w:uiPriority w:val="0"/>
    <w:pPr>
      <w:widowControl w:val="0"/>
      <w:spacing w:line="240" w:lineRule="auto"/>
    </w:pPr>
    <w:rPr>
      <w:rFonts w:ascii="Times New Roman" w:hAnsi="Times New Roman" w:cs="Times New Roman"/>
      <w:sz w:val="21"/>
    </w:rPr>
  </w:style>
  <w:style w:type="character" w:customStyle="1" w:styleId="96">
    <w:name w:val="批注框文本 Char1"/>
    <w:basedOn w:val="36"/>
    <w:semiHidden/>
    <w:qFormat/>
    <w:uiPriority w:val="99"/>
    <w:rPr>
      <w:rFonts w:ascii="Times New Roman" w:hAnsi="Times New Roman" w:eastAsia="宋体" w:cs="Times New Roman"/>
      <w:sz w:val="18"/>
      <w:szCs w:val="18"/>
    </w:rPr>
  </w:style>
  <w:style w:type="paragraph" w:customStyle="1" w:styleId="97">
    <w:name w:val="Char1"/>
    <w:basedOn w:val="1"/>
    <w:qFormat/>
    <w:uiPriority w:val="0"/>
    <w:pPr>
      <w:widowControl w:val="0"/>
      <w:spacing w:line="240" w:lineRule="auto"/>
    </w:pPr>
    <w:rPr>
      <w:rFonts w:ascii="Times New Roman" w:hAnsi="Times New Roman" w:cs="Times New Roman"/>
      <w:sz w:val="21"/>
    </w:rPr>
  </w:style>
  <w:style w:type="character" w:customStyle="1" w:styleId="98">
    <w:name w:val="font21"/>
    <w:qFormat/>
    <w:uiPriority w:val="99"/>
    <w:rPr>
      <w:rFonts w:ascii="华文中宋" w:hAnsi="华文中宋" w:eastAsia="华文中宋"/>
      <w:color w:val="000000"/>
      <w:sz w:val="21"/>
      <w:u w:val="none"/>
    </w:rPr>
  </w:style>
  <w:style w:type="paragraph" w:customStyle="1" w:styleId="99">
    <w:name w:val="List Paragraph1"/>
    <w:basedOn w:val="1"/>
    <w:qFormat/>
    <w:uiPriority w:val="99"/>
    <w:pPr>
      <w:widowControl w:val="0"/>
      <w:spacing w:line="240" w:lineRule="auto"/>
      <w:ind w:left="720"/>
    </w:pPr>
    <w:rPr>
      <w:rFonts w:ascii="Calibri" w:hAnsi="Calibri" w:cs="Times New Roman"/>
      <w:sz w:val="21"/>
    </w:rPr>
  </w:style>
  <w:style w:type="character" w:customStyle="1" w:styleId="100">
    <w:name w:val="apple-converted-space"/>
    <w:basedOn w:val="36"/>
    <w:qFormat/>
    <w:uiPriority w:val="0"/>
  </w:style>
  <w:style w:type="paragraph" w:customStyle="1" w:styleId="101">
    <w:name w:val="修订1"/>
    <w:hidden/>
    <w:unhideWhenUsed/>
    <w:qFormat/>
    <w:uiPriority w:val="99"/>
    <w:rPr>
      <w:rFonts w:ascii="Calibri" w:hAnsi="Calibri" w:eastAsia="宋体" w:cs="Times New Roman"/>
      <w:kern w:val="2"/>
      <w:sz w:val="21"/>
      <w:szCs w:val="24"/>
      <w:lang w:val="en-US" w:eastAsia="zh-CN" w:bidi="ar-SA"/>
    </w:rPr>
  </w:style>
  <w:style w:type="character" w:customStyle="1" w:styleId="102">
    <w:name w:val="font31"/>
    <w:basedOn w:val="36"/>
    <w:qFormat/>
    <w:uiPriority w:val="0"/>
    <w:rPr>
      <w:rFonts w:hint="eastAsia" w:ascii="宋体" w:hAnsi="宋体" w:eastAsia="宋体" w:cs="宋体"/>
      <w:color w:val="000000"/>
      <w:sz w:val="21"/>
      <w:szCs w:val="21"/>
      <w:u w:val="none"/>
    </w:rPr>
  </w:style>
  <w:style w:type="character" w:customStyle="1" w:styleId="103">
    <w:name w:val="font81"/>
    <w:basedOn w:val="36"/>
    <w:qFormat/>
    <w:uiPriority w:val="0"/>
    <w:rPr>
      <w:rFonts w:ascii="等线" w:hAnsi="等线" w:eastAsia="等线" w:cs="等线"/>
      <w:color w:val="000000"/>
      <w:sz w:val="21"/>
      <w:szCs w:val="21"/>
      <w:u w:val="none"/>
    </w:rPr>
  </w:style>
  <w:style w:type="character" w:customStyle="1" w:styleId="104">
    <w:name w:val="font71"/>
    <w:basedOn w:val="36"/>
    <w:qFormat/>
    <w:uiPriority w:val="0"/>
    <w:rPr>
      <w:rFonts w:hint="eastAsia" w:ascii="宋体" w:hAnsi="宋体" w:eastAsia="宋体" w:cs="宋体"/>
      <w:color w:val="000000"/>
      <w:sz w:val="21"/>
      <w:szCs w:val="21"/>
      <w:u w:val="none"/>
    </w:rPr>
  </w:style>
  <w:style w:type="character" w:customStyle="1" w:styleId="105">
    <w:name w:val="font112"/>
    <w:basedOn w:val="36"/>
    <w:qFormat/>
    <w:uiPriority w:val="0"/>
    <w:rPr>
      <w:rFonts w:hint="eastAsia" w:ascii="等线" w:hAnsi="等线" w:eastAsia="等线" w:cs="等线"/>
      <w:color w:val="000000"/>
      <w:sz w:val="21"/>
      <w:szCs w:val="21"/>
      <w:u w:val="none"/>
    </w:rPr>
  </w:style>
  <w:style w:type="paragraph" w:customStyle="1" w:styleId="106">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07">
    <w:name w:val="标准文件_文件编号"/>
    <w:basedOn w:val="108"/>
    <w:autoRedefine/>
    <w:qFormat/>
    <w:uiPriority w:val="0"/>
    <w:pPr>
      <w:framePr w:w="9356" w:h="624" w:hRule="exact" w:hSpace="181" w:vSpace="181" w:wrap="auto" w:vAnchor="page" w:hAnchor="page" w:x="1419" w:y="3284"/>
      <w:widowControl/>
      <w:wordWrap w:val="0"/>
      <w:autoSpaceDE w:val="0"/>
      <w:autoSpaceDN w:val="0"/>
      <w:spacing w:line="280" w:lineRule="exact"/>
      <w:jc w:val="right"/>
    </w:pPr>
    <w:rPr>
      <w:rFonts w:ascii="黑体" w:hAnsi="Times New Roman" w:eastAsia="黑体"/>
      <w:bCs/>
      <w:kern w:val="0"/>
      <w:sz w:val="28"/>
      <w:szCs w:val="28"/>
    </w:rPr>
  </w:style>
  <w:style w:type="paragraph" w:customStyle="1" w:styleId="108">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9">
    <w:name w:val="标准文件_替换文件编号"/>
    <w:basedOn w:val="107"/>
    <w:autoRedefine/>
    <w:qFormat/>
    <w:uiPriority w:val="0"/>
    <w:pPr>
      <w:spacing w:before="57"/>
    </w:pPr>
    <w:rPr>
      <w:sz w:val="21"/>
    </w:rPr>
  </w:style>
  <w:style w:type="paragraph" w:customStyle="1" w:styleId="110">
    <w:name w:val="标准文件_文件名称"/>
    <w:basedOn w:val="1"/>
    <w:next w:val="1"/>
    <w:autoRedefine/>
    <w:qFormat/>
    <w:uiPriority w:val="0"/>
    <w:pPr>
      <w:framePr w:w="9639" w:h="6976" w:hRule="exact" w:wrap="auto" w:vAnchor="page" w:hAnchor="page" w:y="6408"/>
      <w:widowControl/>
      <w:spacing w:line="700" w:lineRule="exact"/>
      <w:jc w:val="center"/>
    </w:pPr>
    <w:rPr>
      <w:rFonts w:ascii="黑体" w:hAnsi="黑体" w:eastAsia="黑体"/>
      <w:bCs/>
      <w:kern w:val="0"/>
      <w:sz w:val="52"/>
      <w:szCs w:val="20"/>
    </w:rPr>
  </w:style>
  <w:style w:type="paragraph" w:customStyle="1" w:styleId="111">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12">
    <w:name w:val="其他发布日期"/>
    <w:basedOn w:val="1"/>
    <w:autoRedefine/>
    <w:qFormat/>
    <w:uiPriority w:val="0"/>
    <w:pPr>
      <w:framePr w:w="3997" w:h="471" w:hRule="exact" w:vSpace="181" w:wrap="around" w:vAnchor="page" w:hAnchor="page" w:x="1419" w:y="14097" w:anchorLock="1"/>
      <w:widowControl/>
      <w:jc w:val="left"/>
    </w:pPr>
    <w:rPr>
      <w:rFonts w:ascii="Times New Roman" w:hAnsi="Times New Roman" w:eastAsia="黑体"/>
      <w:kern w:val="0"/>
      <w:sz w:val="28"/>
      <w:szCs w:val="20"/>
    </w:rPr>
  </w:style>
  <w:style w:type="paragraph" w:customStyle="1" w:styleId="113">
    <w:name w:val="其他实施日期"/>
    <w:basedOn w:val="1"/>
    <w:autoRedefine/>
    <w:qFormat/>
    <w:uiPriority w:val="0"/>
    <w:pPr>
      <w:framePr w:w="3997" w:h="471" w:hRule="exact" w:vSpace="181" w:wrap="around" w:vAnchor="page" w:hAnchor="page" w:x="7089" w:y="14097" w:anchorLock="1"/>
      <w:widowControl/>
      <w:jc w:val="right"/>
    </w:pPr>
    <w:rPr>
      <w:rFonts w:ascii="Times New Roman" w:hAnsi="Times New Roman" w:eastAsia="黑体"/>
      <w:kern w:val="0"/>
      <w:sz w:val="28"/>
      <w:szCs w:val="20"/>
    </w:rPr>
  </w:style>
  <w:style w:type="paragraph" w:customStyle="1" w:styleId="114">
    <w:name w:val="其他发布部门"/>
    <w:basedOn w:val="1"/>
    <w:autoRedefine/>
    <w:qFormat/>
    <w:uiPriority w:val="0"/>
    <w:pPr>
      <w:framePr w:w="7433" w:h="585" w:hRule="exact" w:hSpace="180" w:vSpace="180" w:wrap="around" w:vAnchor="margin" w:hAnchor="margin" w:xAlign="center" w:y="14401" w:anchorLock="1"/>
      <w:widowControl/>
      <w:spacing w:line="0" w:lineRule="atLeast"/>
      <w:jc w:val="center"/>
    </w:pPr>
    <w:rPr>
      <w:rFonts w:ascii="黑体" w:hAnsi="Times New Roman" w:eastAsia="黑体"/>
      <w:w w:val="135"/>
      <w:kern w:val="0"/>
      <w:sz w:val="36"/>
      <w:szCs w:val="20"/>
    </w:rPr>
  </w:style>
  <w:style w:type="character" w:customStyle="1" w:styleId="115">
    <w:name w:val="发布"/>
    <w:basedOn w:val="36"/>
    <w:autoRedefine/>
    <w:qFormat/>
    <w:uiPriority w:val="0"/>
    <w:rPr>
      <w:rFonts w:ascii="黑体" w:eastAsia="黑体"/>
      <w:spacing w:val="85"/>
      <w:w w:val="100"/>
      <w:position w:val="3"/>
      <w:sz w:val="28"/>
      <w:szCs w:val="28"/>
    </w:rPr>
  </w:style>
  <w:style w:type="paragraph" w:customStyle="1" w:styleId="116">
    <w:name w:val="ZW"/>
    <w:basedOn w:val="1"/>
    <w:qFormat/>
    <w:uiPriority w:val="0"/>
    <w:pPr>
      <w:ind w:firstLine="1148" w:firstLineChars="200"/>
    </w:pPr>
    <w:rPr>
      <w:rFonts w:ascii="Times New Roman" w:hAnsi="Times New Roman"/>
    </w:rPr>
  </w:style>
  <w:style w:type="paragraph" w:customStyle="1" w:styleId="117">
    <w:name w:val="前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8">
    <w:name w:val="WPSOffice手动目录 1"/>
    <w:uiPriority w:val="0"/>
    <w:pPr>
      <w:ind w:leftChars="0"/>
    </w:pPr>
    <w:rPr>
      <w:sz w:val="20"/>
      <w:szCs w:val="20"/>
    </w:rPr>
  </w:style>
  <w:style w:type="paragraph" w:customStyle="1" w:styleId="119">
    <w:name w:val="WPSOffice手动目录 2"/>
    <w:uiPriority w:val="0"/>
    <w:pPr>
      <w:ind w:leftChars="200"/>
    </w:pPr>
    <w:rPr>
      <w:sz w:val="20"/>
      <w:szCs w:val="20"/>
    </w:rPr>
  </w:style>
  <w:style w:type="paragraph" w:customStyle="1" w:styleId="120">
    <w:name w:val="WPSOffice手动目录 3"/>
    <w:uiPriority w:val="0"/>
    <w:pPr>
      <w:ind w:leftChars="4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CA4311-4CF8-4DD9-B902-6FA16D9E8746}">
  <ds:schemaRefs/>
</ds:datastoreItem>
</file>

<file path=docProps/app.xml><?xml version="1.0" encoding="utf-8"?>
<Properties xmlns="http://schemas.openxmlformats.org/officeDocument/2006/extended-properties" xmlns:vt="http://schemas.openxmlformats.org/officeDocument/2006/docPropsVTypes">
  <Template>Normal</Template>
  <Company>ICOS</Company>
  <Pages>271</Pages>
  <Words>32372</Words>
  <Characters>34322</Characters>
  <Lines>1006</Lines>
  <Paragraphs>283</Paragraphs>
  <TotalTime>4</TotalTime>
  <ScaleCrop>false</ScaleCrop>
  <LinksUpToDate>false</LinksUpToDate>
  <CharactersWithSpaces>37712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2024-10-21T05:48:00Z</dcterms:created>
  <dc:creator>付雪建</dc:creator>
  <cp:lastModifiedBy>会员部</cp:lastModifiedBy>
  <cp:lastPrinted>2024-07-11T08:35:00Z</cp:lastPrinted>
  <dcterms:modified xsi:type="dcterms:W3CDTF">2024-10-29T06:53:04Z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B23C7A65B50E43829398E1D15D061566_12</vt:lpwstr>
  </property>
</Properties>
</file>