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08C84">
      <w:pPr>
        <w:pStyle w:val="6"/>
        <w:spacing w:before="0" w:after="312" w:afterLines="100"/>
        <w:ind w:left="0"/>
        <w:jc w:val="left"/>
        <w:rPr>
          <w:rFonts w:hint="eastAsia" w:ascii="黑体" w:hAnsi="黑体" w:eastAsia="黑体" w:cs="黑体"/>
          <w:color w:val="auto"/>
          <w:lang w:eastAsia="zh-CN"/>
        </w:rPr>
      </w:pPr>
      <w:r>
        <w:rPr>
          <w:rFonts w:hint="eastAsia" w:ascii="黑体" w:hAnsi="黑体" w:eastAsia="黑体" w:cs="黑体"/>
          <w:color w:val="auto"/>
        </w:rPr>
        <w:t>附件</w:t>
      </w:r>
      <w:r>
        <w:rPr>
          <w:rFonts w:hint="eastAsia" w:ascii="黑体" w:hAnsi="黑体" w:eastAsia="黑体" w:cs="黑体"/>
          <w:color w:val="auto"/>
          <w:lang w:val="en-US" w:eastAsia="zh-CN"/>
        </w:rPr>
        <w:t>2</w:t>
      </w:r>
    </w:p>
    <w:p w14:paraId="696F75AD">
      <w:pPr>
        <w:pStyle w:val="6"/>
        <w:keepNext w:val="0"/>
        <w:keepLines w:val="0"/>
        <w:pageBreakBefore w:val="0"/>
        <w:widowControl w:val="0"/>
        <w:kinsoku/>
        <w:wordWrap/>
        <w:overflowPunct/>
        <w:topLinePunct w:val="0"/>
        <w:autoSpaceDE/>
        <w:autoSpaceDN/>
        <w:bidi w:val="0"/>
        <w:adjustRightInd/>
        <w:snapToGrid/>
        <w:spacing w:before="0"/>
        <w:ind w:left="0"/>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中国电力建设企业协会标准《输电线路接地圆钢液压压接工艺导则》编制说明</w:t>
      </w:r>
    </w:p>
    <w:p w14:paraId="54CBA411">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1.工作简况</w:t>
      </w:r>
    </w:p>
    <w:p w14:paraId="1AF814EE">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1.1任务来源</w:t>
      </w:r>
    </w:p>
    <w:p w14:paraId="03B3D8B2">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根据《关于印发2024年第二批中国电力建设企业协会团体标准制订计划的通知》（中电建协〔2024〕302号）文件安排，对计划编号为“</w:t>
      </w:r>
      <w:r>
        <w:rPr>
          <w:rFonts w:hint="eastAsia" w:ascii="仿宋_GB2312" w:hAnsi="仿宋_GB2312" w:eastAsia="仿宋_GB2312" w:cs="仿宋_GB2312"/>
          <w:color w:val="auto"/>
          <w:kern w:val="2"/>
          <w:sz w:val="32"/>
          <w:szCs w:val="32"/>
          <w:lang w:val="en-US" w:eastAsia="zh-CN" w:bidi="ar-SA"/>
        </w:rPr>
        <w:t>T/CEPCA 2024026</w:t>
      </w:r>
      <w:r>
        <w:rPr>
          <w:rFonts w:hint="eastAsia" w:ascii="仿宋_GB2312" w:hAnsi="仿宋_GB2312" w:eastAsia="仿宋_GB2312" w:cs="仿宋_GB2312"/>
          <w:color w:val="auto"/>
          <w:sz w:val="32"/>
          <w:szCs w:val="32"/>
        </w:rPr>
        <w:t>”的中电建协标准项目《输电线路接地圆钢液压压接工艺导则》进行编制。</w:t>
      </w:r>
    </w:p>
    <w:p w14:paraId="570AE8C2">
      <w:pPr>
        <w:pStyle w:val="6"/>
        <w:keepNext w:val="0"/>
        <w:keepLines w:val="0"/>
        <w:pageBreakBefore w:val="0"/>
        <w:widowControl w:val="0"/>
        <w:numPr>
          <w:ilvl w:val="0"/>
          <w:numId w:val="0"/>
        </w:numPr>
        <w:kinsoku/>
        <w:wordWrap/>
        <w:overflowPunct/>
        <w:topLinePunct w:val="0"/>
        <w:autoSpaceDE/>
        <w:autoSpaceDN/>
        <w:bidi w:val="0"/>
        <w:adjustRightInd/>
        <w:snapToGrid/>
        <w:spacing w:before="0" w:line="620" w:lineRule="exact"/>
        <w:ind w:left="0" w:leftChars="0"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w:t>
      </w:r>
      <w:r>
        <w:rPr>
          <w:rFonts w:hint="eastAsia" w:ascii="仿宋_GB2312" w:hAnsi="仿宋_GB2312" w:eastAsia="仿宋_GB2312" w:cs="仿宋_GB2312"/>
          <w:color w:val="auto"/>
          <w:kern w:val="2"/>
          <w:sz w:val="32"/>
          <w:szCs w:val="32"/>
          <w:lang w:val="en-US" w:eastAsia="zh-CN" w:bidi="ar-SA"/>
        </w:rPr>
        <w:t>编写单位</w:t>
      </w:r>
    </w:p>
    <w:p w14:paraId="5A81B5D5">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本标准由中国电力建设企业协会组织，</w:t>
      </w:r>
      <w:r>
        <w:rPr>
          <w:rFonts w:hint="eastAsia" w:ascii="仿宋_GB2312" w:hAnsi="仿宋_GB2312" w:eastAsia="仿宋_GB2312" w:cs="仿宋_GB2312"/>
          <w:color w:val="auto"/>
          <w:sz w:val="32"/>
          <w:szCs w:val="32"/>
          <w:lang w:val="en-US" w:eastAsia="zh-CN"/>
        </w:rPr>
        <w:t>XX单位</w:t>
      </w:r>
      <w:r>
        <w:rPr>
          <w:rFonts w:hint="eastAsia" w:ascii="仿宋_GB2312" w:hAnsi="仿宋_GB2312" w:eastAsia="仿宋_GB2312" w:cs="仿宋_GB2312"/>
          <w:color w:val="auto"/>
          <w:sz w:val="32"/>
          <w:szCs w:val="32"/>
        </w:rPr>
        <w:t>参与编写。</w:t>
      </w:r>
    </w:p>
    <w:p w14:paraId="7CA3DE05">
      <w:pPr>
        <w:pStyle w:val="6"/>
        <w:keepNext w:val="0"/>
        <w:keepLines w:val="0"/>
        <w:pageBreakBefore w:val="0"/>
        <w:widowControl w:val="0"/>
        <w:numPr>
          <w:ilvl w:val="0"/>
          <w:numId w:val="0"/>
        </w:numPr>
        <w:kinsoku/>
        <w:wordWrap/>
        <w:overflowPunct/>
        <w:topLinePunct w:val="0"/>
        <w:autoSpaceDE/>
        <w:autoSpaceDN/>
        <w:bidi w:val="0"/>
        <w:adjustRightInd/>
        <w:snapToGrid/>
        <w:spacing w:before="0" w:line="620" w:lineRule="exact"/>
        <w:ind w:left="0" w:leftChars="0" w:firstLine="640" w:firstLineChars="200"/>
        <w:jc w:val="left"/>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1.3</w:t>
      </w:r>
      <w:r>
        <w:rPr>
          <w:rFonts w:hint="eastAsia" w:ascii="仿宋_GB2312" w:hAnsi="仿宋_GB2312" w:eastAsia="仿宋_GB2312" w:cs="仿宋_GB2312"/>
          <w:color w:val="auto"/>
          <w:lang w:val="en-US" w:eastAsia="zh-CN"/>
        </w:rPr>
        <w:t>具体内容</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7224"/>
      </w:tblGrid>
      <w:tr w14:paraId="1BE7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60" w:type="pct"/>
            <w:noWrap w:val="0"/>
            <w:vAlign w:val="center"/>
          </w:tcPr>
          <w:p w14:paraId="5184452A">
            <w:pPr>
              <w:spacing w:line="24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序号</w:t>
            </w:r>
          </w:p>
        </w:tc>
        <w:tc>
          <w:tcPr>
            <w:tcW w:w="4239" w:type="pct"/>
            <w:noWrap w:val="0"/>
            <w:vAlign w:val="center"/>
          </w:tcPr>
          <w:p w14:paraId="07372720">
            <w:pPr>
              <w:spacing w:line="24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大纲及相关内容</w:t>
            </w:r>
          </w:p>
        </w:tc>
      </w:tr>
      <w:tr w14:paraId="0F27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760" w:type="pct"/>
            <w:noWrap w:val="0"/>
            <w:vAlign w:val="center"/>
          </w:tcPr>
          <w:p w14:paraId="6A8870B7">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4239" w:type="pct"/>
            <w:noWrap w:val="0"/>
            <w:vAlign w:val="center"/>
          </w:tcPr>
          <w:p w14:paraId="6181EB69">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封面</w:t>
            </w:r>
          </w:p>
          <w:p w14:paraId="4FB861AB">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目录</w:t>
            </w:r>
          </w:p>
          <w:p w14:paraId="30F7E68C">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前言</w:t>
            </w:r>
          </w:p>
        </w:tc>
      </w:tr>
      <w:tr w14:paraId="3A29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60" w:type="pct"/>
            <w:noWrap w:val="0"/>
            <w:vAlign w:val="center"/>
          </w:tcPr>
          <w:p w14:paraId="5FE4C9A7">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4239" w:type="pct"/>
            <w:noWrap w:val="0"/>
            <w:vAlign w:val="center"/>
          </w:tcPr>
          <w:p w14:paraId="147F527C">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  范围</w:t>
            </w:r>
          </w:p>
          <w:p w14:paraId="718A7731">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  规范性引用文件</w:t>
            </w:r>
          </w:p>
          <w:p w14:paraId="6C24F5B5">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3  术语和定义</w:t>
            </w:r>
          </w:p>
        </w:tc>
      </w:tr>
      <w:tr w14:paraId="7C0F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760" w:type="pct"/>
            <w:noWrap w:val="0"/>
            <w:vAlign w:val="center"/>
          </w:tcPr>
          <w:p w14:paraId="338AB9F0">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4239" w:type="pct"/>
            <w:noWrap w:val="0"/>
            <w:vAlign w:val="center"/>
          </w:tcPr>
          <w:p w14:paraId="5546A50D">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 xml:space="preserve">4  </w:t>
            </w:r>
            <w:r>
              <w:rPr>
                <w:rFonts w:hint="eastAsia" w:ascii="仿宋" w:hAnsi="仿宋" w:eastAsia="仿宋" w:cs="仿宋"/>
                <w:color w:val="auto"/>
                <w:sz w:val="24"/>
                <w:szCs w:val="24"/>
                <w:lang w:val="en-US" w:eastAsia="zh-CN"/>
              </w:rPr>
              <w:t>基本要求</w:t>
            </w:r>
          </w:p>
          <w:p w14:paraId="140060F5">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4.1接地体</w:t>
            </w:r>
          </w:p>
          <w:p w14:paraId="47792A18">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4.2接续管</w:t>
            </w:r>
          </w:p>
          <w:p w14:paraId="262BE6A3">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4.3压接机</w:t>
            </w:r>
          </w:p>
          <w:p w14:paraId="3F2E5ABE">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4.4压接模具</w:t>
            </w:r>
          </w:p>
          <w:p w14:paraId="15A98BE1">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4.5检验性试验</w:t>
            </w:r>
          </w:p>
          <w:p w14:paraId="17DDEE95">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4.6其他规定</w:t>
            </w:r>
          </w:p>
        </w:tc>
      </w:tr>
      <w:tr w14:paraId="64C5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60" w:type="pct"/>
            <w:noWrap w:val="0"/>
            <w:vAlign w:val="center"/>
          </w:tcPr>
          <w:p w14:paraId="1EECB448">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4239" w:type="pct"/>
            <w:noWrap w:val="0"/>
            <w:vAlign w:val="center"/>
          </w:tcPr>
          <w:p w14:paraId="23B389C0">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5  </w:t>
            </w:r>
            <w:r>
              <w:rPr>
                <w:rFonts w:hint="eastAsia" w:ascii="仿宋" w:hAnsi="仿宋" w:eastAsia="仿宋" w:cs="仿宋"/>
                <w:color w:val="auto"/>
                <w:sz w:val="24"/>
                <w:szCs w:val="24"/>
                <w:lang w:val="en-US" w:eastAsia="zh-CN"/>
              </w:rPr>
              <w:t>压接前准备</w:t>
            </w:r>
          </w:p>
        </w:tc>
      </w:tr>
      <w:tr w14:paraId="2AA3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760" w:type="pct"/>
            <w:noWrap w:val="0"/>
            <w:vAlign w:val="center"/>
          </w:tcPr>
          <w:p w14:paraId="25646E3D">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4239" w:type="pct"/>
            <w:noWrap w:val="0"/>
            <w:vAlign w:val="center"/>
          </w:tcPr>
          <w:p w14:paraId="65D9DA23">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  接续管压接</w:t>
            </w:r>
          </w:p>
          <w:p w14:paraId="65414AA1">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6.1一字型接续管压接</w:t>
            </w:r>
          </w:p>
          <w:p w14:paraId="4AA0F44C">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6.2 T字型接续管压接</w:t>
            </w:r>
          </w:p>
          <w:p w14:paraId="08DD5DB1">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6.3十字型接续管压接</w:t>
            </w:r>
          </w:p>
          <w:p w14:paraId="6FABB9EF">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6.4 压接后防腐</w:t>
            </w:r>
          </w:p>
          <w:p w14:paraId="6909F336">
            <w:pPr>
              <w:pStyle w:val="26"/>
              <w:widowControl w:val="0"/>
              <w:tabs>
                <w:tab w:val="right" w:leader="dot" w:pos="8306"/>
              </w:tabs>
              <w:adjustRightInd w:val="0"/>
              <w:snapToGrid w:val="0"/>
              <w:spacing w:line="240" w:lineRule="auto"/>
              <w:jc w:val="left"/>
              <w:rPr>
                <w:rFonts w:hint="eastAsia"/>
              </w:rPr>
            </w:pPr>
            <w:r>
              <w:rPr>
                <w:rFonts w:hint="eastAsia" w:ascii="仿宋" w:hAnsi="仿宋" w:eastAsia="仿宋" w:cs="仿宋"/>
                <w:color w:val="auto"/>
                <w:sz w:val="24"/>
                <w:szCs w:val="24"/>
                <w:lang w:val="en-US" w:eastAsia="zh-CN"/>
              </w:rPr>
              <w:t>6.5压接过程检查</w:t>
            </w:r>
          </w:p>
        </w:tc>
      </w:tr>
      <w:tr w14:paraId="159C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60" w:type="pct"/>
            <w:noWrap w:val="0"/>
            <w:vAlign w:val="center"/>
          </w:tcPr>
          <w:p w14:paraId="634DCDF7">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c>
          <w:tcPr>
            <w:tcW w:w="4239" w:type="pct"/>
            <w:noWrap w:val="0"/>
            <w:vAlign w:val="center"/>
          </w:tcPr>
          <w:p w14:paraId="71D5FFAE">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  压接质量检查</w:t>
            </w:r>
          </w:p>
          <w:p w14:paraId="3F237755">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7.1接续管压后尺寸检查</w:t>
            </w:r>
          </w:p>
          <w:p w14:paraId="48224F3D">
            <w:pPr>
              <w:pStyle w:val="26"/>
              <w:widowControl w:val="0"/>
              <w:tabs>
                <w:tab w:val="right" w:leader="dot" w:pos="8306"/>
              </w:tabs>
              <w:adjustRightInd w:val="0"/>
              <w:snapToGrid w:val="0"/>
              <w:spacing w:line="240" w:lineRule="auto"/>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7.2 其他质量检查</w:t>
            </w:r>
          </w:p>
        </w:tc>
      </w:tr>
      <w:tr w14:paraId="5DC6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60" w:type="pct"/>
            <w:noWrap w:val="0"/>
            <w:vAlign w:val="center"/>
          </w:tcPr>
          <w:p w14:paraId="70B2EE3B">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w:t>
            </w:r>
          </w:p>
        </w:tc>
        <w:tc>
          <w:tcPr>
            <w:tcW w:w="4239" w:type="pct"/>
            <w:noWrap w:val="0"/>
            <w:vAlign w:val="center"/>
          </w:tcPr>
          <w:p w14:paraId="59632554">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参考文献</w:t>
            </w:r>
          </w:p>
        </w:tc>
      </w:tr>
    </w:tbl>
    <w:p w14:paraId="5C2C957F">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主要工作过程</w:t>
      </w:r>
    </w:p>
    <w:p w14:paraId="34333355">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月，中国电力建设企业协会标准化管理委员会对中国电力建设协会项目《</w:t>
      </w:r>
      <w:r>
        <w:rPr>
          <w:rFonts w:hint="eastAsia" w:ascii="仿宋_GB2312" w:hAnsi="仿宋_GB2312" w:eastAsia="仿宋_GB2312" w:cs="仿宋_GB2312"/>
          <w:color w:val="auto"/>
          <w:sz w:val="32"/>
          <w:szCs w:val="32"/>
        </w:rPr>
        <w:t>输电线路接地圆钢液压压接工艺导则》予以立项。</w:t>
      </w:r>
    </w:p>
    <w:p w14:paraId="67B83306">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6日</w:t>
      </w:r>
      <w:r>
        <w:rPr>
          <w:rFonts w:hint="eastAsia" w:ascii="仿宋_GB2312" w:hAnsi="仿宋_GB2312" w:eastAsia="仿宋_GB2312" w:cs="仿宋_GB2312"/>
          <w:color w:val="auto"/>
          <w:sz w:val="32"/>
          <w:szCs w:val="32"/>
        </w:rPr>
        <w:t>，中国电力建设企业协会标准化管理委员会以线下形式在</w:t>
      </w:r>
      <w:r>
        <w:rPr>
          <w:rFonts w:hint="eastAsia" w:ascii="仿宋_GB2312" w:hAnsi="仿宋_GB2312" w:eastAsia="仿宋_GB2312" w:cs="仿宋_GB2312"/>
          <w:color w:val="auto"/>
          <w:sz w:val="32"/>
          <w:szCs w:val="32"/>
          <w:lang w:val="en-US" w:eastAsia="zh-CN"/>
        </w:rPr>
        <w:t>北京</w:t>
      </w:r>
      <w:r>
        <w:rPr>
          <w:rFonts w:hint="eastAsia" w:ascii="仿宋_GB2312" w:hAnsi="仿宋_GB2312" w:eastAsia="仿宋_GB2312" w:cs="仿宋_GB2312"/>
          <w:color w:val="auto"/>
          <w:sz w:val="32"/>
          <w:szCs w:val="32"/>
        </w:rPr>
        <w:t>组织召开</w:t>
      </w:r>
      <w:r>
        <w:rPr>
          <w:rFonts w:hint="eastAsia" w:ascii="仿宋_GB2312" w:hAnsi="仿宋_GB2312" w:eastAsia="仿宋_GB2312" w:cs="仿宋_GB2312"/>
          <w:color w:val="auto"/>
          <w:sz w:val="32"/>
          <w:szCs w:val="32"/>
          <w:lang w:val="en-US" w:eastAsia="zh-CN"/>
        </w:rPr>
        <w:t>2024 年第二批中国电力建设企业</w:t>
      </w:r>
      <w:r>
        <w:rPr>
          <w:rFonts w:hint="default" w:ascii="仿宋_GB2312" w:hAnsi="仿宋_GB2312" w:eastAsia="仿宋_GB2312" w:cs="仿宋_GB2312"/>
          <w:color w:val="auto"/>
          <w:sz w:val="32"/>
          <w:szCs w:val="32"/>
          <w:lang w:val="en-US" w:eastAsia="zh-CN"/>
        </w:rPr>
        <w:t>协会团体标准编制启动会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部署了 2024 年中电建协第二批团体标准编制工作，介绍了标准编制具体要求与初步工作计划。</w:t>
      </w:r>
    </w:p>
    <w:p w14:paraId="60C88A79">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2024年11月</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日，中国电力建设企业协会组织相关单位在</w:t>
      </w:r>
      <w:r>
        <w:rPr>
          <w:rFonts w:hint="eastAsia" w:ascii="仿宋_GB2312" w:hAnsi="仿宋_GB2312" w:eastAsia="仿宋_GB2312" w:cs="仿宋_GB2312"/>
          <w:color w:val="auto"/>
          <w:sz w:val="32"/>
          <w:szCs w:val="32"/>
          <w:lang w:val="en-US" w:eastAsia="zh-CN"/>
        </w:rPr>
        <w:t>江西南昌</w:t>
      </w:r>
      <w:r>
        <w:rPr>
          <w:rFonts w:hint="eastAsia" w:ascii="仿宋_GB2312" w:hAnsi="仿宋_GB2312" w:eastAsia="仿宋_GB2312" w:cs="仿宋_GB2312"/>
          <w:color w:val="auto"/>
          <w:sz w:val="32"/>
          <w:szCs w:val="32"/>
        </w:rPr>
        <w:t>召开了《</w:t>
      </w:r>
      <w:r>
        <w:rPr>
          <w:rFonts w:hint="eastAsia" w:ascii="仿宋_GB2312" w:hAnsi="仿宋_GB2312" w:eastAsia="仿宋_GB2312" w:cs="仿宋_GB2312"/>
          <w:color w:val="auto"/>
          <w:sz w:val="32"/>
          <w:szCs w:val="32"/>
        </w:rPr>
        <w:t>输电线路接地圆钢液压压接工艺导则》</w:t>
      </w:r>
      <w:r>
        <w:rPr>
          <w:rFonts w:hint="eastAsia" w:ascii="仿宋_GB2312" w:hAnsi="仿宋_GB2312" w:eastAsia="仿宋_GB2312" w:cs="仿宋_GB2312"/>
          <w:color w:val="auto"/>
          <w:sz w:val="32"/>
          <w:szCs w:val="32"/>
          <w:lang w:val="en-US" w:eastAsia="zh-CN"/>
        </w:rPr>
        <w:t>初</w:t>
      </w:r>
      <w:r>
        <w:rPr>
          <w:rFonts w:hint="eastAsia" w:ascii="仿宋_GB2312" w:hAnsi="仿宋_GB2312" w:eastAsia="仿宋_GB2312" w:cs="仿宋_GB2312"/>
          <w:color w:val="auto"/>
          <w:sz w:val="32"/>
          <w:szCs w:val="32"/>
        </w:rPr>
        <w:t>稿讨论会。中电建协相关人员、各参编单位相关专家与代表参加本次会。介绍了编制背景与目标，与会人员充分讨论了标准大纲，明确了大纲及初稿修改意见、各章节编写小组分工与后续工作计划。</w:t>
      </w:r>
    </w:p>
    <w:p w14:paraId="2EA0F49F">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日，中国电力建设企业协会组织相关单位在</w:t>
      </w:r>
      <w:r>
        <w:rPr>
          <w:rFonts w:hint="eastAsia" w:ascii="仿宋_GB2312" w:hAnsi="仿宋_GB2312" w:eastAsia="仿宋_GB2312" w:cs="仿宋_GB2312"/>
          <w:color w:val="auto"/>
          <w:sz w:val="32"/>
          <w:szCs w:val="32"/>
          <w:lang w:val="en-US" w:eastAsia="zh-CN"/>
        </w:rPr>
        <w:t>海南海口</w:t>
      </w:r>
      <w:r>
        <w:rPr>
          <w:rFonts w:hint="eastAsia" w:ascii="仿宋_GB2312" w:hAnsi="仿宋_GB2312" w:eastAsia="仿宋_GB2312" w:cs="仿宋_GB2312"/>
          <w:color w:val="auto"/>
          <w:sz w:val="32"/>
          <w:szCs w:val="32"/>
        </w:rPr>
        <w:t>召开了《</w:t>
      </w:r>
      <w:r>
        <w:rPr>
          <w:rFonts w:hint="eastAsia" w:ascii="仿宋_GB2312" w:hAnsi="仿宋_GB2312" w:eastAsia="仿宋_GB2312" w:cs="仿宋_GB2312"/>
          <w:color w:val="auto"/>
          <w:sz w:val="32"/>
          <w:szCs w:val="32"/>
        </w:rPr>
        <w:t>输电线路接地圆钢液压压接工艺导则》</w:t>
      </w:r>
      <w:r>
        <w:rPr>
          <w:rFonts w:hint="eastAsia" w:ascii="仿宋_GB2312" w:hAnsi="仿宋_GB2312" w:eastAsia="仿宋_GB2312" w:cs="仿宋_GB2312"/>
          <w:color w:val="auto"/>
          <w:sz w:val="32"/>
          <w:szCs w:val="32"/>
          <w:lang w:val="en-US" w:eastAsia="zh-CN"/>
        </w:rPr>
        <w:t>征求意见稿定稿</w:t>
      </w:r>
      <w:r>
        <w:rPr>
          <w:rFonts w:hint="eastAsia" w:ascii="仿宋_GB2312" w:hAnsi="仿宋_GB2312" w:eastAsia="仿宋_GB2312" w:cs="仿宋_GB2312"/>
          <w:color w:val="auto"/>
          <w:sz w:val="32"/>
          <w:szCs w:val="32"/>
        </w:rPr>
        <w:t>会。中电建协相关人员、各参编单位相关专家与代表参加本次会。会议首先汇报了</w:t>
      </w:r>
      <w:r>
        <w:rPr>
          <w:rFonts w:hint="eastAsia" w:ascii="仿宋_GB2312" w:hAnsi="仿宋_GB2312" w:eastAsia="仿宋_GB2312" w:cs="仿宋_GB2312"/>
          <w:color w:val="auto"/>
          <w:sz w:val="32"/>
          <w:szCs w:val="32"/>
          <w:lang w:val="en-US" w:eastAsia="zh-CN"/>
        </w:rPr>
        <w:t>初稿</w:t>
      </w:r>
      <w:r>
        <w:rPr>
          <w:rFonts w:hint="eastAsia" w:ascii="仿宋_GB2312" w:hAnsi="仿宋_GB2312" w:eastAsia="仿宋_GB2312" w:cs="仿宋_GB2312"/>
          <w:color w:val="auto"/>
          <w:sz w:val="32"/>
          <w:szCs w:val="32"/>
        </w:rPr>
        <w:t>的修改成果，介绍了</w:t>
      </w:r>
      <w:r>
        <w:rPr>
          <w:rFonts w:hint="eastAsia" w:ascii="仿宋_GB2312" w:hAnsi="仿宋_GB2312" w:eastAsia="仿宋_GB2312" w:cs="仿宋_GB2312"/>
          <w:color w:val="auto"/>
          <w:sz w:val="32"/>
          <w:szCs w:val="32"/>
          <w:lang w:val="en-US" w:eastAsia="zh-CN"/>
        </w:rPr>
        <w:t>征求意见稿</w:t>
      </w:r>
      <w:r>
        <w:rPr>
          <w:rFonts w:hint="eastAsia" w:ascii="仿宋_GB2312" w:hAnsi="仿宋_GB2312" w:eastAsia="仿宋_GB2312" w:cs="仿宋_GB2312"/>
          <w:color w:val="auto"/>
          <w:sz w:val="32"/>
          <w:szCs w:val="32"/>
        </w:rPr>
        <w:t>讨论的目标和原则，与会人员针对</w:t>
      </w:r>
      <w:r>
        <w:rPr>
          <w:rFonts w:hint="eastAsia" w:ascii="仿宋_GB2312" w:hAnsi="仿宋_GB2312" w:eastAsia="仿宋_GB2312" w:cs="仿宋_GB2312"/>
          <w:color w:val="auto"/>
          <w:sz w:val="32"/>
          <w:szCs w:val="32"/>
          <w:lang w:val="en-US" w:eastAsia="zh-CN"/>
        </w:rPr>
        <w:t>征求意见稿</w:t>
      </w:r>
      <w:r>
        <w:rPr>
          <w:rFonts w:hint="eastAsia" w:ascii="仿宋_GB2312" w:hAnsi="仿宋_GB2312" w:eastAsia="仿宋_GB2312" w:cs="仿宋_GB2312"/>
          <w:color w:val="auto"/>
          <w:sz w:val="32"/>
          <w:szCs w:val="32"/>
        </w:rPr>
        <w:t>进行了充分讨论，明确了征求意见稿修改内容、修改分工与后续编制完成节点。</w:t>
      </w:r>
    </w:p>
    <w:p w14:paraId="7AF7CA73">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2.标准编制原则</w:t>
      </w:r>
    </w:p>
    <w:p w14:paraId="234A3460">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bookmarkStart w:id="0" w:name="_Toc151325081"/>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编写原则</w:t>
      </w:r>
      <w:bookmarkEnd w:id="0"/>
    </w:p>
    <w:p w14:paraId="77A10418">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2.1.1</w:t>
      </w:r>
      <w:r>
        <w:rPr>
          <w:rFonts w:hint="eastAsia" w:ascii="仿宋_GB2312" w:hAnsi="仿宋_GB2312" w:eastAsia="仿宋_GB2312" w:cs="仿宋_GB2312"/>
          <w:color w:val="auto"/>
          <w:sz w:val="32"/>
          <w:szCs w:val="32"/>
        </w:rPr>
        <w:t>本技术标准的编制应满足中国电力建设协会相关要求。</w:t>
      </w:r>
    </w:p>
    <w:p w14:paraId="45F75753">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2编写格式执行《标准化工作导则 第1部分：标准化文件的结构和起草规则》GB/T 1.1—2020的有关规定；起草规则执行《标准起草规则 第8部分：评价标准》GB/T 20001.8—2023的有关规定。</w:t>
      </w:r>
    </w:p>
    <w:p w14:paraId="7EBAC025">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3遵循导则编制的“四性”要求：技术上的先进性和科学性、与国家法律法规和相关标准的协调性、标准发布实施上的可操作性。</w:t>
      </w:r>
    </w:p>
    <w:p w14:paraId="06300FD6">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4充分考虑编制本标准的目的和必要性，总结近年来电力</w:t>
      </w:r>
      <w:r>
        <w:rPr>
          <w:rFonts w:hint="eastAsia" w:ascii="仿宋_GB2312" w:hAnsi="仿宋_GB2312" w:eastAsia="仿宋_GB2312" w:cs="仿宋_GB2312"/>
          <w:color w:val="auto"/>
          <w:sz w:val="32"/>
          <w:szCs w:val="32"/>
          <w:lang w:val="en-US" w:eastAsia="zh-CN"/>
        </w:rPr>
        <w:t>建设单位及各级组织的要求与经验</w:t>
      </w:r>
      <w:r>
        <w:rPr>
          <w:rFonts w:hint="eastAsia" w:ascii="仿宋_GB2312" w:hAnsi="仿宋_GB2312" w:eastAsia="仿宋_GB2312" w:cs="仿宋_GB2312"/>
          <w:color w:val="auto"/>
          <w:sz w:val="32"/>
          <w:szCs w:val="32"/>
        </w:rPr>
        <w:t>，以</w:t>
      </w:r>
      <w:r>
        <w:rPr>
          <w:rFonts w:hint="eastAsia" w:ascii="仿宋_GB2312" w:hAnsi="仿宋_GB2312" w:eastAsia="仿宋_GB2312" w:cs="仿宋_GB2312"/>
          <w:color w:val="auto"/>
          <w:sz w:val="32"/>
          <w:szCs w:val="32"/>
          <w:lang w:val="en-US" w:eastAsia="zh-CN"/>
        </w:rPr>
        <w:t>接地圆钢液压压接工艺</w:t>
      </w:r>
      <w:r>
        <w:rPr>
          <w:rFonts w:hint="eastAsia" w:ascii="仿宋_GB2312" w:hAnsi="仿宋_GB2312" w:eastAsia="仿宋_GB2312" w:cs="仿宋_GB2312"/>
          <w:color w:val="auto"/>
          <w:sz w:val="32"/>
          <w:szCs w:val="32"/>
        </w:rPr>
        <w:t>为基础，按照</w:t>
      </w:r>
      <w:r>
        <w:rPr>
          <w:rFonts w:hint="eastAsia" w:ascii="仿宋_GB2312" w:hAnsi="仿宋_GB2312" w:eastAsia="仿宋_GB2312" w:cs="仿宋_GB2312"/>
          <w:color w:val="auto"/>
          <w:sz w:val="32"/>
          <w:szCs w:val="32"/>
          <w:lang w:val="en-US" w:eastAsia="zh-CN"/>
        </w:rPr>
        <w:t>成果</w:t>
      </w:r>
      <w:r>
        <w:rPr>
          <w:rFonts w:hint="eastAsia" w:ascii="仿宋_GB2312" w:hAnsi="仿宋_GB2312" w:eastAsia="仿宋_GB2312" w:cs="仿宋_GB2312"/>
          <w:color w:val="auto"/>
          <w:sz w:val="32"/>
          <w:szCs w:val="32"/>
        </w:rPr>
        <w:t>应用</w:t>
      </w:r>
      <w:r>
        <w:rPr>
          <w:rFonts w:hint="eastAsia" w:ascii="仿宋_GB2312" w:hAnsi="仿宋_GB2312" w:eastAsia="仿宋_GB2312" w:cs="仿宋_GB2312"/>
          <w:color w:val="auto"/>
          <w:sz w:val="32"/>
          <w:szCs w:val="32"/>
          <w:lang w:val="en-US" w:eastAsia="zh-CN"/>
        </w:rPr>
        <w:t>结合</w:t>
      </w:r>
      <w:r>
        <w:rPr>
          <w:rFonts w:hint="eastAsia" w:ascii="仿宋_GB2312" w:hAnsi="仿宋_GB2312" w:eastAsia="仿宋_GB2312" w:cs="仿宋_GB2312"/>
          <w:color w:val="auto"/>
          <w:sz w:val="32"/>
          <w:szCs w:val="32"/>
        </w:rPr>
        <w:t>实际需要，合理</w:t>
      </w:r>
      <w:r>
        <w:rPr>
          <w:rFonts w:hint="eastAsia" w:ascii="仿宋_GB2312" w:hAnsi="仿宋_GB2312" w:eastAsia="仿宋_GB2312" w:cs="仿宋_GB2312"/>
          <w:color w:val="auto"/>
          <w:sz w:val="32"/>
          <w:szCs w:val="32"/>
          <w:lang w:val="en-US" w:eastAsia="zh-CN"/>
        </w:rPr>
        <w:t>编制</w:t>
      </w:r>
      <w:r>
        <w:rPr>
          <w:rFonts w:hint="eastAsia" w:ascii="仿宋_GB2312" w:hAnsi="仿宋_GB2312" w:eastAsia="仿宋_GB2312" w:cs="仿宋_GB2312"/>
          <w:color w:val="auto"/>
          <w:sz w:val="32"/>
          <w:szCs w:val="32"/>
        </w:rPr>
        <w:t>，保持本标准的先进性</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科学性</w:t>
      </w:r>
      <w:r>
        <w:rPr>
          <w:rFonts w:hint="eastAsia" w:ascii="仿宋_GB2312" w:hAnsi="仿宋_GB2312" w:eastAsia="仿宋_GB2312" w:cs="仿宋_GB2312"/>
          <w:color w:val="auto"/>
          <w:sz w:val="32"/>
          <w:szCs w:val="32"/>
        </w:rPr>
        <w:t>，具有较强的可操作性和实用性。</w:t>
      </w:r>
    </w:p>
    <w:p w14:paraId="33823F9F">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5贯彻执行《中华人民共和国标准化法》、《团体标准管理规定》等法律、规定，做到格式规范，逻辑</w:t>
      </w:r>
      <w:r>
        <w:rPr>
          <w:rFonts w:hint="eastAsia" w:ascii="仿宋_GB2312" w:hAnsi="仿宋_GB2312" w:eastAsia="仿宋_GB2312" w:cs="仿宋_GB2312"/>
          <w:color w:val="auto"/>
          <w:sz w:val="32"/>
          <w:szCs w:val="32"/>
          <w:lang w:val="en-US" w:eastAsia="zh-CN"/>
        </w:rPr>
        <w:t>清晰</w:t>
      </w:r>
      <w:r>
        <w:rPr>
          <w:rFonts w:hint="eastAsia" w:ascii="仿宋_GB2312" w:hAnsi="仿宋_GB2312" w:eastAsia="仿宋_GB2312" w:cs="仿宋_GB2312"/>
          <w:color w:val="auto"/>
          <w:sz w:val="32"/>
          <w:szCs w:val="32"/>
        </w:rPr>
        <w:t>，结构</w:t>
      </w:r>
      <w:r>
        <w:rPr>
          <w:rFonts w:hint="eastAsia" w:ascii="仿宋_GB2312" w:hAnsi="仿宋_GB2312" w:eastAsia="仿宋_GB2312" w:cs="仿宋_GB2312"/>
          <w:color w:val="auto"/>
          <w:sz w:val="32"/>
          <w:szCs w:val="32"/>
          <w:lang w:val="en-US" w:eastAsia="zh-CN"/>
        </w:rPr>
        <w:t>严紧</w:t>
      </w:r>
      <w:r>
        <w:rPr>
          <w:rFonts w:hint="eastAsia" w:ascii="仿宋_GB2312" w:hAnsi="仿宋_GB2312" w:eastAsia="仿宋_GB2312" w:cs="仿宋_GB2312"/>
          <w:color w:val="auto"/>
          <w:sz w:val="32"/>
          <w:szCs w:val="32"/>
        </w:rPr>
        <w:t>。</w:t>
      </w:r>
    </w:p>
    <w:p w14:paraId="0F4C40B4">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6充分发扬民主</w:t>
      </w:r>
      <w:r>
        <w:rPr>
          <w:rFonts w:hint="eastAsia" w:ascii="仿宋_GB2312" w:hAnsi="仿宋_GB2312" w:eastAsia="仿宋_GB2312" w:cs="仿宋_GB2312"/>
          <w:color w:val="auto"/>
          <w:sz w:val="32"/>
          <w:szCs w:val="32"/>
          <w:lang w:val="en-US" w:eastAsia="zh-CN"/>
        </w:rPr>
        <w:t>自由性</w:t>
      </w:r>
      <w:r>
        <w:rPr>
          <w:rFonts w:hint="eastAsia" w:ascii="仿宋_GB2312" w:hAnsi="仿宋_GB2312" w:eastAsia="仿宋_GB2312" w:cs="仿宋_GB2312"/>
          <w:color w:val="auto"/>
          <w:sz w:val="32"/>
          <w:szCs w:val="32"/>
        </w:rPr>
        <w:t>，与各参编单位协</w:t>
      </w:r>
      <w:r>
        <w:rPr>
          <w:rFonts w:hint="eastAsia" w:ascii="仿宋_GB2312" w:hAnsi="仿宋_GB2312" w:eastAsia="仿宋_GB2312" w:cs="仿宋_GB2312"/>
          <w:color w:val="auto"/>
          <w:sz w:val="32"/>
          <w:szCs w:val="32"/>
          <w:lang w:val="en-US" w:eastAsia="zh-CN"/>
        </w:rPr>
        <w:t>协调</w:t>
      </w:r>
      <w:r>
        <w:rPr>
          <w:rFonts w:hint="eastAsia" w:ascii="仿宋_GB2312" w:hAnsi="仿宋_GB2312" w:eastAsia="仿宋_GB2312" w:cs="仿宋_GB2312"/>
          <w:color w:val="auto"/>
          <w:sz w:val="32"/>
          <w:szCs w:val="32"/>
        </w:rPr>
        <w:t>一致，共同</w:t>
      </w:r>
      <w:r>
        <w:rPr>
          <w:rFonts w:hint="eastAsia" w:ascii="仿宋_GB2312" w:hAnsi="仿宋_GB2312" w:eastAsia="仿宋_GB2312" w:cs="仿宋_GB2312"/>
          <w:color w:val="auto"/>
          <w:sz w:val="32"/>
          <w:szCs w:val="32"/>
          <w:lang w:val="en-US" w:eastAsia="zh-CN"/>
        </w:rPr>
        <w:t>商讨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梳理</w:t>
      </w:r>
      <w:r>
        <w:rPr>
          <w:rFonts w:hint="eastAsia" w:ascii="仿宋_GB2312" w:hAnsi="仿宋_GB2312" w:eastAsia="仿宋_GB2312" w:cs="仿宋_GB2312"/>
          <w:color w:val="auto"/>
          <w:sz w:val="32"/>
          <w:szCs w:val="32"/>
        </w:rPr>
        <w:t>与现行相关</w:t>
      </w:r>
      <w:r>
        <w:rPr>
          <w:rFonts w:hint="eastAsia" w:ascii="仿宋_GB2312" w:hAnsi="仿宋_GB2312" w:eastAsia="仿宋_GB2312" w:cs="仿宋_GB2312"/>
          <w:color w:val="auto"/>
          <w:sz w:val="32"/>
          <w:szCs w:val="32"/>
          <w:lang w:val="en-US" w:eastAsia="zh-CN"/>
        </w:rPr>
        <w:t>国家</w:t>
      </w:r>
      <w:r>
        <w:rPr>
          <w:rFonts w:hint="eastAsia" w:ascii="仿宋_GB2312" w:hAnsi="仿宋_GB2312" w:eastAsia="仿宋_GB2312" w:cs="仿宋_GB2312"/>
          <w:color w:val="auto"/>
          <w:sz w:val="32"/>
          <w:szCs w:val="32"/>
        </w:rPr>
        <w:t>标准之间的关系，避免</w:t>
      </w:r>
      <w:r>
        <w:rPr>
          <w:rFonts w:hint="eastAsia" w:ascii="仿宋_GB2312" w:hAnsi="仿宋_GB2312" w:eastAsia="仿宋_GB2312" w:cs="仿宋_GB2312"/>
          <w:color w:val="auto"/>
          <w:sz w:val="32"/>
          <w:szCs w:val="32"/>
          <w:lang w:val="en-US" w:eastAsia="zh-CN"/>
        </w:rPr>
        <w:t>重复与矛盾</w:t>
      </w:r>
      <w:r>
        <w:rPr>
          <w:rFonts w:hint="eastAsia" w:ascii="仿宋_GB2312" w:hAnsi="仿宋_GB2312" w:eastAsia="仿宋_GB2312" w:cs="仿宋_GB2312"/>
          <w:color w:val="auto"/>
          <w:sz w:val="32"/>
          <w:szCs w:val="32"/>
        </w:rPr>
        <w:t>。</w:t>
      </w:r>
    </w:p>
    <w:p w14:paraId="1E8C077A">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7标准编写</w:t>
      </w:r>
      <w:r>
        <w:rPr>
          <w:rFonts w:hint="eastAsia" w:ascii="仿宋_GB2312" w:hAnsi="仿宋_GB2312" w:eastAsia="仿宋_GB2312" w:cs="仿宋_GB2312"/>
          <w:color w:val="auto"/>
          <w:sz w:val="32"/>
          <w:szCs w:val="32"/>
          <w:lang w:val="en-US" w:eastAsia="zh-CN"/>
        </w:rPr>
        <w:t>工作</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国标</w:t>
      </w:r>
      <w:r>
        <w:rPr>
          <w:rFonts w:hint="eastAsia" w:ascii="仿宋_GB2312" w:hAnsi="仿宋_GB2312" w:eastAsia="仿宋_GB2312" w:cs="仿宋_GB2312"/>
          <w:color w:val="auto"/>
          <w:sz w:val="32"/>
          <w:szCs w:val="32"/>
        </w:rPr>
        <w:t>规定，内容完整、</w:t>
      </w:r>
      <w:r>
        <w:rPr>
          <w:rFonts w:hint="eastAsia" w:ascii="仿宋_GB2312" w:hAnsi="仿宋_GB2312" w:eastAsia="仿宋_GB2312" w:cs="仿宋_GB2312"/>
          <w:color w:val="auto"/>
          <w:sz w:val="32"/>
          <w:szCs w:val="32"/>
          <w:lang w:val="en-US" w:eastAsia="zh-CN"/>
        </w:rPr>
        <w:t>翔实具体</w:t>
      </w:r>
      <w:r>
        <w:rPr>
          <w:rFonts w:hint="eastAsia" w:ascii="仿宋_GB2312" w:hAnsi="仿宋_GB2312" w:eastAsia="仿宋_GB2312" w:cs="仿宋_GB2312"/>
          <w:color w:val="auto"/>
          <w:sz w:val="32"/>
          <w:szCs w:val="32"/>
        </w:rPr>
        <w:t>，用词</w:t>
      </w:r>
      <w:r>
        <w:rPr>
          <w:rFonts w:hint="eastAsia" w:ascii="仿宋_GB2312" w:hAnsi="仿宋_GB2312" w:eastAsia="仿宋_GB2312" w:cs="仿宋_GB2312"/>
          <w:color w:val="auto"/>
          <w:sz w:val="32"/>
          <w:szCs w:val="32"/>
          <w:lang w:val="en-US" w:eastAsia="zh-CN"/>
        </w:rPr>
        <w:t>准确</w:t>
      </w:r>
      <w:r>
        <w:rPr>
          <w:rFonts w:hint="eastAsia" w:ascii="仿宋_GB2312" w:hAnsi="仿宋_GB2312" w:eastAsia="仿宋_GB2312" w:cs="仿宋_GB2312"/>
          <w:color w:val="auto"/>
          <w:sz w:val="32"/>
          <w:szCs w:val="32"/>
        </w:rPr>
        <w:t>，规定</w:t>
      </w:r>
      <w:r>
        <w:rPr>
          <w:rFonts w:hint="eastAsia" w:ascii="仿宋_GB2312" w:hAnsi="仿宋_GB2312" w:eastAsia="仿宋_GB2312" w:cs="仿宋_GB2312"/>
          <w:color w:val="auto"/>
          <w:sz w:val="32"/>
          <w:szCs w:val="32"/>
          <w:lang w:val="en-US" w:eastAsia="zh-CN"/>
        </w:rPr>
        <w:t>清晰</w:t>
      </w:r>
      <w:r>
        <w:rPr>
          <w:rFonts w:hint="eastAsia" w:ascii="仿宋_GB2312" w:hAnsi="仿宋_GB2312" w:eastAsia="仿宋_GB2312" w:cs="仿宋_GB2312"/>
          <w:color w:val="auto"/>
          <w:sz w:val="32"/>
          <w:szCs w:val="32"/>
        </w:rPr>
        <w:t>，不</w:t>
      </w:r>
      <w:r>
        <w:rPr>
          <w:rFonts w:hint="eastAsia" w:ascii="仿宋_GB2312" w:hAnsi="仿宋_GB2312" w:eastAsia="仿宋_GB2312" w:cs="仿宋_GB2312"/>
          <w:color w:val="auto"/>
          <w:sz w:val="32"/>
          <w:szCs w:val="32"/>
          <w:lang w:val="en-US" w:eastAsia="zh-CN"/>
        </w:rPr>
        <w:t>可模糊不清</w:t>
      </w:r>
      <w:r>
        <w:rPr>
          <w:rFonts w:hint="eastAsia" w:ascii="仿宋_GB2312" w:hAnsi="仿宋_GB2312" w:eastAsia="仿宋_GB2312" w:cs="仿宋_GB2312"/>
          <w:color w:val="auto"/>
          <w:sz w:val="32"/>
          <w:szCs w:val="32"/>
        </w:rPr>
        <w:t>。</w:t>
      </w:r>
    </w:p>
    <w:p w14:paraId="5BDECE06">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8明确分工协作、落实</w:t>
      </w:r>
      <w:r>
        <w:rPr>
          <w:rFonts w:hint="eastAsia" w:ascii="仿宋_GB2312" w:hAnsi="仿宋_GB2312" w:eastAsia="仿宋_GB2312" w:cs="仿宋_GB2312"/>
          <w:color w:val="auto"/>
          <w:sz w:val="32"/>
          <w:szCs w:val="32"/>
          <w:lang w:val="en-US" w:eastAsia="zh-CN"/>
        </w:rPr>
        <w:t>各自编制</w:t>
      </w:r>
      <w:r>
        <w:rPr>
          <w:rFonts w:hint="eastAsia" w:ascii="仿宋_GB2312" w:hAnsi="仿宋_GB2312" w:eastAsia="仿宋_GB2312" w:cs="仿宋_GB2312"/>
          <w:color w:val="auto"/>
          <w:sz w:val="32"/>
          <w:szCs w:val="32"/>
        </w:rPr>
        <w:t>责任，严格控制</w:t>
      </w:r>
      <w:r>
        <w:rPr>
          <w:rFonts w:hint="eastAsia" w:ascii="仿宋_GB2312" w:hAnsi="仿宋_GB2312" w:eastAsia="仿宋_GB2312" w:cs="仿宋_GB2312"/>
          <w:color w:val="auto"/>
          <w:sz w:val="32"/>
          <w:szCs w:val="32"/>
          <w:lang w:val="en-US" w:eastAsia="zh-CN"/>
        </w:rPr>
        <w:t>编制</w:t>
      </w:r>
      <w:r>
        <w:rPr>
          <w:rFonts w:hint="eastAsia" w:ascii="仿宋_GB2312" w:hAnsi="仿宋_GB2312" w:eastAsia="仿宋_GB2312" w:cs="仿宋_GB2312"/>
          <w:color w:val="auto"/>
          <w:sz w:val="32"/>
          <w:szCs w:val="32"/>
        </w:rPr>
        <w:t>进度计划、确保标准</w:t>
      </w:r>
      <w:r>
        <w:rPr>
          <w:rFonts w:hint="eastAsia" w:ascii="仿宋_GB2312" w:hAnsi="仿宋_GB2312" w:eastAsia="仿宋_GB2312" w:cs="仿宋_GB2312"/>
          <w:color w:val="auto"/>
          <w:sz w:val="32"/>
          <w:szCs w:val="32"/>
          <w:lang w:val="en-US" w:eastAsia="zh-CN"/>
        </w:rPr>
        <w:t>高</w:t>
      </w:r>
      <w:r>
        <w:rPr>
          <w:rFonts w:hint="eastAsia" w:ascii="仿宋_GB2312" w:hAnsi="仿宋_GB2312" w:eastAsia="仿宋_GB2312" w:cs="仿宋_GB2312"/>
          <w:color w:val="auto"/>
          <w:sz w:val="32"/>
          <w:szCs w:val="32"/>
        </w:rPr>
        <w:t>质量编制。</w:t>
      </w:r>
    </w:p>
    <w:p w14:paraId="0967060D">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标准框架、主要内容及其确定依据</w:t>
      </w:r>
    </w:p>
    <w:p w14:paraId="5446FACE">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1标准框架</w:t>
      </w:r>
    </w:p>
    <w:p w14:paraId="4A72CA3C">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本标准主要有前言、范围、规范性</w:t>
      </w:r>
      <w:r>
        <w:rPr>
          <w:rFonts w:hint="eastAsia" w:ascii="仿宋_GB2312" w:hAnsi="仿宋_GB2312" w:eastAsia="仿宋_GB2312" w:cs="仿宋_GB2312"/>
          <w:color w:val="auto"/>
          <w:sz w:val="32"/>
          <w:szCs w:val="32"/>
          <w:lang w:val="en-US" w:eastAsia="zh-CN"/>
        </w:rPr>
        <w:t>引</w:t>
      </w:r>
      <w:r>
        <w:rPr>
          <w:rFonts w:hint="eastAsia" w:ascii="仿宋_GB2312" w:hAnsi="仿宋_GB2312" w:eastAsia="仿宋_GB2312" w:cs="仿宋_GB2312"/>
          <w:color w:val="auto"/>
          <w:sz w:val="32"/>
          <w:szCs w:val="32"/>
        </w:rPr>
        <w:t>用文件、术语和定义、</w:t>
      </w:r>
      <w:r>
        <w:rPr>
          <w:rFonts w:hint="eastAsia" w:ascii="仿宋_GB2312" w:hAnsi="仿宋_GB2312" w:eastAsia="仿宋_GB2312" w:cs="仿宋_GB2312"/>
          <w:color w:val="auto"/>
          <w:sz w:val="32"/>
          <w:szCs w:val="32"/>
          <w:lang w:val="en-US" w:eastAsia="zh-CN"/>
        </w:rPr>
        <w:t>基本要求</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压接前准备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接续管压接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压接质量检查</w:t>
      </w:r>
      <w:r>
        <w:rPr>
          <w:rFonts w:hint="eastAsia" w:ascii="仿宋_GB2312" w:hAnsi="仿宋_GB2312" w:eastAsia="仿宋_GB2312" w:cs="仿宋_GB2312"/>
          <w:color w:val="auto"/>
          <w:sz w:val="32"/>
          <w:szCs w:val="32"/>
        </w:rPr>
        <w:t>、参考文献共计</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部分组成。</w:t>
      </w:r>
    </w:p>
    <w:p w14:paraId="19486DAC">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2主要内容</w:t>
      </w:r>
    </w:p>
    <w:p w14:paraId="54162570">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sz w:val="32"/>
          <w:szCs w:val="32"/>
          <w:lang w:val="en-US" w:eastAsia="zh-CN"/>
        </w:rPr>
        <w:t>标准</w:t>
      </w:r>
      <w:r>
        <w:rPr>
          <w:rFonts w:hint="eastAsia" w:ascii="仿宋_GB2312" w:hAnsi="仿宋_GB2312" w:eastAsia="仿宋_GB2312" w:cs="仿宋_GB2312"/>
          <w:color w:val="auto"/>
          <w:sz w:val="32"/>
          <w:szCs w:val="32"/>
        </w:rPr>
        <w:t>规定了输电线路接地圆钢液压压接工艺的</w:t>
      </w:r>
      <w:r>
        <w:rPr>
          <w:rFonts w:hint="eastAsia" w:ascii="仿宋_GB2312" w:hAnsi="仿宋_GB2312" w:eastAsia="仿宋_GB2312" w:cs="仿宋_GB2312"/>
          <w:color w:val="auto"/>
          <w:sz w:val="32"/>
          <w:szCs w:val="32"/>
          <w:lang w:val="en-US" w:eastAsia="zh-CN"/>
        </w:rPr>
        <w:t>基本要求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压接前的准备、接续管的穿管和压接操作、压接质量检查</w:t>
      </w:r>
      <w:r>
        <w:rPr>
          <w:rFonts w:hint="eastAsia" w:ascii="仿宋_GB2312" w:hAnsi="仿宋_GB2312" w:eastAsia="仿宋_GB2312" w:cs="仿宋_GB2312"/>
          <w:color w:val="auto"/>
          <w:sz w:val="32"/>
          <w:szCs w:val="32"/>
        </w:rPr>
        <w:t>。</w:t>
      </w:r>
    </w:p>
    <w:p w14:paraId="3248B1A0">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构建了输电线路接地圆钢液压压接工艺</w:t>
      </w:r>
      <w:r>
        <w:rPr>
          <w:rFonts w:hint="eastAsia" w:ascii="仿宋_GB2312" w:hAnsi="仿宋_GB2312" w:eastAsia="仿宋_GB2312" w:cs="仿宋_GB2312"/>
          <w:color w:val="auto"/>
          <w:sz w:val="32"/>
          <w:szCs w:val="32"/>
          <w:lang w:val="en-US" w:eastAsia="zh-CN"/>
        </w:rPr>
        <w:t>体系与主要内容</w:t>
      </w:r>
      <w:r>
        <w:rPr>
          <w:rFonts w:hint="eastAsia" w:ascii="仿宋_GB2312" w:hAnsi="仿宋_GB2312" w:eastAsia="仿宋_GB2312" w:cs="仿宋_GB2312"/>
          <w:color w:val="auto"/>
          <w:sz w:val="32"/>
          <w:szCs w:val="32"/>
        </w:rPr>
        <w:t>。搭建了包含</w:t>
      </w:r>
      <w:r>
        <w:rPr>
          <w:rFonts w:hint="eastAsia" w:ascii="仿宋_GB2312" w:hAnsi="仿宋_GB2312" w:eastAsia="仿宋_GB2312" w:cs="仿宋_GB2312"/>
          <w:color w:val="auto"/>
          <w:sz w:val="32"/>
          <w:szCs w:val="32"/>
          <w:lang w:val="en-US" w:eastAsia="zh-CN"/>
        </w:rPr>
        <w:t>6项压接基本要求</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5项压接前准备要求</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确立了3种形式接续管穿管、画印、压接、防腐的全过程工艺流程和操作方法；明确了3种形式接续管压接过程和压接后质量检查的项目和要求</w:t>
      </w:r>
      <w:r>
        <w:rPr>
          <w:rFonts w:hint="eastAsia" w:ascii="仿宋_GB2312" w:hAnsi="仿宋_GB2312" w:eastAsia="仿宋_GB2312" w:cs="仿宋_GB2312"/>
          <w:color w:val="auto"/>
          <w:sz w:val="32"/>
          <w:szCs w:val="32"/>
        </w:rPr>
        <w:t>。</w:t>
      </w:r>
    </w:p>
    <w:p w14:paraId="2D6F314C">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3确定依据</w:t>
      </w:r>
    </w:p>
    <w:p w14:paraId="1CDD997D">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《标准起草规则 第8部分：评价标准》GB/T 20001.8—2023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  </w:t>
      </w:r>
    </w:p>
    <w:p w14:paraId="3BC1D9A0">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3.主要试验(或验证)的分析、综述报告，技术经济论证，预期的经济效果</w:t>
      </w:r>
    </w:p>
    <w:p w14:paraId="698F6730">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试验验证情况</w:t>
      </w:r>
    </w:p>
    <w:p w14:paraId="563B23CA">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bookmarkStart w:id="1" w:name="_Toc151325085"/>
      <w:r>
        <w:rPr>
          <w:rFonts w:hint="eastAsia" w:ascii="仿宋_GB2312" w:hAnsi="仿宋_GB2312" w:eastAsia="仿宋_GB2312" w:cs="仿宋_GB2312"/>
          <w:color w:val="auto"/>
          <w:sz w:val="32"/>
          <w:szCs w:val="32"/>
        </w:rPr>
        <w:t>自20</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年开始，</w:t>
      </w:r>
      <w:r>
        <w:rPr>
          <w:rFonts w:hint="eastAsia" w:ascii="仿宋_GB2312" w:hAnsi="仿宋_GB2312" w:eastAsia="仿宋_GB2312" w:cs="仿宋_GB2312"/>
          <w:color w:val="auto"/>
          <w:sz w:val="32"/>
          <w:szCs w:val="32"/>
          <w:lang w:val="en-US" w:eastAsia="zh-CN"/>
        </w:rPr>
        <w:t>电力建设施工企业</w:t>
      </w:r>
      <w:r>
        <w:rPr>
          <w:rFonts w:hint="eastAsia" w:ascii="仿宋_GB2312" w:hAnsi="仿宋_GB2312" w:eastAsia="仿宋_GB2312" w:cs="仿宋_GB2312"/>
          <w:color w:val="auto"/>
          <w:sz w:val="32"/>
          <w:szCs w:val="32"/>
        </w:rPr>
        <w:t>依据《110～750KV架空输电线路施工及验收规范》（GB 50233-2014）、《 ±800kV及以下直流架空输电线路工程施工及验收规程》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DL/T 5235-2010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参考</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输变电工程架空导线（800mm2以下）及地线液压压接工艺规程</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DL</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T 5285-2018</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输电线路杆塔不锈钢复合材料耐腐蚀接地装置</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（DL/T248-2012）</w:t>
      </w:r>
      <w:r>
        <w:rPr>
          <w:rFonts w:hint="eastAsia" w:ascii="仿宋_GB2312" w:hAnsi="仿宋_GB2312" w:eastAsia="仿宋_GB2312" w:cs="仿宋_GB2312"/>
          <w:color w:val="auto"/>
          <w:sz w:val="32"/>
          <w:szCs w:val="32"/>
        </w:rPr>
        <w:t>等标准</w:t>
      </w:r>
      <w:r>
        <w:rPr>
          <w:rFonts w:hint="eastAsia" w:ascii="仿宋_GB2312" w:hAnsi="仿宋_GB2312" w:eastAsia="仿宋_GB2312" w:cs="仿宋_GB2312"/>
          <w:color w:val="auto"/>
          <w:sz w:val="32"/>
          <w:szCs w:val="32"/>
          <w:lang w:val="en-US" w:eastAsia="zh-CN"/>
        </w:rPr>
        <w:t>编制了</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输电线路接地圆钢液压压接作业指导书</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等指导文件，开展了大量的接地圆钢液压压接工艺试验，实际工程应用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并取得了良好的运行效果</w:t>
      </w:r>
      <w:r>
        <w:rPr>
          <w:rFonts w:hint="eastAsia" w:ascii="仿宋_GB2312" w:hAnsi="仿宋_GB2312" w:eastAsia="仿宋_GB2312" w:cs="仿宋_GB2312"/>
          <w:color w:val="auto"/>
          <w:sz w:val="32"/>
          <w:szCs w:val="32"/>
        </w:rPr>
        <w:t>。</w:t>
      </w:r>
    </w:p>
    <w:p w14:paraId="2AA8A675">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本标准</w:t>
      </w:r>
      <w:r>
        <w:rPr>
          <w:rFonts w:hint="eastAsia" w:ascii="仿宋_GB2312" w:hAnsi="仿宋_GB2312" w:eastAsia="仿宋_GB2312" w:cs="仿宋_GB2312"/>
          <w:color w:val="auto"/>
          <w:sz w:val="32"/>
          <w:szCs w:val="32"/>
          <w:lang w:val="en-US" w:eastAsia="zh-CN"/>
        </w:rPr>
        <w:t>是以历年输电查线路接地圆钢液压压接施工实践为基础</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对接地圆钢液压压接工艺要求、操作方法、质量检查的总结提炼及验证，也是对行业内输电线路接地圆钢液压压接施工形成了统一规范的标准工艺。</w:t>
      </w:r>
    </w:p>
    <w:p w14:paraId="784CD1A4">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color w:val="auto"/>
          <w:sz w:val="32"/>
          <w:szCs w:val="32"/>
        </w:rPr>
        <w:t>预期达到的效果</w:t>
      </w:r>
      <w:bookmarkEnd w:id="1"/>
    </w:p>
    <w:p w14:paraId="41FE9F36">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bookmarkStart w:id="2" w:name="OLE_LINK3"/>
      <w:r>
        <w:rPr>
          <w:rFonts w:hint="eastAsia" w:ascii="仿宋_GB2312" w:hAnsi="仿宋_GB2312" w:eastAsia="仿宋_GB2312" w:cs="仿宋_GB2312"/>
          <w:color w:val="auto"/>
          <w:sz w:val="32"/>
          <w:szCs w:val="32"/>
        </w:rPr>
        <w:t>近几年</w:t>
      </w:r>
      <w:r>
        <w:rPr>
          <w:rFonts w:hint="eastAsia" w:ascii="仿宋_GB2312" w:hAnsi="仿宋_GB2312" w:eastAsia="仿宋_GB2312" w:cs="仿宋_GB2312"/>
          <w:color w:val="auto"/>
          <w:sz w:val="32"/>
          <w:szCs w:val="32"/>
          <w:lang w:val="en-US" w:eastAsia="zh-CN"/>
        </w:rPr>
        <w:t>随着国家对林区消防管控的不断加强，越来越多的地区已开始不允许动火，输电线路接地圆钢使用传统的焊接连接方式已不可行，采用液压连接的方式越来越多，总结近年各单位在项目上的实际应用经验，</w:t>
      </w:r>
      <w:r>
        <w:rPr>
          <w:rFonts w:hint="eastAsia" w:ascii="仿宋_GB2312" w:hAnsi="仿宋_GB2312" w:eastAsia="仿宋_GB2312" w:cs="仿宋_GB2312"/>
          <w:color w:val="auto"/>
          <w:sz w:val="32"/>
          <w:szCs w:val="32"/>
        </w:rPr>
        <w:t>也</w:t>
      </w:r>
      <w:r>
        <w:rPr>
          <w:rFonts w:hint="eastAsia" w:ascii="仿宋_GB2312" w:hAnsi="仿宋_GB2312" w:eastAsia="仿宋_GB2312" w:cs="仿宋_GB2312"/>
          <w:color w:val="auto"/>
          <w:sz w:val="32"/>
          <w:szCs w:val="32"/>
          <w:lang w:val="en-US" w:eastAsia="zh-CN"/>
        </w:rPr>
        <w:t>展现出输电线路接地圆钢液压压接工艺的</w:t>
      </w:r>
      <w:r>
        <w:rPr>
          <w:rFonts w:hint="eastAsia" w:ascii="仿宋_GB2312" w:hAnsi="仿宋_GB2312" w:eastAsia="仿宋_GB2312" w:cs="仿宋_GB2312"/>
          <w:color w:val="auto"/>
          <w:sz w:val="32"/>
          <w:szCs w:val="32"/>
        </w:rPr>
        <w:t>一些不足和问题，如</w:t>
      </w:r>
      <w:bookmarkEnd w:id="2"/>
      <w:r>
        <w:rPr>
          <w:rFonts w:hint="eastAsia" w:ascii="仿宋_GB2312" w:hAnsi="仿宋_GB2312" w:eastAsia="仿宋_GB2312" w:cs="仿宋_GB2312"/>
          <w:color w:val="auto"/>
          <w:sz w:val="32"/>
          <w:szCs w:val="32"/>
          <w:lang w:val="en-US" w:eastAsia="zh-CN"/>
        </w:rPr>
        <w:t>接地圆钢压接基本要求缺漏</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操作方法不一、检查项目单一</w:t>
      </w:r>
      <w:r>
        <w:rPr>
          <w:rFonts w:hint="eastAsia" w:ascii="仿宋_GB2312" w:hAnsi="仿宋_GB2312" w:eastAsia="仿宋_GB2312" w:cs="仿宋_GB2312"/>
          <w:color w:val="auto"/>
          <w:sz w:val="32"/>
          <w:szCs w:val="32"/>
        </w:rPr>
        <w:t>、缺乏统一的标准与规范。</w:t>
      </w:r>
    </w:p>
    <w:p w14:paraId="181CA5AE">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本标准的编写主要拟解决以下几个</w:t>
      </w:r>
      <w:r>
        <w:rPr>
          <w:rFonts w:hint="eastAsia" w:ascii="仿宋_GB2312" w:hAnsi="仿宋_GB2312" w:eastAsia="仿宋_GB2312" w:cs="仿宋_GB2312"/>
          <w:color w:val="auto"/>
          <w:sz w:val="32"/>
          <w:szCs w:val="32"/>
          <w:lang w:val="en-US" w:eastAsia="zh-CN"/>
        </w:rPr>
        <w:t>输电线路接地圆钢液压压接工艺</w:t>
      </w:r>
      <w:r>
        <w:rPr>
          <w:rFonts w:hint="eastAsia" w:ascii="仿宋_GB2312" w:hAnsi="仿宋_GB2312" w:eastAsia="仿宋_GB2312" w:cs="仿宋_GB2312"/>
          <w:color w:val="auto"/>
          <w:sz w:val="32"/>
          <w:szCs w:val="32"/>
        </w:rPr>
        <w:t>的关键问题：</w:t>
      </w:r>
    </w:p>
    <w:p w14:paraId="2B883C8B">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问题1：</w:t>
      </w:r>
      <w:r>
        <w:rPr>
          <w:rFonts w:hint="eastAsia" w:ascii="仿宋_GB2312" w:hAnsi="仿宋_GB2312" w:eastAsia="仿宋_GB2312" w:cs="仿宋_GB2312"/>
          <w:color w:val="auto"/>
          <w:sz w:val="32"/>
          <w:szCs w:val="32"/>
          <w:lang w:val="en-US" w:eastAsia="zh-CN"/>
        </w:rPr>
        <w:t>输电线路接地圆钢液压压接工艺实施</w:t>
      </w:r>
      <w:r>
        <w:rPr>
          <w:rFonts w:hint="eastAsia" w:ascii="仿宋_GB2312" w:hAnsi="仿宋_GB2312" w:eastAsia="仿宋_GB2312" w:cs="仿宋_GB2312"/>
          <w:color w:val="auto"/>
          <w:sz w:val="32"/>
          <w:szCs w:val="32"/>
        </w:rPr>
        <w:t>的有效性。</w:t>
      </w:r>
      <w:r>
        <w:rPr>
          <w:rFonts w:hint="eastAsia" w:ascii="仿宋_GB2312" w:hAnsi="仿宋_GB2312" w:eastAsia="仿宋_GB2312" w:cs="仿宋_GB2312"/>
          <w:color w:val="auto"/>
          <w:sz w:val="32"/>
          <w:szCs w:val="32"/>
          <w:lang w:val="en-US" w:eastAsia="zh-CN"/>
        </w:rPr>
        <w:t>压接工艺的推广</w:t>
      </w:r>
      <w:r>
        <w:rPr>
          <w:rFonts w:hint="eastAsia" w:ascii="仿宋_GB2312" w:hAnsi="仿宋_GB2312" w:eastAsia="仿宋_GB2312" w:cs="仿宋_GB2312"/>
          <w:color w:val="auto"/>
          <w:sz w:val="32"/>
          <w:szCs w:val="32"/>
        </w:rPr>
        <w:t>应用是否达到了预期的效果？是否提高了项目的</w:t>
      </w:r>
      <w:r>
        <w:rPr>
          <w:rFonts w:hint="eastAsia" w:ascii="仿宋_GB2312" w:hAnsi="仿宋_GB2312" w:eastAsia="仿宋_GB2312" w:cs="仿宋_GB2312"/>
          <w:color w:val="auto"/>
          <w:sz w:val="32"/>
          <w:szCs w:val="32"/>
          <w:lang w:val="en-US" w:eastAsia="zh-CN"/>
        </w:rPr>
        <w:t>质量、安全与经济效益</w:t>
      </w:r>
      <w:r>
        <w:rPr>
          <w:rFonts w:hint="eastAsia" w:ascii="仿宋_GB2312" w:hAnsi="仿宋_GB2312" w:eastAsia="仿宋_GB2312" w:cs="仿宋_GB2312"/>
          <w:color w:val="auto"/>
          <w:sz w:val="32"/>
          <w:szCs w:val="32"/>
        </w:rPr>
        <w:t>？</w:t>
      </w:r>
    </w:p>
    <w:p w14:paraId="38A66ED4">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解决方案：通过本标准拟定</w:t>
      </w:r>
      <w:r>
        <w:rPr>
          <w:rFonts w:hint="eastAsia" w:ascii="仿宋_GB2312" w:hAnsi="仿宋_GB2312" w:eastAsia="仿宋_GB2312" w:cs="仿宋_GB2312"/>
          <w:color w:val="auto"/>
          <w:sz w:val="32"/>
          <w:szCs w:val="32"/>
          <w:lang w:val="en-US" w:eastAsia="zh-CN"/>
        </w:rPr>
        <w:t>了压接工艺的详细实施要求和操作方法，结合成果实际达到的效果，确保标准的</w:t>
      </w:r>
      <w:r>
        <w:rPr>
          <w:rFonts w:hint="eastAsia" w:ascii="仿宋_GB2312" w:hAnsi="仿宋_GB2312" w:eastAsia="仿宋_GB2312" w:cs="仿宋_GB2312"/>
          <w:color w:val="auto"/>
          <w:sz w:val="32"/>
          <w:szCs w:val="32"/>
        </w:rPr>
        <w:t>有效性，确保</w:t>
      </w:r>
      <w:r>
        <w:rPr>
          <w:rFonts w:hint="eastAsia" w:ascii="仿宋_GB2312" w:hAnsi="仿宋_GB2312" w:eastAsia="仿宋_GB2312" w:cs="仿宋_GB2312"/>
          <w:color w:val="auto"/>
          <w:sz w:val="32"/>
          <w:szCs w:val="32"/>
          <w:lang w:val="en-US" w:eastAsia="zh-CN"/>
        </w:rPr>
        <w:t>标准</w:t>
      </w:r>
      <w:r>
        <w:rPr>
          <w:rFonts w:hint="eastAsia" w:ascii="仿宋_GB2312" w:hAnsi="仿宋_GB2312" w:eastAsia="仿宋_GB2312" w:cs="仿宋_GB2312"/>
          <w:color w:val="auto"/>
          <w:sz w:val="32"/>
          <w:szCs w:val="32"/>
        </w:rPr>
        <w:t>在实际</w:t>
      </w:r>
      <w:r>
        <w:rPr>
          <w:rFonts w:hint="eastAsia" w:ascii="仿宋_GB2312" w:hAnsi="仿宋_GB2312" w:eastAsia="仿宋_GB2312" w:cs="仿宋_GB2312"/>
          <w:color w:val="auto"/>
          <w:sz w:val="32"/>
          <w:szCs w:val="32"/>
          <w:lang w:val="en-US" w:eastAsia="zh-CN"/>
        </w:rPr>
        <w:t>电建建设过程</w:t>
      </w:r>
      <w:r>
        <w:rPr>
          <w:rFonts w:hint="eastAsia" w:ascii="仿宋_GB2312" w:hAnsi="仿宋_GB2312" w:eastAsia="仿宋_GB2312" w:cs="仿宋_GB2312"/>
          <w:color w:val="auto"/>
          <w:sz w:val="32"/>
          <w:szCs w:val="32"/>
        </w:rPr>
        <w:t>中产生积极影响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对提升人的素质，提高项目的质量、环保与安全管理，提升电力建设组织的经济效益</w:t>
      </w:r>
      <w:r>
        <w:rPr>
          <w:rFonts w:hint="eastAsia" w:ascii="仿宋_GB2312" w:hAnsi="仿宋_GB2312" w:eastAsia="仿宋_GB2312" w:cs="仿宋_GB2312"/>
          <w:color w:val="auto"/>
          <w:sz w:val="32"/>
          <w:szCs w:val="32"/>
        </w:rPr>
        <w:t>。</w:t>
      </w:r>
    </w:p>
    <w:p w14:paraId="4DE35EBC">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问题</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液压压接工艺的针对性。压接工艺的操作是否能指导不同形式接续管的压接施工</w:t>
      </w:r>
      <w:r>
        <w:rPr>
          <w:rFonts w:hint="eastAsia" w:ascii="仿宋_GB2312" w:hAnsi="仿宋_GB2312" w:eastAsia="仿宋_GB2312" w:cs="仿宋_GB2312"/>
          <w:color w:val="auto"/>
          <w:sz w:val="32"/>
          <w:szCs w:val="32"/>
        </w:rPr>
        <w:t>？</w:t>
      </w:r>
    </w:p>
    <w:p w14:paraId="30D9C527">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解决方案：本标准</w:t>
      </w:r>
      <w:r>
        <w:rPr>
          <w:rFonts w:hint="eastAsia" w:ascii="仿宋_GB2312" w:hAnsi="仿宋_GB2312" w:eastAsia="仿宋_GB2312" w:cs="仿宋_GB2312"/>
          <w:color w:val="auto"/>
          <w:sz w:val="32"/>
          <w:szCs w:val="32"/>
          <w:lang w:val="en-US" w:eastAsia="zh-CN"/>
        </w:rPr>
        <w:t>分别针对性制定了一字型、T字型和十字型接续管液压压接工艺的穿管、画印、压接、质量检查等全过程的操作方法和要求，涵盖了现行典型的接地圆钢接续管形式，</w:t>
      </w:r>
      <w:r>
        <w:rPr>
          <w:rFonts w:hint="eastAsia" w:ascii="仿宋_GB2312" w:hAnsi="仿宋_GB2312" w:eastAsia="仿宋_GB2312" w:cs="仿宋_GB2312"/>
          <w:color w:val="auto"/>
          <w:sz w:val="32"/>
          <w:szCs w:val="32"/>
        </w:rPr>
        <w:t>确保</w:t>
      </w:r>
      <w:r>
        <w:rPr>
          <w:rFonts w:hint="eastAsia" w:ascii="仿宋_GB2312" w:hAnsi="仿宋_GB2312" w:eastAsia="仿宋_GB2312" w:cs="仿宋_GB2312"/>
          <w:color w:val="auto"/>
          <w:sz w:val="32"/>
          <w:szCs w:val="32"/>
          <w:lang w:val="en-US" w:eastAsia="zh-CN"/>
        </w:rPr>
        <w:t>满足不同形式接续管压接施工需求</w:t>
      </w:r>
      <w:r>
        <w:rPr>
          <w:rFonts w:hint="eastAsia" w:ascii="仿宋_GB2312" w:hAnsi="仿宋_GB2312" w:eastAsia="仿宋_GB2312" w:cs="仿宋_GB2312"/>
          <w:color w:val="auto"/>
          <w:sz w:val="32"/>
          <w:szCs w:val="32"/>
        </w:rPr>
        <w:t>。</w:t>
      </w:r>
    </w:p>
    <w:p w14:paraId="6209285B">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问题</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压接材料和工具等规定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是否</w:t>
      </w:r>
      <w:r>
        <w:rPr>
          <w:rFonts w:hint="eastAsia" w:ascii="仿宋_GB2312" w:hAnsi="仿宋_GB2312" w:eastAsia="仿宋_GB2312" w:cs="仿宋_GB2312"/>
          <w:color w:val="auto"/>
          <w:sz w:val="32"/>
          <w:szCs w:val="32"/>
          <w:lang w:val="en-US" w:eastAsia="zh-CN"/>
        </w:rPr>
        <w:t>对压接实施的材料、工具等有统一的规定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现行材料和工具是否能满足使用需求</w:t>
      </w:r>
      <w:r>
        <w:rPr>
          <w:rFonts w:hint="eastAsia" w:ascii="仿宋_GB2312" w:hAnsi="仿宋_GB2312" w:eastAsia="仿宋_GB2312" w:cs="仿宋_GB2312"/>
          <w:color w:val="auto"/>
          <w:sz w:val="32"/>
          <w:szCs w:val="32"/>
        </w:rPr>
        <w:t>？</w:t>
      </w:r>
    </w:p>
    <w:p w14:paraId="2880F37D">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解决方案：本标准</w:t>
      </w:r>
      <w:r>
        <w:rPr>
          <w:rFonts w:hint="eastAsia" w:ascii="仿宋_GB2312" w:hAnsi="仿宋_GB2312" w:eastAsia="仿宋_GB2312" w:cs="仿宋_GB2312"/>
          <w:color w:val="auto"/>
          <w:sz w:val="32"/>
          <w:szCs w:val="32"/>
          <w:lang w:val="en-US" w:eastAsia="zh-CN"/>
        </w:rPr>
        <w:t>参照现行相关规程规范规定了接地体、接续管、压接机、压接模具等的质量或加工制造、性能参数等要求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所用材料和工具均有现行的加工制造和检验标准依据，且已经过大量现场应用实践</w:t>
      </w:r>
      <w:r>
        <w:rPr>
          <w:rFonts w:hint="eastAsia" w:ascii="仿宋_GB2312" w:hAnsi="仿宋_GB2312" w:eastAsia="仿宋_GB2312" w:cs="仿宋_GB2312"/>
          <w:color w:val="auto"/>
          <w:sz w:val="32"/>
          <w:szCs w:val="32"/>
        </w:rPr>
        <w:t>，确保其能够满足</w:t>
      </w:r>
      <w:r>
        <w:rPr>
          <w:rFonts w:hint="eastAsia" w:ascii="仿宋_GB2312" w:hAnsi="仿宋_GB2312" w:eastAsia="仿宋_GB2312" w:cs="仿宋_GB2312"/>
          <w:color w:val="auto"/>
          <w:sz w:val="32"/>
          <w:szCs w:val="32"/>
          <w:lang w:val="en-US" w:eastAsia="zh-CN"/>
        </w:rPr>
        <w:t>压接工艺实施</w:t>
      </w:r>
      <w:r>
        <w:rPr>
          <w:rFonts w:hint="eastAsia" w:ascii="仿宋_GB2312" w:hAnsi="仿宋_GB2312" w:eastAsia="仿宋_GB2312" w:cs="仿宋_GB2312"/>
          <w:color w:val="auto"/>
          <w:sz w:val="32"/>
          <w:szCs w:val="32"/>
        </w:rPr>
        <w:t>需求。</w:t>
      </w:r>
    </w:p>
    <w:p w14:paraId="2BE5C46B">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问题</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：环境与社会影响。</w:t>
      </w:r>
      <w:r>
        <w:rPr>
          <w:rFonts w:hint="eastAsia" w:ascii="仿宋_GB2312" w:hAnsi="仿宋_GB2312" w:eastAsia="仿宋_GB2312" w:cs="仿宋_GB2312"/>
          <w:color w:val="auto"/>
          <w:sz w:val="32"/>
          <w:szCs w:val="32"/>
          <w:lang w:val="en-US" w:eastAsia="zh-CN"/>
        </w:rPr>
        <w:t>输电线路接地圆钢液压压接工艺实施</w:t>
      </w:r>
      <w:r>
        <w:rPr>
          <w:rFonts w:hint="eastAsia" w:ascii="仿宋_GB2312" w:hAnsi="仿宋_GB2312" w:eastAsia="仿宋_GB2312" w:cs="仿宋_GB2312"/>
          <w:color w:val="auto"/>
          <w:sz w:val="32"/>
          <w:szCs w:val="32"/>
        </w:rPr>
        <w:t>是否对环境和社会产生积极影响？是否促进了可持续发展和社会责任？</w:t>
      </w:r>
    </w:p>
    <w:p w14:paraId="3C4B272F">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解决方案：</w:t>
      </w:r>
      <w:r>
        <w:rPr>
          <w:rFonts w:hint="eastAsia" w:ascii="仿宋_GB2312" w:hAnsi="仿宋_GB2312" w:eastAsia="仿宋_GB2312" w:cs="仿宋_GB2312"/>
          <w:color w:val="auto"/>
          <w:sz w:val="32"/>
          <w:szCs w:val="32"/>
          <w:lang w:val="en-US" w:eastAsia="zh-CN"/>
        </w:rPr>
        <w:t>输电线路接地圆钢液压压接工艺采用液压动力，避免了焊接施工带来的有害气体、火灾等环境污染和施工安全风险，同时也大量提高施工效率和效益、降低劳动强度。这些</w:t>
      </w:r>
      <w:r>
        <w:rPr>
          <w:rFonts w:hint="eastAsia" w:ascii="仿宋_GB2312" w:hAnsi="仿宋_GB2312" w:eastAsia="仿宋_GB2312" w:cs="仿宋_GB2312"/>
          <w:color w:val="auto"/>
          <w:sz w:val="32"/>
          <w:szCs w:val="32"/>
        </w:rPr>
        <w:t>节能降耗、绿色低碳，提高经济效益等方面的贡献，确保其符合可持续发展目标。</w:t>
      </w:r>
    </w:p>
    <w:p w14:paraId="541B015D">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通过解决上述问题，</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将为电力</w:t>
      </w:r>
      <w:r>
        <w:rPr>
          <w:rFonts w:hint="eastAsia" w:ascii="仿宋_GB2312" w:hAnsi="仿宋_GB2312" w:eastAsia="仿宋_GB2312" w:cs="仿宋_GB2312"/>
          <w:color w:val="auto"/>
          <w:sz w:val="32"/>
          <w:szCs w:val="32"/>
          <w:lang w:val="en-US" w:eastAsia="zh-CN"/>
        </w:rPr>
        <w:t>建设组织</w:t>
      </w:r>
      <w:r>
        <w:rPr>
          <w:rFonts w:hint="eastAsia" w:ascii="仿宋_GB2312" w:hAnsi="仿宋_GB2312" w:eastAsia="仿宋_GB2312" w:cs="仿宋_GB2312"/>
          <w:color w:val="auto"/>
          <w:sz w:val="32"/>
          <w:szCs w:val="32"/>
        </w:rPr>
        <w:t>提供</w:t>
      </w:r>
      <w:r>
        <w:rPr>
          <w:rFonts w:hint="eastAsia" w:ascii="仿宋_GB2312" w:hAnsi="仿宋_GB2312" w:eastAsia="仿宋_GB2312" w:cs="仿宋_GB2312"/>
          <w:color w:val="auto"/>
          <w:sz w:val="32"/>
          <w:szCs w:val="32"/>
          <w:lang w:val="en-US" w:eastAsia="zh-CN"/>
        </w:rPr>
        <w:t>全面完善的基本规定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详细统一的压接操作流程和方法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规范有效的检查检验项目和要求，助力</w:t>
      </w:r>
      <w:r>
        <w:rPr>
          <w:rFonts w:hint="eastAsia" w:ascii="仿宋_GB2312" w:hAnsi="仿宋_GB2312" w:eastAsia="仿宋_GB2312" w:cs="仿宋_GB2312"/>
          <w:color w:val="auto"/>
          <w:sz w:val="32"/>
          <w:szCs w:val="32"/>
        </w:rPr>
        <w:t>电力</w:t>
      </w:r>
      <w:r>
        <w:rPr>
          <w:rFonts w:hint="eastAsia" w:ascii="仿宋_GB2312" w:hAnsi="仿宋_GB2312" w:eastAsia="仿宋_GB2312" w:cs="仿宋_GB2312"/>
          <w:color w:val="auto"/>
          <w:sz w:val="32"/>
          <w:szCs w:val="32"/>
          <w:lang w:val="en-US" w:eastAsia="zh-CN"/>
        </w:rPr>
        <w:t>建设组织有效开展接地圆钢压接</w:t>
      </w:r>
      <w:r>
        <w:rPr>
          <w:rFonts w:hint="eastAsia" w:ascii="仿宋_GB2312" w:hAnsi="仿宋_GB2312" w:eastAsia="仿宋_GB2312" w:cs="仿宋_GB2312"/>
          <w:color w:val="auto"/>
          <w:sz w:val="32"/>
          <w:szCs w:val="32"/>
        </w:rPr>
        <w:t>，提升</w:t>
      </w:r>
      <w:r>
        <w:rPr>
          <w:rFonts w:hint="eastAsia" w:ascii="仿宋_GB2312" w:hAnsi="仿宋_GB2312" w:eastAsia="仿宋_GB2312" w:cs="仿宋_GB2312"/>
          <w:color w:val="auto"/>
          <w:sz w:val="32"/>
          <w:szCs w:val="32"/>
          <w:lang w:val="en-US" w:eastAsia="zh-CN"/>
        </w:rPr>
        <w:t>压接工艺实施</w:t>
      </w:r>
      <w:r>
        <w:rPr>
          <w:rFonts w:hint="eastAsia" w:ascii="仿宋_GB2312" w:hAnsi="仿宋_GB2312" w:eastAsia="仿宋_GB2312" w:cs="仿宋_GB2312"/>
          <w:color w:val="auto"/>
          <w:sz w:val="32"/>
          <w:szCs w:val="32"/>
        </w:rPr>
        <w:t>的价值和效果，</w:t>
      </w:r>
      <w:r>
        <w:rPr>
          <w:rFonts w:hint="eastAsia" w:ascii="仿宋_GB2312" w:hAnsi="仿宋_GB2312" w:eastAsia="仿宋_GB2312" w:cs="仿宋_GB2312"/>
          <w:color w:val="auto"/>
          <w:sz w:val="32"/>
          <w:szCs w:val="32"/>
          <w:lang w:val="en-US" w:eastAsia="zh-CN"/>
        </w:rPr>
        <w:t>推动电力</w:t>
      </w:r>
      <w:r>
        <w:rPr>
          <w:rFonts w:hint="eastAsia" w:ascii="仿宋_GB2312" w:hAnsi="仿宋_GB2312" w:eastAsia="仿宋_GB2312" w:cs="仿宋_GB2312"/>
          <w:color w:val="auto"/>
          <w:sz w:val="32"/>
          <w:szCs w:val="32"/>
        </w:rPr>
        <w:t>行业的</w:t>
      </w:r>
      <w:r>
        <w:rPr>
          <w:rFonts w:hint="eastAsia" w:ascii="仿宋_GB2312" w:hAnsi="仿宋_GB2312" w:eastAsia="仿宋_GB2312" w:cs="仿宋_GB2312"/>
          <w:color w:val="auto"/>
          <w:sz w:val="32"/>
          <w:szCs w:val="32"/>
          <w:lang w:val="en-US" w:eastAsia="zh-CN"/>
        </w:rPr>
        <w:t>接地圆钢连接工艺的良性发展与价值提升</w:t>
      </w:r>
      <w:r>
        <w:rPr>
          <w:rFonts w:hint="eastAsia" w:ascii="仿宋_GB2312" w:hAnsi="仿宋_GB2312" w:eastAsia="仿宋_GB2312" w:cs="仿宋_GB2312"/>
          <w:color w:val="auto"/>
          <w:sz w:val="32"/>
          <w:szCs w:val="32"/>
        </w:rPr>
        <w:t>。</w:t>
      </w:r>
    </w:p>
    <w:p w14:paraId="157F7A56">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4.采用国际标准和国外先进标准的程度,以及与国际、国外同类标准水平的对比情况，或与测试的国外样品、样机的有关数据对比情况</w:t>
      </w:r>
    </w:p>
    <w:p w14:paraId="0CBE9703">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这一</w:t>
      </w:r>
      <w:r>
        <w:rPr>
          <w:rFonts w:hint="eastAsia" w:ascii="仿宋_GB2312" w:hAnsi="仿宋_GB2312" w:eastAsia="仿宋_GB2312" w:cs="仿宋_GB2312"/>
          <w:color w:val="auto"/>
          <w:sz w:val="32"/>
          <w:szCs w:val="32"/>
          <w:lang w:val="en-US" w:eastAsia="zh-CN"/>
        </w:rPr>
        <w:t>导则</w:t>
      </w:r>
      <w:r>
        <w:rPr>
          <w:rFonts w:hint="eastAsia" w:ascii="仿宋_GB2312" w:hAnsi="仿宋_GB2312" w:eastAsia="仿宋_GB2312" w:cs="仿宋_GB2312"/>
          <w:color w:val="auto"/>
          <w:sz w:val="32"/>
          <w:szCs w:val="32"/>
        </w:rPr>
        <w:t>的实施，不仅有助于完善我国</w:t>
      </w:r>
      <w:r>
        <w:rPr>
          <w:rFonts w:hint="eastAsia" w:ascii="仿宋_GB2312" w:hAnsi="仿宋_GB2312" w:eastAsia="仿宋_GB2312" w:cs="仿宋_GB2312"/>
          <w:color w:val="auto"/>
          <w:sz w:val="32"/>
          <w:szCs w:val="32"/>
          <w:lang w:val="en-US" w:eastAsia="zh-CN"/>
        </w:rPr>
        <w:t>输电线路接地圆钢液压压接工艺</w:t>
      </w:r>
      <w:r>
        <w:rPr>
          <w:rFonts w:hint="eastAsia" w:ascii="仿宋_GB2312" w:hAnsi="仿宋_GB2312" w:eastAsia="仿宋_GB2312" w:cs="仿宋_GB2312"/>
          <w:color w:val="auto"/>
          <w:sz w:val="32"/>
          <w:szCs w:val="32"/>
        </w:rPr>
        <w:t>标准体系，确保</w:t>
      </w:r>
      <w:r>
        <w:rPr>
          <w:rFonts w:hint="eastAsia" w:ascii="仿宋_GB2312" w:hAnsi="仿宋_GB2312" w:eastAsia="仿宋_GB2312" w:cs="仿宋_GB2312"/>
          <w:color w:val="auto"/>
          <w:sz w:val="32"/>
          <w:szCs w:val="32"/>
          <w:lang w:val="en-US" w:eastAsia="zh-CN"/>
        </w:rPr>
        <w:t>国内外</w:t>
      </w:r>
      <w:r>
        <w:rPr>
          <w:rFonts w:hint="eastAsia" w:ascii="仿宋_GB2312" w:hAnsi="仿宋_GB2312" w:eastAsia="仿宋_GB2312" w:cs="仿宋_GB2312"/>
          <w:color w:val="auto"/>
          <w:sz w:val="32"/>
          <w:szCs w:val="32"/>
        </w:rPr>
        <w:t>标准之间的协调统一和相互配套，还能有效应对国际</w:t>
      </w:r>
      <w:r>
        <w:rPr>
          <w:rFonts w:hint="eastAsia" w:ascii="仿宋_GB2312" w:hAnsi="仿宋_GB2312" w:eastAsia="仿宋_GB2312" w:cs="仿宋_GB2312"/>
          <w:color w:val="auto"/>
          <w:sz w:val="32"/>
          <w:szCs w:val="32"/>
          <w:lang w:val="en-US" w:eastAsia="zh-CN"/>
        </w:rPr>
        <w:t>标准</w:t>
      </w:r>
      <w:r>
        <w:rPr>
          <w:rFonts w:hint="eastAsia" w:ascii="仿宋_GB2312" w:hAnsi="仿宋_GB2312" w:eastAsia="仿宋_GB2312" w:cs="仿宋_GB2312"/>
          <w:color w:val="auto"/>
          <w:sz w:val="32"/>
          <w:szCs w:val="32"/>
        </w:rPr>
        <w:t>中的技术壁垒，促进国际发展。通过比对</w:t>
      </w:r>
      <w:r>
        <w:rPr>
          <w:rFonts w:hint="eastAsia" w:ascii="仿宋_GB2312" w:hAnsi="仿宋_GB2312" w:eastAsia="仿宋_GB2312" w:cs="仿宋_GB2312"/>
          <w:color w:val="auto"/>
          <w:sz w:val="32"/>
          <w:szCs w:val="32"/>
          <w:lang w:val="en-US" w:eastAsia="zh-CN"/>
        </w:rPr>
        <w:t>研究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不仅能够及时了解国际标准的最新动态和发展趋势，还能根据</w:t>
      </w:r>
      <w:r>
        <w:rPr>
          <w:rFonts w:hint="eastAsia" w:ascii="仿宋_GB2312" w:hAnsi="仿宋_GB2312" w:eastAsia="仿宋_GB2312" w:cs="仿宋_GB2312"/>
          <w:color w:val="auto"/>
          <w:sz w:val="32"/>
          <w:szCs w:val="32"/>
          <w:lang w:val="en-US" w:eastAsia="zh-CN"/>
        </w:rPr>
        <w:t>国内电力发展</w:t>
      </w:r>
      <w:r>
        <w:rPr>
          <w:rFonts w:hint="eastAsia" w:ascii="仿宋_GB2312" w:hAnsi="仿宋_GB2312" w:eastAsia="仿宋_GB2312" w:cs="仿宋_GB2312"/>
          <w:color w:val="auto"/>
          <w:sz w:val="32"/>
          <w:szCs w:val="32"/>
        </w:rPr>
        <w:t>自身实际情况进行有针对性的改进和创新。有助于提升我国</w:t>
      </w:r>
      <w:r>
        <w:rPr>
          <w:rFonts w:hint="eastAsia" w:ascii="仿宋_GB2312" w:hAnsi="仿宋_GB2312" w:eastAsia="仿宋_GB2312" w:cs="仿宋_GB2312"/>
          <w:color w:val="auto"/>
          <w:sz w:val="32"/>
          <w:szCs w:val="32"/>
          <w:lang w:val="en-US" w:eastAsia="zh-CN"/>
        </w:rPr>
        <w:t>接地圆钢液压压接工艺</w:t>
      </w:r>
      <w:r>
        <w:rPr>
          <w:rFonts w:hint="eastAsia" w:ascii="仿宋_GB2312" w:hAnsi="仿宋_GB2312" w:eastAsia="仿宋_GB2312" w:cs="仿宋_GB2312"/>
          <w:color w:val="auto"/>
          <w:sz w:val="32"/>
          <w:szCs w:val="32"/>
        </w:rPr>
        <w:t>标准的整体水平，还能增强我国</w:t>
      </w:r>
      <w:r>
        <w:rPr>
          <w:rFonts w:hint="eastAsia" w:ascii="仿宋_GB2312" w:hAnsi="仿宋_GB2312" w:eastAsia="仿宋_GB2312" w:cs="仿宋_GB2312"/>
          <w:color w:val="auto"/>
          <w:sz w:val="32"/>
          <w:szCs w:val="32"/>
          <w:lang w:val="en-US" w:eastAsia="zh-CN"/>
        </w:rPr>
        <w:t>接地圆钢液压压接工艺</w:t>
      </w:r>
      <w:r>
        <w:rPr>
          <w:rFonts w:hint="eastAsia" w:ascii="仿宋_GB2312" w:hAnsi="仿宋_GB2312" w:eastAsia="仿宋_GB2312" w:cs="仿宋_GB2312"/>
          <w:color w:val="auto"/>
          <w:sz w:val="32"/>
          <w:szCs w:val="32"/>
          <w:lang w:val="en-US" w:eastAsia="zh-CN"/>
        </w:rPr>
        <w:t>的创新发展在</w:t>
      </w:r>
      <w:r>
        <w:rPr>
          <w:rFonts w:hint="eastAsia" w:ascii="仿宋_GB2312" w:hAnsi="仿宋_GB2312" w:eastAsia="仿宋_GB2312" w:cs="仿宋_GB2312"/>
          <w:color w:val="auto"/>
          <w:sz w:val="32"/>
          <w:szCs w:val="32"/>
        </w:rPr>
        <w:t>国际</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领域的影响力。</w:t>
      </w:r>
    </w:p>
    <w:p w14:paraId="66255DDE">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5.与有关的现行法律、法规和强制性国家标准的关系</w:t>
      </w:r>
    </w:p>
    <w:p w14:paraId="34AC326D">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目前，国内电力建设行业尚无专门针对</w:t>
      </w:r>
      <w:r>
        <w:rPr>
          <w:rFonts w:hint="eastAsia" w:ascii="仿宋_GB2312" w:hAnsi="仿宋_GB2312" w:eastAsia="仿宋_GB2312" w:cs="仿宋_GB2312"/>
          <w:color w:val="auto"/>
          <w:sz w:val="32"/>
          <w:szCs w:val="32"/>
          <w:lang w:val="en-US" w:eastAsia="zh-CN"/>
        </w:rPr>
        <w:t>输电线路接地圆钢液压压接的工艺</w:t>
      </w:r>
      <w:r>
        <w:rPr>
          <w:rFonts w:hint="eastAsia" w:ascii="仿宋_GB2312" w:hAnsi="仿宋_GB2312" w:eastAsia="仿宋_GB2312" w:cs="仿宋_GB2312"/>
          <w:color w:val="auto"/>
          <w:sz w:val="32"/>
          <w:szCs w:val="32"/>
        </w:rPr>
        <w:t>类标准，国外也无类似标准。本</w:t>
      </w:r>
      <w:r>
        <w:rPr>
          <w:rFonts w:hint="eastAsia" w:ascii="仿宋_GB2312" w:hAnsi="仿宋_GB2312" w:eastAsia="仿宋_GB2312" w:cs="仿宋_GB2312"/>
          <w:color w:val="auto"/>
          <w:sz w:val="32"/>
          <w:szCs w:val="32"/>
          <w:lang w:val="en-US" w:eastAsia="zh-CN"/>
        </w:rPr>
        <w:t>标准引用执行</w:t>
      </w:r>
      <w:r>
        <w:rPr>
          <w:rFonts w:hint="eastAsia" w:ascii="仿宋_GB2312" w:hAnsi="仿宋_GB2312" w:eastAsia="仿宋_GB2312" w:cs="仿宋_GB2312"/>
          <w:color w:val="auto"/>
          <w:sz w:val="32"/>
          <w:szCs w:val="32"/>
        </w:rPr>
        <w:t>《110～750KV架空输电线路施工及验收规范》（GB 50233-2014）、《 ±800kV及以下直流架空输电线路工程施工及验收规程》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DL/T 5235-2010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等标准</w:t>
      </w:r>
      <w:r>
        <w:rPr>
          <w:rFonts w:hint="eastAsia" w:ascii="仿宋_GB2312" w:hAnsi="仿宋_GB2312" w:eastAsia="仿宋_GB2312" w:cs="仿宋_GB2312"/>
          <w:color w:val="auto"/>
          <w:sz w:val="32"/>
          <w:szCs w:val="32"/>
          <w:lang w:val="en-US" w:eastAsia="zh-CN"/>
        </w:rPr>
        <w:t>中与接地体液压压接相关的规定</w:t>
      </w:r>
      <w:r>
        <w:rPr>
          <w:rFonts w:hint="eastAsia" w:ascii="仿宋_GB2312" w:hAnsi="仿宋_GB2312" w:eastAsia="仿宋_GB2312" w:cs="仿宋_GB2312"/>
          <w:color w:val="auto"/>
          <w:sz w:val="32"/>
          <w:szCs w:val="32"/>
        </w:rPr>
        <w:t>，无冲突。</w:t>
      </w:r>
    </w:p>
    <w:p w14:paraId="56B78AB7">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6.重大分歧意见的处理经过和依据</w:t>
      </w:r>
    </w:p>
    <w:p w14:paraId="56E9FCA1">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bookmarkStart w:id="3" w:name="_GoBack"/>
      <w:bookmarkEnd w:id="3"/>
    </w:p>
    <w:p w14:paraId="53BD79B3">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7.贯彻团体标准的要求和措施建议(包括组织措施、技术措施、过渡办法等内容)</w:t>
      </w:r>
    </w:p>
    <w:p w14:paraId="22DF7A3D">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》正式颁布后，建议中国电力建设企业协会组织电力建设行业各单位进行宣贯培训，确保相关</w:t>
      </w:r>
      <w:r>
        <w:rPr>
          <w:rFonts w:hint="eastAsia" w:ascii="仿宋_GB2312" w:hAnsi="仿宋_GB2312" w:eastAsia="仿宋_GB2312" w:cs="仿宋_GB2312"/>
          <w:color w:val="auto"/>
          <w:sz w:val="32"/>
          <w:szCs w:val="32"/>
          <w:lang w:val="en-US" w:eastAsia="zh-CN"/>
        </w:rPr>
        <w:t>电力建设组织</w:t>
      </w:r>
      <w:r>
        <w:rPr>
          <w:rFonts w:hint="eastAsia" w:ascii="仿宋_GB2312" w:hAnsi="仿宋_GB2312" w:eastAsia="仿宋_GB2312" w:cs="仿宋_GB2312"/>
          <w:color w:val="auto"/>
          <w:sz w:val="32"/>
          <w:szCs w:val="32"/>
        </w:rPr>
        <w:t>能够正确领会《</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》的相关内容，并且将在后续各类</w:t>
      </w:r>
      <w:r>
        <w:rPr>
          <w:rFonts w:hint="eastAsia" w:ascii="仿宋_GB2312" w:hAnsi="仿宋_GB2312" w:eastAsia="仿宋_GB2312" w:cs="仿宋_GB2312"/>
          <w:color w:val="auto"/>
          <w:sz w:val="32"/>
          <w:szCs w:val="32"/>
          <w:lang w:val="en-US" w:eastAsia="zh-CN"/>
        </w:rPr>
        <w:t>成果总结</w:t>
      </w:r>
      <w:r>
        <w:rPr>
          <w:rFonts w:hint="eastAsia" w:ascii="仿宋_GB2312" w:hAnsi="仿宋_GB2312" w:eastAsia="仿宋_GB2312" w:cs="仿宋_GB2312"/>
          <w:color w:val="auto"/>
          <w:sz w:val="32"/>
          <w:szCs w:val="32"/>
        </w:rPr>
        <w:t>与行业优秀成果评选申报中结合《</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》的要求进行检查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评审</w:t>
      </w:r>
      <w:r>
        <w:rPr>
          <w:rFonts w:hint="eastAsia" w:ascii="仿宋_GB2312" w:hAnsi="仿宋_GB2312" w:eastAsia="仿宋_GB2312" w:cs="仿宋_GB2312"/>
          <w:color w:val="auto"/>
          <w:sz w:val="32"/>
          <w:szCs w:val="32"/>
        </w:rPr>
        <w:t>，确保《</w:t>
      </w:r>
      <w:r>
        <w:rPr>
          <w:rFonts w:hint="eastAsia" w:ascii="仿宋_GB2312" w:hAnsi="仿宋_GB2312" w:eastAsia="仿宋_GB2312" w:cs="仿宋_GB2312"/>
          <w:color w:val="auto"/>
          <w:sz w:val="32"/>
          <w:szCs w:val="32"/>
          <w:lang w:val="en-US" w:eastAsia="zh-CN"/>
        </w:rPr>
        <w:t>输电线路接地圆钢液压压接工艺导则</w:t>
      </w:r>
      <w:r>
        <w:rPr>
          <w:rFonts w:hint="eastAsia" w:ascii="仿宋_GB2312" w:hAnsi="仿宋_GB2312" w:eastAsia="仿宋_GB2312" w:cs="仿宋_GB2312"/>
          <w:color w:val="auto"/>
          <w:sz w:val="32"/>
          <w:szCs w:val="32"/>
        </w:rPr>
        <w:t>》的推广执行。本</w:t>
      </w:r>
      <w:r>
        <w:rPr>
          <w:rFonts w:hint="eastAsia" w:ascii="仿宋_GB2312" w:hAnsi="仿宋_GB2312" w:eastAsia="仿宋_GB2312" w:cs="仿宋_GB2312"/>
          <w:color w:val="auto"/>
          <w:sz w:val="32"/>
          <w:szCs w:val="32"/>
          <w:lang w:val="en-US" w:eastAsia="zh-CN"/>
        </w:rPr>
        <w:t>标准适用于输电线路接地圆钢液压压接工艺</w:t>
      </w:r>
      <w:r>
        <w:rPr>
          <w:rFonts w:hint="eastAsia" w:ascii="仿宋_GB2312" w:hAnsi="仿宋_GB2312" w:eastAsia="仿宋_GB2312" w:cs="仿宋_GB2312"/>
          <w:color w:val="auto"/>
          <w:sz w:val="32"/>
          <w:szCs w:val="32"/>
          <w:lang w:val="en-US" w:eastAsia="zh-CN"/>
        </w:rPr>
        <w:t>的实施，范围包括输电线路</w:t>
      </w:r>
      <w:r>
        <w:rPr>
          <w:rFonts w:hint="eastAsia" w:ascii="仿宋_GB2312" w:hAnsi="仿宋_GB2312" w:eastAsia="仿宋_GB2312" w:cs="仿宋_GB2312"/>
          <w:color w:val="auto"/>
          <w:sz w:val="32"/>
          <w:szCs w:val="32"/>
        </w:rPr>
        <w:t>建设活动相关的协会、企业、部门、项目部、班组等组织。</w:t>
      </w:r>
    </w:p>
    <w:p w14:paraId="7B7C2C94">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8.代替或废止现行有关标准的建议</w:t>
      </w:r>
    </w:p>
    <w:p w14:paraId="22FA5137">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p>
    <w:p w14:paraId="357EEA2C">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9.其他应予说明的事项</w:t>
      </w:r>
    </w:p>
    <w:p w14:paraId="42F737E7">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p>
    <w:p w14:paraId="08EB5047">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10.</w:t>
      </w:r>
      <w:r>
        <w:rPr>
          <w:rFonts w:hint="eastAsia" w:ascii="黑体" w:hAnsi="黑体" w:eastAsia="黑体" w:cs="黑体"/>
          <w:color w:val="auto"/>
          <w:sz w:val="32"/>
          <w:szCs w:val="32"/>
        </w:rPr>
        <w:t>报批阶段应补充专家审查会情况</w:t>
      </w:r>
    </w:p>
    <w:p w14:paraId="4D0729A7">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暂未召开专家审查会。</w:t>
      </w:r>
    </w:p>
    <w:p w14:paraId="3F2AD8BA">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A91BCD-C246-41D8-BE01-B59FA73BC4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CB50277-921D-402B-B85F-7A728E42BF11}"/>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3" w:fontKey="{C4429C55-036D-4FB8-9879-4B94AF952E83}"/>
  </w:font>
  <w:font w:name="仿宋_GB2312">
    <w:panose1 w:val="02010609030101010101"/>
    <w:charset w:val="86"/>
    <w:family w:val="modern"/>
    <w:pitch w:val="default"/>
    <w:sig w:usb0="00000001" w:usb1="080E0000" w:usb2="00000000" w:usb3="00000000" w:csb0="00040000" w:csb1="00000000"/>
    <w:embedRegular r:id="rId4" w:fontKey="{6B67584F-0A92-45BB-83D5-CA03F68638C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92FB5"/>
    <w:rsid w:val="00495193"/>
    <w:rsid w:val="00F918CA"/>
    <w:rsid w:val="02806F7D"/>
    <w:rsid w:val="02AC16BD"/>
    <w:rsid w:val="03D42142"/>
    <w:rsid w:val="04142E23"/>
    <w:rsid w:val="04F42905"/>
    <w:rsid w:val="069D6D66"/>
    <w:rsid w:val="071E2357"/>
    <w:rsid w:val="08770A71"/>
    <w:rsid w:val="09296316"/>
    <w:rsid w:val="09325902"/>
    <w:rsid w:val="093A4032"/>
    <w:rsid w:val="09BA19DA"/>
    <w:rsid w:val="0B8769D7"/>
    <w:rsid w:val="0BAB2B32"/>
    <w:rsid w:val="0C5145C5"/>
    <w:rsid w:val="0C572E29"/>
    <w:rsid w:val="0DF97DF8"/>
    <w:rsid w:val="0E034A3B"/>
    <w:rsid w:val="0F5A3229"/>
    <w:rsid w:val="10D727AF"/>
    <w:rsid w:val="10EE6EA2"/>
    <w:rsid w:val="11002D04"/>
    <w:rsid w:val="11950004"/>
    <w:rsid w:val="11BE74F2"/>
    <w:rsid w:val="12961D33"/>
    <w:rsid w:val="13727961"/>
    <w:rsid w:val="15075231"/>
    <w:rsid w:val="15993A76"/>
    <w:rsid w:val="15A52BD0"/>
    <w:rsid w:val="16080E33"/>
    <w:rsid w:val="16DE3603"/>
    <w:rsid w:val="19E07D71"/>
    <w:rsid w:val="1ACF5CA1"/>
    <w:rsid w:val="1BE1664A"/>
    <w:rsid w:val="1C9706F7"/>
    <w:rsid w:val="1CE17194"/>
    <w:rsid w:val="1CF3558E"/>
    <w:rsid w:val="1FCC231E"/>
    <w:rsid w:val="203565E4"/>
    <w:rsid w:val="20EE5F08"/>
    <w:rsid w:val="223432DC"/>
    <w:rsid w:val="22622485"/>
    <w:rsid w:val="22AD149C"/>
    <w:rsid w:val="23030D01"/>
    <w:rsid w:val="232B4305"/>
    <w:rsid w:val="2424465B"/>
    <w:rsid w:val="249E0BC2"/>
    <w:rsid w:val="25B23601"/>
    <w:rsid w:val="26016CD0"/>
    <w:rsid w:val="28C00771"/>
    <w:rsid w:val="2A4D0323"/>
    <w:rsid w:val="2AAA2395"/>
    <w:rsid w:val="2AB92391"/>
    <w:rsid w:val="2BDB79DF"/>
    <w:rsid w:val="2C0927B9"/>
    <w:rsid w:val="2CA2723B"/>
    <w:rsid w:val="2ED3590C"/>
    <w:rsid w:val="2EE6563F"/>
    <w:rsid w:val="2F58713C"/>
    <w:rsid w:val="2F6F34DE"/>
    <w:rsid w:val="2F8B2ABB"/>
    <w:rsid w:val="32B57799"/>
    <w:rsid w:val="337B03DA"/>
    <w:rsid w:val="338B331E"/>
    <w:rsid w:val="34A95CF4"/>
    <w:rsid w:val="38866F49"/>
    <w:rsid w:val="39F743D8"/>
    <w:rsid w:val="3A0B0650"/>
    <w:rsid w:val="3B0F474C"/>
    <w:rsid w:val="3B2E5064"/>
    <w:rsid w:val="3B5563E6"/>
    <w:rsid w:val="3C143D4B"/>
    <w:rsid w:val="3C3663D5"/>
    <w:rsid w:val="3C60501B"/>
    <w:rsid w:val="3D2518E1"/>
    <w:rsid w:val="3D6548C9"/>
    <w:rsid w:val="3DBF3A9D"/>
    <w:rsid w:val="3E965F19"/>
    <w:rsid w:val="3ED1739E"/>
    <w:rsid w:val="3FB03189"/>
    <w:rsid w:val="3FE86B66"/>
    <w:rsid w:val="402740CC"/>
    <w:rsid w:val="406C5020"/>
    <w:rsid w:val="41511108"/>
    <w:rsid w:val="42E3304C"/>
    <w:rsid w:val="443E0C46"/>
    <w:rsid w:val="47847862"/>
    <w:rsid w:val="47CD0F5B"/>
    <w:rsid w:val="48BE3C50"/>
    <w:rsid w:val="48FD7D18"/>
    <w:rsid w:val="49486249"/>
    <w:rsid w:val="49B91A00"/>
    <w:rsid w:val="4AD92577"/>
    <w:rsid w:val="4BDD1705"/>
    <w:rsid w:val="4C2D08FA"/>
    <w:rsid w:val="4CB80687"/>
    <w:rsid w:val="4CDC4EB9"/>
    <w:rsid w:val="4D6B16DA"/>
    <w:rsid w:val="4DC97FAC"/>
    <w:rsid w:val="4E5170A4"/>
    <w:rsid w:val="4ED25642"/>
    <w:rsid w:val="4F852B50"/>
    <w:rsid w:val="5080141E"/>
    <w:rsid w:val="51DD5B8C"/>
    <w:rsid w:val="52224FD6"/>
    <w:rsid w:val="527F6965"/>
    <w:rsid w:val="52D06A13"/>
    <w:rsid w:val="535B2E50"/>
    <w:rsid w:val="5433442C"/>
    <w:rsid w:val="544B7BAF"/>
    <w:rsid w:val="54BD6F90"/>
    <w:rsid w:val="56D848CE"/>
    <w:rsid w:val="58341BEB"/>
    <w:rsid w:val="59F37D45"/>
    <w:rsid w:val="5A5A29C9"/>
    <w:rsid w:val="5B1F3A0B"/>
    <w:rsid w:val="5C1E5B2C"/>
    <w:rsid w:val="5EF046D1"/>
    <w:rsid w:val="5F652D47"/>
    <w:rsid w:val="5FA10C71"/>
    <w:rsid w:val="60592FB5"/>
    <w:rsid w:val="60676373"/>
    <w:rsid w:val="608F2E78"/>
    <w:rsid w:val="61C60977"/>
    <w:rsid w:val="62020858"/>
    <w:rsid w:val="62695C01"/>
    <w:rsid w:val="64D16D90"/>
    <w:rsid w:val="656D4F75"/>
    <w:rsid w:val="658A15D3"/>
    <w:rsid w:val="66F70DFE"/>
    <w:rsid w:val="6836320A"/>
    <w:rsid w:val="68B51559"/>
    <w:rsid w:val="68D8170E"/>
    <w:rsid w:val="690F71C7"/>
    <w:rsid w:val="69820DB9"/>
    <w:rsid w:val="6A113E14"/>
    <w:rsid w:val="6A2A10BB"/>
    <w:rsid w:val="6A673D95"/>
    <w:rsid w:val="6AFE4BC5"/>
    <w:rsid w:val="6B450089"/>
    <w:rsid w:val="6CC56480"/>
    <w:rsid w:val="6DEA3FB3"/>
    <w:rsid w:val="718B44BF"/>
    <w:rsid w:val="71A06CD5"/>
    <w:rsid w:val="72BA43E6"/>
    <w:rsid w:val="73C85A2C"/>
    <w:rsid w:val="74884E3D"/>
    <w:rsid w:val="74E34252"/>
    <w:rsid w:val="75974FFA"/>
    <w:rsid w:val="783955CE"/>
    <w:rsid w:val="78A3770E"/>
    <w:rsid w:val="7973541D"/>
    <w:rsid w:val="7A140E26"/>
    <w:rsid w:val="7A2F0BF3"/>
    <w:rsid w:val="7A355726"/>
    <w:rsid w:val="7B1804BB"/>
    <w:rsid w:val="7B2E5AC3"/>
    <w:rsid w:val="7BE75CD4"/>
    <w:rsid w:val="7CD673E6"/>
    <w:rsid w:val="7E2C3296"/>
    <w:rsid w:val="7E9E07CB"/>
    <w:rsid w:val="7ED45422"/>
    <w:rsid w:val="7F17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keepNext/>
      <w:keepLines/>
      <w:spacing w:before="120" w:after="120" w:line="240" w:lineRule="auto"/>
      <w:outlineLvl w:val="1"/>
    </w:pPr>
    <w:rPr>
      <w:rFonts w:ascii="Arial" w:hAnsi="Arial" w:eastAsia="仿宋"/>
      <w:b/>
      <w:sz w:val="28"/>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cs="宋体" w:asciiTheme="minorAscii" w:hAnsiTheme="minorAscii" w:eastAsiaTheme="minorEastAsia"/>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tabs>
        <w:tab w:val="left" w:pos="-945"/>
      </w:tabs>
    </w:pPr>
    <w:rPr>
      <w:rFonts w:ascii="宋体" w:hAnsi="Courier New"/>
    </w:rPr>
  </w:style>
  <w:style w:type="paragraph" w:styleId="6">
    <w:name w:val="Body Text"/>
    <w:basedOn w:val="1"/>
    <w:qFormat/>
    <w:uiPriority w:val="1"/>
    <w:pPr>
      <w:spacing w:before="43"/>
      <w:ind w:left="120"/>
    </w:pPr>
    <w:rPr>
      <w:rFonts w:ascii="宋体" w:hAnsi="宋体" w:eastAsia="宋体"/>
      <w:sz w:val="32"/>
      <w:szCs w:val="32"/>
    </w:rPr>
  </w:style>
  <w:style w:type="paragraph" w:styleId="7">
    <w:name w:val="toc 3"/>
    <w:basedOn w:val="1"/>
    <w:next w:val="1"/>
    <w:qFormat/>
    <w:uiPriority w:val="0"/>
    <w:pPr>
      <w:ind w:left="840" w:leftChars="40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12">
    <w:name w:val="Strong"/>
    <w:basedOn w:val="11"/>
    <w:qFormat/>
    <w:uiPriority w:val="0"/>
    <w:rPr>
      <w:b/>
    </w:rPr>
  </w:style>
  <w:style w:type="character" w:styleId="13">
    <w:name w:val="page number"/>
    <w:basedOn w:val="11"/>
    <w:qFormat/>
    <w:uiPriority w:val="0"/>
  </w:style>
  <w:style w:type="paragraph" w:customStyle="1" w:styleId="14">
    <w:name w:val="标题1"/>
    <w:basedOn w:val="3"/>
    <w:qFormat/>
    <w:uiPriority w:val="0"/>
    <w:rPr>
      <w:rFonts w:hint="eastAsia" w:ascii="黑体" w:hAnsi="黑体" w:eastAsia="黑体" w:cs="黑体"/>
      <w:color w:val="auto"/>
      <w:kern w:val="2"/>
      <w:sz w:val="32"/>
      <w:szCs w:val="32"/>
    </w:rPr>
  </w:style>
  <w:style w:type="paragraph" w:customStyle="1" w:styleId="15">
    <w:name w:val="2标题"/>
    <w:basedOn w:val="9"/>
    <w:qFormat/>
    <w:uiPriority w:val="0"/>
    <w:pPr>
      <w:keepNext/>
      <w:keepLines/>
      <w:spacing w:after="240" w:line="500" w:lineRule="exact"/>
      <w:outlineLvl w:val="1"/>
    </w:pPr>
    <w:rPr>
      <w:rFonts w:hint="eastAsia" w:ascii="仿宋" w:hAnsi="仿宋" w:eastAsia="仿宋" w:cs="Arial"/>
      <w:bCs/>
      <w:color w:val="FF0000"/>
      <w:kern w:val="0"/>
      <w:sz w:val="32"/>
      <w:szCs w:val="32"/>
    </w:rPr>
  </w:style>
  <w:style w:type="paragraph" w:customStyle="1" w:styleId="16">
    <w:name w:val="3标题"/>
    <w:basedOn w:val="9"/>
    <w:qFormat/>
    <w:uiPriority w:val="0"/>
    <w:pPr>
      <w:adjustRightInd w:val="0"/>
      <w:snapToGrid w:val="0"/>
      <w:spacing w:line="360" w:lineRule="auto"/>
      <w:ind w:leftChars="0" w:firstLine="560" w:firstLineChars="200"/>
      <w:jc w:val="left"/>
      <w:outlineLvl w:val="2"/>
    </w:pPr>
    <w:rPr>
      <w:rFonts w:hint="eastAsia" w:ascii="仿宋" w:hAnsi="仿宋" w:eastAsia="仿宋" w:cs="楷体"/>
      <w:bCs/>
      <w:kern w:val="0"/>
      <w:szCs w:val="32"/>
    </w:rPr>
  </w:style>
  <w:style w:type="paragraph" w:customStyle="1" w:styleId="17">
    <w:name w:val="正文表格表头"/>
    <w:basedOn w:val="1"/>
    <w:qFormat/>
    <w:uiPriority w:val="0"/>
    <w:pPr>
      <w:snapToGrid w:val="0"/>
      <w:spacing w:line="240" w:lineRule="auto"/>
      <w:ind w:firstLine="0" w:firstLineChars="0"/>
      <w:jc w:val="center"/>
    </w:pPr>
    <w:rPr>
      <w:rFonts w:hint="eastAsia" w:ascii="仿宋" w:hAnsi="仿宋" w:eastAsia="仿宋" w:cs="仿宋"/>
      <w:b/>
      <w:bCs/>
      <w:color w:val="000000" w:themeColor="text1"/>
      <w:kern w:val="0"/>
      <w:sz w:val="21"/>
      <w:szCs w:val="21"/>
      <w14:textFill>
        <w14:solidFill>
          <w14:schemeClr w14:val="tx1"/>
        </w14:solidFill>
      </w14:textFill>
    </w:rPr>
  </w:style>
  <w:style w:type="paragraph" w:customStyle="1" w:styleId="18">
    <w:name w:val="正文表格"/>
    <w:basedOn w:val="1"/>
    <w:qFormat/>
    <w:uiPriority w:val="0"/>
    <w:pPr>
      <w:snapToGrid w:val="0"/>
      <w:spacing w:line="240" w:lineRule="auto"/>
      <w:ind w:firstLine="0" w:firstLineChars="0"/>
      <w:jc w:val="left"/>
    </w:pPr>
    <w:rPr>
      <w:rFonts w:hint="eastAsia" w:ascii="仿宋" w:hAnsi="仿宋" w:eastAsia="仿宋" w:cs="仿宋"/>
      <w:sz w:val="21"/>
      <w:szCs w:val="21"/>
    </w:rPr>
  </w:style>
  <w:style w:type="paragraph" w:customStyle="1" w:styleId="19">
    <w:name w:val="样式1"/>
    <w:basedOn w:val="1"/>
    <w:next w:val="1"/>
    <w:qFormat/>
    <w:uiPriority w:val="0"/>
    <w:pPr>
      <w:keepNext/>
      <w:keepLines/>
      <w:ind w:firstLine="482"/>
      <w:outlineLvl w:val="2"/>
    </w:pPr>
    <w:rPr>
      <w:rFonts w:hint="default" w:eastAsia="仿宋" w:asciiTheme="minorAscii" w:hAnsiTheme="minorAscii"/>
      <w:b/>
      <w:sz w:val="28"/>
    </w:rPr>
  </w:style>
  <w:style w:type="paragraph" w:customStyle="1" w:styleId="20">
    <w:name w:val="三（三）标题"/>
    <w:basedOn w:val="1"/>
    <w:next w:val="1"/>
    <w:qFormat/>
    <w:uiPriority w:val="0"/>
    <w:pPr>
      <w:keepNext/>
      <w:keepLines/>
      <w:ind w:firstLine="482"/>
      <w:outlineLvl w:val="2"/>
    </w:pPr>
    <w:rPr>
      <w:rFonts w:eastAsia="仿宋" w:asciiTheme="minorAscii" w:hAnsiTheme="minorAscii"/>
      <w:b/>
      <w:sz w:val="28"/>
    </w:rPr>
  </w:style>
  <w:style w:type="paragraph" w:customStyle="1" w:styleId="21">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2">
    <w:name w:val="表格1"/>
    <w:basedOn w:val="1"/>
    <w:qFormat/>
    <w:uiPriority w:val="0"/>
    <w:pPr>
      <w:keepNext/>
      <w:keepLines/>
      <w:outlineLvl w:val="2"/>
    </w:pPr>
    <w:rPr>
      <w:rFonts w:hint="eastAsia" w:ascii="黑体" w:hAnsi="黑体" w:eastAsia="黑体" w:cs="黑体"/>
      <w:b/>
      <w:bCs/>
      <w:sz w:val="32"/>
      <w:szCs w:val="32"/>
    </w:rPr>
  </w:style>
  <w:style w:type="paragraph" w:customStyle="1" w:styleId="23">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4">
    <w:name w:val="表正文"/>
    <w:basedOn w:val="1"/>
    <w:qFormat/>
    <w:uiPriority w:val="0"/>
    <w:pPr>
      <w:snapToGrid w:val="0"/>
      <w:spacing w:line="240" w:lineRule="auto"/>
      <w:ind w:firstLine="0" w:firstLineChars="0"/>
      <w:jc w:val="left"/>
    </w:pPr>
    <w:rPr>
      <w:rFonts w:hint="eastAsia" w:ascii="仿宋" w:hAnsi="仿宋" w:eastAsia="宋体" w:cs="仿宋"/>
      <w:sz w:val="24"/>
      <w:szCs w:val="21"/>
    </w:rPr>
  </w:style>
  <w:style w:type="paragraph" w:customStyle="1" w:styleId="25">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3658</Words>
  <Characters>3864</Characters>
  <Lines>0</Lines>
  <Paragraphs>0</Paragraphs>
  <TotalTime>1</TotalTime>
  <ScaleCrop>false</ScaleCrop>
  <LinksUpToDate>false</LinksUpToDate>
  <CharactersWithSpaces>3902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2024-01-08T07:01:00Z</dcterms:created>
  <dc:creator>cwx</dc:creator>
  <cp:lastModifiedBy>王茂浩</cp:lastModifiedBy>
  <dcterms:modified xsi:type="dcterms:W3CDTF">2025-01-15T03:14:20Z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37309169B3F840568DC89CCFEFF73854_13</vt:lpwstr>
  </property>
  <property fmtid="{D5CDD505-2E9C-101B-9397-08002B2CF9AE}" pid="4" name="KSOTemplateDocerSaveRecord">
    <vt:lpwstr>eyJoZGlkIjoiMDljYzUzMWQ4OWI0YzBkYjYzMDRhZTY5ZjZkYmFmYTgiLCJ1c2VySWQiOiI1MDYyMCJ9</vt:lpwstr>
  </property>
</Properties>
</file>