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4AE6">
      <w:pPr>
        <w:pStyle w:val="4"/>
        <w:spacing w:before="0" w:after="312" w:afterLines="100"/>
        <w:ind w:left="0"/>
        <w:jc w:val="left"/>
        <w:rPr>
          <w:rFonts w:hint="eastAsia" w:ascii="黑体" w:hAnsi="黑体" w:eastAsia="黑体" w:cs="黑体"/>
        </w:rPr>
      </w:pPr>
      <w:r>
        <w:rPr>
          <w:rFonts w:hint="eastAsia" w:ascii="黑体" w:hAnsi="黑体" w:eastAsia="黑体" w:cs="黑体"/>
        </w:rPr>
        <w:t>附件4</w:t>
      </w:r>
    </w:p>
    <w:p w14:paraId="5F223CAF">
      <w:pPr>
        <w:pStyle w:val="4"/>
        <w:spacing w:before="0" w:after="312" w:afterLines="100"/>
        <w:ind w:left="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中国电力建设企业协会标准《电力</w:t>
      </w:r>
      <w:r>
        <w:rPr>
          <w:rFonts w:hint="eastAsia" w:ascii="方正小标宋简体" w:hAnsi="Cambria" w:eastAsia="方正小标宋简体" w:cs="方正小标宋简体"/>
          <w:sz w:val="44"/>
          <w:szCs w:val="44"/>
        </w:rPr>
        <w:t>建设</w:t>
      </w:r>
      <w:r>
        <w:rPr>
          <w:rFonts w:hint="eastAsia" w:ascii="方正小标宋简体" w:hAnsi="方正小标宋简体" w:eastAsia="方正小标宋简体" w:cs="方正小标宋简体"/>
          <w:sz w:val="44"/>
          <w:szCs w:val="44"/>
        </w:rPr>
        <w:t>门式起重机安全使用规程》编制说明</w:t>
      </w:r>
    </w:p>
    <w:p w14:paraId="3F7EEB54">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0316C29F">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1B34FDB8">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5AF638E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32F234E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10E4A890">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2F234E97">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788ACC1F">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7FC5B63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5EEC9760">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357822A8">
      <w:pPr>
        <w:jc w:val="left"/>
        <w:rPr>
          <w:rFonts w:hint="eastAsia" w:ascii="方正小标宋简体" w:eastAsia="方正小标宋简体" w:hAnsiTheme="minorEastAsia"/>
          <w:color w:val="000000" w:themeColor="text1"/>
          <w:sz w:val="32"/>
          <w:szCs w:val="21"/>
          <w14:textFill>
            <w14:solidFill>
              <w14:schemeClr w14:val="tx1"/>
            </w14:solidFill>
          </w14:textFill>
        </w:rPr>
        <w:sectPr>
          <w:headerReference r:id="rId3" w:type="default"/>
          <w:pgSz w:w="11906" w:h="16838"/>
          <w:pgMar w:top="1440" w:right="1800" w:bottom="1440" w:left="1800" w:header="851" w:footer="992" w:gutter="0"/>
          <w:cols w:space="425" w:num="1"/>
          <w:docGrid w:type="lines" w:linePitch="312" w:charSpace="0"/>
        </w:sectPr>
      </w:pPr>
      <w:r>
        <w:rPr>
          <w:rFonts w:ascii="方正小标宋简体" w:eastAsia="方正小标宋简体" w:hAnsiTheme="minorEastAsia"/>
          <w:color w:val="000000" w:themeColor="text1"/>
          <w:sz w:val="32"/>
          <w:szCs w:val="21"/>
          <w14:textFill>
            <w14:solidFill>
              <w14:schemeClr w14:val="tx1"/>
            </w14:solidFill>
          </w14:textFill>
        </w:rPr>
        <w:br w:type="page"/>
      </w:r>
    </w:p>
    <w:p w14:paraId="5CD64645">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一、工作简况</w:t>
      </w:r>
    </w:p>
    <w:p w14:paraId="2352AA99">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.任务来源</w:t>
      </w:r>
    </w:p>
    <w:p w14:paraId="356767C7">
      <w:pPr>
        <w:spacing w:line="62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根据《关于印发2024年第二批中国电力建设企业协会团体标准制订计划的通知》（中电建协〔2024〕302号）文件安排，对计划编号为“T/CEPCA 2024033”</w:t>
      </w:r>
      <w:r>
        <w:rPr>
          <w:rFonts w:hint="eastAsia" w:ascii="黑体" w:hAnsi="黑体" w:eastAsia="黑体" w:cs="黑体"/>
          <w:b/>
          <w:sz w:val="28"/>
          <w:szCs w:val="28"/>
        </w:rPr>
        <w:t xml:space="preserve"> </w:t>
      </w:r>
      <w:r>
        <w:rPr>
          <w:rFonts w:hint="eastAsia" w:ascii="仿宋_GB2312" w:hAnsi="仿宋_GB2312" w:eastAsia="仿宋_GB2312" w:cs="仿宋_GB2312"/>
          <w:sz w:val="32"/>
          <w:szCs w:val="32"/>
        </w:rPr>
        <w:t>的中国电力建设企业协会（以下简称“中电建协”）标准项目《电力建设门式起重机安全使用规程》进行编制。</w:t>
      </w:r>
    </w:p>
    <w:p w14:paraId="6EA875C3">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.编写单位及分工</w:t>
      </w:r>
    </w:p>
    <w:p w14:paraId="4FBA9FA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本文件由中电建协</w:t>
      </w:r>
      <w:r>
        <w:rPr>
          <w:rFonts w:hint="eastAsia" w:ascii="仿宋_GB2312" w:hAnsi="仿宋_GB2312" w:eastAsia="仿宋_GB2312" w:cs="仿宋_GB2312"/>
          <w:kern w:val="0"/>
          <w:sz w:val="32"/>
          <w:szCs w:val="32"/>
          <w:lang w:bidi="ar"/>
        </w:rPr>
        <w:t>标委会</w:t>
      </w:r>
      <w:r>
        <w:rPr>
          <w:rFonts w:hint="eastAsia" w:ascii="仿宋_GB2312" w:hAnsi="黑体" w:eastAsia="仿宋_GB2312"/>
          <w:color w:val="000000" w:themeColor="text1"/>
          <w:sz w:val="32"/>
          <w:szCs w:val="21"/>
          <w14:textFill>
            <w14:solidFill>
              <w14:schemeClr w14:val="tx1"/>
            </w14:solidFill>
          </w14:textFill>
        </w:rPr>
        <w:t>组织，中国能源建设集团湖南火电建设有限公司、中国电建集团核电工程有限公司、中国能源建设集团天津电力建设有限公司、广东力特工程机械有限公司、中国电建集团上海电力建设有限责任公司、中电建湖北电力建设有限公司、中国水利水电第十一工程局有限公司、抚顺永茂建筑机械有限公司、中核华兴达丰机械工程有限公司等共9家单位编制完成。</w:t>
      </w:r>
    </w:p>
    <w:p w14:paraId="458C374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中国能源建设集团湖南火电建设有限公司</w:t>
      </w:r>
      <w:r>
        <w:rPr>
          <w:rFonts w:ascii="仿宋_GB2312" w:hAnsi="黑体" w:eastAsia="仿宋_GB2312"/>
          <w:color w:val="000000" w:themeColor="text1"/>
          <w:sz w:val="32"/>
          <w:szCs w:val="21"/>
          <w14:textFill>
            <w14:solidFill>
              <w14:schemeClr w14:val="tx1"/>
            </w14:solidFill>
          </w14:textFill>
        </w:rPr>
        <w:t>为主编单位，其他</w:t>
      </w:r>
      <w:r>
        <w:rPr>
          <w:rFonts w:hint="eastAsia" w:ascii="仿宋_GB2312" w:hAnsi="黑体" w:eastAsia="仿宋_GB2312"/>
          <w:color w:val="000000" w:themeColor="text1"/>
          <w:sz w:val="32"/>
          <w:szCs w:val="21"/>
          <w14:textFill>
            <w14:solidFill>
              <w14:schemeClr w14:val="tx1"/>
            </w14:solidFill>
          </w14:textFill>
        </w:rPr>
        <w:t>8家单位共同参编。</w:t>
      </w:r>
    </w:p>
    <w:p w14:paraId="2F3104DF">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3</w:t>
      </w:r>
      <w:r>
        <w:rPr>
          <w:rFonts w:ascii="仿宋_GB2312" w:hAnsi="黑体" w:eastAsia="仿宋_GB2312"/>
          <w:b/>
          <w:color w:val="000000" w:themeColor="text1"/>
          <w:sz w:val="32"/>
          <w:szCs w:val="21"/>
          <w14:textFill>
            <w14:solidFill>
              <w14:schemeClr w14:val="tx1"/>
            </w14:solidFill>
          </w14:textFill>
        </w:rPr>
        <w:t>.主要</w:t>
      </w:r>
      <w:r>
        <w:rPr>
          <w:rFonts w:hint="eastAsia" w:ascii="仿宋_GB2312" w:hAnsi="黑体" w:eastAsia="仿宋_GB2312"/>
          <w:b/>
          <w:color w:val="000000" w:themeColor="text1"/>
          <w:sz w:val="32"/>
          <w:szCs w:val="21"/>
          <w14:textFill>
            <w14:solidFill>
              <w14:schemeClr w14:val="tx1"/>
            </w14:solidFill>
          </w14:textFill>
        </w:rPr>
        <w:t>工作过程</w:t>
      </w:r>
    </w:p>
    <w:p w14:paraId="06949856">
      <w:pPr>
        <w:adjustRightInd w:val="0"/>
        <w:snapToGrid w:val="0"/>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2024年3月，中电建协标委会对中电建协项目《</w:t>
      </w:r>
      <w:r>
        <w:rPr>
          <w:rFonts w:hint="eastAsia" w:ascii="Times New Roman" w:hAnsi="Times New Roman" w:eastAsia="仿宋_GB2312" w:cs="Times New Roman"/>
          <w:spacing w:val="-1"/>
          <w:sz w:val="32"/>
          <w:szCs w:val="32"/>
        </w:rPr>
        <w:t>电力建设门式起重机安全使用规程</w:t>
      </w:r>
      <w:r>
        <w:rPr>
          <w:rFonts w:hint="eastAsia" w:ascii="仿宋_GB2312" w:hAnsi="仿宋_GB2312" w:eastAsia="仿宋_GB2312" w:cs="仿宋_GB2312"/>
          <w:kern w:val="0"/>
          <w:sz w:val="32"/>
          <w:szCs w:val="32"/>
          <w:lang w:bidi="ar"/>
        </w:rPr>
        <w:t>》予以立项。</w:t>
      </w:r>
    </w:p>
    <w:p w14:paraId="0DA4CCF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024年</w:t>
      </w:r>
      <w:r>
        <w:rPr>
          <w:rFonts w:hint="eastAsia" w:ascii="仿宋_GB2312" w:hAnsi="仿宋_GB2312" w:eastAsia="仿宋_GB2312" w:cs="仿宋_GB2312"/>
          <w:sz w:val="32"/>
          <w:szCs w:val="32"/>
        </w:rPr>
        <w:t>5月，项目以《关于印发2024年第二批中国电力建设企业协会团体标准制订计划的通知》（中电建协〔2024〕302号）文件向社会发布。</w:t>
      </w:r>
    </w:p>
    <w:p w14:paraId="06591D7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024年5</w:t>
      </w:r>
      <w:r>
        <w:rPr>
          <w:rFonts w:hint="eastAsia" w:ascii="仿宋_GB2312" w:hAnsi="黑体" w:eastAsia="仿宋_GB2312"/>
          <w:color w:val="000000" w:themeColor="text1"/>
          <w:sz w:val="32"/>
          <w:szCs w:val="21"/>
          <w14:textFill>
            <w14:solidFill>
              <w14:schemeClr w14:val="tx1"/>
            </w14:solidFill>
          </w14:textFill>
        </w:rPr>
        <w:t>月至</w:t>
      </w:r>
      <w:r>
        <w:rPr>
          <w:rFonts w:ascii="仿宋_GB2312" w:hAnsi="黑体" w:eastAsia="仿宋_GB2312"/>
          <w:color w:val="000000" w:themeColor="text1"/>
          <w:sz w:val="32"/>
          <w:szCs w:val="21"/>
          <w14:textFill>
            <w14:solidFill>
              <w14:schemeClr w14:val="tx1"/>
            </w14:solidFill>
          </w14:textFill>
        </w:rPr>
        <w:t>9月，标准主编单位</w:t>
      </w:r>
      <w:r>
        <w:rPr>
          <w:rFonts w:hint="eastAsia" w:ascii="仿宋_GB2312" w:hAnsi="黑体" w:eastAsia="仿宋_GB2312"/>
          <w:color w:val="000000" w:themeColor="text1"/>
          <w:sz w:val="32"/>
          <w:szCs w:val="21"/>
          <w14:textFill>
            <w14:solidFill>
              <w14:schemeClr w14:val="tx1"/>
            </w14:solidFill>
          </w14:textFill>
        </w:rPr>
        <w:t>开展</w:t>
      </w:r>
      <w:r>
        <w:rPr>
          <w:rFonts w:ascii="仿宋_GB2312" w:hAnsi="黑体" w:eastAsia="仿宋_GB2312"/>
          <w:color w:val="000000" w:themeColor="text1"/>
          <w:sz w:val="32"/>
          <w:szCs w:val="21"/>
          <w14:textFill>
            <w14:solidFill>
              <w14:schemeClr w14:val="tx1"/>
            </w14:solidFill>
          </w14:textFill>
        </w:rPr>
        <w:t>收资、调研、访谈，对标准编制事宜等进行反复</w:t>
      </w:r>
      <w:r>
        <w:rPr>
          <w:rFonts w:hint="eastAsia" w:ascii="仿宋_GB2312" w:hAnsi="黑体" w:eastAsia="仿宋_GB2312"/>
          <w:color w:val="000000" w:themeColor="text1"/>
          <w:sz w:val="32"/>
          <w:szCs w:val="21"/>
          <w14:textFill>
            <w14:solidFill>
              <w14:schemeClr w14:val="tx1"/>
            </w14:solidFill>
          </w14:textFill>
        </w:rPr>
        <w:t>研究和调研，与参编单位和该领域专家学者等制定了标准编制大纲和方案。</w:t>
      </w:r>
    </w:p>
    <w:p w14:paraId="23CD2FD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w:t>
      </w:r>
      <w:r>
        <w:rPr>
          <w:rFonts w:hint="eastAsia" w:ascii="仿宋_GB2312" w:hAnsi="黑体" w:eastAsia="仿宋_GB2312"/>
          <w:color w:val="000000" w:themeColor="text1"/>
          <w:sz w:val="32"/>
          <w:szCs w:val="21"/>
          <w14:textFill>
            <w14:solidFill>
              <w14:schemeClr w14:val="tx1"/>
            </w14:solidFill>
          </w14:textFill>
        </w:rPr>
        <w:t>9月</w:t>
      </w:r>
      <w:r>
        <w:rPr>
          <w:rFonts w:ascii="仿宋_GB2312" w:hAnsi="黑体" w:eastAsia="仿宋_GB2312"/>
          <w:color w:val="000000" w:themeColor="text1"/>
          <w:sz w:val="32"/>
          <w:szCs w:val="21"/>
          <w14:textFill>
            <w14:solidFill>
              <w14:schemeClr w14:val="tx1"/>
            </w14:solidFill>
          </w14:textFill>
        </w:rPr>
        <w:t xml:space="preserve">6日，中电建协在北京组织召开2024 </w:t>
      </w:r>
      <w:r>
        <w:rPr>
          <w:rFonts w:hint="eastAsia" w:ascii="仿宋_GB2312" w:hAnsi="黑体" w:eastAsia="仿宋_GB2312"/>
          <w:color w:val="000000" w:themeColor="text1"/>
          <w:sz w:val="32"/>
          <w:szCs w:val="21"/>
          <w14:textFill>
            <w14:solidFill>
              <w14:schemeClr w14:val="tx1"/>
            </w14:solidFill>
          </w14:textFill>
        </w:rPr>
        <w:t>年第二批中国电力建设企业协会团体标准编制启动会</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9月1</w:t>
      </w:r>
      <w:r>
        <w:rPr>
          <w:rFonts w:ascii="仿宋_GB2312" w:hAnsi="黑体" w:eastAsia="仿宋_GB2312"/>
          <w:color w:val="000000" w:themeColor="text1"/>
          <w:sz w:val="32"/>
          <w:szCs w:val="21"/>
          <w14:textFill>
            <w14:solidFill>
              <w14:schemeClr w14:val="tx1"/>
            </w14:solidFill>
          </w14:textFill>
        </w:rPr>
        <w:t>0日，在中电建协标委会指导下，主编单位正式组建了</w:t>
      </w:r>
      <w:r>
        <w:rPr>
          <w:rFonts w:hint="eastAsia" w:ascii="仿宋_GB2312" w:hAnsi="黑体" w:eastAsia="仿宋_GB2312"/>
          <w:color w:val="000000" w:themeColor="text1"/>
          <w:sz w:val="32"/>
          <w:szCs w:val="21"/>
          <w14:textFill>
            <w14:solidFill>
              <w14:schemeClr w14:val="tx1"/>
            </w14:solidFill>
          </w14:textFill>
        </w:rPr>
        <w:t>包括</w:t>
      </w:r>
      <w:r>
        <w:rPr>
          <w:rFonts w:ascii="仿宋_GB2312" w:hAnsi="黑体" w:eastAsia="仿宋_GB2312"/>
          <w:color w:val="000000" w:themeColor="text1"/>
          <w:sz w:val="32"/>
          <w:szCs w:val="21"/>
          <w14:textFill>
            <w14:solidFill>
              <w14:schemeClr w14:val="tx1"/>
            </w14:solidFill>
          </w14:textFill>
        </w:rPr>
        <w:t>所有编制单位在内的微信工作群，并正式开展标准初稿的</w:t>
      </w:r>
      <w:r>
        <w:rPr>
          <w:rFonts w:hint="eastAsia" w:ascii="仿宋_GB2312" w:hAnsi="黑体" w:eastAsia="仿宋_GB2312"/>
          <w:color w:val="000000" w:themeColor="text1"/>
          <w:sz w:val="32"/>
          <w:szCs w:val="21"/>
          <w14:textFill>
            <w14:solidFill>
              <w14:schemeClr w14:val="tx1"/>
            </w14:solidFill>
          </w14:textFill>
        </w:rPr>
        <w:t>研究编</w:t>
      </w:r>
      <w:r>
        <w:rPr>
          <w:rFonts w:ascii="仿宋_GB2312" w:hAnsi="黑体" w:eastAsia="仿宋_GB2312"/>
          <w:color w:val="000000" w:themeColor="text1"/>
          <w:sz w:val="32"/>
          <w:szCs w:val="21"/>
          <w14:textFill>
            <w14:solidFill>
              <w14:schemeClr w14:val="tx1"/>
            </w14:solidFill>
          </w14:textFill>
        </w:rPr>
        <w:t>制。</w:t>
      </w:r>
    </w:p>
    <w:p w14:paraId="0552BC9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w:t>
      </w:r>
      <w:r>
        <w:rPr>
          <w:rFonts w:hint="eastAsia" w:ascii="仿宋_GB2312" w:hAnsi="黑体" w:eastAsia="仿宋_GB2312"/>
          <w:color w:val="000000" w:themeColor="text1"/>
          <w:sz w:val="32"/>
          <w:szCs w:val="21"/>
          <w14:textFill>
            <w14:solidFill>
              <w14:schemeClr w14:val="tx1"/>
            </w14:solidFill>
          </w14:textFill>
        </w:rPr>
        <w:t>11</w:t>
      </w:r>
      <w:r>
        <w:rPr>
          <w:rFonts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14:textFill>
            <w14:solidFill>
              <w14:schemeClr w14:val="tx1"/>
            </w14:solidFill>
          </w14:textFill>
        </w:rPr>
        <w:t>04</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-06</w:t>
      </w:r>
      <w:r>
        <w:rPr>
          <w:rFonts w:ascii="仿宋_GB2312" w:hAnsi="黑体" w:eastAsia="仿宋_GB2312"/>
          <w:color w:val="000000" w:themeColor="text1"/>
          <w:sz w:val="32"/>
          <w:szCs w:val="21"/>
          <w14:textFill>
            <w14:solidFill>
              <w14:schemeClr w14:val="tx1"/>
            </w14:solidFill>
          </w14:textFill>
        </w:rPr>
        <w:t>日，在</w:t>
      </w:r>
      <w:r>
        <w:rPr>
          <w:rFonts w:hint="eastAsia" w:ascii="仿宋_GB2312" w:hAnsi="黑体" w:eastAsia="仿宋_GB2312"/>
          <w:color w:val="000000" w:themeColor="text1"/>
          <w:sz w:val="32"/>
          <w:szCs w:val="21"/>
          <w14:textFill>
            <w14:solidFill>
              <w14:schemeClr w14:val="tx1"/>
            </w14:solidFill>
          </w14:textFill>
        </w:rPr>
        <w:t>湖南长沙召开标准初稿讨论会，主、参编单位、外部专家和中电建协会领导等近2</w:t>
      </w:r>
      <w:r>
        <w:rPr>
          <w:rFonts w:ascii="仿宋_GB2312" w:hAnsi="黑体" w:eastAsia="仿宋_GB2312"/>
          <w:color w:val="000000" w:themeColor="text1"/>
          <w:sz w:val="32"/>
          <w:szCs w:val="21"/>
          <w14:textFill>
            <w14:solidFill>
              <w14:schemeClr w14:val="tx1"/>
            </w14:solidFill>
          </w14:textFill>
        </w:rPr>
        <w:t>0余人参会。会议</w:t>
      </w:r>
      <w:r>
        <w:rPr>
          <w:rFonts w:hint="eastAsia" w:ascii="仿宋_GB2312" w:hAnsi="黑体" w:eastAsia="仿宋_GB2312"/>
          <w:color w:val="000000" w:themeColor="text1"/>
          <w:sz w:val="32"/>
          <w:szCs w:val="21"/>
          <w14:textFill>
            <w14:solidFill>
              <w14:schemeClr w14:val="tx1"/>
            </w14:solidFill>
          </w14:textFill>
        </w:rPr>
        <w:t>对标准初稿</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编写单位分工</w:t>
      </w:r>
      <w:r>
        <w:rPr>
          <w:rFonts w:ascii="仿宋_GB2312" w:hAnsi="黑体" w:eastAsia="仿宋_GB2312"/>
          <w:color w:val="000000" w:themeColor="text1"/>
          <w:sz w:val="32"/>
          <w:szCs w:val="21"/>
          <w14:textFill>
            <w14:solidFill>
              <w14:schemeClr w14:val="tx1"/>
            </w14:solidFill>
          </w14:textFill>
        </w:rPr>
        <w:t>及</w:t>
      </w:r>
      <w:bookmarkStart w:id="0" w:name="_Hlk198296186"/>
      <w:r>
        <w:rPr>
          <w:rFonts w:hint="eastAsia" w:ascii="仿宋_GB2312" w:hAnsi="黑体" w:eastAsia="仿宋_GB2312"/>
          <w:color w:val="000000" w:themeColor="text1"/>
          <w:sz w:val="32"/>
          <w:szCs w:val="21"/>
          <w14:textFill>
            <w14:solidFill>
              <w14:schemeClr w14:val="tx1"/>
            </w14:solidFill>
          </w14:textFill>
        </w:rPr>
        <w:t>下一步工作安排进行了讨论和议定。</w:t>
      </w:r>
      <w:bookmarkEnd w:id="0"/>
    </w:p>
    <w:p w14:paraId="088CDE23">
      <w:pPr>
        <w:pStyle w:val="2"/>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2024年12月04日-06日，在福建福州召开标准二稿讨论会，</w:t>
      </w:r>
      <w:bookmarkStart w:id="1" w:name="OLE_LINK1"/>
      <w:bookmarkStart w:id="2" w:name="_Hlk198296311"/>
      <w:r>
        <w:rPr>
          <w:rFonts w:hint="eastAsia" w:ascii="仿宋_GB2312" w:hAnsi="黑体" w:eastAsia="仿宋_GB2312"/>
          <w:color w:val="000000" w:themeColor="text1"/>
          <w:sz w:val="32"/>
          <w:szCs w:val="21"/>
          <w14:textFill>
            <w14:solidFill>
              <w14:schemeClr w14:val="tx1"/>
            </w14:solidFill>
          </w14:textFill>
        </w:rPr>
        <w:t>主、参编单位、外部专家和中电建协会领导</w:t>
      </w:r>
      <w:bookmarkEnd w:id="1"/>
      <w:r>
        <w:rPr>
          <w:rFonts w:hint="eastAsia" w:ascii="仿宋_GB2312" w:hAnsi="黑体" w:eastAsia="仿宋_GB2312"/>
          <w:color w:val="000000" w:themeColor="text1"/>
          <w:sz w:val="32"/>
          <w:szCs w:val="21"/>
          <w14:textFill>
            <w14:solidFill>
              <w14:schemeClr w14:val="tx1"/>
            </w14:solidFill>
          </w14:textFill>
        </w:rPr>
        <w:t>等20余人参会。</w:t>
      </w:r>
      <w:bookmarkEnd w:id="2"/>
      <w:bookmarkStart w:id="3" w:name="_Hlk198296322"/>
      <w:r>
        <w:rPr>
          <w:rFonts w:hint="eastAsia" w:ascii="仿宋_GB2312" w:hAnsi="黑体" w:eastAsia="仿宋_GB2312"/>
          <w:color w:val="000000" w:themeColor="text1"/>
          <w:sz w:val="32"/>
          <w:szCs w:val="21"/>
          <w14:textFill>
            <w14:solidFill>
              <w14:schemeClr w14:val="tx1"/>
            </w14:solidFill>
          </w14:textFill>
        </w:rPr>
        <w:t>会议对标准初稿修改稿、部分章节、编写单位分工做了进一步调整及下一步工作安排进行了讨论和议定。</w:t>
      </w:r>
      <w:bookmarkEnd w:id="3"/>
    </w:p>
    <w:p w14:paraId="7B7AFA3E">
      <w:pPr>
        <w:pStyle w:val="2"/>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2025年02月19日-21日，在广东广州召开了标准三稿讨论会，主、参编单位、外部专家和中电建协会领导等20余人参会。会议对标准二稿修改稿、逐章逐段进行了修编和调整和修改要求及下一步工作安排进行了讨论和议定。</w:t>
      </w:r>
    </w:p>
    <w:p w14:paraId="6D99C16D">
      <w:pPr>
        <w:spacing w:line="560" w:lineRule="exact"/>
        <w:ind w:firstLine="640" w:firstLineChars="200"/>
        <w:rPr>
          <w:rFonts w:hint="eastAsia" w:ascii="仿宋_GB2312" w:hAnsi="仿宋_GB2312" w:eastAsia="仿宋_GB2312" w:cs="仿宋_GB2312"/>
          <w:color w:val="000000"/>
          <w:sz w:val="32"/>
          <w:szCs w:val="32"/>
        </w:rPr>
      </w:pPr>
      <w:r>
        <w:rPr>
          <w:rFonts w:ascii="仿宋_GB2312" w:hAnsi="黑体" w:eastAsia="仿宋_GB2312"/>
          <w:color w:val="000000" w:themeColor="text1"/>
          <w:sz w:val="32"/>
          <w:szCs w:val="21"/>
          <w14:textFill>
            <w14:solidFill>
              <w14:schemeClr w14:val="tx1"/>
            </w14:solidFill>
          </w14:textFill>
        </w:rPr>
        <w:t>2025年</w:t>
      </w:r>
      <w:r>
        <w:rPr>
          <w:rFonts w:hint="eastAsia" w:ascii="仿宋_GB2312" w:hAnsi="黑体" w:eastAsia="仿宋_GB2312"/>
          <w:color w:val="000000" w:themeColor="text1"/>
          <w:sz w:val="32"/>
          <w:szCs w:val="21"/>
          <w14:textFill>
            <w14:solidFill>
              <w14:schemeClr w14:val="tx1"/>
            </w14:solidFill>
          </w14:textFill>
        </w:rPr>
        <w:t>3月23</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-25</w:t>
      </w:r>
      <w:r>
        <w:rPr>
          <w:rFonts w:ascii="仿宋_GB2312" w:hAnsi="黑体" w:eastAsia="仿宋_GB2312"/>
          <w:color w:val="000000" w:themeColor="text1"/>
          <w:sz w:val="32"/>
          <w:szCs w:val="21"/>
          <w14:textFill>
            <w14:solidFill>
              <w14:schemeClr w14:val="tx1"/>
            </w14:solidFill>
          </w14:textFill>
        </w:rPr>
        <w:t>日，</w:t>
      </w:r>
      <w:r>
        <w:rPr>
          <w:rFonts w:ascii="仿宋_GB2312" w:hAnsi="仿宋_GB2312" w:eastAsia="仿宋_GB2312" w:cs="仿宋_GB2312"/>
          <w:color w:val="000000"/>
          <w:sz w:val="32"/>
          <w:szCs w:val="32"/>
        </w:rPr>
        <w:t>在</w:t>
      </w:r>
      <w:r>
        <w:rPr>
          <w:rFonts w:hint="eastAsia" w:ascii="仿宋_GB2312" w:hAnsi="仿宋_GB2312" w:eastAsia="仿宋_GB2312" w:cs="仿宋_GB2312"/>
          <w:color w:val="000000"/>
          <w:sz w:val="32"/>
          <w:szCs w:val="32"/>
        </w:rPr>
        <w:t>湖北武汉</w:t>
      </w:r>
      <w:r>
        <w:rPr>
          <w:rFonts w:ascii="仿宋_GB2312" w:hAnsi="仿宋_GB2312" w:eastAsia="仿宋_GB2312" w:cs="仿宋_GB2312"/>
          <w:color w:val="000000"/>
          <w:sz w:val="32"/>
          <w:szCs w:val="32"/>
        </w:rPr>
        <w:t>组织召开</w:t>
      </w:r>
      <w:r>
        <w:rPr>
          <w:rFonts w:hint="eastAsia" w:ascii="仿宋_GB2312" w:hAnsi="仿宋_GB2312" w:eastAsia="仿宋_GB2312" w:cs="仿宋_GB2312"/>
          <w:color w:val="000000"/>
          <w:sz w:val="32"/>
          <w:szCs w:val="32"/>
        </w:rPr>
        <w:t>标准征求意见稿定稿会，</w:t>
      </w:r>
      <w:r>
        <w:rPr>
          <w:rFonts w:hint="eastAsia" w:ascii="仿宋_GB2312" w:hAnsi="黑体" w:eastAsia="仿宋_GB2312"/>
          <w:color w:val="000000" w:themeColor="text1"/>
          <w:sz w:val="32"/>
          <w:szCs w:val="21"/>
          <w14:textFill>
            <w14:solidFill>
              <w14:schemeClr w14:val="tx1"/>
            </w14:solidFill>
          </w14:textFill>
        </w:rPr>
        <w:t>主、参编单位、外部专家和中电建协会领导等</w:t>
      </w:r>
      <w:r>
        <w:rPr>
          <w:rFonts w:ascii="仿宋_GB2312" w:hAnsi="仿宋_GB2312" w:eastAsia="仿宋_GB2312" w:cs="仿宋_GB2312"/>
          <w:color w:val="000000"/>
          <w:sz w:val="32"/>
          <w:szCs w:val="32"/>
        </w:rPr>
        <w:t>共计</w:t>
      </w:r>
      <w:r>
        <w:rPr>
          <w:rFonts w:hint="eastAsia" w:ascii="仿宋_GB2312" w:hAnsi="仿宋_GB2312" w:eastAsia="仿宋_GB2312" w:cs="仿宋_GB2312"/>
          <w:color w:val="000000"/>
          <w:sz w:val="32"/>
          <w:szCs w:val="32"/>
        </w:rPr>
        <w:t>20余</w:t>
      </w:r>
      <w:r>
        <w:rPr>
          <w:rFonts w:ascii="仿宋_GB2312" w:hAnsi="仿宋_GB2312" w:eastAsia="仿宋_GB2312" w:cs="仿宋_GB2312"/>
          <w:color w:val="000000"/>
          <w:sz w:val="32"/>
          <w:szCs w:val="32"/>
        </w:rPr>
        <w:t>人参会</w:t>
      </w:r>
      <w:r>
        <w:rPr>
          <w:rFonts w:hint="eastAsia" w:ascii="仿宋_GB2312" w:hAnsi="仿宋_GB2312" w:eastAsia="仿宋_GB2312" w:cs="仿宋_GB2312"/>
          <w:color w:val="000000"/>
          <w:sz w:val="32"/>
          <w:szCs w:val="32"/>
        </w:rPr>
        <w:t>。会议听取了编写组对标准初稿讨论会意见的修改情况汇报，与会人员通过讨论，提出了新的修改补充建议和完成时间。</w:t>
      </w:r>
      <w:r>
        <w:rPr>
          <w:rFonts w:ascii="仿宋_GB2312" w:hAnsi="仿宋_GB2312" w:eastAsia="仿宋_GB2312" w:cs="仿宋_GB2312"/>
          <w:color w:val="000000"/>
          <w:sz w:val="32"/>
          <w:szCs w:val="32"/>
        </w:rPr>
        <w:t xml:space="preserve"> </w:t>
      </w:r>
    </w:p>
    <w:p w14:paraId="138E5C8E">
      <w:pPr>
        <w:spacing w:line="560" w:lineRule="exact"/>
        <w:ind w:firstLine="640" w:firstLineChars="200"/>
        <w:rPr>
          <w:rFonts w:hint="eastAsia" w:ascii="黑体" w:hAnsi="黑体" w:eastAsia="黑体"/>
          <w:color w:val="FF0000"/>
          <w:sz w:val="32"/>
          <w:szCs w:val="21"/>
        </w:rPr>
      </w:pPr>
      <w:r>
        <w:rPr>
          <w:rFonts w:hint="eastAsia" w:ascii="黑体" w:hAnsi="黑体" w:eastAsia="黑体"/>
          <w:color w:val="000000" w:themeColor="text1"/>
          <w:sz w:val="32"/>
          <w:szCs w:val="21"/>
          <w14:textFill>
            <w14:solidFill>
              <w14:schemeClr w14:val="tx1"/>
            </w14:solidFill>
          </w14:textFill>
        </w:rPr>
        <w:t>二、立项的必要性</w:t>
      </w:r>
    </w:p>
    <w:p w14:paraId="0D95E73D">
      <w:pPr>
        <w:pStyle w:val="2"/>
        <w:spacing w:line="360" w:lineRule="auto"/>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电力行业、水利水电行业等都无相关标准规范，有且比较零散。机械制造厂家在门式起重机安装、使用、维护保养、拆除、运输的安全操作规定方面也比较零散，不统一。建设单位、施工企业在施工过程中，主要参照门式起重机说明书、公司管理制度及国家有关标准要求执行，没有形成统一标准。近年来，在国内外电力建设领域工程建设发生了巨大变化，门式起重机作为电力建设项目最为常用的大型设备，其使用类型与应用方式也更加多元化，亟需结合目前电力建设领域的项目施工特点、覆盖范围和门式起重机应用具体要求，制定适应电力建设行业特殊性，满足行业执行需要的统一性规范文件。</w:t>
      </w:r>
    </w:p>
    <w:p w14:paraId="69DA4123">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三、标准编制原则，标准框架、主要内容及其确定依据</w:t>
      </w:r>
    </w:p>
    <w:p w14:paraId="7501CAAE">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标准编制原则</w:t>
      </w:r>
    </w:p>
    <w:p w14:paraId="60C975C9">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（1）本标准的编制应满足《中国电力建设企业协会标准管理办法（试行）》的有关要求。</w:t>
      </w:r>
    </w:p>
    <w:p w14:paraId="6C70FF6D">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2</w:t>
      </w:r>
      <w:r>
        <w:rPr>
          <w:rFonts w:hint="eastAsia" w:ascii="仿宋_GB2312" w:hAnsi="仿宋_GB2312" w:eastAsia="仿宋_GB2312" w:cs="仿宋_GB2312"/>
          <w:kern w:val="0"/>
          <w:sz w:val="32"/>
          <w:szCs w:val="32"/>
          <w:lang w:bidi="ar"/>
        </w:rPr>
        <w:t>）编写格式执行《标准化工作导则 第1部分：标准化文件的结构和起草规则》GB/T 1.1-2020的有关规定；起草规则执行《标准起草规则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17和</w:t>
      </w:r>
      <w:r>
        <w:rPr>
          <w:rFonts w:hint="eastAsia" w:ascii="仿宋_GB2312" w:hAnsi="仿宋_GB2312" w:eastAsia="仿宋_GB2312" w:cs="仿宋_GB2312"/>
          <w:kern w:val="0"/>
          <w:sz w:val="32"/>
          <w:szCs w:val="32"/>
          <w:lang w:bidi="ar"/>
        </w:rPr>
        <w:t>《标准起草规则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）的有关规定。</w:t>
      </w:r>
    </w:p>
    <w:p w14:paraId="6327108D">
      <w:pPr>
        <w:spacing w:line="600" w:lineRule="exact"/>
        <w:ind w:firstLine="640" w:firstLineChars="200"/>
        <w:rPr>
          <w:rFonts w:hint="eastAsia" w:ascii="仿宋_GB2312" w:hAnsi="仿宋_GB2312" w:eastAsia="仿宋_GB2312" w:cs="仿宋_GB2312"/>
          <w:strike/>
          <w:sz w:val="32"/>
          <w:szCs w:val="32"/>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bidi="ar"/>
        </w:rPr>
        <w:t>）遵循规程编制的“四性”要求：技术上的先进性和科学性、与国家法律法规和相关标准的协调性、标准发布实施上的可操作性。</w:t>
      </w:r>
    </w:p>
    <w:p w14:paraId="6CB2E7AF">
      <w:pPr>
        <w:widowControl/>
        <w:spacing w:line="62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4</w:t>
      </w:r>
      <w:r>
        <w:rPr>
          <w:rFonts w:hint="eastAsia" w:ascii="仿宋_GB2312" w:hAnsi="仿宋_GB2312" w:eastAsia="仿宋_GB2312" w:cs="仿宋_GB2312"/>
          <w:kern w:val="0"/>
          <w:sz w:val="32"/>
          <w:szCs w:val="32"/>
          <w:lang w:bidi="ar"/>
        </w:rPr>
        <w:t>）充分考虑编制本标准的目的和必要性，系统梳理</w:t>
      </w:r>
      <w:r>
        <w:rPr>
          <w:rFonts w:hint="eastAsia" w:ascii="仿宋_GB2312" w:hAnsi="黑体" w:eastAsia="仿宋_GB2312"/>
          <w:color w:val="000000" w:themeColor="text1"/>
          <w:sz w:val="32"/>
          <w:szCs w:val="21"/>
          <w14:textFill>
            <w14:solidFill>
              <w14:schemeClr w14:val="tx1"/>
            </w14:solidFill>
          </w14:textFill>
        </w:rPr>
        <w:t>了电力工程建设门式起重机的相关术语和定义、总体要求、入场验收、安装与拆卸、使用、专项安全技术措施、运输和贮存、绿色节能和智能操作等内容，体现</w:t>
      </w:r>
      <w:r>
        <w:rPr>
          <w:rFonts w:hint="eastAsia" w:ascii="仿宋_GB2312" w:hAnsi="仿宋_GB2312" w:eastAsia="仿宋_GB2312" w:cs="仿宋_GB2312"/>
          <w:kern w:val="0"/>
          <w:sz w:val="32"/>
          <w:szCs w:val="32"/>
          <w:lang w:bidi="ar"/>
        </w:rPr>
        <w:t>标准</w:t>
      </w:r>
      <w:r>
        <w:rPr>
          <w:rFonts w:hint="eastAsia" w:ascii="仿宋_GB2312" w:hAnsi="仿宋_GB2312" w:eastAsia="仿宋_GB2312" w:cs="仿宋_GB2312"/>
          <w:sz w:val="32"/>
          <w:szCs w:val="32"/>
        </w:rPr>
        <w:t>前瞻性、引领性、先进性和科学性，充分借鉴国标、行业权威标准规范文件进行编写，</w:t>
      </w:r>
      <w:r>
        <w:rPr>
          <w:rFonts w:hint="eastAsia" w:ascii="仿宋_GB2312" w:hAnsi="仿宋_GB2312" w:eastAsia="仿宋_GB2312" w:cs="仿宋_GB2312"/>
          <w:bCs/>
          <w:sz w:val="32"/>
          <w:szCs w:val="32"/>
        </w:rPr>
        <w:t>重点突出电力建设行业特点</w:t>
      </w:r>
      <w:r>
        <w:rPr>
          <w:rFonts w:hint="eastAsia" w:ascii="仿宋_GB2312" w:hAnsi="仿宋_GB2312" w:eastAsia="仿宋_GB2312" w:cs="仿宋_GB2312"/>
          <w:sz w:val="32"/>
          <w:szCs w:val="32"/>
        </w:rPr>
        <w:t>和标准的先进性，结合行业事故案例、经验教训进行融合编写，</w:t>
      </w:r>
      <w:r>
        <w:rPr>
          <w:rFonts w:hint="eastAsia" w:ascii="仿宋_GB2312" w:hAnsi="仿宋_GB2312" w:eastAsia="仿宋_GB2312" w:cs="仿宋_GB2312"/>
          <w:kern w:val="0"/>
          <w:sz w:val="32"/>
          <w:szCs w:val="32"/>
          <w:lang w:bidi="ar"/>
        </w:rPr>
        <w:t>具有较强的可操作性和实用性。</w:t>
      </w:r>
    </w:p>
    <w:p w14:paraId="266F0515">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）贯彻执行《中华人民共和国标准化法》、《团体标准管理规定》等法律、规定，做到格式规范，逻辑清晰，结构严紧、通俗易懂和简单明了。</w:t>
      </w:r>
    </w:p>
    <w:p w14:paraId="0C22CEAC">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6</w:t>
      </w:r>
      <w:r>
        <w:rPr>
          <w:rFonts w:hint="eastAsia" w:ascii="仿宋_GB2312" w:hAnsi="仿宋_GB2312" w:eastAsia="仿宋_GB2312" w:cs="仿宋_GB2312"/>
          <w:kern w:val="0"/>
          <w:sz w:val="32"/>
          <w:szCs w:val="32"/>
          <w:lang w:bidi="ar"/>
        </w:rPr>
        <w:t>）充分发扬民主自由性，与各参编单位协调一致，共同商讨。充分梳理与现行相关国家标准之间的关系，避免重复与矛盾。部分标准高于国家、行业相关标准。</w:t>
      </w:r>
    </w:p>
    <w:p w14:paraId="2E5F605F">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）标准编写工作符合国标规定，内容完整、翔实具体，用词准确，规定清晰，不可模糊不清，无歧义无相互矛盾。</w:t>
      </w:r>
    </w:p>
    <w:p w14:paraId="1C00E5B8">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8</w:t>
      </w:r>
      <w:r>
        <w:rPr>
          <w:rFonts w:hint="eastAsia" w:ascii="仿宋_GB2312" w:hAnsi="仿宋_GB2312" w:eastAsia="仿宋_GB2312" w:cs="仿宋_GB2312"/>
          <w:kern w:val="0"/>
          <w:sz w:val="32"/>
          <w:szCs w:val="32"/>
          <w:lang w:bidi="ar"/>
        </w:rPr>
        <w:t>）明确分工协作、落实各自责任，严格控制编制进度计划、确保标准高质量编制。各编写单位都是电力行业专家学者，现场安全使用管理经验丰富，专业精通。</w:t>
      </w:r>
    </w:p>
    <w:p w14:paraId="7821DD73">
      <w:pPr>
        <w:pStyle w:val="2"/>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 xml:space="preserve">    （9）编制过程中邀请了国内著名起重机械方面专家、多家制造单位和电力建设工程门式起重机使用单位，对标准编制工作予以指导和提出很多宝贵意见。</w:t>
      </w:r>
    </w:p>
    <w:p w14:paraId="69798913">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2.</w:t>
      </w:r>
      <w:r>
        <w:rPr>
          <w:rFonts w:hint="eastAsia" w:ascii="仿宋_GB2312" w:hAnsi="黑体" w:eastAsia="仿宋_GB2312"/>
          <w:b/>
          <w:color w:val="000000" w:themeColor="text1"/>
          <w:sz w:val="32"/>
          <w:szCs w:val="21"/>
          <w14:textFill>
            <w14:solidFill>
              <w14:schemeClr w14:val="tx1"/>
            </w14:solidFill>
          </w14:textFill>
        </w:rPr>
        <w:t>标准框架</w:t>
      </w:r>
    </w:p>
    <w:p w14:paraId="2ADB078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 xml:space="preserve">标准框架如下：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5103"/>
      </w:tblGrid>
      <w:tr w14:paraId="0564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46" w:type="dxa"/>
          </w:tcPr>
          <w:p w14:paraId="0AA8CE59">
            <w:pPr>
              <w:jc w:val="center"/>
              <w:rPr>
                <w:rFonts w:ascii="仿宋_GB2312" w:eastAsia="仿宋_GB2312"/>
                <w:b/>
                <w:sz w:val="28"/>
                <w:szCs w:val="28"/>
              </w:rPr>
            </w:pPr>
            <w:r>
              <w:rPr>
                <w:rFonts w:hint="eastAsia" w:ascii="仿宋_GB2312" w:eastAsia="仿宋_GB2312"/>
                <w:b/>
                <w:sz w:val="28"/>
                <w:szCs w:val="28"/>
              </w:rPr>
              <w:t>序号</w:t>
            </w:r>
          </w:p>
        </w:tc>
        <w:tc>
          <w:tcPr>
            <w:tcW w:w="2268" w:type="dxa"/>
          </w:tcPr>
          <w:p w14:paraId="0900E069">
            <w:pPr>
              <w:jc w:val="center"/>
              <w:rPr>
                <w:rFonts w:ascii="仿宋_GB2312" w:eastAsia="仿宋_GB2312"/>
                <w:b/>
                <w:sz w:val="28"/>
                <w:szCs w:val="28"/>
              </w:rPr>
            </w:pPr>
            <w:r>
              <w:rPr>
                <w:rFonts w:hint="eastAsia" w:ascii="仿宋_GB2312" w:eastAsia="仿宋_GB2312"/>
                <w:b/>
                <w:sz w:val="28"/>
                <w:szCs w:val="28"/>
              </w:rPr>
              <w:t>要素类型</w:t>
            </w:r>
          </w:p>
        </w:tc>
        <w:tc>
          <w:tcPr>
            <w:tcW w:w="5103" w:type="dxa"/>
          </w:tcPr>
          <w:p w14:paraId="01ADD8D7">
            <w:pPr>
              <w:jc w:val="center"/>
              <w:rPr>
                <w:rFonts w:ascii="仿宋_GB2312" w:eastAsia="仿宋_GB2312"/>
                <w:b/>
                <w:sz w:val="28"/>
                <w:szCs w:val="28"/>
              </w:rPr>
            </w:pPr>
            <w:r>
              <w:rPr>
                <w:rFonts w:hint="eastAsia" w:ascii="仿宋_GB2312" w:eastAsia="仿宋_GB2312"/>
                <w:b/>
                <w:sz w:val="28"/>
                <w:szCs w:val="28"/>
              </w:rPr>
              <w:t>要素编排</w:t>
            </w:r>
          </w:p>
        </w:tc>
      </w:tr>
      <w:tr w14:paraId="069E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780AD444">
            <w:pPr>
              <w:jc w:val="center"/>
              <w:rPr>
                <w:rFonts w:ascii="仿宋_GB2312" w:eastAsia="仿宋_GB2312"/>
                <w:sz w:val="28"/>
                <w:szCs w:val="28"/>
              </w:rPr>
            </w:pPr>
            <w:r>
              <w:rPr>
                <w:rFonts w:ascii="仿宋_GB2312" w:eastAsia="仿宋_GB2312"/>
                <w:sz w:val="28"/>
                <w:szCs w:val="28"/>
              </w:rPr>
              <w:t>1</w:t>
            </w:r>
          </w:p>
        </w:tc>
        <w:tc>
          <w:tcPr>
            <w:tcW w:w="2268" w:type="dxa"/>
            <w:vMerge w:val="restart"/>
            <w:vAlign w:val="center"/>
          </w:tcPr>
          <w:p w14:paraId="527E21A4">
            <w:pPr>
              <w:rPr>
                <w:rFonts w:ascii="仿宋_GB2312" w:eastAsia="仿宋_GB2312"/>
                <w:sz w:val="28"/>
                <w:szCs w:val="28"/>
              </w:rPr>
            </w:pPr>
            <w:r>
              <w:rPr>
                <w:rFonts w:hint="eastAsia" w:ascii="仿宋_GB2312" w:eastAsia="仿宋_GB2312"/>
                <w:sz w:val="28"/>
                <w:szCs w:val="28"/>
              </w:rPr>
              <w:t>资料性概述要素</w:t>
            </w:r>
          </w:p>
        </w:tc>
        <w:tc>
          <w:tcPr>
            <w:tcW w:w="5103" w:type="dxa"/>
          </w:tcPr>
          <w:p w14:paraId="4BDD5F54">
            <w:pPr>
              <w:rPr>
                <w:rFonts w:ascii="仿宋_GB2312" w:eastAsia="仿宋_GB2312"/>
                <w:sz w:val="28"/>
                <w:szCs w:val="28"/>
              </w:rPr>
            </w:pPr>
            <w:r>
              <w:rPr>
                <w:rFonts w:hint="eastAsia" w:ascii="仿宋_GB2312" w:eastAsia="仿宋_GB2312"/>
                <w:sz w:val="28"/>
                <w:szCs w:val="28"/>
              </w:rPr>
              <w:t>封面</w:t>
            </w:r>
          </w:p>
        </w:tc>
      </w:tr>
      <w:tr w14:paraId="5819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A5DE212">
            <w:pPr>
              <w:jc w:val="center"/>
              <w:rPr>
                <w:rFonts w:ascii="仿宋_GB2312" w:eastAsia="仿宋_GB2312"/>
                <w:sz w:val="28"/>
                <w:szCs w:val="28"/>
              </w:rPr>
            </w:pPr>
          </w:p>
        </w:tc>
        <w:tc>
          <w:tcPr>
            <w:tcW w:w="2268" w:type="dxa"/>
            <w:vMerge w:val="continue"/>
            <w:vAlign w:val="center"/>
          </w:tcPr>
          <w:p w14:paraId="1EB689AF">
            <w:pPr>
              <w:rPr>
                <w:rFonts w:ascii="仿宋_GB2312" w:eastAsia="仿宋_GB2312"/>
                <w:sz w:val="28"/>
                <w:szCs w:val="28"/>
              </w:rPr>
            </w:pPr>
          </w:p>
        </w:tc>
        <w:tc>
          <w:tcPr>
            <w:tcW w:w="5103" w:type="dxa"/>
          </w:tcPr>
          <w:p w14:paraId="5BCCBA71">
            <w:pPr>
              <w:rPr>
                <w:rFonts w:ascii="仿宋_GB2312" w:eastAsia="仿宋_GB2312"/>
                <w:sz w:val="28"/>
                <w:szCs w:val="28"/>
              </w:rPr>
            </w:pPr>
            <w:r>
              <w:rPr>
                <w:rFonts w:hint="eastAsia" w:ascii="仿宋_GB2312" w:eastAsia="仿宋_GB2312"/>
                <w:sz w:val="28"/>
                <w:szCs w:val="28"/>
              </w:rPr>
              <w:t>目次</w:t>
            </w:r>
          </w:p>
        </w:tc>
      </w:tr>
      <w:tr w14:paraId="2B31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08145D5">
            <w:pPr>
              <w:jc w:val="center"/>
              <w:rPr>
                <w:rFonts w:ascii="仿宋_GB2312" w:eastAsia="仿宋_GB2312"/>
                <w:sz w:val="28"/>
                <w:szCs w:val="28"/>
              </w:rPr>
            </w:pPr>
          </w:p>
        </w:tc>
        <w:tc>
          <w:tcPr>
            <w:tcW w:w="2268" w:type="dxa"/>
            <w:vMerge w:val="continue"/>
            <w:vAlign w:val="center"/>
          </w:tcPr>
          <w:p w14:paraId="5A60F490">
            <w:pPr>
              <w:rPr>
                <w:rFonts w:ascii="仿宋_GB2312" w:eastAsia="仿宋_GB2312"/>
                <w:sz w:val="28"/>
                <w:szCs w:val="28"/>
              </w:rPr>
            </w:pPr>
          </w:p>
        </w:tc>
        <w:tc>
          <w:tcPr>
            <w:tcW w:w="5103" w:type="dxa"/>
          </w:tcPr>
          <w:p w14:paraId="54931FA3">
            <w:pPr>
              <w:rPr>
                <w:rFonts w:ascii="仿宋_GB2312" w:eastAsia="仿宋_GB2312"/>
                <w:sz w:val="28"/>
                <w:szCs w:val="28"/>
              </w:rPr>
            </w:pPr>
            <w:r>
              <w:rPr>
                <w:rFonts w:hint="eastAsia" w:ascii="仿宋_GB2312" w:eastAsia="仿宋_GB2312"/>
                <w:sz w:val="28"/>
                <w:szCs w:val="28"/>
              </w:rPr>
              <w:t>前言</w:t>
            </w:r>
          </w:p>
        </w:tc>
      </w:tr>
      <w:tr w14:paraId="5C3F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79CC79BA">
            <w:pPr>
              <w:jc w:val="center"/>
              <w:rPr>
                <w:rFonts w:ascii="仿宋_GB2312" w:eastAsia="仿宋_GB2312"/>
                <w:sz w:val="28"/>
                <w:szCs w:val="28"/>
              </w:rPr>
            </w:pPr>
            <w:r>
              <w:rPr>
                <w:rFonts w:ascii="仿宋_GB2312" w:eastAsia="仿宋_GB2312"/>
                <w:sz w:val="28"/>
                <w:szCs w:val="28"/>
              </w:rPr>
              <w:t>2</w:t>
            </w:r>
          </w:p>
        </w:tc>
        <w:tc>
          <w:tcPr>
            <w:tcW w:w="2268" w:type="dxa"/>
            <w:vMerge w:val="restart"/>
            <w:vAlign w:val="center"/>
          </w:tcPr>
          <w:p w14:paraId="3466CAA9">
            <w:pPr>
              <w:rPr>
                <w:rFonts w:ascii="仿宋_GB2312" w:eastAsia="仿宋_GB2312"/>
                <w:sz w:val="28"/>
                <w:szCs w:val="28"/>
              </w:rPr>
            </w:pPr>
            <w:r>
              <w:rPr>
                <w:rFonts w:hint="eastAsia" w:ascii="仿宋_GB2312" w:eastAsia="仿宋_GB2312"/>
                <w:sz w:val="28"/>
                <w:szCs w:val="28"/>
              </w:rPr>
              <w:t>规范性一般要素</w:t>
            </w:r>
          </w:p>
        </w:tc>
        <w:tc>
          <w:tcPr>
            <w:tcW w:w="5103" w:type="dxa"/>
          </w:tcPr>
          <w:p w14:paraId="6679730F">
            <w:pPr>
              <w:rPr>
                <w:rFonts w:ascii="仿宋_GB2312" w:eastAsia="仿宋_GB2312"/>
                <w:sz w:val="28"/>
                <w:szCs w:val="28"/>
              </w:rPr>
            </w:pPr>
            <w:r>
              <w:rPr>
                <w:rFonts w:hint="eastAsia" w:ascii="仿宋_GB2312" w:eastAsia="仿宋_GB2312"/>
                <w:sz w:val="28"/>
                <w:szCs w:val="28"/>
              </w:rPr>
              <w:t>标准名称</w:t>
            </w:r>
          </w:p>
        </w:tc>
      </w:tr>
      <w:tr w14:paraId="41AB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C5DC819">
            <w:pPr>
              <w:jc w:val="center"/>
              <w:rPr>
                <w:rFonts w:ascii="仿宋_GB2312" w:eastAsia="仿宋_GB2312"/>
                <w:sz w:val="28"/>
                <w:szCs w:val="28"/>
              </w:rPr>
            </w:pPr>
          </w:p>
        </w:tc>
        <w:tc>
          <w:tcPr>
            <w:tcW w:w="2268" w:type="dxa"/>
            <w:vMerge w:val="continue"/>
            <w:vAlign w:val="center"/>
          </w:tcPr>
          <w:p w14:paraId="54D21B88">
            <w:pPr>
              <w:rPr>
                <w:rFonts w:ascii="仿宋_GB2312" w:eastAsia="仿宋_GB2312"/>
                <w:sz w:val="28"/>
                <w:szCs w:val="28"/>
              </w:rPr>
            </w:pPr>
          </w:p>
        </w:tc>
        <w:tc>
          <w:tcPr>
            <w:tcW w:w="5103" w:type="dxa"/>
          </w:tcPr>
          <w:p w14:paraId="1B770FF1">
            <w:pPr>
              <w:rPr>
                <w:rFonts w:ascii="仿宋_GB2312" w:eastAsia="仿宋_GB2312"/>
                <w:sz w:val="28"/>
                <w:szCs w:val="28"/>
              </w:rPr>
            </w:pPr>
            <w:r>
              <w:rPr>
                <w:rFonts w:hint="eastAsia" w:ascii="仿宋_GB2312" w:eastAsia="仿宋_GB2312"/>
                <w:sz w:val="28"/>
                <w:szCs w:val="28"/>
              </w:rPr>
              <w:t>范围</w:t>
            </w:r>
          </w:p>
        </w:tc>
      </w:tr>
      <w:tr w14:paraId="2A44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5C48B07">
            <w:pPr>
              <w:jc w:val="center"/>
              <w:rPr>
                <w:rFonts w:ascii="仿宋_GB2312" w:eastAsia="仿宋_GB2312"/>
                <w:sz w:val="28"/>
                <w:szCs w:val="28"/>
              </w:rPr>
            </w:pPr>
          </w:p>
        </w:tc>
        <w:tc>
          <w:tcPr>
            <w:tcW w:w="2268" w:type="dxa"/>
            <w:vMerge w:val="continue"/>
            <w:vAlign w:val="center"/>
          </w:tcPr>
          <w:p w14:paraId="4016763E">
            <w:pPr>
              <w:rPr>
                <w:rFonts w:ascii="仿宋_GB2312" w:eastAsia="仿宋_GB2312"/>
                <w:sz w:val="28"/>
                <w:szCs w:val="28"/>
              </w:rPr>
            </w:pPr>
          </w:p>
        </w:tc>
        <w:tc>
          <w:tcPr>
            <w:tcW w:w="5103" w:type="dxa"/>
          </w:tcPr>
          <w:p w14:paraId="38C2F52D">
            <w:pPr>
              <w:rPr>
                <w:rFonts w:ascii="仿宋_GB2312" w:eastAsia="仿宋_GB2312"/>
                <w:sz w:val="28"/>
                <w:szCs w:val="28"/>
              </w:rPr>
            </w:pPr>
            <w:r>
              <w:rPr>
                <w:rFonts w:hint="eastAsia" w:ascii="仿宋_GB2312" w:eastAsia="仿宋_GB2312"/>
                <w:sz w:val="28"/>
                <w:szCs w:val="28"/>
              </w:rPr>
              <w:t>规范性引用文件</w:t>
            </w:r>
          </w:p>
        </w:tc>
      </w:tr>
      <w:tr w14:paraId="1189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23AA4424">
            <w:pPr>
              <w:jc w:val="center"/>
              <w:rPr>
                <w:rFonts w:ascii="仿宋_GB2312" w:eastAsia="仿宋_GB2312"/>
                <w:sz w:val="28"/>
                <w:szCs w:val="28"/>
              </w:rPr>
            </w:pPr>
            <w:r>
              <w:rPr>
                <w:rFonts w:ascii="仿宋_GB2312" w:eastAsia="仿宋_GB2312"/>
                <w:sz w:val="28"/>
                <w:szCs w:val="28"/>
              </w:rPr>
              <w:t>3</w:t>
            </w:r>
          </w:p>
        </w:tc>
        <w:tc>
          <w:tcPr>
            <w:tcW w:w="2268" w:type="dxa"/>
            <w:vMerge w:val="restart"/>
            <w:vAlign w:val="center"/>
          </w:tcPr>
          <w:p w14:paraId="5604CBBB">
            <w:pPr>
              <w:rPr>
                <w:rFonts w:ascii="仿宋_GB2312" w:eastAsia="仿宋_GB2312"/>
                <w:sz w:val="28"/>
                <w:szCs w:val="28"/>
              </w:rPr>
            </w:pPr>
            <w:r>
              <w:rPr>
                <w:rFonts w:hint="eastAsia" w:ascii="仿宋_GB2312" w:eastAsia="仿宋_GB2312"/>
                <w:sz w:val="28"/>
                <w:szCs w:val="28"/>
              </w:rPr>
              <w:t>规范性技术要素</w:t>
            </w:r>
          </w:p>
        </w:tc>
        <w:tc>
          <w:tcPr>
            <w:tcW w:w="5103" w:type="dxa"/>
          </w:tcPr>
          <w:p w14:paraId="110896AF">
            <w:pPr>
              <w:rPr>
                <w:rFonts w:ascii="仿宋_GB2312" w:eastAsia="仿宋_GB2312"/>
                <w:sz w:val="28"/>
                <w:szCs w:val="28"/>
              </w:rPr>
            </w:pPr>
            <w:r>
              <w:rPr>
                <w:rFonts w:hint="eastAsia" w:ascii="仿宋_GB2312" w:eastAsia="仿宋_GB2312"/>
                <w:sz w:val="28"/>
                <w:szCs w:val="28"/>
              </w:rPr>
              <w:t>术语和定义</w:t>
            </w:r>
          </w:p>
        </w:tc>
      </w:tr>
      <w:tr w14:paraId="1C60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0D6B824">
            <w:pPr>
              <w:jc w:val="center"/>
              <w:rPr>
                <w:rFonts w:ascii="仿宋_GB2312" w:eastAsia="仿宋_GB2312"/>
                <w:sz w:val="28"/>
                <w:szCs w:val="28"/>
              </w:rPr>
            </w:pPr>
          </w:p>
        </w:tc>
        <w:tc>
          <w:tcPr>
            <w:tcW w:w="2268" w:type="dxa"/>
            <w:vMerge w:val="continue"/>
          </w:tcPr>
          <w:p w14:paraId="28632F92">
            <w:pPr>
              <w:rPr>
                <w:rFonts w:ascii="仿宋_GB2312" w:eastAsia="仿宋_GB2312"/>
                <w:sz w:val="28"/>
                <w:szCs w:val="28"/>
              </w:rPr>
            </w:pPr>
          </w:p>
        </w:tc>
        <w:tc>
          <w:tcPr>
            <w:tcW w:w="5103" w:type="dxa"/>
          </w:tcPr>
          <w:p w14:paraId="0024BC80">
            <w:pPr>
              <w:rPr>
                <w:rFonts w:ascii="仿宋_GB2312" w:eastAsia="仿宋_GB2312"/>
                <w:sz w:val="28"/>
                <w:szCs w:val="28"/>
              </w:rPr>
            </w:pPr>
            <w:r>
              <w:rPr>
                <w:rFonts w:hint="eastAsia" w:ascii="仿宋_GB2312" w:eastAsia="仿宋_GB2312"/>
                <w:sz w:val="28"/>
                <w:szCs w:val="28"/>
              </w:rPr>
              <w:t>总体要求</w:t>
            </w:r>
          </w:p>
        </w:tc>
      </w:tr>
      <w:tr w14:paraId="2EB0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2EC858E7">
            <w:pPr>
              <w:jc w:val="center"/>
              <w:rPr>
                <w:rFonts w:ascii="仿宋_GB2312" w:eastAsia="仿宋_GB2312"/>
                <w:sz w:val="28"/>
                <w:szCs w:val="28"/>
              </w:rPr>
            </w:pPr>
          </w:p>
        </w:tc>
        <w:tc>
          <w:tcPr>
            <w:tcW w:w="2268" w:type="dxa"/>
            <w:vMerge w:val="continue"/>
          </w:tcPr>
          <w:p w14:paraId="57076857">
            <w:pPr>
              <w:rPr>
                <w:rFonts w:ascii="仿宋_GB2312" w:eastAsia="仿宋_GB2312"/>
                <w:sz w:val="28"/>
                <w:szCs w:val="28"/>
              </w:rPr>
            </w:pPr>
          </w:p>
        </w:tc>
        <w:tc>
          <w:tcPr>
            <w:tcW w:w="5103" w:type="dxa"/>
          </w:tcPr>
          <w:p w14:paraId="523AA3F3">
            <w:pPr>
              <w:rPr>
                <w:rFonts w:ascii="仿宋_GB2312" w:eastAsia="仿宋_GB2312"/>
                <w:sz w:val="28"/>
                <w:szCs w:val="28"/>
              </w:rPr>
            </w:pPr>
            <w:r>
              <w:rPr>
                <w:rFonts w:hint="eastAsia" w:ascii="仿宋_GB2312" w:eastAsia="仿宋_GB2312"/>
                <w:sz w:val="28"/>
                <w:szCs w:val="28"/>
              </w:rPr>
              <w:t>入场验收</w:t>
            </w:r>
          </w:p>
        </w:tc>
      </w:tr>
      <w:tr w14:paraId="451E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704F651">
            <w:pPr>
              <w:jc w:val="center"/>
              <w:rPr>
                <w:rFonts w:ascii="仿宋_GB2312" w:eastAsia="仿宋_GB2312"/>
                <w:sz w:val="28"/>
                <w:szCs w:val="28"/>
              </w:rPr>
            </w:pPr>
          </w:p>
        </w:tc>
        <w:tc>
          <w:tcPr>
            <w:tcW w:w="2268" w:type="dxa"/>
            <w:vMerge w:val="continue"/>
          </w:tcPr>
          <w:p w14:paraId="246A508D">
            <w:pPr>
              <w:rPr>
                <w:rFonts w:ascii="仿宋_GB2312" w:eastAsia="仿宋_GB2312"/>
                <w:sz w:val="28"/>
                <w:szCs w:val="28"/>
              </w:rPr>
            </w:pPr>
          </w:p>
        </w:tc>
        <w:tc>
          <w:tcPr>
            <w:tcW w:w="5103" w:type="dxa"/>
          </w:tcPr>
          <w:p w14:paraId="1DA103DF">
            <w:pPr>
              <w:rPr>
                <w:rFonts w:ascii="仿宋_GB2312" w:eastAsia="仿宋_GB2312"/>
                <w:sz w:val="28"/>
                <w:szCs w:val="28"/>
              </w:rPr>
            </w:pPr>
            <w:r>
              <w:rPr>
                <w:rFonts w:hint="eastAsia" w:ascii="仿宋_GB2312" w:eastAsia="仿宋_GB2312"/>
                <w:sz w:val="28"/>
                <w:szCs w:val="28"/>
              </w:rPr>
              <w:t>安装与拆卸</w:t>
            </w:r>
          </w:p>
        </w:tc>
      </w:tr>
      <w:tr w14:paraId="7E19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34F956EF">
            <w:pPr>
              <w:jc w:val="center"/>
              <w:rPr>
                <w:rFonts w:ascii="仿宋_GB2312" w:eastAsia="仿宋_GB2312"/>
                <w:sz w:val="28"/>
                <w:szCs w:val="28"/>
              </w:rPr>
            </w:pPr>
          </w:p>
        </w:tc>
        <w:tc>
          <w:tcPr>
            <w:tcW w:w="2268" w:type="dxa"/>
            <w:vMerge w:val="continue"/>
          </w:tcPr>
          <w:p w14:paraId="5C88DF72">
            <w:pPr>
              <w:rPr>
                <w:rFonts w:ascii="仿宋_GB2312" w:eastAsia="仿宋_GB2312"/>
                <w:sz w:val="28"/>
                <w:szCs w:val="28"/>
              </w:rPr>
            </w:pPr>
          </w:p>
        </w:tc>
        <w:tc>
          <w:tcPr>
            <w:tcW w:w="5103" w:type="dxa"/>
          </w:tcPr>
          <w:p w14:paraId="09F10357">
            <w:pPr>
              <w:rPr>
                <w:rFonts w:ascii="仿宋_GB2312" w:eastAsia="仿宋_GB2312"/>
                <w:sz w:val="28"/>
                <w:szCs w:val="28"/>
              </w:rPr>
            </w:pPr>
            <w:r>
              <w:rPr>
                <w:rFonts w:hint="eastAsia" w:ascii="仿宋_GB2312" w:eastAsia="仿宋_GB2312"/>
                <w:sz w:val="28"/>
                <w:szCs w:val="28"/>
              </w:rPr>
              <w:t>使用</w:t>
            </w:r>
          </w:p>
        </w:tc>
      </w:tr>
      <w:tr w14:paraId="15DB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1120DFB">
            <w:pPr>
              <w:jc w:val="center"/>
              <w:rPr>
                <w:rFonts w:ascii="仿宋_GB2312" w:eastAsia="仿宋_GB2312"/>
                <w:sz w:val="28"/>
                <w:szCs w:val="28"/>
              </w:rPr>
            </w:pPr>
          </w:p>
        </w:tc>
        <w:tc>
          <w:tcPr>
            <w:tcW w:w="2268" w:type="dxa"/>
            <w:vMerge w:val="continue"/>
          </w:tcPr>
          <w:p w14:paraId="6CAF2D2C">
            <w:pPr>
              <w:rPr>
                <w:rFonts w:ascii="仿宋_GB2312" w:eastAsia="仿宋_GB2312"/>
                <w:sz w:val="28"/>
                <w:szCs w:val="28"/>
              </w:rPr>
            </w:pPr>
          </w:p>
        </w:tc>
        <w:tc>
          <w:tcPr>
            <w:tcW w:w="5103" w:type="dxa"/>
          </w:tcPr>
          <w:p w14:paraId="1764ECC5">
            <w:pPr>
              <w:rPr>
                <w:rFonts w:ascii="仿宋_GB2312" w:eastAsia="仿宋_GB2312"/>
                <w:sz w:val="28"/>
                <w:szCs w:val="28"/>
              </w:rPr>
            </w:pPr>
            <w:r>
              <w:rPr>
                <w:rFonts w:hint="eastAsia" w:ascii="仿宋_GB2312" w:eastAsia="仿宋_GB2312"/>
                <w:sz w:val="28"/>
                <w:szCs w:val="28"/>
              </w:rPr>
              <w:t>专项安全技术措施</w:t>
            </w:r>
          </w:p>
        </w:tc>
      </w:tr>
      <w:tr w14:paraId="15BF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E1925DB">
            <w:pPr>
              <w:jc w:val="center"/>
              <w:rPr>
                <w:rFonts w:ascii="仿宋_GB2312" w:eastAsia="仿宋_GB2312"/>
                <w:sz w:val="28"/>
                <w:szCs w:val="28"/>
              </w:rPr>
            </w:pPr>
          </w:p>
        </w:tc>
        <w:tc>
          <w:tcPr>
            <w:tcW w:w="2268" w:type="dxa"/>
            <w:vMerge w:val="continue"/>
          </w:tcPr>
          <w:p w14:paraId="3B525358">
            <w:pPr>
              <w:rPr>
                <w:rFonts w:ascii="仿宋_GB2312" w:eastAsia="仿宋_GB2312"/>
                <w:sz w:val="28"/>
                <w:szCs w:val="28"/>
              </w:rPr>
            </w:pPr>
          </w:p>
        </w:tc>
        <w:tc>
          <w:tcPr>
            <w:tcW w:w="5103" w:type="dxa"/>
          </w:tcPr>
          <w:p w14:paraId="04DEC832">
            <w:pPr>
              <w:rPr>
                <w:rFonts w:ascii="仿宋_GB2312" w:eastAsia="仿宋_GB2312"/>
                <w:sz w:val="28"/>
                <w:szCs w:val="28"/>
              </w:rPr>
            </w:pPr>
            <w:r>
              <w:rPr>
                <w:rFonts w:hint="eastAsia" w:ascii="仿宋_GB2312" w:eastAsia="仿宋_GB2312"/>
                <w:sz w:val="28"/>
                <w:szCs w:val="28"/>
              </w:rPr>
              <w:t>运输和贮存</w:t>
            </w:r>
          </w:p>
        </w:tc>
      </w:tr>
      <w:tr w14:paraId="5B64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B35C28C">
            <w:pPr>
              <w:jc w:val="center"/>
              <w:rPr>
                <w:rFonts w:ascii="仿宋_GB2312" w:eastAsia="仿宋_GB2312"/>
                <w:sz w:val="28"/>
                <w:szCs w:val="28"/>
              </w:rPr>
            </w:pPr>
          </w:p>
        </w:tc>
        <w:tc>
          <w:tcPr>
            <w:tcW w:w="2268" w:type="dxa"/>
            <w:vMerge w:val="continue"/>
          </w:tcPr>
          <w:p w14:paraId="5732C3D7">
            <w:pPr>
              <w:rPr>
                <w:rFonts w:ascii="仿宋_GB2312" w:eastAsia="仿宋_GB2312"/>
                <w:sz w:val="28"/>
                <w:szCs w:val="28"/>
              </w:rPr>
            </w:pPr>
          </w:p>
        </w:tc>
        <w:tc>
          <w:tcPr>
            <w:tcW w:w="5103" w:type="dxa"/>
          </w:tcPr>
          <w:p w14:paraId="4EB1C137">
            <w:pPr>
              <w:rPr>
                <w:rFonts w:ascii="仿宋_GB2312" w:eastAsia="仿宋_GB2312"/>
                <w:sz w:val="28"/>
                <w:szCs w:val="28"/>
              </w:rPr>
            </w:pPr>
            <w:r>
              <w:rPr>
                <w:rFonts w:hint="eastAsia" w:ascii="仿宋_GB2312" w:eastAsia="仿宋_GB2312"/>
                <w:sz w:val="28"/>
                <w:szCs w:val="28"/>
              </w:rPr>
              <w:t>绿色节能和智能操作</w:t>
            </w:r>
          </w:p>
        </w:tc>
      </w:tr>
      <w:tr w14:paraId="15FD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32BBF403">
            <w:pPr>
              <w:jc w:val="center"/>
              <w:rPr>
                <w:rFonts w:ascii="仿宋_GB2312" w:eastAsia="仿宋_GB2312"/>
                <w:sz w:val="28"/>
                <w:szCs w:val="28"/>
              </w:rPr>
            </w:pPr>
            <w:r>
              <w:rPr>
                <w:rFonts w:ascii="仿宋_GB2312" w:eastAsia="仿宋_GB2312"/>
                <w:sz w:val="28"/>
                <w:szCs w:val="28"/>
              </w:rPr>
              <w:t>4</w:t>
            </w:r>
          </w:p>
        </w:tc>
        <w:tc>
          <w:tcPr>
            <w:tcW w:w="2268" w:type="dxa"/>
          </w:tcPr>
          <w:p w14:paraId="6F8CF592">
            <w:pPr>
              <w:rPr>
                <w:rFonts w:ascii="仿宋_GB2312" w:eastAsia="仿宋_GB2312"/>
                <w:sz w:val="28"/>
                <w:szCs w:val="28"/>
              </w:rPr>
            </w:pPr>
            <w:r>
              <w:rPr>
                <w:rFonts w:hint="eastAsia" w:ascii="仿宋_GB2312" w:eastAsia="仿宋_GB2312"/>
                <w:sz w:val="28"/>
                <w:szCs w:val="28"/>
              </w:rPr>
              <w:t>资料性补充要素</w:t>
            </w:r>
          </w:p>
        </w:tc>
        <w:tc>
          <w:tcPr>
            <w:tcW w:w="5103" w:type="dxa"/>
          </w:tcPr>
          <w:p w14:paraId="0DB5E41E">
            <w:pPr>
              <w:rPr>
                <w:rFonts w:ascii="仿宋_GB2312" w:eastAsia="仿宋_GB2312"/>
                <w:sz w:val="28"/>
                <w:szCs w:val="28"/>
              </w:rPr>
            </w:pPr>
            <w:r>
              <w:rPr>
                <w:rFonts w:hint="eastAsia" w:ascii="仿宋_GB2312" w:eastAsia="仿宋_GB2312"/>
                <w:sz w:val="28"/>
                <w:szCs w:val="28"/>
              </w:rPr>
              <w:t>附录</w:t>
            </w:r>
            <w:r>
              <w:rPr>
                <w:rFonts w:ascii="仿宋_GB2312" w:eastAsia="仿宋_GB2312"/>
                <w:sz w:val="28"/>
                <w:szCs w:val="28"/>
              </w:rPr>
              <w:t xml:space="preserve">A </w:t>
            </w:r>
            <w:r>
              <w:rPr>
                <w:rFonts w:hint="eastAsia" w:ascii="仿宋_GB2312" w:eastAsia="仿宋_GB2312"/>
                <w:sz w:val="28"/>
                <w:szCs w:val="28"/>
              </w:rPr>
              <w:t>门式起重机入场验收表</w:t>
            </w:r>
          </w:p>
        </w:tc>
      </w:tr>
      <w:tr w14:paraId="37047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28CD4CD2">
            <w:pPr>
              <w:jc w:val="center"/>
              <w:rPr>
                <w:rFonts w:ascii="仿宋_GB2312" w:eastAsia="仿宋_GB2312"/>
                <w:sz w:val="28"/>
                <w:szCs w:val="28"/>
              </w:rPr>
            </w:pPr>
            <w:r>
              <w:rPr>
                <w:rFonts w:ascii="仿宋_GB2312" w:eastAsia="仿宋_GB2312"/>
                <w:sz w:val="28"/>
                <w:szCs w:val="28"/>
              </w:rPr>
              <w:t>5</w:t>
            </w:r>
          </w:p>
        </w:tc>
        <w:tc>
          <w:tcPr>
            <w:tcW w:w="2268" w:type="dxa"/>
          </w:tcPr>
          <w:p w14:paraId="6708EBE1">
            <w:pPr>
              <w:rPr>
                <w:rFonts w:ascii="仿宋_GB2312" w:eastAsia="仿宋_GB2312"/>
                <w:sz w:val="28"/>
                <w:szCs w:val="28"/>
              </w:rPr>
            </w:pPr>
            <w:r>
              <w:rPr>
                <w:rFonts w:hint="eastAsia" w:ascii="仿宋_GB2312" w:eastAsia="仿宋_GB2312"/>
                <w:sz w:val="28"/>
                <w:szCs w:val="28"/>
              </w:rPr>
              <w:t>资料性补充要素</w:t>
            </w:r>
          </w:p>
        </w:tc>
        <w:tc>
          <w:tcPr>
            <w:tcW w:w="5103" w:type="dxa"/>
          </w:tcPr>
          <w:p w14:paraId="5C4DFD8A">
            <w:pPr>
              <w:rPr>
                <w:rFonts w:ascii="仿宋_GB2312" w:eastAsia="仿宋_GB2312"/>
                <w:sz w:val="28"/>
                <w:szCs w:val="28"/>
              </w:rPr>
            </w:pPr>
            <w:r>
              <w:rPr>
                <w:rFonts w:hint="eastAsia" w:ascii="仿宋_GB2312" w:eastAsia="仿宋_GB2312"/>
                <w:sz w:val="28"/>
                <w:szCs w:val="28"/>
              </w:rPr>
              <w:t>附录</w:t>
            </w:r>
            <w:r>
              <w:rPr>
                <w:rFonts w:ascii="仿宋_GB2312" w:eastAsia="仿宋_GB2312"/>
                <w:sz w:val="28"/>
                <w:szCs w:val="28"/>
              </w:rPr>
              <w:t xml:space="preserve">B </w:t>
            </w:r>
            <w:r>
              <w:rPr>
                <w:rFonts w:hint="eastAsia" w:ascii="仿宋_GB2312" w:eastAsia="仿宋_GB2312"/>
                <w:sz w:val="28"/>
                <w:szCs w:val="28"/>
              </w:rPr>
              <w:t>门式起重机轨道安装验收表</w:t>
            </w:r>
          </w:p>
        </w:tc>
      </w:tr>
    </w:tbl>
    <w:p w14:paraId="558A999A">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3.标准</w:t>
      </w:r>
      <w:r>
        <w:rPr>
          <w:rFonts w:hint="eastAsia" w:ascii="仿宋_GB2312" w:hAnsi="黑体" w:eastAsia="仿宋_GB2312"/>
          <w:b/>
          <w:color w:val="000000" w:themeColor="text1"/>
          <w:sz w:val="32"/>
          <w:szCs w:val="21"/>
          <w14:textFill>
            <w14:solidFill>
              <w14:schemeClr w14:val="tx1"/>
            </w14:solidFill>
          </w14:textFill>
        </w:rPr>
        <w:t>主要内容</w:t>
      </w:r>
    </w:p>
    <w:p w14:paraId="413388C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本标准主要技术内容共10章，分别是范围（第1章）、规范性引用文件（第2 章）、术语和定义（第3 章）、总体要求（第4 章）、入场验收（第5 章）、安装与拆卸（第6 章）、使用（第7 章）、专项安全技术措施（第8章）、运输和贮存（第9章）和绿色节能和智能操作（第10章）。</w:t>
      </w:r>
    </w:p>
    <w:p w14:paraId="7113205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第1章：本章对本文件的主要技术内容作出提要式说明。文件规定了什么，适用于什么等。</w:t>
      </w:r>
    </w:p>
    <w:p w14:paraId="05CCB8F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第2章：本章规定了本文件的规范性引用文件。引用了国建、行业、地方和团体标准规范。对国家法律法规等强制性规范等无引用，文件相关要求是强制性条款。</w:t>
      </w:r>
    </w:p>
    <w:p w14:paraId="19DFE1D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第3章：本章规定了应用于本文件的相关术语和定义。电力建设工程、独立起升高度、施工单位、安装单位、使用单位、特种设备作业人员、移装、入场验收、保养和修理等。</w:t>
      </w:r>
    </w:p>
    <w:p w14:paraId="3CE7213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第4章：本章规定了电力工程建设门式起重机对安装、使用和租赁单位、人员资质、专项施工方案、档案等通用性相关要求和规定。</w:t>
      </w:r>
    </w:p>
    <w:p w14:paraId="09F0F77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第5章：本章明确了门式起重机入场验收的验收组织、资料验收和现场验收内容和特殊环境下门式起重机入场要求及严禁门式起重机入场内容。</w:t>
      </w:r>
    </w:p>
    <w:p w14:paraId="7C537A6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第6章：本章清晰规定了本文件安装与拆卸的要求，内容包括选项、安装选址与环境要求、基础要求、安装与拆卸作业、爬升与附着。</w:t>
      </w:r>
    </w:p>
    <w:p w14:paraId="298CD01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第7章：本章充分结合电力建设工程门式起重机的使用情况，归纳了一般规定、作业前准备、作业、交接班、检查维护等内容。</w:t>
      </w:r>
    </w:p>
    <w:p w14:paraId="5FB9F99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第8章：本章针对电力工程建设施工的环境情况，提出了特殊环境管理要求、防风防台风措施、防碰撞措施、防雷电措施等专项安全技术措施。</w:t>
      </w:r>
    </w:p>
    <w:p w14:paraId="18A156F9">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第9章：本章着重明确了门式起重机在运输和贮存中的相关要求和规定。</w:t>
      </w:r>
    </w:p>
    <w:p w14:paraId="6A0BE02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第10章：本章结合当前起重机械智能化、绿色化发展趋势，规定了门式起重机的绿色节能和智能操作等相关内容。</w:t>
      </w:r>
    </w:p>
    <w:p w14:paraId="40170EE1">
      <w:pPr>
        <w:spacing w:line="560" w:lineRule="exact"/>
        <w:ind w:firstLine="643" w:firstLineChars="200"/>
        <w:rPr>
          <w:rFonts w:hint="eastAsia" w:ascii="仿宋_GB2312" w:hAnsi="黑体" w:eastAsia="仿宋_GB2312"/>
          <w:b/>
          <w:color w:val="FF0000"/>
          <w:sz w:val="32"/>
          <w:szCs w:val="21"/>
        </w:rPr>
      </w:pPr>
      <w:r>
        <w:rPr>
          <w:rFonts w:ascii="仿宋_GB2312" w:hAnsi="黑体" w:eastAsia="仿宋_GB2312"/>
          <w:b/>
          <w:color w:val="000000" w:themeColor="text1"/>
          <w:sz w:val="32"/>
          <w:szCs w:val="21"/>
          <w14:textFill>
            <w14:solidFill>
              <w14:schemeClr w14:val="tx1"/>
            </w14:solidFill>
          </w14:textFill>
        </w:rPr>
        <w:t>4.标准主要内容</w:t>
      </w:r>
      <w:r>
        <w:rPr>
          <w:rFonts w:hint="eastAsia" w:ascii="仿宋_GB2312" w:hAnsi="黑体" w:eastAsia="仿宋_GB2312"/>
          <w:b/>
          <w:color w:val="000000" w:themeColor="text1"/>
          <w:sz w:val="32"/>
          <w:szCs w:val="21"/>
          <w14:textFill>
            <w14:solidFill>
              <w14:schemeClr w14:val="tx1"/>
            </w14:solidFill>
          </w14:textFill>
        </w:rPr>
        <w:t>确定依据</w:t>
      </w:r>
    </w:p>
    <w:p w14:paraId="4FA2A195">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根据本文件的编制目的及要标准化的对象，本文件属指南类标准兼有规范类标准的特点，故主要内容按照GB/T 1.1—2020《标准化工作导则 第1部分：标准化文件的结构和起草规则》的规定起草,并按照《标准起草规则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）和《标准起草规则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 xml:space="preserve">）进行确定。 </w:t>
      </w:r>
    </w:p>
    <w:p w14:paraId="2D1DB4C9">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四、与现行法律法规、强制性标准及其他标准的关系</w:t>
      </w:r>
    </w:p>
    <w:p w14:paraId="16E78F65">
      <w:pPr>
        <w:pStyle w:val="15"/>
        <w:ind w:firstLine="64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针对电力建设领域门式起重机安全使用无专项标准规范，仅能参照国标要求或相近行业相关要求，缺乏本行业针对性，不能突出使用过程安全风险控制要求和电力行业施工特点。机械制造厂家在门式起重机安装、使用、维护保养、拆除、运输的安全操作使用规定方面通用要求。建设及监理单位、安装拆卸及使用单位在门式起重机施工应用过程中，主要参照机械设备说明书、行业通用要求或国家有关标准执行，没有形成统一规范要求，有些标准规范要求不适用电力建设工程门式起重机。</w:t>
      </w:r>
      <w:bookmarkStart w:id="4" w:name="OLE_LINK2"/>
      <w:r>
        <w:rPr>
          <w:rFonts w:hint="eastAsia" w:ascii="仿宋_GB2312" w:hAnsi="黑体" w:eastAsia="仿宋_GB2312"/>
          <w:color w:val="000000" w:themeColor="text1"/>
          <w:sz w:val="32"/>
          <w:szCs w:val="21"/>
          <w14:textFill>
            <w14:solidFill>
              <w14:schemeClr w14:val="tx1"/>
            </w14:solidFill>
          </w14:textFill>
        </w:rPr>
        <w:t>有些</w:t>
      </w:r>
      <w:r>
        <w:rPr>
          <w:rFonts w:hint="eastAsia" w:ascii="仿宋_GB2312" w:hAnsi="黑体" w:eastAsia="仿宋_GB2312" w:cstheme="minorBidi"/>
          <w:color w:val="000000" w:themeColor="text1"/>
          <w:sz w:val="32"/>
          <w:szCs w:val="21"/>
          <w14:textFill>
            <w14:solidFill>
              <w14:schemeClr w14:val="tx1"/>
            </w14:solidFill>
          </w14:textFill>
        </w:rPr>
        <w:t>说明书中的内容往往较为简单，难以全面覆盖各类复杂场景，导致实际操作中容易出现不符合规范的现象。</w:t>
      </w:r>
      <w:bookmarkEnd w:id="4"/>
      <w:r>
        <w:rPr>
          <w:rFonts w:hint="eastAsia" w:ascii="仿宋_GB2312" w:hAnsi="黑体" w:eastAsia="仿宋_GB2312"/>
          <w:color w:val="000000" w:themeColor="text1"/>
          <w:sz w:val="32"/>
          <w:szCs w:val="21"/>
          <w14:textFill>
            <w14:solidFill>
              <w14:schemeClr w14:val="tx1"/>
            </w14:solidFill>
          </w14:textFill>
        </w:rPr>
        <w:t>本标准与GB/T 14406 通用门式起重机、GB/T 23723.5 起重机 安全使用 第5部分：桥式和门式起重机、GB/T 31052.5 起重机械 检查与维护规程 第5部分：桥式和门式起重机、GB/T 6067.5 起重机械安全规程 第5部分：桥式和门式起重机等现行标准相互协调、配套补充，无冲突。</w:t>
      </w:r>
    </w:p>
    <w:p w14:paraId="7E691144">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五、标准的先进性或特色性</w:t>
      </w:r>
    </w:p>
    <w:p w14:paraId="1FC85D0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研究编制完成的国内外首个针对电力建设门式起重机安全使用的全过程管理标准，</w:t>
      </w:r>
      <w:r>
        <w:rPr>
          <w:rFonts w:hint="eastAsia" w:ascii="仿宋_GB2312" w:hAnsi="黑体" w:eastAsia="仿宋_GB2312"/>
          <w:b/>
          <w:color w:val="000000" w:themeColor="text1"/>
          <w:sz w:val="32"/>
          <w:szCs w:val="21"/>
          <w14:textFill>
            <w14:solidFill>
              <w14:schemeClr w14:val="tx1"/>
            </w14:solidFill>
          </w14:textFill>
        </w:rPr>
        <w:t>填补了</w:t>
      </w:r>
      <w:r>
        <w:rPr>
          <w:rFonts w:hint="eastAsia" w:ascii="仿宋_GB2312" w:hAnsi="黑体" w:eastAsia="仿宋_GB2312"/>
          <w:color w:val="000000" w:themeColor="text1"/>
          <w:sz w:val="32"/>
          <w:szCs w:val="21"/>
          <w14:textFill>
            <w14:solidFill>
              <w14:schemeClr w14:val="tx1"/>
            </w14:solidFill>
          </w14:textFill>
        </w:rPr>
        <w:t>电力行业相关标准的</w:t>
      </w:r>
      <w:r>
        <w:rPr>
          <w:rFonts w:hint="eastAsia" w:ascii="仿宋_GB2312" w:hAnsi="黑体" w:eastAsia="仿宋_GB2312"/>
          <w:b/>
          <w:color w:val="000000" w:themeColor="text1"/>
          <w:sz w:val="32"/>
          <w:szCs w:val="21"/>
          <w14:textFill>
            <w14:solidFill>
              <w14:schemeClr w14:val="tx1"/>
            </w14:solidFill>
          </w14:textFill>
        </w:rPr>
        <w:t>空白</w:t>
      </w:r>
      <w:r>
        <w:rPr>
          <w:rFonts w:hint="eastAsia" w:ascii="仿宋_GB2312" w:hAnsi="黑体" w:eastAsia="仿宋_GB2312"/>
          <w:color w:val="000000" w:themeColor="text1"/>
          <w:sz w:val="32"/>
          <w:szCs w:val="21"/>
          <w14:textFill>
            <w14:solidFill>
              <w14:schemeClr w14:val="tx1"/>
            </w14:solidFill>
          </w14:textFill>
        </w:rPr>
        <w:t>。</w:t>
      </w:r>
    </w:p>
    <w:p w14:paraId="64A4E09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.现有</w:t>
      </w:r>
      <w:r>
        <w:rPr>
          <w:rFonts w:hint="eastAsia" w:ascii="仿宋_GB2312" w:hAnsi="黑体" w:eastAsia="仿宋_GB2312"/>
          <w:color w:val="000000" w:themeColor="text1"/>
          <w:sz w:val="32"/>
          <w:szCs w:val="21"/>
          <w14:textFill>
            <w14:solidFill>
              <w14:schemeClr w14:val="tx1"/>
            </w14:solidFill>
          </w14:textFill>
        </w:rPr>
        <w:t>标准更侧重于一般性使用和安全管理，未体现电力建设工程安全使用特点，</w:t>
      </w:r>
      <w:r>
        <w:rPr>
          <w:rFonts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14:textFill>
            <w14:solidFill>
              <w14:schemeClr w14:val="tx1"/>
            </w14:solidFill>
          </w14:textFill>
        </w:rPr>
        <w:t>针对电力建设领域使用</w:t>
      </w:r>
      <w:r>
        <w:rPr>
          <w:rFonts w:hint="eastAsia" w:ascii="仿宋_GB2312" w:hAnsi="仿宋_GB2312" w:eastAsia="仿宋_GB2312" w:cs="仿宋_GB2312"/>
          <w:bCs/>
          <w:sz w:val="32"/>
          <w:szCs w:val="32"/>
        </w:rPr>
        <w:t>特点</w:t>
      </w:r>
      <w:r>
        <w:rPr>
          <w:rFonts w:hint="eastAsia" w:ascii="仿宋_GB2312" w:hAnsi="仿宋_GB2312" w:eastAsia="仿宋_GB2312" w:cs="仿宋_GB2312"/>
          <w:sz w:val="32"/>
          <w:szCs w:val="32"/>
        </w:rPr>
        <w:t>，结合行业事故案例、经验教训进行融合编写</w:t>
      </w:r>
      <w:r>
        <w:rPr>
          <w:rFonts w:hint="eastAsia" w:ascii="仿宋_GB2312" w:hAnsi="黑体" w:eastAsia="仿宋_GB2312"/>
          <w:color w:val="000000" w:themeColor="text1"/>
          <w:sz w:val="32"/>
          <w:szCs w:val="21"/>
          <w14:textFill>
            <w14:solidFill>
              <w14:schemeClr w14:val="tx1"/>
            </w14:solidFill>
          </w14:textFill>
        </w:rPr>
        <w:t>，完善了门式起重机安全使用的专项标准规范，为电力建设行业标准化提升工作做出了相应贡献。</w:t>
      </w:r>
    </w:p>
    <w:p w14:paraId="2448793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.除火力发电工程以外，本标准还适用于</w:t>
      </w:r>
      <w:r>
        <w:rPr>
          <w:rFonts w:hint="eastAsia" w:ascii="仿宋_GB2312" w:hAnsi="黑体" w:eastAsia="仿宋_GB2312"/>
          <w:color w:val="000000" w:themeColor="text1"/>
          <w:sz w:val="32"/>
          <w:szCs w:val="21"/>
          <w14:textFill>
            <w14:solidFill>
              <w14:schemeClr w14:val="tx1"/>
            </w14:solidFill>
          </w14:textFill>
        </w:rPr>
        <w:t>水电、核电(除核岛外)、新能源发电（包含风力、太阳能、生物质等）、储能等发电建设工程和输变电等电网建设工程</w:t>
      </w:r>
      <w:r>
        <w:rPr>
          <w:rFonts w:ascii="仿宋_GB2312" w:hAnsi="黑体" w:eastAsia="仿宋_GB2312"/>
          <w:color w:val="000000" w:themeColor="text1"/>
          <w:sz w:val="32"/>
          <w:szCs w:val="21"/>
          <w14:textFill>
            <w14:solidFill>
              <w14:schemeClr w14:val="tx1"/>
            </w14:solidFill>
          </w14:textFill>
        </w:rPr>
        <w:t>。一部标准</w:t>
      </w:r>
      <w:r>
        <w:rPr>
          <w:rFonts w:ascii="仿宋_GB2312" w:hAnsi="黑体" w:eastAsia="仿宋_GB2312"/>
          <w:b/>
          <w:color w:val="000000" w:themeColor="text1"/>
          <w:sz w:val="32"/>
          <w:szCs w:val="21"/>
          <w14:textFill>
            <w14:solidFill>
              <w14:schemeClr w14:val="tx1"/>
            </w14:solidFill>
          </w14:textFill>
        </w:rPr>
        <w:t>覆盖了更多更全面的电力建设项目类型</w:t>
      </w:r>
      <w:r>
        <w:rPr>
          <w:rFonts w:ascii="仿宋_GB2312" w:hAnsi="黑体" w:eastAsia="仿宋_GB2312"/>
          <w:color w:val="000000" w:themeColor="text1"/>
          <w:sz w:val="32"/>
          <w:szCs w:val="21"/>
          <w14:textFill>
            <w14:solidFill>
              <w14:schemeClr w14:val="tx1"/>
            </w14:solidFill>
          </w14:textFill>
        </w:rPr>
        <w:t>。</w:t>
      </w:r>
    </w:p>
    <w:p w14:paraId="0B5EF89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4</w:t>
      </w:r>
      <w:r>
        <w:rPr>
          <w:rFonts w:ascii="仿宋_GB2312" w:hAnsi="黑体" w:eastAsia="仿宋_GB2312"/>
          <w:color w:val="000000" w:themeColor="text1"/>
          <w:sz w:val="32"/>
          <w:szCs w:val="21"/>
          <w14:textFill>
            <w14:solidFill>
              <w14:schemeClr w14:val="tx1"/>
            </w14:solidFill>
          </w14:textFill>
        </w:rPr>
        <w:t>.在与现有标准协调一致的基础上，结合电力工程建设自身特点，提出</w:t>
      </w:r>
      <w:r>
        <w:rPr>
          <w:rFonts w:hint="eastAsia" w:ascii="仿宋_GB2312" w:hAnsi="黑体" w:eastAsia="仿宋_GB2312"/>
          <w:color w:val="000000" w:themeColor="text1"/>
          <w:sz w:val="32"/>
          <w:szCs w:val="21"/>
          <w14:textFill>
            <w14:solidFill>
              <w14:schemeClr w14:val="tx1"/>
            </w14:solidFill>
          </w14:textFill>
        </w:rPr>
        <w:t>针对性的要求</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让门式起重机在电力建设领域的使用管理要求更为清晰明确</w:t>
      </w:r>
      <w:r>
        <w:rPr>
          <w:rFonts w:ascii="仿宋_GB2312" w:hAnsi="黑体" w:eastAsia="仿宋_GB2312"/>
          <w:color w:val="000000" w:themeColor="text1"/>
          <w:sz w:val="32"/>
          <w:szCs w:val="21"/>
          <w14:textFill>
            <w14:solidFill>
              <w14:schemeClr w14:val="tx1"/>
            </w14:solidFill>
          </w14:textFill>
        </w:rPr>
        <w:t>。</w:t>
      </w:r>
    </w:p>
    <w:p w14:paraId="557388E1">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5</w:t>
      </w:r>
      <w:r>
        <w:rPr>
          <w:rFonts w:ascii="仿宋_GB2312" w:hAnsi="黑体" w:eastAsia="仿宋_GB2312"/>
          <w:color w:val="000000" w:themeColor="text1"/>
          <w:sz w:val="32"/>
          <w:szCs w:val="21"/>
          <w14:textFill>
            <w14:solidFill>
              <w14:schemeClr w14:val="tx1"/>
            </w14:solidFill>
          </w14:textFill>
        </w:rPr>
        <w:t>.标准研制不但凝练了众多工程实践经验，</w:t>
      </w:r>
      <w:r>
        <w:rPr>
          <w:rFonts w:hint="eastAsia" w:ascii="仿宋_GB2312" w:hAnsi="黑体" w:eastAsia="仿宋_GB2312"/>
          <w:color w:val="000000" w:themeColor="text1"/>
          <w:sz w:val="32"/>
          <w:szCs w:val="21"/>
          <w14:textFill>
            <w14:solidFill>
              <w14:schemeClr w14:val="tx1"/>
            </w14:solidFill>
          </w14:textFill>
        </w:rPr>
        <w:t>事故案例，</w:t>
      </w:r>
      <w:r>
        <w:rPr>
          <w:rFonts w:ascii="仿宋_GB2312" w:hAnsi="黑体" w:eastAsia="仿宋_GB2312"/>
          <w:color w:val="000000" w:themeColor="text1"/>
          <w:sz w:val="32"/>
          <w:szCs w:val="21"/>
          <w14:textFill>
            <w14:solidFill>
              <w14:schemeClr w14:val="tx1"/>
            </w14:solidFill>
          </w14:textFill>
        </w:rPr>
        <w:t>而且首次</w:t>
      </w:r>
      <w:r>
        <w:rPr>
          <w:rFonts w:hint="eastAsia" w:ascii="仿宋_GB2312" w:hAnsi="黑体" w:eastAsia="仿宋_GB2312"/>
          <w:color w:val="000000" w:themeColor="text1"/>
          <w:sz w:val="32"/>
          <w:szCs w:val="21"/>
          <w14:textFill>
            <w14:solidFill>
              <w14:schemeClr w14:val="tx1"/>
            </w14:solidFill>
          </w14:textFill>
        </w:rPr>
        <w:t>纳入专项安全技术措施、绿色节能和智能操作等特殊要求和新技术</w:t>
      </w:r>
      <w:r>
        <w:rPr>
          <w:rFonts w:ascii="仿宋_GB2312" w:hAnsi="黑体" w:eastAsia="仿宋_GB2312"/>
          <w:color w:val="000000" w:themeColor="text1"/>
          <w:sz w:val="32"/>
          <w:szCs w:val="21"/>
          <w14:textFill>
            <w14:solidFill>
              <w14:schemeClr w14:val="tx1"/>
            </w14:solidFill>
          </w14:textFill>
        </w:rPr>
        <w:t>，</w:t>
      </w:r>
      <w:r>
        <w:rPr>
          <w:rFonts w:ascii="仿宋_GB2312" w:hAnsi="黑体" w:eastAsia="仿宋_GB2312"/>
          <w:bCs/>
          <w:color w:val="000000" w:themeColor="text1"/>
          <w:sz w:val="32"/>
          <w:szCs w:val="21"/>
          <w14:textFill>
            <w14:solidFill>
              <w14:schemeClr w14:val="tx1"/>
            </w14:solidFill>
          </w14:textFill>
        </w:rPr>
        <w:t>创新并紧跟反映了新时代的发展步伐。</w:t>
      </w:r>
    </w:p>
    <w:p w14:paraId="5CB31E8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6</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本标准研制有助于引导和提高相关企业在电力项目施工过程中，相关单位对门式起重机全过程安全使用管理。</w:t>
      </w:r>
    </w:p>
    <w:p w14:paraId="5EA67AAE">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六、标准调研、研讨及征求意见情况，重大分歧意见的处理经过和依据</w:t>
      </w:r>
    </w:p>
    <w:p w14:paraId="33BD3F0D">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标准调研、研讨情况</w:t>
      </w:r>
    </w:p>
    <w:p w14:paraId="7E28A76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标准研制过程中，编制组进行了广泛的收资、调研和探讨。研究的几个主要问题及处理结论如下：</w:t>
      </w:r>
    </w:p>
    <w:p w14:paraId="2255E34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）本标准的编制目的和</w:t>
      </w:r>
      <w:r>
        <w:rPr>
          <w:rFonts w:hint="eastAsia" w:ascii="仿宋_GB2312" w:hAnsi="黑体" w:eastAsia="仿宋_GB2312"/>
          <w:color w:val="000000" w:themeColor="text1"/>
          <w:sz w:val="32"/>
          <w:szCs w:val="21"/>
          <w14:textFill>
            <w14:solidFill>
              <w14:schemeClr w14:val="tx1"/>
            </w14:solidFill>
          </w14:textFill>
        </w:rPr>
        <w:t>使用对象</w:t>
      </w:r>
    </w:p>
    <w:p w14:paraId="40366C5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以全面贯彻现阶段国家特种设备最新的法律法规及制度文件要求为宗旨，通过结合国内电力建设工程领域门式起重机施工应用特点，以及目前门式起重机在新技术、新材料、新工艺及标准化方面的应用成果，全面总结归纳并形成电力建设领域门式起重机安全使用的统一规范，为电力建设领域门式起重机的安全、规范和科学使用提供重要支撑。</w:t>
      </w:r>
    </w:p>
    <w:p w14:paraId="0BDC7A9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本规程适用于电力建设领域各类型施工项目（传统火电建设项目、新型电力能源建设项目等），不同类型门式起重机的现场安全使用管理，其他工程建设领域门式起重机安全使用要求可参照该标准执行。</w:t>
      </w:r>
    </w:p>
    <w:p w14:paraId="2458840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）标准的</w:t>
      </w:r>
      <w:r>
        <w:rPr>
          <w:rFonts w:hint="eastAsia" w:ascii="仿宋_GB2312" w:hAnsi="黑体" w:eastAsia="仿宋_GB2312"/>
          <w:color w:val="000000" w:themeColor="text1"/>
          <w:sz w:val="32"/>
          <w:szCs w:val="21"/>
          <w14:textFill>
            <w14:solidFill>
              <w14:schemeClr w14:val="tx1"/>
            </w14:solidFill>
          </w14:textFill>
        </w:rPr>
        <w:t>编写</w:t>
      </w:r>
      <w:r>
        <w:rPr>
          <w:rFonts w:ascii="仿宋_GB2312" w:hAnsi="黑体" w:eastAsia="仿宋_GB2312"/>
          <w:color w:val="000000" w:themeColor="text1"/>
          <w:sz w:val="32"/>
          <w:szCs w:val="21"/>
          <w14:textFill>
            <w14:solidFill>
              <w14:schemeClr w14:val="tx1"/>
            </w14:solidFill>
          </w14:textFill>
        </w:rPr>
        <w:t>规则</w:t>
      </w:r>
    </w:p>
    <w:p w14:paraId="3182EBE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对电力工程建设过程中门式起重机安全使用全过程管理做出了原则性要求，包括入场验收、安装与拆卸、使用、专项安全技术措施、运输和贮存、绿色节能和智能操作等方面全过程安全使用规范要求、执行文件及表格记录等。兼有指南标准和规范标准的双重属性，编制规则采用“二者兼顾、偏重规范标准”的相关要求。</w:t>
      </w:r>
    </w:p>
    <w:p w14:paraId="0AB02F6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（3）适当考虑绿色环保和智能技术应用等内容</w:t>
      </w:r>
    </w:p>
    <w:p w14:paraId="5F16B85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绿色环保和智能技术应用是当前国家所提倡的，也是未来发展的趋势。门式起重机智能化操作和智能化装置越来越普及，带来了较多便利。当前还未有相关门式起重机在这些方面使用要求，本标准增加了相关内容，填补了这一空白。</w:t>
      </w:r>
    </w:p>
    <w:p w14:paraId="358FF1BB">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选项定位、环境要求和基础要求</w:t>
      </w:r>
    </w:p>
    <w:p w14:paraId="3E06D20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电力建设行业门式起重机的周边作业环境较为复杂和特殊，施工范围、周边建筑物都带有电建行业自身的特性。本标准增加了相关内容描述，对电建行业门式起重机的选型定位有一定帮助，对周边作业环境也做出来明确要求。同时，“基础要求”增加充分考虑电建行业门式起重机基础的特点，对各类型基础如混凝土条形基础、枕木基础等特殊基础进行归纳总结，有很强的指导性。</w:t>
      </w:r>
    </w:p>
    <w:p w14:paraId="18612B52">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明确电力建设工程与民建市政工程对起重机管理要求的区别</w:t>
      </w:r>
    </w:p>
    <w:p w14:paraId="380379F1">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在电力工程建设项目实际施工中，相关单位对不同工程性质的起重机械管理标准理解不同，引用标准不同，对其各自的标准区别也不清晰。尤其建设单位和监理单位会经常以民建市政工程的标准来要求电力建设工程。本标准对两种工程性质所涉及的相关要求和适用范围做了明确解释。</w:t>
      </w:r>
    </w:p>
    <w:p w14:paraId="5A5903BE">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增加“专项安全技术措施”环节</w:t>
      </w:r>
    </w:p>
    <w:p w14:paraId="33F2136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整合起重机械使用过程中遇到的各种特殊环境和情况，如沿海、潮湿、盐雾、低温、台风、雷电等。并编制相应的措施和要求，如防台风措施、防雷电措施、防碰撞措施，当起重机械使用过程中遇到特殊环境时有一定的指导作用。</w:t>
      </w:r>
    </w:p>
    <w:p w14:paraId="1BC6C6C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（7）增加了门式起重机主梁组合吊装相关要求</w:t>
      </w:r>
    </w:p>
    <w:p w14:paraId="362928D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已有的标准中，对门式起重机主梁组合吊装相关要求和描述较少。本标准结合电力建设行业特点，系统归纳主梁组合吊装安全管理要求。</w:t>
      </w:r>
    </w:p>
    <w:p w14:paraId="2075539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（8）增加了“入场验收”章节，把管理做到进场前</w:t>
      </w:r>
    </w:p>
    <w:p w14:paraId="5C630862">
      <w:pPr>
        <w:spacing w:line="560" w:lineRule="exact"/>
        <w:ind w:firstLine="640" w:firstLineChars="200"/>
        <w:rPr>
          <w:rFonts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当前已有的同类型相关标准中，提出的管理使用要求基本都是在起重机械进场以后。本标准着重提出了进场前的验收，包括参与验收的组织、资料的验收、现场实物的验收等相关要求。从进场前就做到严格管理，对后续起重机械的管理使用有很大帮助。</w:t>
      </w:r>
    </w:p>
    <w:p w14:paraId="7E3A77CB">
      <w:pPr>
        <w:pStyle w:val="2"/>
        <w:rPr>
          <w:rFonts w:hint="eastAsia" w:ascii="仿宋_GB2312" w:hAnsi="黑体" w:eastAsia="仿宋_GB2312"/>
          <w:color w:val="000000" w:themeColor="text1"/>
          <w:sz w:val="32"/>
          <w:szCs w:val="21"/>
          <w14:textFill>
            <w14:solidFill>
              <w14:schemeClr w14:val="tx1"/>
            </w14:solidFill>
          </w14:textFill>
        </w:rPr>
      </w:pPr>
      <w:r>
        <w:rPr>
          <w:rFonts w:hint="eastAsia"/>
        </w:rPr>
        <w:t xml:space="preserve">  </w:t>
      </w:r>
      <w:r>
        <w:rPr>
          <w:rFonts w:hint="eastAsia" w:ascii="仿宋_GB2312" w:hAnsi="黑体" w:eastAsia="仿宋_GB2312"/>
          <w:color w:val="000000" w:themeColor="text1"/>
          <w:sz w:val="32"/>
          <w:szCs w:val="21"/>
          <w14:textFill>
            <w14:solidFill>
              <w14:schemeClr w14:val="tx1"/>
            </w14:solidFill>
          </w14:textFill>
        </w:rPr>
        <w:t xml:space="preserve">    (9)增加了常规操作室和地面遥控操作门式起重机安全使用管理要求。</w:t>
      </w:r>
    </w:p>
    <w:p w14:paraId="176E33B8">
      <w:pPr>
        <w:spacing w:line="560" w:lineRule="exact"/>
        <w:ind w:firstLine="640" w:firstLineChars="200"/>
        <w:rPr>
          <w:rFonts w:hint="eastAsia" w:ascii="仿宋_GB2312" w:hAnsi="黑体" w:eastAsia="仿宋_GB2312"/>
          <w:b/>
          <w:color w:val="FF0000"/>
          <w:sz w:val="32"/>
          <w:szCs w:val="21"/>
        </w:rPr>
      </w:pPr>
      <w:r>
        <w:rPr>
          <w:rFonts w:hint="eastAsia" w:ascii="仿宋_GB2312" w:hAnsi="仿宋_GB2312" w:eastAsia="仿宋_GB2312" w:cs="仿宋_GB2312"/>
          <w:color w:val="000000"/>
          <w:sz w:val="32"/>
          <w:szCs w:val="32"/>
        </w:rPr>
        <w:t>2</w:t>
      </w:r>
      <w:r>
        <w:rPr>
          <w:rFonts w:ascii="仿宋_GB2312" w:hAnsi="仿宋_GB2312" w:eastAsia="仿宋_GB2312" w:cs="仿宋_GB2312"/>
          <w:color w:val="000000"/>
          <w:sz w:val="32"/>
          <w:szCs w:val="32"/>
        </w:rPr>
        <w:t>.</w:t>
      </w:r>
      <w:r>
        <w:rPr>
          <w:rFonts w:hint="eastAsia" w:ascii="仿宋_GB2312" w:hAnsi="黑体" w:eastAsia="仿宋_GB2312"/>
          <w:b/>
          <w:color w:val="000000" w:themeColor="text1"/>
          <w:sz w:val="32"/>
          <w:szCs w:val="21"/>
          <w14:textFill>
            <w14:solidFill>
              <w14:schemeClr w14:val="tx1"/>
            </w14:solidFill>
          </w14:textFill>
        </w:rPr>
        <w:t>标准征求意见情况</w:t>
      </w:r>
    </w:p>
    <w:p w14:paraId="79C2D4F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待征求意见结束后补充</w:t>
      </w:r>
      <w:r>
        <w:rPr>
          <w:rFonts w:hint="eastAsia" w:ascii="仿宋_GB2312" w:hAnsi="黑体" w:eastAsia="仿宋_GB2312"/>
          <w:color w:val="000000" w:themeColor="text1"/>
          <w:sz w:val="32"/>
          <w:szCs w:val="21"/>
          <w14:textFill>
            <w14:solidFill>
              <w14:schemeClr w14:val="tx1"/>
            </w14:solidFill>
          </w14:textFill>
        </w:rPr>
        <w:t>。</w:t>
      </w:r>
      <w:bookmarkStart w:id="5" w:name="_GoBack"/>
      <w:bookmarkEnd w:id="5"/>
    </w:p>
    <w:p w14:paraId="4270C745">
      <w:pPr>
        <w:spacing w:line="560" w:lineRule="exact"/>
        <w:ind w:firstLine="640"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重大分歧意见的处理经过和依据</w:t>
      </w:r>
    </w:p>
    <w:p w14:paraId="0E1EC4C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本标准编制过程中无重大分歧意见。</w:t>
      </w:r>
    </w:p>
    <w:p w14:paraId="4A6142E2">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七、技术指标设置的科学性和可行性，量化指标的确定依据</w:t>
      </w:r>
    </w:p>
    <w:p w14:paraId="104FBC6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本标准不涉及该项内容。</w:t>
      </w:r>
    </w:p>
    <w:p w14:paraId="5DFCAA1E">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八、与国际、国家、行业、其他团体同类标准技术内容的对比情况，或者与测试的国外样品、样机的有关数据对比情况。采标情况，以及是否合规引用或采用国际国外标准。</w:t>
      </w:r>
    </w:p>
    <w:p w14:paraId="411718CA">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与国际、国家、行业、其他团体同类标准技术内容的对比情况</w:t>
      </w:r>
    </w:p>
    <w:p w14:paraId="41132BE2">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目前国内缺少专门应用于电力建设领域门式起重机安全使用方面的相关标准规范，导致在电力建设领域项目实施过程中，设备制造厂家、建设、监理单位、总承包单位、施工单位、安装拆卸及使用单位所依据的规范标准文件零散，相关要求不适用电力建设工程门式起重机，没有形成统一标准。</w:t>
      </w:r>
    </w:p>
    <w:p w14:paraId="580CB823">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本标准充分结合电力建设行业特点和项目应用要求，内容涵盖门式起重机在项目全过程的安全使用相关要求，具备较强的指导性和适用性，对提升电力建设施工现场门式起重机安全使用水平具有重要意义。</w:t>
      </w:r>
    </w:p>
    <w:p w14:paraId="388B4405">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是否合规引用或采用国际国外标准</w:t>
      </w:r>
    </w:p>
    <w:p w14:paraId="51BD4E8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本标准未引用或采用国际国外标准，无采标情况。</w:t>
      </w:r>
    </w:p>
    <w:p w14:paraId="667B7626">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九、涉及专利的有关说明</w:t>
      </w:r>
    </w:p>
    <w:p w14:paraId="2970847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本标准编制过程中，未识别出涉及专利的内容。</w:t>
      </w:r>
    </w:p>
    <w:p w14:paraId="5C96C250">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十、专家审查会情况</w:t>
      </w:r>
    </w:p>
    <w:p w14:paraId="1EA96549">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待报批</w:t>
      </w:r>
      <w:r>
        <w:rPr>
          <w:rFonts w:ascii="仿宋_GB2312" w:hAnsi="黑体" w:eastAsia="仿宋_GB2312"/>
          <w:color w:val="000000" w:themeColor="text1"/>
          <w:sz w:val="32"/>
          <w:szCs w:val="21"/>
          <w14:textFill>
            <w14:solidFill>
              <w14:schemeClr w14:val="tx1"/>
            </w14:solidFill>
          </w14:textFill>
        </w:rPr>
        <w:t>阶段补充。</w:t>
      </w:r>
    </w:p>
    <w:p w14:paraId="639F5C69">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十一、标准名称变更理由及报批情况</w:t>
      </w:r>
    </w:p>
    <w:p w14:paraId="33557E55">
      <w:pPr>
        <w:spacing w:line="560" w:lineRule="exact"/>
        <w:ind w:firstLine="640" w:firstLineChars="200"/>
        <w:outlineLvl w:val="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本标准未涉及名称变更。</w:t>
      </w:r>
    </w:p>
    <w:p w14:paraId="1E26C8D2">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十二、其他应当说明的事项</w:t>
      </w:r>
    </w:p>
    <w:p w14:paraId="50F2D47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无。</w:t>
      </w:r>
    </w:p>
    <w:p w14:paraId="0ECCB6B7">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十三、贯彻中电建协标准的要求，以及组织措施、技术措施、过渡期和实施日期等建议</w:t>
      </w:r>
    </w:p>
    <w:p w14:paraId="5FEEA00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rPr>
        <w:t xml:space="preserve"> </w:t>
      </w:r>
      <w:r>
        <w:rPr>
          <w:rFonts w:hint="eastAsia" w:ascii="仿宋_GB2312" w:hAnsi="黑体" w:eastAsia="仿宋_GB2312"/>
          <w:color w:val="000000" w:themeColor="text1"/>
          <w:sz w:val="32"/>
          <w:szCs w:val="21"/>
          <w14:textFill>
            <w14:solidFill>
              <w14:schemeClr w14:val="tx1"/>
            </w14:solidFill>
          </w14:textFill>
        </w:rPr>
        <w:t>《电力建设门式起重机安全使用规程》具有创新性和引领性，为电力建设工程门式起重机全过程安全使用提供了</w:t>
      </w:r>
      <w:r>
        <w:rPr>
          <w:rFonts w:ascii="仿宋_GB2312" w:hAnsi="黑体" w:eastAsia="仿宋_GB2312"/>
          <w:color w:val="000000" w:themeColor="text1"/>
          <w:sz w:val="32"/>
          <w:szCs w:val="21"/>
          <w14:textFill>
            <w14:solidFill>
              <w14:schemeClr w14:val="tx1"/>
            </w14:solidFill>
          </w14:textFill>
        </w:rPr>
        <w:t>支撑性、基础性标准，建议由</w:t>
      </w:r>
      <w:r>
        <w:rPr>
          <w:rFonts w:hint="eastAsia" w:ascii="仿宋_GB2312" w:hAnsi="黑体" w:eastAsia="仿宋_GB2312"/>
          <w:color w:val="000000" w:themeColor="text1"/>
          <w:sz w:val="32"/>
          <w:szCs w:val="21"/>
          <w14:textFill>
            <w14:solidFill>
              <w14:schemeClr w14:val="tx1"/>
            </w14:solidFill>
          </w14:textFill>
        </w:rPr>
        <w:t>中电建协组织进行广泛宣贯并在成员单位中</w:t>
      </w:r>
      <w:r>
        <w:rPr>
          <w:rFonts w:ascii="仿宋_GB2312" w:hAnsi="黑体" w:eastAsia="仿宋_GB2312"/>
          <w:color w:val="000000" w:themeColor="text1"/>
          <w:sz w:val="32"/>
          <w:szCs w:val="21"/>
          <w14:textFill>
            <w14:solidFill>
              <w14:schemeClr w14:val="tx1"/>
            </w14:solidFill>
          </w14:textFill>
        </w:rPr>
        <w:t>尽快实施，及时</w:t>
      </w:r>
      <w:r>
        <w:rPr>
          <w:rFonts w:hint="eastAsia" w:ascii="仿宋_GB2312" w:hAnsi="黑体" w:eastAsia="仿宋_GB2312"/>
          <w:color w:val="000000" w:themeColor="text1"/>
          <w:sz w:val="32"/>
          <w:szCs w:val="21"/>
          <w14:textFill>
            <w14:solidFill>
              <w14:schemeClr w14:val="tx1"/>
            </w14:solidFill>
          </w14:textFill>
        </w:rPr>
        <w:t>总结研究</w:t>
      </w:r>
      <w:r>
        <w:rPr>
          <w:rFonts w:ascii="仿宋_GB2312" w:hAnsi="黑体" w:eastAsia="仿宋_GB2312"/>
          <w:color w:val="000000" w:themeColor="text1"/>
          <w:sz w:val="32"/>
          <w:szCs w:val="21"/>
          <w14:textFill>
            <w14:solidFill>
              <w14:schemeClr w14:val="tx1"/>
            </w14:solidFill>
          </w14:textFill>
        </w:rPr>
        <w:t>实施过程中的反馈意见</w:t>
      </w:r>
      <w:r>
        <w:rPr>
          <w:rFonts w:hint="eastAsia" w:ascii="仿宋_GB2312" w:hAnsi="黑体" w:eastAsia="仿宋_GB2312"/>
          <w:color w:val="000000" w:themeColor="text1"/>
          <w:sz w:val="32"/>
          <w:szCs w:val="21"/>
          <w14:textFill>
            <w14:solidFill>
              <w14:schemeClr w14:val="tx1"/>
            </w14:solidFill>
          </w14:textFill>
        </w:rPr>
        <w:t>，有可能的话</w:t>
      </w:r>
      <w:r>
        <w:rPr>
          <w:rFonts w:ascii="仿宋_GB2312" w:hAnsi="黑体" w:eastAsia="仿宋_GB2312"/>
          <w:color w:val="000000" w:themeColor="text1"/>
          <w:sz w:val="32"/>
          <w:szCs w:val="21"/>
          <w14:textFill>
            <w14:solidFill>
              <w14:schemeClr w14:val="tx1"/>
            </w14:solidFill>
          </w14:textFill>
        </w:rPr>
        <w:t>尽早将其升级为</w:t>
      </w:r>
      <w:r>
        <w:rPr>
          <w:rFonts w:hint="eastAsia" w:ascii="仿宋_GB2312" w:hAnsi="黑体" w:eastAsia="仿宋_GB2312"/>
          <w:color w:val="000000" w:themeColor="text1"/>
          <w:sz w:val="32"/>
          <w:szCs w:val="21"/>
          <w14:textFill>
            <w14:solidFill>
              <w14:schemeClr w14:val="tx1"/>
            </w14:solidFill>
          </w14:textFill>
        </w:rPr>
        <w:t>行业标准或国家标准</w:t>
      </w:r>
      <w:r>
        <w:rPr>
          <w:rFonts w:ascii="仿宋_GB2312" w:hAnsi="黑体" w:eastAsia="仿宋_GB2312"/>
          <w:color w:val="000000" w:themeColor="text1"/>
          <w:sz w:val="32"/>
          <w:szCs w:val="21"/>
          <w14:textFill>
            <w14:solidFill>
              <w14:schemeClr w14:val="tx1"/>
            </w14:solidFill>
          </w14:textFill>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D1C5EB-E9C6-49F6-AEBC-52B78A1534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C549CE2-9FAE-4F58-AA27-095A2A1A57D3}"/>
  </w:font>
  <w:font w:name="Courier New">
    <w:panose1 w:val="02070309020205020404"/>
    <w:charset w:val="00"/>
    <w:family w:val="modern"/>
    <w:pitch w:val="default"/>
    <w:sig w:usb0="E0002EFF" w:usb1="C0007843"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3" w:fontKey="{65CFF749-CA6A-4DF6-8BDF-1DAE7A34DB3C}"/>
  </w:font>
  <w:font w:name="Cambria">
    <w:panose1 w:val="02040503050406030204"/>
    <w:charset w:val="00"/>
    <w:family w:val="roman"/>
    <w:pitch w:val="default"/>
    <w:sig w:usb0="E00006FF" w:usb1="420024FF" w:usb2="02000000" w:usb3="00000000" w:csb0="2000019F" w:csb1="00000000"/>
    <w:embedRegular r:id="rId4" w:fontKey="{4FEB4862-89E4-4026-AE62-35492631D1DE}"/>
  </w:font>
  <w:font w:name="仿宋_GB2312">
    <w:panose1 w:val="02010609030101010101"/>
    <w:charset w:val="86"/>
    <w:family w:val="modern"/>
    <w:pitch w:val="default"/>
    <w:sig w:usb0="00000001" w:usb1="080E0000" w:usb2="00000000" w:usb3="00000000" w:csb0="00040000" w:csb1="00000000"/>
    <w:embedRegular r:id="rId5" w:fontKey="{FEA98D5E-6D09-412D-A410-682BA7225A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5999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4D809">
                          <w:pPr>
                            <w:pStyle w:val="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64D809">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E73B1">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B7A97"/>
    <w:multiLevelType w:val="singleLevel"/>
    <w:tmpl w:val="5FCB7A9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EA0"/>
    <w:rsid w:val="00001013"/>
    <w:rsid w:val="00002B11"/>
    <w:rsid w:val="00003156"/>
    <w:rsid w:val="000031ED"/>
    <w:rsid w:val="000043C1"/>
    <w:rsid w:val="000054DB"/>
    <w:rsid w:val="00006D59"/>
    <w:rsid w:val="00007235"/>
    <w:rsid w:val="0001038B"/>
    <w:rsid w:val="00011415"/>
    <w:rsid w:val="00014072"/>
    <w:rsid w:val="00014892"/>
    <w:rsid w:val="00015BCF"/>
    <w:rsid w:val="00017405"/>
    <w:rsid w:val="0001782D"/>
    <w:rsid w:val="00017F05"/>
    <w:rsid w:val="0002081B"/>
    <w:rsid w:val="000220BE"/>
    <w:rsid w:val="00022CE1"/>
    <w:rsid w:val="0002705E"/>
    <w:rsid w:val="00030EF8"/>
    <w:rsid w:val="0003168B"/>
    <w:rsid w:val="00031976"/>
    <w:rsid w:val="00031BC4"/>
    <w:rsid w:val="000335F2"/>
    <w:rsid w:val="00033987"/>
    <w:rsid w:val="0003403A"/>
    <w:rsid w:val="00034BB1"/>
    <w:rsid w:val="00035648"/>
    <w:rsid w:val="00035E11"/>
    <w:rsid w:val="0003613D"/>
    <w:rsid w:val="00036487"/>
    <w:rsid w:val="00036C90"/>
    <w:rsid w:val="00037162"/>
    <w:rsid w:val="000372B0"/>
    <w:rsid w:val="0003733B"/>
    <w:rsid w:val="00037C86"/>
    <w:rsid w:val="00040063"/>
    <w:rsid w:val="000404C5"/>
    <w:rsid w:val="000423BE"/>
    <w:rsid w:val="00042445"/>
    <w:rsid w:val="00042D19"/>
    <w:rsid w:val="00050403"/>
    <w:rsid w:val="00051054"/>
    <w:rsid w:val="00051625"/>
    <w:rsid w:val="000519A8"/>
    <w:rsid w:val="00051DF9"/>
    <w:rsid w:val="00055978"/>
    <w:rsid w:val="00056039"/>
    <w:rsid w:val="000567B5"/>
    <w:rsid w:val="00056C5C"/>
    <w:rsid w:val="00060373"/>
    <w:rsid w:val="00060A17"/>
    <w:rsid w:val="0006167C"/>
    <w:rsid w:val="00062C29"/>
    <w:rsid w:val="00062F6A"/>
    <w:rsid w:val="0006346F"/>
    <w:rsid w:val="000634BA"/>
    <w:rsid w:val="0006454E"/>
    <w:rsid w:val="0006616B"/>
    <w:rsid w:val="000713FF"/>
    <w:rsid w:val="00072FC3"/>
    <w:rsid w:val="0007324F"/>
    <w:rsid w:val="000735AE"/>
    <w:rsid w:val="00073D3F"/>
    <w:rsid w:val="00074B16"/>
    <w:rsid w:val="00076D27"/>
    <w:rsid w:val="00077011"/>
    <w:rsid w:val="00080653"/>
    <w:rsid w:val="0008074F"/>
    <w:rsid w:val="00080DD7"/>
    <w:rsid w:val="00082068"/>
    <w:rsid w:val="00084A55"/>
    <w:rsid w:val="00084D17"/>
    <w:rsid w:val="000856A9"/>
    <w:rsid w:val="0008739F"/>
    <w:rsid w:val="000911DC"/>
    <w:rsid w:val="000917D8"/>
    <w:rsid w:val="00092581"/>
    <w:rsid w:val="000927AD"/>
    <w:rsid w:val="00093013"/>
    <w:rsid w:val="0009319E"/>
    <w:rsid w:val="00094344"/>
    <w:rsid w:val="000963C0"/>
    <w:rsid w:val="000970C3"/>
    <w:rsid w:val="00097AEA"/>
    <w:rsid w:val="00097B4A"/>
    <w:rsid w:val="000A0E81"/>
    <w:rsid w:val="000A36CF"/>
    <w:rsid w:val="000A37CE"/>
    <w:rsid w:val="000A4DBD"/>
    <w:rsid w:val="000A54DA"/>
    <w:rsid w:val="000A6FE9"/>
    <w:rsid w:val="000A758F"/>
    <w:rsid w:val="000A778E"/>
    <w:rsid w:val="000B0139"/>
    <w:rsid w:val="000B0678"/>
    <w:rsid w:val="000B2373"/>
    <w:rsid w:val="000B5267"/>
    <w:rsid w:val="000B6166"/>
    <w:rsid w:val="000B6369"/>
    <w:rsid w:val="000B6B3A"/>
    <w:rsid w:val="000B749C"/>
    <w:rsid w:val="000B759E"/>
    <w:rsid w:val="000C0B18"/>
    <w:rsid w:val="000C0B8F"/>
    <w:rsid w:val="000C16AE"/>
    <w:rsid w:val="000C20B0"/>
    <w:rsid w:val="000C254F"/>
    <w:rsid w:val="000C3E4F"/>
    <w:rsid w:val="000C5BD7"/>
    <w:rsid w:val="000D0CDA"/>
    <w:rsid w:val="000D2C25"/>
    <w:rsid w:val="000D7133"/>
    <w:rsid w:val="000E073B"/>
    <w:rsid w:val="000E29E9"/>
    <w:rsid w:val="000E3A30"/>
    <w:rsid w:val="000E4137"/>
    <w:rsid w:val="000E454F"/>
    <w:rsid w:val="000E4720"/>
    <w:rsid w:val="000E5492"/>
    <w:rsid w:val="000E6064"/>
    <w:rsid w:val="000E7130"/>
    <w:rsid w:val="000E731D"/>
    <w:rsid w:val="000E7A9A"/>
    <w:rsid w:val="000F11DF"/>
    <w:rsid w:val="000F14C7"/>
    <w:rsid w:val="000F1AFF"/>
    <w:rsid w:val="000F29EF"/>
    <w:rsid w:val="000F4011"/>
    <w:rsid w:val="000F7B53"/>
    <w:rsid w:val="001025BE"/>
    <w:rsid w:val="00102C9C"/>
    <w:rsid w:val="00103CDB"/>
    <w:rsid w:val="00104482"/>
    <w:rsid w:val="00104610"/>
    <w:rsid w:val="00105219"/>
    <w:rsid w:val="00105734"/>
    <w:rsid w:val="00105BD8"/>
    <w:rsid w:val="00105D75"/>
    <w:rsid w:val="00110C4E"/>
    <w:rsid w:val="00111010"/>
    <w:rsid w:val="001125EB"/>
    <w:rsid w:val="00112A80"/>
    <w:rsid w:val="00113221"/>
    <w:rsid w:val="001137E4"/>
    <w:rsid w:val="00114656"/>
    <w:rsid w:val="00114D17"/>
    <w:rsid w:val="0011513B"/>
    <w:rsid w:val="00115581"/>
    <w:rsid w:val="00121760"/>
    <w:rsid w:val="00121B9D"/>
    <w:rsid w:val="0012259B"/>
    <w:rsid w:val="00122927"/>
    <w:rsid w:val="00124131"/>
    <w:rsid w:val="00124B69"/>
    <w:rsid w:val="00125BBC"/>
    <w:rsid w:val="00125FB1"/>
    <w:rsid w:val="001308E5"/>
    <w:rsid w:val="001322DD"/>
    <w:rsid w:val="001343D5"/>
    <w:rsid w:val="00134893"/>
    <w:rsid w:val="001361CD"/>
    <w:rsid w:val="00136859"/>
    <w:rsid w:val="00143C75"/>
    <w:rsid w:val="00145796"/>
    <w:rsid w:val="001469A9"/>
    <w:rsid w:val="00146D76"/>
    <w:rsid w:val="00146DBF"/>
    <w:rsid w:val="00146F24"/>
    <w:rsid w:val="00152889"/>
    <w:rsid w:val="00152AD8"/>
    <w:rsid w:val="001551ED"/>
    <w:rsid w:val="0015524D"/>
    <w:rsid w:val="001566DD"/>
    <w:rsid w:val="00157467"/>
    <w:rsid w:val="001575CA"/>
    <w:rsid w:val="00157EF8"/>
    <w:rsid w:val="00162EA8"/>
    <w:rsid w:val="0016442D"/>
    <w:rsid w:val="0016495B"/>
    <w:rsid w:val="00167810"/>
    <w:rsid w:val="00167BA8"/>
    <w:rsid w:val="00167C25"/>
    <w:rsid w:val="0017082A"/>
    <w:rsid w:val="00177586"/>
    <w:rsid w:val="00180571"/>
    <w:rsid w:val="001823D1"/>
    <w:rsid w:val="00184648"/>
    <w:rsid w:val="00184DFC"/>
    <w:rsid w:val="0018558A"/>
    <w:rsid w:val="001855E8"/>
    <w:rsid w:val="0018727A"/>
    <w:rsid w:val="00190A95"/>
    <w:rsid w:val="001933F9"/>
    <w:rsid w:val="00193D58"/>
    <w:rsid w:val="00194F49"/>
    <w:rsid w:val="0019683C"/>
    <w:rsid w:val="0019696B"/>
    <w:rsid w:val="001A0563"/>
    <w:rsid w:val="001A177A"/>
    <w:rsid w:val="001A2368"/>
    <w:rsid w:val="001A399F"/>
    <w:rsid w:val="001A455B"/>
    <w:rsid w:val="001A460F"/>
    <w:rsid w:val="001A505A"/>
    <w:rsid w:val="001A6E60"/>
    <w:rsid w:val="001B0521"/>
    <w:rsid w:val="001B18CA"/>
    <w:rsid w:val="001B1A1E"/>
    <w:rsid w:val="001B20BC"/>
    <w:rsid w:val="001B2396"/>
    <w:rsid w:val="001B376B"/>
    <w:rsid w:val="001B416B"/>
    <w:rsid w:val="001B4AAE"/>
    <w:rsid w:val="001B4E6C"/>
    <w:rsid w:val="001B5012"/>
    <w:rsid w:val="001B5E23"/>
    <w:rsid w:val="001B6299"/>
    <w:rsid w:val="001B6A8C"/>
    <w:rsid w:val="001B6C11"/>
    <w:rsid w:val="001B7522"/>
    <w:rsid w:val="001B75D0"/>
    <w:rsid w:val="001B7AC3"/>
    <w:rsid w:val="001C09AB"/>
    <w:rsid w:val="001C256E"/>
    <w:rsid w:val="001C72E5"/>
    <w:rsid w:val="001C74C2"/>
    <w:rsid w:val="001D0175"/>
    <w:rsid w:val="001D0481"/>
    <w:rsid w:val="001D0938"/>
    <w:rsid w:val="001D2EF7"/>
    <w:rsid w:val="001D7E5B"/>
    <w:rsid w:val="001E0C1F"/>
    <w:rsid w:val="001E116E"/>
    <w:rsid w:val="001E2131"/>
    <w:rsid w:val="001E6003"/>
    <w:rsid w:val="001E6A07"/>
    <w:rsid w:val="001E6A3D"/>
    <w:rsid w:val="001E6BC1"/>
    <w:rsid w:val="001E6D31"/>
    <w:rsid w:val="001E6F5B"/>
    <w:rsid w:val="001F1239"/>
    <w:rsid w:val="001F1BCF"/>
    <w:rsid w:val="001F216F"/>
    <w:rsid w:val="001F2767"/>
    <w:rsid w:val="001F3649"/>
    <w:rsid w:val="001F4137"/>
    <w:rsid w:val="001F5210"/>
    <w:rsid w:val="001F5B8A"/>
    <w:rsid w:val="002003DC"/>
    <w:rsid w:val="0020168E"/>
    <w:rsid w:val="00201C28"/>
    <w:rsid w:val="00201D02"/>
    <w:rsid w:val="002023EC"/>
    <w:rsid w:val="0020343C"/>
    <w:rsid w:val="0020439F"/>
    <w:rsid w:val="002043F5"/>
    <w:rsid w:val="0020451F"/>
    <w:rsid w:val="00205730"/>
    <w:rsid w:val="00205C5B"/>
    <w:rsid w:val="002067EA"/>
    <w:rsid w:val="00207A97"/>
    <w:rsid w:val="002111B9"/>
    <w:rsid w:val="0021125E"/>
    <w:rsid w:val="00211941"/>
    <w:rsid w:val="002126B1"/>
    <w:rsid w:val="00212B96"/>
    <w:rsid w:val="00213448"/>
    <w:rsid w:val="002146FF"/>
    <w:rsid w:val="00215405"/>
    <w:rsid w:val="002159E9"/>
    <w:rsid w:val="002163DB"/>
    <w:rsid w:val="00216EB6"/>
    <w:rsid w:val="00220C40"/>
    <w:rsid w:val="002229EF"/>
    <w:rsid w:val="00223408"/>
    <w:rsid w:val="00227A98"/>
    <w:rsid w:val="002315D3"/>
    <w:rsid w:val="00232F81"/>
    <w:rsid w:val="00233B03"/>
    <w:rsid w:val="002349D2"/>
    <w:rsid w:val="00234B63"/>
    <w:rsid w:val="00234E0E"/>
    <w:rsid w:val="0023565D"/>
    <w:rsid w:val="00236941"/>
    <w:rsid w:val="00237F1D"/>
    <w:rsid w:val="00240675"/>
    <w:rsid w:val="00240E2D"/>
    <w:rsid w:val="00243882"/>
    <w:rsid w:val="00243B02"/>
    <w:rsid w:val="00245DB5"/>
    <w:rsid w:val="002462C5"/>
    <w:rsid w:val="00246836"/>
    <w:rsid w:val="00246886"/>
    <w:rsid w:val="00247968"/>
    <w:rsid w:val="00250137"/>
    <w:rsid w:val="00251D5F"/>
    <w:rsid w:val="0025233D"/>
    <w:rsid w:val="00254946"/>
    <w:rsid w:val="002571F3"/>
    <w:rsid w:val="00257440"/>
    <w:rsid w:val="00260AAA"/>
    <w:rsid w:val="0026138B"/>
    <w:rsid w:val="00261846"/>
    <w:rsid w:val="00261ABE"/>
    <w:rsid w:val="00262733"/>
    <w:rsid w:val="0026564B"/>
    <w:rsid w:val="0027018A"/>
    <w:rsid w:val="00271CC4"/>
    <w:rsid w:val="0027232F"/>
    <w:rsid w:val="00272CF9"/>
    <w:rsid w:val="00275778"/>
    <w:rsid w:val="002758A3"/>
    <w:rsid w:val="00276290"/>
    <w:rsid w:val="00276740"/>
    <w:rsid w:val="00277F08"/>
    <w:rsid w:val="00280A99"/>
    <w:rsid w:val="00283C13"/>
    <w:rsid w:val="00287CB0"/>
    <w:rsid w:val="002932B0"/>
    <w:rsid w:val="00293786"/>
    <w:rsid w:val="002942B4"/>
    <w:rsid w:val="00295995"/>
    <w:rsid w:val="002A0B45"/>
    <w:rsid w:val="002A0B53"/>
    <w:rsid w:val="002A2388"/>
    <w:rsid w:val="002A3143"/>
    <w:rsid w:val="002A367D"/>
    <w:rsid w:val="002A485D"/>
    <w:rsid w:val="002B04E2"/>
    <w:rsid w:val="002B1095"/>
    <w:rsid w:val="002B1BB4"/>
    <w:rsid w:val="002B244F"/>
    <w:rsid w:val="002B26A5"/>
    <w:rsid w:val="002B321C"/>
    <w:rsid w:val="002B4CEC"/>
    <w:rsid w:val="002B5D47"/>
    <w:rsid w:val="002B6BB8"/>
    <w:rsid w:val="002B72D6"/>
    <w:rsid w:val="002C0A63"/>
    <w:rsid w:val="002C115A"/>
    <w:rsid w:val="002C1580"/>
    <w:rsid w:val="002C17BE"/>
    <w:rsid w:val="002C1E66"/>
    <w:rsid w:val="002C2309"/>
    <w:rsid w:val="002C394B"/>
    <w:rsid w:val="002C3981"/>
    <w:rsid w:val="002C6525"/>
    <w:rsid w:val="002C6BDF"/>
    <w:rsid w:val="002C70E5"/>
    <w:rsid w:val="002D0C78"/>
    <w:rsid w:val="002D1ECC"/>
    <w:rsid w:val="002D2118"/>
    <w:rsid w:val="002D4800"/>
    <w:rsid w:val="002D628E"/>
    <w:rsid w:val="002E0344"/>
    <w:rsid w:val="002E084A"/>
    <w:rsid w:val="002E1C6C"/>
    <w:rsid w:val="002E3613"/>
    <w:rsid w:val="002E401A"/>
    <w:rsid w:val="002E581D"/>
    <w:rsid w:val="002E71C2"/>
    <w:rsid w:val="002F2DB5"/>
    <w:rsid w:val="002F2EF5"/>
    <w:rsid w:val="0030217B"/>
    <w:rsid w:val="00303505"/>
    <w:rsid w:val="00303EF4"/>
    <w:rsid w:val="00305E75"/>
    <w:rsid w:val="0030732A"/>
    <w:rsid w:val="0031162E"/>
    <w:rsid w:val="00311D96"/>
    <w:rsid w:val="00312BF7"/>
    <w:rsid w:val="003148BE"/>
    <w:rsid w:val="00314A23"/>
    <w:rsid w:val="003154DD"/>
    <w:rsid w:val="00315762"/>
    <w:rsid w:val="003167C8"/>
    <w:rsid w:val="003168CA"/>
    <w:rsid w:val="003177CD"/>
    <w:rsid w:val="00317AC8"/>
    <w:rsid w:val="003217D7"/>
    <w:rsid w:val="0032196F"/>
    <w:rsid w:val="00326D89"/>
    <w:rsid w:val="003306BB"/>
    <w:rsid w:val="00330FC1"/>
    <w:rsid w:val="00333AA9"/>
    <w:rsid w:val="00333BD3"/>
    <w:rsid w:val="00333E6E"/>
    <w:rsid w:val="00333FD2"/>
    <w:rsid w:val="00335449"/>
    <w:rsid w:val="00335EED"/>
    <w:rsid w:val="00337687"/>
    <w:rsid w:val="003411CA"/>
    <w:rsid w:val="00341D2B"/>
    <w:rsid w:val="00341E90"/>
    <w:rsid w:val="00341FFD"/>
    <w:rsid w:val="003426EE"/>
    <w:rsid w:val="00342907"/>
    <w:rsid w:val="0034315B"/>
    <w:rsid w:val="003437A6"/>
    <w:rsid w:val="0034387B"/>
    <w:rsid w:val="003442DC"/>
    <w:rsid w:val="00346006"/>
    <w:rsid w:val="003501A7"/>
    <w:rsid w:val="00350497"/>
    <w:rsid w:val="00351224"/>
    <w:rsid w:val="0035190B"/>
    <w:rsid w:val="003523CB"/>
    <w:rsid w:val="00353A90"/>
    <w:rsid w:val="003544B8"/>
    <w:rsid w:val="003548ED"/>
    <w:rsid w:val="00355401"/>
    <w:rsid w:val="00356204"/>
    <w:rsid w:val="0035695D"/>
    <w:rsid w:val="00357851"/>
    <w:rsid w:val="00357F96"/>
    <w:rsid w:val="0036173D"/>
    <w:rsid w:val="003620DF"/>
    <w:rsid w:val="00362D04"/>
    <w:rsid w:val="00364C61"/>
    <w:rsid w:val="00365FEE"/>
    <w:rsid w:val="00371DD3"/>
    <w:rsid w:val="003739B4"/>
    <w:rsid w:val="003740A2"/>
    <w:rsid w:val="003742F5"/>
    <w:rsid w:val="0037513A"/>
    <w:rsid w:val="0037637D"/>
    <w:rsid w:val="00376C04"/>
    <w:rsid w:val="0038054C"/>
    <w:rsid w:val="00382EAB"/>
    <w:rsid w:val="00384059"/>
    <w:rsid w:val="00384985"/>
    <w:rsid w:val="00384FFA"/>
    <w:rsid w:val="0038573B"/>
    <w:rsid w:val="00385A1F"/>
    <w:rsid w:val="003869DD"/>
    <w:rsid w:val="00387426"/>
    <w:rsid w:val="003874C5"/>
    <w:rsid w:val="00390280"/>
    <w:rsid w:val="00391BBA"/>
    <w:rsid w:val="003926A9"/>
    <w:rsid w:val="00394441"/>
    <w:rsid w:val="0039493D"/>
    <w:rsid w:val="00395466"/>
    <w:rsid w:val="00397B22"/>
    <w:rsid w:val="00397B45"/>
    <w:rsid w:val="003A0A74"/>
    <w:rsid w:val="003A0B43"/>
    <w:rsid w:val="003A0E8D"/>
    <w:rsid w:val="003A1F1A"/>
    <w:rsid w:val="003A350D"/>
    <w:rsid w:val="003A427A"/>
    <w:rsid w:val="003A7000"/>
    <w:rsid w:val="003B0A2B"/>
    <w:rsid w:val="003B145C"/>
    <w:rsid w:val="003B31A1"/>
    <w:rsid w:val="003B3F22"/>
    <w:rsid w:val="003B43F9"/>
    <w:rsid w:val="003B4AD1"/>
    <w:rsid w:val="003B5384"/>
    <w:rsid w:val="003B5925"/>
    <w:rsid w:val="003B70BD"/>
    <w:rsid w:val="003B7583"/>
    <w:rsid w:val="003B771E"/>
    <w:rsid w:val="003C04F1"/>
    <w:rsid w:val="003C067D"/>
    <w:rsid w:val="003C0787"/>
    <w:rsid w:val="003C210D"/>
    <w:rsid w:val="003C303E"/>
    <w:rsid w:val="003C6D22"/>
    <w:rsid w:val="003D0F19"/>
    <w:rsid w:val="003D3CA5"/>
    <w:rsid w:val="003D468E"/>
    <w:rsid w:val="003D4C50"/>
    <w:rsid w:val="003D6480"/>
    <w:rsid w:val="003D6A97"/>
    <w:rsid w:val="003D6D59"/>
    <w:rsid w:val="003E0728"/>
    <w:rsid w:val="003E1B13"/>
    <w:rsid w:val="003E47C2"/>
    <w:rsid w:val="003E4804"/>
    <w:rsid w:val="003E60F2"/>
    <w:rsid w:val="003E6A72"/>
    <w:rsid w:val="003E73DD"/>
    <w:rsid w:val="003F0759"/>
    <w:rsid w:val="003F0C4A"/>
    <w:rsid w:val="003F0D5A"/>
    <w:rsid w:val="003F125B"/>
    <w:rsid w:val="003F1CAE"/>
    <w:rsid w:val="003F295E"/>
    <w:rsid w:val="003F398A"/>
    <w:rsid w:val="003F4A28"/>
    <w:rsid w:val="003F7805"/>
    <w:rsid w:val="003F7CE9"/>
    <w:rsid w:val="00400A7F"/>
    <w:rsid w:val="00402645"/>
    <w:rsid w:val="004044F2"/>
    <w:rsid w:val="0040648E"/>
    <w:rsid w:val="0040684F"/>
    <w:rsid w:val="004075E8"/>
    <w:rsid w:val="00410A48"/>
    <w:rsid w:val="00411125"/>
    <w:rsid w:val="00413E6E"/>
    <w:rsid w:val="00413EB6"/>
    <w:rsid w:val="00414598"/>
    <w:rsid w:val="0041510F"/>
    <w:rsid w:val="00416381"/>
    <w:rsid w:val="00416972"/>
    <w:rsid w:val="00421155"/>
    <w:rsid w:val="00421D73"/>
    <w:rsid w:val="00422092"/>
    <w:rsid w:val="00422D98"/>
    <w:rsid w:val="004240B7"/>
    <w:rsid w:val="004241F2"/>
    <w:rsid w:val="004251C2"/>
    <w:rsid w:val="004269D6"/>
    <w:rsid w:val="00430461"/>
    <w:rsid w:val="00432E08"/>
    <w:rsid w:val="00432EC8"/>
    <w:rsid w:val="004330E2"/>
    <w:rsid w:val="004343EE"/>
    <w:rsid w:val="0043558C"/>
    <w:rsid w:val="00437375"/>
    <w:rsid w:val="004413D8"/>
    <w:rsid w:val="00442D02"/>
    <w:rsid w:val="0044566F"/>
    <w:rsid w:val="004461C5"/>
    <w:rsid w:val="004465C8"/>
    <w:rsid w:val="00447400"/>
    <w:rsid w:val="00450910"/>
    <w:rsid w:val="0045099E"/>
    <w:rsid w:val="0045348C"/>
    <w:rsid w:val="0045759C"/>
    <w:rsid w:val="00457A6F"/>
    <w:rsid w:val="004639AC"/>
    <w:rsid w:val="00464006"/>
    <w:rsid w:val="00464AC2"/>
    <w:rsid w:val="0046502A"/>
    <w:rsid w:val="0046547B"/>
    <w:rsid w:val="00465E78"/>
    <w:rsid w:val="00465FFC"/>
    <w:rsid w:val="004661FC"/>
    <w:rsid w:val="00467DA4"/>
    <w:rsid w:val="00470C71"/>
    <w:rsid w:val="004716B6"/>
    <w:rsid w:val="00472A33"/>
    <w:rsid w:val="00472FD5"/>
    <w:rsid w:val="004736D0"/>
    <w:rsid w:val="00473A5E"/>
    <w:rsid w:val="00474A97"/>
    <w:rsid w:val="00474CCF"/>
    <w:rsid w:val="00480A0E"/>
    <w:rsid w:val="00483028"/>
    <w:rsid w:val="00483481"/>
    <w:rsid w:val="00486BE1"/>
    <w:rsid w:val="00490085"/>
    <w:rsid w:val="00490C40"/>
    <w:rsid w:val="00491495"/>
    <w:rsid w:val="00492D87"/>
    <w:rsid w:val="004943BE"/>
    <w:rsid w:val="00496440"/>
    <w:rsid w:val="004965F7"/>
    <w:rsid w:val="00497194"/>
    <w:rsid w:val="0049744E"/>
    <w:rsid w:val="00497A3A"/>
    <w:rsid w:val="00497FC1"/>
    <w:rsid w:val="004A1B55"/>
    <w:rsid w:val="004A1DA5"/>
    <w:rsid w:val="004A36FB"/>
    <w:rsid w:val="004A4199"/>
    <w:rsid w:val="004A581B"/>
    <w:rsid w:val="004A5C14"/>
    <w:rsid w:val="004A6052"/>
    <w:rsid w:val="004A6215"/>
    <w:rsid w:val="004B0A73"/>
    <w:rsid w:val="004B0AA4"/>
    <w:rsid w:val="004B17D3"/>
    <w:rsid w:val="004B3FF5"/>
    <w:rsid w:val="004B45B4"/>
    <w:rsid w:val="004B50D6"/>
    <w:rsid w:val="004B59F4"/>
    <w:rsid w:val="004B6F92"/>
    <w:rsid w:val="004C1BB0"/>
    <w:rsid w:val="004C2AD2"/>
    <w:rsid w:val="004C2F0E"/>
    <w:rsid w:val="004C35D3"/>
    <w:rsid w:val="004C3FFD"/>
    <w:rsid w:val="004D01DC"/>
    <w:rsid w:val="004D0D69"/>
    <w:rsid w:val="004D2026"/>
    <w:rsid w:val="004D2490"/>
    <w:rsid w:val="004D314E"/>
    <w:rsid w:val="004D35E7"/>
    <w:rsid w:val="004D3CE5"/>
    <w:rsid w:val="004D4501"/>
    <w:rsid w:val="004D4C04"/>
    <w:rsid w:val="004D5C79"/>
    <w:rsid w:val="004D6167"/>
    <w:rsid w:val="004D6FB8"/>
    <w:rsid w:val="004E1366"/>
    <w:rsid w:val="004E4E33"/>
    <w:rsid w:val="004E5F38"/>
    <w:rsid w:val="004F34C5"/>
    <w:rsid w:val="004F3582"/>
    <w:rsid w:val="004F3DF2"/>
    <w:rsid w:val="004F44E9"/>
    <w:rsid w:val="004F4BBB"/>
    <w:rsid w:val="004F62B4"/>
    <w:rsid w:val="004F7E03"/>
    <w:rsid w:val="004F7F0F"/>
    <w:rsid w:val="005002CC"/>
    <w:rsid w:val="00502DF6"/>
    <w:rsid w:val="00503034"/>
    <w:rsid w:val="00505B07"/>
    <w:rsid w:val="00505B65"/>
    <w:rsid w:val="00506CEB"/>
    <w:rsid w:val="00507653"/>
    <w:rsid w:val="00510363"/>
    <w:rsid w:val="00512554"/>
    <w:rsid w:val="00512979"/>
    <w:rsid w:val="005161A4"/>
    <w:rsid w:val="005162F6"/>
    <w:rsid w:val="00516399"/>
    <w:rsid w:val="0051795E"/>
    <w:rsid w:val="0052196A"/>
    <w:rsid w:val="00522B08"/>
    <w:rsid w:val="005267D7"/>
    <w:rsid w:val="00526935"/>
    <w:rsid w:val="00526A0C"/>
    <w:rsid w:val="00527295"/>
    <w:rsid w:val="00527CDE"/>
    <w:rsid w:val="0053233B"/>
    <w:rsid w:val="00533FBD"/>
    <w:rsid w:val="0053430F"/>
    <w:rsid w:val="00535D3B"/>
    <w:rsid w:val="00537847"/>
    <w:rsid w:val="00542ED1"/>
    <w:rsid w:val="00542F76"/>
    <w:rsid w:val="00544AD0"/>
    <w:rsid w:val="005460D1"/>
    <w:rsid w:val="005461C1"/>
    <w:rsid w:val="0055172B"/>
    <w:rsid w:val="00551DCD"/>
    <w:rsid w:val="00552054"/>
    <w:rsid w:val="00552797"/>
    <w:rsid w:val="00552CED"/>
    <w:rsid w:val="00552FCA"/>
    <w:rsid w:val="00555BFC"/>
    <w:rsid w:val="005566FC"/>
    <w:rsid w:val="0055754C"/>
    <w:rsid w:val="005613F5"/>
    <w:rsid w:val="005622D3"/>
    <w:rsid w:val="00564E74"/>
    <w:rsid w:val="005656C0"/>
    <w:rsid w:val="005657D3"/>
    <w:rsid w:val="00565C11"/>
    <w:rsid w:val="00567484"/>
    <w:rsid w:val="0056794D"/>
    <w:rsid w:val="00567B35"/>
    <w:rsid w:val="00572FD4"/>
    <w:rsid w:val="005737D2"/>
    <w:rsid w:val="00573C4B"/>
    <w:rsid w:val="00575DD0"/>
    <w:rsid w:val="00581AB4"/>
    <w:rsid w:val="00581CB9"/>
    <w:rsid w:val="005826E3"/>
    <w:rsid w:val="00583CF7"/>
    <w:rsid w:val="005856DC"/>
    <w:rsid w:val="00590569"/>
    <w:rsid w:val="0059068E"/>
    <w:rsid w:val="005917B2"/>
    <w:rsid w:val="00591EEE"/>
    <w:rsid w:val="00593759"/>
    <w:rsid w:val="00594D6E"/>
    <w:rsid w:val="005954FF"/>
    <w:rsid w:val="00595884"/>
    <w:rsid w:val="0059608A"/>
    <w:rsid w:val="00596A34"/>
    <w:rsid w:val="00596AEB"/>
    <w:rsid w:val="00596EE9"/>
    <w:rsid w:val="00597F1F"/>
    <w:rsid w:val="005A07E4"/>
    <w:rsid w:val="005A1E85"/>
    <w:rsid w:val="005A1F84"/>
    <w:rsid w:val="005A2CD5"/>
    <w:rsid w:val="005A4596"/>
    <w:rsid w:val="005A45B1"/>
    <w:rsid w:val="005A4DB8"/>
    <w:rsid w:val="005A58F7"/>
    <w:rsid w:val="005A6ABB"/>
    <w:rsid w:val="005B3CA4"/>
    <w:rsid w:val="005B4E4C"/>
    <w:rsid w:val="005B51A7"/>
    <w:rsid w:val="005B539B"/>
    <w:rsid w:val="005B5666"/>
    <w:rsid w:val="005B6047"/>
    <w:rsid w:val="005B6D0A"/>
    <w:rsid w:val="005C0C57"/>
    <w:rsid w:val="005C0E69"/>
    <w:rsid w:val="005C25AB"/>
    <w:rsid w:val="005C25F6"/>
    <w:rsid w:val="005C27E8"/>
    <w:rsid w:val="005C5246"/>
    <w:rsid w:val="005C5AC5"/>
    <w:rsid w:val="005C6BA5"/>
    <w:rsid w:val="005C7848"/>
    <w:rsid w:val="005D0EDE"/>
    <w:rsid w:val="005D1962"/>
    <w:rsid w:val="005D1F97"/>
    <w:rsid w:val="005D3388"/>
    <w:rsid w:val="005D3E6A"/>
    <w:rsid w:val="005D5110"/>
    <w:rsid w:val="005D58F0"/>
    <w:rsid w:val="005D61E8"/>
    <w:rsid w:val="005D772E"/>
    <w:rsid w:val="005D7B83"/>
    <w:rsid w:val="005E07A5"/>
    <w:rsid w:val="005E3747"/>
    <w:rsid w:val="005F0D43"/>
    <w:rsid w:val="005F0EC7"/>
    <w:rsid w:val="005F11C4"/>
    <w:rsid w:val="005F3EA0"/>
    <w:rsid w:val="005F3EAF"/>
    <w:rsid w:val="005F4268"/>
    <w:rsid w:val="005F4467"/>
    <w:rsid w:val="005F44BF"/>
    <w:rsid w:val="005F4F8E"/>
    <w:rsid w:val="005F5BF9"/>
    <w:rsid w:val="005F6201"/>
    <w:rsid w:val="005F6654"/>
    <w:rsid w:val="005F6EF0"/>
    <w:rsid w:val="005F7A1E"/>
    <w:rsid w:val="00602E08"/>
    <w:rsid w:val="0060648A"/>
    <w:rsid w:val="00606BB6"/>
    <w:rsid w:val="00607338"/>
    <w:rsid w:val="006075E7"/>
    <w:rsid w:val="006076F8"/>
    <w:rsid w:val="00610BEE"/>
    <w:rsid w:val="00611800"/>
    <w:rsid w:val="00611B4D"/>
    <w:rsid w:val="0061287C"/>
    <w:rsid w:val="00613540"/>
    <w:rsid w:val="00613DEC"/>
    <w:rsid w:val="00613F34"/>
    <w:rsid w:val="0061443E"/>
    <w:rsid w:val="006145BB"/>
    <w:rsid w:val="006179F5"/>
    <w:rsid w:val="0062295F"/>
    <w:rsid w:val="00623632"/>
    <w:rsid w:val="006247E5"/>
    <w:rsid w:val="00631119"/>
    <w:rsid w:val="0063124E"/>
    <w:rsid w:val="00634A5A"/>
    <w:rsid w:val="00637790"/>
    <w:rsid w:val="00637875"/>
    <w:rsid w:val="006424C6"/>
    <w:rsid w:val="00643B40"/>
    <w:rsid w:val="00644C9C"/>
    <w:rsid w:val="006464F7"/>
    <w:rsid w:val="00646611"/>
    <w:rsid w:val="00646B9E"/>
    <w:rsid w:val="00647F29"/>
    <w:rsid w:val="006505FE"/>
    <w:rsid w:val="006526F1"/>
    <w:rsid w:val="006528B5"/>
    <w:rsid w:val="00652AAC"/>
    <w:rsid w:val="00652EDD"/>
    <w:rsid w:val="0065486A"/>
    <w:rsid w:val="00655231"/>
    <w:rsid w:val="0065559E"/>
    <w:rsid w:val="00655A9A"/>
    <w:rsid w:val="00656B20"/>
    <w:rsid w:val="00657262"/>
    <w:rsid w:val="006579C1"/>
    <w:rsid w:val="0066002B"/>
    <w:rsid w:val="00661320"/>
    <w:rsid w:val="00662642"/>
    <w:rsid w:val="0066317D"/>
    <w:rsid w:val="00663220"/>
    <w:rsid w:val="00663238"/>
    <w:rsid w:val="006637AE"/>
    <w:rsid w:val="00663BDF"/>
    <w:rsid w:val="00664762"/>
    <w:rsid w:val="00666520"/>
    <w:rsid w:val="00666611"/>
    <w:rsid w:val="00671123"/>
    <w:rsid w:val="006711A1"/>
    <w:rsid w:val="00671239"/>
    <w:rsid w:val="0067193A"/>
    <w:rsid w:val="0067438F"/>
    <w:rsid w:val="00676C94"/>
    <w:rsid w:val="00676D62"/>
    <w:rsid w:val="006809A3"/>
    <w:rsid w:val="00681576"/>
    <w:rsid w:val="00682FAF"/>
    <w:rsid w:val="0068553D"/>
    <w:rsid w:val="00685A5F"/>
    <w:rsid w:val="00685B3F"/>
    <w:rsid w:val="0068690A"/>
    <w:rsid w:val="0068752A"/>
    <w:rsid w:val="00690128"/>
    <w:rsid w:val="0069291F"/>
    <w:rsid w:val="00692999"/>
    <w:rsid w:val="00693657"/>
    <w:rsid w:val="00693894"/>
    <w:rsid w:val="006940D9"/>
    <w:rsid w:val="0069593C"/>
    <w:rsid w:val="006A0BFD"/>
    <w:rsid w:val="006A184B"/>
    <w:rsid w:val="006A27B3"/>
    <w:rsid w:val="006A2D09"/>
    <w:rsid w:val="006A32A8"/>
    <w:rsid w:val="006A66B1"/>
    <w:rsid w:val="006A76D0"/>
    <w:rsid w:val="006B1751"/>
    <w:rsid w:val="006B214A"/>
    <w:rsid w:val="006B2410"/>
    <w:rsid w:val="006B52FC"/>
    <w:rsid w:val="006B5954"/>
    <w:rsid w:val="006B5CE5"/>
    <w:rsid w:val="006B60F4"/>
    <w:rsid w:val="006B6318"/>
    <w:rsid w:val="006B716D"/>
    <w:rsid w:val="006C2BD3"/>
    <w:rsid w:val="006C31E4"/>
    <w:rsid w:val="006C3741"/>
    <w:rsid w:val="006C384D"/>
    <w:rsid w:val="006C487A"/>
    <w:rsid w:val="006C5A5D"/>
    <w:rsid w:val="006C7E19"/>
    <w:rsid w:val="006D0322"/>
    <w:rsid w:val="006D0B67"/>
    <w:rsid w:val="006D1B26"/>
    <w:rsid w:val="006D2B87"/>
    <w:rsid w:val="006D3719"/>
    <w:rsid w:val="006D3C6C"/>
    <w:rsid w:val="006E1A50"/>
    <w:rsid w:val="006E2AF0"/>
    <w:rsid w:val="006E2D04"/>
    <w:rsid w:val="006E4A0A"/>
    <w:rsid w:val="006E64CC"/>
    <w:rsid w:val="006E798E"/>
    <w:rsid w:val="006F0FD2"/>
    <w:rsid w:val="006F1A82"/>
    <w:rsid w:val="006F1F5C"/>
    <w:rsid w:val="006F25DD"/>
    <w:rsid w:val="006F30BF"/>
    <w:rsid w:val="006F3CD7"/>
    <w:rsid w:val="006F4E61"/>
    <w:rsid w:val="006F5CE3"/>
    <w:rsid w:val="006F5F26"/>
    <w:rsid w:val="006F69D3"/>
    <w:rsid w:val="006F6DD5"/>
    <w:rsid w:val="0070092C"/>
    <w:rsid w:val="007016CA"/>
    <w:rsid w:val="00701C6E"/>
    <w:rsid w:val="007023EC"/>
    <w:rsid w:val="00702EB5"/>
    <w:rsid w:val="0070311B"/>
    <w:rsid w:val="007054E4"/>
    <w:rsid w:val="00705EB9"/>
    <w:rsid w:val="00706644"/>
    <w:rsid w:val="007075F3"/>
    <w:rsid w:val="0070783C"/>
    <w:rsid w:val="007106D2"/>
    <w:rsid w:val="00710C69"/>
    <w:rsid w:val="00710F67"/>
    <w:rsid w:val="00710FA4"/>
    <w:rsid w:val="00711F22"/>
    <w:rsid w:val="0071219E"/>
    <w:rsid w:val="0071390F"/>
    <w:rsid w:val="007146D4"/>
    <w:rsid w:val="0071752E"/>
    <w:rsid w:val="00717DE8"/>
    <w:rsid w:val="0072185A"/>
    <w:rsid w:val="00721A10"/>
    <w:rsid w:val="00722DD5"/>
    <w:rsid w:val="0072541F"/>
    <w:rsid w:val="00725836"/>
    <w:rsid w:val="007267C2"/>
    <w:rsid w:val="00726858"/>
    <w:rsid w:val="00726CCE"/>
    <w:rsid w:val="007273CE"/>
    <w:rsid w:val="007300E3"/>
    <w:rsid w:val="00730C3F"/>
    <w:rsid w:val="0073143E"/>
    <w:rsid w:val="007315CB"/>
    <w:rsid w:val="0073298B"/>
    <w:rsid w:val="00733FFD"/>
    <w:rsid w:val="00734A1C"/>
    <w:rsid w:val="00735EE1"/>
    <w:rsid w:val="00736501"/>
    <w:rsid w:val="007372D1"/>
    <w:rsid w:val="007404C8"/>
    <w:rsid w:val="00740B2A"/>
    <w:rsid w:val="00740CA4"/>
    <w:rsid w:val="00741673"/>
    <w:rsid w:val="00741E9A"/>
    <w:rsid w:val="007447AE"/>
    <w:rsid w:val="00745A4C"/>
    <w:rsid w:val="00745DD3"/>
    <w:rsid w:val="00746007"/>
    <w:rsid w:val="00747414"/>
    <w:rsid w:val="007476E6"/>
    <w:rsid w:val="00751025"/>
    <w:rsid w:val="00754343"/>
    <w:rsid w:val="007556A8"/>
    <w:rsid w:val="0075584A"/>
    <w:rsid w:val="007578F8"/>
    <w:rsid w:val="00762800"/>
    <w:rsid w:val="00763A85"/>
    <w:rsid w:val="0076441E"/>
    <w:rsid w:val="00765141"/>
    <w:rsid w:val="00766BE3"/>
    <w:rsid w:val="00767591"/>
    <w:rsid w:val="007729A2"/>
    <w:rsid w:val="00774381"/>
    <w:rsid w:val="00774E98"/>
    <w:rsid w:val="007752A0"/>
    <w:rsid w:val="00775309"/>
    <w:rsid w:val="00780738"/>
    <w:rsid w:val="007823DF"/>
    <w:rsid w:val="00782FB6"/>
    <w:rsid w:val="0078588D"/>
    <w:rsid w:val="007858EF"/>
    <w:rsid w:val="007863D6"/>
    <w:rsid w:val="00786BDD"/>
    <w:rsid w:val="00787D36"/>
    <w:rsid w:val="00787DE1"/>
    <w:rsid w:val="00794E0C"/>
    <w:rsid w:val="00795F33"/>
    <w:rsid w:val="00796FE7"/>
    <w:rsid w:val="007971C8"/>
    <w:rsid w:val="00797320"/>
    <w:rsid w:val="00797503"/>
    <w:rsid w:val="00797FC3"/>
    <w:rsid w:val="007A1668"/>
    <w:rsid w:val="007A2C96"/>
    <w:rsid w:val="007A2DC6"/>
    <w:rsid w:val="007A3E96"/>
    <w:rsid w:val="007A4787"/>
    <w:rsid w:val="007A4C46"/>
    <w:rsid w:val="007A5A7C"/>
    <w:rsid w:val="007A793A"/>
    <w:rsid w:val="007B6840"/>
    <w:rsid w:val="007B743A"/>
    <w:rsid w:val="007C01BC"/>
    <w:rsid w:val="007C053D"/>
    <w:rsid w:val="007C15CA"/>
    <w:rsid w:val="007C22B8"/>
    <w:rsid w:val="007C4ECD"/>
    <w:rsid w:val="007C6A4F"/>
    <w:rsid w:val="007D18CB"/>
    <w:rsid w:val="007D1BD5"/>
    <w:rsid w:val="007D20CD"/>
    <w:rsid w:val="007D24D4"/>
    <w:rsid w:val="007D2D62"/>
    <w:rsid w:val="007D3C66"/>
    <w:rsid w:val="007D3FBB"/>
    <w:rsid w:val="007D47BE"/>
    <w:rsid w:val="007D4E44"/>
    <w:rsid w:val="007D4EA0"/>
    <w:rsid w:val="007D5681"/>
    <w:rsid w:val="007E0645"/>
    <w:rsid w:val="007E0D7E"/>
    <w:rsid w:val="007E0D81"/>
    <w:rsid w:val="007E2C92"/>
    <w:rsid w:val="007E32F6"/>
    <w:rsid w:val="007E3CCC"/>
    <w:rsid w:val="007E4317"/>
    <w:rsid w:val="007E5E72"/>
    <w:rsid w:val="007E618F"/>
    <w:rsid w:val="007E625C"/>
    <w:rsid w:val="007E7366"/>
    <w:rsid w:val="007F27B6"/>
    <w:rsid w:val="007F37F2"/>
    <w:rsid w:val="007F42DE"/>
    <w:rsid w:val="007F6F21"/>
    <w:rsid w:val="007F7A70"/>
    <w:rsid w:val="0080078F"/>
    <w:rsid w:val="00800B19"/>
    <w:rsid w:val="008012D4"/>
    <w:rsid w:val="00801A24"/>
    <w:rsid w:val="0080417A"/>
    <w:rsid w:val="00804417"/>
    <w:rsid w:val="00806A95"/>
    <w:rsid w:val="00810D48"/>
    <w:rsid w:val="0081197B"/>
    <w:rsid w:val="00811F9A"/>
    <w:rsid w:val="008135E1"/>
    <w:rsid w:val="00813DE5"/>
    <w:rsid w:val="00813E1B"/>
    <w:rsid w:val="008152BF"/>
    <w:rsid w:val="0082176A"/>
    <w:rsid w:val="0082196A"/>
    <w:rsid w:val="00822927"/>
    <w:rsid w:val="00822BFC"/>
    <w:rsid w:val="00826046"/>
    <w:rsid w:val="008262C1"/>
    <w:rsid w:val="00826499"/>
    <w:rsid w:val="008267F5"/>
    <w:rsid w:val="00826B3B"/>
    <w:rsid w:val="00826BAB"/>
    <w:rsid w:val="00827334"/>
    <w:rsid w:val="00827F5A"/>
    <w:rsid w:val="00830A9E"/>
    <w:rsid w:val="008313DD"/>
    <w:rsid w:val="00833103"/>
    <w:rsid w:val="0083425E"/>
    <w:rsid w:val="008352BB"/>
    <w:rsid w:val="00837A75"/>
    <w:rsid w:val="00841554"/>
    <w:rsid w:val="00841A3B"/>
    <w:rsid w:val="00843F62"/>
    <w:rsid w:val="0084614F"/>
    <w:rsid w:val="00847A2F"/>
    <w:rsid w:val="00851580"/>
    <w:rsid w:val="00852CBE"/>
    <w:rsid w:val="008546A6"/>
    <w:rsid w:val="00856367"/>
    <w:rsid w:val="00856BAE"/>
    <w:rsid w:val="00857E5E"/>
    <w:rsid w:val="00861D0A"/>
    <w:rsid w:val="008622A4"/>
    <w:rsid w:val="0086241B"/>
    <w:rsid w:val="00862D01"/>
    <w:rsid w:val="0086480A"/>
    <w:rsid w:val="008653B0"/>
    <w:rsid w:val="00867BDB"/>
    <w:rsid w:val="00870B34"/>
    <w:rsid w:val="00870DED"/>
    <w:rsid w:val="00871C2A"/>
    <w:rsid w:val="008751BC"/>
    <w:rsid w:val="008756BB"/>
    <w:rsid w:val="00875EDF"/>
    <w:rsid w:val="00875FBB"/>
    <w:rsid w:val="00877BB7"/>
    <w:rsid w:val="00877EF9"/>
    <w:rsid w:val="00881C55"/>
    <w:rsid w:val="00881F86"/>
    <w:rsid w:val="00883C49"/>
    <w:rsid w:val="00885385"/>
    <w:rsid w:val="00885593"/>
    <w:rsid w:val="00885886"/>
    <w:rsid w:val="0088780B"/>
    <w:rsid w:val="008909CD"/>
    <w:rsid w:val="00890B09"/>
    <w:rsid w:val="008918A7"/>
    <w:rsid w:val="00892162"/>
    <w:rsid w:val="008944E8"/>
    <w:rsid w:val="00894AF0"/>
    <w:rsid w:val="00895CB9"/>
    <w:rsid w:val="00896A34"/>
    <w:rsid w:val="00897409"/>
    <w:rsid w:val="00897892"/>
    <w:rsid w:val="008A0CBB"/>
    <w:rsid w:val="008A156B"/>
    <w:rsid w:val="008A2F23"/>
    <w:rsid w:val="008A42C5"/>
    <w:rsid w:val="008A5826"/>
    <w:rsid w:val="008A5B57"/>
    <w:rsid w:val="008A770E"/>
    <w:rsid w:val="008A7855"/>
    <w:rsid w:val="008B09E3"/>
    <w:rsid w:val="008B382F"/>
    <w:rsid w:val="008B39E1"/>
    <w:rsid w:val="008B4966"/>
    <w:rsid w:val="008B6E47"/>
    <w:rsid w:val="008B7512"/>
    <w:rsid w:val="008C1776"/>
    <w:rsid w:val="008C216D"/>
    <w:rsid w:val="008C60CC"/>
    <w:rsid w:val="008C68AF"/>
    <w:rsid w:val="008C6AE1"/>
    <w:rsid w:val="008D08B9"/>
    <w:rsid w:val="008D339A"/>
    <w:rsid w:val="008D3680"/>
    <w:rsid w:val="008D3F41"/>
    <w:rsid w:val="008D42DE"/>
    <w:rsid w:val="008D4B64"/>
    <w:rsid w:val="008D6B52"/>
    <w:rsid w:val="008E3DF2"/>
    <w:rsid w:val="008E4E5D"/>
    <w:rsid w:val="008E5880"/>
    <w:rsid w:val="008E60A2"/>
    <w:rsid w:val="008E6A16"/>
    <w:rsid w:val="008E6AB9"/>
    <w:rsid w:val="008F2686"/>
    <w:rsid w:val="008F27B2"/>
    <w:rsid w:val="008F288E"/>
    <w:rsid w:val="008F29DD"/>
    <w:rsid w:val="008F35DC"/>
    <w:rsid w:val="008F50F7"/>
    <w:rsid w:val="00900C9D"/>
    <w:rsid w:val="00900EF7"/>
    <w:rsid w:val="00902081"/>
    <w:rsid w:val="009023B7"/>
    <w:rsid w:val="00905FA6"/>
    <w:rsid w:val="0090622D"/>
    <w:rsid w:val="00906754"/>
    <w:rsid w:val="009070E1"/>
    <w:rsid w:val="00907AB0"/>
    <w:rsid w:val="00907C32"/>
    <w:rsid w:val="00910C77"/>
    <w:rsid w:val="00912E21"/>
    <w:rsid w:val="0091445A"/>
    <w:rsid w:val="00921724"/>
    <w:rsid w:val="00921FB1"/>
    <w:rsid w:val="009238AC"/>
    <w:rsid w:val="00923D6D"/>
    <w:rsid w:val="00925904"/>
    <w:rsid w:val="009276FD"/>
    <w:rsid w:val="0093301B"/>
    <w:rsid w:val="00933205"/>
    <w:rsid w:val="009332DC"/>
    <w:rsid w:val="00935191"/>
    <w:rsid w:val="009354C5"/>
    <w:rsid w:val="00936D01"/>
    <w:rsid w:val="0093707A"/>
    <w:rsid w:val="0093732E"/>
    <w:rsid w:val="009377C5"/>
    <w:rsid w:val="009402EF"/>
    <w:rsid w:val="0094058E"/>
    <w:rsid w:val="00940807"/>
    <w:rsid w:val="009409C9"/>
    <w:rsid w:val="00940BC5"/>
    <w:rsid w:val="009414BF"/>
    <w:rsid w:val="0094182F"/>
    <w:rsid w:val="00943045"/>
    <w:rsid w:val="00943C3C"/>
    <w:rsid w:val="00944C08"/>
    <w:rsid w:val="00944DE0"/>
    <w:rsid w:val="00944F35"/>
    <w:rsid w:val="00945248"/>
    <w:rsid w:val="00945569"/>
    <w:rsid w:val="00945943"/>
    <w:rsid w:val="00946741"/>
    <w:rsid w:val="0094689E"/>
    <w:rsid w:val="00946A35"/>
    <w:rsid w:val="009472E3"/>
    <w:rsid w:val="00947A2B"/>
    <w:rsid w:val="0095000E"/>
    <w:rsid w:val="00950192"/>
    <w:rsid w:val="009519F2"/>
    <w:rsid w:val="009533BE"/>
    <w:rsid w:val="0095344D"/>
    <w:rsid w:val="00953652"/>
    <w:rsid w:val="00953CB0"/>
    <w:rsid w:val="009550ED"/>
    <w:rsid w:val="00956D51"/>
    <w:rsid w:val="00960215"/>
    <w:rsid w:val="00960FAC"/>
    <w:rsid w:val="00961CE1"/>
    <w:rsid w:val="00961DD2"/>
    <w:rsid w:val="00962E57"/>
    <w:rsid w:val="0096310A"/>
    <w:rsid w:val="009647F1"/>
    <w:rsid w:val="009703DA"/>
    <w:rsid w:val="009738E4"/>
    <w:rsid w:val="00974DC1"/>
    <w:rsid w:val="00976008"/>
    <w:rsid w:val="00977C63"/>
    <w:rsid w:val="00981263"/>
    <w:rsid w:val="00981E97"/>
    <w:rsid w:val="00982404"/>
    <w:rsid w:val="009829A3"/>
    <w:rsid w:val="0098398B"/>
    <w:rsid w:val="00983F3B"/>
    <w:rsid w:val="009841E3"/>
    <w:rsid w:val="00984319"/>
    <w:rsid w:val="009851F3"/>
    <w:rsid w:val="00987745"/>
    <w:rsid w:val="009877A8"/>
    <w:rsid w:val="0099073E"/>
    <w:rsid w:val="00990E42"/>
    <w:rsid w:val="0099222A"/>
    <w:rsid w:val="009923E4"/>
    <w:rsid w:val="009928A8"/>
    <w:rsid w:val="0099357C"/>
    <w:rsid w:val="00993C7C"/>
    <w:rsid w:val="00994868"/>
    <w:rsid w:val="00997AB6"/>
    <w:rsid w:val="009A35CE"/>
    <w:rsid w:val="009A38D0"/>
    <w:rsid w:val="009A4586"/>
    <w:rsid w:val="009A459C"/>
    <w:rsid w:val="009A4858"/>
    <w:rsid w:val="009A4CA8"/>
    <w:rsid w:val="009A71AB"/>
    <w:rsid w:val="009A7454"/>
    <w:rsid w:val="009B0CE4"/>
    <w:rsid w:val="009B1F46"/>
    <w:rsid w:val="009B3D28"/>
    <w:rsid w:val="009B443C"/>
    <w:rsid w:val="009B4952"/>
    <w:rsid w:val="009B69EA"/>
    <w:rsid w:val="009B7E93"/>
    <w:rsid w:val="009C0DCB"/>
    <w:rsid w:val="009C2536"/>
    <w:rsid w:val="009C31FF"/>
    <w:rsid w:val="009C39CE"/>
    <w:rsid w:val="009C3E11"/>
    <w:rsid w:val="009C448C"/>
    <w:rsid w:val="009C5436"/>
    <w:rsid w:val="009C65F1"/>
    <w:rsid w:val="009C6E15"/>
    <w:rsid w:val="009C6FC5"/>
    <w:rsid w:val="009C75A8"/>
    <w:rsid w:val="009D0323"/>
    <w:rsid w:val="009D35F1"/>
    <w:rsid w:val="009D4807"/>
    <w:rsid w:val="009D4960"/>
    <w:rsid w:val="009D5281"/>
    <w:rsid w:val="009D7DFA"/>
    <w:rsid w:val="009E07A6"/>
    <w:rsid w:val="009E0CCE"/>
    <w:rsid w:val="009E0E8D"/>
    <w:rsid w:val="009E5875"/>
    <w:rsid w:val="009E6DD3"/>
    <w:rsid w:val="009E7D42"/>
    <w:rsid w:val="009F1C5D"/>
    <w:rsid w:val="009F246A"/>
    <w:rsid w:val="009F24B7"/>
    <w:rsid w:val="009F27CE"/>
    <w:rsid w:val="009F2E43"/>
    <w:rsid w:val="009F52F6"/>
    <w:rsid w:val="009F6653"/>
    <w:rsid w:val="009F69D3"/>
    <w:rsid w:val="00A01620"/>
    <w:rsid w:val="00A016FC"/>
    <w:rsid w:val="00A031DC"/>
    <w:rsid w:val="00A03639"/>
    <w:rsid w:val="00A03887"/>
    <w:rsid w:val="00A04396"/>
    <w:rsid w:val="00A068F6"/>
    <w:rsid w:val="00A07468"/>
    <w:rsid w:val="00A07C74"/>
    <w:rsid w:val="00A1064F"/>
    <w:rsid w:val="00A11496"/>
    <w:rsid w:val="00A116CF"/>
    <w:rsid w:val="00A139AB"/>
    <w:rsid w:val="00A1619F"/>
    <w:rsid w:val="00A16949"/>
    <w:rsid w:val="00A175A8"/>
    <w:rsid w:val="00A22A52"/>
    <w:rsid w:val="00A303F0"/>
    <w:rsid w:val="00A34FB8"/>
    <w:rsid w:val="00A3640F"/>
    <w:rsid w:val="00A414F3"/>
    <w:rsid w:val="00A416C6"/>
    <w:rsid w:val="00A42150"/>
    <w:rsid w:val="00A423F4"/>
    <w:rsid w:val="00A42944"/>
    <w:rsid w:val="00A4360F"/>
    <w:rsid w:val="00A46D7D"/>
    <w:rsid w:val="00A5161F"/>
    <w:rsid w:val="00A53CAE"/>
    <w:rsid w:val="00A544F2"/>
    <w:rsid w:val="00A54B6F"/>
    <w:rsid w:val="00A54EBB"/>
    <w:rsid w:val="00A55AB5"/>
    <w:rsid w:val="00A5732F"/>
    <w:rsid w:val="00A579A4"/>
    <w:rsid w:val="00A57B1F"/>
    <w:rsid w:val="00A57B4C"/>
    <w:rsid w:val="00A60C46"/>
    <w:rsid w:val="00A61586"/>
    <w:rsid w:val="00A6180F"/>
    <w:rsid w:val="00A61B9B"/>
    <w:rsid w:val="00A6232E"/>
    <w:rsid w:val="00A62E1F"/>
    <w:rsid w:val="00A64704"/>
    <w:rsid w:val="00A64E43"/>
    <w:rsid w:val="00A6544D"/>
    <w:rsid w:val="00A656FF"/>
    <w:rsid w:val="00A66C6B"/>
    <w:rsid w:val="00A66C8F"/>
    <w:rsid w:val="00A67648"/>
    <w:rsid w:val="00A67947"/>
    <w:rsid w:val="00A70E06"/>
    <w:rsid w:val="00A7111A"/>
    <w:rsid w:val="00A73E66"/>
    <w:rsid w:val="00A74805"/>
    <w:rsid w:val="00A74B86"/>
    <w:rsid w:val="00A7593E"/>
    <w:rsid w:val="00A75B31"/>
    <w:rsid w:val="00A7669C"/>
    <w:rsid w:val="00A76785"/>
    <w:rsid w:val="00A77FDB"/>
    <w:rsid w:val="00A80C21"/>
    <w:rsid w:val="00A834F6"/>
    <w:rsid w:val="00A84DAF"/>
    <w:rsid w:val="00A85D98"/>
    <w:rsid w:val="00A86428"/>
    <w:rsid w:val="00A879EF"/>
    <w:rsid w:val="00A87D01"/>
    <w:rsid w:val="00A9095A"/>
    <w:rsid w:val="00A909C0"/>
    <w:rsid w:val="00A92D14"/>
    <w:rsid w:val="00A969AD"/>
    <w:rsid w:val="00A9750F"/>
    <w:rsid w:val="00AA1F84"/>
    <w:rsid w:val="00AA1FF7"/>
    <w:rsid w:val="00AA2095"/>
    <w:rsid w:val="00AA4A3B"/>
    <w:rsid w:val="00AA7869"/>
    <w:rsid w:val="00AB0B8D"/>
    <w:rsid w:val="00AB611F"/>
    <w:rsid w:val="00AC06E1"/>
    <w:rsid w:val="00AC077D"/>
    <w:rsid w:val="00AC0938"/>
    <w:rsid w:val="00AC150C"/>
    <w:rsid w:val="00AC2CCA"/>
    <w:rsid w:val="00AC34A1"/>
    <w:rsid w:val="00AC3815"/>
    <w:rsid w:val="00AC4E67"/>
    <w:rsid w:val="00AC605E"/>
    <w:rsid w:val="00AC74AF"/>
    <w:rsid w:val="00AD0616"/>
    <w:rsid w:val="00AD783E"/>
    <w:rsid w:val="00AE1116"/>
    <w:rsid w:val="00AE2E23"/>
    <w:rsid w:val="00AE4FEE"/>
    <w:rsid w:val="00AE66CC"/>
    <w:rsid w:val="00AF05FF"/>
    <w:rsid w:val="00AF1439"/>
    <w:rsid w:val="00AF2152"/>
    <w:rsid w:val="00AF22F2"/>
    <w:rsid w:val="00AF2405"/>
    <w:rsid w:val="00AF3236"/>
    <w:rsid w:val="00AF35D0"/>
    <w:rsid w:val="00AF3B52"/>
    <w:rsid w:val="00AF6321"/>
    <w:rsid w:val="00AF7EAA"/>
    <w:rsid w:val="00B00374"/>
    <w:rsid w:val="00B02064"/>
    <w:rsid w:val="00B0266A"/>
    <w:rsid w:val="00B05C24"/>
    <w:rsid w:val="00B07485"/>
    <w:rsid w:val="00B1133A"/>
    <w:rsid w:val="00B11A46"/>
    <w:rsid w:val="00B121D4"/>
    <w:rsid w:val="00B12567"/>
    <w:rsid w:val="00B13948"/>
    <w:rsid w:val="00B15683"/>
    <w:rsid w:val="00B167D6"/>
    <w:rsid w:val="00B2052B"/>
    <w:rsid w:val="00B20E7E"/>
    <w:rsid w:val="00B21DBC"/>
    <w:rsid w:val="00B227E2"/>
    <w:rsid w:val="00B23572"/>
    <w:rsid w:val="00B23D9C"/>
    <w:rsid w:val="00B249E6"/>
    <w:rsid w:val="00B25A8F"/>
    <w:rsid w:val="00B271F1"/>
    <w:rsid w:val="00B27AE0"/>
    <w:rsid w:val="00B31BE7"/>
    <w:rsid w:val="00B33565"/>
    <w:rsid w:val="00B33D66"/>
    <w:rsid w:val="00B344E6"/>
    <w:rsid w:val="00B352AB"/>
    <w:rsid w:val="00B36996"/>
    <w:rsid w:val="00B376A9"/>
    <w:rsid w:val="00B42298"/>
    <w:rsid w:val="00B43202"/>
    <w:rsid w:val="00B45534"/>
    <w:rsid w:val="00B4563F"/>
    <w:rsid w:val="00B45810"/>
    <w:rsid w:val="00B4630A"/>
    <w:rsid w:val="00B46485"/>
    <w:rsid w:val="00B508FF"/>
    <w:rsid w:val="00B52621"/>
    <w:rsid w:val="00B53977"/>
    <w:rsid w:val="00B54CB2"/>
    <w:rsid w:val="00B55EF5"/>
    <w:rsid w:val="00B56A70"/>
    <w:rsid w:val="00B61F76"/>
    <w:rsid w:val="00B63475"/>
    <w:rsid w:val="00B63905"/>
    <w:rsid w:val="00B6558A"/>
    <w:rsid w:val="00B75235"/>
    <w:rsid w:val="00B7545F"/>
    <w:rsid w:val="00B80012"/>
    <w:rsid w:val="00B80E80"/>
    <w:rsid w:val="00B82344"/>
    <w:rsid w:val="00B829B7"/>
    <w:rsid w:val="00B830AD"/>
    <w:rsid w:val="00B83414"/>
    <w:rsid w:val="00B83EFC"/>
    <w:rsid w:val="00B84792"/>
    <w:rsid w:val="00B847D8"/>
    <w:rsid w:val="00B8482D"/>
    <w:rsid w:val="00B85AEA"/>
    <w:rsid w:val="00B85C2A"/>
    <w:rsid w:val="00B87D16"/>
    <w:rsid w:val="00B916E6"/>
    <w:rsid w:val="00B92698"/>
    <w:rsid w:val="00B936F6"/>
    <w:rsid w:val="00B95558"/>
    <w:rsid w:val="00BA0699"/>
    <w:rsid w:val="00BA2769"/>
    <w:rsid w:val="00BA423A"/>
    <w:rsid w:val="00BA4B36"/>
    <w:rsid w:val="00BA4B5D"/>
    <w:rsid w:val="00BA6031"/>
    <w:rsid w:val="00BA753B"/>
    <w:rsid w:val="00BA7B68"/>
    <w:rsid w:val="00BB0917"/>
    <w:rsid w:val="00BB2134"/>
    <w:rsid w:val="00BB2F70"/>
    <w:rsid w:val="00BB359A"/>
    <w:rsid w:val="00BB5DBC"/>
    <w:rsid w:val="00BB7354"/>
    <w:rsid w:val="00BC034C"/>
    <w:rsid w:val="00BC0638"/>
    <w:rsid w:val="00BC1115"/>
    <w:rsid w:val="00BC27ED"/>
    <w:rsid w:val="00BC2E3B"/>
    <w:rsid w:val="00BC40D7"/>
    <w:rsid w:val="00BC4109"/>
    <w:rsid w:val="00BC6A5C"/>
    <w:rsid w:val="00BC6E8E"/>
    <w:rsid w:val="00BC7E0E"/>
    <w:rsid w:val="00BD0328"/>
    <w:rsid w:val="00BD4122"/>
    <w:rsid w:val="00BD4B2C"/>
    <w:rsid w:val="00BD59DA"/>
    <w:rsid w:val="00BD6E0E"/>
    <w:rsid w:val="00BE0283"/>
    <w:rsid w:val="00BE0D1C"/>
    <w:rsid w:val="00BE1080"/>
    <w:rsid w:val="00BE1F89"/>
    <w:rsid w:val="00BE2456"/>
    <w:rsid w:val="00BE2E9B"/>
    <w:rsid w:val="00BE51DF"/>
    <w:rsid w:val="00BE60FB"/>
    <w:rsid w:val="00BE6703"/>
    <w:rsid w:val="00BE70A9"/>
    <w:rsid w:val="00BE73B2"/>
    <w:rsid w:val="00BE7E51"/>
    <w:rsid w:val="00BE7E7F"/>
    <w:rsid w:val="00BF1CE3"/>
    <w:rsid w:val="00BF299A"/>
    <w:rsid w:val="00BF348D"/>
    <w:rsid w:val="00BF4C87"/>
    <w:rsid w:val="00BF56E4"/>
    <w:rsid w:val="00BF5D4C"/>
    <w:rsid w:val="00BF5DF2"/>
    <w:rsid w:val="00C02404"/>
    <w:rsid w:val="00C034A2"/>
    <w:rsid w:val="00C04163"/>
    <w:rsid w:val="00C041B1"/>
    <w:rsid w:val="00C0471B"/>
    <w:rsid w:val="00C06DED"/>
    <w:rsid w:val="00C10012"/>
    <w:rsid w:val="00C107B7"/>
    <w:rsid w:val="00C11898"/>
    <w:rsid w:val="00C11CEA"/>
    <w:rsid w:val="00C12383"/>
    <w:rsid w:val="00C1266F"/>
    <w:rsid w:val="00C13BA1"/>
    <w:rsid w:val="00C14C61"/>
    <w:rsid w:val="00C16865"/>
    <w:rsid w:val="00C200EC"/>
    <w:rsid w:val="00C20F48"/>
    <w:rsid w:val="00C20FC7"/>
    <w:rsid w:val="00C227D9"/>
    <w:rsid w:val="00C2337F"/>
    <w:rsid w:val="00C2431B"/>
    <w:rsid w:val="00C32F3C"/>
    <w:rsid w:val="00C3337F"/>
    <w:rsid w:val="00C3525D"/>
    <w:rsid w:val="00C36041"/>
    <w:rsid w:val="00C37A08"/>
    <w:rsid w:val="00C37B35"/>
    <w:rsid w:val="00C406C9"/>
    <w:rsid w:val="00C4180A"/>
    <w:rsid w:val="00C41C94"/>
    <w:rsid w:val="00C43128"/>
    <w:rsid w:val="00C4381D"/>
    <w:rsid w:val="00C44B68"/>
    <w:rsid w:val="00C44C4F"/>
    <w:rsid w:val="00C44C8A"/>
    <w:rsid w:val="00C46B9D"/>
    <w:rsid w:val="00C473F2"/>
    <w:rsid w:val="00C52C32"/>
    <w:rsid w:val="00C52CB7"/>
    <w:rsid w:val="00C53D16"/>
    <w:rsid w:val="00C5462A"/>
    <w:rsid w:val="00C54961"/>
    <w:rsid w:val="00C57721"/>
    <w:rsid w:val="00C60D3D"/>
    <w:rsid w:val="00C616BD"/>
    <w:rsid w:val="00C61ACF"/>
    <w:rsid w:val="00C61E23"/>
    <w:rsid w:val="00C6249D"/>
    <w:rsid w:val="00C62C13"/>
    <w:rsid w:val="00C63324"/>
    <w:rsid w:val="00C65AF7"/>
    <w:rsid w:val="00C65D53"/>
    <w:rsid w:val="00C673FC"/>
    <w:rsid w:val="00C7120B"/>
    <w:rsid w:val="00C71ACE"/>
    <w:rsid w:val="00C71D3B"/>
    <w:rsid w:val="00C71ECA"/>
    <w:rsid w:val="00C72BD0"/>
    <w:rsid w:val="00C73267"/>
    <w:rsid w:val="00C736B2"/>
    <w:rsid w:val="00C752B4"/>
    <w:rsid w:val="00C75F46"/>
    <w:rsid w:val="00C7636B"/>
    <w:rsid w:val="00C76E53"/>
    <w:rsid w:val="00C776E1"/>
    <w:rsid w:val="00C8027A"/>
    <w:rsid w:val="00C8079C"/>
    <w:rsid w:val="00C80FA5"/>
    <w:rsid w:val="00C810E0"/>
    <w:rsid w:val="00C8278A"/>
    <w:rsid w:val="00C831E0"/>
    <w:rsid w:val="00C8326D"/>
    <w:rsid w:val="00C84276"/>
    <w:rsid w:val="00C8663D"/>
    <w:rsid w:val="00C87BE4"/>
    <w:rsid w:val="00C911CA"/>
    <w:rsid w:val="00C91B50"/>
    <w:rsid w:val="00C93C89"/>
    <w:rsid w:val="00C94F0E"/>
    <w:rsid w:val="00C95C01"/>
    <w:rsid w:val="00C9626B"/>
    <w:rsid w:val="00CA00EB"/>
    <w:rsid w:val="00CA14C9"/>
    <w:rsid w:val="00CA170C"/>
    <w:rsid w:val="00CA1ED9"/>
    <w:rsid w:val="00CA50A6"/>
    <w:rsid w:val="00CA64F1"/>
    <w:rsid w:val="00CA79C6"/>
    <w:rsid w:val="00CA7BEF"/>
    <w:rsid w:val="00CB147C"/>
    <w:rsid w:val="00CB32FE"/>
    <w:rsid w:val="00CB42AD"/>
    <w:rsid w:val="00CB53BA"/>
    <w:rsid w:val="00CB5F90"/>
    <w:rsid w:val="00CC01DD"/>
    <w:rsid w:val="00CC100D"/>
    <w:rsid w:val="00CC303C"/>
    <w:rsid w:val="00CC3F6D"/>
    <w:rsid w:val="00CC4141"/>
    <w:rsid w:val="00CC6200"/>
    <w:rsid w:val="00CD2491"/>
    <w:rsid w:val="00CD391E"/>
    <w:rsid w:val="00CD5931"/>
    <w:rsid w:val="00CD5E70"/>
    <w:rsid w:val="00CD5EF7"/>
    <w:rsid w:val="00CE1325"/>
    <w:rsid w:val="00CE276F"/>
    <w:rsid w:val="00CE3494"/>
    <w:rsid w:val="00CE3737"/>
    <w:rsid w:val="00CE57E8"/>
    <w:rsid w:val="00CF08FA"/>
    <w:rsid w:val="00CF25C6"/>
    <w:rsid w:val="00CF2F8E"/>
    <w:rsid w:val="00CF3ABA"/>
    <w:rsid w:val="00CF4BD8"/>
    <w:rsid w:val="00CF63AE"/>
    <w:rsid w:val="00CF7565"/>
    <w:rsid w:val="00D00C93"/>
    <w:rsid w:val="00D00D1D"/>
    <w:rsid w:val="00D017EF"/>
    <w:rsid w:val="00D04244"/>
    <w:rsid w:val="00D04947"/>
    <w:rsid w:val="00D06109"/>
    <w:rsid w:val="00D129F6"/>
    <w:rsid w:val="00D12D64"/>
    <w:rsid w:val="00D13090"/>
    <w:rsid w:val="00D14677"/>
    <w:rsid w:val="00D167DA"/>
    <w:rsid w:val="00D17D61"/>
    <w:rsid w:val="00D17E49"/>
    <w:rsid w:val="00D20476"/>
    <w:rsid w:val="00D209A5"/>
    <w:rsid w:val="00D215E7"/>
    <w:rsid w:val="00D21B93"/>
    <w:rsid w:val="00D228D4"/>
    <w:rsid w:val="00D2375D"/>
    <w:rsid w:val="00D23B9F"/>
    <w:rsid w:val="00D24ADD"/>
    <w:rsid w:val="00D24B6F"/>
    <w:rsid w:val="00D255B7"/>
    <w:rsid w:val="00D27A05"/>
    <w:rsid w:val="00D318C6"/>
    <w:rsid w:val="00D33536"/>
    <w:rsid w:val="00D3648E"/>
    <w:rsid w:val="00D37F19"/>
    <w:rsid w:val="00D408D6"/>
    <w:rsid w:val="00D41BE2"/>
    <w:rsid w:val="00D41E90"/>
    <w:rsid w:val="00D44A45"/>
    <w:rsid w:val="00D44C32"/>
    <w:rsid w:val="00D453FF"/>
    <w:rsid w:val="00D45ED4"/>
    <w:rsid w:val="00D468CE"/>
    <w:rsid w:val="00D520C7"/>
    <w:rsid w:val="00D531EA"/>
    <w:rsid w:val="00D54BC6"/>
    <w:rsid w:val="00D54E29"/>
    <w:rsid w:val="00D550A0"/>
    <w:rsid w:val="00D55A62"/>
    <w:rsid w:val="00D57DB2"/>
    <w:rsid w:val="00D618E8"/>
    <w:rsid w:val="00D6215D"/>
    <w:rsid w:val="00D6513F"/>
    <w:rsid w:val="00D65373"/>
    <w:rsid w:val="00D66141"/>
    <w:rsid w:val="00D6783E"/>
    <w:rsid w:val="00D703CE"/>
    <w:rsid w:val="00D71286"/>
    <w:rsid w:val="00D729B8"/>
    <w:rsid w:val="00D73391"/>
    <w:rsid w:val="00D744C1"/>
    <w:rsid w:val="00D757AA"/>
    <w:rsid w:val="00D762EF"/>
    <w:rsid w:val="00D772AD"/>
    <w:rsid w:val="00D81771"/>
    <w:rsid w:val="00D82DF1"/>
    <w:rsid w:val="00D835DD"/>
    <w:rsid w:val="00D83BB0"/>
    <w:rsid w:val="00D83EA3"/>
    <w:rsid w:val="00D84C0C"/>
    <w:rsid w:val="00D85AF3"/>
    <w:rsid w:val="00D90A00"/>
    <w:rsid w:val="00D9124A"/>
    <w:rsid w:val="00D91A38"/>
    <w:rsid w:val="00D92EDC"/>
    <w:rsid w:val="00D931EA"/>
    <w:rsid w:val="00D935D9"/>
    <w:rsid w:val="00D93CE3"/>
    <w:rsid w:val="00D945C1"/>
    <w:rsid w:val="00D95707"/>
    <w:rsid w:val="00D965A2"/>
    <w:rsid w:val="00D9687B"/>
    <w:rsid w:val="00D9687E"/>
    <w:rsid w:val="00D968B4"/>
    <w:rsid w:val="00DA0BF3"/>
    <w:rsid w:val="00DA0FFC"/>
    <w:rsid w:val="00DA2254"/>
    <w:rsid w:val="00DA43A4"/>
    <w:rsid w:val="00DA569B"/>
    <w:rsid w:val="00DB01BA"/>
    <w:rsid w:val="00DB059C"/>
    <w:rsid w:val="00DB09D2"/>
    <w:rsid w:val="00DB5333"/>
    <w:rsid w:val="00DB617A"/>
    <w:rsid w:val="00DB6620"/>
    <w:rsid w:val="00DB7DEF"/>
    <w:rsid w:val="00DC02B9"/>
    <w:rsid w:val="00DC09CA"/>
    <w:rsid w:val="00DC1AAD"/>
    <w:rsid w:val="00DC269A"/>
    <w:rsid w:val="00DC2A86"/>
    <w:rsid w:val="00DC2F8D"/>
    <w:rsid w:val="00DC3108"/>
    <w:rsid w:val="00DC39F9"/>
    <w:rsid w:val="00DC557C"/>
    <w:rsid w:val="00DC68CD"/>
    <w:rsid w:val="00DD1302"/>
    <w:rsid w:val="00DD340D"/>
    <w:rsid w:val="00DD455D"/>
    <w:rsid w:val="00DD45C4"/>
    <w:rsid w:val="00DD4914"/>
    <w:rsid w:val="00DD5FF3"/>
    <w:rsid w:val="00DD71B4"/>
    <w:rsid w:val="00DE2ABF"/>
    <w:rsid w:val="00DE3710"/>
    <w:rsid w:val="00DE3E2D"/>
    <w:rsid w:val="00DE3EC3"/>
    <w:rsid w:val="00DE66D2"/>
    <w:rsid w:val="00DE781A"/>
    <w:rsid w:val="00DF0433"/>
    <w:rsid w:val="00DF082F"/>
    <w:rsid w:val="00DF18A7"/>
    <w:rsid w:val="00DF4872"/>
    <w:rsid w:val="00DF5705"/>
    <w:rsid w:val="00DF6A5E"/>
    <w:rsid w:val="00DF7DB1"/>
    <w:rsid w:val="00E00797"/>
    <w:rsid w:val="00E00F68"/>
    <w:rsid w:val="00E00F78"/>
    <w:rsid w:val="00E016C9"/>
    <w:rsid w:val="00E01DA2"/>
    <w:rsid w:val="00E02FE7"/>
    <w:rsid w:val="00E03B61"/>
    <w:rsid w:val="00E05D25"/>
    <w:rsid w:val="00E064B8"/>
    <w:rsid w:val="00E06C80"/>
    <w:rsid w:val="00E1032C"/>
    <w:rsid w:val="00E11AAB"/>
    <w:rsid w:val="00E11CD9"/>
    <w:rsid w:val="00E12573"/>
    <w:rsid w:val="00E15640"/>
    <w:rsid w:val="00E169D2"/>
    <w:rsid w:val="00E22297"/>
    <w:rsid w:val="00E227AF"/>
    <w:rsid w:val="00E22FD4"/>
    <w:rsid w:val="00E24104"/>
    <w:rsid w:val="00E24216"/>
    <w:rsid w:val="00E254D4"/>
    <w:rsid w:val="00E27BD9"/>
    <w:rsid w:val="00E3100B"/>
    <w:rsid w:val="00E3199A"/>
    <w:rsid w:val="00E334E2"/>
    <w:rsid w:val="00E34C9A"/>
    <w:rsid w:val="00E350C4"/>
    <w:rsid w:val="00E35F9F"/>
    <w:rsid w:val="00E36EA2"/>
    <w:rsid w:val="00E41F8B"/>
    <w:rsid w:val="00E43C79"/>
    <w:rsid w:val="00E45CE9"/>
    <w:rsid w:val="00E46683"/>
    <w:rsid w:val="00E467B8"/>
    <w:rsid w:val="00E47615"/>
    <w:rsid w:val="00E507FA"/>
    <w:rsid w:val="00E5227E"/>
    <w:rsid w:val="00E52C71"/>
    <w:rsid w:val="00E54B44"/>
    <w:rsid w:val="00E54CAD"/>
    <w:rsid w:val="00E56103"/>
    <w:rsid w:val="00E5636A"/>
    <w:rsid w:val="00E57DC8"/>
    <w:rsid w:val="00E60CF3"/>
    <w:rsid w:val="00E61403"/>
    <w:rsid w:val="00E6206F"/>
    <w:rsid w:val="00E62678"/>
    <w:rsid w:val="00E6316D"/>
    <w:rsid w:val="00E63C33"/>
    <w:rsid w:val="00E63D49"/>
    <w:rsid w:val="00E63D6B"/>
    <w:rsid w:val="00E64FD2"/>
    <w:rsid w:val="00E65802"/>
    <w:rsid w:val="00E65DA6"/>
    <w:rsid w:val="00E66DAA"/>
    <w:rsid w:val="00E70257"/>
    <w:rsid w:val="00E71FBA"/>
    <w:rsid w:val="00E729E2"/>
    <w:rsid w:val="00E734B0"/>
    <w:rsid w:val="00E75E5A"/>
    <w:rsid w:val="00E77D14"/>
    <w:rsid w:val="00E80484"/>
    <w:rsid w:val="00E80D21"/>
    <w:rsid w:val="00E824FC"/>
    <w:rsid w:val="00E84C9C"/>
    <w:rsid w:val="00E85993"/>
    <w:rsid w:val="00E866B8"/>
    <w:rsid w:val="00E87FBC"/>
    <w:rsid w:val="00E908FE"/>
    <w:rsid w:val="00E91CEA"/>
    <w:rsid w:val="00E93AA7"/>
    <w:rsid w:val="00EA0C85"/>
    <w:rsid w:val="00EA25A2"/>
    <w:rsid w:val="00EA2AD9"/>
    <w:rsid w:val="00EA3BF0"/>
    <w:rsid w:val="00EB17B5"/>
    <w:rsid w:val="00EB1996"/>
    <w:rsid w:val="00EB1D1A"/>
    <w:rsid w:val="00EB2A22"/>
    <w:rsid w:val="00EB3A9A"/>
    <w:rsid w:val="00EB539A"/>
    <w:rsid w:val="00EB5632"/>
    <w:rsid w:val="00EB660E"/>
    <w:rsid w:val="00EB7B05"/>
    <w:rsid w:val="00EC0E5E"/>
    <w:rsid w:val="00EC26F4"/>
    <w:rsid w:val="00EC2A53"/>
    <w:rsid w:val="00EC2E0B"/>
    <w:rsid w:val="00EC5E74"/>
    <w:rsid w:val="00ED1F02"/>
    <w:rsid w:val="00ED32DF"/>
    <w:rsid w:val="00ED3A5D"/>
    <w:rsid w:val="00ED5462"/>
    <w:rsid w:val="00EE0D39"/>
    <w:rsid w:val="00EE0E2F"/>
    <w:rsid w:val="00EE1512"/>
    <w:rsid w:val="00EE1AA9"/>
    <w:rsid w:val="00EE1B1F"/>
    <w:rsid w:val="00EE1CCC"/>
    <w:rsid w:val="00EE3E3B"/>
    <w:rsid w:val="00EE5616"/>
    <w:rsid w:val="00EE5C6A"/>
    <w:rsid w:val="00EF29A3"/>
    <w:rsid w:val="00EF3A8A"/>
    <w:rsid w:val="00EF4155"/>
    <w:rsid w:val="00EF5C5B"/>
    <w:rsid w:val="00EF7009"/>
    <w:rsid w:val="00EF7839"/>
    <w:rsid w:val="00F00571"/>
    <w:rsid w:val="00F029DB"/>
    <w:rsid w:val="00F037BD"/>
    <w:rsid w:val="00F040E6"/>
    <w:rsid w:val="00F05F00"/>
    <w:rsid w:val="00F0622F"/>
    <w:rsid w:val="00F07D16"/>
    <w:rsid w:val="00F07F4B"/>
    <w:rsid w:val="00F106AF"/>
    <w:rsid w:val="00F1128E"/>
    <w:rsid w:val="00F1139A"/>
    <w:rsid w:val="00F11865"/>
    <w:rsid w:val="00F11876"/>
    <w:rsid w:val="00F14FB7"/>
    <w:rsid w:val="00F151B6"/>
    <w:rsid w:val="00F15AB3"/>
    <w:rsid w:val="00F15FA1"/>
    <w:rsid w:val="00F16B49"/>
    <w:rsid w:val="00F17D2C"/>
    <w:rsid w:val="00F20698"/>
    <w:rsid w:val="00F206B5"/>
    <w:rsid w:val="00F21CF3"/>
    <w:rsid w:val="00F25EB1"/>
    <w:rsid w:val="00F25F67"/>
    <w:rsid w:val="00F26442"/>
    <w:rsid w:val="00F2773A"/>
    <w:rsid w:val="00F279FF"/>
    <w:rsid w:val="00F27CB0"/>
    <w:rsid w:val="00F30015"/>
    <w:rsid w:val="00F30C85"/>
    <w:rsid w:val="00F31865"/>
    <w:rsid w:val="00F31972"/>
    <w:rsid w:val="00F31E80"/>
    <w:rsid w:val="00F3546C"/>
    <w:rsid w:val="00F372CA"/>
    <w:rsid w:val="00F377CA"/>
    <w:rsid w:val="00F4085C"/>
    <w:rsid w:val="00F40A6A"/>
    <w:rsid w:val="00F4183D"/>
    <w:rsid w:val="00F419FA"/>
    <w:rsid w:val="00F4462D"/>
    <w:rsid w:val="00F44718"/>
    <w:rsid w:val="00F44DD8"/>
    <w:rsid w:val="00F46466"/>
    <w:rsid w:val="00F47FDB"/>
    <w:rsid w:val="00F507A1"/>
    <w:rsid w:val="00F50EF8"/>
    <w:rsid w:val="00F513F6"/>
    <w:rsid w:val="00F51E41"/>
    <w:rsid w:val="00F53B33"/>
    <w:rsid w:val="00F542DC"/>
    <w:rsid w:val="00F553FF"/>
    <w:rsid w:val="00F55815"/>
    <w:rsid w:val="00F55B81"/>
    <w:rsid w:val="00F55BB0"/>
    <w:rsid w:val="00F55C36"/>
    <w:rsid w:val="00F567D2"/>
    <w:rsid w:val="00F57AA6"/>
    <w:rsid w:val="00F6155F"/>
    <w:rsid w:val="00F61A3B"/>
    <w:rsid w:val="00F61B0E"/>
    <w:rsid w:val="00F61E13"/>
    <w:rsid w:val="00F61FC1"/>
    <w:rsid w:val="00F634B1"/>
    <w:rsid w:val="00F6396F"/>
    <w:rsid w:val="00F63B02"/>
    <w:rsid w:val="00F64990"/>
    <w:rsid w:val="00F65B71"/>
    <w:rsid w:val="00F677CA"/>
    <w:rsid w:val="00F67A97"/>
    <w:rsid w:val="00F7000E"/>
    <w:rsid w:val="00F703E4"/>
    <w:rsid w:val="00F7051C"/>
    <w:rsid w:val="00F70EBB"/>
    <w:rsid w:val="00F723E6"/>
    <w:rsid w:val="00F72FC4"/>
    <w:rsid w:val="00F73471"/>
    <w:rsid w:val="00F74104"/>
    <w:rsid w:val="00F7456B"/>
    <w:rsid w:val="00F75AC4"/>
    <w:rsid w:val="00F802E2"/>
    <w:rsid w:val="00F80B8A"/>
    <w:rsid w:val="00F810E0"/>
    <w:rsid w:val="00F813AB"/>
    <w:rsid w:val="00F82AD1"/>
    <w:rsid w:val="00F83216"/>
    <w:rsid w:val="00F83D61"/>
    <w:rsid w:val="00F84537"/>
    <w:rsid w:val="00F86EF9"/>
    <w:rsid w:val="00F900E5"/>
    <w:rsid w:val="00F912D4"/>
    <w:rsid w:val="00F920C6"/>
    <w:rsid w:val="00F92D9A"/>
    <w:rsid w:val="00F9314C"/>
    <w:rsid w:val="00F931AF"/>
    <w:rsid w:val="00FA398E"/>
    <w:rsid w:val="00FA3FFB"/>
    <w:rsid w:val="00FA43F3"/>
    <w:rsid w:val="00FA4ACA"/>
    <w:rsid w:val="00FA69DD"/>
    <w:rsid w:val="00FB0092"/>
    <w:rsid w:val="00FB13BE"/>
    <w:rsid w:val="00FB1969"/>
    <w:rsid w:val="00FB1F56"/>
    <w:rsid w:val="00FB2A55"/>
    <w:rsid w:val="00FB3596"/>
    <w:rsid w:val="00FB452F"/>
    <w:rsid w:val="00FB623E"/>
    <w:rsid w:val="00FC1605"/>
    <w:rsid w:val="00FC3786"/>
    <w:rsid w:val="00FC3800"/>
    <w:rsid w:val="00FC3EF6"/>
    <w:rsid w:val="00FC49B1"/>
    <w:rsid w:val="00FC5F71"/>
    <w:rsid w:val="00FC5FD1"/>
    <w:rsid w:val="00FC61BE"/>
    <w:rsid w:val="00FC68D7"/>
    <w:rsid w:val="00FC7FEF"/>
    <w:rsid w:val="00FD1EF5"/>
    <w:rsid w:val="00FD3FA1"/>
    <w:rsid w:val="00FD48F8"/>
    <w:rsid w:val="00FD689D"/>
    <w:rsid w:val="00FD6B33"/>
    <w:rsid w:val="00FD7F14"/>
    <w:rsid w:val="00FE006D"/>
    <w:rsid w:val="00FE4383"/>
    <w:rsid w:val="00FE5358"/>
    <w:rsid w:val="00FE7103"/>
    <w:rsid w:val="00FE721C"/>
    <w:rsid w:val="00FF06B5"/>
    <w:rsid w:val="00FF217D"/>
    <w:rsid w:val="00FF2321"/>
    <w:rsid w:val="00FF245F"/>
    <w:rsid w:val="00FF2FF3"/>
    <w:rsid w:val="00FF3403"/>
    <w:rsid w:val="00FF3677"/>
    <w:rsid w:val="00FF5DD7"/>
    <w:rsid w:val="00FF7BAA"/>
    <w:rsid w:val="00FF7ED2"/>
    <w:rsid w:val="06B17DD6"/>
    <w:rsid w:val="101D2275"/>
    <w:rsid w:val="13203999"/>
    <w:rsid w:val="165C072D"/>
    <w:rsid w:val="23B86EFC"/>
    <w:rsid w:val="29B80978"/>
    <w:rsid w:val="2D21357E"/>
    <w:rsid w:val="43FB3736"/>
    <w:rsid w:val="4A493C51"/>
    <w:rsid w:val="4B51791A"/>
    <w:rsid w:val="555A1668"/>
    <w:rsid w:val="5EAC56AE"/>
    <w:rsid w:val="6E000344"/>
    <w:rsid w:val="701B08E6"/>
    <w:rsid w:val="711F79C0"/>
    <w:rsid w:val="76F81981"/>
    <w:rsid w:val="78580BEB"/>
    <w:rsid w:val="7C1903CF"/>
    <w:rsid w:val="7CAA4ADE"/>
    <w:rsid w:val="7D324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8"/>
    <w:qFormat/>
    <w:uiPriority w:val="99"/>
    <w:pPr>
      <w:tabs>
        <w:tab w:val="left" w:pos="-945"/>
      </w:tabs>
    </w:pPr>
    <w:rPr>
      <w:rFonts w:ascii="宋体" w:hAnsi="Courier New"/>
    </w:rPr>
  </w:style>
  <w:style w:type="paragraph" w:styleId="3">
    <w:name w:val="annotation text"/>
    <w:basedOn w:val="1"/>
    <w:semiHidden/>
    <w:unhideWhenUsed/>
    <w:qFormat/>
    <w:uiPriority w:val="99"/>
    <w:pPr>
      <w:jc w:val="left"/>
    </w:pPr>
  </w:style>
  <w:style w:type="paragraph" w:styleId="4">
    <w:name w:val="Body Text"/>
    <w:basedOn w:val="1"/>
    <w:qFormat/>
    <w:uiPriority w:val="1"/>
    <w:pPr>
      <w:spacing w:before="43"/>
      <w:ind w:left="120"/>
    </w:pPr>
    <w:rPr>
      <w:rFonts w:ascii="宋体" w:hAnsi="宋体" w:eastAsia="宋体"/>
      <w:sz w:val="32"/>
      <w:szCs w:val="32"/>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hAnsi="Times New Roman" w:eastAsia="宋体" w:cs="Times New Roman"/>
      <w:kern w:val="0"/>
      <w:szCs w:val="20"/>
    </w:rPr>
  </w:style>
  <w:style w:type="character" w:customStyle="1" w:styleId="17">
    <w:name w:val="批注框文本 字符"/>
    <w:basedOn w:val="11"/>
    <w:link w:val="5"/>
    <w:semiHidden/>
    <w:qFormat/>
    <w:uiPriority w:val="99"/>
    <w:rPr>
      <w:sz w:val="18"/>
      <w:szCs w:val="18"/>
    </w:rPr>
  </w:style>
  <w:style w:type="character" w:customStyle="1" w:styleId="18">
    <w:name w:val="纯文本 字符"/>
    <w:basedOn w:val="11"/>
    <w:link w:val="2"/>
    <w:qFormat/>
    <w:uiPriority w:val="99"/>
    <w:rPr>
      <w:rFonts w:ascii="宋体" w:hAnsi="Courier New"/>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2B868-E18D-4DA4-92F9-4BEC5358B9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5922</Words>
  <Characters>6128</Characters>
  <Lines>179</Lines>
  <Paragraphs>135</Paragraphs>
  <TotalTime>121</TotalTime>
  <ScaleCrop>false</ScaleCrop>
  <LinksUpToDate>false</LinksUpToDate>
  <CharactersWithSpaces>6179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2025-03-05T08:30:00Z</dcterms:created>
  <dc:creator>AutoBVT</dc:creator>
  <cp:lastModifiedBy>16555</cp:lastModifiedBy>
  <dcterms:modified xsi:type="dcterms:W3CDTF">2025-05-16T08:28:15Z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eyJoZGlkIjoiMDljYzUzMWQ4OWI0YzBkYjYzMDRhZTY5ZjZkYmFmYTgiLCJ1c2VySWQiOiI1MDYyMCJ9</vt:lpwstr>
  </property>
  <property fmtid="{D5CDD505-2E9C-101B-9397-08002B2CF9AE}" pid="3" name="KSOProductBuildVer">
    <vt:lpwstr>2052-12.1.0.20784</vt:lpwstr>
  </property>
  <property fmtid="{D5CDD505-2E9C-101B-9397-08002B2CF9AE}" pid="4" name="ICV">
    <vt:lpwstr>53D7FA2F92E04EF092C8B11BBF122F5F_13</vt:lpwstr>
  </property>
</Properties>
</file>