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020D5">
      <w:pPr>
        <w:keepNext w:val="0"/>
        <w:keepLines w:val="0"/>
        <w:pageBreakBefore w:val="0"/>
        <w:widowControl w:val="0"/>
        <w:kinsoku/>
        <w:wordWrap/>
        <w:overflowPunct/>
        <w:topLinePunct w:val="0"/>
        <w:autoSpaceDE/>
        <w:autoSpaceDN/>
        <w:bidi w:val="0"/>
        <w:adjustRightInd w:val="0"/>
        <w:snapToGrid w:val="0"/>
        <w:ind w:left="0" w:leftChars="0" w:firstLine="0" w:firstLineChars="0"/>
        <w:jc w:val="left"/>
        <w:textAlignment w:val="auto"/>
        <w:rPr>
          <w:rFonts w:hint="eastAsia" w:ascii="黑体" w:hAnsi="黑体" w:eastAsia="黑体" w:cs="黑体"/>
          <w:sz w:val="32"/>
          <w:szCs w:val="32"/>
          <w:lang w:val="en-US" w:eastAsia="zh-CN"/>
        </w:rPr>
      </w:pPr>
      <w:bookmarkStart w:id="22" w:name="_GoBack"/>
      <w:bookmarkEnd w:id="22"/>
      <w:bookmarkStart w:id="0" w:name="_Toc4246"/>
    </w:p>
    <w:p w14:paraId="22830860">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eastAsia="zh-CN"/>
        </w:rPr>
        <w:t>中国电力建设企业协会团体标准</w:t>
      </w:r>
    </w:p>
    <w:p w14:paraId="7A66E110">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eastAsia="zh-CN"/>
        </w:rPr>
        <w:t>《燃煤电站钢结构防腐蚀技术导则》</w:t>
      </w:r>
    </w:p>
    <w:p w14:paraId="0241DC93">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编制说明</w:t>
      </w:r>
    </w:p>
    <w:p w14:paraId="36CD5C7E">
      <w:pPr>
        <w:pStyle w:val="3"/>
        <w:ind w:left="0" w:leftChars="0" w:firstLineChars="0"/>
        <w:rPr>
          <w:rFonts w:cs="Times New Roman"/>
        </w:rPr>
      </w:pPr>
      <w:r>
        <w:rPr>
          <w:rFonts w:hint="eastAsia" w:cs="Times New Roman"/>
          <w:lang w:val="en-US" w:eastAsia="zh-CN"/>
        </w:rPr>
        <w:t>工作简况</w:t>
      </w:r>
      <w:bookmarkEnd w:id="0"/>
    </w:p>
    <w:p w14:paraId="605C0BCF">
      <w:pPr>
        <w:pStyle w:val="4"/>
      </w:pPr>
      <w:bookmarkStart w:id="1" w:name="_Toc28169"/>
      <w:r>
        <w:rPr>
          <w:rFonts w:hint="eastAsia" w:cs="Times New Roman"/>
          <w:lang w:val="en-US" w:eastAsia="zh-CN"/>
        </w:rPr>
        <w:t>任务来源</w:t>
      </w:r>
      <w:bookmarkEnd w:id="1"/>
    </w:p>
    <w:p w14:paraId="703671CD">
      <w:pPr>
        <w:widowControl/>
        <w:ind w:firstLine="560"/>
        <w:jc w:val="left"/>
        <w:rPr>
          <w:rFonts w:hint="eastAsia" w:cs="Times New Roman"/>
          <w:lang w:val="en-US" w:eastAsia="zh-CN"/>
        </w:rPr>
      </w:pPr>
      <w:r>
        <w:rPr>
          <w:rFonts w:hint="eastAsia" w:cs="Times New Roman"/>
        </w:rPr>
        <w:t>根据中国电力建设企业协会《关于印发2024年第二批中国电力建设企业协会标准制定计划的通知》（中电建协〔2024〕302号），中国电力建设企业协会标准化管理委员会</w:t>
      </w:r>
      <w:r>
        <w:rPr>
          <w:rFonts w:hint="eastAsia" w:cs="Times New Roman"/>
          <w:lang w:val="en-US" w:eastAsia="zh-CN"/>
        </w:rPr>
        <w:t>表决通过2024年第二批中国电力建设企业协会团体标准制定计划，</w:t>
      </w:r>
      <w:r>
        <w:rPr>
          <w:rFonts w:hint="eastAsia" w:cs="Times New Roman"/>
        </w:rPr>
        <w:t>《燃煤电站钢结构防腐蚀技术导则》</w:t>
      </w:r>
      <w:r>
        <w:rPr>
          <w:rFonts w:hint="eastAsia" w:cs="Times New Roman"/>
          <w:lang w:eastAsia="zh-CN"/>
        </w:rPr>
        <w:t>（</w:t>
      </w:r>
      <w:r>
        <w:rPr>
          <w:rFonts w:hint="eastAsia" w:cs="Times New Roman"/>
          <w:lang w:val="en-US" w:eastAsia="zh-CN"/>
        </w:rPr>
        <w:t>计划编号：T/CEPCA 2024030</w:t>
      </w:r>
      <w:r>
        <w:rPr>
          <w:rFonts w:hint="eastAsia" w:cs="Times New Roman"/>
          <w:lang w:eastAsia="zh-CN"/>
        </w:rPr>
        <w:t>）（</w:t>
      </w:r>
      <w:r>
        <w:rPr>
          <w:rFonts w:hint="eastAsia" w:cs="Times New Roman"/>
          <w:lang w:val="en-US" w:eastAsia="zh-CN"/>
        </w:rPr>
        <w:t>以下简称“本标准”</w:t>
      </w:r>
      <w:r>
        <w:rPr>
          <w:rFonts w:hint="eastAsia" w:cs="Times New Roman"/>
          <w:lang w:eastAsia="zh-CN"/>
        </w:rPr>
        <w:t>）由中国电力建设企业协会标准化管理委员会负责管辖</w:t>
      </w:r>
      <w:r>
        <w:rPr>
          <w:rFonts w:hint="eastAsia" w:cs="Times New Roman"/>
        </w:rPr>
        <w:t>，国家能源集团新能源技术研究院有限公司</w:t>
      </w:r>
      <w:r>
        <w:rPr>
          <w:rFonts w:hint="eastAsia" w:cs="Times New Roman"/>
          <w:lang w:eastAsia="zh-CN"/>
        </w:rPr>
        <w:t>（</w:t>
      </w:r>
      <w:r>
        <w:rPr>
          <w:rFonts w:hint="eastAsia" w:cs="Times New Roman"/>
          <w:lang w:val="en-US" w:eastAsia="zh-CN"/>
        </w:rPr>
        <w:t>以下简称“新能源院”</w:t>
      </w:r>
      <w:r>
        <w:rPr>
          <w:rFonts w:hint="eastAsia" w:cs="Times New Roman"/>
          <w:lang w:eastAsia="zh-CN"/>
        </w:rPr>
        <w:t>）</w:t>
      </w:r>
      <w:r>
        <w:rPr>
          <w:rFonts w:hint="eastAsia" w:cs="Times New Roman"/>
          <w:lang w:val="en-US" w:eastAsia="zh-CN"/>
        </w:rPr>
        <w:t>依托2023年度第一批国家能源投资集团有限责任公司技术标准项目（项目编号：</w:t>
      </w:r>
      <w:r>
        <w:rPr>
          <w:rFonts w:hint="default" w:cs="Times New Roman"/>
          <w:lang w:val="en-US" w:eastAsia="zh-CN"/>
        </w:rPr>
        <w:t>BZ2023-049HD</w:t>
      </w:r>
      <w:r>
        <w:rPr>
          <w:rFonts w:hint="eastAsia" w:cs="Times New Roman"/>
          <w:lang w:val="en-US" w:eastAsia="zh-CN"/>
        </w:rPr>
        <w:t>）牵头组织开展编制工作，项目配套经费预算总额为42.71万元，实施周期为12个月。</w:t>
      </w:r>
    </w:p>
    <w:p w14:paraId="3F7B750E">
      <w:pPr>
        <w:pStyle w:val="4"/>
        <w:bidi w:val="0"/>
        <w:rPr>
          <w:rFonts w:hint="default"/>
          <w:lang w:val="en-US" w:eastAsia="zh-CN"/>
        </w:rPr>
      </w:pPr>
      <w:r>
        <w:rPr>
          <w:rFonts w:hint="eastAsia"/>
          <w:lang w:val="en-US" w:eastAsia="zh-CN"/>
        </w:rPr>
        <w:t>制定背景</w:t>
      </w:r>
    </w:p>
    <w:p w14:paraId="4DB17A0F">
      <w:pPr>
        <w:widowControl/>
        <w:ind w:firstLine="560"/>
        <w:jc w:val="left"/>
        <w:rPr>
          <w:rFonts w:cs="Times New Roman"/>
          <w:highlight w:val="none"/>
        </w:rPr>
      </w:pPr>
      <w:r>
        <w:rPr>
          <w:rFonts w:hint="eastAsia"/>
          <w:highlight w:val="none"/>
        </w:rPr>
        <w:t>燃煤电厂中存在大量的钢结构支撑构件，锅炉、烟囱、冷却塔等大型设备普遍采用钢制构件作为支撑结构。由于火电厂工作环境复杂，部分电厂沿海建设，钢结构常年处于高温</w:t>
      </w:r>
      <w:r>
        <w:rPr>
          <w:rFonts w:hint="eastAsia"/>
          <w:highlight w:val="none"/>
          <w:lang w:eastAsia="zh-CN"/>
        </w:rPr>
        <w:t>、</w:t>
      </w:r>
      <w:r>
        <w:rPr>
          <w:rFonts w:hint="eastAsia"/>
          <w:highlight w:val="none"/>
        </w:rPr>
        <w:t>高湿</w:t>
      </w:r>
      <w:r>
        <w:rPr>
          <w:rFonts w:hint="eastAsia"/>
          <w:highlight w:val="none"/>
          <w:lang w:eastAsia="zh-CN"/>
        </w:rPr>
        <w:t>、</w:t>
      </w:r>
      <w:r>
        <w:rPr>
          <w:rFonts w:hint="eastAsia"/>
          <w:highlight w:val="none"/>
          <w:lang w:val="en-US" w:eastAsia="zh-CN"/>
        </w:rPr>
        <w:t>高盐</w:t>
      </w:r>
      <w:r>
        <w:rPr>
          <w:rFonts w:hint="eastAsia"/>
          <w:highlight w:val="none"/>
        </w:rPr>
        <w:t>等恶劣条件下，尤其是对于工业园区及沿海电厂，钢结构表面及链接节点处极易出现腐蚀、锈蚀等问题。</w:t>
      </w:r>
      <w:r>
        <w:rPr>
          <w:rFonts w:hint="eastAsia"/>
          <w:highlight w:val="none"/>
          <w:lang w:val="en-US" w:eastAsia="zh-CN"/>
        </w:rPr>
        <w:t>目前，</w:t>
      </w:r>
      <w:r>
        <w:rPr>
          <w:rFonts w:hint="eastAsia" w:cs="Times New Roman"/>
          <w:highlight w:val="none"/>
        </w:rPr>
        <w:t>燃煤电站钢结构防腐蚀设计和维修通常按照《工业建筑防腐蚀设计标准》（GB/T 50046-2018）和</w:t>
      </w:r>
      <w:r>
        <w:rPr>
          <w:rFonts w:hint="eastAsia"/>
          <w:vertAlign w:val="baseline"/>
          <w:lang w:val="en-US" w:eastAsia="zh-CN"/>
        </w:rPr>
        <w:t>《</w:t>
      </w:r>
      <w:r>
        <w:rPr>
          <w:rFonts w:hint="eastAsia"/>
          <w:lang w:val="en-US" w:eastAsia="zh-CN"/>
        </w:rPr>
        <w:t>色漆和清漆 防护涂料体系对钢结构的防腐蚀保护》（</w:t>
      </w:r>
      <w:r>
        <w:rPr>
          <w:rFonts w:hint="eastAsia" w:cs="Times New Roman"/>
          <w:highlight w:val="none"/>
        </w:rPr>
        <w:t>ISO 12944</w:t>
      </w:r>
      <w:r>
        <w:rPr>
          <w:rFonts w:hint="eastAsia"/>
          <w:lang w:val="en-US" w:eastAsia="zh-CN"/>
        </w:rPr>
        <w:t>）</w:t>
      </w:r>
      <w:r>
        <w:rPr>
          <w:rFonts w:hint="eastAsia" w:cs="Times New Roman"/>
          <w:highlight w:val="none"/>
        </w:rPr>
        <w:t>等通用标准</w:t>
      </w:r>
      <w:r>
        <w:rPr>
          <w:rFonts w:hint="eastAsia" w:cs="Times New Roman"/>
          <w:highlight w:val="none"/>
          <w:lang w:val="en-US" w:eastAsia="zh-CN"/>
        </w:rPr>
        <w:t>执行</w:t>
      </w:r>
      <w:r>
        <w:rPr>
          <w:rFonts w:hint="eastAsia" w:cs="Times New Roman"/>
          <w:highlight w:val="none"/>
        </w:rPr>
        <w:t>。然而，各类钢结构防腐蚀设计目标不明确，需要重点防腐的钢结构范围和措施无统一规定，防腐维修和验收缺乏</w:t>
      </w:r>
      <w:r>
        <w:rPr>
          <w:rFonts w:hint="eastAsia" w:cs="Times New Roman"/>
          <w:highlight w:val="none"/>
          <w:lang w:val="en-US" w:eastAsia="zh-CN"/>
        </w:rPr>
        <w:t>明确</w:t>
      </w:r>
      <w:r>
        <w:rPr>
          <w:rFonts w:hint="eastAsia" w:cs="Times New Roman"/>
          <w:highlight w:val="none"/>
        </w:rPr>
        <w:t>标准。燃煤电站各类钢结构的防腐重要性、维修难易程度和局部腐蚀环境具有自身行业的特点，普遍存在安装储运时间长及局部腐蚀强等行业共性问题，现行通用标准解决上述问题时，针对性不强，进行防腐设计和维护时常常出现过度或不足的情况，导致机组存在运行风险及事故隐患，防腐蚀维修频率及费用过高。制定《燃煤电站钢结构防腐蚀技术导则》能提高燃煤电站钢结构防腐蚀的水平、突出防腐蚀重点，有效提升燃煤电站机组运行安全性，提高能源保供能力，降低运行维护成本。</w:t>
      </w:r>
    </w:p>
    <w:p w14:paraId="441DB68C">
      <w:pPr>
        <w:pStyle w:val="4"/>
        <w:bidi w:val="0"/>
        <w:rPr>
          <w:rFonts w:hint="default"/>
          <w:lang w:val="en-US" w:eastAsia="zh-CN"/>
        </w:rPr>
      </w:pPr>
      <w:bookmarkStart w:id="2" w:name="_Toc9511"/>
      <w:r>
        <w:rPr>
          <w:rFonts w:hint="eastAsia"/>
          <w:lang w:val="en-US" w:eastAsia="zh-CN"/>
        </w:rPr>
        <w:t>编制单位</w:t>
      </w:r>
      <w:bookmarkEnd w:id="2"/>
    </w:p>
    <w:p w14:paraId="784B6210">
      <w:pPr>
        <w:widowControl/>
        <w:ind w:firstLine="560"/>
        <w:jc w:val="left"/>
        <w:rPr>
          <w:sz w:val="16"/>
          <w:szCs w:val="16"/>
        </w:rPr>
      </w:pPr>
      <w:r>
        <w:rPr>
          <w:rFonts w:hint="eastAsia" w:ascii="Times New Roman" w:hAnsi="Times New Roman" w:cs="Times New Roman"/>
          <w:highlight w:val="none"/>
          <w:lang w:val="en-US" w:eastAsia="zh-CN"/>
        </w:rPr>
        <w:t>本标准主要起草单位为国家能源集团新能源技术研究院有限公司，为完成团体标准编制工作，牵头单位联合</w:t>
      </w:r>
      <w:r>
        <w:rPr>
          <w:rFonts w:hint="default" w:ascii="Times New Roman" w:hAnsi="Times New Roman" w:cs="Times New Roman"/>
          <w:highlight w:val="none"/>
          <w:lang w:val="en-US" w:eastAsia="zh-CN"/>
        </w:rPr>
        <w:t>国能电力工程管理有限公司</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清华大学</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中冶检测认证有限公司</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中国电建集团河南省电力勘测设计院有限公司</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中国电力工程顾问集团华北电力设计院有限公司</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山东电力工程咨询院有限公司</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无锡华东锌盾科技有限公司</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国能清远发电有限责任公司</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深圳市嘉达节能环保科技有限公司</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大唐海南能源开发有限公司</w:t>
      </w:r>
      <w:r>
        <w:rPr>
          <w:rFonts w:hint="eastAsia" w:cs="Times New Roman"/>
          <w:highlight w:val="none"/>
          <w:lang w:val="en-US" w:eastAsia="zh-CN"/>
        </w:rPr>
        <w:t>共</w:t>
      </w:r>
      <w:r>
        <w:rPr>
          <w:rFonts w:hint="eastAsia" w:ascii="Times New Roman" w:hAnsi="Times New Roman" w:cs="Times New Roman"/>
          <w:highlight w:val="none"/>
          <w:lang w:val="en-US" w:eastAsia="zh-CN"/>
        </w:rPr>
        <w:t>1</w:t>
      </w:r>
      <w:r>
        <w:rPr>
          <w:rFonts w:hint="eastAsia" w:cs="Times New Roman"/>
          <w:highlight w:val="none"/>
          <w:lang w:val="en-US" w:eastAsia="zh-CN"/>
        </w:rPr>
        <w:t>1</w:t>
      </w:r>
      <w:r>
        <w:rPr>
          <w:rFonts w:hint="eastAsia" w:ascii="Times New Roman" w:hAnsi="Times New Roman" w:cs="Times New Roman"/>
          <w:highlight w:val="none"/>
          <w:lang w:val="en-US" w:eastAsia="zh-CN"/>
        </w:rPr>
        <w:t>家单位成立标准编制组，</w:t>
      </w:r>
      <w:r>
        <w:rPr>
          <w:rFonts w:hint="default" w:ascii="Times New Roman" w:hAnsi="Times New Roman" w:cs="Times New Roman"/>
          <w:highlight w:val="none"/>
          <w:lang w:val="en-US" w:eastAsia="zh-CN"/>
        </w:rPr>
        <w:t>共同完成标准的起草编制工作</w:t>
      </w:r>
      <w:r>
        <w:rPr>
          <w:rFonts w:hint="eastAsia" w:ascii="Times New Roman" w:hAnsi="Times New Roman" w:cs="Times New Roman"/>
          <w:highlight w:val="none"/>
          <w:lang w:val="en-US" w:eastAsia="zh-CN"/>
        </w:rPr>
        <w:t>。</w:t>
      </w:r>
    </w:p>
    <w:p w14:paraId="12AA0129">
      <w:pPr>
        <w:pStyle w:val="4"/>
        <w:bidi w:val="0"/>
        <w:rPr>
          <w:rFonts w:hint="default"/>
          <w:lang w:val="en-US" w:eastAsia="zh-CN"/>
        </w:rPr>
      </w:pPr>
      <w:bookmarkStart w:id="3" w:name="_Toc15641"/>
      <w:r>
        <w:rPr>
          <w:rFonts w:hint="eastAsia"/>
          <w:lang w:val="en-US" w:eastAsia="zh-CN"/>
        </w:rPr>
        <w:t>主要工作过程</w:t>
      </w:r>
      <w:bookmarkEnd w:id="3"/>
    </w:p>
    <w:p w14:paraId="35634C2F">
      <w:pPr>
        <w:bidi w:val="0"/>
        <w:rPr>
          <w:rFonts w:hint="eastAsia"/>
          <w:lang w:val="en-US" w:eastAsia="zh-CN"/>
        </w:rPr>
      </w:pPr>
      <w:r>
        <w:rPr>
          <w:rFonts w:hint="eastAsia"/>
          <w:lang w:val="en-US" w:eastAsia="zh-CN"/>
        </w:rPr>
        <w:t>2024年5月24日，本标准正式获得中国电力建设企业协会批准立项，牵头单位启动团体标准编制准备工作；</w:t>
      </w:r>
    </w:p>
    <w:p w14:paraId="23E4A436">
      <w:pPr>
        <w:bidi w:val="0"/>
        <w:rPr>
          <w:rFonts w:hint="default"/>
          <w:lang w:val="en-US" w:eastAsia="zh-CN"/>
        </w:rPr>
      </w:pPr>
      <w:r>
        <w:rPr>
          <w:rFonts w:hint="eastAsia"/>
          <w:lang w:val="en-US" w:eastAsia="zh-CN"/>
        </w:rPr>
        <w:t>2024年7月，新能源院联合高校、设计院、检测机构、生产厂家、电厂等相关单位成立标准工作组，正式开展编制工作；</w:t>
      </w:r>
    </w:p>
    <w:p w14:paraId="284B36C5">
      <w:pPr>
        <w:bidi w:val="0"/>
        <w:rPr>
          <w:rFonts w:hint="eastAsia"/>
          <w:lang w:val="en-US" w:eastAsia="zh-CN"/>
        </w:rPr>
      </w:pPr>
      <w:r>
        <w:rPr>
          <w:rFonts w:hint="eastAsia"/>
          <w:lang w:val="en-US" w:eastAsia="zh-CN"/>
        </w:rPr>
        <w:t>2024年8月至10月，工作组广泛收集资料，选取我国沿海地区典型燃煤机组深入调研，完善标准编制的方向、范围、框架及提纲；</w:t>
      </w:r>
    </w:p>
    <w:p w14:paraId="3D7AEAEF">
      <w:pPr>
        <w:bidi w:val="0"/>
        <w:rPr>
          <w:rFonts w:hint="eastAsia"/>
          <w:lang w:val="en-US" w:eastAsia="zh-CN"/>
        </w:rPr>
      </w:pPr>
      <w:r>
        <w:rPr>
          <w:rFonts w:hint="eastAsia"/>
          <w:lang w:val="en-US" w:eastAsia="zh-CN"/>
        </w:rPr>
        <w:t>2024年10月18至19日，在江苏省无锡市组织召开标准启动会暨初稿讨论会，明确标准大纲、编制分工及后续编写工作计划；</w:t>
      </w:r>
    </w:p>
    <w:p w14:paraId="4D72F5BD">
      <w:pPr>
        <w:bidi w:val="0"/>
        <w:rPr>
          <w:rFonts w:hint="eastAsia"/>
          <w:lang w:val="en-US" w:eastAsia="zh-CN"/>
        </w:rPr>
      </w:pPr>
      <w:r>
        <w:rPr>
          <w:rFonts w:hint="eastAsia"/>
          <w:lang w:val="en-US" w:eastAsia="zh-CN"/>
        </w:rPr>
        <w:t>2025年3月4日，通过网络视频会议形式组织召开讨论会，梳理各章节条目，进一步完善标准内容；</w:t>
      </w:r>
    </w:p>
    <w:p w14:paraId="46AE020D">
      <w:pPr>
        <w:bidi w:val="0"/>
        <w:rPr>
          <w:rFonts w:hint="eastAsia"/>
          <w:lang w:val="en-US" w:eastAsia="zh-CN"/>
        </w:rPr>
      </w:pPr>
      <w:r>
        <w:rPr>
          <w:rFonts w:hint="eastAsia"/>
          <w:lang w:val="en-US" w:eastAsia="zh-CN"/>
        </w:rPr>
        <w:t>2025年3月26日，编制人员根据讨论会结果修改初稿内容及格式，形成征求意见稿讨论稿；</w:t>
      </w:r>
    </w:p>
    <w:p w14:paraId="528A6A7E">
      <w:pPr>
        <w:bidi w:val="0"/>
        <w:rPr>
          <w:rFonts w:hint="eastAsia"/>
          <w:lang w:val="en-US" w:eastAsia="zh-CN"/>
        </w:rPr>
      </w:pPr>
      <w:r>
        <w:rPr>
          <w:rFonts w:hint="eastAsia" w:ascii="Times New Roman" w:hAnsi="Times New Roman"/>
          <w:lang w:val="en-US" w:eastAsia="zh-CN"/>
        </w:rPr>
        <w:t>2025年</w:t>
      </w:r>
      <w:r>
        <w:rPr>
          <w:rFonts w:hint="eastAsia"/>
          <w:lang w:val="en-US" w:eastAsia="zh-CN"/>
        </w:rPr>
        <w:t>5月22至23日，在广东省清远市组织召开标准征求意见稿定稿会，经与会人员充分讨论，形成会议纪要明确标准具体修改意见及下一步工作安排；</w:t>
      </w:r>
    </w:p>
    <w:p w14:paraId="0BF8CDA9">
      <w:pPr>
        <w:bidi w:val="0"/>
        <w:rPr>
          <w:rFonts w:cs="Times New Roman"/>
          <w:highlight w:val="none"/>
        </w:rPr>
      </w:pPr>
      <w:r>
        <w:rPr>
          <w:rFonts w:hint="eastAsia"/>
          <w:lang w:val="en-US" w:eastAsia="zh-CN"/>
        </w:rPr>
        <w:t>2025年6月20日，编制人员根据定稿会会议纪要内容完成对征求意见稿的修编工作，形成定稿版征求意见稿。</w:t>
      </w:r>
    </w:p>
    <w:p w14:paraId="41ED229B">
      <w:pPr>
        <w:pStyle w:val="3"/>
        <w:ind w:left="0" w:leftChars="0" w:firstLineChars="0"/>
        <w:rPr>
          <w:rFonts w:cs="Times New Roman"/>
        </w:rPr>
      </w:pPr>
      <w:bookmarkStart w:id="4" w:name="_Toc15523"/>
      <w:r>
        <w:rPr>
          <w:rFonts w:hint="eastAsia" w:ascii="仿宋_GB2312" w:hAnsi="仿宋_GB2312" w:eastAsia="仿宋_GB2312" w:cs="仿宋_GB2312"/>
          <w:sz w:val="32"/>
          <w:szCs w:val="32"/>
        </w:rPr>
        <w:t>标准编制原则、主要内容及其确定依据</w:t>
      </w:r>
      <w:bookmarkEnd w:id="4"/>
    </w:p>
    <w:p w14:paraId="62EDCA9E">
      <w:pPr>
        <w:pStyle w:val="4"/>
        <w:bidi w:val="0"/>
        <w:rPr>
          <w:rFonts w:hint="default"/>
          <w:lang w:val="en-US" w:eastAsia="zh-CN"/>
        </w:rPr>
      </w:pPr>
      <w:bookmarkStart w:id="5" w:name="_Toc11305"/>
      <w:r>
        <w:rPr>
          <w:rFonts w:hint="eastAsia"/>
          <w:lang w:val="en-US" w:eastAsia="zh-CN"/>
        </w:rPr>
        <w:t>编制原则</w:t>
      </w:r>
      <w:bookmarkEnd w:id="5"/>
    </w:p>
    <w:p w14:paraId="67FC35CD">
      <w:pPr>
        <w:numPr>
          <w:ilvl w:val="0"/>
          <w:numId w:val="2"/>
        </w:numPr>
        <w:ind w:left="0" w:leftChars="0" w:firstLine="560" w:firstLineChars="200"/>
        <w:rPr>
          <w:rFonts w:cs="Times New Roman"/>
        </w:rPr>
      </w:pPr>
      <w:r>
        <w:rPr>
          <w:rFonts w:hint="eastAsia" w:cs="Times New Roman"/>
          <w:lang w:val="en-US" w:eastAsia="zh-CN"/>
        </w:rPr>
        <w:t>先进性原则</w:t>
      </w:r>
    </w:p>
    <w:p w14:paraId="3EA9040E">
      <w:pPr>
        <w:bidi w:val="0"/>
        <w:rPr>
          <w:rFonts w:hint="default"/>
          <w:lang w:val="en-US" w:eastAsia="zh-CN"/>
        </w:rPr>
      </w:pPr>
      <w:r>
        <w:rPr>
          <w:rFonts w:hint="eastAsia"/>
          <w:lang w:val="en-US" w:eastAsia="zh-CN"/>
        </w:rPr>
        <w:t>标准工作组针对燃煤电站钢结构防腐工作存在的问题，广泛调查深入研究，认真总结工程经验，在严格遵守国家标准和政策法规的前提下，提出符合当前工程实践和我国未来燃煤电站发展趋势的技术要求，以推动火电行业的健康平稳发展。</w:t>
      </w:r>
    </w:p>
    <w:p w14:paraId="607780DE">
      <w:pPr>
        <w:numPr>
          <w:ilvl w:val="0"/>
          <w:numId w:val="2"/>
        </w:numPr>
        <w:ind w:left="0" w:leftChars="0" w:firstLine="560" w:firstLineChars="200"/>
        <w:rPr>
          <w:rFonts w:cs="Times New Roman"/>
        </w:rPr>
      </w:pPr>
      <w:r>
        <w:rPr>
          <w:rFonts w:hint="eastAsia" w:cs="Times New Roman"/>
          <w:lang w:val="en-US" w:eastAsia="zh-CN"/>
        </w:rPr>
        <w:t>科学性原则</w:t>
      </w:r>
    </w:p>
    <w:p w14:paraId="1C3897CB">
      <w:pPr>
        <w:bidi w:val="0"/>
        <w:rPr>
          <w:rFonts w:hint="default"/>
          <w:lang w:val="en-US" w:eastAsia="zh-CN"/>
        </w:rPr>
      </w:pPr>
      <w:r>
        <w:rPr>
          <w:rFonts w:hint="eastAsia"/>
          <w:lang w:val="en-US" w:eastAsia="zh-CN"/>
        </w:rPr>
        <w:t>本标准依据工程建设相关法律法规、技术标准以及燃煤电站钢结构防腐蚀工程的特点，充分总结现有工程的实际设计、建设及运维经验，确保标准内容科学合理。</w:t>
      </w:r>
    </w:p>
    <w:p w14:paraId="148C790E">
      <w:pPr>
        <w:numPr>
          <w:ilvl w:val="0"/>
          <w:numId w:val="2"/>
        </w:numPr>
        <w:ind w:left="0" w:leftChars="0" w:firstLine="560" w:firstLineChars="200"/>
        <w:rPr>
          <w:rFonts w:cs="Times New Roman"/>
        </w:rPr>
      </w:pPr>
      <w:r>
        <w:rPr>
          <w:rFonts w:hint="eastAsia" w:cs="Times New Roman"/>
          <w:lang w:val="en-US" w:eastAsia="zh-CN"/>
        </w:rPr>
        <w:t>可行性原则</w:t>
      </w:r>
    </w:p>
    <w:p w14:paraId="4DDCC34C">
      <w:pPr>
        <w:bidi w:val="0"/>
        <w:rPr>
          <w:rFonts w:hint="default" w:eastAsia="仿宋_GB2312" w:cs="Times New Roman"/>
          <w:lang w:val="en-US" w:eastAsia="zh-CN"/>
        </w:rPr>
      </w:pPr>
      <w:r>
        <w:rPr>
          <w:rFonts w:hint="eastAsia"/>
          <w:lang w:val="en-US" w:eastAsia="zh-CN"/>
        </w:rPr>
        <w:t>本标准所提技术要求均不低于国家现行标准，并与国家现行标准、国家及地方法律法规政策保持协调一致，条款规定明确、清晰无歧义，可满足指导工程建设及应用推广的要求。</w:t>
      </w:r>
    </w:p>
    <w:p w14:paraId="61202961">
      <w:pPr>
        <w:numPr>
          <w:ilvl w:val="0"/>
          <w:numId w:val="2"/>
        </w:numPr>
        <w:ind w:left="0" w:leftChars="0" w:firstLine="560" w:firstLineChars="200"/>
        <w:rPr>
          <w:rFonts w:cs="Times New Roman"/>
        </w:rPr>
      </w:pPr>
      <w:bookmarkStart w:id="6" w:name="OLE_LINK6"/>
      <w:r>
        <w:rPr>
          <w:rFonts w:hint="eastAsia" w:cs="Times New Roman"/>
          <w:lang w:val="en-US" w:eastAsia="zh-CN"/>
        </w:rPr>
        <w:t>规范性原则</w:t>
      </w:r>
    </w:p>
    <w:p w14:paraId="5632580C">
      <w:pPr>
        <w:bidi w:val="0"/>
        <w:rPr>
          <w:rFonts w:hint="eastAsia"/>
          <w:lang w:val="en-US" w:eastAsia="zh-CN"/>
        </w:rPr>
      </w:pPr>
      <w:r>
        <w:rPr>
          <w:rFonts w:hint="eastAsia"/>
          <w:lang w:val="en-US" w:eastAsia="zh-CN"/>
        </w:rPr>
        <w:t>本标准严格</w:t>
      </w:r>
      <w:r>
        <w:rPr>
          <w:rFonts w:hint="eastAsia"/>
        </w:rPr>
        <w:t>按照《标准化工作导则 第1部分</w:t>
      </w:r>
      <w:r>
        <w:rPr>
          <w:rFonts w:hint="eastAsia"/>
          <w:lang w:eastAsia="zh-CN"/>
        </w:rPr>
        <w:t>：</w:t>
      </w:r>
      <w:r>
        <w:rPr>
          <w:rFonts w:hint="eastAsia"/>
        </w:rPr>
        <w:t>标准化文件的结构和起草规则》</w:t>
      </w:r>
      <w:r>
        <w:rPr>
          <w:rFonts w:hint="eastAsia"/>
          <w:lang w:eastAsia="zh-CN"/>
        </w:rPr>
        <w:t>（</w:t>
      </w:r>
      <w:r>
        <w:rPr>
          <w:rFonts w:hint="eastAsia"/>
        </w:rPr>
        <w:t>GB/T 1.1-2020</w:t>
      </w:r>
      <w:r>
        <w:rPr>
          <w:rFonts w:hint="eastAsia"/>
          <w:lang w:eastAsia="zh-CN"/>
        </w:rPr>
        <w:t>）</w:t>
      </w:r>
      <w:r>
        <w:rPr>
          <w:rFonts w:hint="eastAsia"/>
        </w:rPr>
        <w:t>的规定编写</w:t>
      </w:r>
      <w:r>
        <w:rPr>
          <w:rFonts w:hint="eastAsia"/>
          <w:lang w:eastAsia="zh-CN"/>
        </w:rPr>
        <w:t>，</w:t>
      </w:r>
      <w:r>
        <w:rPr>
          <w:rFonts w:hint="eastAsia"/>
          <w:lang w:val="en-US" w:eastAsia="zh-CN"/>
        </w:rPr>
        <w:t>并符合《标准起草规则》（</w:t>
      </w:r>
      <w:r>
        <w:rPr>
          <w:rFonts w:hint="eastAsia"/>
        </w:rPr>
        <w:t xml:space="preserve">GB/T </w:t>
      </w:r>
      <w:r>
        <w:rPr>
          <w:rFonts w:hint="eastAsia"/>
          <w:lang w:val="en-US" w:eastAsia="zh-CN"/>
        </w:rPr>
        <w:t>20001）系列标准中的相关规定。</w:t>
      </w:r>
    </w:p>
    <w:p w14:paraId="3D6C2FDC">
      <w:pPr>
        <w:pStyle w:val="4"/>
        <w:bidi w:val="0"/>
        <w:rPr>
          <w:rFonts w:hint="eastAsia"/>
          <w:lang w:val="en-US" w:eastAsia="zh-CN"/>
        </w:rPr>
      </w:pPr>
      <w:bookmarkStart w:id="7" w:name="_Toc3302"/>
      <w:r>
        <w:rPr>
          <w:rFonts w:hint="eastAsia"/>
          <w:lang w:val="en-US" w:eastAsia="zh-CN"/>
        </w:rPr>
        <w:t>标准框架</w:t>
      </w:r>
      <w:bookmarkEnd w:id="7"/>
    </w:p>
    <w:p w14:paraId="67EEE828">
      <w:pPr>
        <w:bidi w:val="0"/>
        <w:rPr>
          <w:rFonts w:hint="eastAsia"/>
          <w:lang w:val="en-US" w:eastAsia="zh-CN"/>
        </w:rPr>
      </w:pPr>
      <w:r>
        <w:rPr>
          <w:rFonts w:hint="eastAsia"/>
          <w:lang w:val="en-US" w:eastAsia="zh-CN"/>
        </w:rPr>
        <w:t>本标准的主要内容框架如表1</w:t>
      </w:r>
    </w:p>
    <w:p w14:paraId="564F130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lang w:val="en-US" w:eastAsia="zh-CN"/>
        </w:rPr>
      </w:pPr>
      <w:r>
        <w:rPr>
          <w:rFonts w:hint="eastAsia"/>
          <w:lang w:val="en-US" w:eastAsia="zh-CN"/>
        </w:rPr>
        <w:t>表1 标准主要内容框架</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268"/>
        <w:gridCol w:w="5103"/>
      </w:tblGrid>
      <w:tr w14:paraId="03B6BC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46" w:type="dxa"/>
            <w:tcBorders>
              <w:tl2br w:val="nil"/>
              <w:tr2bl w:val="nil"/>
            </w:tcBorders>
            <w:vAlign w:val="center"/>
          </w:tcPr>
          <w:p w14:paraId="278C41B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b/>
                <w:sz w:val="24"/>
                <w:szCs w:val="24"/>
              </w:rPr>
            </w:pPr>
            <w:r>
              <w:rPr>
                <w:rFonts w:hint="eastAsia" w:ascii="仿宋_GB2312" w:eastAsia="仿宋_GB2312"/>
                <w:b/>
                <w:sz w:val="24"/>
                <w:szCs w:val="24"/>
              </w:rPr>
              <w:t>序号</w:t>
            </w:r>
          </w:p>
        </w:tc>
        <w:tc>
          <w:tcPr>
            <w:tcW w:w="2268" w:type="dxa"/>
            <w:tcBorders>
              <w:tl2br w:val="nil"/>
              <w:tr2bl w:val="nil"/>
            </w:tcBorders>
            <w:vAlign w:val="center"/>
          </w:tcPr>
          <w:p w14:paraId="4EF96AD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b/>
                <w:sz w:val="24"/>
                <w:szCs w:val="24"/>
              </w:rPr>
            </w:pPr>
            <w:r>
              <w:rPr>
                <w:rFonts w:hint="eastAsia" w:ascii="仿宋_GB2312" w:eastAsia="仿宋_GB2312"/>
                <w:b/>
                <w:sz w:val="24"/>
                <w:szCs w:val="24"/>
              </w:rPr>
              <w:t>要素类型</w:t>
            </w:r>
          </w:p>
        </w:tc>
        <w:tc>
          <w:tcPr>
            <w:tcW w:w="5103" w:type="dxa"/>
            <w:tcBorders>
              <w:tl2br w:val="nil"/>
              <w:tr2bl w:val="nil"/>
            </w:tcBorders>
            <w:vAlign w:val="center"/>
          </w:tcPr>
          <w:p w14:paraId="4798B0A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b/>
                <w:sz w:val="24"/>
                <w:szCs w:val="24"/>
              </w:rPr>
            </w:pPr>
            <w:r>
              <w:rPr>
                <w:rFonts w:hint="eastAsia" w:ascii="仿宋_GB2312" w:eastAsia="仿宋_GB2312"/>
                <w:b/>
                <w:sz w:val="24"/>
                <w:szCs w:val="24"/>
              </w:rPr>
              <w:t>要素编排</w:t>
            </w:r>
          </w:p>
        </w:tc>
      </w:tr>
      <w:tr w14:paraId="346A9E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vMerge w:val="restart"/>
            <w:tcBorders>
              <w:tl2br w:val="nil"/>
              <w:tr2bl w:val="nil"/>
            </w:tcBorders>
            <w:vAlign w:val="center"/>
          </w:tcPr>
          <w:p w14:paraId="498EC9A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r>
              <w:rPr>
                <w:rFonts w:ascii="仿宋_GB2312" w:eastAsia="仿宋_GB2312"/>
                <w:sz w:val="24"/>
                <w:szCs w:val="24"/>
              </w:rPr>
              <w:t>1</w:t>
            </w:r>
          </w:p>
        </w:tc>
        <w:tc>
          <w:tcPr>
            <w:tcW w:w="2268" w:type="dxa"/>
            <w:vMerge w:val="restart"/>
            <w:tcBorders>
              <w:tl2br w:val="nil"/>
              <w:tr2bl w:val="nil"/>
            </w:tcBorders>
            <w:vAlign w:val="center"/>
          </w:tcPr>
          <w:p w14:paraId="2A8E95B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r>
              <w:rPr>
                <w:rFonts w:hint="eastAsia" w:ascii="仿宋_GB2312" w:eastAsia="仿宋_GB2312"/>
                <w:sz w:val="24"/>
                <w:szCs w:val="24"/>
              </w:rPr>
              <w:t>资料性概述要素</w:t>
            </w:r>
          </w:p>
        </w:tc>
        <w:tc>
          <w:tcPr>
            <w:tcW w:w="5103" w:type="dxa"/>
            <w:tcBorders>
              <w:tl2br w:val="nil"/>
              <w:tr2bl w:val="nil"/>
            </w:tcBorders>
            <w:vAlign w:val="center"/>
          </w:tcPr>
          <w:p w14:paraId="3824BF7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r>
              <w:rPr>
                <w:rFonts w:hint="eastAsia" w:ascii="仿宋_GB2312" w:eastAsia="仿宋_GB2312"/>
                <w:sz w:val="24"/>
                <w:szCs w:val="24"/>
              </w:rPr>
              <w:t>封面</w:t>
            </w:r>
          </w:p>
        </w:tc>
      </w:tr>
      <w:tr w14:paraId="583BBD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vMerge w:val="continue"/>
            <w:tcBorders>
              <w:tl2br w:val="nil"/>
              <w:tr2bl w:val="nil"/>
            </w:tcBorders>
            <w:vAlign w:val="center"/>
          </w:tcPr>
          <w:p w14:paraId="6E7BFD1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2268" w:type="dxa"/>
            <w:vMerge w:val="continue"/>
            <w:tcBorders>
              <w:tl2br w:val="nil"/>
              <w:tr2bl w:val="nil"/>
            </w:tcBorders>
            <w:vAlign w:val="center"/>
          </w:tcPr>
          <w:p w14:paraId="0FE1504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5103" w:type="dxa"/>
            <w:tcBorders>
              <w:tl2br w:val="nil"/>
              <w:tr2bl w:val="nil"/>
            </w:tcBorders>
            <w:vAlign w:val="center"/>
          </w:tcPr>
          <w:p w14:paraId="1C5E128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r>
              <w:rPr>
                <w:rFonts w:hint="eastAsia" w:ascii="仿宋_GB2312" w:eastAsia="仿宋_GB2312"/>
                <w:sz w:val="24"/>
                <w:szCs w:val="24"/>
              </w:rPr>
              <w:t>目次</w:t>
            </w:r>
          </w:p>
        </w:tc>
      </w:tr>
      <w:tr w14:paraId="114237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vMerge w:val="continue"/>
            <w:tcBorders>
              <w:tl2br w:val="nil"/>
              <w:tr2bl w:val="nil"/>
            </w:tcBorders>
            <w:vAlign w:val="center"/>
          </w:tcPr>
          <w:p w14:paraId="3FDEEB6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2268" w:type="dxa"/>
            <w:vMerge w:val="continue"/>
            <w:tcBorders>
              <w:tl2br w:val="nil"/>
              <w:tr2bl w:val="nil"/>
            </w:tcBorders>
            <w:vAlign w:val="center"/>
          </w:tcPr>
          <w:p w14:paraId="209BA5A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5103" w:type="dxa"/>
            <w:tcBorders>
              <w:tl2br w:val="nil"/>
              <w:tr2bl w:val="nil"/>
            </w:tcBorders>
            <w:vAlign w:val="center"/>
          </w:tcPr>
          <w:p w14:paraId="62AA12A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r>
              <w:rPr>
                <w:rFonts w:hint="eastAsia" w:ascii="仿宋_GB2312" w:eastAsia="仿宋_GB2312"/>
                <w:sz w:val="24"/>
                <w:szCs w:val="24"/>
              </w:rPr>
              <w:t>前言</w:t>
            </w:r>
          </w:p>
        </w:tc>
      </w:tr>
      <w:tr w14:paraId="52BB2D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vMerge w:val="continue"/>
            <w:tcBorders>
              <w:tl2br w:val="nil"/>
              <w:tr2bl w:val="nil"/>
            </w:tcBorders>
            <w:vAlign w:val="center"/>
          </w:tcPr>
          <w:p w14:paraId="26AC673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2268" w:type="dxa"/>
            <w:vMerge w:val="continue"/>
            <w:tcBorders>
              <w:tl2br w:val="nil"/>
              <w:tr2bl w:val="nil"/>
            </w:tcBorders>
            <w:vAlign w:val="center"/>
          </w:tcPr>
          <w:p w14:paraId="749A51A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5103" w:type="dxa"/>
            <w:tcBorders>
              <w:tl2br w:val="nil"/>
              <w:tr2bl w:val="nil"/>
            </w:tcBorders>
            <w:vAlign w:val="center"/>
          </w:tcPr>
          <w:p w14:paraId="5B5762C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r>
              <w:rPr>
                <w:rFonts w:hint="eastAsia" w:ascii="仿宋_GB2312" w:eastAsia="仿宋_GB2312"/>
                <w:sz w:val="24"/>
                <w:szCs w:val="24"/>
              </w:rPr>
              <w:t>引言</w:t>
            </w:r>
          </w:p>
        </w:tc>
      </w:tr>
      <w:tr w14:paraId="1D4535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vMerge w:val="restart"/>
            <w:tcBorders>
              <w:tl2br w:val="nil"/>
              <w:tr2bl w:val="nil"/>
            </w:tcBorders>
            <w:vAlign w:val="center"/>
          </w:tcPr>
          <w:p w14:paraId="5671C8E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r>
              <w:rPr>
                <w:rFonts w:ascii="仿宋_GB2312" w:eastAsia="仿宋_GB2312"/>
                <w:sz w:val="24"/>
                <w:szCs w:val="24"/>
              </w:rPr>
              <w:t>2</w:t>
            </w:r>
          </w:p>
        </w:tc>
        <w:tc>
          <w:tcPr>
            <w:tcW w:w="2268" w:type="dxa"/>
            <w:vMerge w:val="restart"/>
            <w:tcBorders>
              <w:tl2br w:val="nil"/>
              <w:tr2bl w:val="nil"/>
            </w:tcBorders>
            <w:vAlign w:val="center"/>
          </w:tcPr>
          <w:p w14:paraId="212B6E5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r>
              <w:rPr>
                <w:rFonts w:hint="eastAsia" w:ascii="仿宋_GB2312" w:eastAsia="仿宋_GB2312"/>
                <w:sz w:val="24"/>
                <w:szCs w:val="24"/>
              </w:rPr>
              <w:t>规范性一般要素</w:t>
            </w:r>
          </w:p>
        </w:tc>
        <w:tc>
          <w:tcPr>
            <w:tcW w:w="5103" w:type="dxa"/>
            <w:tcBorders>
              <w:tl2br w:val="nil"/>
              <w:tr2bl w:val="nil"/>
            </w:tcBorders>
            <w:vAlign w:val="center"/>
          </w:tcPr>
          <w:p w14:paraId="624CE2C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r>
              <w:rPr>
                <w:rFonts w:hint="eastAsia" w:ascii="仿宋_GB2312" w:eastAsia="仿宋_GB2312"/>
                <w:sz w:val="24"/>
                <w:szCs w:val="24"/>
              </w:rPr>
              <w:t>标准名称</w:t>
            </w:r>
          </w:p>
        </w:tc>
      </w:tr>
      <w:tr w14:paraId="1A829A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vMerge w:val="continue"/>
            <w:tcBorders>
              <w:tl2br w:val="nil"/>
              <w:tr2bl w:val="nil"/>
            </w:tcBorders>
            <w:vAlign w:val="center"/>
          </w:tcPr>
          <w:p w14:paraId="06C23E0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2268" w:type="dxa"/>
            <w:vMerge w:val="continue"/>
            <w:tcBorders>
              <w:tl2br w:val="nil"/>
              <w:tr2bl w:val="nil"/>
            </w:tcBorders>
            <w:vAlign w:val="center"/>
          </w:tcPr>
          <w:p w14:paraId="05772A3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5103" w:type="dxa"/>
            <w:tcBorders>
              <w:tl2br w:val="nil"/>
              <w:tr2bl w:val="nil"/>
            </w:tcBorders>
            <w:vAlign w:val="center"/>
          </w:tcPr>
          <w:p w14:paraId="5AAECFF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r>
              <w:rPr>
                <w:rFonts w:hint="eastAsia" w:ascii="仿宋_GB2312" w:eastAsia="仿宋_GB2312"/>
                <w:sz w:val="24"/>
                <w:szCs w:val="24"/>
              </w:rPr>
              <w:t>范围</w:t>
            </w:r>
          </w:p>
        </w:tc>
      </w:tr>
      <w:tr w14:paraId="0752C8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vMerge w:val="continue"/>
            <w:tcBorders>
              <w:tl2br w:val="nil"/>
              <w:tr2bl w:val="nil"/>
            </w:tcBorders>
            <w:vAlign w:val="center"/>
          </w:tcPr>
          <w:p w14:paraId="6DC4AD6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2268" w:type="dxa"/>
            <w:vMerge w:val="continue"/>
            <w:tcBorders>
              <w:tl2br w:val="nil"/>
              <w:tr2bl w:val="nil"/>
            </w:tcBorders>
            <w:vAlign w:val="center"/>
          </w:tcPr>
          <w:p w14:paraId="3C20E7B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5103" w:type="dxa"/>
            <w:tcBorders>
              <w:tl2br w:val="nil"/>
              <w:tr2bl w:val="nil"/>
            </w:tcBorders>
            <w:vAlign w:val="center"/>
          </w:tcPr>
          <w:p w14:paraId="7C9DC79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r>
              <w:rPr>
                <w:rFonts w:hint="eastAsia" w:ascii="仿宋_GB2312" w:eastAsia="仿宋_GB2312"/>
                <w:sz w:val="24"/>
                <w:szCs w:val="24"/>
              </w:rPr>
              <w:t>规范性引用文件</w:t>
            </w:r>
          </w:p>
        </w:tc>
      </w:tr>
      <w:tr w14:paraId="0E0BB5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vMerge w:val="restart"/>
            <w:tcBorders>
              <w:tl2br w:val="nil"/>
              <w:tr2bl w:val="nil"/>
            </w:tcBorders>
            <w:vAlign w:val="center"/>
          </w:tcPr>
          <w:p w14:paraId="78E03E1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r>
              <w:rPr>
                <w:rFonts w:ascii="仿宋_GB2312" w:eastAsia="仿宋_GB2312"/>
                <w:sz w:val="24"/>
                <w:szCs w:val="24"/>
              </w:rPr>
              <w:t>3</w:t>
            </w:r>
          </w:p>
        </w:tc>
        <w:tc>
          <w:tcPr>
            <w:tcW w:w="2268" w:type="dxa"/>
            <w:vMerge w:val="restart"/>
            <w:tcBorders>
              <w:tl2br w:val="nil"/>
              <w:tr2bl w:val="nil"/>
            </w:tcBorders>
            <w:vAlign w:val="center"/>
          </w:tcPr>
          <w:p w14:paraId="2A435A7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r>
              <w:rPr>
                <w:rFonts w:hint="eastAsia" w:ascii="仿宋_GB2312" w:eastAsia="仿宋_GB2312"/>
                <w:sz w:val="24"/>
                <w:szCs w:val="24"/>
              </w:rPr>
              <w:t>规范性技术要素</w:t>
            </w:r>
          </w:p>
        </w:tc>
        <w:tc>
          <w:tcPr>
            <w:tcW w:w="5103" w:type="dxa"/>
            <w:tcBorders>
              <w:tl2br w:val="nil"/>
              <w:tr2bl w:val="nil"/>
            </w:tcBorders>
            <w:vAlign w:val="center"/>
          </w:tcPr>
          <w:p w14:paraId="7B18907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r>
              <w:rPr>
                <w:rFonts w:hint="eastAsia" w:ascii="仿宋_GB2312" w:eastAsia="仿宋_GB2312"/>
                <w:sz w:val="24"/>
                <w:szCs w:val="24"/>
              </w:rPr>
              <w:t>术语和定义</w:t>
            </w:r>
          </w:p>
        </w:tc>
      </w:tr>
      <w:tr w14:paraId="231EE8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vMerge w:val="continue"/>
            <w:tcBorders>
              <w:tl2br w:val="nil"/>
              <w:tr2bl w:val="nil"/>
            </w:tcBorders>
            <w:vAlign w:val="center"/>
          </w:tcPr>
          <w:p w14:paraId="3DC4371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2268" w:type="dxa"/>
            <w:vMerge w:val="continue"/>
            <w:tcBorders>
              <w:tl2br w:val="nil"/>
              <w:tr2bl w:val="nil"/>
            </w:tcBorders>
            <w:vAlign w:val="center"/>
          </w:tcPr>
          <w:p w14:paraId="235B694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5103" w:type="dxa"/>
            <w:tcBorders>
              <w:tl2br w:val="nil"/>
              <w:tr2bl w:val="nil"/>
            </w:tcBorders>
            <w:vAlign w:val="center"/>
          </w:tcPr>
          <w:p w14:paraId="18B84C4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仿宋_GB2312" w:eastAsia="仿宋_GB2312"/>
                <w:sz w:val="24"/>
                <w:szCs w:val="24"/>
                <w:lang w:val="en-US" w:eastAsia="zh-CN"/>
              </w:rPr>
            </w:pPr>
            <w:r>
              <w:rPr>
                <w:rFonts w:hint="eastAsia" w:ascii="仿宋_GB2312"/>
                <w:sz w:val="24"/>
                <w:szCs w:val="24"/>
                <w:lang w:val="en-US" w:eastAsia="zh-CN"/>
              </w:rPr>
              <w:t>基本规定</w:t>
            </w:r>
          </w:p>
        </w:tc>
      </w:tr>
      <w:tr w14:paraId="420EE2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vMerge w:val="continue"/>
            <w:tcBorders>
              <w:tl2br w:val="nil"/>
              <w:tr2bl w:val="nil"/>
            </w:tcBorders>
            <w:vAlign w:val="center"/>
          </w:tcPr>
          <w:p w14:paraId="41B19CC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2268" w:type="dxa"/>
            <w:vMerge w:val="continue"/>
            <w:tcBorders>
              <w:tl2br w:val="nil"/>
              <w:tr2bl w:val="nil"/>
            </w:tcBorders>
            <w:vAlign w:val="center"/>
          </w:tcPr>
          <w:p w14:paraId="744F2FD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5103" w:type="dxa"/>
            <w:tcBorders>
              <w:tl2br w:val="nil"/>
              <w:tr2bl w:val="nil"/>
            </w:tcBorders>
            <w:vAlign w:val="center"/>
          </w:tcPr>
          <w:p w14:paraId="7762B5C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eastAsia="仿宋_GB2312"/>
                <w:sz w:val="24"/>
                <w:szCs w:val="24"/>
                <w:lang w:val="en-US" w:eastAsia="zh-CN"/>
              </w:rPr>
            </w:pPr>
            <w:r>
              <w:rPr>
                <w:rFonts w:hint="eastAsia" w:ascii="仿宋_GB2312"/>
                <w:sz w:val="24"/>
                <w:szCs w:val="24"/>
                <w:lang w:val="en-US" w:eastAsia="zh-CN"/>
              </w:rPr>
              <w:t>设计</w:t>
            </w:r>
          </w:p>
        </w:tc>
      </w:tr>
      <w:tr w14:paraId="5562B2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vMerge w:val="continue"/>
            <w:tcBorders>
              <w:tl2br w:val="nil"/>
              <w:tr2bl w:val="nil"/>
            </w:tcBorders>
            <w:vAlign w:val="center"/>
          </w:tcPr>
          <w:p w14:paraId="75D31CC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2268" w:type="dxa"/>
            <w:vMerge w:val="continue"/>
            <w:tcBorders>
              <w:tl2br w:val="nil"/>
              <w:tr2bl w:val="nil"/>
            </w:tcBorders>
            <w:vAlign w:val="center"/>
          </w:tcPr>
          <w:p w14:paraId="261F470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5103" w:type="dxa"/>
            <w:tcBorders>
              <w:tl2br w:val="nil"/>
              <w:tr2bl w:val="nil"/>
            </w:tcBorders>
            <w:vAlign w:val="center"/>
          </w:tcPr>
          <w:p w14:paraId="7A71BEF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eastAsia="仿宋_GB2312"/>
                <w:sz w:val="24"/>
                <w:szCs w:val="24"/>
                <w:lang w:val="en-US" w:eastAsia="zh-CN"/>
              </w:rPr>
            </w:pPr>
            <w:r>
              <w:rPr>
                <w:rFonts w:hint="eastAsia" w:ascii="仿宋_GB2312"/>
                <w:sz w:val="24"/>
                <w:szCs w:val="24"/>
                <w:lang w:val="en-US" w:eastAsia="zh-CN"/>
              </w:rPr>
              <w:t>施工</w:t>
            </w:r>
          </w:p>
        </w:tc>
      </w:tr>
      <w:tr w14:paraId="6C7A42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vMerge w:val="continue"/>
            <w:tcBorders>
              <w:tl2br w:val="nil"/>
              <w:tr2bl w:val="nil"/>
            </w:tcBorders>
            <w:vAlign w:val="center"/>
          </w:tcPr>
          <w:p w14:paraId="0875C90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2268" w:type="dxa"/>
            <w:vMerge w:val="continue"/>
            <w:tcBorders>
              <w:tl2br w:val="nil"/>
              <w:tr2bl w:val="nil"/>
            </w:tcBorders>
            <w:vAlign w:val="center"/>
          </w:tcPr>
          <w:p w14:paraId="10A0BFA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5103" w:type="dxa"/>
            <w:tcBorders>
              <w:tl2br w:val="nil"/>
              <w:tr2bl w:val="nil"/>
            </w:tcBorders>
            <w:vAlign w:val="center"/>
          </w:tcPr>
          <w:p w14:paraId="3701BA6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仿宋_GB2312" w:eastAsia="仿宋_GB2312"/>
                <w:sz w:val="24"/>
                <w:szCs w:val="24"/>
                <w:lang w:val="en-US" w:eastAsia="zh-CN"/>
              </w:rPr>
            </w:pPr>
            <w:r>
              <w:rPr>
                <w:rFonts w:hint="eastAsia" w:ascii="仿宋_GB2312"/>
                <w:sz w:val="24"/>
                <w:szCs w:val="24"/>
                <w:lang w:val="en-US" w:eastAsia="zh-CN"/>
              </w:rPr>
              <w:t>检验与验收</w:t>
            </w:r>
          </w:p>
        </w:tc>
      </w:tr>
      <w:tr w14:paraId="0C1942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vMerge w:val="continue"/>
            <w:tcBorders>
              <w:tl2br w:val="nil"/>
              <w:tr2bl w:val="nil"/>
            </w:tcBorders>
            <w:vAlign w:val="center"/>
          </w:tcPr>
          <w:p w14:paraId="176A41E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2268" w:type="dxa"/>
            <w:vMerge w:val="continue"/>
            <w:tcBorders>
              <w:tl2br w:val="nil"/>
              <w:tr2bl w:val="nil"/>
            </w:tcBorders>
            <w:vAlign w:val="center"/>
          </w:tcPr>
          <w:p w14:paraId="3637BCF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5103" w:type="dxa"/>
            <w:tcBorders>
              <w:tl2br w:val="nil"/>
              <w:tr2bl w:val="nil"/>
            </w:tcBorders>
            <w:vAlign w:val="center"/>
          </w:tcPr>
          <w:p w14:paraId="00443A7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仿宋_GB2312" w:eastAsia="仿宋_GB2312"/>
                <w:sz w:val="24"/>
                <w:szCs w:val="24"/>
                <w:lang w:val="en-US" w:eastAsia="zh-CN"/>
              </w:rPr>
            </w:pPr>
            <w:r>
              <w:rPr>
                <w:rFonts w:hint="eastAsia" w:ascii="仿宋_GB2312"/>
                <w:sz w:val="24"/>
                <w:szCs w:val="24"/>
                <w:lang w:val="en-US" w:eastAsia="zh-CN"/>
              </w:rPr>
              <w:t>维护与维修</w:t>
            </w:r>
          </w:p>
        </w:tc>
      </w:tr>
      <w:tr w14:paraId="138B4C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vMerge w:val="restart"/>
            <w:tcBorders>
              <w:tl2br w:val="nil"/>
              <w:tr2bl w:val="nil"/>
            </w:tcBorders>
            <w:vAlign w:val="center"/>
          </w:tcPr>
          <w:p w14:paraId="71117FF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r>
              <w:rPr>
                <w:rFonts w:ascii="仿宋_GB2312" w:eastAsia="仿宋_GB2312"/>
                <w:sz w:val="24"/>
                <w:szCs w:val="24"/>
              </w:rPr>
              <w:t>4</w:t>
            </w:r>
          </w:p>
        </w:tc>
        <w:tc>
          <w:tcPr>
            <w:tcW w:w="2268" w:type="dxa"/>
            <w:vMerge w:val="restart"/>
            <w:tcBorders>
              <w:tl2br w:val="nil"/>
              <w:tr2bl w:val="nil"/>
            </w:tcBorders>
            <w:vAlign w:val="center"/>
          </w:tcPr>
          <w:p w14:paraId="1A5CD00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r>
              <w:rPr>
                <w:rFonts w:hint="eastAsia" w:ascii="仿宋_GB2312" w:eastAsia="仿宋_GB2312"/>
                <w:sz w:val="24"/>
                <w:szCs w:val="24"/>
              </w:rPr>
              <w:t>规范性补充要素</w:t>
            </w:r>
          </w:p>
        </w:tc>
        <w:tc>
          <w:tcPr>
            <w:tcW w:w="5103" w:type="dxa"/>
            <w:tcBorders>
              <w:tl2br w:val="nil"/>
              <w:tr2bl w:val="nil"/>
            </w:tcBorders>
            <w:vAlign w:val="center"/>
          </w:tcPr>
          <w:p w14:paraId="34B4EF5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仿宋_GB2312" w:eastAsia="仿宋_GB2312"/>
                <w:sz w:val="24"/>
                <w:szCs w:val="24"/>
                <w:lang w:val="en-US"/>
              </w:rPr>
            </w:pPr>
            <w:r>
              <w:rPr>
                <w:rFonts w:hint="eastAsia" w:ascii="仿宋_GB2312" w:eastAsia="仿宋_GB2312"/>
                <w:sz w:val="24"/>
                <w:szCs w:val="24"/>
              </w:rPr>
              <w:t>附录</w:t>
            </w:r>
            <w:r>
              <w:rPr>
                <w:rFonts w:hint="eastAsia" w:ascii="仿宋_GB2312"/>
                <w:sz w:val="24"/>
                <w:szCs w:val="24"/>
                <w:lang w:val="en-US" w:eastAsia="zh-CN"/>
              </w:rPr>
              <w:t>A 燃煤电站钢结构防腐的涂层配套</w:t>
            </w:r>
          </w:p>
        </w:tc>
      </w:tr>
      <w:tr w14:paraId="1A032B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6" w:type="dxa"/>
            <w:vMerge w:val="continue"/>
            <w:tcBorders>
              <w:tl2br w:val="nil"/>
              <w:tr2bl w:val="nil"/>
            </w:tcBorders>
            <w:vAlign w:val="center"/>
          </w:tcPr>
          <w:p w14:paraId="09B2952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仿宋_GB2312" w:eastAsia="仿宋_GB2312"/>
                <w:sz w:val="24"/>
                <w:szCs w:val="24"/>
              </w:rPr>
            </w:pPr>
          </w:p>
        </w:tc>
        <w:tc>
          <w:tcPr>
            <w:tcW w:w="2268" w:type="dxa"/>
            <w:vMerge w:val="continue"/>
            <w:tcBorders>
              <w:tl2br w:val="nil"/>
              <w:tr2bl w:val="nil"/>
            </w:tcBorders>
            <w:vAlign w:val="center"/>
          </w:tcPr>
          <w:p w14:paraId="3DA7B03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eastAsia="仿宋_GB2312"/>
                <w:sz w:val="24"/>
                <w:szCs w:val="24"/>
              </w:rPr>
            </w:pPr>
          </w:p>
        </w:tc>
        <w:tc>
          <w:tcPr>
            <w:tcW w:w="5103" w:type="dxa"/>
            <w:tcBorders>
              <w:tl2br w:val="nil"/>
              <w:tr2bl w:val="nil"/>
            </w:tcBorders>
            <w:vAlign w:val="center"/>
          </w:tcPr>
          <w:p w14:paraId="51C2CDC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仿宋_GB2312" w:eastAsia="仿宋_GB2312"/>
                <w:sz w:val="24"/>
                <w:szCs w:val="24"/>
                <w:lang w:val="en-US"/>
              </w:rPr>
            </w:pPr>
            <w:r>
              <w:rPr>
                <w:rFonts w:hint="eastAsia" w:ascii="仿宋_GB2312" w:eastAsia="仿宋_GB2312"/>
                <w:sz w:val="24"/>
                <w:szCs w:val="24"/>
              </w:rPr>
              <w:t>附录</w:t>
            </w:r>
            <w:r>
              <w:rPr>
                <w:rFonts w:hint="eastAsia" w:ascii="仿宋_GB2312"/>
                <w:sz w:val="24"/>
                <w:szCs w:val="24"/>
                <w:lang w:val="en-US" w:eastAsia="zh-CN"/>
              </w:rPr>
              <w:t>B 涂装质量控制记录表格</w:t>
            </w:r>
          </w:p>
        </w:tc>
      </w:tr>
    </w:tbl>
    <w:p w14:paraId="60116D81">
      <w:pPr>
        <w:pStyle w:val="4"/>
        <w:bidi w:val="0"/>
        <w:rPr>
          <w:rFonts w:hint="default"/>
          <w:lang w:val="en-US" w:eastAsia="zh-CN"/>
        </w:rPr>
      </w:pPr>
      <w:bookmarkStart w:id="8" w:name="_Toc9388"/>
      <w:r>
        <w:rPr>
          <w:rFonts w:hint="eastAsia"/>
          <w:lang w:val="en-US" w:eastAsia="zh-CN"/>
        </w:rPr>
        <w:t>主要内容</w:t>
      </w:r>
      <w:bookmarkEnd w:id="8"/>
    </w:p>
    <w:p w14:paraId="1C54224E">
      <w:pPr>
        <w:rPr>
          <w:rFonts w:hint="eastAsia"/>
          <w:lang w:val="en-US" w:eastAsia="zh-CN"/>
        </w:rPr>
      </w:pPr>
      <w:r>
        <w:rPr>
          <w:rFonts w:hint="default"/>
          <w:lang w:val="en-US" w:eastAsia="zh-CN"/>
        </w:rPr>
        <w:t>本标准适用于燃煤电站大气环境下建（构）筑物钢结构和设备支撑钢结构防腐蚀工作，规定了防腐蚀设计、施工、检验和维护的技术要求，提高燃煤电站钢结构防腐蚀工作的针对性和有效性，降低机组运行风险，减少防腐蚀运行维护成本。正文内容共包括8个</w:t>
      </w:r>
      <w:r>
        <w:rPr>
          <w:rFonts w:hint="eastAsia"/>
          <w:lang w:val="en-US" w:eastAsia="zh-CN"/>
        </w:rPr>
        <w:t>主要</w:t>
      </w:r>
      <w:r>
        <w:rPr>
          <w:rFonts w:hint="default"/>
          <w:lang w:val="en-US" w:eastAsia="zh-CN"/>
        </w:rPr>
        <w:t>章节及2个</w:t>
      </w:r>
      <w:r>
        <w:rPr>
          <w:rFonts w:hint="eastAsia"/>
          <w:lang w:val="en-US" w:eastAsia="zh-CN"/>
        </w:rPr>
        <w:t>规范性引用</w:t>
      </w:r>
      <w:r>
        <w:rPr>
          <w:rFonts w:hint="default"/>
          <w:lang w:val="en-US" w:eastAsia="zh-CN"/>
        </w:rPr>
        <w:t>附录，主要章节包括：范围、规范性引用文件、术语和定义、一般规定、设计、施工、检验与验收、维护与维修</w:t>
      </w:r>
      <w:r>
        <w:rPr>
          <w:rFonts w:hint="eastAsia"/>
          <w:lang w:val="en-US" w:eastAsia="zh-CN"/>
        </w:rPr>
        <w:t>；规范性引用</w:t>
      </w:r>
      <w:r>
        <w:rPr>
          <w:rFonts w:hint="default"/>
          <w:lang w:val="en-US" w:eastAsia="zh-CN"/>
        </w:rPr>
        <w:t>附录包括：燃煤电站钢结构防腐的涂层配套和涂装质量控制记录表格。</w:t>
      </w:r>
      <w:r>
        <w:rPr>
          <w:rFonts w:hint="eastAsia"/>
          <w:lang w:val="en-US" w:eastAsia="zh-CN"/>
        </w:rPr>
        <w:t>标准参考了</w:t>
      </w:r>
      <w:r>
        <w:rPr>
          <w:rFonts w:hint="default"/>
          <w:lang w:val="en-US" w:eastAsia="zh-CN"/>
        </w:rPr>
        <w:t>建筑防腐蚀工程领域的现行成熟标准规范，如《工业建筑防腐蚀设计标准》（GB/T 50046-2018）、《建筑防腐蚀工程施工规范》（GB 50212-2014）等，</w:t>
      </w:r>
      <w:r>
        <w:rPr>
          <w:rFonts w:hint="eastAsia"/>
          <w:lang w:val="en-US" w:eastAsia="zh-CN"/>
        </w:rPr>
        <w:t>引用了如《钢结构工程施工质量验收标准》（GB 50205）、《电力建设施工质量验收规程 第一部分：土建工程》（DL/T 5210.1）等相关国家现行标准的技术条款，</w:t>
      </w:r>
      <w:r>
        <w:rPr>
          <w:rFonts w:hint="default"/>
          <w:lang w:val="en-US" w:eastAsia="zh-CN"/>
        </w:rPr>
        <w:t>结合燃煤电站自身特点进行创新和完善</w:t>
      </w:r>
      <w:r>
        <w:rPr>
          <w:rFonts w:hint="eastAsia"/>
          <w:lang w:val="en-US" w:eastAsia="zh-CN"/>
        </w:rPr>
        <w:t>，主要技术内容包括：</w:t>
      </w:r>
    </w:p>
    <w:p w14:paraId="265F2682">
      <w:pPr>
        <w:numPr>
          <w:ilvl w:val="0"/>
          <w:numId w:val="3"/>
        </w:numPr>
        <w:ind w:left="0" w:leftChars="0" w:firstLine="560" w:firstLineChars="200"/>
        <w:rPr>
          <w:rFonts w:hint="eastAsia" w:ascii="Times New Roman" w:hAnsi="Times New Roman" w:cs="Times New Roman"/>
          <w:lang w:val="en-US" w:eastAsia="zh-CN"/>
        </w:rPr>
      </w:pPr>
      <w:r>
        <w:rPr>
          <w:rFonts w:hint="eastAsia" w:ascii="Times New Roman" w:hAnsi="Times New Roman" w:cs="Times New Roman"/>
          <w:lang w:val="en-US" w:eastAsia="zh-CN"/>
        </w:rPr>
        <w:t>基于</w:t>
      </w:r>
      <w:r>
        <w:rPr>
          <w:rFonts w:hint="eastAsia" w:cs="Times New Roman"/>
          <w:lang w:val="en-US" w:eastAsia="zh-CN"/>
        </w:rPr>
        <w:t>海洋</w:t>
      </w:r>
      <w:r>
        <w:rPr>
          <w:rFonts w:hint="eastAsia" w:ascii="Times New Roman" w:hAnsi="Times New Roman" w:cs="Times New Roman"/>
          <w:lang w:val="en-US" w:eastAsia="zh-CN"/>
        </w:rPr>
        <w:t>环境条件规定燃煤电站钢结构室内外腐蚀环境等级；</w:t>
      </w:r>
    </w:p>
    <w:p w14:paraId="3ED5F570">
      <w:pPr>
        <w:numPr>
          <w:ilvl w:val="0"/>
          <w:numId w:val="3"/>
        </w:numPr>
        <w:ind w:left="0" w:leftChars="0" w:firstLine="560" w:firstLineChars="200"/>
        <w:rPr>
          <w:rFonts w:hint="eastAsia" w:ascii="Times New Roman" w:hAnsi="Times New Roman" w:cs="Times New Roman"/>
          <w:lang w:val="en-US" w:eastAsia="zh-CN"/>
        </w:rPr>
      </w:pPr>
      <w:r>
        <w:rPr>
          <w:rFonts w:hint="eastAsia" w:ascii="Times New Roman" w:hAnsi="Times New Roman" w:cs="Times New Roman"/>
          <w:lang w:val="en-US" w:eastAsia="zh-CN"/>
        </w:rPr>
        <w:t>明确燃煤电站各类钢结构腐蚀防护层设计使用年限；</w:t>
      </w:r>
    </w:p>
    <w:p w14:paraId="47330D48">
      <w:pPr>
        <w:numPr>
          <w:ilvl w:val="0"/>
          <w:numId w:val="3"/>
        </w:numPr>
        <w:ind w:left="0" w:leftChars="0" w:firstLine="560" w:firstLineChars="200"/>
        <w:rPr>
          <w:rFonts w:hint="eastAsia" w:ascii="Times New Roman" w:hAnsi="Times New Roman" w:cs="Times New Roman"/>
          <w:lang w:val="en-US" w:eastAsia="zh-CN"/>
        </w:rPr>
      </w:pPr>
      <w:r>
        <w:rPr>
          <w:rFonts w:hint="eastAsia" w:ascii="Times New Roman" w:hAnsi="Times New Roman" w:cs="Times New Roman"/>
          <w:lang w:val="en-US" w:eastAsia="zh-CN"/>
        </w:rPr>
        <w:t>不同腐蚀目标下的燃煤电站钢结构防腐涂层推荐配套方案；</w:t>
      </w:r>
    </w:p>
    <w:p w14:paraId="2680EA91">
      <w:pPr>
        <w:numPr>
          <w:ilvl w:val="0"/>
          <w:numId w:val="3"/>
        </w:numPr>
        <w:ind w:left="0" w:leftChars="0" w:firstLine="560" w:firstLineChars="200"/>
        <w:rPr>
          <w:rFonts w:hint="eastAsia" w:ascii="Times New Roman" w:hAnsi="Times New Roman" w:cs="Times New Roman"/>
          <w:lang w:val="en-US" w:eastAsia="zh-CN"/>
        </w:rPr>
      </w:pPr>
      <w:r>
        <w:rPr>
          <w:rFonts w:hint="eastAsia" w:ascii="Times New Roman" w:hAnsi="Times New Roman" w:cs="Times New Roman"/>
          <w:lang w:val="en-US" w:eastAsia="zh-CN"/>
        </w:rPr>
        <w:t>提出防腐保护层涂装施工过程中的具体要求；</w:t>
      </w:r>
    </w:p>
    <w:p w14:paraId="61FC246A">
      <w:pPr>
        <w:numPr>
          <w:ilvl w:val="0"/>
          <w:numId w:val="3"/>
        </w:numPr>
        <w:ind w:left="0" w:leftChars="0" w:firstLine="560" w:firstLineChars="200"/>
        <w:rPr>
          <w:rFonts w:hint="eastAsia" w:ascii="Times New Roman" w:hAnsi="Times New Roman" w:cs="Times New Roman"/>
          <w:lang w:val="en-US" w:eastAsia="zh-CN"/>
        </w:rPr>
      </w:pPr>
      <w:r>
        <w:rPr>
          <w:rFonts w:hint="eastAsia" w:ascii="Times New Roman" w:hAnsi="Times New Roman" w:cs="Times New Roman"/>
          <w:lang w:val="en-US" w:eastAsia="zh-CN"/>
        </w:rPr>
        <w:t>规定防腐施工检验与验收的条件、项目与要求；</w:t>
      </w:r>
    </w:p>
    <w:p w14:paraId="1214362B">
      <w:pPr>
        <w:numPr>
          <w:ilvl w:val="0"/>
          <w:numId w:val="3"/>
        </w:numPr>
        <w:ind w:left="0" w:leftChars="0" w:firstLine="560" w:firstLineChars="200"/>
        <w:rPr>
          <w:rFonts w:hint="eastAsia" w:ascii="Times New Roman" w:hAnsi="Times New Roman" w:cs="Times New Roman"/>
          <w:lang w:val="en-US" w:eastAsia="zh-CN"/>
        </w:rPr>
      </w:pPr>
      <w:r>
        <w:rPr>
          <w:rFonts w:hint="eastAsia" w:ascii="Times New Roman" w:hAnsi="Times New Roman" w:cs="Times New Roman"/>
          <w:lang w:val="en-US" w:eastAsia="zh-CN"/>
        </w:rPr>
        <w:t>明确燃煤电站钢结构防腐维护与维修的基本流程、启动条件及方法。</w:t>
      </w:r>
    </w:p>
    <w:p w14:paraId="24781B0C">
      <w:pPr>
        <w:pStyle w:val="4"/>
        <w:bidi w:val="0"/>
        <w:rPr>
          <w:rFonts w:hint="default"/>
          <w:lang w:val="en-US" w:eastAsia="zh-CN"/>
        </w:rPr>
      </w:pPr>
      <w:bookmarkStart w:id="9" w:name="_Toc6038"/>
      <w:r>
        <w:rPr>
          <w:rFonts w:hint="eastAsia"/>
          <w:lang w:val="en-US" w:eastAsia="zh-CN"/>
        </w:rPr>
        <w:t>主要内容确定依据</w:t>
      </w:r>
    </w:p>
    <w:p w14:paraId="17C6F43A">
      <w:pPr>
        <w:numPr>
          <w:ilvl w:val="0"/>
          <w:numId w:val="4"/>
        </w:numPr>
        <w:bidi w:val="0"/>
        <w:ind w:left="0" w:leftChars="0" w:firstLine="560" w:firstLineChars="200"/>
        <w:rPr>
          <w:rFonts w:hint="default"/>
          <w:lang w:val="en-US" w:eastAsia="zh-CN"/>
        </w:rPr>
      </w:pPr>
      <w:r>
        <w:rPr>
          <w:rFonts w:hint="default"/>
          <w:lang w:val="en-US" w:eastAsia="zh-CN"/>
        </w:rPr>
        <w:t>燃煤电站钢结构腐蚀环境</w:t>
      </w:r>
      <w:r>
        <w:rPr>
          <w:rFonts w:hint="eastAsia"/>
          <w:lang w:val="en-US" w:eastAsia="zh-CN"/>
        </w:rPr>
        <w:t>等级</w:t>
      </w:r>
    </w:p>
    <w:p w14:paraId="2615FBA4">
      <w:pPr>
        <w:bidi w:val="0"/>
        <w:rPr>
          <w:rFonts w:hint="eastAsia"/>
          <w:lang w:val="en-US" w:eastAsia="zh-CN"/>
        </w:rPr>
      </w:pPr>
      <w:r>
        <w:rPr>
          <w:rFonts w:hint="eastAsia"/>
          <w:lang w:val="en-US" w:eastAsia="zh-CN"/>
        </w:rPr>
        <w:t>国际标准《金属和合金的腐蚀 大气腐蚀环境 分类、检测和评估》（lSO 9223）依据金属标准试样在大气环境中暴晒第一年后的腐蚀损失测试结果将大气腐蚀环境等级分为C1-CX六个等级；当不直接掌握测试结果时，该标准提出采用基于大气环境的剂量-响应函数，通过环境的温度、湿度、Cl</w:t>
      </w:r>
      <w:r>
        <w:rPr>
          <w:rFonts w:hint="eastAsia"/>
          <w:vertAlign w:val="superscript"/>
          <w:lang w:val="en-US" w:eastAsia="zh-CN"/>
        </w:rPr>
        <w:t>-</w:t>
      </w:r>
      <w:r>
        <w:rPr>
          <w:rFonts w:hint="eastAsia"/>
          <w:lang w:val="en-US" w:eastAsia="zh-CN"/>
        </w:rPr>
        <w:t>、SO</w:t>
      </w:r>
      <w:r>
        <w:rPr>
          <w:rFonts w:hint="eastAsia"/>
          <w:vertAlign w:val="subscript"/>
          <w:lang w:val="en-US" w:eastAsia="zh-CN"/>
        </w:rPr>
        <w:t>2</w:t>
      </w:r>
      <w:r>
        <w:rPr>
          <w:rFonts w:hint="eastAsia"/>
          <w:lang w:val="en-US" w:eastAsia="zh-CN"/>
        </w:rPr>
        <w:t>计算对应金属或合金的首年腐蚀损失速率r</w:t>
      </w:r>
      <w:r>
        <w:rPr>
          <w:rFonts w:hint="eastAsia"/>
          <w:vertAlign w:val="subscript"/>
          <w:lang w:val="en-US" w:eastAsia="zh-CN"/>
        </w:rPr>
        <w:t>corr</w:t>
      </w:r>
      <w:r>
        <w:rPr>
          <w:rFonts w:hint="eastAsia"/>
          <w:lang w:val="en-US" w:eastAsia="zh-CN"/>
        </w:rPr>
        <w:t>，以此计算结果评估腐蚀环境等级。</w:t>
      </w:r>
    </w:p>
    <w:p w14:paraId="6328DEDF">
      <w:pPr>
        <w:bidi w:val="0"/>
        <w:rPr>
          <w:rFonts w:hint="eastAsia"/>
          <w:lang w:val="en-US" w:eastAsia="zh-CN"/>
        </w:rPr>
      </w:pPr>
      <w:r>
        <w:rPr>
          <w:rFonts w:hint="eastAsia"/>
          <w:lang w:val="en-US" w:eastAsia="zh-CN"/>
        </w:rPr>
        <w:t>《工业建筑防腐蚀设计标准》（GB/T 50046）将腐蚀性等级分为强腐蚀、中腐蚀、弱腐蚀和微腐蚀四个等级。由于工业建筑所处环境较为复杂，GB/T 50046采用介质浓度和环境湿度、降水年均pH值、无保护钢材在气态介质中的首年损失速率和海洋性大气环境条件四种方法对环境进行评估，根据最高评估等级确定环境腐蚀性等级。该标准中的强、中、弱腐蚀等级分别与国际标准中C5、C4、C3腐蚀环境等级相对应。</w:t>
      </w:r>
    </w:p>
    <w:p w14:paraId="4942E5B2">
      <w:pPr>
        <w:bidi w:val="0"/>
        <w:rPr>
          <w:rFonts w:hint="default"/>
          <w:vertAlign w:val="baseline"/>
          <w:lang w:val="en-US" w:eastAsia="zh-CN"/>
        </w:rPr>
      </w:pPr>
      <w:r>
        <w:rPr>
          <w:rFonts w:hint="eastAsia"/>
          <w:lang w:val="en-US" w:eastAsia="zh-CN"/>
        </w:rPr>
        <w:t>工作组通过研究分析金属腐蚀机理及相关标准，对于非工业区域的燃煤电站，其钢结构腐蚀速率的主要因素为温度、湿度和Cl</w:t>
      </w:r>
      <w:r>
        <w:rPr>
          <w:rFonts w:hint="eastAsia"/>
          <w:vertAlign w:val="superscript"/>
          <w:lang w:val="en-US" w:eastAsia="zh-CN"/>
        </w:rPr>
        <w:t>-</w:t>
      </w:r>
      <w:r>
        <w:rPr>
          <w:rFonts w:hint="eastAsia"/>
          <w:vertAlign w:val="baseline"/>
          <w:lang w:val="en-US" w:eastAsia="zh-CN"/>
        </w:rPr>
        <w:t>，三者主要受地理环境及海洋气候条件影响。因此，本标准参照《</w:t>
      </w:r>
      <w:r>
        <w:rPr>
          <w:rFonts w:hint="eastAsia"/>
          <w:lang w:val="en-US" w:eastAsia="zh-CN"/>
        </w:rPr>
        <w:t>色漆和清漆 防护涂料体系对钢结构的防腐蚀保护 第2部分：环境分类</w:t>
      </w:r>
      <w:r>
        <w:rPr>
          <w:rFonts w:hint="eastAsia"/>
          <w:vertAlign w:val="baseline"/>
          <w:lang w:val="en-US" w:eastAsia="zh-CN"/>
        </w:rPr>
        <w:t>》</w:t>
      </w:r>
      <w:r>
        <w:rPr>
          <w:rFonts w:hint="eastAsia"/>
          <w:lang w:val="en-US" w:eastAsia="zh-CN"/>
        </w:rPr>
        <w:t>（ISO 12944:2017-2）采取典型案例分类的方法，依据燃煤电站所处地区的湿度及与涨潮海岸线距离，对燃煤电站室外腐蚀环境进行评估。</w:t>
      </w:r>
    </w:p>
    <w:p w14:paraId="0128945A">
      <w:pPr>
        <w:numPr>
          <w:ilvl w:val="0"/>
          <w:numId w:val="4"/>
        </w:numPr>
        <w:bidi w:val="0"/>
        <w:ind w:left="0" w:leftChars="0" w:firstLine="560" w:firstLineChars="200"/>
        <w:rPr>
          <w:rFonts w:hint="default"/>
          <w:lang w:val="en-US" w:eastAsia="zh-CN"/>
        </w:rPr>
      </w:pPr>
      <w:r>
        <w:rPr>
          <w:rFonts w:hint="eastAsia"/>
          <w:lang w:val="en-US" w:eastAsia="zh-CN"/>
        </w:rPr>
        <w:t>燃煤电站钢结构腐蚀防护层设计使用年限</w:t>
      </w:r>
    </w:p>
    <w:p w14:paraId="114B9C06">
      <w:pPr>
        <w:bidi w:val="0"/>
        <w:rPr>
          <w:rFonts w:hint="eastAsia"/>
          <w:lang w:val="en-US" w:eastAsia="zh-CN"/>
        </w:rPr>
      </w:pPr>
      <w:r>
        <w:rPr>
          <w:rFonts w:hint="eastAsia"/>
          <w:lang w:val="en-US" w:eastAsia="zh-CN"/>
        </w:rPr>
        <w:t>燃煤电站建（构）筑物钢结构设计使用寿命一般为50年，设备钢结构设计使用寿命一般为30年。ISO 12944-1将涂层耐久性分为低（不超过7年）、中（7年~15年）、高（15年~25年）、很高（大于25年）共四个等级，然而在该标准中耐久性仅为防腐涂层的设计依据而非保证年限。GB 50046将钢结构腐蚀防护层的设计使用年限分为</w:t>
      </w:r>
      <w:bookmarkStart w:id="10" w:name="OLE_LINK1"/>
      <w:r>
        <w:rPr>
          <w:rFonts w:hint="eastAsia"/>
          <w:lang w:val="en-US" w:eastAsia="zh-CN"/>
        </w:rPr>
        <w:t>低使用年限</w:t>
      </w:r>
      <w:bookmarkEnd w:id="10"/>
      <w:r>
        <w:rPr>
          <w:rFonts w:hint="eastAsia"/>
          <w:lang w:val="en-US" w:eastAsia="zh-CN"/>
        </w:rPr>
        <w:t>（2年~5年）、中使用年限（6年~10年）、长使用年限（11年~15年）、超长使用年限（15年以上），该分类标准普遍适用于燃煤电站钢结构腐蚀防护层。</w:t>
      </w:r>
    </w:p>
    <w:p w14:paraId="76E8BA1D">
      <w:pPr>
        <w:bidi w:val="0"/>
        <w:rPr>
          <w:rFonts w:hint="eastAsia"/>
          <w:lang w:val="en-US" w:eastAsia="zh-CN"/>
        </w:rPr>
      </w:pPr>
      <w:r>
        <w:rPr>
          <w:rFonts w:hint="eastAsia"/>
          <w:lang w:val="en-US" w:eastAsia="zh-CN"/>
        </w:rPr>
        <w:t>工作组基于燃煤电站钢结构的作用、重要性及维修难易程度，通过调研收资实地考察，充分总结各类钢结构防腐工程设计经验，依据GB 50046的级别标准对钢结构腐蚀防护层设计使用寿命进行了分级，如下：</w:t>
      </w:r>
    </w:p>
    <w:p w14:paraId="4799A5B8">
      <w:pPr>
        <w:numPr>
          <w:ilvl w:val="0"/>
          <w:numId w:val="5"/>
        </w:numPr>
        <w:bidi w:val="0"/>
        <w:ind w:left="0" w:leftChars="0" w:firstLine="560" w:firstLineChars="200"/>
        <w:rPr>
          <w:rFonts w:hint="eastAsia"/>
          <w:lang w:val="en-US" w:eastAsia="zh-CN"/>
        </w:rPr>
      </w:pPr>
      <w:r>
        <w:rPr>
          <w:rFonts w:hint="eastAsia"/>
          <w:lang w:val="en-US" w:eastAsia="zh-CN"/>
        </w:rPr>
        <w:t>对于锅炉钢架、冷却塔、空冷平台、室外配电装置等重要且难以维修的钢结构腐蚀防护层，设置为超长使用年限以降低腐蚀带来的安全隐患并减少维修频次；</w:t>
      </w:r>
    </w:p>
    <w:p w14:paraId="6D228F22">
      <w:pPr>
        <w:numPr>
          <w:ilvl w:val="0"/>
          <w:numId w:val="5"/>
        </w:numPr>
        <w:bidi w:val="0"/>
        <w:ind w:left="0" w:leftChars="0" w:firstLine="560" w:firstLineChars="200"/>
        <w:rPr>
          <w:rFonts w:hint="eastAsia"/>
          <w:lang w:val="en-US" w:eastAsia="zh-CN"/>
        </w:rPr>
      </w:pPr>
      <w:r>
        <w:rPr>
          <w:rFonts w:hint="eastAsia"/>
          <w:lang w:val="en-US" w:eastAsia="zh-CN"/>
        </w:rPr>
        <w:t>对于主厂房、脱销脱硫设施及辅助附属建筑物等主要建筑物的钢结构腐蚀防护层，设置为长使用年限；</w:t>
      </w:r>
    </w:p>
    <w:p w14:paraId="47660337">
      <w:pPr>
        <w:numPr>
          <w:ilvl w:val="0"/>
          <w:numId w:val="5"/>
        </w:numPr>
        <w:bidi w:val="0"/>
        <w:ind w:left="0" w:leftChars="0" w:firstLine="560" w:firstLineChars="200"/>
        <w:rPr>
          <w:rFonts w:hint="eastAsia"/>
          <w:lang w:val="en-US" w:eastAsia="zh-CN"/>
        </w:rPr>
      </w:pPr>
      <w:r>
        <w:rPr>
          <w:rFonts w:hint="eastAsia"/>
          <w:lang w:val="en-US" w:eastAsia="zh-CN"/>
        </w:rPr>
        <w:t>对于管道支架、平台、楼梯、栏杆等便于巡检维修的钢结构腐蚀防护层，设置为中使用年限；</w:t>
      </w:r>
    </w:p>
    <w:p w14:paraId="0AED964D">
      <w:pPr>
        <w:numPr>
          <w:ilvl w:val="0"/>
          <w:numId w:val="5"/>
        </w:numPr>
        <w:bidi w:val="0"/>
        <w:ind w:left="0" w:leftChars="0" w:firstLine="560" w:firstLineChars="200"/>
        <w:rPr>
          <w:rFonts w:hint="eastAsia"/>
          <w:lang w:val="en-US" w:eastAsia="zh-CN"/>
        </w:rPr>
      </w:pPr>
      <w:r>
        <w:rPr>
          <w:rFonts w:hint="eastAsia"/>
          <w:lang w:val="en-US" w:eastAsia="zh-CN"/>
        </w:rPr>
        <w:t>对于建（构）筑物内部的设备支撑钢结构腐蚀防护层暂定为与所在主体建构筑物的钢结构相同。</w:t>
      </w:r>
    </w:p>
    <w:p w14:paraId="2DCECB53">
      <w:pPr>
        <w:bidi w:val="0"/>
        <w:rPr>
          <w:rFonts w:hint="default"/>
          <w:lang w:val="en-US" w:eastAsia="zh-CN"/>
        </w:rPr>
      </w:pPr>
      <w:r>
        <w:rPr>
          <w:rFonts w:hint="eastAsia"/>
          <w:lang w:val="en-US" w:eastAsia="zh-CN"/>
        </w:rPr>
        <w:t>此外，临时钢结构是否需采取防腐措施应视具体情况而定，其腐蚀防护层设计使用年限可采用低使用年限，本标准中不做规定。由于燃煤电站各类钢结构应保证长期安全运行并尽量避免高频维护维修，因此本标准不推荐低使用年限的腐蚀防护层设计。</w:t>
      </w:r>
    </w:p>
    <w:p w14:paraId="3A627FDA">
      <w:pPr>
        <w:numPr>
          <w:ilvl w:val="0"/>
          <w:numId w:val="4"/>
        </w:numPr>
        <w:bidi w:val="0"/>
        <w:ind w:left="0" w:leftChars="0" w:firstLine="560" w:firstLineChars="200"/>
        <w:rPr>
          <w:rFonts w:hint="default"/>
          <w:lang w:val="en-US" w:eastAsia="zh-CN"/>
        </w:rPr>
      </w:pPr>
      <w:r>
        <w:rPr>
          <w:rFonts w:hint="default"/>
          <w:lang w:val="en-US" w:eastAsia="zh-CN"/>
        </w:rPr>
        <w:t>燃煤电站钢结构防腐涂层配套</w:t>
      </w:r>
    </w:p>
    <w:p w14:paraId="6B91A7D1">
      <w:pPr>
        <w:bidi w:val="0"/>
        <w:rPr>
          <w:rFonts w:hint="default" w:eastAsia="仿宋_GB2312"/>
          <w:lang w:val="en-US" w:eastAsia="zh-CN"/>
        </w:rPr>
      </w:pPr>
      <w:r>
        <w:rPr>
          <w:rFonts w:hint="eastAsia"/>
          <w:lang w:val="en-US" w:eastAsia="zh-CN"/>
        </w:rPr>
        <w:t>ISO 12944-5和GB 50046均是基于底材所处的腐蚀环境等级和防护层设计使用年限（耐久性）综合考虑给出涂层体系配套方案。本标准依据现行标准设计原则，总结现有燃煤电站钢结构防腐蚀工程设计经验，参考现行防腐涂层配套设计提出高氯化聚乙烯、脂肪族聚氨酯、冷喷锌、热浸镀锌四类涂层配套设计方案，并根据工作组调研结果设定涂层体系厚度，其中出线构架参照现有工程设计选用热浸镀锌防腐涂层体系，涂层总厚度为100</w:t>
      </w:r>
      <w:r>
        <w:rPr>
          <w:rFonts w:hint="eastAsia" w:ascii="宋体" w:hAnsi="宋体" w:eastAsia="宋体" w:cs="宋体"/>
          <w:lang w:val="en-US" w:eastAsia="zh-CN"/>
        </w:rPr>
        <w:t>µ</w:t>
      </w:r>
      <w:r>
        <w:rPr>
          <w:rFonts w:hint="eastAsia"/>
          <w:lang w:val="en-US" w:eastAsia="zh-CN"/>
        </w:rPr>
        <w:t>m。</w:t>
      </w:r>
    </w:p>
    <w:p w14:paraId="5DA09788">
      <w:pPr>
        <w:bidi w:val="0"/>
        <w:rPr>
          <w:rFonts w:hint="eastAsia"/>
          <w:lang w:val="en-US" w:eastAsia="zh-CN"/>
        </w:rPr>
      </w:pPr>
      <w:r>
        <w:rPr>
          <w:rFonts w:hint="eastAsia"/>
          <w:lang w:val="en-US" w:eastAsia="zh-CN"/>
        </w:rPr>
        <w:t>此外，ISO 12944-5中在相同腐蚀环境及防护层设计使用年限条件下，采用富锌底漆材料的涂层体系底层厚度及总厚度较采用其他底漆材料的涂层体系对应厚度低20</w:t>
      </w:r>
      <w:r>
        <w:rPr>
          <w:rFonts w:hint="eastAsia" w:ascii="宋体" w:hAnsi="宋体" w:eastAsia="宋体" w:cs="宋体"/>
          <w:lang w:val="en-US" w:eastAsia="zh-CN"/>
        </w:rPr>
        <w:t>µ</w:t>
      </w:r>
      <w:r>
        <w:rPr>
          <w:rFonts w:hint="eastAsia"/>
          <w:lang w:val="en-US" w:eastAsia="zh-CN"/>
        </w:rPr>
        <w:t>m，该部分与GB 50046中涂层配套的设计逻辑有所差异。工作组综合考虑，认为ISO 12944-5中设计逻辑更为合理，并以此为依据设计对应涂层配套体系。</w:t>
      </w:r>
    </w:p>
    <w:p w14:paraId="5DFF7899">
      <w:pPr>
        <w:pStyle w:val="3"/>
        <w:bidi w:val="0"/>
        <w:rPr>
          <w:rFonts w:hint="default"/>
          <w:lang w:val="en-US" w:eastAsia="zh-CN"/>
        </w:rPr>
      </w:pPr>
      <w:r>
        <w:rPr>
          <w:rFonts w:hint="eastAsia" w:ascii="仿宋_GB2312" w:hAnsi="仿宋_GB2312" w:eastAsia="仿宋_GB2312" w:cs="仿宋_GB2312"/>
          <w:sz w:val="32"/>
          <w:szCs w:val="32"/>
        </w:rPr>
        <w:t>试验验证的分析、综述报告，技术经济论证，预期的经济效益、社会效益和生态效益</w:t>
      </w:r>
      <w:bookmarkEnd w:id="9"/>
    </w:p>
    <w:p w14:paraId="31E7EB49">
      <w:pPr>
        <w:pStyle w:val="4"/>
        <w:bidi w:val="0"/>
        <w:rPr>
          <w:rFonts w:hint="default"/>
          <w:lang w:val="en-US" w:eastAsia="zh-CN"/>
        </w:rPr>
      </w:pPr>
      <w:r>
        <w:rPr>
          <w:rFonts w:hint="eastAsia"/>
          <w:lang w:val="en-US" w:eastAsia="zh-CN"/>
        </w:rPr>
        <w:t>验证分析、综述报告</w:t>
      </w:r>
    </w:p>
    <w:p w14:paraId="3CD70BE2">
      <w:pPr>
        <w:bidi w:val="0"/>
        <w:rPr>
          <w:rFonts w:hint="eastAsia"/>
        </w:rPr>
      </w:pPr>
      <w:r>
        <w:rPr>
          <w:rFonts w:hint="eastAsia"/>
        </w:rPr>
        <w:t>2008年国家能源集团新能源技术研究院有限公司设计优化中心即开展了钢结构防腐领域研究，对多个电厂进行了防腐失效评估，研究成果《电厂钢结构涂层防腐评估与维修策略研究》获得中电联2011年全国电力职工技术成果二等奖。2016年完成国华沿海7厂钢结构防腐蚀调研报告，同年编制完成并发布中国神华能源股份有限公司国华电力分公司企业标准《火力发电厂钢结构防腐蚀技术标准》（GHDJ-05-13（T）-2016）。工作组完成的多项火电厂钢结构防腐专项工作对火电厂钢结构防腐技术研究具有一定的支撑作用。以下为针对本标准现有的</w:t>
      </w:r>
      <w:r>
        <w:rPr>
          <w:rFonts w:hint="eastAsia"/>
          <w:lang w:val="en-US" w:eastAsia="zh-CN"/>
        </w:rPr>
        <w:t>研究成果</w:t>
      </w:r>
      <w:r>
        <w:rPr>
          <w:rFonts w:hint="eastAsia"/>
        </w:rPr>
        <w:t>主要包括火电厂钢结构腐蚀调研报告及工程实践案例：</w:t>
      </w:r>
    </w:p>
    <w:p w14:paraId="501D1B4B">
      <w:pPr>
        <w:numPr>
          <w:ilvl w:val="0"/>
          <w:numId w:val="6"/>
        </w:numPr>
        <w:bidi w:val="0"/>
        <w:ind w:left="0" w:leftChars="0" w:firstLine="560" w:firstLineChars="200"/>
        <w:rPr>
          <w:rFonts w:hint="eastAsia"/>
        </w:rPr>
      </w:pPr>
      <w:r>
        <w:rPr>
          <w:rFonts w:hint="eastAsia"/>
        </w:rPr>
        <w:t>2008年完成《电厂钢结构涂层防腐评估与维修策略研究》；</w:t>
      </w:r>
    </w:p>
    <w:p w14:paraId="4EC7B073">
      <w:pPr>
        <w:numPr>
          <w:ilvl w:val="0"/>
          <w:numId w:val="6"/>
        </w:numPr>
        <w:bidi w:val="0"/>
        <w:ind w:left="0" w:leftChars="0" w:firstLine="560" w:firstLineChars="200"/>
        <w:rPr>
          <w:rFonts w:hint="eastAsia" w:ascii="Times New Roman" w:hAnsi="Times New Roman"/>
        </w:rPr>
      </w:pPr>
      <w:r>
        <w:rPr>
          <w:rFonts w:hint="eastAsia" w:ascii="Times New Roman" w:hAnsi="Times New Roman"/>
        </w:rPr>
        <w:t>2016年完成《沿海七厂电厂钢结构防腐调研报告》；</w:t>
      </w:r>
    </w:p>
    <w:p w14:paraId="73BECBBD">
      <w:pPr>
        <w:numPr>
          <w:ilvl w:val="0"/>
          <w:numId w:val="6"/>
        </w:numPr>
        <w:bidi w:val="0"/>
        <w:ind w:left="0" w:leftChars="0" w:firstLine="560" w:firstLineChars="200"/>
        <w:rPr>
          <w:rFonts w:hint="eastAsia" w:ascii="Times New Roman" w:hAnsi="Times New Roman"/>
        </w:rPr>
      </w:pPr>
      <w:bookmarkStart w:id="11" w:name="OLE_LINK10"/>
      <w:r>
        <w:rPr>
          <w:rFonts w:hint="eastAsia" w:ascii="Times New Roman" w:hAnsi="Times New Roman"/>
        </w:rPr>
        <w:t>2016年</w:t>
      </w:r>
      <w:r>
        <w:rPr>
          <w:rFonts w:hint="eastAsia"/>
          <w:lang w:val="en-US" w:eastAsia="zh-CN"/>
        </w:rPr>
        <w:t>编制发布企业级标准</w:t>
      </w:r>
      <w:r>
        <w:rPr>
          <w:rFonts w:hint="eastAsia" w:ascii="Times New Roman" w:hAnsi="Times New Roman"/>
        </w:rPr>
        <w:t>《火力发电厂钢结构防腐蚀技术标准》（GHDJ-05-13（T）-2016）</w:t>
      </w:r>
      <w:bookmarkEnd w:id="11"/>
      <w:r>
        <w:rPr>
          <w:rFonts w:hint="eastAsia" w:ascii="Times New Roman" w:hAnsi="Times New Roman"/>
        </w:rPr>
        <w:t>；</w:t>
      </w:r>
    </w:p>
    <w:p w14:paraId="55A35ED1">
      <w:pPr>
        <w:numPr>
          <w:ilvl w:val="0"/>
          <w:numId w:val="6"/>
        </w:numPr>
        <w:bidi w:val="0"/>
        <w:ind w:left="0" w:leftChars="0" w:firstLine="560" w:firstLineChars="200"/>
        <w:rPr>
          <w:rFonts w:hint="eastAsia" w:ascii="Times New Roman" w:hAnsi="Times New Roman"/>
        </w:rPr>
      </w:pPr>
      <w:r>
        <w:rPr>
          <w:rFonts w:hint="eastAsia" w:ascii="Times New Roman" w:hAnsi="Times New Roman"/>
        </w:rPr>
        <w:t>2017年参编国家能源集团的国内外火电厂工程设计案例；</w:t>
      </w:r>
    </w:p>
    <w:p w14:paraId="591BAD93">
      <w:pPr>
        <w:numPr>
          <w:ilvl w:val="0"/>
          <w:numId w:val="6"/>
        </w:numPr>
        <w:bidi w:val="0"/>
        <w:ind w:left="0" w:leftChars="0" w:firstLine="560" w:firstLineChars="200"/>
        <w:rPr>
          <w:rFonts w:hint="eastAsia" w:ascii="Times New Roman" w:hAnsi="Times New Roman"/>
        </w:rPr>
      </w:pPr>
      <w:r>
        <w:rPr>
          <w:rFonts w:hint="eastAsia" w:ascii="Times New Roman" w:hAnsi="Times New Roman"/>
        </w:rPr>
        <w:t>2018年</w:t>
      </w:r>
      <w:r>
        <w:rPr>
          <w:rFonts w:hint="eastAsia"/>
          <w:lang w:val="en-US" w:eastAsia="zh-CN"/>
        </w:rPr>
        <w:t>编制</w:t>
      </w:r>
      <w:r>
        <w:rPr>
          <w:rFonts w:hint="eastAsia" w:ascii="Times New Roman" w:hAnsi="Times New Roman"/>
        </w:rPr>
        <w:t>《圆形煤场的檩条及围护板腐蚀过快问题调研报告》；</w:t>
      </w:r>
    </w:p>
    <w:p w14:paraId="162AD2CD">
      <w:pPr>
        <w:numPr>
          <w:ilvl w:val="0"/>
          <w:numId w:val="6"/>
        </w:numPr>
        <w:bidi w:val="0"/>
        <w:ind w:left="0" w:leftChars="0" w:firstLine="560" w:firstLineChars="200"/>
        <w:rPr>
          <w:rFonts w:hint="eastAsia" w:ascii="Times New Roman" w:hAnsi="Times New Roman"/>
        </w:rPr>
      </w:pPr>
      <w:r>
        <w:rPr>
          <w:rFonts w:hint="eastAsia" w:ascii="Times New Roman" w:hAnsi="Times New Roman"/>
        </w:rPr>
        <w:t>2019年</w:t>
      </w:r>
      <w:r>
        <w:rPr>
          <w:rFonts w:hint="eastAsia"/>
          <w:lang w:val="en-US" w:eastAsia="zh-CN"/>
        </w:rPr>
        <w:t>形成</w:t>
      </w:r>
      <w:r>
        <w:rPr>
          <w:rFonts w:hint="eastAsia" w:ascii="Times New Roman" w:hAnsi="Times New Roman"/>
        </w:rPr>
        <w:t>火力发电厂室外钢结构环保防腐涂层研究</w:t>
      </w:r>
      <w:r>
        <w:rPr>
          <w:rFonts w:hint="eastAsia"/>
          <w:lang w:val="en-US" w:eastAsia="zh-CN"/>
        </w:rPr>
        <w:t>成果；</w:t>
      </w:r>
    </w:p>
    <w:p w14:paraId="005D0548">
      <w:pPr>
        <w:numPr>
          <w:ilvl w:val="0"/>
          <w:numId w:val="6"/>
        </w:numPr>
        <w:bidi w:val="0"/>
        <w:ind w:left="0" w:leftChars="0" w:firstLine="560" w:firstLineChars="200"/>
        <w:rPr>
          <w:rFonts w:hint="eastAsia" w:ascii="Times New Roman" w:hAnsi="Times New Roman"/>
        </w:rPr>
      </w:pPr>
      <w:r>
        <w:rPr>
          <w:rFonts w:hint="eastAsia"/>
          <w:lang w:val="en-US" w:eastAsia="zh-CN"/>
        </w:rPr>
        <w:t>2024年编制《国家能源集团沿海地区燃煤电站钢结构防腐蚀工作调研报告》。</w:t>
      </w:r>
    </w:p>
    <w:p w14:paraId="1DA22D18">
      <w:pPr>
        <w:pStyle w:val="4"/>
        <w:bidi w:val="0"/>
        <w:rPr>
          <w:rFonts w:hint="default"/>
          <w:lang w:val="en-US" w:eastAsia="zh-CN"/>
        </w:rPr>
      </w:pPr>
      <w:bookmarkStart w:id="12" w:name="_Toc14088"/>
      <w:r>
        <w:rPr>
          <w:rFonts w:hint="eastAsia"/>
          <w:lang w:val="en-US" w:eastAsia="zh-CN"/>
        </w:rPr>
        <w:t>验证情况</w:t>
      </w:r>
      <w:bookmarkEnd w:id="12"/>
    </w:p>
    <w:p w14:paraId="58724768">
      <w:pPr>
        <w:rPr>
          <w:rFonts w:hint="eastAsia"/>
          <w:lang w:val="en-US" w:eastAsia="zh-CN"/>
        </w:rPr>
      </w:pPr>
      <w:r>
        <w:rPr>
          <w:rFonts w:hint="eastAsia"/>
          <w:lang w:val="en-US" w:eastAsia="zh-CN"/>
        </w:rPr>
        <w:t>本标准基于</w:t>
      </w:r>
      <w:r>
        <w:rPr>
          <w:rFonts w:hint="default"/>
          <w:lang w:val="en-US" w:eastAsia="zh-CN"/>
        </w:rPr>
        <w:t>2016年发布</w:t>
      </w:r>
      <w:r>
        <w:rPr>
          <w:rFonts w:hint="eastAsia"/>
          <w:lang w:val="en-US" w:eastAsia="zh-CN"/>
        </w:rPr>
        <w:t>的中国神华能源股份有限公司国华电力分公司企业标准</w:t>
      </w:r>
      <w:r>
        <w:rPr>
          <w:rFonts w:hint="default"/>
          <w:lang w:val="en-US" w:eastAsia="zh-CN"/>
        </w:rPr>
        <w:t>《火力发电厂钢结构防腐蚀技术标准》（GHDJ-05-13（T）-2016）</w:t>
      </w:r>
      <w:r>
        <w:rPr>
          <w:rFonts w:hint="eastAsia"/>
          <w:lang w:val="en-US" w:eastAsia="zh-CN"/>
        </w:rPr>
        <w:t>，该企业标准自发布以后，指导规范了太仓、台山、舟山、绥中、沧东、北海及定州等诸多电厂的钢结构防腐设计、施工及维修工作，明确了防腐设计使用年限，保障了电厂安全运行，降低了防腐维修成本，其效果已取得实际工程验证。</w:t>
      </w:r>
    </w:p>
    <w:p w14:paraId="11F04CE2">
      <w:pPr>
        <w:rPr>
          <w:rFonts w:hint="eastAsia" w:ascii="Times New Roman" w:hAnsi="Times New Roman"/>
          <w:lang w:val="en-US" w:eastAsia="zh-CN"/>
        </w:rPr>
      </w:pPr>
      <w:r>
        <w:rPr>
          <w:rFonts w:hint="eastAsia" w:ascii="Times New Roman" w:hAnsi="Times New Roman"/>
          <w:lang w:val="en-US" w:eastAsia="zh-CN"/>
        </w:rPr>
        <w:t>据调研，我国不同地区电厂每年用于钢结构防腐蚀维修的费用有所差异，其中沿海电厂腐蚀情况较为严重，平均每年用于钢结构防腐维修费用达到100万元以上。企业标准通过明确新建项目钢结构防腐蚀目标，强化了防腐涂装施工验收技术要求，科学设定防腐维护维修流程及启动条件，有效提升机组钢结构腐蚀保护层全生命周期防腐效果，平均延长了10%的燃煤机组钢结构防腐蚀维修周期，降低了该项运维成本，每年为企业带来了近亿元的经济效益。此外，企业标准的实施降低了燃煤机组钢结构安全隐患，减少高空作业等高危工作频次，提高电站运行安全性，有效避免安全事故。</w:t>
      </w:r>
      <w:bookmarkEnd w:id="6"/>
    </w:p>
    <w:p w14:paraId="63E601AD">
      <w:pPr>
        <w:pStyle w:val="4"/>
        <w:bidi w:val="0"/>
        <w:rPr>
          <w:rFonts w:hint="default"/>
          <w:lang w:val="en-US" w:eastAsia="zh-CN"/>
        </w:rPr>
      </w:pPr>
      <w:bookmarkStart w:id="13" w:name="_Toc15689"/>
      <w:r>
        <w:rPr>
          <w:rFonts w:hint="eastAsia"/>
          <w:lang w:val="en-US" w:eastAsia="zh-CN"/>
        </w:rPr>
        <w:t>预期</w:t>
      </w:r>
      <w:bookmarkEnd w:id="13"/>
      <w:r>
        <w:rPr>
          <w:rFonts w:hint="eastAsia"/>
          <w:lang w:val="en-US" w:eastAsia="zh-CN"/>
        </w:rPr>
        <w:t>效益</w:t>
      </w:r>
    </w:p>
    <w:p w14:paraId="14AF4204">
      <w:pPr>
        <w:rPr>
          <w:rFonts w:hint="default"/>
          <w:lang w:val="en-US" w:eastAsia="zh-CN"/>
        </w:rPr>
      </w:pPr>
      <w:r>
        <w:rPr>
          <w:rFonts w:hint="eastAsia"/>
          <w:lang w:val="en-US" w:eastAsia="zh-CN"/>
        </w:rPr>
        <w:t>本标准预期达到以下效果：</w:t>
      </w:r>
    </w:p>
    <w:p w14:paraId="43F6747D">
      <w:pPr>
        <w:numPr>
          <w:ilvl w:val="0"/>
          <w:numId w:val="7"/>
        </w:numPr>
        <w:ind w:left="0" w:leftChars="0" w:firstLine="560" w:firstLineChars="200"/>
        <w:rPr>
          <w:rFonts w:hint="default"/>
          <w:lang w:val="en-US" w:eastAsia="zh-CN"/>
        </w:rPr>
      </w:pPr>
      <w:r>
        <w:rPr>
          <w:rFonts w:hint="default"/>
          <w:lang w:val="en-US" w:eastAsia="zh-CN"/>
        </w:rPr>
        <w:t>规范燃煤电站钢结构防腐蚀设计目标及防腐重点，明确防腐工程施工及验收要求，提升电站全生命周期运行安全性</w:t>
      </w:r>
      <w:r>
        <w:rPr>
          <w:rFonts w:hint="eastAsia"/>
          <w:lang w:val="en-US" w:eastAsia="zh-CN"/>
        </w:rPr>
        <w:t>；</w:t>
      </w:r>
    </w:p>
    <w:p w14:paraId="1B45640F">
      <w:pPr>
        <w:numPr>
          <w:ilvl w:val="0"/>
          <w:numId w:val="7"/>
        </w:numPr>
        <w:ind w:left="0" w:leftChars="0" w:firstLine="560" w:firstLineChars="200"/>
        <w:rPr>
          <w:rFonts w:hint="default" w:ascii="Times New Roman" w:hAnsi="Times New Roman"/>
          <w:lang w:val="en-US" w:eastAsia="zh-CN"/>
        </w:rPr>
      </w:pPr>
      <w:r>
        <w:rPr>
          <w:rFonts w:hint="default" w:ascii="Times New Roman" w:hAnsi="Times New Roman"/>
          <w:lang w:val="en-US" w:eastAsia="zh-CN"/>
        </w:rPr>
        <w:t>科学指导燃煤电站钢结构防腐蚀运维工作，降低电站运维成本，节约电厂钢结构防腐维修费用，提升电厂盈利能力</w:t>
      </w:r>
      <w:r>
        <w:rPr>
          <w:rFonts w:hint="eastAsia" w:ascii="Times New Roman" w:hAnsi="Times New Roman"/>
          <w:lang w:val="en-US" w:eastAsia="zh-CN"/>
        </w:rPr>
        <w:t>；</w:t>
      </w:r>
    </w:p>
    <w:p w14:paraId="0DBB4A26">
      <w:pPr>
        <w:numPr>
          <w:ilvl w:val="0"/>
          <w:numId w:val="7"/>
        </w:numPr>
        <w:ind w:left="0" w:leftChars="0" w:firstLine="560" w:firstLineChars="200"/>
        <w:rPr>
          <w:rFonts w:hint="default" w:ascii="Times New Roman" w:hAnsi="Times New Roman"/>
          <w:lang w:val="en-US" w:eastAsia="zh-CN"/>
        </w:rPr>
      </w:pPr>
      <w:r>
        <w:rPr>
          <w:rFonts w:hint="default" w:ascii="Times New Roman" w:hAnsi="Times New Roman"/>
          <w:lang w:val="en-US" w:eastAsia="zh-CN"/>
        </w:rPr>
        <w:t>推动电力行业钢结构防腐蚀领域标准化发展，促进相关产业规模扩大，带动相关技术发展，创造更多就业机会和经济增长点，为社会经济发展做出积极贡献。</w:t>
      </w:r>
    </w:p>
    <w:p w14:paraId="406E42CF">
      <w:pPr>
        <w:pStyle w:val="3"/>
        <w:bidi w:val="0"/>
      </w:pPr>
      <w:bookmarkStart w:id="14" w:name="_Toc24462"/>
      <w:bookmarkStart w:id="15" w:name="_Toc19962"/>
      <w:r>
        <w:rPr>
          <w:rFonts w:hint="eastAsia" w:ascii="仿宋_GB2312" w:hAnsi="仿宋_GB2312" w:eastAsia="仿宋_GB2312" w:cs="仿宋_GB2312"/>
          <w:sz w:val="32"/>
          <w:szCs w:val="32"/>
        </w:rPr>
        <w:t>与国际、国内同类标准技术内容的对比情况，或者与测试的样品、样机的有关数据对比情况</w:t>
      </w:r>
      <w:bookmarkEnd w:id="14"/>
    </w:p>
    <w:p w14:paraId="46A75A81">
      <w:pPr>
        <w:pStyle w:val="4"/>
        <w:bidi w:val="0"/>
      </w:pPr>
      <w:bookmarkStart w:id="16" w:name="_Toc5053"/>
      <w:r>
        <w:rPr>
          <w:rFonts w:hint="eastAsia"/>
        </w:rPr>
        <w:t>与同类标准技术内容对比情况</w:t>
      </w:r>
      <w:bookmarkEnd w:id="16"/>
    </w:p>
    <w:p w14:paraId="49486B2D">
      <w:pPr>
        <w:bidi w:val="0"/>
        <w:rPr>
          <w:highlight w:val="none"/>
        </w:rPr>
      </w:pPr>
      <w:r>
        <w:rPr>
          <w:rFonts w:hint="eastAsia"/>
          <w:highlight w:val="none"/>
          <w:lang w:val="en-US" w:eastAsia="zh-CN"/>
        </w:rPr>
        <w:t>目前，燃煤电站钢结构防腐蚀设计和维修通常按照《工业建筑防腐蚀设计标准》（GB/T 50046-2018）和《色漆和清漆 防护涂料体系对钢结构的防腐蚀保护》（ISO 12944）等通用标准执行。这类标准仅对腐蚀环境等级与防护层设计寿命提出了通适性要求，然而无法具体指导设计人员对燃煤电站钢结构进行防腐蚀设计，导致部分燃煤电站钢结构常年出现腐蚀情况需高频维修。</w:t>
      </w:r>
    </w:p>
    <w:p w14:paraId="6471A813">
      <w:pPr>
        <w:bidi w:val="0"/>
        <w:rPr>
          <w:rFonts w:ascii="仿宋_GB2312" w:hAnsi="黑体" w:eastAsia="仿宋_GB2312"/>
          <w:color w:val="000000" w:themeColor="text1"/>
          <w:szCs w:val="21"/>
          <w:highlight w:val="none"/>
          <w14:textFill>
            <w14:solidFill>
              <w14:schemeClr w14:val="tx1"/>
            </w14:solidFill>
          </w14:textFill>
        </w:rPr>
      </w:pPr>
      <w:r>
        <w:rPr>
          <w:rFonts w:hint="eastAsia"/>
          <w:highlight w:val="none"/>
        </w:rPr>
        <w:t>本标准的制定与实施，不仅及时了解和体现了国际国内标准的最新动态和发展趋势，还根据国内电力发展和建设自身实际情况进行了有针对性的改进和创新，填补了相关空白，补充完善了我国电力行业</w:t>
      </w:r>
      <w:r>
        <w:rPr>
          <w:rFonts w:hint="eastAsia"/>
          <w:highlight w:val="none"/>
          <w:lang w:val="en-US" w:eastAsia="zh-CN"/>
        </w:rPr>
        <w:t>钢结构防腐蚀技术</w:t>
      </w:r>
      <w:r>
        <w:rPr>
          <w:rFonts w:hint="eastAsia"/>
          <w:highlight w:val="none"/>
        </w:rPr>
        <w:t>标准体系，确保了国内外标准之间的协调统一和相互配套。不但有助于提升我国标准化活动的整体水平，还能增强我国标准化活动的创新发展在国际活动领域的影响力。</w:t>
      </w:r>
    </w:p>
    <w:p w14:paraId="777986B0">
      <w:pPr>
        <w:pStyle w:val="4"/>
        <w:bidi w:val="0"/>
      </w:pPr>
      <w:bookmarkStart w:id="17" w:name="_Toc8969"/>
      <w:r>
        <w:rPr>
          <w:rFonts w:hint="eastAsia"/>
          <w:lang w:val="en-US" w:eastAsia="zh-CN"/>
        </w:rPr>
        <w:t>采用国际标准</w:t>
      </w:r>
      <w:r>
        <w:rPr>
          <w:rFonts w:hint="eastAsia"/>
        </w:rPr>
        <w:t>情况</w:t>
      </w:r>
      <w:bookmarkEnd w:id="17"/>
    </w:p>
    <w:p w14:paraId="41363B4B">
      <w:pPr>
        <w:bidi w:val="0"/>
        <w:rPr>
          <w:rFonts w:hint="eastAsia"/>
        </w:rPr>
      </w:pPr>
      <w:r>
        <w:rPr>
          <w:rFonts w:hint="eastAsia"/>
        </w:rPr>
        <w:t>本标准未引用或采用国际国外标准，无采标情况。</w:t>
      </w:r>
    </w:p>
    <w:p w14:paraId="476B03C0">
      <w:pPr>
        <w:pStyle w:val="3"/>
        <w:bidi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以国际、国内标准为基础的起草情况，以及是否合规引用或者采用相关标准，并说明未采用相关标准的原因</w:t>
      </w:r>
    </w:p>
    <w:p w14:paraId="24D5BB5F">
      <w:pPr>
        <w:widowControl/>
        <w:spacing w:line="560" w:lineRule="exact"/>
        <w:ind w:firstLine="560" w:firstLineChars="200"/>
        <w:jc w:val="left"/>
      </w:pPr>
      <w:r>
        <w:rPr>
          <w:rFonts w:hint="eastAsia" w:ascii="仿宋_GB2312" w:hAnsi="仿宋_GB2312" w:eastAsia="仿宋_GB2312" w:cs="仿宋_GB2312"/>
          <w:sz w:val="28"/>
          <w:szCs w:val="28"/>
        </w:rPr>
        <w:t>未有以国际、国内标准为基础的起草情况。</w:t>
      </w:r>
    </w:p>
    <w:p w14:paraId="453CE2A8">
      <w:pPr>
        <w:pStyle w:val="3"/>
        <w:bidi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与现行法律法规、强制性标准及其他标准的关系</w:t>
      </w:r>
    </w:p>
    <w:p w14:paraId="7D344D30">
      <w:pPr>
        <w:rPr>
          <w:rFonts w:hint="default" w:ascii="Times New Roman" w:hAnsi="Times New Roman"/>
          <w:lang w:val="en-US" w:eastAsia="zh-CN"/>
        </w:rPr>
      </w:pPr>
      <w:r>
        <w:rPr>
          <w:rFonts w:hint="default" w:ascii="Times New Roman" w:hAnsi="Times New Roman"/>
          <w:lang w:val="en-US" w:eastAsia="zh-CN"/>
        </w:rPr>
        <w:t>本标准的编制严格遵循国家现行的法律法规，如《中华人民共和国建筑法》《中华人民共和国安全生产法》等，确保工程建设活动合法合规。在与国家</w:t>
      </w:r>
      <w:r>
        <w:rPr>
          <w:rFonts w:hint="eastAsia" w:ascii="Times New Roman" w:hAnsi="Times New Roman"/>
          <w:lang w:val="en-US" w:eastAsia="zh-CN"/>
        </w:rPr>
        <w:t>现行</w:t>
      </w:r>
      <w:r>
        <w:rPr>
          <w:rFonts w:hint="default" w:ascii="Times New Roman" w:hAnsi="Times New Roman"/>
          <w:lang w:val="en-US" w:eastAsia="zh-CN"/>
        </w:rPr>
        <w:t>标准的关系方面，充分考虑并衔接了钢结构防腐蚀相关工程领域的现行标准，如《工业建筑防腐蚀设计标准》（GB/T 50046-2018）、《建筑防腐蚀工程施工规范》（GB 50212-2014）、《钢结构工程施工质量验收标准》（GB 50205-2020）等，保证了燃煤电站钢结构防腐蚀设计、施工、验收、维护都符合相关国家标准及法律法规，是我国电力领域标准化体系的重要补充，为燃煤电站的安全、可靠、高效发展提供坚实的标准依据。</w:t>
      </w:r>
    </w:p>
    <w:p w14:paraId="244B6A06">
      <w:pPr>
        <w:pStyle w:val="3"/>
        <w:bidi w:val="0"/>
        <w:rPr>
          <w:rFonts w:hint="default"/>
          <w:lang w:val="en-US" w:eastAsia="zh-CN"/>
        </w:rPr>
      </w:pPr>
      <w:r>
        <w:rPr>
          <w:rFonts w:hint="eastAsia" w:ascii="仿宋_GB2312" w:hAnsi="仿宋_GB2312" w:eastAsia="仿宋_GB2312" w:cs="仿宋_GB2312"/>
          <w:sz w:val="32"/>
          <w:szCs w:val="32"/>
        </w:rPr>
        <w:t>重大分歧意见的处理经过和依</w:t>
      </w:r>
      <w:r>
        <w:rPr>
          <w:rFonts w:hint="eastAsia"/>
          <w:lang w:val="en-US" w:eastAsia="zh-CN"/>
        </w:rPr>
        <w:t>据</w:t>
      </w:r>
      <w:bookmarkEnd w:id="15"/>
    </w:p>
    <w:p w14:paraId="1A4E5419">
      <w:pPr>
        <w:bidi w:val="0"/>
      </w:pPr>
      <w:r>
        <w:t>本标准编制过程中</w:t>
      </w:r>
      <w:r>
        <w:rPr>
          <w:rFonts w:hint="eastAsia"/>
          <w:lang w:val="en-US" w:eastAsia="zh-CN"/>
        </w:rPr>
        <w:t>暂</w:t>
      </w:r>
      <w:r>
        <w:t>无重大分歧意见。</w:t>
      </w:r>
    </w:p>
    <w:p w14:paraId="0022F2B4">
      <w:pPr>
        <w:pStyle w:val="3"/>
        <w:bidi w:val="0"/>
      </w:pPr>
      <w:bookmarkStart w:id="18" w:name="_Toc16905"/>
      <w:r>
        <w:rPr>
          <w:rFonts w:hint="eastAsia" w:ascii="仿宋_GB2312" w:hAnsi="仿宋_GB2312" w:eastAsia="仿宋_GB2312" w:cs="仿宋_GB2312"/>
          <w:sz w:val="32"/>
          <w:szCs w:val="32"/>
        </w:rPr>
        <w:t>涉及专利的有关说</w:t>
      </w:r>
      <w:r>
        <w:rPr>
          <w:rFonts w:hint="eastAsia"/>
        </w:rPr>
        <w:t>明</w:t>
      </w:r>
      <w:bookmarkEnd w:id="18"/>
    </w:p>
    <w:p w14:paraId="1744B685">
      <w:pPr>
        <w:bidi w:val="0"/>
        <w:rPr>
          <w:rFonts w:hint="eastAsia"/>
        </w:rPr>
      </w:pPr>
      <w:r>
        <w:rPr>
          <w:rFonts w:hint="eastAsia"/>
        </w:rPr>
        <w:t>本标准编制过程中，未识别出涉及专利的内容。</w:t>
      </w:r>
    </w:p>
    <w:p w14:paraId="574C26A2">
      <w:pPr>
        <w:pStyle w:val="3"/>
        <w:bidi w:val="0"/>
        <w:rPr>
          <w:rFonts w:hint="default"/>
          <w:lang w:val="en-US" w:eastAsia="zh-CN"/>
        </w:rPr>
      </w:pPr>
      <w:bookmarkStart w:id="19" w:name="_Toc27030"/>
      <w:bookmarkStart w:id="20" w:name="_Toc18400"/>
      <w:r>
        <w:rPr>
          <w:rFonts w:hint="eastAsia" w:ascii="仿宋_GB2312" w:hAnsi="仿宋_GB2312" w:eastAsia="仿宋_GB2312" w:cs="仿宋_GB2312"/>
          <w:sz w:val="32"/>
          <w:szCs w:val="32"/>
        </w:rPr>
        <w:t>实施标准的要求，以及组织措施、技术措施、过渡期和实施日期的建议等措施建议</w:t>
      </w:r>
      <w:bookmarkEnd w:id="19"/>
    </w:p>
    <w:p w14:paraId="558957B9">
      <w:pPr>
        <w:numPr>
          <w:ilvl w:val="0"/>
          <w:numId w:val="8"/>
        </w:numPr>
        <w:bidi w:val="0"/>
        <w:ind w:left="0" w:leftChars="0" w:firstLine="560" w:firstLineChars="200"/>
        <w:rPr>
          <w:rFonts w:hint="default"/>
          <w:lang w:val="en-US" w:eastAsia="zh-CN"/>
        </w:rPr>
      </w:pPr>
      <w:r>
        <w:rPr>
          <w:rFonts w:hint="default"/>
          <w:lang w:val="en-US" w:eastAsia="zh-CN"/>
        </w:rPr>
        <w:t>建议</w:t>
      </w:r>
      <w:r>
        <w:rPr>
          <w:rFonts w:hint="eastAsia"/>
          <w:lang w:val="en-US" w:eastAsia="zh-CN"/>
        </w:rPr>
        <w:t>中电建协</w:t>
      </w:r>
      <w:r>
        <w:rPr>
          <w:rFonts w:hint="default"/>
          <w:lang w:val="en-US" w:eastAsia="zh-CN"/>
        </w:rPr>
        <w:t>组织</w:t>
      </w:r>
      <w:r>
        <w:rPr>
          <w:rFonts w:hint="eastAsia"/>
          <w:lang w:val="en-US" w:eastAsia="zh-CN"/>
        </w:rPr>
        <w:t>相关会员单位如设计院</w:t>
      </w:r>
      <w:r>
        <w:rPr>
          <w:rFonts w:hint="default"/>
          <w:lang w:val="en-US" w:eastAsia="zh-CN"/>
        </w:rPr>
        <w:t>、施工单位、监理单位、生产</w:t>
      </w:r>
      <w:r>
        <w:rPr>
          <w:rFonts w:hint="eastAsia"/>
          <w:lang w:val="en-US" w:eastAsia="zh-CN"/>
        </w:rPr>
        <w:t>厂家</w:t>
      </w:r>
      <w:r>
        <w:rPr>
          <w:rFonts w:hint="default"/>
          <w:lang w:val="en-US" w:eastAsia="zh-CN"/>
        </w:rPr>
        <w:t>、</w:t>
      </w:r>
      <w:r>
        <w:rPr>
          <w:rFonts w:hint="eastAsia"/>
          <w:lang w:val="en-US" w:eastAsia="zh-CN"/>
        </w:rPr>
        <w:t>电厂、</w:t>
      </w:r>
      <w:r>
        <w:rPr>
          <w:rFonts w:hint="default"/>
          <w:lang w:val="en-US" w:eastAsia="zh-CN"/>
        </w:rPr>
        <w:t>质量监督机构等开展标准培训活动，详细解读标准内容，使从业人员深入理解和掌握标准要求，提高其质量意识和执行能力</w:t>
      </w:r>
      <w:r>
        <w:rPr>
          <w:rFonts w:hint="eastAsia"/>
          <w:lang w:val="en-US" w:eastAsia="zh-CN"/>
        </w:rPr>
        <w:t>；</w:t>
      </w:r>
    </w:p>
    <w:p w14:paraId="215FF171">
      <w:pPr>
        <w:numPr>
          <w:ilvl w:val="0"/>
          <w:numId w:val="8"/>
        </w:numPr>
        <w:bidi w:val="0"/>
        <w:ind w:left="0" w:leftChars="0" w:firstLine="560" w:firstLineChars="200"/>
        <w:rPr>
          <w:rFonts w:hint="default" w:ascii="Times New Roman" w:hAnsi="Times New Roman"/>
          <w:lang w:val="en-US" w:eastAsia="zh-CN"/>
        </w:rPr>
      </w:pPr>
      <w:r>
        <w:rPr>
          <w:rFonts w:hint="eastAsia" w:ascii="Times New Roman" w:hAnsi="Times New Roman"/>
          <w:lang w:val="en-US" w:eastAsia="zh-CN"/>
        </w:rPr>
        <w:t>为协会会员单位</w:t>
      </w:r>
      <w:r>
        <w:rPr>
          <w:rFonts w:hint="default" w:ascii="Times New Roman" w:hAnsi="Times New Roman"/>
          <w:lang w:val="en-US" w:eastAsia="zh-CN"/>
        </w:rPr>
        <w:t>提供后期技术指导和服务，定期收集整理企业在执行标准过程中遇到的问题，及时予以反馈和解答，确保新标准应用过渡平稳、有序，避免因标准更新对工程建设、电站运营造成不利影响。</w:t>
      </w:r>
    </w:p>
    <w:bookmarkEnd w:id="20"/>
    <w:p w14:paraId="78416B57">
      <w:pPr>
        <w:pStyle w:val="3"/>
        <w:bidi w:val="0"/>
      </w:pPr>
      <w:bookmarkStart w:id="21" w:name="_Toc18419"/>
      <w:r>
        <w:rPr>
          <w:rFonts w:hint="eastAsia" w:ascii="仿宋_GB2312" w:hAnsi="仿宋_GB2312" w:eastAsia="仿宋_GB2312" w:cs="仿宋_GB2312"/>
          <w:sz w:val="32"/>
          <w:szCs w:val="32"/>
        </w:rPr>
        <w:t>其他应当说明的事</w:t>
      </w:r>
      <w:r>
        <w:rPr>
          <w:rFonts w:hint="eastAsia"/>
        </w:rPr>
        <w:t>项</w:t>
      </w:r>
      <w:bookmarkEnd w:id="21"/>
    </w:p>
    <w:p w14:paraId="4EE82832">
      <w:pPr>
        <w:bidi w:val="0"/>
        <w:rPr>
          <w:rFonts w:hint="default"/>
          <w:lang w:val="en-US" w:eastAsia="zh-CN"/>
        </w:rPr>
      </w:pPr>
      <w:r>
        <w:t>无。</w:t>
      </w: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A8E4F2A-550B-45DE-AC3C-2A8320AC045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159E099C-0B03-4088-B082-0BA307C47022}"/>
  </w:font>
  <w:font w:name="方正小标宋_GBK">
    <w:panose1 w:val="02000000000000000000"/>
    <w:charset w:val="86"/>
    <w:family w:val="auto"/>
    <w:pitch w:val="default"/>
    <w:sig w:usb0="A00002BF" w:usb1="38CF7CFA" w:usb2="00082016" w:usb3="00000000" w:csb0="00040001" w:csb1="00000000"/>
    <w:embedRegular r:id="rId3" w:fontKey="{F167D76E-F03C-417F-A417-5986D490AA9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E67A6">
    <w:pPr>
      <w:pStyle w:val="14"/>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209689">
                          <w:pPr>
                            <w:pStyle w:val="14"/>
                            <w:ind w:firstLine="0" w:firstLineChars="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0209689">
                    <w:pPr>
                      <w:pStyle w:val="14"/>
                      <w:ind w:firstLine="0" w:firstLineChars="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4D77BF"/>
    <w:multiLevelType w:val="singleLevel"/>
    <w:tmpl w:val="834D77BF"/>
    <w:lvl w:ilvl="0" w:tentative="0">
      <w:start w:val="1"/>
      <w:numFmt w:val="decimal"/>
      <w:suff w:val="space"/>
      <w:lvlText w:val="(%1)"/>
      <w:lvlJc w:val="left"/>
      <w:pPr>
        <w:ind w:left="0" w:leftChars="0" w:firstLine="40" w:firstLineChars="0"/>
      </w:pPr>
      <w:rPr>
        <w:rFonts w:hint="default"/>
      </w:rPr>
    </w:lvl>
  </w:abstractNum>
  <w:abstractNum w:abstractNumId="1">
    <w:nsid w:val="941354F0"/>
    <w:multiLevelType w:val="singleLevel"/>
    <w:tmpl w:val="941354F0"/>
    <w:lvl w:ilvl="0" w:tentative="0">
      <w:start w:val="1"/>
      <w:numFmt w:val="decimal"/>
      <w:suff w:val="space"/>
      <w:lvlText w:val="%1)"/>
      <w:lvlJc w:val="left"/>
      <w:pPr>
        <w:ind w:left="0" w:leftChars="0" w:firstLine="40" w:firstLineChars="0"/>
      </w:pPr>
      <w:rPr>
        <w:rFonts w:hint="default"/>
      </w:rPr>
    </w:lvl>
  </w:abstractNum>
  <w:abstractNum w:abstractNumId="2">
    <w:nsid w:val="97885138"/>
    <w:multiLevelType w:val="singleLevel"/>
    <w:tmpl w:val="97885138"/>
    <w:lvl w:ilvl="0" w:tentative="0">
      <w:start w:val="1"/>
      <w:numFmt w:val="decimal"/>
      <w:suff w:val="space"/>
      <w:lvlText w:val="(%1)"/>
      <w:lvlJc w:val="left"/>
      <w:pPr>
        <w:ind w:left="0" w:leftChars="0" w:firstLine="40" w:firstLineChars="0"/>
      </w:pPr>
      <w:rPr>
        <w:rFonts w:hint="default"/>
      </w:rPr>
    </w:lvl>
  </w:abstractNum>
  <w:abstractNum w:abstractNumId="3">
    <w:nsid w:val="9EFEFD4B"/>
    <w:multiLevelType w:val="multilevel"/>
    <w:tmpl w:val="9EFEFD4B"/>
    <w:lvl w:ilvl="0" w:tentative="0">
      <w:start w:val="1"/>
      <w:numFmt w:val="decimal"/>
      <w:pStyle w:val="3"/>
      <w:suff w:val="space"/>
      <w:lvlText w:val="%1."/>
      <w:lvlJc w:val="left"/>
      <w:pPr>
        <w:tabs>
          <w:tab w:val="left" w:pos="420"/>
        </w:tabs>
        <w:ind w:left="0" w:leftChars="0" w:firstLine="0" w:firstLineChars="0"/>
      </w:pPr>
      <w:rPr>
        <w:rFonts w:hint="default"/>
      </w:rPr>
    </w:lvl>
    <w:lvl w:ilvl="1" w:tentative="0">
      <w:start w:val="1"/>
      <w:numFmt w:val="decimal"/>
      <w:pStyle w:val="4"/>
      <w:suff w:val="space"/>
      <w:lvlText w:val="%1.%2."/>
      <w:lvlJc w:val="left"/>
      <w:pPr>
        <w:tabs>
          <w:tab w:val="left" w:pos="420"/>
        </w:tabs>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4">
    <w:nsid w:val="CE603A01"/>
    <w:multiLevelType w:val="singleLevel"/>
    <w:tmpl w:val="CE603A01"/>
    <w:lvl w:ilvl="0" w:tentative="0">
      <w:start w:val="1"/>
      <w:numFmt w:val="decimal"/>
      <w:suff w:val="space"/>
      <w:lvlText w:val="(%1)"/>
      <w:lvlJc w:val="left"/>
      <w:pPr>
        <w:ind w:left="0" w:leftChars="0" w:firstLine="40" w:firstLineChars="0"/>
      </w:pPr>
      <w:rPr>
        <w:rFonts w:hint="default"/>
      </w:rPr>
    </w:lvl>
  </w:abstractNum>
  <w:abstractNum w:abstractNumId="5">
    <w:nsid w:val="2F816502"/>
    <w:multiLevelType w:val="singleLevel"/>
    <w:tmpl w:val="2F816502"/>
    <w:lvl w:ilvl="0" w:tentative="0">
      <w:start w:val="1"/>
      <w:numFmt w:val="decimal"/>
      <w:suff w:val="space"/>
      <w:lvlText w:val="(%1)"/>
      <w:lvlJc w:val="left"/>
      <w:pPr>
        <w:ind w:left="0" w:leftChars="0" w:firstLine="40" w:firstLineChars="0"/>
      </w:pPr>
      <w:rPr>
        <w:rFonts w:hint="default"/>
      </w:rPr>
    </w:lvl>
  </w:abstractNum>
  <w:abstractNum w:abstractNumId="6">
    <w:nsid w:val="4F14A989"/>
    <w:multiLevelType w:val="singleLevel"/>
    <w:tmpl w:val="4F14A989"/>
    <w:lvl w:ilvl="0" w:tentative="0">
      <w:start w:val="1"/>
      <w:numFmt w:val="decimal"/>
      <w:suff w:val="space"/>
      <w:lvlText w:val="(%1)"/>
      <w:lvlJc w:val="left"/>
      <w:pPr>
        <w:ind w:left="0" w:leftChars="0" w:firstLine="40" w:firstLineChars="0"/>
      </w:pPr>
      <w:rPr>
        <w:rFonts w:hint="default"/>
      </w:rPr>
    </w:lvl>
  </w:abstractNum>
  <w:abstractNum w:abstractNumId="7">
    <w:nsid w:val="6EF4D273"/>
    <w:multiLevelType w:val="singleLevel"/>
    <w:tmpl w:val="6EF4D273"/>
    <w:lvl w:ilvl="0" w:tentative="0">
      <w:start w:val="1"/>
      <w:numFmt w:val="decimal"/>
      <w:suff w:val="space"/>
      <w:lvlText w:val="(%1)"/>
      <w:lvlJc w:val="left"/>
      <w:pPr>
        <w:ind w:left="0" w:leftChars="0" w:firstLine="40" w:firstLineChars="0"/>
      </w:pPr>
      <w:rPr>
        <w:rFonts w:hint="default"/>
      </w:rPr>
    </w:lvl>
  </w:abstractNum>
  <w:num w:numId="1">
    <w:abstractNumId w:val="3"/>
  </w:num>
  <w:num w:numId="2">
    <w:abstractNumId w:val="5"/>
  </w:num>
  <w:num w:numId="3">
    <w:abstractNumId w:val="7"/>
  </w:num>
  <w:num w:numId="4">
    <w:abstractNumId w:val="0"/>
  </w:num>
  <w:num w:numId="5">
    <w:abstractNumId w:val="1"/>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AF3"/>
    <w:rsid w:val="0001731D"/>
    <w:rsid w:val="000A6AF3"/>
    <w:rsid w:val="001D6757"/>
    <w:rsid w:val="001E301F"/>
    <w:rsid w:val="002B6923"/>
    <w:rsid w:val="00361243"/>
    <w:rsid w:val="00372764"/>
    <w:rsid w:val="00541492"/>
    <w:rsid w:val="0058725C"/>
    <w:rsid w:val="00624748"/>
    <w:rsid w:val="00694825"/>
    <w:rsid w:val="006D459F"/>
    <w:rsid w:val="007A3AA5"/>
    <w:rsid w:val="0094634A"/>
    <w:rsid w:val="00983751"/>
    <w:rsid w:val="00B564A2"/>
    <w:rsid w:val="00C156D2"/>
    <w:rsid w:val="00D55106"/>
    <w:rsid w:val="00D6154A"/>
    <w:rsid w:val="00DA0EB6"/>
    <w:rsid w:val="00E13308"/>
    <w:rsid w:val="00E30B8C"/>
    <w:rsid w:val="00E5714E"/>
    <w:rsid w:val="00F110DB"/>
    <w:rsid w:val="00F72850"/>
    <w:rsid w:val="00FB2FE5"/>
    <w:rsid w:val="01017FB5"/>
    <w:rsid w:val="010319AE"/>
    <w:rsid w:val="01C866F9"/>
    <w:rsid w:val="01D02219"/>
    <w:rsid w:val="020D16B3"/>
    <w:rsid w:val="02937581"/>
    <w:rsid w:val="02C14713"/>
    <w:rsid w:val="045B2E31"/>
    <w:rsid w:val="04AB77B1"/>
    <w:rsid w:val="04BA64C7"/>
    <w:rsid w:val="04C94AE8"/>
    <w:rsid w:val="05034C87"/>
    <w:rsid w:val="05164BE7"/>
    <w:rsid w:val="0536539A"/>
    <w:rsid w:val="05383DBD"/>
    <w:rsid w:val="060C4B01"/>
    <w:rsid w:val="069C2465"/>
    <w:rsid w:val="06FC3783"/>
    <w:rsid w:val="06FC4B75"/>
    <w:rsid w:val="070908F3"/>
    <w:rsid w:val="078E0669"/>
    <w:rsid w:val="08331281"/>
    <w:rsid w:val="085375B8"/>
    <w:rsid w:val="087864F3"/>
    <w:rsid w:val="08871049"/>
    <w:rsid w:val="08950021"/>
    <w:rsid w:val="089B6AD3"/>
    <w:rsid w:val="08D87811"/>
    <w:rsid w:val="091650F7"/>
    <w:rsid w:val="092E0A5A"/>
    <w:rsid w:val="095B721E"/>
    <w:rsid w:val="09646A02"/>
    <w:rsid w:val="09731C0E"/>
    <w:rsid w:val="0A2F0514"/>
    <w:rsid w:val="0AC97FC1"/>
    <w:rsid w:val="0B1722BE"/>
    <w:rsid w:val="0B2D2264"/>
    <w:rsid w:val="0B560EAA"/>
    <w:rsid w:val="0B5E62B6"/>
    <w:rsid w:val="0B8F3202"/>
    <w:rsid w:val="0B9F6D1F"/>
    <w:rsid w:val="0BBC0D77"/>
    <w:rsid w:val="0C9C373F"/>
    <w:rsid w:val="0CB664E7"/>
    <w:rsid w:val="0CB9746C"/>
    <w:rsid w:val="0D4E75B4"/>
    <w:rsid w:val="0F4920A4"/>
    <w:rsid w:val="0F663BD2"/>
    <w:rsid w:val="0F6D0FDF"/>
    <w:rsid w:val="0F764482"/>
    <w:rsid w:val="0F9C62AB"/>
    <w:rsid w:val="0FC6750B"/>
    <w:rsid w:val="0FF254C5"/>
    <w:rsid w:val="103D4F2D"/>
    <w:rsid w:val="10537FD8"/>
    <w:rsid w:val="10B65D95"/>
    <w:rsid w:val="11553EA2"/>
    <w:rsid w:val="11597885"/>
    <w:rsid w:val="11954480"/>
    <w:rsid w:val="11A045A7"/>
    <w:rsid w:val="11BF2AAD"/>
    <w:rsid w:val="11CA68BF"/>
    <w:rsid w:val="123526EB"/>
    <w:rsid w:val="12371472"/>
    <w:rsid w:val="13092A2C"/>
    <w:rsid w:val="13397200"/>
    <w:rsid w:val="13D20946"/>
    <w:rsid w:val="140838EB"/>
    <w:rsid w:val="141241FB"/>
    <w:rsid w:val="14322531"/>
    <w:rsid w:val="14871C3B"/>
    <w:rsid w:val="14B73B0A"/>
    <w:rsid w:val="150455A7"/>
    <w:rsid w:val="152B22BE"/>
    <w:rsid w:val="15B45E0E"/>
    <w:rsid w:val="15FF01DE"/>
    <w:rsid w:val="165C08BD"/>
    <w:rsid w:val="1706015E"/>
    <w:rsid w:val="173E0892"/>
    <w:rsid w:val="174156B7"/>
    <w:rsid w:val="17A440D7"/>
    <w:rsid w:val="17AB3A62"/>
    <w:rsid w:val="17B346F1"/>
    <w:rsid w:val="17F52BDC"/>
    <w:rsid w:val="183A58CF"/>
    <w:rsid w:val="18501FF1"/>
    <w:rsid w:val="18870497"/>
    <w:rsid w:val="193070E1"/>
    <w:rsid w:val="194C6A11"/>
    <w:rsid w:val="19CC27E2"/>
    <w:rsid w:val="1A2728A7"/>
    <w:rsid w:val="1A364410"/>
    <w:rsid w:val="1B933969"/>
    <w:rsid w:val="1BF765EF"/>
    <w:rsid w:val="1C045905"/>
    <w:rsid w:val="1C224EB5"/>
    <w:rsid w:val="1C7A627F"/>
    <w:rsid w:val="1CD37257"/>
    <w:rsid w:val="1D567831"/>
    <w:rsid w:val="1D584F32"/>
    <w:rsid w:val="1DCE45FC"/>
    <w:rsid w:val="1DD847C6"/>
    <w:rsid w:val="1E480DAA"/>
    <w:rsid w:val="1F3754B9"/>
    <w:rsid w:val="1F485A62"/>
    <w:rsid w:val="208C6FF3"/>
    <w:rsid w:val="21525AB7"/>
    <w:rsid w:val="219A172E"/>
    <w:rsid w:val="21A76846"/>
    <w:rsid w:val="21C328F3"/>
    <w:rsid w:val="21CD1190"/>
    <w:rsid w:val="21F31232"/>
    <w:rsid w:val="232B5A8E"/>
    <w:rsid w:val="23C27E3A"/>
    <w:rsid w:val="247B17E7"/>
    <w:rsid w:val="249B3E4F"/>
    <w:rsid w:val="24B23EBF"/>
    <w:rsid w:val="256B35BC"/>
    <w:rsid w:val="258E02F8"/>
    <w:rsid w:val="25A869D6"/>
    <w:rsid w:val="25E53F57"/>
    <w:rsid w:val="265754CC"/>
    <w:rsid w:val="2664225A"/>
    <w:rsid w:val="288A4510"/>
    <w:rsid w:val="28983825"/>
    <w:rsid w:val="289912A7"/>
    <w:rsid w:val="28991DCC"/>
    <w:rsid w:val="28AC0BBA"/>
    <w:rsid w:val="28D42E04"/>
    <w:rsid w:val="28DC1C2C"/>
    <w:rsid w:val="28ED45B4"/>
    <w:rsid w:val="28F519C1"/>
    <w:rsid w:val="290B6CC3"/>
    <w:rsid w:val="294813D7"/>
    <w:rsid w:val="29AC49A7"/>
    <w:rsid w:val="29AF6870"/>
    <w:rsid w:val="29FF78F4"/>
    <w:rsid w:val="2A3D5B54"/>
    <w:rsid w:val="2A6145B4"/>
    <w:rsid w:val="2AB35024"/>
    <w:rsid w:val="2ABC352B"/>
    <w:rsid w:val="2ACB7893"/>
    <w:rsid w:val="2B17315A"/>
    <w:rsid w:val="2BC74CE2"/>
    <w:rsid w:val="2BEF3474"/>
    <w:rsid w:val="2C7460FF"/>
    <w:rsid w:val="2C7C7C88"/>
    <w:rsid w:val="2C933131"/>
    <w:rsid w:val="2CA67D76"/>
    <w:rsid w:val="2CBF7478"/>
    <w:rsid w:val="2D3F104B"/>
    <w:rsid w:val="2D975300"/>
    <w:rsid w:val="2E2272E9"/>
    <w:rsid w:val="2E2627B5"/>
    <w:rsid w:val="2E7312D9"/>
    <w:rsid w:val="2E9F5C62"/>
    <w:rsid w:val="2EAB7F1D"/>
    <w:rsid w:val="2EB61B31"/>
    <w:rsid w:val="2FFB336C"/>
    <w:rsid w:val="30002DCD"/>
    <w:rsid w:val="30062758"/>
    <w:rsid w:val="3011436C"/>
    <w:rsid w:val="303B061C"/>
    <w:rsid w:val="3146605C"/>
    <w:rsid w:val="31704E8B"/>
    <w:rsid w:val="31F8678B"/>
    <w:rsid w:val="321855CA"/>
    <w:rsid w:val="327A5A60"/>
    <w:rsid w:val="332D5503"/>
    <w:rsid w:val="33AF005B"/>
    <w:rsid w:val="33E85C36"/>
    <w:rsid w:val="34153F6D"/>
    <w:rsid w:val="350D15E3"/>
    <w:rsid w:val="351126E2"/>
    <w:rsid w:val="35316ED2"/>
    <w:rsid w:val="358878E1"/>
    <w:rsid w:val="35A93699"/>
    <w:rsid w:val="35C57746"/>
    <w:rsid w:val="361A6E50"/>
    <w:rsid w:val="361F020D"/>
    <w:rsid w:val="36AA0CBD"/>
    <w:rsid w:val="36C80ABF"/>
    <w:rsid w:val="36FE6867"/>
    <w:rsid w:val="373A70A6"/>
    <w:rsid w:val="378E0F6A"/>
    <w:rsid w:val="38677D19"/>
    <w:rsid w:val="386808FA"/>
    <w:rsid w:val="38CC1C3C"/>
    <w:rsid w:val="38FE3951"/>
    <w:rsid w:val="398D4278"/>
    <w:rsid w:val="39DD52FC"/>
    <w:rsid w:val="3A3A1E13"/>
    <w:rsid w:val="3A5F274A"/>
    <w:rsid w:val="3A8E3939"/>
    <w:rsid w:val="3AAA7E69"/>
    <w:rsid w:val="3B807F2C"/>
    <w:rsid w:val="3B820DE6"/>
    <w:rsid w:val="3B877BF8"/>
    <w:rsid w:val="3BA36CCD"/>
    <w:rsid w:val="3BB6700C"/>
    <w:rsid w:val="3BE556D1"/>
    <w:rsid w:val="3C3812D4"/>
    <w:rsid w:val="3CEF1407"/>
    <w:rsid w:val="3D4F6EA2"/>
    <w:rsid w:val="3DE06791"/>
    <w:rsid w:val="3E1127E3"/>
    <w:rsid w:val="3E315296"/>
    <w:rsid w:val="3E5E28E2"/>
    <w:rsid w:val="3EEA46C5"/>
    <w:rsid w:val="3EF8725E"/>
    <w:rsid w:val="3F096DC9"/>
    <w:rsid w:val="3F53403F"/>
    <w:rsid w:val="3F7953EA"/>
    <w:rsid w:val="3FD014BF"/>
    <w:rsid w:val="3FEF1D74"/>
    <w:rsid w:val="40250BC9"/>
    <w:rsid w:val="403768E5"/>
    <w:rsid w:val="41506B37"/>
    <w:rsid w:val="416937DF"/>
    <w:rsid w:val="41BC7AF1"/>
    <w:rsid w:val="41E6662C"/>
    <w:rsid w:val="421B164C"/>
    <w:rsid w:val="42585666"/>
    <w:rsid w:val="42714011"/>
    <w:rsid w:val="431F542F"/>
    <w:rsid w:val="4323756C"/>
    <w:rsid w:val="43310BCC"/>
    <w:rsid w:val="438F3164"/>
    <w:rsid w:val="43AA1790"/>
    <w:rsid w:val="44480394"/>
    <w:rsid w:val="448A4681"/>
    <w:rsid w:val="455428F4"/>
    <w:rsid w:val="455F7B5C"/>
    <w:rsid w:val="45F261D2"/>
    <w:rsid w:val="46001944"/>
    <w:rsid w:val="466B4B97"/>
    <w:rsid w:val="476E50DC"/>
    <w:rsid w:val="4873716A"/>
    <w:rsid w:val="498639D7"/>
    <w:rsid w:val="49C20FC1"/>
    <w:rsid w:val="4A1F73E8"/>
    <w:rsid w:val="4A2026A9"/>
    <w:rsid w:val="4A2B43F6"/>
    <w:rsid w:val="4A4C2273"/>
    <w:rsid w:val="4A6E0229"/>
    <w:rsid w:val="4B44280B"/>
    <w:rsid w:val="4B4751DB"/>
    <w:rsid w:val="4B71290D"/>
    <w:rsid w:val="4B8B2F80"/>
    <w:rsid w:val="4BBF2155"/>
    <w:rsid w:val="4BC154F0"/>
    <w:rsid w:val="4BC701B7"/>
    <w:rsid w:val="4C411429"/>
    <w:rsid w:val="4C763652"/>
    <w:rsid w:val="4C9435C3"/>
    <w:rsid w:val="4CB218CC"/>
    <w:rsid w:val="4CBA3ACA"/>
    <w:rsid w:val="4CC4300C"/>
    <w:rsid w:val="4D3F60F3"/>
    <w:rsid w:val="4D436175"/>
    <w:rsid w:val="4E1B4E0F"/>
    <w:rsid w:val="4E677B04"/>
    <w:rsid w:val="4F010800"/>
    <w:rsid w:val="4F416B96"/>
    <w:rsid w:val="4F485E9E"/>
    <w:rsid w:val="5000564D"/>
    <w:rsid w:val="5050032E"/>
    <w:rsid w:val="507254DD"/>
    <w:rsid w:val="50C75416"/>
    <w:rsid w:val="5131339E"/>
    <w:rsid w:val="532661FA"/>
    <w:rsid w:val="532F0545"/>
    <w:rsid w:val="53B474B1"/>
    <w:rsid w:val="54060DDF"/>
    <w:rsid w:val="54373AB8"/>
    <w:rsid w:val="546C6511"/>
    <w:rsid w:val="548C2213"/>
    <w:rsid w:val="54C54621"/>
    <w:rsid w:val="54F6179A"/>
    <w:rsid w:val="55351035"/>
    <w:rsid w:val="55937A20"/>
    <w:rsid w:val="56B227F1"/>
    <w:rsid w:val="56C9049F"/>
    <w:rsid w:val="57A10251"/>
    <w:rsid w:val="57A90EE1"/>
    <w:rsid w:val="57B204EC"/>
    <w:rsid w:val="57E24DA3"/>
    <w:rsid w:val="57ED06D1"/>
    <w:rsid w:val="583C0450"/>
    <w:rsid w:val="589715D5"/>
    <w:rsid w:val="58F84A43"/>
    <w:rsid w:val="59346469"/>
    <w:rsid w:val="59564420"/>
    <w:rsid w:val="59620232"/>
    <w:rsid w:val="59A66C15"/>
    <w:rsid w:val="59ED0903"/>
    <w:rsid w:val="5A5B4884"/>
    <w:rsid w:val="5A67147B"/>
    <w:rsid w:val="5AB854FB"/>
    <w:rsid w:val="5ACE4F06"/>
    <w:rsid w:val="5AFD3265"/>
    <w:rsid w:val="5B260E18"/>
    <w:rsid w:val="5BAA6E73"/>
    <w:rsid w:val="5BAE7E92"/>
    <w:rsid w:val="5BC975D5"/>
    <w:rsid w:val="5BEF797A"/>
    <w:rsid w:val="5C370801"/>
    <w:rsid w:val="5C80137C"/>
    <w:rsid w:val="5CBB6CB0"/>
    <w:rsid w:val="5CD72D5D"/>
    <w:rsid w:val="5CE65575"/>
    <w:rsid w:val="5D3D2C52"/>
    <w:rsid w:val="5D3E3A06"/>
    <w:rsid w:val="5D7E76D7"/>
    <w:rsid w:val="5E0D2DD9"/>
    <w:rsid w:val="5EE04437"/>
    <w:rsid w:val="5EF12152"/>
    <w:rsid w:val="5FD223D6"/>
    <w:rsid w:val="60392E2E"/>
    <w:rsid w:val="61DA7617"/>
    <w:rsid w:val="63581F04"/>
    <w:rsid w:val="63BA450E"/>
    <w:rsid w:val="63F2555F"/>
    <w:rsid w:val="64482C14"/>
    <w:rsid w:val="647C2169"/>
    <w:rsid w:val="648C045C"/>
    <w:rsid w:val="64D34D76"/>
    <w:rsid w:val="650023C2"/>
    <w:rsid w:val="65026AFE"/>
    <w:rsid w:val="650F096B"/>
    <w:rsid w:val="65262602"/>
    <w:rsid w:val="652A1008"/>
    <w:rsid w:val="65341918"/>
    <w:rsid w:val="65841133"/>
    <w:rsid w:val="65BE2F61"/>
    <w:rsid w:val="65D43A20"/>
    <w:rsid w:val="66AD24F1"/>
    <w:rsid w:val="67061813"/>
    <w:rsid w:val="67600C28"/>
    <w:rsid w:val="678C2C25"/>
    <w:rsid w:val="67CB3B5A"/>
    <w:rsid w:val="67F307F2"/>
    <w:rsid w:val="68A05C2F"/>
    <w:rsid w:val="68D76E5D"/>
    <w:rsid w:val="691F787B"/>
    <w:rsid w:val="69C266CE"/>
    <w:rsid w:val="6A892D47"/>
    <w:rsid w:val="6A8D534D"/>
    <w:rsid w:val="6AAA4E8C"/>
    <w:rsid w:val="6ADD0B5E"/>
    <w:rsid w:val="6AF27431"/>
    <w:rsid w:val="6B730548"/>
    <w:rsid w:val="6B953B90"/>
    <w:rsid w:val="6C0341C4"/>
    <w:rsid w:val="6C303DC2"/>
    <w:rsid w:val="6C991B71"/>
    <w:rsid w:val="6CC13DA5"/>
    <w:rsid w:val="6CD27D15"/>
    <w:rsid w:val="6CF60B65"/>
    <w:rsid w:val="6D033D67"/>
    <w:rsid w:val="6D162D88"/>
    <w:rsid w:val="6DAA7AA1"/>
    <w:rsid w:val="6DAB327B"/>
    <w:rsid w:val="6DE90B62"/>
    <w:rsid w:val="6E436899"/>
    <w:rsid w:val="6F245066"/>
    <w:rsid w:val="6F2C357A"/>
    <w:rsid w:val="6F352D82"/>
    <w:rsid w:val="6F7D69F9"/>
    <w:rsid w:val="6F7E447B"/>
    <w:rsid w:val="6F8B7F0D"/>
    <w:rsid w:val="6F917C18"/>
    <w:rsid w:val="70167E72"/>
    <w:rsid w:val="704C35C5"/>
    <w:rsid w:val="705C33D8"/>
    <w:rsid w:val="70CE09B6"/>
    <w:rsid w:val="70E62748"/>
    <w:rsid w:val="71320B17"/>
    <w:rsid w:val="716345F2"/>
    <w:rsid w:val="72190E55"/>
    <w:rsid w:val="721A055A"/>
    <w:rsid w:val="726A28C4"/>
    <w:rsid w:val="728B087B"/>
    <w:rsid w:val="7298621E"/>
    <w:rsid w:val="736827E7"/>
    <w:rsid w:val="737E1108"/>
    <w:rsid w:val="73AB0CD2"/>
    <w:rsid w:val="73B260DF"/>
    <w:rsid w:val="74460B51"/>
    <w:rsid w:val="7468238A"/>
    <w:rsid w:val="74FB7D02"/>
    <w:rsid w:val="75B6202C"/>
    <w:rsid w:val="76C92DEE"/>
    <w:rsid w:val="76F31A34"/>
    <w:rsid w:val="771A5176"/>
    <w:rsid w:val="77234781"/>
    <w:rsid w:val="77416EDC"/>
    <w:rsid w:val="7764686F"/>
    <w:rsid w:val="776D38FC"/>
    <w:rsid w:val="77727D83"/>
    <w:rsid w:val="779E40CB"/>
    <w:rsid w:val="77A14B15"/>
    <w:rsid w:val="77AE3DED"/>
    <w:rsid w:val="77BC1433"/>
    <w:rsid w:val="77C84DC0"/>
    <w:rsid w:val="78913A5E"/>
    <w:rsid w:val="78A06277"/>
    <w:rsid w:val="78A551F0"/>
    <w:rsid w:val="78BB2C66"/>
    <w:rsid w:val="78D750CC"/>
    <w:rsid w:val="78DE2519"/>
    <w:rsid w:val="78F76C86"/>
    <w:rsid w:val="7908577F"/>
    <w:rsid w:val="793379E4"/>
    <w:rsid w:val="794B2E8D"/>
    <w:rsid w:val="79AF2BB1"/>
    <w:rsid w:val="79D60872"/>
    <w:rsid w:val="79DE7E7D"/>
    <w:rsid w:val="7A882894"/>
    <w:rsid w:val="7B8E7BC4"/>
    <w:rsid w:val="7B9A3006"/>
    <w:rsid w:val="7C14589E"/>
    <w:rsid w:val="7C344B14"/>
    <w:rsid w:val="7C4C4F8D"/>
    <w:rsid w:val="7C5D6F97"/>
    <w:rsid w:val="7CE56DD3"/>
    <w:rsid w:val="7D55752F"/>
    <w:rsid w:val="7D921C5C"/>
    <w:rsid w:val="7EBC7D7B"/>
    <w:rsid w:val="7EC44CC7"/>
    <w:rsid w:val="7F342EBD"/>
    <w:rsid w:val="7F7469E7"/>
    <w:rsid w:val="7FB1158D"/>
    <w:rsid w:val="7FD1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883" w:firstLineChars="200"/>
      <w:jc w:val="both"/>
    </w:pPr>
    <w:rPr>
      <w:rFonts w:ascii="Times New Roman" w:hAnsi="Times New Roman" w:eastAsia="仿宋_GB2312" w:cstheme="minorBidi"/>
      <w:kern w:val="2"/>
      <w:sz w:val="28"/>
      <w:szCs w:val="28"/>
      <w:lang w:val="en-US" w:eastAsia="zh-CN" w:bidi="ar-SA"/>
    </w:rPr>
  </w:style>
  <w:style w:type="paragraph" w:styleId="3">
    <w:name w:val="heading 1"/>
    <w:basedOn w:val="1"/>
    <w:next w:val="4"/>
    <w:qFormat/>
    <w:uiPriority w:val="0"/>
    <w:pPr>
      <w:keepNext/>
      <w:keepLines/>
      <w:numPr>
        <w:ilvl w:val="0"/>
        <w:numId w:val="1"/>
      </w:numPr>
      <w:ind w:firstLineChars="0"/>
      <w:outlineLvl w:val="0"/>
    </w:pPr>
    <w:rPr>
      <w:rFonts w:ascii="Times New Roman" w:hAnsi="Times New Roman"/>
      <w:b/>
      <w:kern w:val="44"/>
      <w:sz w:val="32"/>
      <w:szCs w:val="32"/>
    </w:rPr>
  </w:style>
  <w:style w:type="paragraph" w:styleId="4">
    <w:name w:val="heading 2"/>
    <w:basedOn w:val="1"/>
    <w:next w:val="1"/>
    <w:unhideWhenUsed/>
    <w:qFormat/>
    <w:uiPriority w:val="0"/>
    <w:pPr>
      <w:keepNext/>
      <w:keepLines/>
      <w:numPr>
        <w:ilvl w:val="1"/>
        <w:numId w:val="1"/>
      </w:numPr>
      <w:ind w:left="575" w:hanging="575" w:firstLineChars="0"/>
      <w:outlineLvl w:val="1"/>
    </w:pPr>
    <w:rPr>
      <w:rFonts w:ascii="Times New Roman" w:hAnsi="Times New Roman" w:eastAsia="黑体"/>
    </w:rPr>
  </w:style>
  <w:style w:type="paragraph" w:styleId="5">
    <w:name w:val="heading 3"/>
    <w:basedOn w:val="1"/>
    <w:next w:val="1"/>
    <w:unhideWhenUsed/>
    <w:qFormat/>
    <w:uiPriority w:val="0"/>
    <w:pPr>
      <w:keepNext/>
      <w:keepLines/>
      <w:numPr>
        <w:ilvl w:val="2"/>
        <w:numId w:val="1"/>
      </w:numPr>
      <w:tabs>
        <w:tab w:val="left" w:pos="420"/>
      </w:tabs>
      <w:spacing w:line="360" w:lineRule="auto"/>
      <w:ind w:left="720" w:hanging="720" w:firstLineChars="0"/>
      <w:outlineLvl w:val="2"/>
    </w:pPr>
    <w:rPr>
      <w:rFonts w:ascii="Times New Roman" w:hAnsi="Times New Roman"/>
      <w:sz w:val="28"/>
    </w:rPr>
  </w:style>
  <w:style w:type="paragraph" w:styleId="6">
    <w:name w:val="heading 4"/>
    <w:basedOn w:val="1"/>
    <w:next w:val="1"/>
    <w:semiHidden/>
    <w:unhideWhenUsed/>
    <w:qFormat/>
    <w:uiPriority w:val="0"/>
    <w:pPr>
      <w:keepNext/>
      <w:keepLines/>
      <w:numPr>
        <w:ilvl w:val="3"/>
        <w:numId w:val="1"/>
      </w:numPr>
      <w:tabs>
        <w:tab w:val="left" w:pos="420"/>
      </w:tabs>
      <w:spacing w:before="280" w:after="290" w:line="372" w:lineRule="auto"/>
      <w:ind w:left="864" w:hanging="864" w:firstLineChars="0"/>
      <w:outlineLvl w:val="3"/>
    </w:pPr>
    <w:rPr>
      <w:rFonts w:ascii="Arial" w:hAnsi="Arial" w:eastAsia="黑体"/>
      <w:b/>
    </w:rPr>
  </w:style>
  <w:style w:type="paragraph" w:styleId="7">
    <w:name w:val="heading 5"/>
    <w:basedOn w:val="1"/>
    <w:next w:val="1"/>
    <w:semiHidden/>
    <w:unhideWhenUsed/>
    <w:qFormat/>
    <w:uiPriority w:val="0"/>
    <w:pPr>
      <w:keepNext/>
      <w:keepLines/>
      <w:numPr>
        <w:ilvl w:val="4"/>
        <w:numId w:val="1"/>
      </w:numPr>
      <w:spacing w:before="280" w:after="290" w:line="372" w:lineRule="auto"/>
      <w:ind w:left="1008" w:hanging="1008" w:firstLineChars="0"/>
      <w:outlineLvl w:val="4"/>
    </w:pPr>
    <w:rPr>
      <w:b/>
    </w:rPr>
  </w:style>
  <w:style w:type="paragraph" w:styleId="8">
    <w:name w:val="heading 6"/>
    <w:basedOn w:val="1"/>
    <w:next w:val="1"/>
    <w:semiHidden/>
    <w:unhideWhenUsed/>
    <w:qFormat/>
    <w:uiPriority w:val="0"/>
    <w:pPr>
      <w:keepNext/>
      <w:keepLines/>
      <w:numPr>
        <w:ilvl w:val="5"/>
        <w:numId w:val="1"/>
      </w:numPr>
      <w:spacing w:before="240" w:after="64" w:line="317" w:lineRule="auto"/>
      <w:ind w:left="1151" w:hanging="1151" w:firstLineChars="0"/>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1"/>
      </w:numPr>
      <w:spacing w:before="240" w:after="64" w:line="317" w:lineRule="auto"/>
      <w:ind w:left="1296" w:hanging="1296" w:firstLineChars="0"/>
      <w:outlineLvl w:val="6"/>
    </w:pPr>
    <w:rPr>
      <w:b/>
      <w:sz w:val="24"/>
    </w:rPr>
  </w:style>
  <w:style w:type="paragraph" w:styleId="10">
    <w:name w:val="heading 8"/>
    <w:basedOn w:val="1"/>
    <w:next w:val="1"/>
    <w:semiHidden/>
    <w:unhideWhenUsed/>
    <w:qFormat/>
    <w:uiPriority w:val="0"/>
    <w:pPr>
      <w:keepNext/>
      <w:keepLines/>
      <w:numPr>
        <w:ilvl w:val="7"/>
        <w:numId w:val="1"/>
      </w:numPr>
      <w:spacing w:before="240" w:after="64" w:line="317" w:lineRule="auto"/>
      <w:ind w:left="1440" w:hanging="1440" w:firstLineChars="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after="64" w:line="317" w:lineRule="auto"/>
      <w:ind w:left="1583" w:hanging="1583" w:firstLineChars="0"/>
      <w:outlineLvl w:val="8"/>
    </w:pPr>
    <w:rPr>
      <w:rFonts w:ascii="Arial" w:hAnsi="Arial" w:eastAsia="黑体"/>
      <w:sz w:val="21"/>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pPr>
      <w:tabs>
        <w:tab w:val="left" w:pos="-945"/>
      </w:tabs>
    </w:pPr>
    <w:rPr>
      <w:rFonts w:ascii="宋体" w:hAnsi="Courier New"/>
    </w:rPr>
  </w:style>
  <w:style w:type="paragraph" w:styleId="12">
    <w:name w:val="Body Text"/>
    <w:basedOn w:val="1"/>
    <w:unhideWhenUsed/>
    <w:qFormat/>
    <w:uiPriority w:val="99"/>
    <w:pPr>
      <w:autoSpaceDE w:val="0"/>
      <w:autoSpaceDN w:val="0"/>
      <w:ind w:left="480"/>
      <w:jc w:val="left"/>
    </w:pPr>
    <w:rPr>
      <w:rFonts w:hint="eastAsia" w:ascii="宋体" w:hAnsi="宋体"/>
      <w:kern w:val="0"/>
      <w:sz w:val="32"/>
      <w:szCs w:val="32"/>
    </w:rPr>
  </w:style>
  <w:style w:type="paragraph" w:styleId="13">
    <w:name w:val="toc 3"/>
    <w:basedOn w:val="1"/>
    <w:next w:val="1"/>
    <w:qFormat/>
    <w:uiPriority w:val="0"/>
    <w:pPr>
      <w:ind w:left="840" w:leftChars="400"/>
    </w:pPr>
  </w:style>
  <w:style w:type="paragraph" w:styleId="14">
    <w:name w:val="footer"/>
    <w:basedOn w:val="1"/>
    <w:qFormat/>
    <w:uiPriority w:val="0"/>
    <w:pPr>
      <w:tabs>
        <w:tab w:val="center" w:pos="4153"/>
        <w:tab w:val="right" w:pos="8306"/>
      </w:tabs>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rPr>
  </w:style>
  <w:style w:type="paragraph" w:styleId="16">
    <w:name w:val="toc 1"/>
    <w:basedOn w:val="1"/>
    <w:next w:val="1"/>
    <w:qFormat/>
    <w:uiPriority w:val="0"/>
    <w:pPr>
      <w:ind w:firstLine="0" w:firstLineChars="0"/>
    </w:pPr>
    <w:rPr>
      <w:rFonts w:ascii="Times New Roman" w:hAnsi="Times New Roman"/>
    </w:rPr>
  </w:style>
  <w:style w:type="paragraph" w:styleId="17">
    <w:name w:val="toc 2"/>
    <w:basedOn w:val="1"/>
    <w:next w:val="1"/>
    <w:qFormat/>
    <w:uiPriority w:val="0"/>
    <w:pPr>
      <w:ind w:left="420" w:leftChars="200" w:firstLine="0" w:firstLineChars="0"/>
    </w:pPr>
    <w:rPr>
      <w:rFonts w:ascii="Times New Roman" w:hAnsi="Times New Roman"/>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全文标题"/>
    <w:basedOn w:val="1"/>
    <w:qFormat/>
    <w:uiPriority w:val="0"/>
    <w:pPr>
      <w:spacing w:line="480" w:lineRule="auto"/>
    </w:pPr>
    <w:rPr>
      <w:rFonts w:eastAsia="黑体" w:asciiTheme="minorHAnsi" w:hAnsiTheme="minorHAnsi"/>
      <w:b/>
      <w:sz w:val="44"/>
    </w:rPr>
  </w:style>
  <w:style w:type="paragraph" w:customStyle="1" w:styleId="22">
    <w:name w:val="样式 宋体 四号 行距: 最小值 24 磅"/>
    <w:basedOn w:val="1"/>
    <w:qFormat/>
    <w:uiPriority w:val="0"/>
    <w:pPr>
      <w:spacing w:line="480" w:lineRule="atLeast"/>
      <w:ind w:firstLine="480"/>
    </w:pPr>
    <w:rPr>
      <w:rFonts w:cs="Times New Roman"/>
      <w:color w:val="FF0000"/>
      <w:sz w:val="24"/>
      <w:szCs w:val="24"/>
    </w:rPr>
  </w:style>
  <w:style w:type="paragraph" w:customStyle="1" w:styleId="23">
    <w:name w:val="手动目录 1"/>
    <w:qFormat/>
    <w:uiPriority w:val="0"/>
    <w:rPr>
      <w:rFonts w:ascii="Times New Roman" w:hAnsi="Times New Roman" w:eastAsia="仿宋_GB2312" w:cs="Times New Roman"/>
      <w:sz w:val="28"/>
      <w:lang w:val="en-US" w:eastAsia="zh-CN" w:bidi="ar-SA"/>
    </w:rPr>
  </w:style>
  <w:style w:type="paragraph" w:customStyle="1" w:styleId="24">
    <w:name w:val="手动目录 2"/>
    <w:qFormat/>
    <w:uiPriority w:val="0"/>
    <w:pPr>
      <w:ind w:firstLine="883" w:firstLineChars="200"/>
    </w:pPr>
    <w:rPr>
      <w:rFonts w:ascii="Times New Roman" w:hAnsi="Times New Roman" w:eastAsia="仿宋_GB2312" w:cs="Times New Roman"/>
      <w:sz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6051</Words>
  <Characters>6447</Characters>
  <Lines>38</Lines>
  <Paragraphs>10</Paragraphs>
  <TotalTime>0</TotalTime>
  <ScaleCrop>false</ScaleCrop>
  <LinksUpToDate>false</LinksUpToDate>
  <CharactersWithSpaces>6484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2024-11-06T06:57:00Z</dcterms:created>
  <dc:creator>铁维纯</dc:creator>
  <cp:lastModifiedBy>16555</cp:lastModifiedBy>
  <dcterms:modified xsi:type="dcterms:W3CDTF">2025-07-21T06:24:38Z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EC1A42CC0B9447DA8BBBF188624E15D4</vt:lpwstr>
  </property>
  <property fmtid="{D5CDD505-2E9C-101B-9397-08002B2CF9AE}" pid="4" name="KSOTemplateDocerSaveRecord">
    <vt:lpwstr>eyJoZGlkIjoiMDljYzUzMWQ4OWI0YzBkYjYzMDRhZTY5ZjZkYmFmYTgiLCJ1c2VySWQiOiI1MDYyMCJ9</vt:lpwstr>
  </property>
</Properties>
</file>