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2A1BF">
      <w:pPr>
        <w:widowControl/>
        <w:jc w:val="left"/>
      </w:pPr>
    </w:p>
    <w:p w14:paraId="6D906EC3">
      <w:pPr>
        <w:widowControl/>
        <w:jc w:val="center"/>
        <w:rPr>
          <w:rFonts w:ascii="方正小标宋简体" w:hAnsi="方正小标宋简体" w:eastAsia="方正小标宋简体" w:cs="方正小标宋简体"/>
          <w:color w:val="000000"/>
          <w:kern w:val="0"/>
          <w:sz w:val="44"/>
          <w:szCs w:val="44"/>
          <w:lang w:bidi="ar"/>
        </w:rPr>
      </w:pPr>
    </w:p>
    <w:p w14:paraId="62F9ECE1">
      <w:pPr>
        <w:widowControl/>
        <w:jc w:val="center"/>
        <w:rPr>
          <w:rFonts w:ascii="方正小标宋简体" w:hAnsi="方正小标宋简体" w:eastAsia="方正小标宋简体" w:cs="方正小标宋简体"/>
          <w:color w:val="000000"/>
          <w:kern w:val="0"/>
          <w:sz w:val="44"/>
          <w:szCs w:val="44"/>
          <w:lang w:bidi="ar"/>
        </w:rPr>
      </w:pPr>
    </w:p>
    <w:p w14:paraId="30FBFFA8">
      <w:pPr>
        <w:widowControl/>
        <w:jc w:val="center"/>
        <w:rPr>
          <w:rFonts w:ascii="方正小标宋简体" w:hAnsi="方正小标宋简体" w:eastAsia="方正小标宋简体" w:cs="方正小标宋简体"/>
          <w:color w:val="000000"/>
          <w:kern w:val="0"/>
          <w:sz w:val="44"/>
          <w:szCs w:val="44"/>
          <w:lang w:bidi="ar"/>
        </w:rPr>
      </w:pPr>
    </w:p>
    <w:p w14:paraId="49CDEC01">
      <w:pPr>
        <w:widowControl/>
        <w:jc w:val="center"/>
        <w:rPr>
          <w:rFonts w:ascii="方正小标宋简体" w:hAnsi="方正小标宋简体" w:eastAsia="方正小标宋简体" w:cs="方正小标宋简体"/>
          <w:color w:val="000000"/>
          <w:kern w:val="0"/>
          <w:sz w:val="44"/>
          <w:szCs w:val="44"/>
          <w:lang w:bidi="ar"/>
        </w:rPr>
      </w:pPr>
    </w:p>
    <w:p w14:paraId="3696F2E3">
      <w:pPr>
        <w:widowControl/>
        <w:jc w:val="center"/>
        <w:rPr>
          <w:rFonts w:ascii="方正小标宋简体" w:hAnsi="方正小标宋简体" w:eastAsia="方正小标宋简体" w:cs="方正小标宋简体"/>
          <w:color w:val="000000"/>
          <w:kern w:val="0"/>
          <w:sz w:val="44"/>
          <w:szCs w:val="44"/>
          <w:lang w:bidi="ar"/>
        </w:rPr>
      </w:pPr>
      <w:r>
        <w:rPr>
          <w:rFonts w:ascii="方正小标宋简体" w:hAnsi="方正小标宋简体" w:eastAsia="方正小标宋简体" w:cs="方正小标宋简体"/>
          <w:color w:val="000000"/>
          <w:kern w:val="0"/>
          <w:sz w:val="44"/>
          <w:szCs w:val="44"/>
          <w:lang w:bidi="ar"/>
        </w:rPr>
        <w:t>中国电力建设企业协会</w:t>
      </w:r>
      <w:r>
        <w:rPr>
          <w:rFonts w:hint="eastAsia" w:ascii="方正小标宋简体" w:hAnsi="方正小标宋简体" w:eastAsia="方正小标宋简体" w:cs="方正小标宋简体"/>
          <w:color w:val="000000"/>
          <w:kern w:val="0"/>
          <w:sz w:val="44"/>
          <w:szCs w:val="44"/>
          <w:lang w:val="en-US" w:eastAsia="zh-CN" w:bidi="ar"/>
        </w:rPr>
        <w:t>团体</w:t>
      </w:r>
      <w:r>
        <w:rPr>
          <w:rFonts w:ascii="方正小标宋简体" w:hAnsi="方正小标宋简体" w:eastAsia="方正小标宋简体" w:cs="方正小标宋简体"/>
          <w:color w:val="000000"/>
          <w:kern w:val="0"/>
          <w:sz w:val="44"/>
          <w:szCs w:val="44"/>
          <w:lang w:bidi="ar"/>
        </w:rPr>
        <w:t>标准</w:t>
      </w:r>
      <w:r>
        <w:rPr>
          <w:rFonts w:hint="eastAsia" w:ascii="方正小标宋简体" w:hAnsi="方正小标宋简体" w:eastAsia="方正小标宋简体" w:cs="方正小标宋简体"/>
          <w:color w:val="000000"/>
          <w:kern w:val="0"/>
          <w:sz w:val="44"/>
          <w:szCs w:val="44"/>
          <w:lang w:bidi="ar"/>
        </w:rPr>
        <w:t>《</w:t>
      </w:r>
      <w:r>
        <w:rPr>
          <w:rFonts w:hint="eastAsia" w:ascii="方正小标宋简体" w:hAnsi="仿宋" w:eastAsia="方正小标宋简体" w:cs="仿宋"/>
          <w:sz w:val="44"/>
          <w:szCs w:val="44"/>
        </w:rPr>
        <w:t>架空输电线路三维设计成果施工应用技术导则</w:t>
      </w:r>
      <w:r>
        <w:rPr>
          <w:rFonts w:hint="eastAsia" w:ascii="方正小标宋简体" w:hAnsi="方正小标宋简体" w:eastAsia="方正小标宋简体" w:cs="方正小标宋简体"/>
          <w:color w:val="000000"/>
          <w:kern w:val="0"/>
          <w:sz w:val="44"/>
          <w:szCs w:val="44"/>
          <w:lang w:bidi="ar"/>
        </w:rPr>
        <w:t>》</w:t>
      </w:r>
      <w:r>
        <w:rPr>
          <w:rFonts w:ascii="方正小标宋简体" w:hAnsi="方正小标宋简体" w:eastAsia="方正小标宋简体" w:cs="方正小标宋简体"/>
          <w:color w:val="000000"/>
          <w:kern w:val="0"/>
          <w:sz w:val="44"/>
          <w:szCs w:val="44"/>
          <w:lang w:bidi="ar"/>
        </w:rPr>
        <w:t>编制说明</w:t>
      </w:r>
    </w:p>
    <w:p w14:paraId="0FFDEBCC">
      <w:pPr>
        <w:widowControl/>
        <w:jc w:val="center"/>
        <w:rPr>
          <w:rFonts w:ascii="方正小标宋简体" w:hAnsi="方正小标宋简体" w:eastAsia="方正小标宋简体" w:cs="方正小标宋简体"/>
          <w:color w:val="000000"/>
          <w:kern w:val="0"/>
          <w:sz w:val="44"/>
          <w:szCs w:val="44"/>
          <w:lang w:bidi="ar"/>
        </w:rPr>
      </w:pPr>
    </w:p>
    <w:p w14:paraId="0B6F5705">
      <w:pPr>
        <w:widowControl/>
        <w:jc w:val="center"/>
        <w:rPr>
          <w:rFonts w:ascii="方正小标宋简体" w:hAnsi="方正小标宋简体" w:eastAsia="方正小标宋简体" w:cs="方正小标宋简体"/>
          <w:color w:val="000000"/>
          <w:kern w:val="0"/>
          <w:sz w:val="44"/>
          <w:szCs w:val="44"/>
          <w:lang w:bidi="ar"/>
        </w:rPr>
      </w:pPr>
    </w:p>
    <w:p w14:paraId="56FEF2A5">
      <w:pPr>
        <w:widowControl/>
        <w:jc w:val="center"/>
        <w:rPr>
          <w:rFonts w:ascii="方正小标宋简体" w:hAnsi="方正小标宋简体" w:eastAsia="方正小标宋简体" w:cs="方正小标宋简体"/>
          <w:color w:val="000000"/>
          <w:kern w:val="0"/>
          <w:sz w:val="44"/>
          <w:szCs w:val="44"/>
          <w:lang w:bidi="ar"/>
        </w:rPr>
      </w:pPr>
    </w:p>
    <w:p w14:paraId="09A18208">
      <w:pPr>
        <w:widowControl/>
        <w:jc w:val="center"/>
        <w:rPr>
          <w:rFonts w:ascii="方正小标宋简体" w:hAnsi="方正小标宋简体" w:eastAsia="方正小标宋简体" w:cs="方正小标宋简体"/>
          <w:color w:val="000000"/>
          <w:kern w:val="0"/>
          <w:sz w:val="44"/>
          <w:szCs w:val="44"/>
          <w:lang w:bidi="ar"/>
        </w:rPr>
      </w:pPr>
    </w:p>
    <w:p w14:paraId="0F957E96">
      <w:pPr>
        <w:widowControl/>
        <w:jc w:val="center"/>
        <w:rPr>
          <w:rFonts w:ascii="方正小标宋简体" w:hAnsi="方正小标宋简体" w:eastAsia="方正小标宋简体" w:cs="方正小标宋简体"/>
          <w:color w:val="000000"/>
          <w:kern w:val="0"/>
          <w:sz w:val="44"/>
          <w:szCs w:val="44"/>
          <w:lang w:bidi="ar"/>
        </w:rPr>
      </w:pPr>
    </w:p>
    <w:p w14:paraId="046E28AF">
      <w:pPr>
        <w:widowControl/>
        <w:jc w:val="center"/>
        <w:rPr>
          <w:rFonts w:ascii="方正小标宋简体" w:hAnsi="方正小标宋简体" w:eastAsia="方正小标宋简体" w:cs="方正小标宋简体"/>
          <w:color w:val="000000"/>
          <w:kern w:val="0"/>
          <w:sz w:val="44"/>
          <w:szCs w:val="44"/>
          <w:lang w:bidi="ar"/>
        </w:rPr>
      </w:pPr>
    </w:p>
    <w:p w14:paraId="44C4D9F3">
      <w:pPr>
        <w:widowControl/>
        <w:jc w:val="center"/>
        <w:rPr>
          <w:rFonts w:ascii="方正小标宋简体" w:hAnsi="方正小标宋简体" w:eastAsia="方正小标宋简体" w:cs="方正小标宋简体"/>
          <w:color w:val="000000"/>
          <w:kern w:val="0"/>
          <w:sz w:val="44"/>
          <w:szCs w:val="44"/>
          <w:lang w:bidi="ar"/>
        </w:rPr>
      </w:pPr>
    </w:p>
    <w:p w14:paraId="744B7F0E">
      <w:pPr>
        <w:pStyle w:val="2"/>
        <w:numPr>
          <w:ilvl w:val="0"/>
          <w:numId w:val="2"/>
        </w:numPr>
        <w:bidi w:val="0"/>
        <w:ind w:left="0" w:leftChars="0" w:firstLine="0" w:firstLineChars="0"/>
        <w:sectPr>
          <w:pgSz w:w="11906" w:h="16838"/>
          <w:pgMar w:top="1440" w:right="1800" w:bottom="1440" w:left="1800" w:header="851" w:footer="992" w:gutter="0"/>
          <w:cols w:space="425" w:num="1"/>
          <w:docGrid w:type="lines" w:linePitch="312" w:charSpace="0"/>
        </w:sectPr>
      </w:pPr>
    </w:p>
    <w:p w14:paraId="27E96585">
      <w:pPr>
        <w:widowControl/>
        <w:adjustRightInd w:val="0"/>
        <w:snapToGrid w:val="0"/>
        <w:spacing w:line="560" w:lineRule="exact"/>
        <w:ind w:firstLine="560" w:firstLineChars="200"/>
        <w:jc w:val="left"/>
        <w:outlineLvl w:val="1"/>
      </w:pPr>
      <w:r>
        <w:rPr>
          <w:rFonts w:hint="eastAsia" w:ascii="黑体" w:hAnsi="黑体" w:eastAsia="黑体" w:cs="黑体"/>
          <w:color w:val="000000"/>
          <w:kern w:val="0"/>
          <w:sz w:val="28"/>
          <w:szCs w:val="28"/>
          <w:lang w:bidi="ar"/>
        </w:rPr>
        <w:t>一、工作简况</w:t>
      </w:r>
    </w:p>
    <w:p w14:paraId="2E52D420">
      <w:pPr>
        <w:pStyle w:val="9"/>
        <w:numPr>
          <w:ilvl w:val="0"/>
          <w:numId w:val="3"/>
        </w:numPr>
        <w:adjustRightInd w:val="0"/>
        <w:snapToGrid w:val="0"/>
        <w:spacing w:line="560" w:lineRule="exact"/>
        <w:ind w:firstLine="562"/>
        <w:outlineLvl w:val="1"/>
        <w:rPr>
          <w:rFonts w:hint="eastAsia" w:ascii="仿宋_GB2312" w:hAnsi="仿宋_GB2312" w:eastAsia="仿宋_GB2312" w:cs="仿宋_GB2312"/>
          <w:b/>
          <w:sz w:val="28"/>
          <w:szCs w:val="28"/>
          <w:lang w:bidi="ar"/>
        </w:rPr>
      </w:pPr>
      <w:r>
        <w:rPr>
          <w:rFonts w:hint="eastAsia" w:ascii="仿宋_GB2312" w:hAnsi="仿宋_GB2312" w:eastAsia="仿宋_GB2312" w:cs="仿宋_GB2312"/>
          <w:b/>
          <w:sz w:val="28"/>
          <w:szCs w:val="28"/>
          <w:lang w:val="en-US" w:eastAsia="zh-CN" w:bidi="ar"/>
        </w:rPr>
        <w:t>任务来源</w:t>
      </w:r>
    </w:p>
    <w:p w14:paraId="4CA0DEDB">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根据《关于印发2024年第二批中国电力建设企业协会团体标准制定计划的通知》(中电建协〔2024〕302号)要求和工作安排</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规范三维设计成果在施工阶段的应用转化，解决传统二维设计向三维数字化交付过渡中的模型深度不统一、施工适配性差等问题，需进一步明确施工场景下的模型扩展要求，提升设计施工一体化水平。</w:t>
      </w:r>
    </w:p>
    <w:p w14:paraId="591A8F71">
      <w:pPr>
        <w:pStyle w:val="9"/>
        <w:numPr>
          <w:ilvl w:val="0"/>
          <w:numId w:val="3"/>
        </w:numPr>
        <w:adjustRightInd w:val="0"/>
        <w:snapToGrid w:val="0"/>
        <w:spacing w:line="560" w:lineRule="exact"/>
        <w:ind w:firstLine="562"/>
        <w:outlineLvl w:val="1"/>
        <w:rPr>
          <w:rFonts w:hint="eastAsia" w:ascii="仿宋_GB2312" w:hAnsi="仿宋_GB2312" w:eastAsia="仿宋_GB2312" w:cs="仿宋_GB2312"/>
          <w:b/>
          <w:sz w:val="28"/>
          <w:szCs w:val="28"/>
          <w:lang w:val="en-US" w:eastAsia="zh-CN" w:bidi="ar"/>
        </w:rPr>
      </w:pPr>
      <w:r>
        <w:rPr>
          <w:rFonts w:hint="eastAsia" w:ascii="仿宋_GB2312" w:hAnsi="仿宋_GB2312" w:eastAsia="仿宋_GB2312" w:cs="仿宋_GB2312"/>
          <w:b/>
          <w:sz w:val="28"/>
          <w:szCs w:val="28"/>
          <w:lang w:val="en-US" w:eastAsia="zh-CN" w:bidi="ar"/>
        </w:rPr>
        <w:t>编制背景</w:t>
      </w:r>
    </w:p>
    <w:p w14:paraId="5058218F">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随着“数字中国”战略的深入推进，三维设计技术作为电力工程建设领域数字化转型的核心支撑手段，正从设计阶段向施工、运维等全生命周期环节延伸。三维设计技术的应用不仅能提升各阶段的协同效率，更为工程的数字化交付、智能管理奠定了重要基础。在国家“十四五”规划及《数字中国建设整体布局规划》等政策引导下，推动三维设计技术在电力行业的深度应用，已成为实现行业高质量发展的关键路径。</w:t>
      </w:r>
    </w:p>
    <w:p w14:paraId="07913098">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在架空输电线路工程领域，项目具有跨越范围广、地形地貌复杂、专业协同要求高的特点，传统二维设计成果在施工阶段的应用存在信息传递不畅、空间模拟不足等问题，难以满足精细化施工、智能化管理的需求。因此，亟需建立一套适用于架空输电线路三维设计成果施工应用的技术导则，以规范三维设计成果在施工环节的应用，提升数据一致性与应用实效性。</w:t>
      </w:r>
    </w:p>
    <w:p w14:paraId="6334D55D">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近年来，住房和城乡建设部、国家能源局等部门多次发布政策文件，强调要推进电力工程数字化建设，加快三维设计技术在工程全生命周期的应用。国家电网有限公司等企业也相继印发指导文件，明确要求新建输电线路工程全面开展三维设计，并推动设计成果向施工阶段有效转化，为三维设计成果施工应用提供了政策支持。</w:t>
      </w:r>
    </w:p>
    <w:p w14:paraId="00B3FA94">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当前，架空输电线路建设正处于数字化、智能化转型的关键阶段。随着无人机航测、BIM协同平台、数字孪生等技术的应用，施工过程对三维设计成果的依赖度日益提升，在施工组织策划、仿真模拟、进度管控等方面的应用价值愈发凸显，成为推动行业转型的重要手段。</w:t>
      </w:r>
    </w:p>
    <w:p w14:paraId="0F6B38FA">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然而，架空输电线路三维设计成果施工应用的规范制定尚不完善，尚未形成系统性的技术标准。虽有《输变电工程三维设计技术导则》（NB/T11197-2023）、《输变电工程三维设计模型交互及建模规范》（NB/T11199-2023）等标准提供了设计阶段的基础要求，但针对施工应用场景的模型深度、数据交互、应用方法等缺乏专项规范。现有标准存在施工场景适配性不足、内容不够细化等问题，导致三维设计成果在施工阶段的应用存在障碍，影响了数字化转型的推进效率。</w:t>
      </w:r>
    </w:p>
    <w:p w14:paraId="4BCB96F9">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基于以上情况，依据国家现行法律法规、标准规范，结合架空输电线路工程施工特点与实际需求，编制一套具备系统性、针对性和可操作性的三维设计成果施工应用技术导则，对于推动三维设计成果在施工阶段的有效应用、提升工程建设数字化水平具有重要意义，编制工作尤为迫切。</w:t>
      </w:r>
    </w:p>
    <w:p w14:paraId="10122CAA">
      <w:pPr>
        <w:pStyle w:val="9"/>
        <w:numPr>
          <w:ilvl w:val="0"/>
          <w:numId w:val="3"/>
        </w:numPr>
        <w:adjustRightInd w:val="0"/>
        <w:snapToGrid w:val="0"/>
        <w:spacing w:line="560" w:lineRule="exact"/>
        <w:ind w:firstLine="562"/>
        <w:outlineLvl w:val="1"/>
        <w:rPr>
          <w:rFonts w:hint="eastAsia" w:ascii="仿宋_GB2312" w:hAnsi="仿宋_GB2312" w:eastAsia="仿宋_GB2312" w:cs="仿宋_GB2312"/>
          <w:b/>
          <w:sz w:val="28"/>
          <w:szCs w:val="28"/>
          <w:lang w:val="en-US" w:eastAsia="zh-CN" w:bidi="ar"/>
        </w:rPr>
      </w:pPr>
      <w:r>
        <w:rPr>
          <w:rFonts w:hint="eastAsia" w:ascii="仿宋_GB2312" w:hAnsi="仿宋_GB2312" w:eastAsia="仿宋_GB2312" w:cs="仿宋_GB2312"/>
          <w:b/>
          <w:sz w:val="28"/>
          <w:szCs w:val="28"/>
          <w:lang w:val="en-US" w:eastAsia="zh-CN" w:bidi="ar"/>
        </w:rPr>
        <w:t>编制原则</w:t>
      </w:r>
    </w:p>
    <w:p w14:paraId="33AE7098">
      <w:pPr>
        <w:widowControl/>
        <w:spacing w:line="560" w:lineRule="exact"/>
        <w:ind w:firstLine="560" w:firstLineChars="200"/>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w:t>
      </w:r>
      <w:r>
        <w:rPr>
          <w:rFonts w:hint="eastAsia" w:cs="仿宋_GB2312"/>
          <w:sz w:val="28"/>
          <w:szCs w:val="28"/>
          <w:lang w:eastAsia="zh-CN"/>
        </w:rPr>
        <w:t>.</w:t>
      </w:r>
      <w:r>
        <w:rPr>
          <w:rFonts w:hint="eastAsia" w:ascii="仿宋_GB2312" w:hAnsi="仿宋_GB2312" w:eastAsia="仿宋_GB2312" w:cs="仿宋_GB2312"/>
          <w:sz w:val="28"/>
          <w:szCs w:val="28"/>
          <w:lang w:eastAsia="zh-CN"/>
        </w:rPr>
        <w:t>‌数据贯通‌。实现</w:t>
      </w:r>
      <w:r>
        <w:rPr>
          <w:rFonts w:hint="eastAsia" w:ascii="仿宋_GB2312" w:hAnsi="仿宋_GB2312" w:eastAsia="仿宋_GB2312" w:cs="仿宋_GB2312"/>
          <w:sz w:val="28"/>
          <w:szCs w:val="28"/>
          <w:lang w:val="en-US" w:eastAsia="zh-CN"/>
        </w:rPr>
        <w:t>基建全过程</w:t>
      </w:r>
      <w:r>
        <w:rPr>
          <w:rFonts w:hint="eastAsia" w:ascii="仿宋_GB2312" w:hAnsi="仿宋_GB2312" w:eastAsia="仿宋_GB2312" w:cs="仿宋_GB2312"/>
          <w:sz w:val="28"/>
          <w:szCs w:val="28"/>
          <w:lang w:eastAsia="zh-CN"/>
        </w:rPr>
        <w:t>数据无缝衔接，确保三维</w:t>
      </w:r>
      <w:r>
        <w:rPr>
          <w:rFonts w:hint="eastAsia" w:ascii="仿宋_GB2312" w:hAnsi="仿宋_GB2312" w:eastAsia="仿宋_GB2312" w:cs="仿宋_GB2312"/>
          <w:sz w:val="28"/>
          <w:szCs w:val="28"/>
          <w:lang w:val="en-US" w:eastAsia="zh-CN"/>
        </w:rPr>
        <w:t>设计成果</w:t>
      </w:r>
      <w:r>
        <w:rPr>
          <w:rFonts w:hint="eastAsia" w:ascii="仿宋_GB2312" w:hAnsi="仿宋_GB2312" w:eastAsia="仿宋_GB2312" w:cs="仿宋_GB2312"/>
          <w:sz w:val="28"/>
          <w:szCs w:val="28"/>
          <w:lang w:eastAsia="zh-CN"/>
        </w:rPr>
        <w:t>与施工管理系统数据交互兼容，支持通用格式传输，消除信息孤岛。</w:t>
      </w:r>
    </w:p>
    <w:p w14:paraId="758D6B65">
      <w:pPr>
        <w:widowControl/>
        <w:spacing w:line="560" w:lineRule="exact"/>
        <w:ind w:firstLine="560" w:firstLineChars="200"/>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‌标准统一。‌严格遵循行业规范，统一建模规则、属性编码及文件命名体系，确保</w:t>
      </w:r>
      <w:r>
        <w:rPr>
          <w:rFonts w:hint="eastAsia" w:ascii="仿宋_GB2312" w:hAnsi="仿宋_GB2312" w:eastAsia="仿宋_GB2312" w:cs="仿宋_GB2312"/>
          <w:sz w:val="28"/>
          <w:szCs w:val="28"/>
          <w:lang w:val="en-US" w:eastAsia="zh-CN"/>
        </w:rPr>
        <w:t>三维设计成果施工应用规范性、通用性</w:t>
      </w:r>
      <w:r>
        <w:rPr>
          <w:rFonts w:hint="eastAsia" w:ascii="仿宋_GB2312" w:hAnsi="仿宋_GB2312" w:eastAsia="仿宋_GB2312" w:cs="仿宋_GB2312"/>
          <w:sz w:val="28"/>
          <w:szCs w:val="28"/>
          <w:lang w:eastAsia="zh-CN"/>
        </w:rPr>
        <w:t>。</w:t>
      </w:r>
    </w:p>
    <w:p w14:paraId="1CAC61FA">
      <w:pPr>
        <w:widowControl/>
        <w:spacing w:line="560" w:lineRule="exact"/>
        <w:ind w:firstLine="560" w:firstLineChars="200"/>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‌服务生产。‌以施工需求为导向，明确模型深度</w:t>
      </w:r>
      <w:r>
        <w:rPr>
          <w:rFonts w:hint="eastAsia" w:ascii="仿宋_GB2312" w:hAnsi="仿宋_GB2312" w:eastAsia="仿宋_GB2312" w:cs="仿宋_GB2312"/>
          <w:sz w:val="28"/>
          <w:szCs w:val="28"/>
          <w:lang w:val="en-US" w:eastAsia="zh-CN"/>
        </w:rPr>
        <w:t>和范围</w:t>
      </w:r>
      <w:r>
        <w:rPr>
          <w:rFonts w:hint="eastAsia" w:ascii="仿宋_GB2312" w:hAnsi="仿宋_GB2312" w:eastAsia="仿宋_GB2312" w:cs="仿宋_GB2312"/>
          <w:sz w:val="28"/>
          <w:szCs w:val="28"/>
          <w:lang w:eastAsia="zh-CN"/>
        </w:rPr>
        <w:t>，辅助</w:t>
      </w:r>
      <w:r>
        <w:rPr>
          <w:rFonts w:hint="eastAsia" w:ascii="仿宋_GB2312" w:hAnsi="仿宋_GB2312" w:eastAsia="仿宋_GB2312" w:cs="仿宋_GB2312"/>
          <w:sz w:val="28"/>
          <w:szCs w:val="28"/>
          <w:lang w:val="en-US" w:eastAsia="zh-CN"/>
        </w:rPr>
        <w:t>施工策划、施工推演、施工进度管理</w:t>
      </w:r>
      <w:r>
        <w:rPr>
          <w:rFonts w:hint="eastAsia" w:ascii="仿宋_GB2312" w:hAnsi="仿宋_GB2312" w:eastAsia="仿宋_GB2312" w:cs="仿宋_GB2312"/>
          <w:sz w:val="28"/>
          <w:szCs w:val="28"/>
          <w:lang w:eastAsia="zh-CN"/>
        </w:rPr>
        <w:t>等</w:t>
      </w:r>
      <w:r>
        <w:rPr>
          <w:rFonts w:hint="eastAsia" w:ascii="仿宋_GB2312" w:hAnsi="仿宋_GB2312" w:eastAsia="仿宋_GB2312" w:cs="仿宋_GB2312"/>
          <w:sz w:val="28"/>
          <w:szCs w:val="28"/>
          <w:lang w:val="en-US" w:eastAsia="zh-CN"/>
        </w:rPr>
        <w:t>施工全过程应用</w:t>
      </w:r>
      <w:r>
        <w:rPr>
          <w:rFonts w:hint="eastAsia" w:ascii="仿宋_GB2312" w:hAnsi="仿宋_GB2312" w:eastAsia="仿宋_GB2312" w:cs="仿宋_GB2312"/>
          <w:sz w:val="28"/>
          <w:szCs w:val="28"/>
          <w:lang w:eastAsia="zh-CN"/>
        </w:rPr>
        <w:t>场景。</w:t>
      </w:r>
    </w:p>
    <w:p w14:paraId="4335446F">
      <w:pPr>
        <w:widowControl/>
        <w:spacing w:line="560" w:lineRule="exact"/>
        <w:ind w:firstLine="560" w:firstLineChars="200"/>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‌安全可靠。‌建立精度校核机制，加密敏感数据，并制定备份与版本管理规则，保障数据安全与工程可靠性。</w:t>
      </w:r>
    </w:p>
    <w:p w14:paraId="30C460B3">
      <w:pPr>
        <w:pStyle w:val="9"/>
        <w:numPr>
          <w:ilvl w:val="0"/>
          <w:numId w:val="3"/>
        </w:numPr>
        <w:adjustRightInd w:val="0"/>
        <w:snapToGrid w:val="0"/>
        <w:spacing w:line="560" w:lineRule="exact"/>
        <w:ind w:firstLine="562"/>
        <w:outlineLvl w:val="1"/>
        <w:rPr>
          <w:rFonts w:hint="eastAsia" w:ascii="仿宋_GB2312" w:hAnsi="仿宋_GB2312" w:eastAsia="仿宋_GB2312" w:cs="仿宋_GB2312"/>
          <w:b/>
          <w:sz w:val="28"/>
          <w:szCs w:val="28"/>
          <w:lang w:val="en-US" w:eastAsia="zh-CN" w:bidi="ar"/>
        </w:rPr>
      </w:pPr>
      <w:r>
        <w:rPr>
          <w:rFonts w:hint="eastAsia" w:ascii="仿宋_GB2312" w:hAnsi="仿宋_GB2312" w:eastAsia="仿宋_GB2312" w:cs="仿宋_GB2312"/>
          <w:b/>
          <w:sz w:val="28"/>
          <w:szCs w:val="28"/>
          <w:lang w:val="en-US" w:eastAsia="zh-CN" w:bidi="ar"/>
        </w:rPr>
        <w:t>起草过程</w:t>
      </w:r>
    </w:p>
    <w:p w14:paraId="7B2DAB12">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本文件由中电建协标委会组织，国网湖北</w:t>
      </w:r>
      <w:r>
        <w:rPr>
          <w:rFonts w:hint="eastAsia" w:ascii="仿宋_GB2312" w:hAnsi="仿宋_GB2312" w:eastAsia="仿宋_GB2312" w:cs="仿宋_GB2312"/>
          <w:sz w:val="28"/>
          <w:szCs w:val="28"/>
          <w:lang w:val="en-US" w:eastAsia="zh-CN"/>
        </w:rPr>
        <w:t>省电力有限公司经济技术研究</w:t>
      </w:r>
      <w:r>
        <w:rPr>
          <w:rFonts w:hint="eastAsia" w:ascii="仿宋_GB2312" w:hAnsi="仿宋_GB2312" w:eastAsia="仿宋_GB2312" w:cs="仿宋_GB2312"/>
          <w:sz w:val="28"/>
          <w:szCs w:val="28"/>
        </w:rPr>
        <w:t>院</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安徽送变电宏源电力建设有限公司</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安徽送变电工程有限公司</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国网吉林</w:t>
      </w:r>
      <w:r>
        <w:rPr>
          <w:rFonts w:hint="eastAsia" w:ascii="仿宋_GB2312" w:hAnsi="仿宋_GB2312" w:eastAsia="仿宋_GB2312" w:cs="仿宋_GB2312"/>
          <w:sz w:val="28"/>
          <w:szCs w:val="28"/>
          <w:lang w:val="en-US" w:eastAsia="zh-CN"/>
        </w:rPr>
        <w:t>省电力有限公司经济技术研究院、</w:t>
      </w:r>
      <w:r>
        <w:rPr>
          <w:rFonts w:hint="eastAsia" w:ascii="仿宋_GB2312" w:hAnsi="仿宋_GB2312" w:eastAsia="仿宋_GB2312" w:cs="仿宋_GB2312"/>
          <w:sz w:val="28"/>
          <w:szCs w:val="28"/>
        </w:rPr>
        <w:t>国网吉林省电力有限公司建设分公司</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三峡大学</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武汉光谷信息技术技术股份有限公司</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湖北华中电力科技开发有限责任公司</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湖北省电力规划设计研究院有限公司共</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家单位编制完成。</w:t>
      </w:r>
    </w:p>
    <w:p w14:paraId="74C130E0">
      <w:pPr>
        <w:widowControl/>
        <w:spacing w:line="56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2024年</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lang w:val="en-US" w:eastAsia="zh-CN"/>
        </w:rPr>
        <w:t>申请</w:t>
      </w:r>
      <w:r>
        <w:rPr>
          <w:rFonts w:hint="eastAsia" w:ascii="仿宋_GB2312" w:hAnsi="仿宋_GB2312" w:eastAsia="仿宋_GB2312" w:cs="仿宋_GB2312"/>
          <w:sz w:val="28"/>
          <w:szCs w:val="28"/>
          <w:highlight w:val="none"/>
        </w:rPr>
        <w:t>《架空输电线路三维设计成果施工应用技术导则》立项。</w:t>
      </w:r>
    </w:p>
    <w:p w14:paraId="2FEA9A4A">
      <w:pPr>
        <w:widowControl/>
        <w:spacing w:line="560" w:lineRule="exact"/>
        <w:ind w:firstLine="560" w:firstLineChars="200"/>
        <w:jc w:val="left"/>
        <w:rPr>
          <w:rFonts w:hint="eastAsia" w:ascii="仿宋_GB2312" w:hAnsi="仿宋_GB2312" w:eastAsia="仿宋_GB2312" w:cs="仿宋_GB2312"/>
          <w:sz w:val="28"/>
          <w:szCs w:val="28"/>
          <w:highlight w:val="yellow"/>
        </w:rPr>
      </w:pPr>
      <w:bookmarkStart w:id="0" w:name="_GoBack"/>
      <w:r>
        <w:rPr>
          <w:rFonts w:hint="eastAsia" w:ascii="仿宋_GB2312" w:hAnsi="仿宋_GB2312" w:eastAsia="仿宋_GB2312" w:cs="仿宋_GB2312"/>
          <w:sz w:val="28"/>
          <w:szCs w:val="28"/>
          <w:highlight w:val="none"/>
        </w:rPr>
        <w:t>2024年5月，项目以《关于印发2024年第二批中国电力建设企业协会团体标准制定计划的通知》（中电建协〔2024〕302号）文件向社会发布。</w:t>
      </w:r>
      <w:bookmarkEnd w:id="0"/>
    </w:p>
    <w:p w14:paraId="0857CAB4">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sz w:val="28"/>
          <w:szCs w:val="28"/>
        </w:rPr>
        <w:t>日</w:t>
      </w:r>
      <w:r>
        <w:rPr>
          <w:rFonts w:hint="eastAsia" w:ascii="仿宋_GB2312" w:hAnsi="仿宋_GB2312" w:eastAsia="仿宋_GB2312" w:cs="仿宋_GB2312"/>
          <w:sz w:val="28"/>
          <w:szCs w:val="28"/>
          <w:lang w:val="en-US" w:eastAsia="zh-CN"/>
        </w:rPr>
        <w:t>在武汉</w:t>
      </w:r>
      <w:r>
        <w:rPr>
          <w:rFonts w:hint="eastAsia" w:ascii="仿宋_GB2312" w:hAnsi="仿宋_GB2312" w:eastAsia="仿宋_GB2312" w:cs="仿宋_GB2312"/>
          <w:sz w:val="28"/>
          <w:szCs w:val="28"/>
        </w:rPr>
        <w:t>召开《</w:t>
      </w:r>
      <w:r>
        <w:rPr>
          <w:rFonts w:hint="eastAsia" w:ascii="仿宋_GB2312" w:hAnsi="仿宋_GB2312" w:eastAsia="仿宋_GB2312" w:cs="仿宋_GB2312"/>
          <w:sz w:val="28"/>
          <w:szCs w:val="28"/>
          <w:highlight w:val="none"/>
        </w:rPr>
        <w:t>架空输电线路三维设计成果施工应用技术导则</w:t>
      </w:r>
      <w:r>
        <w:rPr>
          <w:rFonts w:hint="eastAsia" w:ascii="仿宋_GB2312" w:hAnsi="仿宋_GB2312" w:eastAsia="仿宋_GB2312" w:cs="仿宋_GB2312"/>
          <w:sz w:val="28"/>
          <w:szCs w:val="28"/>
        </w:rPr>
        <w:t>》中电建协团体标准初稿讨论会，会上介绍了标准编写背景及意义，主编单位、参编单位、该领域专家学者对标准编制大纲、标准初稿内容进行了研究和讨论，制定了本标准的编制方案和各个参编单位分工，并制定下一步工作计划。</w:t>
      </w:r>
    </w:p>
    <w:p w14:paraId="3E1B8D87">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2025年</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18</w:t>
      </w:r>
      <w:r>
        <w:rPr>
          <w:rFonts w:hint="eastAsia" w:ascii="仿宋_GB2312" w:hAnsi="仿宋_GB2312" w:eastAsia="仿宋_GB2312" w:cs="仿宋_GB2312"/>
          <w:sz w:val="28"/>
          <w:szCs w:val="28"/>
        </w:rPr>
        <w:t>日在</w:t>
      </w:r>
      <w:r>
        <w:rPr>
          <w:rFonts w:hint="eastAsia" w:ascii="仿宋_GB2312" w:hAnsi="仿宋_GB2312" w:eastAsia="仿宋_GB2312" w:cs="仿宋_GB2312"/>
          <w:sz w:val="28"/>
          <w:szCs w:val="28"/>
          <w:lang w:val="en-US" w:eastAsia="zh-CN"/>
        </w:rPr>
        <w:t>长春</w:t>
      </w:r>
      <w:r>
        <w:rPr>
          <w:rFonts w:hint="eastAsia" w:ascii="仿宋_GB2312" w:hAnsi="仿宋_GB2312" w:eastAsia="仿宋_GB2312" w:cs="仿宋_GB2312"/>
          <w:sz w:val="28"/>
          <w:szCs w:val="28"/>
        </w:rPr>
        <w:t>召开《</w:t>
      </w:r>
      <w:r>
        <w:rPr>
          <w:rFonts w:hint="eastAsia" w:ascii="仿宋_GB2312" w:hAnsi="仿宋_GB2312" w:eastAsia="仿宋_GB2312" w:cs="仿宋_GB2312"/>
          <w:sz w:val="28"/>
          <w:szCs w:val="28"/>
          <w:highlight w:val="none"/>
        </w:rPr>
        <w:t>架空输电线路三维设计成果施工应用技术导则</w:t>
      </w:r>
      <w:r>
        <w:rPr>
          <w:rFonts w:hint="eastAsia" w:ascii="仿宋_GB2312" w:hAnsi="仿宋_GB2312" w:eastAsia="仿宋_GB2312" w:cs="仿宋_GB2312"/>
          <w:sz w:val="28"/>
          <w:szCs w:val="28"/>
        </w:rPr>
        <w:t>》中电建协团体标准的</w:t>
      </w:r>
      <w:r>
        <w:rPr>
          <w:rFonts w:hint="eastAsia" w:ascii="仿宋_GB2312" w:hAnsi="仿宋_GB2312" w:eastAsia="仿宋_GB2312" w:cs="仿宋_GB2312"/>
          <w:sz w:val="28"/>
          <w:szCs w:val="28"/>
          <w:lang w:val="en-US" w:eastAsia="zh-CN"/>
        </w:rPr>
        <w:t>征求意见稿定稿</w:t>
      </w:r>
      <w:r>
        <w:rPr>
          <w:rFonts w:hint="eastAsia" w:ascii="仿宋_GB2312" w:hAnsi="仿宋_GB2312" w:eastAsia="仿宋_GB2312" w:cs="仿宋_GB2312"/>
          <w:sz w:val="28"/>
          <w:szCs w:val="28"/>
        </w:rPr>
        <w:t>会，会上该领域专家学者对本标准进行讨论后形成评审意见，并制定下一步工作计划</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会后完成本标准的修改工作，形成征求意见稿。</w:t>
      </w:r>
    </w:p>
    <w:p w14:paraId="1F11EBB7">
      <w:pPr>
        <w:widowControl/>
        <w:adjustRightInd w:val="0"/>
        <w:snapToGrid w:val="0"/>
        <w:spacing w:line="560" w:lineRule="exact"/>
        <w:ind w:firstLine="560" w:firstLineChars="200"/>
        <w:jc w:val="left"/>
        <w:outlineLvl w:val="1"/>
        <w:rPr>
          <w:rFonts w:hint="eastAsia" w:ascii="仿宋_GB2312" w:hAnsi="仿宋_GB2312" w:eastAsia="仿宋_GB2312" w:cs="仿宋_GB2312"/>
          <w:sz w:val="28"/>
          <w:szCs w:val="28"/>
          <w:lang w:eastAsia="zh-CN"/>
        </w:rPr>
      </w:pPr>
      <w:r>
        <w:rPr>
          <w:rFonts w:hint="eastAsia" w:ascii="黑体" w:hAnsi="黑体" w:eastAsia="黑体" w:cs="黑体"/>
          <w:color w:val="000000"/>
          <w:kern w:val="0"/>
          <w:sz w:val="28"/>
          <w:szCs w:val="28"/>
          <w:lang w:bidi="ar"/>
        </w:rPr>
        <w:t>二、标准编制原则，标准框架、主要内容及其确定依据</w:t>
      </w:r>
    </w:p>
    <w:p w14:paraId="10B4F581">
      <w:pPr>
        <w:pStyle w:val="9"/>
        <w:numPr>
          <w:ilvl w:val="0"/>
          <w:numId w:val="4"/>
        </w:numPr>
        <w:adjustRightInd w:val="0"/>
        <w:snapToGrid w:val="0"/>
        <w:spacing w:line="560" w:lineRule="exact"/>
        <w:ind w:firstLine="562"/>
        <w:outlineLvl w:val="1"/>
        <w:rPr>
          <w:rFonts w:hint="eastAsia" w:ascii="仿宋_GB2312" w:hAnsi="仿宋_GB2312" w:eastAsia="仿宋_GB2312" w:cs="仿宋_GB2312"/>
          <w:b/>
          <w:sz w:val="28"/>
          <w:szCs w:val="28"/>
          <w:lang w:val="en-US" w:eastAsia="zh-CN" w:bidi="ar"/>
        </w:rPr>
      </w:pPr>
      <w:r>
        <w:rPr>
          <w:rFonts w:hint="eastAsia" w:ascii="仿宋_GB2312" w:hAnsi="仿宋_GB2312" w:eastAsia="仿宋_GB2312" w:cs="仿宋_GB2312"/>
          <w:b/>
          <w:sz w:val="28"/>
          <w:szCs w:val="28"/>
          <w:lang w:val="en-US" w:eastAsia="zh-CN" w:bidi="ar"/>
        </w:rPr>
        <w:t>编制原则</w:t>
      </w:r>
    </w:p>
    <w:p w14:paraId="1B0F1384">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（1）本标准的编制应满足《中国电力建设企业协会标准管理办法（试行）》的有关要求。</w:t>
      </w:r>
    </w:p>
    <w:p w14:paraId="01D9B48C">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编写格式执行《标准化工作导则第1部分：标准化文件的结构和起草规则》GB/T1.1-2020的有关规定；起草规则执行《标准起草规则第5部分：规范标准》GB/T20001.5-2017和《标准起草规则第7部分：指南标准》GB/T20001.7-2017的有关规定。</w:t>
      </w:r>
    </w:p>
    <w:p w14:paraId="0E7B8E93">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（3）遵循规程编制的“四性”要求：技术上的先进性和科学性、与国家法律法规和相关标准的协调性、标准发布实施上的可操作性。</w:t>
      </w:r>
    </w:p>
    <w:p w14:paraId="039ECBCE">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充分考虑编制本标准的目的和必要性，系统梳理架空输电线路三维设计成果施工应用技术导则的相关术语和定义、适用范围、基本规定、施工应用场景、建模内容、数据交互等内容，体现标准前瞻性、引领性、先进性和科学性，充分借鉴国标、行业权威标准规范文件进行编写，重点突出架空输电线路工程特点，结合架空输电线路工程三维设计成果施工应用经验进行融合编写，具有较强的可操作性和实用性。</w:t>
      </w:r>
    </w:p>
    <w:p w14:paraId="08B2E9AA">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（5）贯彻执行《中华人民共和国标准化法》、《团体标准管理规定》等法律、规定，做到格式规范，逻辑清晰，结构严紧、通俗易懂和简单明了。</w:t>
      </w:r>
    </w:p>
    <w:p w14:paraId="7ED10039">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（6）充分发扬民主自由性，与各参编单位协调一致，共同商讨。充分梳理与现行相关国家标准之间的关系，避免重复与矛盾。部分标准高于国家、行业相关标准。</w:t>
      </w:r>
    </w:p>
    <w:p w14:paraId="6E39B5FE">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（7）标准编写工作符合国标规定，内容完整、翔实具体，用词准确，规定清晰，不可模糊不清，无歧义无相互矛盾。</w:t>
      </w:r>
    </w:p>
    <w:p w14:paraId="2E180F89">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明确分工协作、落实各自责任，严格控制编制进度计划、确保标准高质量编制。各编写单位汇聚了架空输电线路行业的众多专家学者，在架空输电线路工程的设计、施工、运维等不同阶段均拥有丰富的实践经验与精湛的专业技术。</w:t>
      </w:r>
    </w:p>
    <w:p w14:paraId="64DD3351">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（9）编制过程中邀请了</w:t>
      </w:r>
      <w:r>
        <w:rPr>
          <w:rFonts w:hint="eastAsia" w:cs="仿宋_GB2312"/>
          <w:sz w:val="28"/>
          <w:szCs w:val="28"/>
          <w:lang w:val="en-US" w:eastAsia="zh-CN"/>
        </w:rPr>
        <w:t>架空输电线路</w:t>
      </w:r>
      <w:r>
        <w:rPr>
          <w:rFonts w:hint="eastAsia" w:ascii="仿宋_GB2312" w:hAnsi="仿宋_GB2312" w:eastAsia="仿宋_GB2312" w:cs="仿宋_GB2312"/>
          <w:sz w:val="28"/>
          <w:szCs w:val="28"/>
        </w:rPr>
        <w:t>工程的建设单位、设计单位、施工单位、监理单位、运营单位等技术专家、项目总工、质量负责人等，对标准编制工作予以指导和提出很多宝贵意见。</w:t>
      </w:r>
    </w:p>
    <w:p w14:paraId="68633904">
      <w:pPr>
        <w:pStyle w:val="9"/>
        <w:numPr>
          <w:ilvl w:val="0"/>
          <w:numId w:val="4"/>
        </w:numPr>
        <w:adjustRightInd w:val="0"/>
        <w:snapToGrid w:val="0"/>
        <w:spacing w:line="560" w:lineRule="exact"/>
        <w:ind w:firstLine="562"/>
        <w:outlineLvl w:val="1"/>
        <w:rPr>
          <w:rFonts w:hint="eastAsia" w:ascii="仿宋_GB2312" w:hAnsi="仿宋_GB2312" w:eastAsia="仿宋_GB2312" w:cs="仿宋_GB2312"/>
          <w:b/>
          <w:sz w:val="28"/>
          <w:szCs w:val="28"/>
          <w:lang w:val="en-US" w:eastAsia="zh-CN" w:bidi="ar"/>
        </w:rPr>
      </w:pPr>
      <w:r>
        <w:rPr>
          <w:rFonts w:hint="eastAsia" w:ascii="仿宋_GB2312" w:hAnsi="仿宋_GB2312" w:eastAsia="仿宋_GB2312" w:cs="仿宋_GB2312"/>
          <w:b/>
          <w:sz w:val="28"/>
          <w:szCs w:val="28"/>
          <w:lang w:val="en-US" w:eastAsia="zh-CN" w:bidi="ar"/>
        </w:rPr>
        <w:t>标准主要内容</w:t>
      </w:r>
    </w:p>
    <w:p w14:paraId="15466567">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（1）《架空输电线路三维设计成果施工应用技术导则》</w:t>
      </w:r>
    </w:p>
    <w:p w14:paraId="6E64E31C">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主要技术内容共7章，分别是范围（第1章）、规范性引用文件（第2章）、术语和定义（第3章）、基本规定（第4章）、施工应用场景（第5章）、施工模型建模内容（第6章）、施工模型数据交互（第7章），另有附录A（施工模型建模深度）。</w:t>
      </w:r>
    </w:p>
    <w:p w14:paraId="447FC8D7">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1章：本章对本文件的主要技术内容作出提要式说明。文件规定了架空输电线路工程三维设计成果施工应用场景、建模内容、数据交互的要求，适用于110（66）kV及以上架空输电线路新建工程的三维设计成果施工应用阶段，改扩建工程可参照执行。</w:t>
      </w:r>
    </w:p>
    <w:p w14:paraId="44A441D2">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2章：本章规定了本文件的规范性引用文件。引用了国家、行业相关标准规范，包括《输变电工程数据移交规范》《输变电工程三维设计技术导则》《输变电工程三维设计模型交互及建模规范》《110kV及以上架空输电线路施工及验收规范》《跨越电力线路架线施工规程》等，对国家法律法规等强制性规范无引用。</w:t>
      </w:r>
    </w:p>
    <w:p w14:paraId="4D4ABAB1">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3章：本章规定了应用于本文件的相关术语和定义。包括输电工程三维设计、输变电工程三维设计模型、几何模型、属性信息、地理信息模型、模型细度、几何信息细度、属性信息细度、三维设计深化模型、施工辅助设施、临时构建筑物、施工模型等。</w:t>
      </w:r>
    </w:p>
    <w:p w14:paraId="3ED17609">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4章：本章规定了架空输电线路三维设计成果施工应用的基本要求，涵盖总体要求和一般要求。总体要求包括施工应用数据需符合国家法律法规及信息安全要求，满足相关规程规范，遵循完整性、正确性、通用性等原则；一般要求明确了施工模型建模内容、建模深度、应用场景、数据交互等方面的规定。</w:t>
      </w:r>
    </w:p>
    <w:p w14:paraId="5BB1B8D4">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5章：本章规定了架空输电线路三维设计成果的施工应用场景，包括智慧工地建设、施工组织策划、三维施工仿真模拟、自动施工监管等。明确了各场景下施工模型的具体应用方式和要求，如智慧工地建设中构建数字沙盘、实现无纸化施工，施工组织策划中开展场地划定和区域布置等。</w:t>
      </w:r>
    </w:p>
    <w:p w14:paraId="1FE5C518">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6章：本章规定了施工模型的建模内容，包括地理信息模型、三维设计深化模型、施工辅助设备及临时建构筑物模型。地理信息模型涵盖基础地理数据、地形、地貌、地质、气象环境等资料；三维设计深化模型涉及导地线、金具和绝缘子串、杆塔、基础、监测装置、其他设施等；施工辅助设备及临时建构筑物模型包含基础施工、杆塔组立、架线施工等所需设备和临时建筑。</w:t>
      </w:r>
    </w:p>
    <w:p w14:paraId="1395E619">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7章：本章规定了施工模型的数据交互要求，涉及数据层、服务层和应用层的交互机制。数据层包含模型空间数据库、关系型数据库及施工应用资料库，明确了数据存储标准和交互内容；服务层规定了地理信息系统引擎和建筑信息模型引擎的服务及接口标准；应用层说明了模型与业务数据的关联方式和映射关系，同时强调了数据安全和权限管理。</w:t>
      </w:r>
    </w:p>
    <w:p w14:paraId="3EAA7056">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附录A：本章为资料性附录，规定了施工模型的建模深度，包括地理信息模型、三维设计深化模型、施工辅助设备及临时建构筑物模型的具体建模要求，涉及数据类型、属性字段、参考格式等内容。</w:t>
      </w:r>
    </w:p>
    <w:p w14:paraId="66DD6FB7">
      <w:pPr>
        <w:pStyle w:val="9"/>
        <w:numPr>
          <w:ilvl w:val="0"/>
          <w:numId w:val="4"/>
        </w:numPr>
        <w:adjustRightInd w:val="0"/>
        <w:snapToGrid w:val="0"/>
        <w:spacing w:line="560" w:lineRule="exact"/>
        <w:ind w:firstLine="562"/>
        <w:outlineLvl w:val="1"/>
        <w:rPr>
          <w:rFonts w:hint="eastAsia" w:ascii="仿宋_GB2312" w:hAnsi="仿宋_GB2312" w:eastAsia="仿宋_GB2312" w:cs="仿宋_GB2312"/>
          <w:b/>
          <w:sz w:val="28"/>
          <w:szCs w:val="28"/>
          <w:lang w:val="en-US" w:eastAsia="zh-CN" w:bidi="ar"/>
        </w:rPr>
      </w:pPr>
      <w:r>
        <w:rPr>
          <w:rFonts w:hint="eastAsia" w:ascii="仿宋_GB2312" w:hAnsi="仿宋_GB2312" w:eastAsia="仿宋_GB2312" w:cs="仿宋_GB2312"/>
          <w:b/>
          <w:sz w:val="28"/>
          <w:szCs w:val="28"/>
          <w:lang w:val="en-US" w:eastAsia="zh-CN" w:bidi="ar"/>
        </w:rPr>
        <w:t>标准主要内容确定依据</w:t>
      </w:r>
    </w:p>
    <w:p w14:paraId="159A4CB4">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本文件的编制目的及要标准化的对象，本文件属指南类标准兼有规范类标准的特点，故主要内容按照GB/T1.12020《标准化工作导则第1部分：标准化文件的结构和起草规则》的规定起草,并参照《标准起草规则第5部分：规范标准》GB/T0001.5-2017和《标准起草规则第7部分：指南标准》GB/T20001.7-2017进行确定。</w:t>
      </w:r>
    </w:p>
    <w:p w14:paraId="4B4A4B1D">
      <w:pPr>
        <w:widowControl/>
        <w:adjustRightInd w:val="0"/>
        <w:snapToGrid w:val="0"/>
        <w:spacing w:line="560" w:lineRule="exact"/>
        <w:ind w:firstLine="560" w:firstLineChars="200"/>
        <w:jc w:val="left"/>
        <w:outlineLvl w:val="1"/>
        <w:rPr>
          <w:rFonts w:hint="default" w:ascii="仿宋_GB2312" w:hAnsi="仿宋_GB2312" w:eastAsia="黑体" w:cs="仿宋_GB2312"/>
          <w:sz w:val="28"/>
          <w:szCs w:val="28"/>
          <w:lang w:val="en-US" w:eastAsia="zh-CN"/>
        </w:rPr>
      </w:pPr>
      <w:r>
        <w:rPr>
          <w:rFonts w:hint="eastAsia" w:ascii="黑体" w:hAnsi="黑体" w:eastAsia="黑体" w:cs="黑体"/>
          <w:color w:val="000000"/>
          <w:kern w:val="0"/>
          <w:sz w:val="28"/>
          <w:szCs w:val="28"/>
          <w:lang w:bidi="ar"/>
        </w:rPr>
        <w:t>三、</w:t>
      </w:r>
      <w:r>
        <w:rPr>
          <w:rFonts w:hint="eastAsia" w:ascii="黑体" w:hAnsi="黑体" w:eastAsia="黑体" w:cs="黑体"/>
          <w:color w:val="000000"/>
          <w:kern w:val="0"/>
          <w:sz w:val="28"/>
          <w:szCs w:val="28"/>
          <w:lang w:val="en-US" w:eastAsia="zh-CN" w:bidi="ar"/>
        </w:rPr>
        <w:t>技术经济论证</w:t>
      </w:r>
    </w:p>
    <w:p w14:paraId="1F68FC41">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目前三维设计已在输变电工程中全面推广，但三维设计成果在后续应用时仍然面临一些问题。为了满足国家电网公司的实际应用需求，解决当前三维设计成果移交未完全实现应用标准化、实效化等问题，通过研究输电线路施工环节对三维模型的应用需求，针对性的提出三维设计深化内容和应用标准，促进国家电网公司三维设计成果实用化提升。本文件通过架空输电线路工程三维设计成果施工应用现状调研，梳理架空输电线路工程在施工组织推演、施工碰撞检查、施工仿真模拟、施工进度管理、施工质量与安全管理等方面的应用和数据需求，通过对比数字孪生施工应用需求与三维设计成果资料，提出杆塔、基础、金具绝缘子串、导地线、施工设备等三维施工应用模型的建模范围和建模深度、地理信息数据的精度和格式、施工应用资料的范围等，制定三维设计成果施工应用标准，以促进架空输电线路工程三维设计成果数字施工应用效果提升。</w:t>
      </w:r>
    </w:p>
    <w:p w14:paraId="3214DA27">
      <w:pPr>
        <w:widowControl/>
        <w:spacing w:line="560" w:lineRule="exact"/>
        <w:ind w:firstLine="560" w:firstLineChars="200"/>
        <w:jc w:val="left"/>
        <w:rPr>
          <w:rFonts w:hint="default" w:ascii="仿宋_GB2312" w:hAnsi="仿宋_GB2312" w:eastAsia="仿宋_GB2312" w:cs="仿宋_GB2312"/>
          <w:sz w:val="28"/>
          <w:szCs w:val="28"/>
          <w:lang w:val="en-US" w:eastAsia="zh-CN"/>
        </w:rPr>
      </w:pPr>
      <w:r>
        <w:rPr>
          <w:rFonts w:hint="eastAsia" w:ascii="黑体" w:hAnsi="黑体" w:eastAsia="黑体" w:cs="黑体"/>
          <w:color w:val="000000"/>
          <w:kern w:val="0"/>
          <w:sz w:val="28"/>
          <w:szCs w:val="28"/>
          <w:lang w:bidi="ar"/>
        </w:rPr>
        <w:t>四、与国际、国内同类标准技术内容的对比情况</w:t>
      </w:r>
    </w:p>
    <w:p w14:paraId="7D75D5EF">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国际上，由欧洲建筑信息模型标准委员会（EuropaBuild）制定的IFC标准采用面向对象的技术，能够表示建筑全生命周期的信息，包括设计、施工、维护和管理等方面。由美国建筑师协会（AIA）和美国总承包商协会（AssociatedGeneralContractorsofAmerica）联合制定的NBIMS标准旨在推动BIM技术的应用，并为建筑行业提供了一套可操作的BIM框架。</w:t>
      </w:r>
    </w:p>
    <w:p w14:paraId="76B5FA91">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国内在国家标准层面，2016到2021年间，国家陆续发布7本BIM国家标准，初步建立了BIM标准体系。其中，中华人民共和国住房和城乡建设部发布了《建筑信息模型施工应用标准》（GB/T51235-2017）规定了在施工过程中如何使用BIM进行应用，以及如何向他人交付施工模型信息，包括深化设计、施工模拟、预加工、进度管理、成本管理等方面。</w:t>
      </w:r>
    </w:p>
    <w:p w14:paraId="7A979138">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另外，由中国电子技术标准化研究院牵头制定的《信息技术数字孪生第1部分：通用要求》国家标准正式发布，并将于2024年6月1日正式实施。</w:t>
      </w:r>
    </w:p>
    <w:p w14:paraId="7CD40CD5">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国内在行业及企业层面，各行各业陆续发布了相关技术文件。如，水利部已经发布《数字孪生流域建设技术大纲》《数字孪生水利工程建设技术导则》和《水利业务“四预”功能基本技术要求》等文件，规范了数字孪生流域建设内容和技术标准。</w:t>
      </w:r>
    </w:p>
    <w:p w14:paraId="7F700C1B">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全国自动化系统与集成标准化技术委员会发布的《自动化系统与集成复杂产品数字孪生体系架构》规定了复杂产品数字孪生体系架构，适用于复杂产品设计、制造和服务过程的数字孪生体系顶层规划与智能化升级。</w:t>
      </w:r>
    </w:p>
    <w:p w14:paraId="0798ADDE">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在电力行业，针对三维设计方面，国家电网有限公司发布了一系列与电网三维设计相关的技术标准，如《输变电工程三维设计模型交互规范》、《输变电工程三维设计软件基本功能规范》、《输变电工程三维设计建模规范》、《输变电工程三维设计技术导则》、《输变电工程数字化移交技术导则》等。这些标准主要规定了电网三维设计的模型交互、软件功能、建模要求等方面的内容，为电网三维设计提供了统一的技术依据。</w:t>
      </w:r>
    </w:p>
    <w:p w14:paraId="6477C5B5">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针对数字孪生应用，由国家电网有限公司统筹、中国电力科学研究院有限公司牵头编制的《电力设备数字孪生白皮书》于2024年2月发布，分析了电力设备数字孪生发展现状与总体趋势，提出了电力设备数字孪生的总体建设目标，为促进数字孪生技术在电力装备行业的应用提供了借鉴和参考。</w:t>
      </w:r>
    </w:p>
    <w:p w14:paraId="1C8B6348">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中国电工技术学会团体标准T/CES214-2023《风电机组数字孪生系统第1部分:总体要求》由中国电工技术学会提出，华北电力大学等单位起草编制完成。该标准规定了风电机组数字孪生系统术语和定义、风电机组数字孪生系统特征架构及组成、风电机组数字孪生系统技术要求、风电机组数字孪生系统评价指标及量化方法四方面技术要求。</w:t>
      </w:r>
    </w:p>
    <w:p w14:paraId="1EB01F5B">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中国电工技术学会团体标准T/CES190-2023《变电站数字孪生系统架构及数据采集技术导则》由中国电工技术学会提出，由国网上海市电力公司浦东供电公司、国网上海市电力公司电力科学研究院等单位起草编制完成。该标准规定了变电站数字孪生系统的系统架构、数据采集接口和状态量采集范围的要求。</w:t>
      </w:r>
    </w:p>
    <w:p w14:paraId="7E93060A">
      <w:pPr>
        <w:widowControl/>
        <w:spacing w:line="560" w:lineRule="exact"/>
        <w:ind w:firstLine="560" w:firstLineChars="200"/>
        <w:jc w:val="left"/>
        <w:rPr>
          <w:rFonts w:hint="default" w:ascii="仿宋_GB2312" w:hAnsi="仿宋_GB2312" w:eastAsia="仿宋_GB2312" w:cs="仿宋_GB2312"/>
          <w:sz w:val="28"/>
          <w:szCs w:val="28"/>
          <w:lang w:val="en-US" w:eastAsia="zh-CN"/>
        </w:rPr>
      </w:pPr>
      <w:r>
        <w:rPr>
          <w:rFonts w:hint="eastAsia" w:ascii="黑体" w:hAnsi="黑体" w:eastAsia="黑体" w:cs="黑体"/>
          <w:color w:val="000000"/>
          <w:kern w:val="0"/>
          <w:sz w:val="28"/>
          <w:szCs w:val="28"/>
          <w:lang w:bidi="ar"/>
        </w:rPr>
        <w:t>五.以国际、国内标准为基础的起草情况</w:t>
      </w:r>
    </w:p>
    <w:p w14:paraId="743F129A">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未有以国际、国内标准为基础的起草情况。</w:t>
      </w:r>
    </w:p>
    <w:p w14:paraId="1DBA2D4F">
      <w:pPr>
        <w:widowControl/>
        <w:adjustRightInd w:val="0"/>
        <w:snapToGrid w:val="0"/>
        <w:spacing w:line="560" w:lineRule="exact"/>
        <w:ind w:firstLine="560" w:firstLineChars="200"/>
        <w:jc w:val="left"/>
        <w:outlineLvl w:val="1"/>
        <w:rPr>
          <w:rFonts w:hint="eastAsia" w:ascii="仿宋_GB2312" w:hAnsi="仿宋_GB2312" w:eastAsia="仿宋_GB2312" w:cs="仿宋_GB2312"/>
          <w:sz w:val="28"/>
          <w:szCs w:val="28"/>
        </w:rPr>
      </w:pPr>
      <w:r>
        <w:rPr>
          <w:rFonts w:hint="eastAsia" w:ascii="黑体" w:hAnsi="黑体" w:eastAsia="黑体" w:cs="黑体"/>
          <w:color w:val="000000"/>
          <w:kern w:val="0"/>
          <w:sz w:val="28"/>
          <w:szCs w:val="28"/>
          <w:lang w:bidi="ar"/>
        </w:rPr>
        <w:t>六、与有关法律、行政法规及相关标准的关系</w:t>
      </w:r>
    </w:p>
    <w:p w14:paraId="7A72A44F">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本标准的三维设计成果格式参考了《输变电工程数据移交规范》（GB／T38436-2019）关于数字化移交成果数据格式的要求。</w:t>
      </w:r>
    </w:p>
    <w:p w14:paraId="26F6C917">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本标准的施工模型建模内容部分在《输变电工程三维设计技术导则》（NB/T11197-2023）的基础上，针对工程本体模型，结合施工应用需求进行了深化。</w:t>
      </w:r>
    </w:p>
    <w:p w14:paraId="7A607345">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《输变电工程三维设计模型交互及建模规范》（NB/T11199-2023）侧重设计阶段模型交互，本标准参考相关交互方式，对施工应用中的交互需求进行了补充。</w:t>
      </w:r>
    </w:p>
    <w:p w14:paraId="59D7D6E1">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本标准的施工应用场景部分参考了《110kV及以上架空输电线路施工及验收规范》（DL/T5867—2023）中关于施工工艺的要求与描述。</w:t>
      </w:r>
    </w:p>
    <w:p w14:paraId="17637683">
      <w:pPr>
        <w:widowControl/>
        <w:spacing w:line="560" w:lineRule="exact"/>
        <w:ind w:firstLine="560" w:firstLineChars="200"/>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本标准的施工应用场景部分参考了《跨越电力线路架线施工规程》（DL/T5106）中对施工安全距离的要求。</w:t>
      </w:r>
    </w:p>
    <w:p w14:paraId="0B725931">
      <w:pPr>
        <w:widowControl/>
        <w:adjustRightInd w:val="0"/>
        <w:snapToGrid w:val="0"/>
        <w:spacing w:line="560" w:lineRule="exact"/>
        <w:ind w:firstLine="560" w:firstLineChars="200"/>
        <w:jc w:val="left"/>
        <w:outlineLvl w:val="1"/>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七、重大分歧意见的处理经过和依据</w:t>
      </w:r>
    </w:p>
    <w:p w14:paraId="491C4F52">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本标准编制过程中无重大分歧意见。</w:t>
      </w:r>
    </w:p>
    <w:p w14:paraId="7614CA8E">
      <w:pPr>
        <w:widowControl/>
        <w:adjustRightInd w:val="0"/>
        <w:snapToGrid w:val="0"/>
        <w:spacing w:line="560" w:lineRule="exact"/>
        <w:ind w:firstLine="560" w:firstLineChars="200"/>
        <w:jc w:val="left"/>
        <w:outlineLvl w:val="1"/>
        <w:rPr>
          <w:rFonts w:hint="eastAsia" w:ascii="黑体" w:hAnsi="黑体" w:eastAsia="黑体" w:cs="黑体"/>
          <w:color w:val="000000"/>
          <w:kern w:val="0"/>
          <w:sz w:val="28"/>
          <w:szCs w:val="28"/>
          <w:lang w:eastAsia="zh-CN" w:bidi="ar"/>
        </w:rPr>
      </w:pPr>
      <w:r>
        <w:rPr>
          <w:rFonts w:hint="eastAsia" w:ascii="黑体" w:hAnsi="黑体" w:eastAsia="黑体" w:cs="黑体"/>
          <w:color w:val="000000"/>
          <w:kern w:val="0"/>
          <w:sz w:val="28"/>
          <w:szCs w:val="28"/>
          <w:lang w:bidi="ar"/>
        </w:rPr>
        <w:t>八、涉及专利的有关说明</w:t>
      </w:r>
    </w:p>
    <w:p w14:paraId="5961F2D7">
      <w:pPr>
        <w:widowControl/>
        <w:spacing w:line="560" w:lineRule="exact"/>
        <w:ind w:firstLine="560" w:firstLineChars="200"/>
        <w:jc w:val="left"/>
        <w:rPr>
          <w:rFonts w:hint="default"/>
          <w:lang w:val="en-US"/>
        </w:rPr>
      </w:pPr>
      <w:r>
        <w:rPr>
          <w:rFonts w:hint="eastAsia" w:ascii="仿宋_GB2312" w:hAnsi="仿宋_GB2312" w:eastAsia="仿宋_GB2312" w:cs="仿宋_GB2312"/>
          <w:sz w:val="28"/>
          <w:szCs w:val="28"/>
        </w:rPr>
        <w:t>本标准编制过程中，未识别出涉及专利的内容。</w:t>
      </w:r>
    </w:p>
    <w:p w14:paraId="7EA2216B">
      <w:pPr>
        <w:widowControl/>
        <w:adjustRightInd w:val="0"/>
        <w:snapToGrid w:val="0"/>
        <w:spacing w:line="560" w:lineRule="exact"/>
        <w:ind w:firstLine="560" w:firstLineChars="200"/>
        <w:jc w:val="left"/>
        <w:outlineLvl w:val="1"/>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九、实施标准的要求，以及组织措施、技术措施、过渡期和实施日期的建议等措施建议</w:t>
      </w:r>
    </w:p>
    <w:p w14:paraId="515871B9">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无。</w:t>
      </w:r>
    </w:p>
    <w:p w14:paraId="34CF7577">
      <w:pPr>
        <w:widowControl/>
        <w:adjustRightInd w:val="0"/>
        <w:snapToGrid w:val="0"/>
        <w:spacing w:line="560" w:lineRule="exact"/>
        <w:ind w:firstLine="560" w:firstLineChars="200"/>
        <w:jc w:val="left"/>
        <w:outlineLvl w:val="1"/>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十、其他应当说明的事项。（包括标准名称、主要内容、主编单位、参编单位及主要起草人等发生变更或存在无法克服困难需撤销申请情况）</w:t>
      </w:r>
    </w:p>
    <w:p w14:paraId="0EC40B52">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14:paraId="34FDD2B7">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3C1780"/>
    <w:multiLevelType w:val="multilevel"/>
    <w:tmpl w:val="B93C1780"/>
    <w:lvl w:ilvl="0" w:tentative="0">
      <w:start w:val="1"/>
      <w:numFmt w:val="decimal"/>
      <w:suff w:val="nothing"/>
      <w:lvlText w:val="%1."/>
      <w:lvlJc w:val="left"/>
      <w:pPr>
        <w:tabs>
          <w:tab w:val="left" w:pos="0"/>
        </w:tabs>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E4836B42"/>
    <w:multiLevelType w:val="singleLevel"/>
    <w:tmpl w:val="E4836B42"/>
    <w:lvl w:ilvl="0" w:tentative="0">
      <w:start w:val="1"/>
      <w:numFmt w:val="chineseCounting"/>
      <w:suff w:val="nothing"/>
      <w:lvlText w:val="（%1）"/>
      <w:lvlJc w:val="left"/>
      <w:pPr>
        <w:ind w:left="0" w:firstLine="0"/>
      </w:pPr>
      <w:rPr>
        <w:rFonts w:hint="eastAsia"/>
      </w:rPr>
    </w:lvl>
  </w:abstractNum>
  <w:abstractNum w:abstractNumId="2">
    <w:nsid w:val="2A3E957B"/>
    <w:multiLevelType w:val="multilevel"/>
    <w:tmpl w:val="2A3E957B"/>
    <w:lvl w:ilvl="0" w:tentative="0">
      <w:start w:val="1"/>
      <w:numFmt w:val="decimal"/>
      <w:suff w:val="nothing"/>
      <w:lvlText w:val="%1."/>
      <w:lvlJc w:val="left"/>
      <w:pPr>
        <w:tabs>
          <w:tab w:val="left" w:pos="0"/>
        </w:tabs>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CBA9BF5"/>
    <w:multiLevelType w:val="multilevel"/>
    <w:tmpl w:val="2CBA9BF5"/>
    <w:lvl w:ilvl="0" w:tentative="0">
      <w:start w:val="1"/>
      <w:numFmt w:val="chineseCountingThousand"/>
      <w:suff w:val="space"/>
      <w:lvlText w:val="%1."/>
      <w:lvlJc w:val="left"/>
      <w:pPr>
        <w:ind w:left="284" w:hanging="284"/>
      </w:pPr>
      <w:rPr>
        <w:rFonts w:hint="eastAsia" w:ascii="Times New Roman" w:hAnsi="Times New Roman" w:eastAsia="宋体"/>
        <w:sz w:val="36"/>
        <w:szCs w:val="36"/>
      </w:rPr>
    </w:lvl>
    <w:lvl w:ilvl="1" w:tentative="0">
      <w:start w:val="1"/>
      <w:numFmt w:val="decimal"/>
      <w:isLgl/>
      <w:suff w:val="space"/>
      <w:lvlText w:val="%1.%2"/>
      <w:lvlJc w:val="left"/>
      <w:pPr>
        <w:ind w:left="284" w:hanging="284"/>
      </w:pPr>
      <w:rPr>
        <w:rFonts w:hint="eastAsia" w:ascii="Times New Roman" w:hAnsi="Times New Roman" w:eastAsia="宋体"/>
        <w:sz w:val="36"/>
      </w:rPr>
    </w:lvl>
    <w:lvl w:ilvl="2" w:tentative="0">
      <w:start w:val="1"/>
      <w:numFmt w:val="decimal"/>
      <w:isLgl/>
      <w:suff w:val="space"/>
      <w:lvlText w:val="%1.%2.%3"/>
      <w:lvlJc w:val="left"/>
      <w:pPr>
        <w:ind w:left="284" w:hanging="284"/>
      </w:pPr>
      <w:rPr>
        <w:rFonts w:hint="eastAsia" w:ascii="Times New Roman" w:hAnsi="Times New Roman" w:eastAsia="宋体"/>
        <w:sz w:val="30"/>
      </w:rPr>
    </w:lvl>
    <w:lvl w:ilvl="3" w:tentative="0">
      <w:start w:val="1"/>
      <w:numFmt w:val="decimal"/>
      <w:pStyle w:val="5"/>
      <w:isLgl/>
      <w:suff w:val="space"/>
      <w:lvlText w:val="%1.%2.%3.%4"/>
      <w:lvlJc w:val="left"/>
      <w:pPr>
        <w:ind w:left="284" w:hanging="284"/>
      </w:pPr>
      <w:rPr>
        <w:rFonts w:hint="eastAsia" w:ascii="Times New Roman" w:hAnsi="Times New Roman" w:eastAsia="宋体"/>
        <w:sz w:val="28"/>
      </w:rPr>
    </w:lvl>
    <w:lvl w:ilvl="4" w:tentative="0">
      <w:start w:val="1"/>
      <w:numFmt w:val="decimal"/>
      <w:isLgl/>
      <w:suff w:val="space"/>
      <w:lvlText w:val="%1.%2.%3.%4.%5"/>
      <w:lvlJc w:val="left"/>
      <w:pPr>
        <w:ind w:left="2836" w:hanging="284"/>
      </w:pPr>
      <w:rPr>
        <w:rFonts w:hint="eastAsia" w:ascii="Times New Roman" w:hAnsi="Times New Roman" w:eastAsia="宋体"/>
        <w:sz w:val="28"/>
      </w:rPr>
    </w:lvl>
    <w:lvl w:ilvl="5" w:tentative="0">
      <w:start w:val="1"/>
      <w:numFmt w:val="decimal"/>
      <w:isLgl/>
      <w:suff w:val="space"/>
      <w:lvlText w:val="%1.%2.%3.%4.%5.%6"/>
      <w:lvlJc w:val="left"/>
      <w:pPr>
        <w:ind w:left="284" w:hanging="284"/>
      </w:pPr>
      <w:rPr>
        <w:rFonts w:hint="eastAsia" w:ascii="Times New Roman" w:hAnsi="Times New Roman" w:eastAsia="宋体"/>
        <w:sz w:val="28"/>
      </w:rPr>
    </w:lvl>
    <w:lvl w:ilvl="6" w:tentative="0">
      <w:start w:val="1"/>
      <w:numFmt w:val="decimal"/>
      <w:isLgl/>
      <w:suff w:val="space"/>
      <w:lvlText w:val="%1.%2.%3.%4.%5.%6.%7"/>
      <w:lvlJc w:val="left"/>
      <w:pPr>
        <w:ind w:left="284" w:hanging="284"/>
      </w:pPr>
      <w:rPr>
        <w:rFonts w:hint="eastAsia" w:ascii="Times New Roman" w:hAnsi="Times New Roman" w:eastAsia="宋体"/>
        <w:sz w:val="28"/>
      </w:rPr>
    </w:lvl>
    <w:lvl w:ilvl="7" w:tentative="0">
      <w:start w:val="1"/>
      <w:numFmt w:val="decimal"/>
      <w:isLgl/>
      <w:suff w:val="space"/>
      <w:lvlText w:val="%1.%2.%3.%4.%5.%6.%7.%8"/>
      <w:lvlJc w:val="left"/>
      <w:pPr>
        <w:ind w:left="284" w:hanging="284"/>
      </w:pPr>
      <w:rPr>
        <w:rFonts w:hint="eastAsia" w:ascii="Times New Roman" w:hAnsi="Times New Roman" w:eastAsia="宋体"/>
        <w:sz w:val="28"/>
      </w:rPr>
    </w:lvl>
    <w:lvl w:ilvl="8" w:tentative="0">
      <w:start w:val="1"/>
      <w:numFmt w:val="decimal"/>
      <w:isLgl/>
      <w:suff w:val="space"/>
      <w:lvlText w:val="%1.%2.%3.%4.%5.%6.%7.%8.%9"/>
      <w:lvlJc w:val="left"/>
      <w:pPr>
        <w:ind w:left="284" w:hanging="284"/>
      </w:pPr>
      <w:rPr>
        <w:rFonts w:hint="eastAsia" w:ascii="Times New Roman" w:hAnsi="Times New Roman" w:eastAsia="宋体"/>
        <w:sz w:val="28"/>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yYWEyNzdmZjM2N2ZiYzdiYmFhODgwZTQ0ZjExY2MifQ=="/>
  </w:docVars>
  <w:rsids>
    <w:rsidRoot w:val="00000000"/>
    <w:rsid w:val="001F3ADA"/>
    <w:rsid w:val="03AE432C"/>
    <w:rsid w:val="04382146"/>
    <w:rsid w:val="0806347C"/>
    <w:rsid w:val="09D27E0F"/>
    <w:rsid w:val="0DA970D9"/>
    <w:rsid w:val="0EF1212C"/>
    <w:rsid w:val="11166833"/>
    <w:rsid w:val="136F7291"/>
    <w:rsid w:val="13805297"/>
    <w:rsid w:val="15BC6E4B"/>
    <w:rsid w:val="15CF16A7"/>
    <w:rsid w:val="16642A56"/>
    <w:rsid w:val="179B7A92"/>
    <w:rsid w:val="183218F7"/>
    <w:rsid w:val="18DE1A1D"/>
    <w:rsid w:val="1A0646CA"/>
    <w:rsid w:val="1A710E2A"/>
    <w:rsid w:val="1AF15EBE"/>
    <w:rsid w:val="1CF55E97"/>
    <w:rsid w:val="1EFE6456"/>
    <w:rsid w:val="201725C8"/>
    <w:rsid w:val="22BA56A5"/>
    <w:rsid w:val="22CA3922"/>
    <w:rsid w:val="2337296B"/>
    <w:rsid w:val="25506360"/>
    <w:rsid w:val="25600F55"/>
    <w:rsid w:val="284655CC"/>
    <w:rsid w:val="2A426494"/>
    <w:rsid w:val="2F212B1B"/>
    <w:rsid w:val="2F680ACF"/>
    <w:rsid w:val="2FCE01CA"/>
    <w:rsid w:val="30C96FC7"/>
    <w:rsid w:val="31046251"/>
    <w:rsid w:val="313F7424"/>
    <w:rsid w:val="315947EF"/>
    <w:rsid w:val="31BF715F"/>
    <w:rsid w:val="33D95F6A"/>
    <w:rsid w:val="33EA7E8A"/>
    <w:rsid w:val="35845BB2"/>
    <w:rsid w:val="398105EF"/>
    <w:rsid w:val="3B64626A"/>
    <w:rsid w:val="41DF489C"/>
    <w:rsid w:val="41EF0857"/>
    <w:rsid w:val="42C83582"/>
    <w:rsid w:val="42E12896"/>
    <w:rsid w:val="43170066"/>
    <w:rsid w:val="43A00108"/>
    <w:rsid w:val="44DC3315"/>
    <w:rsid w:val="45AA2264"/>
    <w:rsid w:val="46774D7C"/>
    <w:rsid w:val="47907EB5"/>
    <w:rsid w:val="48885724"/>
    <w:rsid w:val="4B607B31"/>
    <w:rsid w:val="4C3E6663"/>
    <w:rsid w:val="4E4E0387"/>
    <w:rsid w:val="523A46D1"/>
    <w:rsid w:val="52803F86"/>
    <w:rsid w:val="534F55FA"/>
    <w:rsid w:val="539B0A1A"/>
    <w:rsid w:val="56B51C18"/>
    <w:rsid w:val="58AB29DD"/>
    <w:rsid w:val="58B5022C"/>
    <w:rsid w:val="58E32A6C"/>
    <w:rsid w:val="597E09E7"/>
    <w:rsid w:val="5A2617F8"/>
    <w:rsid w:val="5B4733C5"/>
    <w:rsid w:val="5B761E60"/>
    <w:rsid w:val="5BF46D3E"/>
    <w:rsid w:val="5C1D1487"/>
    <w:rsid w:val="5C373B5F"/>
    <w:rsid w:val="5D5C40A4"/>
    <w:rsid w:val="5F990328"/>
    <w:rsid w:val="611F660B"/>
    <w:rsid w:val="62076FEE"/>
    <w:rsid w:val="62B227ED"/>
    <w:rsid w:val="63456DC3"/>
    <w:rsid w:val="63A37610"/>
    <w:rsid w:val="64A532CB"/>
    <w:rsid w:val="67CD5013"/>
    <w:rsid w:val="69196036"/>
    <w:rsid w:val="6D8C7F00"/>
    <w:rsid w:val="6DE210EC"/>
    <w:rsid w:val="6E14237E"/>
    <w:rsid w:val="6E490EBB"/>
    <w:rsid w:val="6F675DF1"/>
    <w:rsid w:val="734A36AE"/>
    <w:rsid w:val="7491561A"/>
    <w:rsid w:val="75B50E95"/>
    <w:rsid w:val="796055BB"/>
    <w:rsid w:val="7A30460B"/>
    <w:rsid w:val="7C1A7CA3"/>
    <w:rsid w:val="7D3A787F"/>
    <w:rsid w:val="7D4F5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仿宋_GB2312" w:cstheme="minorBidi"/>
      <w:kern w:val="2"/>
      <w:sz w:val="24"/>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outlineLvl w:val="0"/>
    </w:pPr>
    <w:rPr>
      <w:rFonts w:ascii="仿宋_GB2312" w:hAnsi="仿宋_GB2312" w:eastAsia="仿宋_GB2312"/>
      <w:b/>
      <w:kern w:val="44"/>
      <w:sz w:val="30"/>
    </w:rPr>
  </w:style>
  <w:style w:type="paragraph" w:styleId="3">
    <w:name w:val="heading 2"/>
    <w:basedOn w:val="1"/>
    <w:next w:val="1"/>
    <w:unhideWhenUsed/>
    <w:qFormat/>
    <w:uiPriority w:val="0"/>
    <w:pPr>
      <w:keepNext/>
      <w:keepLines/>
      <w:spacing w:beforeLines="0" w:beforeAutospacing="0" w:afterLines="0" w:afterAutospacing="0" w:line="360" w:lineRule="auto"/>
      <w:outlineLvl w:val="1"/>
    </w:pPr>
    <w:rPr>
      <w:rFonts w:ascii="仿宋_GB2312" w:hAnsi="仿宋_GB2312" w:eastAsia="仿宋_GB2312"/>
      <w:b/>
      <w:sz w:val="24"/>
    </w:rPr>
  </w:style>
  <w:style w:type="paragraph" w:styleId="4">
    <w:name w:val="heading 3"/>
    <w:basedOn w:val="1"/>
    <w:next w:val="1"/>
    <w:semiHidden/>
    <w:unhideWhenUsed/>
    <w:qFormat/>
    <w:uiPriority w:val="0"/>
    <w:pPr>
      <w:keepNext/>
      <w:keepLines/>
      <w:spacing w:beforeLines="0" w:beforeAutospacing="0" w:afterLines="0" w:afterAutospacing="0" w:line="360" w:lineRule="auto"/>
      <w:outlineLvl w:val="2"/>
    </w:pPr>
    <w:rPr>
      <w:rFonts w:ascii="仿宋_GB2312" w:hAnsi="仿宋_GB2312" w:eastAsia="仿宋_GB2312"/>
      <w:b/>
      <w:sz w:val="24"/>
    </w:rPr>
  </w:style>
  <w:style w:type="paragraph" w:styleId="5">
    <w:name w:val="heading 4"/>
    <w:basedOn w:val="1"/>
    <w:next w:val="1"/>
    <w:semiHidden/>
    <w:unhideWhenUsed/>
    <w:qFormat/>
    <w:uiPriority w:val="0"/>
    <w:pPr>
      <w:keepNext/>
      <w:keepLines/>
      <w:numPr>
        <w:ilvl w:val="3"/>
        <w:numId w:val="1"/>
      </w:numPr>
      <w:spacing w:line="360" w:lineRule="auto"/>
      <w:ind w:left="0" w:firstLine="0" w:firstLineChars="0"/>
      <w:outlineLvl w:val="3"/>
    </w:pPr>
    <w:rPr>
      <w:rFonts w:ascii="仿宋_GB2312" w:hAnsi="仿宋_GB2312" w:eastAsia="仿宋_GB2312" w:cstheme="majorBidi"/>
      <w:b/>
      <w:bCs/>
      <w:sz w:val="24"/>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5948</Words>
  <Characters>6269</Characters>
  <Lines>0</Lines>
  <Paragraphs>0</Paragraphs>
  <TotalTime>4</TotalTime>
  <ScaleCrop>false</ScaleCrop>
  <LinksUpToDate>false</LinksUpToDate>
  <CharactersWithSpaces>6269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2024-12-29T10:20:00Z</dcterms:created>
  <dc:creator>12232</dc:creator>
  <cp:lastModifiedBy>WS</cp:lastModifiedBy>
  <dcterms:modified xsi:type="dcterms:W3CDTF">2025-08-04T01:29:25Z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9B716F77D9764E91840EC3E591BC8853_13</vt:lpwstr>
  </property>
  <property fmtid="{D5CDD505-2E9C-101B-9397-08002B2CF9AE}" pid="4" name="KSOTemplateDocerSaveRecord">
    <vt:lpwstr>eyJoZGlkIjoiNDYyNGFiOWVjNmUyNDJkMjQ4ZjU3YWM4YTY1MmJjYzMiLCJ1c2VySWQiOiIxNTgwMzA1OTc1In0=</vt:lpwstr>
  </property>
</Properties>
</file>