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C96ED">
      <w:pPr>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附件2</w:t>
      </w:r>
    </w:p>
    <w:p w14:paraId="3FC836CD">
      <w:pPr>
        <w:jc w:val="center"/>
        <w:rPr>
          <w:rFonts w:ascii="方正小标宋_GBK" w:hAnsi="黑体" w:eastAsia="方正小标宋_GBK" w:cs="黑体"/>
          <w:b/>
          <w:bCs/>
          <w:sz w:val="52"/>
          <w:szCs w:val="52"/>
          <w:lang w:val="zh-CN"/>
        </w:rPr>
      </w:pPr>
      <w:r>
        <w:rPr>
          <w:rFonts w:hint="eastAsia" w:ascii="方正小标宋_GBK" w:hAnsi="黑体" w:eastAsia="方正小标宋_GBK" w:cs="黑体"/>
          <w:b/>
          <w:bCs/>
          <w:sz w:val="52"/>
          <w:szCs w:val="52"/>
          <w:lang w:val="zh-CN"/>
        </w:rPr>
        <w:t>《电网工程设计监理导则》</w:t>
      </w:r>
    </w:p>
    <w:p w14:paraId="085C9576">
      <w:pPr>
        <w:autoSpaceDE w:val="0"/>
        <w:autoSpaceDN w:val="0"/>
        <w:adjustRightInd w:val="0"/>
        <w:spacing w:line="360" w:lineRule="auto"/>
        <w:jc w:val="center"/>
        <w:rPr>
          <w:rFonts w:ascii="方正小标宋_GBK" w:hAnsi="黑体" w:eastAsia="方正小标宋_GBK" w:cs="黑体"/>
          <w:b/>
          <w:bCs/>
          <w:sz w:val="44"/>
          <w:szCs w:val="44"/>
          <w:lang w:val="zh-CN"/>
        </w:rPr>
      </w:pPr>
    </w:p>
    <w:p w14:paraId="2A6C4FF0">
      <w:pPr>
        <w:autoSpaceDE w:val="0"/>
        <w:autoSpaceDN w:val="0"/>
        <w:adjustRightInd w:val="0"/>
        <w:spacing w:line="360" w:lineRule="auto"/>
        <w:jc w:val="center"/>
        <w:rPr>
          <w:rFonts w:ascii="方正小标宋_GBK" w:hAnsi="黑体" w:eastAsia="方正小标宋_GBK" w:cs="黑体"/>
          <w:b/>
          <w:bCs/>
          <w:sz w:val="52"/>
          <w:szCs w:val="52"/>
          <w:lang w:val="zh-CN"/>
        </w:rPr>
      </w:pPr>
      <w:bookmarkStart w:id="0" w:name="_Toc30323"/>
      <w:r>
        <w:rPr>
          <w:rFonts w:hint="eastAsia" w:ascii="方正小标宋_GBK" w:hAnsi="黑体" w:eastAsia="方正小标宋_GBK" w:cs="黑体"/>
          <w:b/>
          <w:bCs/>
          <w:sz w:val="52"/>
          <w:szCs w:val="52"/>
          <w:lang w:val="zh-CN"/>
        </w:rPr>
        <w:t>标准</w:t>
      </w:r>
      <w:bookmarkEnd w:id="0"/>
      <w:r>
        <w:rPr>
          <w:rFonts w:hint="eastAsia" w:ascii="方正小标宋_GBK" w:hAnsi="黑体" w:eastAsia="方正小标宋_GBK" w:cs="黑体"/>
          <w:b/>
          <w:bCs/>
          <w:sz w:val="52"/>
          <w:szCs w:val="52"/>
          <w:lang w:val="zh-CN"/>
        </w:rPr>
        <w:t>编制说明</w:t>
      </w:r>
      <w:bookmarkStart w:id="19" w:name="_GoBack"/>
      <w:bookmarkEnd w:id="19"/>
    </w:p>
    <w:p w14:paraId="68AEF4E5">
      <w:pPr>
        <w:pStyle w:val="3"/>
        <w:rPr>
          <w:lang w:val="zh-CN"/>
        </w:rPr>
      </w:pPr>
    </w:p>
    <w:p w14:paraId="757DF10F">
      <w:pPr>
        <w:rPr>
          <w:lang w:val="zh-CN"/>
        </w:rPr>
      </w:pPr>
    </w:p>
    <w:p w14:paraId="6E2E6F2D">
      <w:pPr>
        <w:rPr>
          <w:lang w:val="zh-CN"/>
        </w:rPr>
      </w:pPr>
    </w:p>
    <w:p w14:paraId="24F6E9DD">
      <w:pPr>
        <w:pStyle w:val="3"/>
        <w:rPr>
          <w:lang w:val="zh-CN"/>
        </w:rPr>
      </w:pPr>
    </w:p>
    <w:p w14:paraId="7717D9AA">
      <w:pPr>
        <w:rPr>
          <w:lang w:val="zh-CN"/>
        </w:rPr>
      </w:pPr>
    </w:p>
    <w:p w14:paraId="3C89CCCD">
      <w:pPr>
        <w:pStyle w:val="3"/>
        <w:rPr>
          <w:lang w:val="zh-CN"/>
        </w:rPr>
      </w:pPr>
    </w:p>
    <w:p w14:paraId="624C9213">
      <w:pPr>
        <w:rPr>
          <w:lang w:val="zh-CN"/>
        </w:rPr>
      </w:pPr>
    </w:p>
    <w:p w14:paraId="17640B0C">
      <w:pPr>
        <w:pStyle w:val="3"/>
        <w:rPr>
          <w:lang w:val="zh-CN"/>
        </w:rPr>
      </w:pPr>
    </w:p>
    <w:p w14:paraId="3B7DAC5C">
      <w:pPr>
        <w:rPr>
          <w:sz w:val="22"/>
          <w:szCs w:val="24"/>
          <w:lang w:val="zh-CN"/>
        </w:rPr>
      </w:pPr>
    </w:p>
    <w:p w14:paraId="087137B9">
      <w:pPr>
        <w:pStyle w:val="7"/>
        <w:spacing w:before="0" w:beforeAutospacing="0" w:after="0" w:afterAutospacing="0"/>
        <w:jc w:val="center"/>
        <w:textAlignment w:val="baseline"/>
        <w:rPr>
          <w:rFonts w:ascii="方正黑体_GBK" w:hAnsi="Times New Roman" w:eastAsia="方正黑体_GBK" w:cs="Times New Roman"/>
          <w:sz w:val="36"/>
          <w:szCs w:val="36"/>
          <w:lang w:val="zh-CN"/>
        </w:rPr>
      </w:pPr>
    </w:p>
    <w:p w14:paraId="1A972332">
      <w:pPr>
        <w:pStyle w:val="7"/>
        <w:spacing w:before="0" w:beforeAutospacing="0" w:after="0" w:afterAutospacing="0"/>
        <w:jc w:val="center"/>
        <w:textAlignment w:val="baseline"/>
        <w:rPr>
          <w:rFonts w:ascii="方正黑体_GBK" w:hAnsi="Times New Roman" w:eastAsia="方正黑体_GBK" w:cs="Times New Roman"/>
          <w:sz w:val="36"/>
          <w:szCs w:val="36"/>
          <w:lang w:val="zh-CN"/>
        </w:rPr>
      </w:pPr>
      <w:r>
        <w:rPr>
          <w:rFonts w:hint="eastAsia" w:ascii="方正黑体_GBK" w:hAnsi="Times New Roman" w:eastAsia="方正黑体_GBK" w:cs="Times New Roman"/>
          <w:sz w:val="36"/>
          <w:szCs w:val="36"/>
          <w:lang w:val="zh-CN"/>
        </w:rPr>
        <w:t>20</w:t>
      </w:r>
      <w:r>
        <w:rPr>
          <w:rFonts w:hint="eastAsia" w:ascii="方正黑体_GBK" w:hAnsi="Times New Roman" w:eastAsia="方正黑体_GBK" w:cs="Times New Roman"/>
          <w:sz w:val="36"/>
          <w:szCs w:val="36"/>
        </w:rPr>
        <w:t>2</w:t>
      </w:r>
      <w:r>
        <w:rPr>
          <w:rFonts w:hint="eastAsia" w:ascii="方正黑体_GBK" w:hAnsi="Times New Roman" w:eastAsia="方正黑体_GBK" w:cs="Times New Roman"/>
          <w:sz w:val="36"/>
          <w:szCs w:val="36"/>
          <w:lang w:val="en-US" w:eastAsia="zh-CN"/>
        </w:rPr>
        <w:t>5</w:t>
      </w:r>
      <w:r>
        <w:rPr>
          <w:rFonts w:hint="eastAsia" w:ascii="方正黑体_GBK" w:hAnsi="Times New Roman" w:eastAsia="方正黑体_GBK"/>
          <w:sz w:val="36"/>
          <w:szCs w:val="36"/>
          <w:lang w:val="zh-CN"/>
        </w:rPr>
        <w:t>年</w:t>
      </w:r>
      <w:r>
        <w:rPr>
          <w:rFonts w:hint="eastAsia" w:ascii="方正黑体_GBK" w:hAnsi="Times New Roman" w:eastAsia="方正黑体_GBK" w:cs="Times New Roman"/>
          <w:sz w:val="36"/>
          <w:szCs w:val="36"/>
          <w:lang w:val="en-US" w:eastAsia="zh-CN"/>
        </w:rPr>
        <w:t>10</w:t>
      </w:r>
      <w:r>
        <w:rPr>
          <w:rFonts w:hint="eastAsia" w:ascii="方正黑体_GBK" w:hAnsi="Times New Roman" w:eastAsia="方正黑体_GBK"/>
          <w:sz w:val="36"/>
          <w:szCs w:val="36"/>
          <w:lang w:val="zh-CN"/>
        </w:rPr>
        <w:t>月</w:t>
      </w:r>
    </w:p>
    <w:p w14:paraId="24287592">
      <w:pPr>
        <w:pStyle w:val="3"/>
        <w:rPr>
          <w:lang w:val="zh-CN"/>
        </w:rPr>
        <w:sectPr>
          <w:footerReference r:id="rId3" w:type="default"/>
          <w:pgSz w:w="11906" w:h="16838"/>
          <w:pgMar w:top="1440" w:right="1800" w:bottom="1440" w:left="1800" w:header="851" w:footer="992" w:gutter="0"/>
          <w:cols w:space="425" w:num="1"/>
          <w:docGrid w:type="lines" w:linePitch="312" w:charSpace="0"/>
        </w:sectPr>
      </w:pPr>
    </w:p>
    <w:sdt>
      <w:sdtPr>
        <w:rPr>
          <w:rFonts w:ascii="Calibri" w:hAnsi="Calibri" w:eastAsia="宋体" w:cs="Times New Roman"/>
          <w:color w:val="auto"/>
          <w:kern w:val="2"/>
          <w:sz w:val="21"/>
          <w:szCs w:val="22"/>
          <w:lang w:val="zh-CN"/>
        </w:rPr>
        <w:id w:val="-1962715068"/>
        <w:docPartObj>
          <w:docPartGallery w:val="Table of Contents"/>
          <w:docPartUnique/>
        </w:docPartObj>
      </w:sdtPr>
      <w:sdtEndPr>
        <w:rPr>
          <w:rFonts w:ascii="Calibri" w:hAnsi="Calibri" w:eastAsia="宋体" w:cs="Times New Roman"/>
          <w:b/>
          <w:bCs/>
          <w:color w:val="auto"/>
          <w:kern w:val="2"/>
          <w:sz w:val="21"/>
          <w:szCs w:val="22"/>
          <w:lang w:val="zh-CN"/>
        </w:rPr>
      </w:sdtEndPr>
      <w:sdtContent>
        <w:p w14:paraId="3929125D">
          <w:pPr>
            <w:pStyle w:val="11"/>
            <w:jc w:val="center"/>
            <w:rPr>
              <w:rFonts w:ascii="方正小标宋_GBK" w:eastAsia="方正小标宋_GBK"/>
              <w:color w:val="000000" w:themeColor="text1"/>
              <w14:textFill>
                <w14:solidFill>
                  <w14:schemeClr w14:val="tx1"/>
                </w14:solidFill>
              </w14:textFill>
            </w:rPr>
          </w:pPr>
          <w:r>
            <w:rPr>
              <w:rFonts w:hint="eastAsia" w:ascii="方正小标宋_GBK" w:eastAsia="方正小标宋_GBK"/>
              <w:color w:val="000000" w:themeColor="text1"/>
              <w:lang w:val="zh-CN"/>
              <w14:textFill>
                <w14:solidFill>
                  <w14:schemeClr w14:val="tx1"/>
                </w14:solidFill>
              </w14:textFill>
            </w:rPr>
            <w:t>目录</w:t>
          </w:r>
        </w:p>
        <w:p w14:paraId="774264C9">
          <w:pPr>
            <w:pStyle w:val="5"/>
            <w:tabs>
              <w:tab w:val="left" w:pos="420"/>
            </w:tabs>
            <w:rPr>
              <w:rFonts w:hint="eastAsia" w:ascii="方正仿宋_GBK" w:eastAsia="方正仿宋_GBK" w:hAnsiTheme="minorHAnsi" w:cstheme="minorBidi"/>
              <w:sz w:val="22"/>
              <w14:ligatures w14:val="standardContextual"/>
            </w:rPr>
          </w:pPr>
          <w:r>
            <w:rPr>
              <w:rFonts w:hint="eastAsia" w:ascii="方正仿宋_GBK" w:eastAsia="方正仿宋_GBK"/>
              <w:sz w:val="32"/>
              <w:szCs w:val="40"/>
            </w:rPr>
            <w:fldChar w:fldCharType="begin"/>
          </w:r>
          <w:r>
            <w:rPr>
              <w:rFonts w:hint="eastAsia" w:ascii="方正仿宋_GBK" w:eastAsia="方正仿宋_GBK"/>
              <w:sz w:val="32"/>
              <w:szCs w:val="40"/>
            </w:rPr>
            <w:instrText xml:space="preserve"> TOC \o "1-3" \h \z \u </w:instrText>
          </w:r>
          <w:r>
            <w:rPr>
              <w:rFonts w:hint="eastAsia" w:ascii="方正仿宋_GBK" w:eastAsia="方正仿宋_GBK"/>
              <w:sz w:val="32"/>
              <w:szCs w:val="40"/>
            </w:rPr>
            <w:fldChar w:fldCharType="separate"/>
          </w:r>
          <w:r>
            <w:fldChar w:fldCharType="begin"/>
          </w:r>
          <w:r>
            <w:instrText xml:space="preserve"> HYPERLINK \l "_Toc179902666" </w:instrText>
          </w:r>
          <w:r>
            <w:fldChar w:fldCharType="separate"/>
          </w:r>
          <w:r>
            <w:rPr>
              <w:rStyle w:val="10"/>
              <w:rFonts w:hint="eastAsia" w:ascii="方正仿宋_GBK" w:hAnsi="黑体" w:eastAsia="方正仿宋_GBK"/>
              <w:sz w:val="22"/>
              <w:szCs w:val="28"/>
            </w:rPr>
            <w:t>1</w:t>
          </w:r>
          <w:r>
            <w:rPr>
              <w:rFonts w:hint="eastAsia" w:ascii="方正仿宋_GBK" w:eastAsia="方正仿宋_GBK" w:hAnsiTheme="minorHAnsi" w:cstheme="minorBidi"/>
              <w:sz w:val="22"/>
              <w14:ligatures w14:val="standardContextual"/>
            </w:rPr>
            <w:tab/>
          </w:r>
          <w:r>
            <w:rPr>
              <w:rStyle w:val="10"/>
              <w:rFonts w:hint="eastAsia" w:ascii="方正仿宋_GBK" w:hAnsi="黑体" w:eastAsia="方正仿宋_GBK"/>
              <w:sz w:val="22"/>
              <w:szCs w:val="28"/>
            </w:rPr>
            <w:t>工作简况</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_Toc179902666 \h </w:instrText>
          </w:r>
          <w:r>
            <w:rPr>
              <w:rFonts w:hint="eastAsia" w:ascii="方正仿宋_GBK" w:eastAsia="方正仿宋_GBK"/>
              <w:sz w:val="22"/>
              <w:szCs w:val="28"/>
            </w:rPr>
            <w:fldChar w:fldCharType="separate"/>
          </w:r>
          <w:r>
            <w:rPr>
              <w:rFonts w:hint="eastAsia" w:ascii="方正仿宋_GBK" w:eastAsia="方正仿宋_GBK"/>
              <w:sz w:val="22"/>
              <w:szCs w:val="28"/>
            </w:rPr>
            <w:t>1</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3C804046">
          <w:pPr>
            <w:pStyle w:val="6"/>
            <w:tabs>
              <w:tab w:val="left" w:pos="1050"/>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"_Toc179902667" </w:instrText>
          </w:r>
          <w:r>
            <w:fldChar w:fldCharType="separate"/>
          </w:r>
          <w:r>
            <w:rPr>
              <w:rStyle w:val="10"/>
              <w:rFonts w:hint="eastAsia" w:ascii="方正仿宋_GBK" w:hAnsi="楷体_GB2312" w:eastAsia="方正仿宋_GBK" w:cs="宋体"/>
              <w:sz w:val="22"/>
              <w:szCs w:val="28"/>
            </w:rPr>
            <w:t>1.1</w:t>
          </w:r>
          <w:r>
            <w:rPr>
              <w:rFonts w:hint="eastAsia" w:ascii="方正仿宋_GBK" w:eastAsia="方正仿宋_GBK" w:hAnsiTheme="minorHAnsi" w:cstheme="minorBidi"/>
              <w:sz w:val="22"/>
              <w14:ligatures w14:val="standardContextual"/>
            </w:rPr>
            <w:tab/>
          </w:r>
          <w:r>
            <w:rPr>
              <w:rStyle w:val="10"/>
              <w:rFonts w:hint="eastAsia" w:ascii="方正仿宋_GBK" w:hAnsi="楷体_GB2312" w:eastAsia="方正仿宋_GBK" w:cs="宋体"/>
              <w:sz w:val="22"/>
              <w:szCs w:val="28"/>
            </w:rPr>
            <w:t>任务来源</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_Toc179902667 \h </w:instrText>
          </w:r>
          <w:r>
            <w:rPr>
              <w:rFonts w:hint="eastAsia" w:ascii="方正仿宋_GBK" w:eastAsia="方正仿宋_GBK"/>
              <w:sz w:val="22"/>
              <w:szCs w:val="28"/>
            </w:rPr>
            <w:fldChar w:fldCharType="separate"/>
          </w:r>
          <w:r>
            <w:rPr>
              <w:rFonts w:hint="eastAsia" w:ascii="方正仿宋_GBK" w:eastAsia="方正仿宋_GBK"/>
              <w:sz w:val="22"/>
              <w:szCs w:val="28"/>
            </w:rPr>
            <w:t>1</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36808AFE">
          <w:pPr>
            <w:pStyle w:val="6"/>
            <w:tabs>
              <w:tab w:val="left" w:pos="1050"/>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"_Toc179902668" </w:instrText>
          </w:r>
          <w:r>
            <w:fldChar w:fldCharType="separate"/>
          </w:r>
          <w:r>
            <w:rPr>
              <w:rStyle w:val="10"/>
              <w:rFonts w:hint="eastAsia" w:ascii="方正仿宋_GBK" w:hAnsi="楷体_GB2312" w:eastAsia="方正仿宋_GBK" w:cs="宋体"/>
              <w:sz w:val="22"/>
              <w:szCs w:val="28"/>
            </w:rPr>
            <w:t>1.2</w:t>
          </w:r>
          <w:r>
            <w:rPr>
              <w:rFonts w:hint="eastAsia" w:ascii="方正仿宋_GBK" w:eastAsia="方正仿宋_GBK" w:hAnsiTheme="minorHAnsi" w:cstheme="minorBidi"/>
              <w:sz w:val="22"/>
              <w14:ligatures w14:val="standardContextual"/>
            </w:rPr>
            <w:tab/>
          </w:r>
          <w:r>
            <w:rPr>
              <w:rStyle w:val="10"/>
              <w:rFonts w:hint="eastAsia" w:ascii="方正仿宋_GBK" w:hAnsi="楷体_GB2312" w:eastAsia="方正仿宋_GBK" w:cs="宋体"/>
              <w:sz w:val="22"/>
              <w:szCs w:val="28"/>
            </w:rPr>
            <w:t>编制必要性</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_Toc179902668 \h </w:instrText>
          </w:r>
          <w:r>
            <w:rPr>
              <w:rFonts w:hint="eastAsia" w:ascii="方正仿宋_GBK" w:eastAsia="方正仿宋_GBK"/>
              <w:sz w:val="22"/>
              <w:szCs w:val="28"/>
            </w:rPr>
            <w:fldChar w:fldCharType="separate"/>
          </w:r>
          <w:r>
            <w:rPr>
              <w:rFonts w:hint="eastAsia" w:ascii="方正仿宋_GBK" w:eastAsia="方正仿宋_GBK"/>
              <w:sz w:val="22"/>
              <w:szCs w:val="28"/>
            </w:rPr>
            <w:t>1</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65BA6B75">
          <w:pPr>
            <w:pStyle w:val="6"/>
            <w:tabs>
              <w:tab w:val="left" w:pos="1050"/>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"_Toc179902669" </w:instrText>
          </w:r>
          <w:r>
            <w:fldChar w:fldCharType="separate"/>
          </w:r>
          <w:r>
            <w:rPr>
              <w:rStyle w:val="10"/>
              <w:rFonts w:hint="eastAsia" w:ascii="方正仿宋_GBK" w:hAnsi="楷体_GB2312" w:eastAsia="方正仿宋_GBK" w:cs="宋体"/>
              <w:sz w:val="22"/>
              <w:szCs w:val="28"/>
            </w:rPr>
            <w:t>1.3</w:t>
          </w:r>
          <w:r>
            <w:rPr>
              <w:rFonts w:hint="eastAsia" w:ascii="方正仿宋_GBK" w:eastAsia="方正仿宋_GBK" w:hAnsiTheme="minorHAnsi" w:cstheme="minorBidi"/>
              <w:sz w:val="22"/>
              <w14:ligatures w14:val="standardContextual"/>
            </w:rPr>
            <w:tab/>
          </w:r>
          <w:r>
            <w:rPr>
              <w:rStyle w:val="10"/>
              <w:rFonts w:hint="eastAsia" w:ascii="方正仿宋_GBK" w:hAnsi="楷体_GB2312" w:eastAsia="方正仿宋_GBK" w:cs="宋体"/>
              <w:sz w:val="22"/>
              <w:szCs w:val="28"/>
            </w:rPr>
            <w:t>编制单位</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_Toc179902669 \h </w:instrText>
          </w:r>
          <w:r>
            <w:rPr>
              <w:rFonts w:hint="eastAsia" w:ascii="方正仿宋_GBK" w:eastAsia="方正仿宋_GBK"/>
              <w:sz w:val="22"/>
              <w:szCs w:val="28"/>
            </w:rPr>
            <w:fldChar w:fldCharType="separate"/>
          </w:r>
          <w:r>
            <w:rPr>
              <w:rFonts w:hint="eastAsia" w:ascii="方正仿宋_GBK" w:eastAsia="方正仿宋_GBK"/>
              <w:sz w:val="22"/>
              <w:szCs w:val="28"/>
            </w:rPr>
            <w:t>1</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618421FC">
          <w:pPr>
            <w:pStyle w:val="6"/>
            <w:tabs>
              <w:tab w:val="left" w:pos="1050"/>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"_Toc179902670" </w:instrText>
          </w:r>
          <w:r>
            <w:fldChar w:fldCharType="separate"/>
          </w:r>
          <w:r>
            <w:rPr>
              <w:rStyle w:val="10"/>
              <w:rFonts w:hint="eastAsia" w:ascii="方正仿宋_GBK" w:hAnsi="楷体_GB2312" w:eastAsia="方正仿宋_GBK" w:cs="宋体"/>
              <w:sz w:val="22"/>
              <w:szCs w:val="28"/>
            </w:rPr>
            <w:t>1.4</w:t>
          </w:r>
          <w:r>
            <w:rPr>
              <w:rFonts w:hint="eastAsia" w:ascii="方正仿宋_GBK" w:eastAsia="方正仿宋_GBK" w:hAnsiTheme="minorHAnsi" w:cstheme="minorBidi"/>
              <w:sz w:val="22"/>
              <w14:ligatures w14:val="standardContextual"/>
            </w:rPr>
            <w:tab/>
          </w:r>
          <w:r>
            <w:rPr>
              <w:rStyle w:val="10"/>
              <w:rFonts w:hint="eastAsia" w:ascii="方正仿宋_GBK" w:hAnsi="楷体_GB2312" w:eastAsia="方正仿宋_GBK" w:cs="宋体"/>
              <w:sz w:val="22"/>
              <w:szCs w:val="28"/>
            </w:rPr>
            <w:t>主要工作过程</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_Toc179902670 \h </w:instrText>
          </w:r>
          <w:r>
            <w:rPr>
              <w:rFonts w:hint="eastAsia" w:ascii="方正仿宋_GBK" w:eastAsia="方正仿宋_GBK"/>
              <w:sz w:val="22"/>
              <w:szCs w:val="28"/>
            </w:rPr>
            <w:fldChar w:fldCharType="separate"/>
          </w:r>
          <w:r>
            <w:rPr>
              <w:rFonts w:hint="eastAsia" w:ascii="方正仿宋_GBK" w:eastAsia="方正仿宋_GBK"/>
              <w:sz w:val="22"/>
              <w:szCs w:val="28"/>
            </w:rPr>
            <w:t>2</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28DEA383">
          <w:pPr>
            <w:pStyle w:val="6"/>
            <w:tabs>
              <w:tab w:val="left" w:pos="1050"/>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"_Toc179902671" </w:instrText>
          </w:r>
          <w:r>
            <w:fldChar w:fldCharType="separate"/>
          </w:r>
          <w:r>
            <w:rPr>
              <w:rStyle w:val="10"/>
              <w:rFonts w:hint="eastAsia" w:ascii="方正仿宋_GBK" w:hAnsi="楷体_GB2312" w:eastAsia="方正仿宋_GBK" w:cs="宋体"/>
              <w:sz w:val="22"/>
              <w:szCs w:val="28"/>
            </w:rPr>
            <w:t>1.5</w:t>
          </w:r>
          <w:r>
            <w:rPr>
              <w:rFonts w:hint="eastAsia" w:ascii="方正仿宋_GBK" w:eastAsia="方正仿宋_GBK" w:hAnsiTheme="minorHAnsi" w:cstheme="minorBidi"/>
              <w:sz w:val="22"/>
              <w14:ligatures w14:val="standardContextual"/>
            </w:rPr>
            <w:tab/>
          </w:r>
          <w:r>
            <w:rPr>
              <w:rStyle w:val="10"/>
              <w:rFonts w:hint="eastAsia" w:ascii="方正仿宋_GBK" w:hAnsi="楷体_GB2312" w:eastAsia="方正仿宋_GBK" w:cs="宋体"/>
              <w:sz w:val="22"/>
              <w:szCs w:val="28"/>
            </w:rPr>
            <w:t>主要起草人</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_Toc179902671 \h </w:instrText>
          </w:r>
          <w:r>
            <w:rPr>
              <w:rFonts w:hint="eastAsia" w:ascii="方正仿宋_GBK" w:eastAsia="方正仿宋_GBK"/>
              <w:sz w:val="22"/>
              <w:szCs w:val="28"/>
            </w:rPr>
            <w:fldChar w:fldCharType="separate"/>
          </w:r>
          <w:r>
            <w:rPr>
              <w:rFonts w:hint="eastAsia" w:ascii="方正仿宋_GBK" w:eastAsia="方正仿宋_GBK"/>
              <w:sz w:val="22"/>
              <w:szCs w:val="28"/>
            </w:rPr>
            <w:t>2</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58CBC5BC">
          <w:pPr>
            <w:pStyle w:val="5"/>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"_Toc179902672" </w:instrText>
          </w:r>
          <w:r>
            <w:fldChar w:fldCharType="separate"/>
          </w:r>
          <w:r>
            <w:rPr>
              <w:rStyle w:val="10"/>
              <w:rFonts w:hint="eastAsia" w:ascii="方正仿宋_GBK" w:hAnsi="黑体" w:eastAsia="方正仿宋_GBK"/>
              <w:sz w:val="22"/>
              <w:szCs w:val="28"/>
            </w:rPr>
            <w:t>2</w:t>
          </w:r>
          <w:r>
            <w:rPr>
              <w:rFonts w:hint="eastAsia" w:ascii="方正仿宋_GBK" w:eastAsia="方正仿宋_GBK" w:hAnsiTheme="minorHAnsi" w:cstheme="minorBidi"/>
              <w:sz w:val="22"/>
              <w14:ligatures w14:val="standardContextual"/>
            </w:rPr>
            <w:tab/>
          </w:r>
          <w:r>
            <w:rPr>
              <w:rStyle w:val="10"/>
              <w:rFonts w:hint="eastAsia" w:ascii="方正仿宋_GBK" w:hAnsi="黑体" w:eastAsia="方正仿宋_GBK"/>
              <w:sz w:val="22"/>
              <w:szCs w:val="28"/>
            </w:rPr>
            <w:t>编制原则和主要内容</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_Toc179902672 \h </w:instrText>
          </w:r>
          <w:r>
            <w:rPr>
              <w:rFonts w:hint="eastAsia" w:ascii="方正仿宋_GBK" w:eastAsia="方正仿宋_GBK"/>
              <w:sz w:val="22"/>
              <w:szCs w:val="28"/>
            </w:rPr>
            <w:fldChar w:fldCharType="separate"/>
          </w:r>
          <w:r>
            <w:rPr>
              <w:rFonts w:hint="eastAsia" w:ascii="方正仿宋_GBK" w:eastAsia="方正仿宋_GBK"/>
              <w:sz w:val="22"/>
              <w:szCs w:val="28"/>
            </w:rPr>
            <w:t>2</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6AD66131">
          <w:pPr>
            <w:pStyle w:val="6"/>
            <w:tabs>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"_Toc179902673" </w:instrText>
          </w:r>
          <w:r>
            <w:fldChar w:fldCharType="separate"/>
          </w:r>
          <w:r>
            <w:rPr>
              <w:rStyle w:val="10"/>
              <w:rFonts w:hint="eastAsia" w:ascii="方正仿宋_GBK" w:hAnsi="楷体_GB2312" w:eastAsia="方正仿宋_GBK" w:cs="宋体"/>
              <w:sz w:val="22"/>
              <w:szCs w:val="28"/>
            </w:rPr>
            <w:t>2.1 编制原则</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_Toc179902673 \h </w:instrText>
          </w:r>
          <w:r>
            <w:rPr>
              <w:rFonts w:hint="eastAsia" w:ascii="方正仿宋_GBK" w:eastAsia="方正仿宋_GBK"/>
              <w:sz w:val="22"/>
              <w:szCs w:val="28"/>
            </w:rPr>
            <w:fldChar w:fldCharType="separate"/>
          </w:r>
          <w:r>
            <w:rPr>
              <w:rFonts w:hint="eastAsia" w:ascii="方正仿宋_GBK" w:eastAsia="方正仿宋_GBK"/>
              <w:sz w:val="22"/>
              <w:szCs w:val="28"/>
            </w:rPr>
            <w:t>2</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41D37014">
          <w:pPr>
            <w:pStyle w:val="6"/>
            <w:tabs>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"_Toc179902674" </w:instrText>
          </w:r>
          <w:r>
            <w:fldChar w:fldCharType="separate"/>
          </w:r>
          <w:r>
            <w:rPr>
              <w:rStyle w:val="10"/>
              <w:rFonts w:hint="eastAsia" w:ascii="方正仿宋_GBK" w:hAnsi="楷体_GB2312" w:eastAsia="方正仿宋_GBK" w:cs="宋体"/>
              <w:sz w:val="22"/>
              <w:szCs w:val="28"/>
            </w:rPr>
            <w:t>2.2 编制依据</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_Toc179902674 \h </w:instrText>
          </w:r>
          <w:r>
            <w:rPr>
              <w:rFonts w:hint="eastAsia" w:ascii="方正仿宋_GBK" w:eastAsia="方正仿宋_GBK"/>
              <w:sz w:val="22"/>
              <w:szCs w:val="28"/>
            </w:rPr>
            <w:fldChar w:fldCharType="separate"/>
          </w:r>
          <w:r>
            <w:rPr>
              <w:rFonts w:hint="eastAsia" w:ascii="方正仿宋_GBK" w:eastAsia="方正仿宋_GBK"/>
              <w:sz w:val="22"/>
              <w:szCs w:val="28"/>
            </w:rPr>
            <w:t>3</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216C7AE5">
          <w:pPr>
            <w:pStyle w:val="6"/>
            <w:tabs>
              <w:tab w:val="right" w:leader="dot" w:pos="8296"/>
            </w:tabs>
            <w:rPr>
              <w:rFonts w:hint="eastAsia" w:ascii="方正仿宋_GBK" w:eastAsia="方正仿宋_GBK" w:hAnsiTheme="minorHAnsi" w:cstheme="minorBidi"/>
              <w:sz w:val="22"/>
              <w14:ligatures w14:val="standardContextual"/>
            </w:rPr>
          </w:pPr>
          <w:r>
            <w:fldChar w:fldCharType="begin"/>
          </w:r>
          <w:r>
            <w:instrText xml:space="preserve"> HYPERLINK \l "_Toc179902675" </w:instrText>
          </w:r>
          <w:r>
            <w:fldChar w:fldCharType="separate"/>
          </w:r>
          <w:r>
            <w:rPr>
              <w:rStyle w:val="10"/>
              <w:rFonts w:hint="eastAsia" w:ascii="方正仿宋_GBK" w:hAnsi="楷体_GB2312" w:eastAsia="方正仿宋_GBK" w:cs="宋体"/>
              <w:sz w:val="22"/>
              <w:szCs w:val="28"/>
            </w:rPr>
            <w:t>2.3 主要内容</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_Toc179902675 \h </w:instrText>
          </w:r>
          <w:r>
            <w:rPr>
              <w:rFonts w:hint="eastAsia" w:ascii="方正仿宋_GBK" w:eastAsia="方正仿宋_GBK"/>
              <w:sz w:val="22"/>
              <w:szCs w:val="28"/>
            </w:rPr>
            <w:fldChar w:fldCharType="separate"/>
          </w:r>
          <w:r>
            <w:rPr>
              <w:rFonts w:hint="eastAsia" w:ascii="方正仿宋_GBK" w:eastAsia="方正仿宋_GBK"/>
              <w:sz w:val="22"/>
              <w:szCs w:val="28"/>
            </w:rPr>
            <w:t>4</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3804A311">
          <w:pPr>
            <w:pStyle w:val="5"/>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"_Toc179902676" </w:instrText>
          </w:r>
          <w:r>
            <w:fldChar w:fldCharType="separate"/>
          </w:r>
          <w:r>
            <w:rPr>
              <w:rStyle w:val="10"/>
              <w:rFonts w:hint="eastAsia" w:ascii="方正仿宋_GBK" w:hAnsi="黑体" w:eastAsia="方正仿宋_GBK"/>
              <w:sz w:val="22"/>
              <w:szCs w:val="28"/>
            </w:rPr>
            <w:t>3</w:t>
          </w:r>
          <w:r>
            <w:rPr>
              <w:rFonts w:hint="eastAsia" w:ascii="方正仿宋_GBK" w:eastAsia="方正仿宋_GBK" w:hAnsiTheme="minorHAnsi" w:cstheme="minorBidi"/>
              <w:sz w:val="22"/>
              <w14:ligatures w14:val="standardContextual"/>
            </w:rPr>
            <w:tab/>
          </w:r>
          <w:r>
            <w:rPr>
              <w:rStyle w:val="10"/>
              <w:rFonts w:hint="eastAsia" w:ascii="方正仿宋_GBK" w:hAnsi="黑体" w:eastAsia="方正仿宋_GBK"/>
              <w:sz w:val="22"/>
              <w:szCs w:val="28"/>
            </w:rPr>
            <w:t>预期达到的效果</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_Toc179902676 \h </w:instrText>
          </w:r>
          <w:r>
            <w:rPr>
              <w:rFonts w:hint="eastAsia" w:ascii="方正仿宋_GBK" w:eastAsia="方正仿宋_GBK"/>
              <w:sz w:val="22"/>
              <w:szCs w:val="28"/>
            </w:rPr>
            <w:fldChar w:fldCharType="separate"/>
          </w:r>
          <w:r>
            <w:rPr>
              <w:rFonts w:hint="eastAsia" w:ascii="方正仿宋_GBK" w:eastAsia="方正仿宋_GBK"/>
              <w:sz w:val="22"/>
              <w:szCs w:val="28"/>
            </w:rPr>
            <w:t>4</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03E961FF">
          <w:pPr>
            <w:pStyle w:val="5"/>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"_Toc179902677" </w:instrText>
          </w:r>
          <w:r>
            <w:fldChar w:fldCharType="separate"/>
          </w:r>
          <w:r>
            <w:rPr>
              <w:rStyle w:val="10"/>
              <w:rFonts w:hint="eastAsia" w:ascii="方正仿宋_GBK" w:hAnsi="黑体" w:eastAsia="方正仿宋_GBK"/>
              <w:sz w:val="22"/>
              <w:szCs w:val="28"/>
            </w:rPr>
            <w:t>4</w:t>
          </w:r>
          <w:r>
            <w:rPr>
              <w:rFonts w:hint="eastAsia" w:ascii="方正仿宋_GBK" w:eastAsia="方正仿宋_GBK" w:hAnsiTheme="minorHAnsi" w:cstheme="minorBidi"/>
              <w:sz w:val="22"/>
              <w14:ligatures w14:val="standardContextual"/>
            </w:rPr>
            <w:tab/>
          </w:r>
          <w:r>
            <w:rPr>
              <w:rStyle w:val="10"/>
              <w:rFonts w:hint="eastAsia" w:ascii="方正仿宋_GBK" w:hAnsi="黑体" w:eastAsia="方正仿宋_GBK"/>
              <w:sz w:val="22"/>
              <w:szCs w:val="28"/>
            </w:rPr>
            <w:t>与同类标准对比情况</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_Toc179902677 \h </w:instrText>
          </w:r>
          <w:r>
            <w:rPr>
              <w:rFonts w:hint="eastAsia" w:ascii="方正仿宋_GBK" w:eastAsia="方正仿宋_GBK"/>
              <w:sz w:val="22"/>
              <w:szCs w:val="28"/>
            </w:rPr>
            <w:fldChar w:fldCharType="separate"/>
          </w:r>
          <w:r>
            <w:rPr>
              <w:rFonts w:hint="eastAsia" w:ascii="方正仿宋_GBK" w:eastAsia="方正仿宋_GBK"/>
              <w:sz w:val="22"/>
              <w:szCs w:val="28"/>
            </w:rPr>
            <w:t>4</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52409899">
          <w:pPr>
            <w:pStyle w:val="5"/>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"_Toc179902678" </w:instrText>
          </w:r>
          <w:r>
            <w:fldChar w:fldCharType="separate"/>
          </w:r>
          <w:r>
            <w:rPr>
              <w:rStyle w:val="10"/>
              <w:rFonts w:hint="eastAsia" w:ascii="方正仿宋_GBK" w:hAnsi="黑体" w:eastAsia="方正仿宋_GBK"/>
              <w:sz w:val="22"/>
              <w:szCs w:val="28"/>
            </w:rPr>
            <w:t>5</w:t>
          </w:r>
          <w:r>
            <w:rPr>
              <w:rFonts w:hint="eastAsia" w:ascii="方正仿宋_GBK" w:eastAsia="方正仿宋_GBK" w:hAnsiTheme="minorHAnsi" w:cstheme="minorBidi"/>
              <w:sz w:val="22"/>
              <w14:ligatures w14:val="standardContextual"/>
            </w:rPr>
            <w:tab/>
          </w:r>
          <w:r>
            <w:rPr>
              <w:rStyle w:val="10"/>
              <w:rFonts w:hint="eastAsia" w:ascii="方正仿宋_GBK" w:hAnsi="黑体" w:eastAsia="方正仿宋_GBK"/>
              <w:sz w:val="22"/>
              <w:szCs w:val="28"/>
            </w:rPr>
            <w:t>与现行法律、法规、政策及相关标准的协调性</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_Toc179902678 \h </w:instrText>
          </w:r>
          <w:r>
            <w:rPr>
              <w:rFonts w:hint="eastAsia" w:ascii="方正仿宋_GBK" w:eastAsia="方正仿宋_GBK"/>
              <w:sz w:val="22"/>
              <w:szCs w:val="28"/>
            </w:rPr>
            <w:fldChar w:fldCharType="separate"/>
          </w:r>
          <w:r>
            <w:rPr>
              <w:rFonts w:hint="eastAsia" w:ascii="方正仿宋_GBK" w:eastAsia="方正仿宋_GBK"/>
              <w:sz w:val="22"/>
              <w:szCs w:val="28"/>
            </w:rPr>
            <w:t>4</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40DA7017">
          <w:pPr>
            <w:pStyle w:val="5"/>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"_Toc179902679" </w:instrText>
          </w:r>
          <w:r>
            <w:fldChar w:fldCharType="separate"/>
          </w:r>
          <w:r>
            <w:rPr>
              <w:rStyle w:val="10"/>
              <w:rFonts w:hint="eastAsia" w:ascii="方正仿宋_GBK" w:hAnsi="黑体" w:eastAsia="方正仿宋_GBK"/>
              <w:sz w:val="22"/>
              <w:szCs w:val="28"/>
            </w:rPr>
            <w:t>6</w:t>
          </w:r>
          <w:r>
            <w:rPr>
              <w:rFonts w:hint="eastAsia" w:ascii="方正仿宋_GBK" w:eastAsia="方正仿宋_GBK" w:hAnsiTheme="minorHAnsi" w:cstheme="minorBidi"/>
              <w:sz w:val="22"/>
              <w14:ligatures w14:val="standardContextual"/>
            </w:rPr>
            <w:tab/>
          </w:r>
          <w:r>
            <w:rPr>
              <w:rStyle w:val="10"/>
              <w:rFonts w:hint="eastAsia" w:ascii="方正仿宋_GBK" w:hAnsi="黑体" w:eastAsia="方正仿宋_GBK"/>
              <w:sz w:val="22"/>
              <w:szCs w:val="28"/>
            </w:rPr>
            <w:t>重大分歧意见处理情况</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_Toc179902679 \h </w:instrText>
          </w:r>
          <w:r>
            <w:rPr>
              <w:rFonts w:hint="eastAsia" w:ascii="方正仿宋_GBK" w:eastAsia="方正仿宋_GBK"/>
              <w:sz w:val="22"/>
              <w:szCs w:val="28"/>
            </w:rPr>
            <w:fldChar w:fldCharType="separate"/>
          </w:r>
          <w:r>
            <w:rPr>
              <w:rFonts w:hint="eastAsia" w:ascii="方正仿宋_GBK" w:eastAsia="方正仿宋_GBK"/>
              <w:sz w:val="22"/>
              <w:szCs w:val="28"/>
            </w:rPr>
            <w:t>5</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7691E3A7">
          <w:pPr>
            <w:pStyle w:val="5"/>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"_Toc179902680" </w:instrText>
          </w:r>
          <w:r>
            <w:fldChar w:fldCharType="separate"/>
          </w:r>
          <w:r>
            <w:rPr>
              <w:rStyle w:val="10"/>
              <w:rFonts w:hint="eastAsia" w:ascii="方正仿宋_GBK" w:hAnsi="黑体" w:eastAsia="方正仿宋_GBK"/>
              <w:sz w:val="22"/>
              <w:szCs w:val="28"/>
            </w:rPr>
            <w:t>7</w:t>
          </w:r>
          <w:r>
            <w:rPr>
              <w:rFonts w:hint="eastAsia" w:ascii="方正仿宋_GBK" w:eastAsia="方正仿宋_GBK" w:hAnsiTheme="minorHAnsi" w:cstheme="minorBidi"/>
              <w:sz w:val="22"/>
              <w14:ligatures w14:val="standardContextual"/>
            </w:rPr>
            <w:tab/>
          </w:r>
          <w:r>
            <w:rPr>
              <w:rStyle w:val="10"/>
              <w:rFonts w:hint="eastAsia" w:ascii="方正仿宋_GBK" w:hAnsi="黑体" w:eastAsia="方正仿宋_GBK"/>
              <w:sz w:val="22"/>
              <w:szCs w:val="28"/>
            </w:rPr>
            <w:t>标准涉及专利处置情况</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_Toc179902680 \h </w:instrText>
          </w:r>
          <w:r>
            <w:rPr>
              <w:rFonts w:hint="eastAsia" w:ascii="方正仿宋_GBK" w:eastAsia="方正仿宋_GBK"/>
              <w:sz w:val="22"/>
              <w:szCs w:val="28"/>
            </w:rPr>
            <w:fldChar w:fldCharType="separate"/>
          </w:r>
          <w:r>
            <w:rPr>
              <w:rFonts w:hint="eastAsia" w:ascii="方正仿宋_GBK" w:eastAsia="方正仿宋_GBK"/>
              <w:sz w:val="22"/>
              <w:szCs w:val="28"/>
            </w:rPr>
            <w:t>5</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26026A3F">
          <w:pPr>
            <w:pStyle w:val="5"/>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"_Toc179902681" </w:instrText>
          </w:r>
          <w:r>
            <w:fldChar w:fldCharType="separate"/>
          </w:r>
          <w:r>
            <w:rPr>
              <w:rStyle w:val="10"/>
              <w:rFonts w:hint="eastAsia" w:ascii="方正仿宋_GBK" w:hAnsi="黑体" w:eastAsia="方正仿宋_GBK"/>
              <w:sz w:val="22"/>
              <w:szCs w:val="28"/>
            </w:rPr>
            <w:t>8</w:t>
          </w:r>
          <w:r>
            <w:rPr>
              <w:rFonts w:hint="eastAsia" w:ascii="方正仿宋_GBK" w:eastAsia="方正仿宋_GBK" w:hAnsiTheme="minorHAnsi" w:cstheme="minorBidi"/>
              <w:sz w:val="22"/>
              <w14:ligatures w14:val="standardContextual"/>
            </w:rPr>
            <w:tab/>
          </w:r>
          <w:r>
            <w:rPr>
              <w:rStyle w:val="10"/>
              <w:rFonts w:hint="eastAsia" w:ascii="方正仿宋_GBK" w:hAnsi="黑体" w:eastAsia="方正仿宋_GBK"/>
              <w:sz w:val="22"/>
              <w:szCs w:val="28"/>
            </w:rPr>
            <w:t>贯彻规范的要求和措施建议</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_Toc179902681 \h </w:instrText>
          </w:r>
          <w:r>
            <w:rPr>
              <w:rFonts w:hint="eastAsia" w:ascii="方正仿宋_GBK" w:eastAsia="方正仿宋_GBK"/>
              <w:sz w:val="22"/>
              <w:szCs w:val="28"/>
            </w:rPr>
            <w:fldChar w:fldCharType="separate"/>
          </w:r>
          <w:r>
            <w:rPr>
              <w:rFonts w:hint="eastAsia" w:ascii="方正仿宋_GBK" w:eastAsia="方正仿宋_GBK"/>
              <w:sz w:val="22"/>
              <w:szCs w:val="28"/>
            </w:rPr>
            <w:t>5</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71F835A1">
          <w:pPr>
            <w:pStyle w:val="5"/>
            <w:tabs>
              <w:tab w:val="left" w:pos="420"/>
            </w:tabs>
            <w:rPr>
              <w:rFonts w:hint="eastAsia" w:ascii="方正仿宋_GBK" w:eastAsia="方正仿宋_GBK" w:hAnsiTheme="minorHAnsi" w:cstheme="minorBidi"/>
              <w:sz w:val="22"/>
              <w14:ligatures w14:val="standardContextual"/>
            </w:rPr>
          </w:pPr>
          <w:r>
            <w:fldChar w:fldCharType="begin"/>
          </w:r>
          <w:r>
            <w:instrText xml:space="preserve"> HYPERLINK \l "_Toc179902682" </w:instrText>
          </w:r>
          <w:r>
            <w:fldChar w:fldCharType="separate"/>
          </w:r>
          <w:r>
            <w:rPr>
              <w:rStyle w:val="10"/>
              <w:rFonts w:hint="eastAsia" w:ascii="方正仿宋_GBK" w:hAnsi="黑体" w:eastAsia="方正仿宋_GBK"/>
              <w:sz w:val="22"/>
              <w:szCs w:val="28"/>
            </w:rPr>
            <w:t>9</w:t>
          </w:r>
          <w:r>
            <w:rPr>
              <w:rFonts w:hint="eastAsia" w:ascii="方正仿宋_GBK" w:eastAsia="方正仿宋_GBK" w:hAnsiTheme="minorHAnsi" w:cstheme="minorBidi"/>
              <w:sz w:val="22"/>
              <w14:ligatures w14:val="standardContextual"/>
            </w:rPr>
            <w:tab/>
          </w:r>
          <w:r>
            <w:rPr>
              <w:rStyle w:val="10"/>
              <w:rFonts w:hint="eastAsia" w:ascii="方正仿宋_GBK" w:hAnsi="黑体" w:eastAsia="方正仿宋_GBK"/>
              <w:sz w:val="22"/>
              <w:szCs w:val="28"/>
            </w:rPr>
            <w:t>代替或废止现行有关标准的建议</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_Toc179902682 \h </w:instrText>
          </w:r>
          <w:r>
            <w:rPr>
              <w:rFonts w:hint="eastAsia" w:ascii="方正仿宋_GBK" w:eastAsia="方正仿宋_GBK"/>
              <w:sz w:val="22"/>
              <w:szCs w:val="28"/>
            </w:rPr>
            <w:fldChar w:fldCharType="separate"/>
          </w:r>
          <w:r>
            <w:rPr>
              <w:rFonts w:hint="eastAsia" w:ascii="方正仿宋_GBK" w:eastAsia="方正仿宋_GBK"/>
              <w:sz w:val="22"/>
              <w:szCs w:val="28"/>
            </w:rPr>
            <w:t>5</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4301BF59">
          <w:pPr>
            <w:pStyle w:val="5"/>
            <w:tabs>
              <w:tab w:val="left" w:pos="630"/>
            </w:tabs>
            <w:rPr>
              <w:rFonts w:asciiTheme="minorHAnsi" w:hAnsiTheme="minorHAnsi" w:eastAsiaTheme="minorEastAsia" w:cstheme="minorBidi"/>
              <w:szCs w:val="22"/>
              <w14:ligatures w14:val="standardContextual"/>
            </w:rPr>
          </w:pPr>
          <w:r>
            <w:fldChar w:fldCharType="begin"/>
          </w:r>
          <w:r>
            <w:instrText xml:space="preserve"> HYPERLINK \l "_Toc179902683" </w:instrText>
          </w:r>
          <w:r>
            <w:fldChar w:fldCharType="separate"/>
          </w:r>
          <w:r>
            <w:rPr>
              <w:rStyle w:val="10"/>
              <w:rFonts w:hint="eastAsia" w:ascii="方正仿宋_GBK" w:hAnsi="黑体" w:eastAsia="方正仿宋_GBK"/>
              <w:sz w:val="22"/>
              <w:szCs w:val="28"/>
            </w:rPr>
            <w:t>10</w:t>
          </w:r>
          <w:r>
            <w:rPr>
              <w:rFonts w:hint="eastAsia" w:ascii="方正仿宋_GBK" w:eastAsia="方正仿宋_GBK" w:hAnsiTheme="minorHAnsi" w:cstheme="minorBidi"/>
              <w:sz w:val="22"/>
              <w14:ligatures w14:val="standardContextual"/>
            </w:rPr>
            <w:tab/>
          </w:r>
          <w:r>
            <w:rPr>
              <w:rStyle w:val="10"/>
              <w:rFonts w:hint="eastAsia" w:ascii="方正仿宋_GBK" w:hAnsi="黑体" w:eastAsia="方正仿宋_GBK"/>
              <w:sz w:val="22"/>
              <w:szCs w:val="28"/>
            </w:rPr>
            <w:t>其他应予说明的事项</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_Toc179902683 \h </w:instrText>
          </w:r>
          <w:r>
            <w:rPr>
              <w:rFonts w:hint="eastAsia" w:ascii="方正仿宋_GBK" w:eastAsia="方正仿宋_GBK"/>
              <w:sz w:val="22"/>
              <w:szCs w:val="28"/>
            </w:rPr>
            <w:fldChar w:fldCharType="separate"/>
          </w:r>
          <w:r>
            <w:rPr>
              <w:rFonts w:hint="eastAsia" w:ascii="方正仿宋_GBK" w:eastAsia="方正仿宋_GBK"/>
              <w:sz w:val="22"/>
              <w:szCs w:val="28"/>
            </w:rPr>
            <w:t>5</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64C0458D">
          <w:r>
            <w:rPr>
              <w:rFonts w:hint="eastAsia" w:ascii="方正仿宋_GBK" w:eastAsia="方正仿宋_GBK"/>
              <w:sz w:val="32"/>
              <w:szCs w:val="36"/>
              <w:lang w:val="zh-CN"/>
            </w:rPr>
            <w:fldChar w:fldCharType="end"/>
          </w:r>
        </w:p>
      </w:sdtContent>
    </w:sdt>
    <w:p w14:paraId="5A69F036"/>
    <w:p w14:paraId="066E8152">
      <w:pPr>
        <w:tabs>
          <w:tab w:val="left" w:pos="2769"/>
        </w:tabs>
      </w:pPr>
      <w:r>
        <w:tab/>
      </w:r>
    </w:p>
    <w:p w14:paraId="67491252">
      <w:pPr>
        <w:tabs>
          <w:tab w:val="left" w:pos="2769"/>
        </w:tabs>
        <w:sectPr>
          <w:pgSz w:w="11906" w:h="16838"/>
          <w:pgMar w:top="1440" w:right="1800" w:bottom="1440" w:left="1800" w:header="851" w:footer="992" w:gutter="0"/>
          <w:cols w:space="425" w:num="1"/>
          <w:docGrid w:type="lines" w:linePitch="312" w:charSpace="0"/>
        </w:sectPr>
      </w:pPr>
      <w:r>
        <w:tab/>
      </w:r>
    </w:p>
    <w:p w14:paraId="2A9D8605">
      <w:pPr>
        <w:jc w:val="center"/>
        <w:rPr>
          <w:rFonts w:ascii="方正小标宋_GBK" w:hAnsi="方正小标宋_GBK" w:eastAsia="方正小标宋_GBK"/>
          <w:bCs/>
          <w:sz w:val="32"/>
          <w:szCs w:val="32"/>
        </w:rPr>
      </w:pPr>
      <w:r>
        <w:rPr>
          <w:rFonts w:hint="eastAsia" w:ascii="方正小标宋_GBK" w:hAnsi="方正小标宋_GBK" w:eastAsia="方正小标宋_GBK"/>
          <w:bCs/>
          <w:sz w:val="32"/>
          <w:szCs w:val="32"/>
        </w:rPr>
        <w:t>《电网工程设计监理导则》</w:t>
      </w:r>
    </w:p>
    <w:p w14:paraId="48D07353">
      <w:pPr>
        <w:jc w:val="center"/>
        <w:rPr>
          <w:rFonts w:ascii="方正小标宋_GBK" w:hAnsi="方正小标宋_GBK" w:eastAsia="方正小标宋_GBK"/>
          <w:bCs/>
          <w:sz w:val="32"/>
          <w:szCs w:val="32"/>
        </w:rPr>
      </w:pPr>
      <w:r>
        <w:rPr>
          <w:rFonts w:hint="eastAsia" w:ascii="方正小标宋_GBK" w:hAnsi="方正小标宋_GBK" w:eastAsia="方正小标宋_GBK"/>
          <w:bCs/>
          <w:sz w:val="32"/>
          <w:szCs w:val="32"/>
        </w:rPr>
        <w:t>标准编制说明</w:t>
      </w:r>
    </w:p>
    <w:p w14:paraId="61225DE5">
      <w:pPr>
        <w:pStyle w:val="12"/>
        <w:numPr>
          <w:ilvl w:val="0"/>
          <w:numId w:val="1"/>
        </w:numPr>
        <w:tabs>
          <w:tab w:val="left" w:pos="840"/>
        </w:tabs>
        <w:adjustRightInd w:val="0"/>
        <w:spacing w:line="360" w:lineRule="auto"/>
        <w:ind w:firstLineChars="0"/>
        <w:outlineLvl w:val="0"/>
        <w:rPr>
          <w:rFonts w:ascii="黑体" w:hAnsi="黑体" w:eastAsia="黑体"/>
          <w:b/>
          <w:sz w:val="28"/>
          <w:szCs w:val="28"/>
        </w:rPr>
      </w:pPr>
      <w:bookmarkStart w:id="1" w:name="_Toc179902666"/>
      <w:r>
        <w:rPr>
          <w:rFonts w:hint="eastAsia" w:ascii="黑体" w:hAnsi="黑体" w:eastAsia="黑体"/>
          <w:b/>
          <w:sz w:val="28"/>
          <w:szCs w:val="28"/>
        </w:rPr>
        <w:t>工作简况</w:t>
      </w:r>
      <w:bookmarkEnd w:id="1"/>
    </w:p>
    <w:p w14:paraId="44072569">
      <w:pPr>
        <w:pStyle w:val="12"/>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bookmarkStart w:id="2" w:name="_Toc179902667"/>
      <w:r>
        <w:rPr>
          <w:rFonts w:hint="eastAsia" w:ascii="方正楷体_GBK" w:hAnsi="楷体_GB2312" w:eastAsia="方正楷体_GBK" w:cs="宋体"/>
          <w:b/>
          <w:bCs/>
          <w:sz w:val="24"/>
          <w:szCs w:val="24"/>
        </w:rPr>
        <w:t>任务来源</w:t>
      </w:r>
      <w:bookmarkEnd w:id="2"/>
    </w:p>
    <w:p w14:paraId="68E51178">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根据中国电力建设企业协会《关于印发2025年第一批中国电力建设企业协会团体标准制定计划的通知》（中电建协〔202</w:t>
      </w:r>
      <w:r>
        <w:rPr>
          <w:rFonts w:hint="eastAsia" w:ascii="仿宋_GB2312" w:hAnsi="Times New Roman" w:eastAsia="仿宋_GB2312" w:cs="宋体"/>
          <w:sz w:val="24"/>
          <w:szCs w:val="24"/>
          <w:lang w:val="en-US" w:eastAsia="zh-CN"/>
        </w:rPr>
        <w:t>5</w:t>
      </w:r>
      <w:r>
        <w:rPr>
          <w:rFonts w:hint="eastAsia" w:ascii="仿宋_GB2312" w:hAnsi="Times New Roman" w:eastAsia="仿宋_GB2312" w:cs="宋体"/>
          <w:sz w:val="24"/>
          <w:szCs w:val="24"/>
        </w:rPr>
        <w:t>〕1</w:t>
      </w:r>
      <w:r>
        <w:rPr>
          <w:rFonts w:hint="eastAsia" w:ascii="仿宋_GB2312" w:hAnsi="Times New Roman" w:eastAsia="仿宋_GB2312" w:cs="宋体"/>
          <w:sz w:val="24"/>
          <w:szCs w:val="24"/>
          <w:lang w:val="en-US" w:eastAsia="zh-CN"/>
        </w:rPr>
        <w:t>31</w:t>
      </w:r>
      <w:r>
        <w:rPr>
          <w:rFonts w:hint="eastAsia" w:ascii="仿宋_GB2312" w:hAnsi="Times New Roman" w:eastAsia="仿宋_GB2312" w:cs="宋体"/>
          <w:sz w:val="24"/>
          <w:szCs w:val="24"/>
        </w:rPr>
        <w:t>号）的工作安排，《电网工程设计监理导则》的制定任务由中国电力建设企业协会标准化管理委员会负责管辖，国网江苏省电力工程咨询有限公司等</w:t>
      </w:r>
      <w:r>
        <w:rPr>
          <w:rFonts w:hint="eastAsia" w:ascii="仿宋_GB2312" w:hAnsi="Times New Roman" w:eastAsia="仿宋_GB2312" w:cs="宋体"/>
          <w:sz w:val="24"/>
          <w:szCs w:val="24"/>
          <w:highlight w:val="none"/>
          <w:lang w:val="en-US" w:eastAsia="zh-CN"/>
        </w:rPr>
        <w:t>7</w:t>
      </w:r>
      <w:r>
        <w:rPr>
          <w:rFonts w:hint="eastAsia" w:ascii="仿宋_GB2312" w:hAnsi="Times New Roman" w:eastAsia="仿宋_GB2312" w:cs="宋体"/>
          <w:sz w:val="24"/>
          <w:szCs w:val="24"/>
          <w:highlight w:val="none"/>
        </w:rPr>
        <w:t>家</w:t>
      </w:r>
      <w:r>
        <w:rPr>
          <w:rFonts w:hint="eastAsia" w:ascii="仿宋_GB2312" w:hAnsi="Times New Roman" w:eastAsia="仿宋_GB2312" w:cs="宋体"/>
          <w:sz w:val="24"/>
          <w:szCs w:val="24"/>
        </w:rPr>
        <w:t>单位组织完成编制。</w:t>
      </w:r>
    </w:p>
    <w:p w14:paraId="35D6D674">
      <w:pPr>
        <w:pStyle w:val="12"/>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bookmarkStart w:id="3" w:name="_Toc179902668"/>
      <w:r>
        <w:rPr>
          <w:rFonts w:hint="eastAsia" w:ascii="方正楷体_GBK" w:hAnsi="楷体_GB2312" w:eastAsia="方正楷体_GBK" w:cs="宋体"/>
          <w:b/>
          <w:bCs/>
          <w:sz w:val="24"/>
          <w:szCs w:val="24"/>
        </w:rPr>
        <w:t>编制必要性</w:t>
      </w:r>
      <w:bookmarkEnd w:id="3"/>
    </w:p>
    <w:p w14:paraId="3C0FFBBC">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（1）</w:t>
      </w:r>
      <w:r>
        <w:rPr>
          <w:rFonts w:hint="eastAsia" w:ascii="仿宋_GB2312" w:hAnsi="Times New Roman" w:eastAsia="仿宋_GB2312" w:cs="宋体"/>
          <w:sz w:val="24"/>
          <w:szCs w:val="24"/>
          <w:lang w:val="en-US" w:eastAsia="zh-CN"/>
        </w:rPr>
        <w:t>贯彻电力建设行业关于设计监理工作发挥作用</w:t>
      </w:r>
      <w:r>
        <w:rPr>
          <w:rFonts w:ascii="仿宋_GB2312" w:hAnsi="Times New Roman" w:eastAsia="仿宋_GB2312" w:cs="宋体"/>
          <w:sz w:val="24"/>
          <w:szCs w:val="24"/>
        </w:rPr>
        <w:t>的需要</w:t>
      </w:r>
    </w:p>
    <w:p w14:paraId="12BB80F7">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为满足电力建设行业对设计监理工作的功能需求，依据国家能源局发布的《电网工程建设预算编制与计算规定（2018年版）》，及电力工程造价与定额管理总站编制的《20kV及以下配电网工程建设预算编制与计算规定使用指南》，工程建设监理费用在各阶段的参考占比明确为：勘察阶段3%、设计阶段10%、施工阶段85%、保修阶段2%。为全面提升工程设计质量，设计监理需深度参与工程勘察与设计阶段工作，充分发挥专业把关作用；在此背景下，电网工程开展设计监理专项咨询服务的规范化需求日益迫切，亟需对相关咨询服务活动进行统一规范。</w:t>
      </w:r>
    </w:p>
    <w:p w14:paraId="6DC9D8A1">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w:t>
      </w:r>
      <w:r>
        <w:rPr>
          <w:rFonts w:hint="eastAsia" w:ascii="仿宋_GB2312" w:hAnsi="Times New Roman" w:eastAsia="仿宋_GB2312" w:cs="宋体"/>
          <w:sz w:val="24"/>
          <w:szCs w:val="24"/>
          <w:lang w:val="en-US" w:eastAsia="zh-CN"/>
        </w:rPr>
        <w:t>2</w:t>
      </w:r>
      <w:r>
        <w:rPr>
          <w:rFonts w:hint="eastAsia" w:ascii="仿宋_GB2312" w:hAnsi="Times New Roman" w:eastAsia="仿宋_GB2312" w:cs="宋体"/>
          <w:sz w:val="24"/>
          <w:szCs w:val="24"/>
        </w:rPr>
        <w:t>）提升</w:t>
      </w:r>
      <w:r>
        <w:rPr>
          <w:rFonts w:hint="eastAsia" w:ascii="仿宋_GB2312" w:hAnsi="Times New Roman" w:eastAsia="仿宋_GB2312" w:cs="宋体"/>
          <w:sz w:val="24"/>
          <w:szCs w:val="24"/>
          <w:lang w:val="en-US" w:eastAsia="zh-CN"/>
        </w:rPr>
        <w:t>电网</w:t>
      </w:r>
      <w:r>
        <w:rPr>
          <w:rFonts w:ascii="仿宋_GB2312" w:hAnsi="Times New Roman" w:eastAsia="仿宋_GB2312" w:cs="宋体"/>
          <w:sz w:val="24"/>
          <w:szCs w:val="24"/>
        </w:rPr>
        <w:t>工程</w:t>
      </w:r>
      <w:r>
        <w:rPr>
          <w:rFonts w:hint="eastAsia" w:ascii="仿宋_GB2312" w:hAnsi="Times New Roman" w:eastAsia="仿宋_GB2312" w:cs="宋体"/>
          <w:sz w:val="24"/>
          <w:szCs w:val="24"/>
          <w:lang w:val="en-US" w:eastAsia="zh-CN"/>
        </w:rPr>
        <w:t>设计监理工作</w:t>
      </w:r>
      <w:r>
        <w:rPr>
          <w:rFonts w:hint="eastAsia" w:ascii="仿宋_GB2312" w:hAnsi="Times New Roman" w:eastAsia="仿宋_GB2312" w:cs="宋体"/>
          <w:sz w:val="24"/>
          <w:szCs w:val="24"/>
        </w:rPr>
        <w:t>标准体系</w:t>
      </w:r>
      <w:r>
        <w:rPr>
          <w:rFonts w:ascii="仿宋_GB2312" w:hAnsi="Times New Roman" w:eastAsia="仿宋_GB2312" w:cs="宋体"/>
          <w:sz w:val="24"/>
          <w:szCs w:val="24"/>
        </w:rPr>
        <w:t>建设的需要</w:t>
      </w:r>
    </w:p>
    <w:p w14:paraId="2FC00E0F">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关于</w:t>
      </w:r>
      <w:r>
        <w:rPr>
          <w:rFonts w:hint="eastAsia" w:ascii="仿宋_GB2312" w:hAnsi="Times New Roman" w:eastAsia="仿宋_GB2312" w:cs="宋体"/>
          <w:sz w:val="24"/>
          <w:szCs w:val="24"/>
          <w:lang w:val="en-US" w:eastAsia="zh-CN"/>
        </w:rPr>
        <w:t>设计监理工作</w:t>
      </w:r>
      <w:r>
        <w:rPr>
          <w:rFonts w:hint="eastAsia" w:ascii="仿宋_GB2312" w:hAnsi="Times New Roman" w:eastAsia="仿宋_GB2312" w:cs="宋体"/>
          <w:sz w:val="24"/>
          <w:szCs w:val="24"/>
        </w:rPr>
        <w:t>，国内相关标准主要有《建设工程监理规范》(GB/T 5</w:t>
      </w:r>
      <w:r>
        <w:rPr>
          <w:rFonts w:hint="eastAsia" w:ascii="仿宋_GB2312" w:hAnsi="Times New Roman" w:eastAsia="仿宋_GB2312" w:cs="宋体"/>
          <w:sz w:val="24"/>
          <w:szCs w:val="24"/>
          <w:highlight w:val="none"/>
        </w:rPr>
        <w:t>0319-2013)中、《电力工程建设监理规范》(DL/T5434-2021)，这些</w:t>
      </w:r>
      <w:r>
        <w:rPr>
          <w:rFonts w:hint="eastAsia" w:ascii="仿宋_GB2312" w:hAnsi="Times New Roman" w:eastAsia="仿宋_GB2312" w:cs="宋体"/>
          <w:sz w:val="24"/>
          <w:szCs w:val="24"/>
          <w:highlight w:val="none"/>
          <w:lang w:val="en-US" w:eastAsia="zh-CN"/>
        </w:rPr>
        <w:t>规范</w:t>
      </w:r>
      <w:r>
        <w:rPr>
          <w:rFonts w:hint="eastAsia" w:ascii="仿宋_GB2312" w:hAnsi="Times New Roman" w:eastAsia="仿宋_GB2312" w:cs="宋体"/>
          <w:sz w:val="24"/>
          <w:szCs w:val="24"/>
          <w:highlight w:val="none"/>
        </w:rPr>
        <w:t>仅涉及到设计监理的部分工作，如编制设计监理</w:t>
      </w:r>
      <w:r>
        <w:rPr>
          <w:rFonts w:hint="eastAsia" w:ascii="仿宋_GB2312" w:hAnsi="Times New Roman" w:eastAsia="仿宋_GB2312" w:cs="宋体"/>
          <w:sz w:val="24"/>
          <w:szCs w:val="24"/>
          <w:highlight w:val="none"/>
          <w:lang w:val="en-US" w:eastAsia="zh-CN"/>
        </w:rPr>
        <w:t>咨询服务</w:t>
      </w:r>
      <w:r>
        <w:rPr>
          <w:rFonts w:hint="eastAsia" w:ascii="仿宋_GB2312" w:hAnsi="Times New Roman" w:eastAsia="仿宋_GB2312" w:cs="宋体"/>
          <w:sz w:val="24"/>
          <w:szCs w:val="24"/>
          <w:highlight w:val="none"/>
        </w:rPr>
        <w:t>大纲、设计监理工作总结等内容均未提及，</w:t>
      </w:r>
      <w:r>
        <w:rPr>
          <w:rFonts w:hint="eastAsia" w:ascii="仿宋_GB2312" w:hAnsi="Times New Roman" w:eastAsia="仿宋_GB2312" w:cs="宋体"/>
          <w:sz w:val="24"/>
          <w:szCs w:val="24"/>
          <w:highlight w:val="none"/>
          <w:lang w:val="en-US" w:eastAsia="zh-CN"/>
        </w:rPr>
        <w:t>在勘察</w:t>
      </w:r>
      <w:r>
        <w:rPr>
          <w:rFonts w:hint="eastAsia" w:ascii="仿宋_GB2312" w:hAnsi="Times New Roman" w:eastAsia="仿宋_GB2312" w:cs="宋体"/>
          <w:sz w:val="24"/>
          <w:szCs w:val="24"/>
          <w:lang w:val="en-US" w:eastAsia="zh-CN"/>
        </w:rPr>
        <w:t>、设计等阶段的</w:t>
      </w:r>
      <w:r>
        <w:rPr>
          <w:rFonts w:hint="eastAsia" w:ascii="仿宋_GB2312" w:hAnsi="Times New Roman" w:eastAsia="仿宋_GB2312" w:cs="宋体"/>
          <w:sz w:val="24"/>
          <w:szCs w:val="24"/>
        </w:rPr>
        <w:t>咨询服务</w:t>
      </w:r>
      <w:r>
        <w:rPr>
          <w:rFonts w:hint="eastAsia" w:ascii="仿宋_GB2312" w:hAnsi="Times New Roman" w:eastAsia="仿宋_GB2312" w:cs="宋体"/>
          <w:sz w:val="24"/>
          <w:szCs w:val="24"/>
          <w:lang w:val="en-US" w:eastAsia="zh-CN"/>
        </w:rPr>
        <w:t>工作</w:t>
      </w:r>
      <w:r>
        <w:rPr>
          <w:rFonts w:hint="eastAsia" w:ascii="仿宋_GB2312" w:hAnsi="Times New Roman" w:eastAsia="仿宋_GB2312" w:cs="宋体"/>
          <w:sz w:val="24"/>
          <w:szCs w:val="24"/>
        </w:rPr>
        <w:t>方面还不充分，还未形成完备的</w:t>
      </w:r>
      <w:r>
        <w:rPr>
          <w:rFonts w:hint="eastAsia" w:ascii="仿宋_GB2312" w:hAnsi="Times New Roman" w:eastAsia="仿宋_GB2312" w:cs="宋体"/>
          <w:sz w:val="24"/>
          <w:szCs w:val="24"/>
          <w:lang w:val="en-US" w:eastAsia="zh-CN"/>
        </w:rPr>
        <w:t>设计监理工作</w:t>
      </w:r>
      <w:r>
        <w:rPr>
          <w:rFonts w:hint="eastAsia" w:ascii="仿宋_GB2312" w:hAnsi="Times New Roman" w:eastAsia="仿宋_GB2312" w:cs="宋体"/>
          <w:sz w:val="24"/>
          <w:szCs w:val="24"/>
        </w:rPr>
        <w:t>标准体系。</w:t>
      </w:r>
      <w:r>
        <w:rPr>
          <w:rFonts w:hint="eastAsia" w:ascii="仿宋_GB2312" w:hAnsi="Times New Roman" w:eastAsia="仿宋_GB2312" w:cs="宋体"/>
          <w:sz w:val="24"/>
          <w:szCs w:val="24"/>
          <w:lang w:val="en-US" w:eastAsia="zh-CN"/>
        </w:rPr>
        <w:t>且</w:t>
      </w:r>
      <w:r>
        <w:rPr>
          <w:rFonts w:hint="eastAsia" w:ascii="仿宋_GB2312" w:hAnsi="Times New Roman" w:eastAsia="仿宋_GB2312" w:cs="宋体"/>
          <w:sz w:val="24"/>
          <w:szCs w:val="24"/>
        </w:rPr>
        <w:t>国外尚没有针对电网工程设计监理的相关工作标准</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为提升电网工程勘察设计质量，更好</w:t>
      </w:r>
      <w:r>
        <w:rPr>
          <w:rFonts w:hint="eastAsia" w:ascii="仿宋_GB2312" w:hAnsi="Times New Roman" w:eastAsia="仿宋_GB2312" w:cs="宋体"/>
          <w:sz w:val="24"/>
          <w:szCs w:val="24"/>
          <w:lang w:val="en-US" w:eastAsia="zh-CN"/>
        </w:rPr>
        <w:t>发挥设计监理作用</w:t>
      </w:r>
      <w:r>
        <w:rPr>
          <w:rFonts w:hint="eastAsia" w:ascii="仿宋_GB2312" w:hAnsi="Times New Roman" w:eastAsia="仿宋_GB2312" w:cs="宋体"/>
          <w:sz w:val="24"/>
          <w:szCs w:val="24"/>
        </w:rPr>
        <w:t>，提升工程咨询企业的综合服务能力和核心竞争力，解决工程</w:t>
      </w:r>
      <w:r>
        <w:rPr>
          <w:rFonts w:hint="eastAsia" w:ascii="仿宋_GB2312" w:hAnsi="Times New Roman" w:eastAsia="仿宋_GB2312" w:cs="宋体"/>
          <w:sz w:val="24"/>
          <w:szCs w:val="24"/>
          <w:lang w:val="en-US" w:eastAsia="zh-CN"/>
        </w:rPr>
        <w:t>设计</w:t>
      </w:r>
      <w:r>
        <w:rPr>
          <w:rFonts w:hint="eastAsia" w:ascii="仿宋_GB2312" w:hAnsi="Times New Roman" w:eastAsia="仿宋_GB2312" w:cs="宋体"/>
          <w:sz w:val="24"/>
          <w:szCs w:val="24"/>
        </w:rPr>
        <w:t>咨询服务“碎片化”问题，</w:t>
      </w:r>
      <w:r>
        <w:rPr>
          <w:rFonts w:hint="eastAsia" w:ascii="仿宋_GB2312" w:hAnsi="Times New Roman" w:eastAsia="仿宋_GB2312" w:cs="宋体"/>
          <w:sz w:val="24"/>
          <w:szCs w:val="24"/>
          <w:lang w:val="en-US" w:eastAsia="zh-CN"/>
        </w:rPr>
        <w:t>电网工程设计监理工作</w:t>
      </w:r>
      <w:r>
        <w:rPr>
          <w:rFonts w:hint="eastAsia" w:ascii="仿宋_GB2312" w:hAnsi="Times New Roman" w:eastAsia="仿宋_GB2312" w:cs="宋体"/>
          <w:sz w:val="24"/>
          <w:szCs w:val="24"/>
        </w:rPr>
        <w:t>需进一步规范开展。</w:t>
      </w:r>
    </w:p>
    <w:p w14:paraId="255DB62C">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国网江苏省电力工程咨询有限公司根据上述背景，为进一步推进</w:t>
      </w:r>
      <w:r>
        <w:rPr>
          <w:rFonts w:hint="eastAsia" w:ascii="仿宋_GB2312" w:hAnsi="Times New Roman" w:eastAsia="仿宋_GB2312" w:cs="宋体"/>
          <w:sz w:val="24"/>
          <w:szCs w:val="24"/>
          <w:lang w:val="en-US" w:eastAsia="zh-CN"/>
        </w:rPr>
        <w:t>电网</w:t>
      </w:r>
      <w:r>
        <w:rPr>
          <w:rFonts w:ascii="仿宋_GB2312" w:hAnsi="Times New Roman" w:eastAsia="仿宋_GB2312" w:cs="宋体"/>
          <w:sz w:val="24"/>
          <w:szCs w:val="24"/>
        </w:rPr>
        <w:t>工程</w:t>
      </w:r>
      <w:r>
        <w:rPr>
          <w:rFonts w:hint="eastAsia" w:ascii="仿宋_GB2312" w:hAnsi="Times New Roman" w:eastAsia="仿宋_GB2312" w:cs="宋体"/>
          <w:sz w:val="24"/>
          <w:szCs w:val="24"/>
          <w:lang w:val="en-US" w:eastAsia="zh-CN"/>
        </w:rPr>
        <w:t>设计监理工作</w:t>
      </w:r>
      <w:r>
        <w:rPr>
          <w:rFonts w:hint="eastAsia" w:ascii="仿宋_GB2312" w:hAnsi="Times New Roman" w:eastAsia="仿宋_GB2312" w:cs="宋体"/>
          <w:sz w:val="24"/>
          <w:szCs w:val="24"/>
        </w:rPr>
        <w:t>导则标准化开展，适应</w:t>
      </w:r>
      <w:r>
        <w:rPr>
          <w:rFonts w:hint="eastAsia" w:ascii="仿宋_GB2312" w:hAnsi="Times New Roman" w:eastAsia="仿宋_GB2312" w:cs="宋体"/>
          <w:sz w:val="24"/>
          <w:szCs w:val="24"/>
          <w:lang w:val="en-US" w:eastAsia="zh-CN"/>
        </w:rPr>
        <w:t>电网工程</w:t>
      </w:r>
      <w:r>
        <w:rPr>
          <w:rFonts w:hint="eastAsia" w:ascii="仿宋_GB2312" w:hAnsi="Times New Roman" w:eastAsia="仿宋_GB2312" w:cs="宋体"/>
          <w:sz w:val="24"/>
          <w:szCs w:val="24"/>
        </w:rPr>
        <w:t>建设和</w:t>
      </w:r>
      <w:r>
        <w:rPr>
          <w:rFonts w:hint="eastAsia" w:ascii="仿宋_GB2312" w:hAnsi="Times New Roman" w:eastAsia="仿宋_GB2312" w:cs="宋体"/>
          <w:sz w:val="24"/>
          <w:szCs w:val="24"/>
          <w:lang w:val="en-US" w:eastAsia="zh-CN"/>
        </w:rPr>
        <w:t>管理</w:t>
      </w:r>
      <w:r>
        <w:rPr>
          <w:rFonts w:hint="eastAsia" w:ascii="仿宋_GB2312" w:hAnsi="Times New Roman" w:eastAsia="仿宋_GB2312" w:cs="宋体"/>
          <w:sz w:val="24"/>
          <w:szCs w:val="24"/>
        </w:rPr>
        <w:t>，组织开展本标准编制工作并向中国电力建设企业协会提出申请。</w:t>
      </w:r>
    </w:p>
    <w:p w14:paraId="39D485F7">
      <w:pPr>
        <w:pStyle w:val="12"/>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bookmarkStart w:id="4" w:name="_Toc179902669"/>
      <w:r>
        <w:rPr>
          <w:rFonts w:hint="eastAsia" w:ascii="方正楷体_GBK" w:hAnsi="楷体_GB2312" w:eastAsia="方正楷体_GBK" w:cs="宋体"/>
          <w:b/>
          <w:bCs/>
          <w:sz w:val="24"/>
          <w:szCs w:val="24"/>
        </w:rPr>
        <w:t>编制单位</w:t>
      </w:r>
      <w:bookmarkEnd w:id="4"/>
    </w:p>
    <w:p w14:paraId="3C37178F">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国网江苏省电力工程咨询有限公司</w:t>
      </w:r>
    </w:p>
    <w:p w14:paraId="50E3D5EF">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河北电力工程监理有限公司</w:t>
      </w:r>
    </w:p>
    <w:p w14:paraId="127D5C59">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湛江中汇电力咨询有限公司</w:t>
      </w:r>
    </w:p>
    <w:p w14:paraId="5621F4AD">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山东诚信工程建设监理有限公司</w:t>
      </w:r>
    </w:p>
    <w:p w14:paraId="5C99C524">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广东诚誉工程咨询监理有限公司</w:t>
      </w:r>
    </w:p>
    <w:p w14:paraId="16796DDB">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深圳市威彦达工程监理有限公司</w:t>
      </w:r>
    </w:p>
    <w:p w14:paraId="626C7DCF">
      <w:pPr>
        <w:autoSpaceDE w:val="0"/>
        <w:autoSpaceDN w:val="0"/>
        <w:adjustRightInd w:val="0"/>
        <w:spacing w:line="360" w:lineRule="auto"/>
        <w:ind w:firstLine="480" w:firstLineChars="200"/>
        <w:rPr>
          <w:rFonts w:hint="eastAsia"/>
        </w:rPr>
      </w:pPr>
      <w:r>
        <w:rPr>
          <w:rFonts w:hint="eastAsia" w:ascii="仿宋_GB2312" w:hAnsi="Times New Roman" w:eastAsia="仿宋_GB2312" w:cs="宋体"/>
          <w:sz w:val="24"/>
          <w:szCs w:val="24"/>
        </w:rPr>
        <w:t>中国能源建设集团江苏省电力设计院有限公司</w:t>
      </w:r>
    </w:p>
    <w:p w14:paraId="7A5724DF">
      <w:pPr>
        <w:pStyle w:val="12"/>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bookmarkStart w:id="5" w:name="_Toc179902670"/>
      <w:r>
        <w:rPr>
          <w:rFonts w:hint="eastAsia" w:ascii="方正楷体_GBK" w:hAnsi="楷体_GB2312" w:eastAsia="方正楷体_GBK" w:cs="宋体"/>
          <w:b/>
          <w:bCs/>
          <w:sz w:val="24"/>
          <w:szCs w:val="24"/>
        </w:rPr>
        <w:t>主要工作过程</w:t>
      </w:r>
      <w:bookmarkEnd w:id="5"/>
    </w:p>
    <w:p w14:paraId="30B54CBD">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2025年6月29日，国网江苏省电力工程咨询有限公司联系了电网工程设计监理相关工作经验丰富的咨询单位、设计单位等，涵盖国家电网、南方电网两大电网，成立标准编制工作组。参编单位包括咨询单位：河北电力工程监理有限公司、湛江中汇电力咨询有限公司、山东诚信工程建设监理有限公司、广东诚誉工程咨询监理有限公司、深圳市威彦达工程监理有限公司；设计单位：中国能源建设集团江苏省电力设计院有限公司。</w:t>
      </w:r>
    </w:p>
    <w:p w14:paraId="1C0B42CB">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2025年9月24-25日，中国电力建设企业协会在长沙组织召开了标准启动会暨初稿讨论会，对初稿主要内容进行讨论，确认标准按照GB/T1.1-2020 《标准化工作导则 第1部分：标准化文件的结构和起草规则》的规定格式编写，明确了标准大纲、编制分工及后续编写工作计划。</w:t>
      </w:r>
    </w:p>
    <w:p w14:paraId="6DDB002E">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2025年10月15日-16日，中国电力建设企业协会在石家庄组织召开了标准征求意见稿定稿会，邀请相关单位专家参会，会上对标准逐条进行讨论，确定最终版征求意见稿。</w:t>
      </w:r>
    </w:p>
    <w:p w14:paraId="22191B6E">
      <w:pPr>
        <w:pStyle w:val="12"/>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bookmarkStart w:id="6" w:name="_Toc179902671"/>
      <w:r>
        <w:rPr>
          <w:rFonts w:hint="eastAsia" w:ascii="方正楷体_GBK" w:hAnsi="楷体_GB2312" w:eastAsia="方正楷体_GBK" w:cs="宋体"/>
          <w:b/>
          <w:bCs/>
          <w:sz w:val="24"/>
          <w:szCs w:val="24"/>
        </w:rPr>
        <w:t>主要起草人</w:t>
      </w:r>
      <w:bookmarkEnd w:id="6"/>
    </w:p>
    <w:p w14:paraId="19FAE145">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lang w:val="en-US" w:eastAsia="zh-CN"/>
        </w:rPr>
        <w:t>XX</w:t>
      </w:r>
      <w:r>
        <w:rPr>
          <w:rFonts w:hint="eastAsia" w:ascii="仿宋_GB2312" w:hAnsi="Times New Roman" w:eastAsia="仿宋_GB2312" w:cs="宋体"/>
          <w:sz w:val="24"/>
          <w:szCs w:val="24"/>
        </w:rPr>
        <w:t>。</w:t>
      </w:r>
    </w:p>
    <w:p w14:paraId="3995B95D">
      <w:pPr>
        <w:pStyle w:val="12"/>
        <w:numPr>
          <w:ilvl w:val="0"/>
          <w:numId w:val="1"/>
        </w:numPr>
        <w:tabs>
          <w:tab w:val="left" w:pos="840"/>
        </w:tabs>
        <w:adjustRightInd w:val="0"/>
        <w:spacing w:line="360" w:lineRule="auto"/>
        <w:ind w:firstLineChars="0"/>
        <w:outlineLvl w:val="0"/>
        <w:rPr>
          <w:rFonts w:ascii="黑体" w:hAnsi="黑体" w:eastAsia="黑体"/>
          <w:b/>
          <w:sz w:val="28"/>
          <w:szCs w:val="28"/>
        </w:rPr>
      </w:pPr>
      <w:bookmarkStart w:id="7" w:name="_Toc179902672"/>
      <w:r>
        <w:rPr>
          <w:rFonts w:hint="eastAsia" w:ascii="黑体" w:hAnsi="黑体" w:eastAsia="黑体"/>
          <w:b/>
          <w:sz w:val="28"/>
          <w:szCs w:val="28"/>
        </w:rPr>
        <w:t>编制原则和主要内容</w:t>
      </w:r>
      <w:bookmarkEnd w:id="7"/>
    </w:p>
    <w:p w14:paraId="244CF5C6">
      <w:pPr>
        <w:autoSpaceDE w:val="0"/>
        <w:autoSpaceDN w:val="0"/>
        <w:adjustRightInd w:val="0"/>
        <w:spacing w:line="360" w:lineRule="auto"/>
        <w:ind w:firstLine="420"/>
        <w:outlineLvl w:val="1"/>
        <w:rPr>
          <w:rFonts w:ascii="方正楷体_GBK" w:hAnsi="楷体_GB2312" w:eastAsia="方正楷体_GBK" w:cs="宋体"/>
          <w:b/>
          <w:bCs/>
          <w:sz w:val="24"/>
          <w:szCs w:val="24"/>
        </w:rPr>
      </w:pPr>
      <w:bookmarkStart w:id="8" w:name="_Toc179902673"/>
      <w:r>
        <w:rPr>
          <w:rFonts w:hint="eastAsia" w:ascii="方正楷体_GBK" w:hAnsi="楷体_GB2312" w:eastAsia="方正楷体_GBK" w:cs="宋体"/>
          <w:b/>
          <w:bCs/>
          <w:sz w:val="24"/>
          <w:szCs w:val="24"/>
        </w:rPr>
        <w:t>2.1 编制原则</w:t>
      </w:r>
      <w:bookmarkEnd w:id="8"/>
    </w:p>
    <w:p w14:paraId="2C11CE8F">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本次编制的总体原则是结合当前</w:t>
      </w:r>
      <w:r>
        <w:rPr>
          <w:rFonts w:hint="eastAsia" w:ascii="仿宋_GB2312" w:hAnsi="Times New Roman" w:eastAsia="仿宋_GB2312" w:cs="宋体"/>
          <w:sz w:val="24"/>
          <w:szCs w:val="24"/>
          <w:lang w:val="en-US" w:eastAsia="zh-CN"/>
        </w:rPr>
        <w:t>电网</w:t>
      </w:r>
      <w:r>
        <w:rPr>
          <w:rFonts w:hint="eastAsia" w:ascii="仿宋_GB2312" w:hAnsi="Times New Roman" w:eastAsia="仿宋_GB2312" w:cs="宋体"/>
          <w:sz w:val="24"/>
          <w:szCs w:val="24"/>
        </w:rPr>
        <w:t>工程</w:t>
      </w:r>
      <w:r>
        <w:rPr>
          <w:rFonts w:hint="eastAsia" w:ascii="仿宋_GB2312" w:hAnsi="Times New Roman" w:eastAsia="仿宋_GB2312" w:cs="宋体"/>
          <w:sz w:val="24"/>
          <w:szCs w:val="24"/>
          <w:lang w:val="en-US" w:eastAsia="zh-CN"/>
        </w:rPr>
        <w:t>设计监理工作</w:t>
      </w:r>
      <w:r>
        <w:rPr>
          <w:rFonts w:hint="eastAsia" w:ascii="仿宋_GB2312" w:hAnsi="Times New Roman" w:eastAsia="仿宋_GB2312" w:cs="宋体"/>
          <w:sz w:val="24"/>
          <w:szCs w:val="24"/>
        </w:rPr>
        <w:t>现状，</w:t>
      </w:r>
      <w:r>
        <w:rPr>
          <w:rFonts w:hint="eastAsia" w:ascii="仿宋_GB2312" w:hAnsi="Times New Roman" w:eastAsia="仿宋_GB2312" w:cs="宋体"/>
          <w:sz w:val="24"/>
          <w:szCs w:val="24"/>
          <w:lang w:val="en-US" w:eastAsia="zh-CN"/>
        </w:rPr>
        <w:t>指导</w:t>
      </w:r>
      <w:r>
        <w:rPr>
          <w:rFonts w:hint="eastAsia" w:ascii="仿宋_GB2312" w:hAnsi="Times New Roman" w:eastAsia="仿宋_GB2312" w:cs="宋体"/>
          <w:sz w:val="24"/>
          <w:szCs w:val="24"/>
        </w:rPr>
        <w:t>设计监理工作，满足</w:t>
      </w:r>
      <w:r>
        <w:rPr>
          <w:rFonts w:hint="eastAsia" w:ascii="仿宋_GB2312" w:hAnsi="Times New Roman" w:eastAsia="仿宋_GB2312" w:cs="宋体"/>
          <w:sz w:val="24"/>
          <w:szCs w:val="24"/>
          <w:lang w:val="en-US" w:eastAsia="zh-CN"/>
        </w:rPr>
        <w:t>电网工程</w:t>
      </w:r>
      <w:r>
        <w:rPr>
          <w:rFonts w:hint="eastAsia" w:ascii="仿宋_GB2312" w:hAnsi="Times New Roman" w:eastAsia="仿宋_GB2312" w:cs="宋体"/>
          <w:sz w:val="24"/>
          <w:szCs w:val="24"/>
        </w:rPr>
        <w:t>发展需求，具备引领行业发展的作用，具体包括：</w:t>
      </w:r>
    </w:p>
    <w:p w14:paraId="1B289336">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（1）广泛调查深入研究，认真总结实践经验，严格遵守国家标准和法律法规，在广泛征求意见的基础上，综合考虑当前工程实践和按满足未来发展趋势的要求编制本标准，应具有前瞻性、先进性；</w:t>
      </w:r>
    </w:p>
    <w:p w14:paraId="24397E3B">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（2）本标准的要求要不低于国家标准，并与其他电力行业标准相协调；</w:t>
      </w:r>
    </w:p>
    <w:p w14:paraId="2B7D6E9B">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w:t>
      </w:r>
      <w:r>
        <w:rPr>
          <w:rFonts w:ascii="仿宋_GB2312" w:hAnsi="Times New Roman" w:eastAsia="仿宋_GB2312" w:cs="宋体"/>
          <w:sz w:val="24"/>
          <w:szCs w:val="24"/>
        </w:rPr>
        <w:t>3</w:t>
      </w:r>
      <w:r>
        <w:rPr>
          <w:rFonts w:hint="eastAsia" w:ascii="仿宋_GB2312" w:hAnsi="Times New Roman" w:eastAsia="仿宋_GB2312" w:cs="宋体"/>
          <w:sz w:val="24"/>
          <w:szCs w:val="24"/>
        </w:rPr>
        <w:t>）标准的内容必须能够适应发展需要，条款规定要明确、清晰无歧义，满足规范化、通用化的要求，以确保可操作性；</w:t>
      </w:r>
    </w:p>
    <w:p w14:paraId="2E355580">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w:t>
      </w:r>
      <w:r>
        <w:rPr>
          <w:rFonts w:ascii="仿宋_GB2312" w:hAnsi="Times New Roman" w:eastAsia="仿宋_GB2312" w:cs="宋体"/>
          <w:sz w:val="24"/>
          <w:szCs w:val="24"/>
        </w:rPr>
        <w:t>4</w:t>
      </w:r>
      <w:r>
        <w:rPr>
          <w:rFonts w:hint="eastAsia" w:ascii="仿宋_GB2312" w:hAnsi="Times New Roman" w:eastAsia="仿宋_GB2312" w:cs="宋体"/>
          <w:sz w:val="24"/>
          <w:szCs w:val="24"/>
        </w:rPr>
        <w:t>）按照GB/T</w:t>
      </w:r>
      <w:r>
        <w:rPr>
          <w:rFonts w:ascii="仿宋_GB2312" w:hAnsi="Times New Roman" w:eastAsia="仿宋_GB2312" w:cs="宋体"/>
          <w:sz w:val="24"/>
          <w:szCs w:val="24"/>
        </w:rPr>
        <w:t xml:space="preserve"> </w:t>
      </w:r>
      <w:r>
        <w:rPr>
          <w:rFonts w:hint="eastAsia" w:ascii="仿宋_GB2312" w:hAnsi="Times New Roman" w:eastAsia="仿宋_GB2312" w:cs="宋体"/>
          <w:sz w:val="24"/>
          <w:szCs w:val="24"/>
        </w:rPr>
        <w:t>1.1-2020 《标准化工作导则 第1部分：标准化文件的结构和起草规则》的规定编写。</w:t>
      </w:r>
    </w:p>
    <w:p w14:paraId="00B7AC52">
      <w:pPr>
        <w:autoSpaceDE w:val="0"/>
        <w:autoSpaceDN w:val="0"/>
        <w:adjustRightInd w:val="0"/>
        <w:spacing w:line="360" w:lineRule="auto"/>
        <w:ind w:firstLine="420"/>
        <w:outlineLvl w:val="1"/>
        <w:rPr>
          <w:rFonts w:ascii="方正楷体_GBK" w:hAnsi="楷体_GB2312" w:eastAsia="方正楷体_GBK" w:cs="宋体"/>
          <w:b/>
          <w:bCs/>
          <w:sz w:val="24"/>
          <w:szCs w:val="24"/>
        </w:rPr>
      </w:pPr>
      <w:bookmarkStart w:id="9" w:name="_Toc179902674"/>
      <w:r>
        <w:rPr>
          <w:rFonts w:hint="eastAsia" w:ascii="方正楷体_GBK" w:hAnsi="楷体_GB2312" w:eastAsia="方正楷体_GBK" w:cs="宋体"/>
          <w:b/>
          <w:bCs/>
          <w:sz w:val="24"/>
          <w:szCs w:val="24"/>
        </w:rPr>
        <w:t>2.2 编制依据</w:t>
      </w:r>
      <w:bookmarkEnd w:id="9"/>
    </w:p>
    <w:p w14:paraId="42A3B047">
      <w:pPr>
        <w:autoSpaceDE w:val="0"/>
        <w:autoSpaceDN w:val="0"/>
        <w:adjustRightInd w:val="0"/>
        <w:spacing w:line="360" w:lineRule="auto"/>
        <w:ind w:firstLine="480" w:firstLineChars="200"/>
        <w:rPr>
          <w:rFonts w:ascii="仿宋_GB2312" w:hAnsi="Times New Roman" w:eastAsia="仿宋_GB2312" w:cs="宋体"/>
          <w:sz w:val="24"/>
          <w:szCs w:val="24"/>
          <w:highlight w:val="none"/>
        </w:rPr>
      </w:pPr>
      <w:r>
        <w:rPr>
          <w:rFonts w:hint="eastAsia" w:ascii="仿宋_GB2312" w:hAnsi="Times New Roman" w:eastAsia="仿宋_GB2312" w:cs="宋体"/>
          <w:sz w:val="24"/>
          <w:szCs w:val="24"/>
          <w:highlight w:val="none"/>
        </w:rPr>
        <w:t>本标准参照现行国家有关电力建设的法律、法规、管理标准、技术标准、电力行业有关标准和相关行业标准。主要有：</w:t>
      </w:r>
    </w:p>
    <w:p w14:paraId="2E8459DA">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highlight w:val="none"/>
        </w:rPr>
      </w:pPr>
      <w:r>
        <w:rPr>
          <w:rFonts w:hint="eastAsia" w:ascii="仿宋_GB2312" w:hAnsi="Times New Roman" w:eastAsia="仿宋_GB2312" w:cs="宋体"/>
          <w:sz w:val="24"/>
          <w:szCs w:val="24"/>
          <w:highlight w:val="none"/>
        </w:rPr>
        <w:t>《岩土工程勘察规范》GB 50021</w:t>
      </w:r>
    </w:p>
    <w:p w14:paraId="72769AF3">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highlight w:val="none"/>
        </w:rPr>
      </w:pPr>
      <w:r>
        <w:rPr>
          <w:rFonts w:hint="eastAsia" w:ascii="仿宋_GB2312" w:hAnsi="Times New Roman" w:eastAsia="仿宋_GB2312" w:cs="宋体"/>
          <w:sz w:val="24"/>
          <w:szCs w:val="24"/>
          <w:highlight w:val="none"/>
        </w:rPr>
        <w:t>《建设工程工程量清单计价规范》GB 50500</w:t>
      </w:r>
    </w:p>
    <w:p w14:paraId="133659DA">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highlight w:val="none"/>
        </w:rPr>
      </w:pPr>
      <w:r>
        <w:rPr>
          <w:rFonts w:hint="eastAsia" w:ascii="仿宋_GB2312" w:hAnsi="Times New Roman" w:eastAsia="仿宋_GB2312" w:cs="宋体"/>
          <w:sz w:val="24"/>
          <w:szCs w:val="24"/>
          <w:highlight w:val="none"/>
        </w:rPr>
        <w:t>《1000千伏架空输电线路勘测规范》GB 50741</w:t>
      </w:r>
      <w:r>
        <w:rPr>
          <w:rFonts w:hint="eastAsia" w:ascii="仿宋_GB2312" w:hAnsi="Times New Roman" w:eastAsia="仿宋_GB2312" w:cs="宋体"/>
          <w:sz w:val="24"/>
          <w:szCs w:val="24"/>
          <w:highlight w:val="none"/>
        </w:rPr>
        <w:tab/>
      </w:r>
    </w:p>
    <w:p w14:paraId="5C96A548">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highlight w:val="none"/>
        </w:rPr>
      </w:pPr>
      <w:r>
        <w:rPr>
          <w:rFonts w:hint="eastAsia" w:ascii="仿宋_GB2312" w:hAnsi="Times New Roman" w:eastAsia="仿宋_GB2312" w:cs="宋体"/>
          <w:sz w:val="24"/>
          <w:szCs w:val="24"/>
          <w:highlight w:val="none"/>
        </w:rPr>
        <w:t>《工程勘察通用规范》GB 55017</w:t>
      </w:r>
      <w:r>
        <w:rPr>
          <w:rFonts w:hint="eastAsia" w:ascii="仿宋_GB2312" w:hAnsi="Times New Roman" w:eastAsia="仿宋_GB2312" w:cs="宋体"/>
          <w:sz w:val="24"/>
          <w:szCs w:val="24"/>
          <w:highlight w:val="none"/>
        </w:rPr>
        <w:tab/>
      </w:r>
    </w:p>
    <w:p w14:paraId="285ECE69">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highlight w:val="none"/>
        </w:rPr>
      </w:pPr>
      <w:r>
        <w:rPr>
          <w:rFonts w:hint="eastAsia" w:ascii="仿宋_GB2312" w:hAnsi="Times New Roman" w:eastAsia="仿宋_GB2312" w:cs="宋体"/>
          <w:sz w:val="24"/>
          <w:szCs w:val="24"/>
          <w:highlight w:val="none"/>
        </w:rPr>
        <w:t>《电子文件归档与电子档案管理规范》GB/T 18894</w:t>
      </w:r>
      <w:r>
        <w:rPr>
          <w:rFonts w:hint="eastAsia" w:ascii="仿宋_GB2312" w:hAnsi="Times New Roman" w:eastAsia="仿宋_GB2312" w:cs="宋体"/>
          <w:sz w:val="24"/>
          <w:szCs w:val="24"/>
          <w:highlight w:val="none"/>
        </w:rPr>
        <w:tab/>
      </w:r>
    </w:p>
    <w:p w14:paraId="0513086C">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highlight w:val="none"/>
        </w:rPr>
      </w:pPr>
      <w:r>
        <w:rPr>
          <w:rFonts w:hint="eastAsia" w:ascii="仿宋_GB2312" w:hAnsi="Times New Roman" w:eastAsia="仿宋_GB2312" w:cs="宋体"/>
          <w:sz w:val="24"/>
          <w:szCs w:val="24"/>
          <w:highlight w:val="none"/>
        </w:rPr>
        <w:t>《项目管理术语》GB/T 23691</w:t>
      </w:r>
      <w:r>
        <w:rPr>
          <w:rFonts w:hint="eastAsia" w:ascii="仿宋_GB2312" w:hAnsi="Times New Roman" w:eastAsia="仿宋_GB2312" w:cs="宋体"/>
          <w:sz w:val="24"/>
          <w:szCs w:val="24"/>
          <w:highlight w:val="none"/>
          <w:lang w:eastAsia="zh-CN"/>
        </w:rPr>
        <w:t>；</w:t>
      </w:r>
    </w:p>
    <w:p w14:paraId="01DDFC90">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《建设工程监理规范》GB/T 50319</w:t>
      </w:r>
    </w:p>
    <w:p w14:paraId="10C501DB">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《330千伏～750千伏架空输电线路勘测标准》GB/T 50548</w:t>
      </w:r>
    </w:p>
    <w:p w14:paraId="05C18129">
      <w:pPr>
        <w:pStyle w:val="12"/>
        <w:numPr>
          <w:ilvl w:val="0"/>
          <w:numId w:val="2"/>
        </w:numPr>
        <w:autoSpaceDE w:val="0"/>
        <w:autoSpaceDN w:val="0"/>
        <w:adjustRightInd w:val="0"/>
        <w:spacing w:line="360" w:lineRule="auto"/>
        <w:ind w:left="0" w:firstLine="442" w:firstLineChars="0"/>
        <w:rPr>
          <w:rFonts w:ascii="仿宋_GB2312" w:hAnsi="Times New Roman" w:eastAsia="仿宋_GB2312" w:cs="宋体"/>
          <w:sz w:val="24"/>
          <w:szCs w:val="24"/>
        </w:rPr>
      </w:pPr>
      <w:r>
        <w:rPr>
          <w:rFonts w:hint="eastAsia" w:ascii="仿宋_GB2312" w:hAnsi="Times New Roman" w:eastAsia="仿宋_GB2312" w:cs="宋体"/>
          <w:sz w:val="24"/>
          <w:szCs w:val="24"/>
        </w:rPr>
        <w:t>《工程咨询基本术语》GB/Z 40846</w:t>
      </w:r>
    </w:p>
    <w:p w14:paraId="3F0352B5">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《电网建设项目文件归档与档案整理规范》DL/T 1363</w:t>
      </w:r>
      <w:r>
        <w:rPr>
          <w:rFonts w:hint="eastAsia" w:ascii="仿宋_GB2312" w:hAnsi="Times New Roman" w:eastAsia="仿宋_GB2312" w:cs="宋体"/>
          <w:sz w:val="24"/>
          <w:szCs w:val="24"/>
        </w:rPr>
        <w:tab/>
      </w:r>
    </w:p>
    <w:p w14:paraId="3E41A36D">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《220千伏及以下架空送电线路勘测技术规程》DL/T 5076</w:t>
      </w:r>
      <w:r>
        <w:rPr>
          <w:rFonts w:hint="eastAsia" w:ascii="仿宋_GB2312" w:hAnsi="Times New Roman" w:eastAsia="仿宋_GB2312" w:cs="宋体"/>
          <w:sz w:val="24"/>
          <w:szCs w:val="24"/>
        </w:rPr>
        <w:tab/>
      </w:r>
    </w:p>
    <w:p w14:paraId="7E7C01D6">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《500千伏架空送电线路勘测技术规程》DL/T 5122</w:t>
      </w:r>
    </w:p>
    <w:p w14:paraId="025B9F4D">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《变电站岩土工程勘测技术规程》DL/T 5170</w:t>
      </w:r>
      <w:r>
        <w:rPr>
          <w:rFonts w:hint="eastAsia" w:ascii="仿宋_GB2312" w:hAnsi="Times New Roman" w:eastAsia="仿宋_GB2312" w:cs="宋体"/>
          <w:sz w:val="24"/>
          <w:szCs w:val="24"/>
        </w:rPr>
        <w:tab/>
      </w:r>
    </w:p>
    <w:p w14:paraId="396978DF">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《电力工程竣工图文件编制规定》DL/T 5229</w:t>
      </w:r>
      <w:r>
        <w:rPr>
          <w:rFonts w:hint="eastAsia" w:ascii="仿宋_GB2312" w:hAnsi="Times New Roman" w:eastAsia="仿宋_GB2312" w:cs="宋体"/>
          <w:sz w:val="24"/>
          <w:szCs w:val="24"/>
        </w:rPr>
        <w:tab/>
      </w:r>
    </w:p>
    <w:p w14:paraId="398A597F">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《电力建设工程监理规范》DL/T 5434</w:t>
      </w:r>
      <w:r>
        <w:rPr>
          <w:rFonts w:hint="eastAsia" w:ascii="仿宋_GB2312" w:hAnsi="Times New Roman" w:eastAsia="仿宋_GB2312" w:cs="宋体"/>
          <w:sz w:val="24"/>
          <w:szCs w:val="24"/>
        </w:rPr>
        <w:tab/>
      </w:r>
    </w:p>
    <w:p w14:paraId="6299A2FD">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《电力工程电缆勘测技术规程》DL/T 5570</w:t>
      </w:r>
    </w:p>
    <w:p w14:paraId="419D3994">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《电力建设工程工程量清单计价规范》DL/T 5745</w:t>
      </w:r>
      <w:r>
        <w:rPr>
          <w:rFonts w:hint="eastAsia" w:ascii="仿宋_GB2312" w:hAnsi="Times New Roman" w:eastAsia="仿宋_GB2312" w:cs="宋体"/>
          <w:sz w:val="24"/>
          <w:szCs w:val="24"/>
        </w:rPr>
        <w:tab/>
      </w:r>
    </w:p>
    <w:p w14:paraId="61559F6B">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《输变电工程工程量清单计价规范》Q/GDW11337</w:t>
      </w:r>
    </w:p>
    <w:p w14:paraId="0E300880">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变电站工程工程量计算规范》Q/GDW11338</w:t>
      </w:r>
      <w:r>
        <w:rPr>
          <w:rFonts w:hint="eastAsia" w:ascii="仿宋_GB2312" w:hAnsi="Times New Roman" w:eastAsia="仿宋_GB2312" w:cs="宋体"/>
          <w:sz w:val="24"/>
          <w:szCs w:val="24"/>
        </w:rPr>
        <w:tab/>
      </w:r>
    </w:p>
    <w:p w14:paraId="452A9F25">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《输电线路工程工程量计算规范》Q/GDW11339</w:t>
      </w:r>
      <w:r>
        <w:rPr>
          <w:rFonts w:hint="eastAsia" w:ascii="仿宋_GB2312" w:hAnsi="Times New Roman" w:eastAsia="仿宋_GB2312" w:cs="宋体"/>
          <w:sz w:val="24"/>
          <w:szCs w:val="24"/>
        </w:rPr>
        <w:tab/>
      </w:r>
    </w:p>
    <w:p w14:paraId="5A66D71C">
      <w:pPr>
        <w:pStyle w:val="12"/>
        <w:numPr>
          <w:ilvl w:val="0"/>
          <w:numId w:val="2"/>
        </w:numPr>
        <w:autoSpaceDE w:val="0"/>
        <w:autoSpaceDN w:val="0"/>
        <w:adjustRightInd w:val="0"/>
        <w:spacing w:line="360" w:lineRule="auto"/>
        <w:ind w:left="0" w:firstLine="442" w:firstLineChars="0"/>
        <w:rPr>
          <w:rFonts w:hint="eastAsia" w:ascii="仿宋_GB2312" w:hAnsi="Times New Roman" w:eastAsia="仿宋_GB2312" w:cs="宋体"/>
          <w:sz w:val="24"/>
          <w:szCs w:val="24"/>
        </w:rPr>
      </w:pPr>
      <w:r>
        <w:rPr>
          <w:rFonts w:hint="eastAsia" w:ascii="仿宋_GB2312" w:hAnsi="Times New Roman" w:eastAsia="仿宋_GB2312" w:cs="宋体"/>
          <w:sz w:val="24"/>
          <w:szCs w:val="24"/>
        </w:rPr>
        <w:t>《输变电工程建设施工安全风险规程》Q/GDW 12152</w:t>
      </w:r>
      <w:r>
        <w:rPr>
          <w:rFonts w:hint="eastAsia" w:ascii="仿宋_GB2312" w:hAnsi="Times New Roman" w:eastAsia="仿宋_GB2312" w:cs="宋体"/>
          <w:sz w:val="24"/>
          <w:szCs w:val="24"/>
        </w:rPr>
        <w:tab/>
      </w:r>
    </w:p>
    <w:p w14:paraId="23056AAE">
      <w:pPr>
        <w:autoSpaceDE w:val="0"/>
        <w:autoSpaceDN w:val="0"/>
        <w:adjustRightInd w:val="0"/>
        <w:spacing w:line="360" w:lineRule="auto"/>
        <w:ind w:firstLine="420"/>
        <w:outlineLvl w:val="1"/>
        <w:rPr>
          <w:rFonts w:ascii="方正楷体_GBK" w:hAnsi="楷体_GB2312" w:eastAsia="方正楷体_GBK" w:cs="宋体"/>
          <w:b/>
          <w:bCs/>
          <w:sz w:val="24"/>
          <w:szCs w:val="24"/>
        </w:rPr>
      </w:pPr>
      <w:bookmarkStart w:id="10" w:name="_Toc179902675"/>
      <w:r>
        <w:rPr>
          <w:rFonts w:hint="eastAsia" w:ascii="方正楷体_GBK" w:hAnsi="楷体_GB2312" w:eastAsia="方正楷体_GBK" w:cs="宋体"/>
          <w:b/>
          <w:bCs/>
          <w:sz w:val="24"/>
          <w:szCs w:val="24"/>
        </w:rPr>
        <w:t>2.3 主要内容</w:t>
      </w:r>
      <w:bookmarkEnd w:id="10"/>
    </w:p>
    <w:p w14:paraId="38A38620">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本标准《电网工程 设计监理导则》共</w:t>
      </w:r>
      <w:r>
        <w:rPr>
          <w:rFonts w:hint="eastAsia" w:ascii="仿宋_GB2312" w:hAnsi="Times New Roman" w:eastAsia="仿宋_GB2312" w:cs="宋体"/>
          <w:sz w:val="24"/>
          <w:szCs w:val="24"/>
          <w:lang w:val="en-US" w:eastAsia="zh-CN"/>
        </w:rPr>
        <w:t>9</w:t>
      </w:r>
      <w:r>
        <w:rPr>
          <w:rFonts w:hint="eastAsia" w:ascii="仿宋_GB2312" w:hAnsi="Times New Roman" w:eastAsia="仿宋_GB2312" w:cs="宋体"/>
          <w:sz w:val="24"/>
          <w:szCs w:val="24"/>
        </w:rPr>
        <w:t>章和1个附录，主</w:t>
      </w:r>
      <w:r>
        <w:rPr>
          <w:rFonts w:ascii="仿宋_GB2312" w:hAnsi="Times New Roman" w:eastAsia="仿宋_GB2312" w:cs="宋体"/>
          <w:sz w:val="24"/>
          <w:szCs w:val="24"/>
        </w:rPr>
        <w:t>要内容包括：</w:t>
      </w:r>
      <w:r>
        <w:rPr>
          <w:rFonts w:hint="eastAsia" w:ascii="仿宋_GB2312" w:hAnsi="Times New Roman" w:eastAsia="仿宋_GB2312" w:cs="宋体"/>
          <w:sz w:val="24"/>
          <w:szCs w:val="24"/>
        </w:rPr>
        <w:t>范围；规范性引用文件；术语和定义；</w:t>
      </w:r>
      <w:r>
        <w:rPr>
          <w:rFonts w:hint="eastAsia" w:ascii="仿宋_GB2312" w:hAnsi="Times New Roman" w:eastAsia="仿宋_GB2312" w:cs="宋体"/>
          <w:sz w:val="24"/>
          <w:szCs w:val="24"/>
          <w:lang w:val="en-US" w:eastAsia="zh-CN"/>
        </w:rPr>
        <w:t>基本规定</w:t>
      </w:r>
      <w:r>
        <w:rPr>
          <w:rFonts w:hint="eastAsia" w:ascii="仿宋_GB2312" w:hAnsi="Times New Roman" w:eastAsia="仿宋_GB2312" w:cs="宋体"/>
          <w:sz w:val="24"/>
          <w:szCs w:val="24"/>
        </w:rPr>
        <w:t>；项目设计监理机构及职责；</w:t>
      </w:r>
      <w:r>
        <w:rPr>
          <w:rFonts w:hint="eastAsia" w:ascii="仿宋_GB2312" w:hAnsi="Times New Roman" w:eastAsia="仿宋_GB2312" w:cs="宋体"/>
          <w:sz w:val="24"/>
          <w:szCs w:val="24"/>
          <w:lang w:val="en-US" w:eastAsia="zh-CN"/>
        </w:rPr>
        <w:t>工</w:t>
      </w:r>
      <w:r>
        <w:rPr>
          <w:rFonts w:hint="eastAsia" w:ascii="仿宋_GB2312" w:hAnsi="Times New Roman" w:eastAsia="仿宋_GB2312" w:cs="宋体"/>
          <w:sz w:val="24"/>
          <w:szCs w:val="24"/>
        </w:rPr>
        <w:t>程设计质量控制；</w:t>
      </w:r>
      <w:r>
        <w:rPr>
          <w:rFonts w:hint="eastAsia" w:ascii="仿宋_GB2312" w:hAnsi="Times New Roman" w:eastAsia="仿宋_GB2312" w:cs="宋体"/>
          <w:sz w:val="24"/>
          <w:szCs w:val="24"/>
          <w:lang w:val="en-US" w:eastAsia="zh-CN"/>
        </w:rPr>
        <w:t>工</w:t>
      </w:r>
      <w:r>
        <w:rPr>
          <w:rFonts w:hint="eastAsia" w:ascii="仿宋_GB2312" w:hAnsi="Times New Roman" w:eastAsia="仿宋_GB2312" w:cs="宋体"/>
          <w:sz w:val="24"/>
          <w:szCs w:val="24"/>
        </w:rPr>
        <w:t>程设计</w:t>
      </w:r>
      <w:r>
        <w:rPr>
          <w:rFonts w:hint="eastAsia" w:ascii="仿宋_GB2312" w:hAnsi="Times New Roman" w:eastAsia="仿宋_GB2312" w:cs="宋体"/>
          <w:sz w:val="24"/>
          <w:szCs w:val="24"/>
          <w:lang w:val="en-US" w:eastAsia="zh-CN"/>
        </w:rPr>
        <w:t>进度</w:t>
      </w:r>
      <w:r>
        <w:rPr>
          <w:rFonts w:hint="eastAsia" w:ascii="仿宋_GB2312" w:hAnsi="Times New Roman" w:eastAsia="仿宋_GB2312" w:cs="宋体"/>
          <w:sz w:val="24"/>
          <w:szCs w:val="24"/>
        </w:rPr>
        <w:t>控制；</w:t>
      </w:r>
      <w:r>
        <w:rPr>
          <w:rFonts w:hint="eastAsia" w:ascii="仿宋_GB2312" w:hAnsi="Times New Roman" w:eastAsia="仿宋_GB2312" w:cs="宋体"/>
          <w:sz w:val="24"/>
          <w:szCs w:val="24"/>
          <w:lang w:val="en-US" w:eastAsia="zh-CN"/>
        </w:rPr>
        <w:t>工</w:t>
      </w:r>
      <w:r>
        <w:rPr>
          <w:rFonts w:hint="eastAsia" w:ascii="仿宋_GB2312" w:hAnsi="Times New Roman" w:eastAsia="仿宋_GB2312" w:cs="宋体"/>
          <w:sz w:val="24"/>
          <w:szCs w:val="24"/>
        </w:rPr>
        <w:t>程设计</w:t>
      </w:r>
      <w:r>
        <w:rPr>
          <w:rFonts w:hint="eastAsia" w:ascii="仿宋_GB2312" w:hAnsi="Times New Roman" w:eastAsia="仿宋_GB2312" w:cs="宋体"/>
          <w:sz w:val="24"/>
          <w:szCs w:val="24"/>
          <w:lang w:val="en-US" w:eastAsia="zh-CN"/>
        </w:rPr>
        <w:t>造价</w:t>
      </w:r>
      <w:r>
        <w:rPr>
          <w:rFonts w:hint="eastAsia" w:ascii="仿宋_GB2312" w:hAnsi="Times New Roman" w:eastAsia="仿宋_GB2312" w:cs="宋体"/>
          <w:sz w:val="24"/>
          <w:szCs w:val="24"/>
        </w:rPr>
        <w:t>控制；设计监理文件资料管理等。</w:t>
      </w:r>
    </w:p>
    <w:p w14:paraId="69A83C87">
      <w:pPr>
        <w:pStyle w:val="12"/>
        <w:numPr>
          <w:ilvl w:val="0"/>
          <w:numId w:val="1"/>
        </w:numPr>
        <w:tabs>
          <w:tab w:val="left" w:pos="840"/>
        </w:tabs>
        <w:adjustRightInd w:val="0"/>
        <w:spacing w:line="360" w:lineRule="auto"/>
        <w:ind w:firstLineChars="0"/>
        <w:outlineLvl w:val="0"/>
        <w:rPr>
          <w:rFonts w:ascii="黑体" w:hAnsi="黑体" w:eastAsia="黑体"/>
          <w:b/>
          <w:sz w:val="28"/>
          <w:szCs w:val="28"/>
        </w:rPr>
      </w:pPr>
      <w:bookmarkStart w:id="11" w:name="_Toc179902676"/>
      <w:r>
        <w:rPr>
          <w:rFonts w:hint="eastAsia" w:ascii="黑体" w:hAnsi="黑体" w:eastAsia="黑体"/>
          <w:b/>
          <w:sz w:val="28"/>
          <w:szCs w:val="28"/>
        </w:rPr>
        <w:t>预期达到的效果</w:t>
      </w:r>
      <w:bookmarkEnd w:id="11"/>
    </w:p>
    <w:p w14:paraId="1DE70F8E">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本标准发布实施后，</w:t>
      </w:r>
      <w:r>
        <w:rPr>
          <w:rFonts w:hint="eastAsia" w:ascii="仿宋_GB2312" w:hAnsi="Times New Roman" w:eastAsia="仿宋_GB2312" w:cs="宋体"/>
          <w:sz w:val="24"/>
          <w:szCs w:val="24"/>
          <w:lang w:val="en-US" w:eastAsia="zh-CN"/>
        </w:rPr>
        <w:t>将</w:t>
      </w:r>
      <w:r>
        <w:rPr>
          <w:rFonts w:hint="eastAsia" w:ascii="仿宋_GB2312" w:hAnsi="Times New Roman" w:eastAsia="仿宋_GB2312" w:cs="宋体"/>
          <w:sz w:val="24"/>
          <w:szCs w:val="24"/>
        </w:rPr>
        <w:t>明晰设计监理与</w:t>
      </w:r>
      <w:r>
        <w:rPr>
          <w:rFonts w:hint="eastAsia" w:ascii="仿宋_GB2312" w:hAnsi="Times New Roman" w:eastAsia="仿宋_GB2312" w:cs="宋体"/>
          <w:sz w:val="24"/>
          <w:szCs w:val="24"/>
          <w:lang w:val="en-US" w:eastAsia="zh-CN"/>
        </w:rPr>
        <w:t>施工</w:t>
      </w:r>
      <w:r>
        <w:rPr>
          <w:rFonts w:hint="eastAsia" w:ascii="仿宋_GB2312" w:hAnsi="Times New Roman" w:eastAsia="仿宋_GB2312" w:cs="宋体"/>
          <w:sz w:val="24"/>
          <w:szCs w:val="24"/>
        </w:rPr>
        <w:t>监理工作界面，固化设计监理工作</w:t>
      </w:r>
      <w:r>
        <w:rPr>
          <w:rFonts w:hint="eastAsia" w:ascii="仿宋_GB2312" w:hAnsi="Times New Roman" w:eastAsia="仿宋_GB2312" w:cs="宋体"/>
          <w:sz w:val="24"/>
          <w:szCs w:val="24"/>
          <w:lang w:val="en-US" w:eastAsia="zh-CN"/>
        </w:rPr>
        <w:t>职责</w:t>
      </w:r>
      <w:r>
        <w:rPr>
          <w:rFonts w:hint="eastAsia" w:ascii="仿宋_GB2312" w:hAnsi="Times New Roman" w:eastAsia="仿宋_GB2312" w:cs="宋体"/>
          <w:sz w:val="24"/>
          <w:szCs w:val="24"/>
        </w:rPr>
        <w:t>、工作内容、</w:t>
      </w:r>
      <w:r>
        <w:rPr>
          <w:rFonts w:hint="eastAsia" w:ascii="仿宋_GB2312" w:hAnsi="Times New Roman" w:eastAsia="仿宋_GB2312" w:cs="宋体"/>
          <w:sz w:val="24"/>
          <w:szCs w:val="24"/>
          <w:lang w:val="en-US" w:eastAsia="zh-CN"/>
        </w:rPr>
        <w:t>资料管理</w:t>
      </w:r>
      <w:r>
        <w:rPr>
          <w:rFonts w:hint="eastAsia" w:ascii="仿宋_GB2312" w:hAnsi="Times New Roman" w:eastAsia="仿宋_GB2312" w:cs="宋体"/>
          <w:sz w:val="24"/>
          <w:szCs w:val="24"/>
        </w:rPr>
        <w:t>等。</w:t>
      </w:r>
    </w:p>
    <w:p w14:paraId="6C9B43C3">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本标准将旨在突出电网工程特点，规范电网工程设计监理</w:t>
      </w:r>
      <w:r>
        <w:rPr>
          <w:rFonts w:hint="eastAsia" w:ascii="仿宋_GB2312" w:hAnsi="Times New Roman" w:eastAsia="仿宋_GB2312" w:cs="宋体"/>
          <w:sz w:val="24"/>
          <w:szCs w:val="24"/>
          <w:lang w:val="en-US" w:eastAsia="zh-CN"/>
        </w:rPr>
        <w:t>工作</w:t>
      </w:r>
      <w:r>
        <w:rPr>
          <w:rFonts w:hint="eastAsia" w:ascii="仿宋_GB2312" w:hAnsi="Times New Roman" w:eastAsia="仿宋_GB2312" w:cs="宋体"/>
          <w:sz w:val="24"/>
          <w:szCs w:val="24"/>
        </w:rPr>
        <w:t>。本</w:t>
      </w:r>
      <w:r>
        <w:rPr>
          <w:rFonts w:hint="eastAsia" w:ascii="仿宋_GB2312" w:hAnsi="Times New Roman" w:eastAsia="仿宋_GB2312" w:cs="宋体"/>
          <w:sz w:val="24"/>
          <w:szCs w:val="24"/>
          <w:lang w:val="en-US" w:eastAsia="zh-CN"/>
        </w:rPr>
        <w:t>标准</w:t>
      </w:r>
      <w:r>
        <w:rPr>
          <w:rFonts w:hint="eastAsia" w:ascii="仿宋_GB2312" w:hAnsi="Times New Roman" w:eastAsia="仿宋_GB2312" w:cs="宋体"/>
          <w:sz w:val="24"/>
          <w:szCs w:val="24"/>
        </w:rPr>
        <w:t>对于提高电网工程设计监理</w:t>
      </w:r>
      <w:r>
        <w:rPr>
          <w:rFonts w:hint="eastAsia" w:ascii="仿宋_GB2312" w:hAnsi="Times New Roman" w:eastAsia="仿宋_GB2312" w:cs="宋体"/>
          <w:sz w:val="24"/>
          <w:szCs w:val="24"/>
          <w:lang w:val="en-US" w:eastAsia="zh-CN"/>
        </w:rPr>
        <w:t>工作</w:t>
      </w:r>
      <w:r>
        <w:rPr>
          <w:rFonts w:hint="eastAsia" w:ascii="仿宋_GB2312" w:hAnsi="Times New Roman" w:eastAsia="仿宋_GB2312" w:cs="宋体"/>
          <w:sz w:val="24"/>
          <w:szCs w:val="24"/>
        </w:rPr>
        <w:t>能力和水平，发挥技术和管理优势，提升设计监理</w:t>
      </w:r>
      <w:r>
        <w:rPr>
          <w:rFonts w:hint="eastAsia" w:ascii="仿宋_GB2312" w:hAnsi="Times New Roman" w:eastAsia="仿宋_GB2312" w:cs="宋体"/>
          <w:sz w:val="24"/>
          <w:szCs w:val="24"/>
          <w:lang w:val="en-US" w:eastAsia="zh-CN"/>
        </w:rPr>
        <w:t>工作管理的</w:t>
      </w:r>
      <w:r>
        <w:rPr>
          <w:rFonts w:hint="eastAsia" w:ascii="仿宋_GB2312" w:hAnsi="Times New Roman" w:eastAsia="仿宋_GB2312" w:cs="宋体"/>
          <w:sz w:val="24"/>
          <w:szCs w:val="24"/>
        </w:rPr>
        <w:t>质量具有指导作用。</w:t>
      </w:r>
    </w:p>
    <w:p w14:paraId="507B6C90">
      <w:pPr>
        <w:pStyle w:val="12"/>
        <w:numPr>
          <w:ilvl w:val="0"/>
          <w:numId w:val="1"/>
        </w:numPr>
        <w:tabs>
          <w:tab w:val="left" w:pos="840"/>
        </w:tabs>
        <w:adjustRightInd w:val="0"/>
        <w:spacing w:line="360" w:lineRule="auto"/>
        <w:ind w:firstLineChars="0"/>
        <w:outlineLvl w:val="0"/>
        <w:rPr>
          <w:rFonts w:ascii="黑体" w:hAnsi="黑体" w:eastAsia="黑体"/>
          <w:b/>
          <w:sz w:val="28"/>
          <w:szCs w:val="28"/>
        </w:rPr>
      </w:pPr>
      <w:bookmarkStart w:id="12" w:name="_Toc179902677"/>
      <w:r>
        <w:rPr>
          <w:rFonts w:hint="eastAsia" w:ascii="黑体" w:hAnsi="黑体" w:eastAsia="黑体"/>
          <w:b/>
          <w:sz w:val="28"/>
          <w:szCs w:val="28"/>
        </w:rPr>
        <w:t>与同类标准对比情况</w:t>
      </w:r>
      <w:bookmarkEnd w:id="12"/>
    </w:p>
    <w:p w14:paraId="153FC844">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目前国内相关标准主要有《建设工程监理规范》(GB/T 50319-2013)、《电力工程建设监理规范》(DL/T5434-2021)。</w:t>
      </w:r>
    </w:p>
    <w:p w14:paraId="011A6A06">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《建设工程监理规范》(GB/T 50319-2013)适用于所有建设工程</w:t>
      </w:r>
      <w:r>
        <w:rPr>
          <w:rFonts w:hint="eastAsia" w:ascii="仿宋_GB2312" w:hAnsi="Times New Roman" w:eastAsia="仿宋_GB2312" w:cs="宋体"/>
          <w:sz w:val="24"/>
          <w:szCs w:val="24"/>
          <w:lang w:eastAsia="zh-CN"/>
        </w:rPr>
        <w:t>，</w:t>
      </w:r>
      <w:r>
        <w:rPr>
          <w:rFonts w:hint="eastAsia" w:ascii="仿宋_GB2312" w:hAnsi="Times New Roman" w:eastAsia="仿宋_GB2312" w:cs="宋体"/>
          <w:sz w:val="24"/>
          <w:szCs w:val="24"/>
        </w:rPr>
        <w:t>提到了工程勘察设计阶段服务，但是内容较简单，仅罗列了勘察点位核査、审查设计成果、概算等内容，并未将设计阶段的工作内容细分为</w:t>
      </w:r>
      <w:r>
        <w:rPr>
          <w:rFonts w:hint="eastAsia" w:ascii="仿宋_GB2312" w:hAnsi="Times New Roman" w:eastAsia="仿宋_GB2312" w:cs="宋体"/>
          <w:sz w:val="24"/>
          <w:szCs w:val="24"/>
          <w:lang w:val="en-US" w:eastAsia="zh-CN"/>
        </w:rPr>
        <w:t>勘察阶段、设计阶段</w:t>
      </w:r>
      <w:r>
        <w:rPr>
          <w:rFonts w:hint="eastAsia" w:ascii="仿宋_GB2312" w:hAnsi="Times New Roman" w:eastAsia="仿宋_GB2312" w:cs="宋体"/>
          <w:sz w:val="24"/>
          <w:szCs w:val="24"/>
        </w:rPr>
        <w:t>、施工阶段的工作。</w:t>
      </w:r>
    </w:p>
    <w:p w14:paraId="45D50F75">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《电力工程建设监理规范》(DL/T5434-2021)中提到了工程勘察咨询服务、工程设计咨询服务，两部分工作内容均从可研开始，与基建工程工作流程不一致，监理单位在可研批复下达后方可招标确定，无法适用。</w:t>
      </w:r>
    </w:p>
    <w:p w14:paraId="6F074FD2">
      <w:pPr>
        <w:pStyle w:val="12"/>
        <w:numPr>
          <w:ilvl w:val="0"/>
          <w:numId w:val="1"/>
        </w:numPr>
        <w:tabs>
          <w:tab w:val="left" w:pos="840"/>
        </w:tabs>
        <w:adjustRightInd w:val="0"/>
        <w:spacing w:line="360" w:lineRule="auto"/>
        <w:ind w:firstLineChars="0"/>
        <w:outlineLvl w:val="0"/>
        <w:rPr>
          <w:rFonts w:ascii="黑体" w:hAnsi="黑体" w:eastAsia="黑体"/>
          <w:b/>
          <w:sz w:val="28"/>
          <w:szCs w:val="28"/>
        </w:rPr>
      </w:pPr>
      <w:bookmarkStart w:id="13" w:name="_Toc179902678"/>
      <w:r>
        <w:rPr>
          <w:rFonts w:hint="eastAsia" w:ascii="黑体" w:hAnsi="黑体" w:eastAsia="黑体"/>
          <w:b/>
          <w:sz w:val="28"/>
          <w:szCs w:val="28"/>
        </w:rPr>
        <w:t>与现行法律、法规、政策及相关标准的协调性</w:t>
      </w:r>
      <w:bookmarkEnd w:id="13"/>
    </w:p>
    <w:p w14:paraId="350F368E">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本标准编制过程中结合</w:t>
      </w:r>
      <w:r>
        <w:rPr>
          <w:rFonts w:hint="eastAsia" w:ascii="仿宋_GB2312" w:hAnsi="Times New Roman" w:eastAsia="仿宋_GB2312" w:cs="宋体"/>
          <w:sz w:val="24"/>
          <w:szCs w:val="24"/>
          <w:lang w:eastAsia="zh-CN"/>
        </w:rPr>
        <w:t>了</w:t>
      </w:r>
      <w:r>
        <w:rPr>
          <w:rFonts w:hint="eastAsia" w:ascii="仿宋_GB2312" w:hAnsi="Times New Roman" w:eastAsia="仿宋_GB2312" w:cs="宋体"/>
          <w:sz w:val="24"/>
          <w:szCs w:val="24"/>
        </w:rPr>
        <w:t>国内</w:t>
      </w:r>
      <w:r>
        <w:rPr>
          <w:rFonts w:hint="eastAsia" w:ascii="仿宋_GB2312" w:hAnsi="Times New Roman" w:eastAsia="仿宋_GB2312" w:cs="宋体"/>
          <w:sz w:val="24"/>
          <w:szCs w:val="24"/>
          <w:lang w:val="en-US" w:eastAsia="zh-CN"/>
        </w:rPr>
        <w:t>电网</w:t>
      </w:r>
      <w:r>
        <w:rPr>
          <w:rFonts w:hint="eastAsia" w:ascii="仿宋_GB2312" w:hAnsi="Times New Roman" w:eastAsia="仿宋_GB2312" w:cs="宋体"/>
          <w:sz w:val="24"/>
          <w:szCs w:val="24"/>
        </w:rPr>
        <w:t>工程</w:t>
      </w:r>
      <w:r>
        <w:rPr>
          <w:rFonts w:hint="eastAsia" w:ascii="仿宋_GB2312" w:hAnsi="Times New Roman" w:eastAsia="仿宋_GB2312" w:cs="宋体"/>
          <w:sz w:val="24"/>
          <w:szCs w:val="24"/>
          <w:lang w:val="en-US" w:eastAsia="zh-CN"/>
        </w:rPr>
        <w:t>设计监理</w:t>
      </w:r>
      <w:r>
        <w:rPr>
          <w:rFonts w:hint="eastAsia" w:ascii="仿宋_GB2312" w:hAnsi="Times New Roman" w:eastAsia="仿宋_GB2312" w:cs="宋体"/>
          <w:sz w:val="24"/>
          <w:szCs w:val="24"/>
        </w:rPr>
        <w:t>发展需求等内容，充分考虑了与国家现行有效法律法规之间的协调，所有技术条款均严格遵守国家法律法规和政策的要求。</w:t>
      </w:r>
    </w:p>
    <w:p w14:paraId="62702632">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执行过程中，除执行本标准的要求外，必须遵守国家现行法律、法规、政策及有关标准的规定。</w:t>
      </w:r>
    </w:p>
    <w:p w14:paraId="30A11DC7">
      <w:pPr>
        <w:pStyle w:val="12"/>
        <w:numPr>
          <w:ilvl w:val="0"/>
          <w:numId w:val="1"/>
        </w:numPr>
        <w:tabs>
          <w:tab w:val="left" w:pos="840"/>
        </w:tabs>
        <w:adjustRightInd w:val="0"/>
        <w:spacing w:line="360" w:lineRule="auto"/>
        <w:ind w:firstLineChars="0"/>
        <w:outlineLvl w:val="0"/>
        <w:rPr>
          <w:rFonts w:ascii="黑体" w:hAnsi="黑体" w:eastAsia="黑体"/>
          <w:b/>
          <w:sz w:val="28"/>
          <w:szCs w:val="28"/>
        </w:rPr>
      </w:pPr>
      <w:bookmarkStart w:id="14" w:name="_Toc179902679"/>
      <w:r>
        <w:rPr>
          <w:rFonts w:hint="eastAsia" w:ascii="黑体" w:hAnsi="黑体" w:eastAsia="黑体"/>
          <w:b/>
          <w:sz w:val="28"/>
          <w:szCs w:val="28"/>
        </w:rPr>
        <w:t>重大分歧意见处理情况</w:t>
      </w:r>
      <w:bookmarkEnd w:id="14"/>
    </w:p>
    <w:p w14:paraId="7AADD422">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本标准编制过程中，未出现重大分歧意见。</w:t>
      </w:r>
    </w:p>
    <w:p w14:paraId="5879D1F7">
      <w:pPr>
        <w:pStyle w:val="12"/>
        <w:numPr>
          <w:ilvl w:val="0"/>
          <w:numId w:val="1"/>
        </w:numPr>
        <w:tabs>
          <w:tab w:val="left" w:pos="840"/>
        </w:tabs>
        <w:adjustRightInd w:val="0"/>
        <w:spacing w:line="360" w:lineRule="auto"/>
        <w:ind w:firstLineChars="0"/>
        <w:outlineLvl w:val="0"/>
        <w:rPr>
          <w:rFonts w:ascii="黑体" w:hAnsi="黑体" w:eastAsia="黑体"/>
          <w:b/>
          <w:sz w:val="28"/>
          <w:szCs w:val="28"/>
        </w:rPr>
      </w:pPr>
      <w:bookmarkStart w:id="15" w:name="_Toc179902680"/>
      <w:r>
        <w:rPr>
          <w:rFonts w:hint="eastAsia" w:ascii="黑体" w:hAnsi="黑体" w:eastAsia="黑体"/>
          <w:b/>
          <w:sz w:val="28"/>
          <w:szCs w:val="28"/>
        </w:rPr>
        <w:t>标准涉及专利处置情况</w:t>
      </w:r>
      <w:bookmarkEnd w:id="15"/>
    </w:p>
    <w:p w14:paraId="64B9FAD6">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本标准不涉及专利处置情况。</w:t>
      </w:r>
    </w:p>
    <w:p w14:paraId="150F26A8">
      <w:pPr>
        <w:pStyle w:val="12"/>
        <w:numPr>
          <w:ilvl w:val="0"/>
          <w:numId w:val="1"/>
        </w:numPr>
        <w:tabs>
          <w:tab w:val="left" w:pos="840"/>
        </w:tabs>
        <w:adjustRightInd w:val="0"/>
        <w:spacing w:line="360" w:lineRule="auto"/>
        <w:ind w:firstLineChars="0"/>
        <w:outlineLvl w:val="0"/>
        <w:rPr>
          <w:rFonts w:ascii="黑体" w:hAnsi="黑体" w:eastAsia="黑体"/>
          <w:b/>
          <w:sz w:val="28"/>
          <w:szCs w:val="28"/>
        </w:rPr>
      </w:pPr>
      <w:bookmarkStart w:id="16" w:name="_Toc179902681"/>
      <w:r>
        <w:rPr>
          <w:rFonts w:hint="eastAsia" w:ascii="黑体" w:hAnsi="黑体" w:eastAsia="黑体"/>
          <w:b/>
          <w:sz w:val="28"/>
          <w:szCs w:val="28"/>
        </w:rPr>
        <w:t>贯彻规范的要求和措施建议</w:t>
      </w:r>
      <w:bookmarkEnd w:id="16"/>
    </w:p>
    <w:p w14:paraId="1E6620A5">
      <w:pPr>
        <w:autoSpaceDE w:val="0"/>
        <w:autoSpaceDN w:val="0"/>
        <w:adjustRightInd w:val="0"/>
        <w:spacing w:line="360" w:lineRule="auto"/>
        <w:ind w:firstLine="480" w:firstLineChars="200"/>
        <w:rPr>
          <w:rFonts w:hint="eastAsia" w:ascii="仿宋_GB2312" w:hAnsi="Times New Roman" w:eastAsia="仿宋_GB2312" w:cs="宋体"/>
          <w:sz w:val="24"/>
          <w:szCs w:val="24"/>
          <w:lang w:val="en-US" w:eastAsia="zh-CN"/>
        </w:rPr>
      </w:pPr>
      <w:r>
        <w:rPr>
          <w:rFonts w:hint="eastAsia" w:ascii="仿宋_GB2312" w:hAnsi="Times New Roman" w:eastAsia="仿宋_GB2312" w:cs="宋体"/>
          <w:sz w:val="24"/>
          <w:szCs w:val="24"/>
          <w:lang w:val="en-US" w:eastAsia="zh-CN"/>
        </w:rPr>
        <w:t>本标准适用于新建、扩建、改建的电网工程勘察、设计阶段的设计监理咨询服务。</w:t>
      </w:r>
    </w:p>
    <w:p w14:paraId="6D5C5DD4">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w:t>
      </w:r>
      <w:r>
        <w:rPr>
          <w:rFonts w:ascii="仿宋_GB2312" w:hAnsi="Times New Roman" w:eastAsia="仿宋_GB2312" w:cs="宋体"/>
          <w:sz w:val="24"/>
          <w:szCs w:val="24"/>
        </w:rPr>
        <w:t>的制定和应用</w:t>
      </w:r>
      <w:r>
        <w:rPr>
          <w:rFonts w:hint="eastAsia" w:ascii="仿宋_GB2312" w:hAnsi="Times New Roman" w:eastAsia="仿宋_GB2312" w:cs="宋体"/>
          <w:sz w:val="24"/>
          <w:szCs w:val="24"/>
        </w:rPr>
        <w:t>能够为</w:t>
      </w:r>
      <w:r>
        <w:rPr>
          <w:rFonts w:hint="eastAsia" w:ascii="仿宋_GB2312" w:hAnsi="Times New Roman" w:eastAsia="仿宋_GB2312" w:cs="宋体"/>
          <w:sz w:val="24"/>
          <w:szCs w:val="24"/>
          <w:lang w:val="en-US" w:eastAsia="zh-CN"/>
        </w:rPr>
        <w:t>设计监理</w:t>
      </w:r>
      <w:r>
        <w:rPr>
          <w:rFonts w:hint="eastAsia" w:ascii="仿宋_GB2312" w:hAnsi="Times New Roman" w:eastAsia="仿宋_GB2312" w:cs="宋体"/>
          <w:sz w:val="24"/>
          <w:szCs w:val="24"/>
        </w:rPr>
        <w:t>单位开展</w:t>
      </w:r>
      <w:r>
        <w:rPr>
          <w:rFonts w:hint="eastAsia" w:ascii="仿宋_GB2312" w:hAnsi="Times New Roman" w:eastAsia="仿宋_GB2312" w:cs="宋体"/>
          <w:sz w:val="24"/>
          <w:szCs w:val="24"/>
          <w:lang w:val="en-US" w:eastAsia="zh-CN"/>
        </w:rPr>
        <w:t>电网</w:t>
      </w:r>
      <w:r>
        <w:rPr>
          <w:rFonts w:hint="eastAsia" w:ascii="仿宋_GB2312" w:hAnsi="Times New Roman" w:eastAsia="仿宋_GB2312" w:cs="宋体"/>
          <w:sz w:val="24"/>
          <w:szCs w:val="24"/>
        </w:rPr>
        <w:t>工程</w:t>
      </w:r>
      <w:r>
        <w:rPr>
          <w:rFonts w:hint="eastAsia" w:ascii="仿宋_GB2312" w:hAnsi="Times New Roman" w:eastAsia="仿宋_GB2312" w:cs="宋体"/>
          <w:sz w:val="24"/>
          <w:szCs w:val="24"/>
          <w:lang w:val="en-US" w:eastAsia="zh-CN"/>
        </w:rPr>
        <w:t>勘察、设计阶段的设计监理咨询服务</w:t>
      </w:r>
      <w:r>
        <w:rPr>
          <w:rFonts w:hint="eastAsia" w:ascii="仿宋_GB2312" w:hAnsi="Times New Roman" w:eastAsia="仿宋_GB2312" w:cs="宋体"/>
          <w:sz w:val="24"/>
          <w:szCs w:val="24"/>
        </w:rPr>
        <w:t>提供工作指南，进一步提升</w:t>
      </w:r>
      <w:r>
        <w:rPr>
          <w:rFonts w:hint="eastAsia" w:ascii="仿宋_GB2312" w:hAnsi="Times New Roman" w:eastAsia="仿宋_GB2312" w:cs="宋体"/>
          <w:sz w:val="24"/>
          <w:szCs w:val="24"/>
          <w:lang w:val="en-US" w:eastAsia="zh-CN"/>
        </w:rPr>
        <w:t>电网</w:t>
      </w:r>
      <w:r>
        <w:rPr>
          <w:rFonts w:hint="eastAsia" w:ascii="仿宋_GB2312" w:hAnsi="Times New Roman" w:eastAsia="仿宋_GB2312" w:cs="宋体"/>
          <w:sz w:val="24"/>
          <w:szCs w:val="24"/>
        </w:rPr>
        <w:t>工程</w:t>
      </w:r>
      <w:r>
        <w:rPr>
          <w:rFonts w:hint="eastAsia" w:ascii="仿宋_GB2312" w:hAnsi="Times New Roman" w:eastAsia="仿宋_GB2312" w:cs="宋体"/>
          <w:sz w:val="24"/>
          <w:szCs w:val="24"/>
          <w:lang w:val="en-US" w:eastAsia="zh-CN"/>
        </w:rPr>
        <w:t>设计监理</w:t>
      </w:r>
      <w:r>
        <w:rPr>
          <w:rFonts w:hint="eastAsia" w:ascii="仿宋_GB2312" w:hAnsi="Times New Roman" w:eastAsia="仿宋_GB2312" w:cs="宋体"/>
          <w:sz w:val="24"/>
          <w:szCs w:val="24"/>
        </w:rPr>
        <w:t>咨询服务质量，建议能够</w:t>
      </w:r>
      <w:r>
        <w:rPr>
          <w:rFonts w:ascii="仿宋_GB2312" w:hAnsi="Times New Roman" w:eastAsia="仿宋_GB2312" w:cs="宋体"/>
          <w:sz w:val="24"/>
          <w:szCs w:val="24"/>
        </w:rPr>
        <w:t>尽快批准发布本标准</w:t>
      </w:r>
      <w:r>
        <w:rPr>
          <w:rFonts w:hint="eastAsia" w:ascii="仿宋_GB2312" w:hAnsi="Times New Roman" w:eastAsia="仿宋_GB2312" w:cs="宋体"/>
          <w:sz w:val="24"/>
          <w:szCs w:val="24"/>
        </w:rPr>
        <w:t>，并通过组织集中宣讲会等形式进一步贯彻标准要求。</w:t>
      </w:r>
    </w:p>
    <w:p w14:paraId="389B4A90">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本标准不设立强制性条文。</w:t>
      </w:r>
    </w:p>
    <w:p w14:paraId="6304A78B">
      <w:pPr>
        <w:pStyle w:val="12"/>
        <w:numPr>
          <w:ilvl w:val="0"/>
          <w:numId w:val="1"/>
        </w:numPr>
        <w:tabs>
          <w:tab w:val="left" w:pos="840"/>
        </w:tabs>
        <w:adjustRightInd w:val="0"/>
        <w:spacing w:line="360" w:lineRule="auto"/>
        <w:ind w:firstLineChars="0"/>
        <w:outlineLvl w:val="0"/>
        <w:rPr>
          <w:rFonts w:ascii="黑体" w:hAnsi="黑体" w:eastAsia="黑体"/>
          <w:b/>
          <w:sz w:val="28"/>
          <w:szCs w:val="28"/>
        </w:rPr>
      </w:pPr>
      <w:bookmarkStart w:id="17" w:name="_Toc179902682"/>
      <w:r>
        <w:rPr>
          <w:rFonts w:hint="eastAsia" w:ascii="黑体" w:hAnsi="黑体" w:eastAsia="黑体"/>
          <w:b/>
          <w:sz w:val="28"/>
          <w:szCs w:val="28"/>
        </w:rPr>
        <w:t>代替或废止现行有关标准的建议</w:t>
      </w:r>
      <w:bookmarkEnd w:id="17"/>
    </w:p>
    <w:p w14:paraId="6D06E6C9">
      <w:pPr>
        <w:autoSpaceDE w:val="0"/>
        <w:autoSpaceDN w:val="0"/>
        <w:adjustRightInd w:val="0"/>
        <w:spacing w:line="360" w:lineRule="auto"/>
        <w:ind w:firstLine="480" w:firstLineChars="200"/>
        <w:rPr>
          <w:rFonts w:hint="eastAsia" w:ascii="仿宋_GB2312" w:hAnsi="Times New Roman" w:eastAsia="仿宋_GB2312" w:cs="宋体"/>
          <w:sz w:val="24"/>
          <w:szCs w:val="24"/>
        </w:rPr>
      </w:pPr>
      <w:r>
        <w:rPr>
          <w:rFonts w:hint="eastAsia" w:ascii="仿宋_GB2312" w:hAnsi="Times New Roman" w:eastAsia="仿宋_GB2312" w:cs="宋体"/>
          <w:sz w:val="24"/>
          <w:szCs w:val="24"/>
        </w:rPr>
        <w:t>本标准不涉及代替或废止现行有关标准的情况。</w:t>
      </w:r>
    </w:p>
    <w:p w14:paraId="7C897B97">
      <w:pPr>
        <w:pStyle w:val="12"/>
        <w:numPr>
          <w:ilvl w:val="0"/>
          <w:numId w:val="1"/>
        </w:numPr>
        <w:tabs>
          <w:tab w:val="left" w:pos="840"/>
        </w:tabs>
        <w:adjustRightInd w:val="0"/>
        <w:spacing w:line="360" w:lineRule="auto"/>
        <w:ind w:firstLineChars="0"/>
        <w:outlineLvl w:val="0"/>
        <w:rPr>
          <w:rFonts w:hint="eastAsia" w:ascii="黑体" w:hAnsi="黑体" w:eastAsia="黑体"/>
          <w:b/>
          <w:sz w:val="28"/>
          <w:szCs w:val="28"/>
        </w:rPr>
      </w:pPr>
      <w:bookmarkStart w:id="18" w:name="_Toc179902683"/>
      <w:r>
        <w:rPr>
          <w:rFonts w:hint="eastAsia" w:ascii="黑体" w:hAnsi="黑体" w:eastAsia="黑体"/>
          <w:b/>
          <w:sz w:val="28"/>
          <w:szCs w:val="28"/>
        </w:rPr>
        <w:t>其他应予说明的事项</w:t>
      </w:r>
      <w:bookmarkEnd w:id="18"/>
    </w:p>
    <w:p w14:paraId="06ED88AC">
      <w:pPr>
        <w:autoSpaceDE w:val="0"/>
        <w:autoSpaceDN w:val="0"/>
        <w:adjustRightInd w:val="0"/>
        <w:spacing w:line="360" w:lineRule="auto"/>
        <w:ind w:firstLine="480" w:firstLineChars="200"/>
        <w:rPr>
          <w:rFonts w:ascii="黑体" w:hAnsi="黑体" w:eastAsia="黑体"/>
          <w:b/>
          <w:sz w:val="28"/>
          <w:szCs w:val="28"/>
        </w:rPr>
      </w:pPr>
      <w:r>
        <w:rPr>
          <w:rFonts w:hint="eastAsia" w:ascii="仿宋_GB2312" w:hAnsi="Times New Roman" w:eastAsia="仿宋_GB2312" w:cs="宋体"/>
          <w:sz w:val="24"/>
          <w:szCs w:val="24"/>
        </w:rPr>
        <w:t>本标准是202</w:t>
      </w:r>
      <w:r>
        <w:rPr>
          <w:rFonts w:hint="eastAsia" w:ascii="仿宋_GB2312" w:hAnsi="Times New Roman" w:eastAsia="仿宋_GB2312" w:cs="宋体"/>
          <w:sz w:val="24"/>
          <w:szCs w:val="24"/>
          <w:lang w:val="en-US" w:eastAsia="zh-CN"/>
        </w:rPr>
        <w:t>5</w:t>
      </w:r>
      <w:r>
        <w:rPr>
          <w:rFonts w:hint="eastAsia" w:ascii="仿宋_GB2312" w:hAnsi="Times New Roman" w:eastAsia="仿宋_GB2312" w:cs="宋体"/>
          <w:sz w:val="24"/>
          <w:szCs w:val="24"/>
        </w:rPr>
        <w:t>年第一批立项的中国电力建设企业协会标准。</w:t>
      </w:r>
    </w:p>
    <w:p w14:paraId="55BE9230"/>
    <w:sectPr>
      <w:footerReference r:id="rId4" w:type="default"/>
      <w:pgSz w:w="11906" w:h="16838"/>
      <w:pgMar w:top="1440" w:right="1797" w:bottom="1191"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3D3F9">
    <w:pPr>
      <w:pStyle w:val="4"/>
      <w:jc w:val="center"/>
    </w:pPr>
  </w:p>
  <w:p w14:paraId="49B01AF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223212"/>
      <w:docPartObj>
        <w:docPartGallery w:val="autotext"/>
      </w:docPartObj>
    </w:sdtPr>
    <w:sdtContent>
      <w:p w14:paraId="4E94FDB2">
        <w:pPr>
          <w:pStyle w:val="4"/>
          <w:jc w:val="center"/>
        </w:pPr>
        <w:r>
          <w:fldChar w:fldCharType="begin"/>
        </w:r>
        <w:r>
          <w:instrText xml:space="preserve">PAGE   \* MERGEFORMAT</w:instrText>
        </w:r>
        <w:r>
          <w:fldChar w:fldCharType="separate"/>
        </w:r>
        <w:r>
          <w:rPr>
            <w:lang w:val="zh-CN"/>
          </w:rPr>
          <w:t>7</w:t>
        </w:r>
        <w:r>
          <w:fldChar w:fldCharType="end"/>
        </w:r>
      </w:p>
    </w:sdtContent>
  </w:sdt>
  <w:p w14:paraId="6B10E589">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310DFC"/>
    <w:multiLevelType w:val="multilevel"/>
    <w:tmpl w:val="33310DFC"/>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
    <w:nsid w:val="5A4D79C5"/>
    <w:multiLevelType w:val="multilevel"/>
    <w:tmpl w:val="5A4D79C5"/>
    <w:lvl w:ilvl="0" w:tentative="0">
      <w:start w:val="1"/>
      <w:numFmt w:val="decimal"/>
      <w:lvlText w:val="%1"/>
      <w:lvlJc w:val="left"/>
      <w:pPr>
        <w:ind w:left="424" w:hanging="424"/>
      </w:pPr>
      <w:rPr>
        <w:rFonts w:hint="default"/>
      </w:rPr>
    </w:lvl>
    <w:lvl w:ilvl="1" w:tentative="0">
      <w:start w:val="1"/>
      <w:numFmt w:val="decimal"/>
      <w:lvlText w:val="%1.%2"/>
      <w:lvlJc w:val="left"/>
      <w:pPr>
        <w:ind w:left="1202" w:hanging="720"/>
      </w:pPr>
      <w:rPr>
        <w:rFonts w:hint="default"/>
      </w:rPr>
    </w:lvl>
    <w:lvl w:ilvl="2" w:tentative="0">
      <w:start w:val="1"/>
      <w:numFmt w:val="decimal"/>
      <w:lvlText w:val="%1.%2.%3"/>
      <w:lvlJc w:val="left"/>
      <w:pPr>
        <w:ind w:left="2044" w:hanging="1080"/>
      </w:pPr>
      <w:rPr>
        <w:rFonts w:hint="default"/>
      </w:rPr>
    </w:lvl>
    <w:lvl w:ilvl="3" w:tentative="0">
      <w:start w:val="1"/>
      <w:numFmt w:val="decimal"/>
      <w:lvlText w:val="%1.%2.%3.%4"/>
      <w:lvlJc w:val="left"/>
      <w:pPr>
        <w:ind w:left="2526" w:hanging="1080"/>
      </w:pPr>
      <w:rPr>
        <w:rFonts w:hint="default"/>
      </w:rPr>
    </w:lvl>
    <w:lvl w:ilvl="4" w:tentative="0">
      <w:start w:val="1"/>
      <w:numFmt w:val="decimal"/>
      <w:lvlText w:val="%1.%2.%3.%4.%5"/>
      <w:lvlJc w:val="left"/>
      <w:pPr>
        <w:ind w:left="3368" w:hanging="1440"/>
      </w:pPr>
      <w:rPr>
        <w:rFonts w:hint="default"/>
      </w:rPr>
    </w:lvl>
    <w:lvl w:ilvl="5" w:tentative="0">
      <w:start w:val="1"/>
      <w:numFmt w:val="decimal"/>
      <w:lvlText w:val="%1.%2.%3.%4.%5.%6"/>
      <w:lvlJc w:val="left"/>
      <w:pPr>
        <w:ind w:left="4210" w:hanging="1800"/>
      </w:pPr>
      <w:rPr>
        <w:rFonts w:hint="default"/>
      </w:rPr>
    </w:lvl>
    <w:lvl w:ilvl="6" w:tentative="0">
      <w:start w:val="1"/>
      <w:numFmt w:val="decimal"/>
      <w:lvlText w:val="%1.%2.%3.%4.%5.%6.%7"/>
      <w:lvlJc w:val="left"/>
      <w:pPr>
        <w:ind w:left="5052" w:hanging="2160"/>
      </w:pPr>
      <w:rPr>
        <w:rFonts w:hint="default"/>
      </w:rPr>
    </w:lvl>
    <w:lvl w:ilvl="7" w:tentative="0">
      <w:start w:val="1"/>
      <w:numFmt w:val="decimal"/>
      <w:lvlText w:val="%1.%2.%3.%4.%5.%6.%7.%8"/>
      <w:lvlJc w:val="left"/>
      <w:pPr>
        <w:ind w:left="5534" w:hanging="2160"/>
      </w:pPr>
      <w:rPr>
        <w:rFonts w:hint="default"/>
      </w:rPr>
    </w:lvl>
    <w:lvl w:ilvl="8" w:tentative="0">
      <w:start w:val="1"/>
      <w:numFmt w:val="decimal"/>
      <w:lvlText w:val="%1.%2.%3.%4.%5.%6.%7.%8.%9"/>
      <w:lvlJc w:val="left"/>
      <w:pPr>
        <w:ind w:left="6376"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4739A5"/>
    <w:rsid w:val="44473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toc 1"/>
    <w:basedOn w:val="1"/>
    <w:next w:val="1"/>
    <w:qFormat/>
    <w:uiPriority w:val="39"/>
    <w:pPr>
      <w:tabs>
        <w:tab w:val="right" w:leader="dot" w:pos="9402"/>
      </w:tabs>
      <w:spacing w:line="240" w:lineRule="atLeast"/>
      <w:jc w:val="center"/>
    </w:pPr>
    <w:rPr>
      <w:rFonts w:ascii="Times New Roman" w:hAnsi="Times New Roman"/>
      <w:szCs w:val="24"/>
    </w:rPr>
  </w:style>
  <w:style w:type="paragraph" w:styleId="6">
    <w:name w:val="toc 2"/>
    <w:basedOn w:val="1"/>
    <w:next w:val="1"/>
    <w:qFormat/>
    <w:uiPriority w:val="39"/>
    <w:pPr>
      <w:spacing w:line="240" w:lineRule="atLeast"/>
      <w:ind w:left="420" w:leftChars="200"/>
    </w:pPr>
    <w:rPr>
      <w:rFonts w:ascii="Times New Roman" w:hAnsi="Times New Roman"/>
      <w:szCs w:val="24"/>
    </w:rPr>
  </w:style>
  <w:style w:type="paragraph" w:styleId="7">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10">
    <w:name w:val="Hyperlink"/>
    <w:qFormat/>
    <w:uiPriority w:val="99"/>
    <w:rPr>
      <w:rFonts w:ascii="Times New Roman" w:hAnsi="Times New Roman" w:eastAsia="宋体"/>
      <w:color w:val="auto"/>
      <w:spacing w:val="0"/>
      <w:w w:val="100"/>
      <w:position w:val="0"/>
      <w:sz w:val="21"/>
      <w:u w:val="none"/>
      <w:vertAlign w:val="baseline"/>
    </w:rPr>
  </w:style>
  <w:style w:type="paragraph" w:customStyle="1" w:styleId="1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54A1" w:themeColor="accent1" w:themeShade="BF"/>
      <w:kern w:val="0"/>
      <w:sz w:val="32"/>
      <w:szCs w:val="32"/>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2025-10-30T06:00:00Z</dcterms:created>
  <dc:creator>涛哥</dc:creator>
  <cp:lastModifiedBy>涛哥</cp:lastModifiedBy>
  <dcterms:modified xsi:type="dcterms:W3CDTF">2025-10-30T06:00:27Z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BE895D48E8F349E9AC42D72A1BA726D4_11</vt:lpwstr>
  </property>
  <property fmtid="{D5CDD505-2E9C-101B-9397-08002B2CF9AE}" pid="4" name="KSOTemplateDocerSaveRecord">
    <vt:lpwstr>eyJoZGlkIjoiYWNmNjg0MWQ2ZTI1ZDY0MjU4ZWEwNTI3YjI3NTQ3ZmUiLCJ1c2VySWQiOiIxMjEwMTI1MDE1In0=</vt:lpwstr>
  </property>
</Properties>
</file>