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DDD64">
      <w:pPr>
        <w:jc w:val="left"/>
        <w:textAlignment w:val="center"/>
        <w:rPr>
          <w:rFonts w:ascii="Times New Roman"/>
          <w:color w:val="000000" w:themeColor="text1"/>
          <w14:textFill>
            <w14:solidFill>
              <w14:schemeClr w14:val="tx1"/>
            </w14:solidFill>
          </w14:textFill>
        </w:rPr>
      </w:pPr>
      <w:bookmarkStart w:id="0" w:name="标准内容"/>
      <w:bookmarkEnd w:id="0"/>
    </w:p>
    <w:tbl>
      <w:tblPr>
        <w:tblStyle w:val="8"/>
        <w:tblpPr w:leftFromText="180" w:rightFromText="180" w:vertAnchor="page" w:horzAnchor="page" w:tblpX="1519" w:tblpY="529"/>
        <w:tblOverlap w:val="never"/>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3D935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71" w:type="dxa"/>
            <w:tcBorders>
              <w:top w:val="nil"/>
              <w:left w:val="nil"/>
              <w:bottom w:val="nil"/>
              <w:right w:val="nil"/>
            </w:tcBorders>
          </w:tcPr>
          <w:p w14:paraId="795CBCEB">
            <w:pPr>
              <w:jc w:val="left"/>
              <w:textAlignment w:val="center"/>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附件3</w:t>
            </w:r>
          </w:p>
          <w:p w14:paraId="3A298A8B">
            <w:pPr>
              <w:jc w:val="left"/>
              <w:textAlignment w:val="center"/>
              <w:rPr>
                <w:color w:val="000000" w:themeColor="text1"/>
                <w14:textFill>
                  <w14:solidFill>
                    <w14:schemeClr w14:val="tx1"/>
                  </w14:solidFill>
                </w14:textFill>
              </w:rPr>
            </w:pPr>
            <w:r>
              <w:rPr>
                <w:rFonts w:ascii="Times New Roman"/>
                <w:color w:val="000000" w:themeColor="text1"/>
                <w14:textFill>
                  <w14:solidFill>
                    <w14:schemeClr w14:val="tx1"/>
                  </w14:solidFill>
                </w14:textFill>
              </w:rPr>
              <w:t>ICS</w:t>
            </w:r>
            <w:r>
              <w:rPr>
                <w:rFonts w:hint="eastAsia"/>
                <w:color w:val="000000" w:themeColor="text1"/>
                <w14:textFill>
                  <w14:solidFill>
                    <w14:schemeClr w14:val="tx1"/>
                  </w14:solidFill>
                </w14:textFill>
              </w:rPr>
              <w:t xml:space="preserve"> 29.020</w:t>
            </w:r>
          </w:p>
          <w:p w14:paraId="08D4A35A">
            <w:pPr>
              <w:jc w:val="left"/>
              <w:textAlignment w:val="center"/>
              <w:rPr>
                <w:color w:val="000000" w:themeColor="text1"/>
                <w:kern w:val="0"/>
                <w:szCs w:val="20"/>
                <w14:textFill>
                  <w14:solidFill>
                    <w14:schemeClr w14:val="tx1"/>
                  </w14:solidFill>
                </w14:textFill>
              </w:rPr>
            </w:pPr>
            <w:r>
              <w:rPr>
                <w:rFonts w:hint="eastAsia"/>
                <w:color w:val="000000" w:themeColor="text1"/>
                <w14:textFill>
                  <w14:solidFill>
                    <w14:schemeClr w14:val="tx1"/>
                  </w14:solidFill>
                </w14:textFill>
              </w:rPr>
              <w:t xml:space="preserve">F </w:t>
            </w:r>
            <w:r>
              <w:rPr>
                <w:rFonts w:eastAsia="黑体"/>
                <w:color w:val="000000" w:themeColor="text1"/>
                <w:kern w:val="0"/>
                <w:szCs w:val="20"/>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1" name="矩形 1"/>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txbx>
                              <w:txbxContent>
                                <w:p w14:paraId="5390D822"/>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Iri/s1QAAAAcBAAAPAAAAAAAAAAEAIAAAACIAAABkcnMvZG93bnJldi54&#10;bWxQSwECFAAUAAAACACHTuJAw8Nqw8QBAACAAwAADgAAAAAAAAABACAAAAAkAQAAZHJzL2Uyb0Rv&#10;Yy54bWxQSwUGAAAAAAYABgBZAQAAWgUAAAAA&#10;">
                      <v:fill on="t" focussize="0,0"/>
                      <v:stroke on="f"/>
                      <v:imagedata o:title=""/>
                      <o:lock v:ext="edit" aspectratio="f"/>
                      <v:textbox>
                        <w:txbxContent>
                          <w:p w14:paraId="5390D822"/>
                        </w:txbxContent>
                      </v:textbox>
                    </v:rect>
                  </w:pict>
                </mc:Fallback>
              </mc:AlternateContent>
            </w:r>
            <w:r>
              <w:rPr>
                <w:rFonts w:hint="eastAsia"/>
                <w:color w:val="000000" w:themeColor="text1"/>
                <w14:textFill>
                  <w14:solidFill>
                    <w14:schemeClr w14:val="tx1"/>
                  </w14:solidFill>
                </w14:textFill>
              </w:rPr>
              <w:t>XXX</w:t>
            </w:r>
          </w:p>
        </w:tc>
      </w:tr>
    </w:tbl>
    <w:p w14:paraId="6876DC57">
      <w:pPr>
        <w:jc w:val="left"/>
        <w:textAlignment w:val="center"/>
        <w:rPr>
          <w:rFonts w:hint="eastAsia" w:eastAsia="黑体"/>
          <w:color w:val="000000" w:themeColor="text1"/>
          <w:kern w:val="0"/>
          <w:szCs w:val="20"/>
          <w14:textFill>
            <w14:solidFill>
              <w14:schemeClr w14:val="tx1"/>
            </w14:solidFill>
          </w14:textFill>
        </w:rPr>
      </w:pPr>
      <w:r>
        <w:rPr>
          <w:position w:val="-22"/>
        </w:rPr>
        <w:drawing>
          <wp:inline distT="0" distB="0" distL="0" distR="0">
            <wp:extent cx="714375" cy="714375"/>
            <wp:effectExtent l="0" t="0" r="9525" b="9525"/>
            <wp:docPr id="1330893129" name="IM 2"/>
            <wp:cNvGraphicFramePr/>
            <a:graphic xmlns:a="http://schemas.openxmlformats.org/drawingml/2006/main">
              <a:graphicData uri="http://schemas.openxmlformats.org/drawingml/2006/picture">
                <pic:pic xmlns:pic="http://schemas.openxmlformats.org/drawingml/2006/picture">
                  <pic:nvPicPr>
                    <pic:cNvPr id="1330893129" name="IM 2"/>
                    <pic:cNvPicPr/>
                  </pic:nvPicPr>
                  <pic:blipFill>
                    <a:blip r:embed="rId12"/>
                    <a:stretch>
                      <a:fillRect/>
                    </a:stretch>
                  </pic:blipFill>
                  <pic:spPr>
                    <a:xfrm>
                      <a:off x="0" y="0"/>
                      <a:ext cx="714755" cy="714756"/>
                    </a:xfrm>
                    <a:prstGeom prst="rect">
                      <a:avLst/>
                    </a:prstGeom>
                  </pic:spPr>
                </pic:pic>
              </a:graphicData>
            </a:graphic>
          </wp:inline>
        </w:drawing>
      </w:r>
    </w:p>
    <w:p w14:paraId="6C4616CF">
      <w:pPr>
        <w:widowControl/>
        <w:shd w:val="solid" w:color="FFFFFF" w:fill="FFFFFF"/>
        <w:spacing w:line="0" w:lineRule="atLeast"/>
        <w:ind w:left="425"/>
        <w:jc w:val="right"/>
        <w:rPr>
          <w:rFonts w:ascii="Times New Roman" w:hAnsi="Times New Roman"/>
          <w:b/>
          <w:color w:val="000000" w:themeColor="text1"/>
          <w:w w:val="130"/>
          <w:kern w:val="0"/>
          <w:sz w:val="52"/>
          <w:szCs w:val="52"/>
          <w14:textFill>
            <w14:solidFill>
              <w14:schemeClr w14:val="tx1"/>
            </w14:solidFill>
          </w14:textFill>
        </w:rPr>
      </w:pPr>
    </w:p>
    <w:p w14:paraId="48A9EA9C">
      <w:pPr>
        <w:widowControl/>
        <w:shd w:val="solid" w:color="FFFFFF" w:fill="FFFFFF"/>
        <w:spacing w:line="0" w:lineRule="atLeast"/>
        <w:ind w:left="425"/>
        <w:jc w:val="distribute"/>
        <w:rPr>
          <w:rFonts w:eastAsia="黑体"/>
          <w:color w:val="000000" w:themeColor="text1"/>
          <w:spacing w:val="-40"/>
          <w:kern w:val="0"/>
          <w:sz w:val="48"/>
          <w:szCs w:val="20"/>
          <w14:textFill>
            <w14:solidFill>
              <w14:schemeClr w14:val="tx1"/>
            </w14:solidFill>
          </w14:textFill>
        </w:rPr>
      </w:pPr>
      <w:r>
        <w:rPr>
          <w:rFonts w:hint="eastAsia" w:eastAsia="黑体"/>
          <w:color w:val="000000" w:themeColor="text1"/>
          <w:spacing w:val="-40"/>
          <w:kern w:val="0"/>
          <w:sz w:val="48"/>
          <w:szCs w:val="20"/>
          <w14:textFill>
            <w14:solidFill>
              <w14:schemeClr w14:val="tx1"/>
            </w14:solidFill>
          </w14:textFill>
        </w:rPr>
        <w:t>团体标准</w:t>
      </w:r>
    </w:p>
    <w:p w14:paraId="6145DC33">
      <w:pPr>
        <w:widowControl/>
        <w:spacing w:before="357" w:line="280" w:lineRule="exact"/>
        <w:jc w:val="right"/>
        <w:rPr>
          <w:rFonts w:ascii="Times New Roman" w:hAnsi="Times New Roman" w:eastAsia="黑体"/>
          <w:color w:val="000000" w:themeColor="text1"/>
          <w:kern w:val="0"/>
          <w:sz w:val="28"/>
          <w:szCs w:val="20"/>
          <w14:textFill>
            <w14:solidFill>
              <w14:schemeClr w14:val="tx1"/>
            </w14:solidFill>
          </w14:textFill>
        </w:rPr>
      </w:pPr>
      <w:r>
        <w:rPr>
          <w:rFonts w:ascii="Times New Roman" w:hAnsi="Times New Roman" w:eastAsia="黑体"/>
          <w:color w:val="000000" w:themeColor="text1"/>
          <w:kern w:val="0"/>
          <w:sz w:val="28"/>
          <w:szCs w:val="20"/>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-299720</wp:posOffset>
                </wp:positionH>
                <wp:positionV relativeFrom="paragraph">
                  <wp:posOffset>538480</wp:posOffset>
                </wp:positionV>
                <wp:extent cx="6420485"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42048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3.6pt;margin-top:42.4pt;height:0pt;width:505.55pt;z-index:251660288;mso-width-relative:page;mso-height-relative:page;" filled="f" stroked="t" coordsize="21600,21600" o:gfxdata="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KAQN3XAAAACQEAAA8AAAAAAAAAAQAgAAAAIgAAAGRycy9kb3ducmV2LnhtbFBLAQIUABQA&#10;AAAIAIdO4kBHkmkC8QEAAOYDAAAOAAAAAAAAAAEAIAAAACYBAABkcnMvZTJvRG9jLnhtbFBLBQYA&#10;AAAABgAGAFkBAACJBQAAAAA=&#10;">
                <v:fill on="f" focussize="0,0"/>
                <v:stroke color="#000000" joinstyle="round"/>
                <v:imagedata o:title=""/>
                <o:lock v:ext="edit" aspectratio="f"/>
              </v:line>
            </w:pict>
          </mc:Fallback>
        </mc:AlternateContent>
      </w:r>
      <w:r>
        <w:rPr>
          <w:rFonts w:hint="eastAsia" w:ascii="Arial" w:hAnsi="Arial" w:eastAsia="Arial" w:cs="Arial"/>
          <w:snapToGrid w:val="0"/>
          <w:color w:val="000000"/>
          <w:spacing w:val="9"/>
          <w:kern w:val="0"/>
          <w:sz w:val="26"/>
          <w:szCs w:val="26"/>
        </w:rPr>
        <w:t xml:space="preserve"> T/CECPA  xxxxx—2025</w:t>
      </w:r>
    </w:p>
    <w:tbl>
      <w:tblPr>
        <w:tblStyle w:val="8"/>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6F3E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723D952">
            <w:pPr>
              <w:widowControl/>
              <w:spacing w:before="57" w:line="280" w:lineRule="exact"/>
              <w:jc w:val="right"/>
              <w:rPr>
                <w:color w:val="000000" w:themeColor="text1"/>
                <w:kern w:val="0"/>
                <w:szCs w:val="20"/>
                <w14:textFill>
                  <w14:solidFill>
                    <w14:schemeClr w14:val="tx1"/>
                  </w14:solidFill>
                </w14:textFill>
              </w:rPr>
            </w:pPr>
            <w:bookmarkStart w:id="1" w:name="DT"/>
            <w:r>
              <w:rPr>
                <w:color w:val="000000" w:themeColor="text1"/>
                <w:kern w:val="0"/>
                <w:szCs w:val="20"/>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txbx>
                              <w:txbxContent>
                                <w:p w14:paraId="58044E37"/>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mDyy9YAAAAIAQAADwAAAAAAAAABACAAAAAiAAAAZHJzL2Rvd25yZXYueG1s&#10;UEsBAhQAFAAAAAgAh07iQFou/o7BAQAAgQMAAA4AAAAAAAAAAQAgAAAAJQEAAGRycy9lMm9Eb2Mu&#10;eG1sUEsFBgAAAAAGAAYAWQEAAFgFAAAAAA==&#10;">
                      <v:fill on="t" focussize="0,0"/>
                      <v:stroke on="f"/>
                      <v:imagedata o:title=""/>
                      <o:lock v:ext="edit" aspectratio="f"/>
                      <v:textbox>
                        <w:txbxContent>
                          <w:p w14:paraId="58044E37"/>
                        </w:txbxContent>
                      </v:textbox>
                    </v:rect>
                  </w:pict>
                </mc:Fallback>
              </mc:AlternateContent>
            </w:r>
            <w:bookmarkEnd w:id="1"/>
            <w:r>
              <w:rPr>
                <w:color w:val="000000" w:themeColor="text1"/>
                <w:kern w:val="0"/>
                <w:szCs w:val="20"/>
                <w14:textFill>
                  <w14:solidFill>
                    <w14:schemeClr w14:val="tx1"/>
                  </w14:solidFill>
                </w14:textFill>
              </w:rPr>
              <w:t xml:space="preserve"> </w:t>
            </w:r>
          </w:p>
        </w:tc>
      </w:tr>
    </w:tbl>
    <w:p w14:paraId="1035C4A0">
      <w:pPr>
        <w:widowControl/>
        <w:spacing w:before="357" w:line="280" w:lineRule="exact"/>
        <w:jc w:val="right"/>
        <w:rPr>
          <w:rFonts w:eastAsia="黑体"/>
          <w:color w:val="000000" w:themeColor="text1"/>
          <w:kern w:val="0"/>
          <w:sz w:val="28"/>
          <w:szCs w:val="20"/>
          <w14:textFill>
            <w14:solidFill>
              <w14:schemeClr w14:val="tx1"/>
            </w14:solidFill>
          </w14:textFill>
        </w:rPr>
      </w:pPr>
    </w:p>
    <w:p w14:paraId="54787E5D">
      <w:pPr>
        <w:widowControl/>
        <w:spacing w:before="357" w:line="280" w:lineRule="exact"/>
        <w:jc w:val="right"/>
        <w:rPr>
          <w:rFonts w:hint="eastAsia" w:eastAsia="黑体"/>
          <w:color w:val="000000" w:themeColor="text1"/>
          <w:kern w:val="0"/>
          <w:sz w:val="28"/>
          <w:szCs w:val="20"/>
          <w14:textFill>
            <w14:solidFill>
              <w14:schemeClr w14:val="tx1"/>
            </w14:solidFill>
          </w14:textFill>
        </w:rPr>
      </w:pPr>
    </w:p>
    <w:p w14:paraId="3CFC4AE9">
      <w:pPr>
        <w:rPr>
          <w:vanish/>
          <w:color w:val="000000" w:themeColor="text1"/>
          <w14:textFill>
            <w14:solidFill>
              <w14:schemeClr w14:val="tx1"/>
            </w14:solidFill>
          </w14:textFill>
        </w:rPr>
      </w:pPr>
      <w:bookmarkStart w:id="2" w:name="_Toc11333"/>
      <w:bookmarkStart w:id="3" w:name="_Toc7079"/>
      <w:bookmarkStart w:id="4" w:name="_Toc16206"/>
      <w:bookmarkStart w:id="5" w:name="_Toc1096"/>
    </w:p>
    <w:bookmarkEnd w:id="2"/>
    <w:bookmarkEnd w:id="3"/>
    <w:bookmarkEnd w:id="4"/>
    <w:bookmarkEnd w:id="5"/>
    <w:tbl>
      <w:tblPr>
        <w:tblStyle w:val="8"/>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3D6C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620" w:type="dxa"/>
            <w:tcBorders>
              <w:top w:val="nil"/>
              <w:left w:val="nil"/>
              <w:bottom w:val="nil"/>
              <w:right w:val="nil"/>
            </w:tcBorders>
            <w:shd w:val="clear" w:color="auto" w:fill="FFFFFF"/>
          </w:tcPr>
          <w:p w14:paraId="59B83770">
            <w:pPr>
              <w:widowControl/>
              <w:spacing w:before="357" w:line="280" w:lineRule="exact"/>
              <w:jc w:val="right"/>
              <w:rPr>
                <w:rFonts w:eastAsia="黑体"/>
                <w:color w:val="000000" w:themeColor="text1"/>
                <w:kern w:val="0"/>
                <w:sz w:val="28"/>
                <w:szCs w:val="20"/>
                <w14:textFill>
                  <w14:solidFill>
                    <w14:schemeClr w14:val="tx1"/>
                  </w14:solidFill>
                </w14:textFill>
              </w:rPr>
            </w:pPr>
          </w:p>
        </w:tc>
      </w:tr>
      <w:tr w14:paraId="1651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9620" w:type="dxa"/>
            <w:tcBorders>
              <w:top w:val="nil"/>
              <w:left w:val="nil"/>
              <w:bottom w:val="nil"/>
              <w:right w:val="nil"/>
            </w:tcBorders>
            <w:shd w:val="clear" w:color="auto" w:fill="FFFFFF"/>
          </w:tcPr>
          <w:tbl>
            <w:tblPr>
              <w:tblStyle w:val="8"/>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C75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7" w:type="dxa"/>
                  <w:tcBorders>
                    <w:top w:val="nil"/>
                    <w:left w:val="nil"/>
                    <w:bottom w:val="nil"/>
                    <w:right w:val="nil"/>
                  </w:tcBorders>
                  <w:shd w:val="clear" w:color="auto" w:fill="FFFFFF"/>
                </w:tcPr>
                <w:p w14:paraId="24169419">
                  <w:pPr>
                    <w:pStyle w:val="10"/>
                    <w:framePr w:w="0" w:hRule="auto" w:wrap="auto" w:vAnchor="margin" w:hAnchor="text" w:xAlign="left" w:yAlign="inline"/>
                    <w:rPr>
                      <w:color w:val="000000" w:themeColor="text1"/>
                      <w14:textFill>
                        <w14:solidFill>
                          <w14:schemeClr w14:val="tx1"/>
                        </w14:solidFill>
                      </w14:textFill>
                    </w:rPr>
                  </w:pPr>
                  <w:r>
                    <w:rPr>
                      <w:rFonts w:hint="eastAsia"/>
                      <w:color w:val="000000" w:themeColor="text1"/>
                      <w14:textFill>
                        <w14:solidFill>
                          <w14:schemeClr w14:val="tx1"/>
                        </w14:solidFill>
                      </w14:textFill>
                    </w:rPr>
                    <w:t>输变电工程环保水保监理导则</w:t>
                  </w:r>
                </w:p>
              </w:tc>
            </w:tr>
          </w:tbl>
          <w:p w14:paraId="4CA65B69">
            <w:pPr>
              <w:widowControl/>
              <w:spacing w:before="180" w:after="160" w:line="400" w:lineRule="exact"/>
              <w:jc w:val="center"/>
            </w:pPr>
            <w:r>
              <w:rPr>
                <w:rFonts w:hint="eastAsia" w:ascii="黑体" w:hAnsi="黑体" w:eastAsia="黑体" w:cs="黑体"/>
                <w:kern w:val="0"/>
                <w:sz w:val="28"/>
                <w:szCs w:val="20"/>
              </w:rPr>
              <w:t>Guidelines for Environmental Protection and Water Conservation Supervision of Power Transmission and Transformation Projects</w:t>
            </w:r>
          </w:p>
        </w:tc>
      </w:tr>
    </w:tbl>
    <w:p w14:paraId="2C3590C0">
      <w:pPr>
        <w:pStyle w:val="11"/>
        <w:framePr w:wrap="around" w:vAnchor="text" w:hAnchor="page" w:x="1654" w:y="4327"/>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202</w:t>
      </w:r>
      <w:r>
        <w:rPr>
          <w:rFonts w:hint="eastAsia" w:cs="黑体"/>
          <w:color w:val="000000" w:themeColor="text1"/>
          <w14:textFill>
            <w14:solidFill>
              <w14:schemeClr w14:val="tx1"/>
            </w14:solidFill>
          </w14:textFill>
        </w:rPr>
        <w:t>5</w:t>
      </w:r>
      <w:r>
        <w:rPr>
          <w:rFonts w:cs="黑体"/>
          <w:color w:val="000000" w:themeColor="text1"/>
          <w14:textFill>
            <w14:solidFill>
              <w14:schemeClr w14:val="tx1"/>
            </w14:solidFill>
          </w14:textFill>
        </w:rPr>
        <w:t>-XX-XX</w:t>
      </w:r>
      <w:r>
        <w:rPr>
          <w:rFonts w:hint="eastAsia" w:cs="黑体"/>
          <w:color w:val="000000" w:themeColor="text1"/>
          <w14:textFill>
            <w14:solidFill>
              <w14:schemeClr w14:val="tx1"/>
            </w14:solidFill>
          </w14:textFill>
        </w:rPr>
        <w:t>发布</w:t>
      </w:r>
      <w:r>
        <w:rPr>
          <w:color w:val="000000" w:themeColor="text1"/>
          <w14:textFill>
            <w14:solidFill>
              <w14:schemeClr w14:val="tx1"/>
            </w14:solidFill>
          </w14:textFill>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ge">
                  <wp:posOffset>9275445</wp:posOffset>
                </wp:positionV>
                <wp:extent cx="612013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730.35pt;height:0pt;width:481.9pt;mso-position-vertical-relative:page;z-index:251661312;mso-width-relative:page;mso-height-relative:page;" filled="f" stroked="t" coordsize="21600,21600" o:gfxdata="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8O0251QAAAAoBAAAPAAAAAAAAAAEAIAAAACIAAABkcnMvZG93bnJldi54bWxQSwECFAAUAAAA&#10;CACHTuJA29q/YvEBAADmAwAADgAAAAAAAAABACAAAAAkAQAAZHJzL2Uyb0RvYy54bWxQSwUGAAAA&#10;AAYABgBZAQAAhwUAAAAA&#10;">
                <v:fill on="f" focussize="0,0"/>
                <v:stroke color="#000000" joinstyle="round"/>
                <v:imagedata o:title=""/>
                <o:lock v:ext="edit" aspectratio="f"/>
                <w10:anchorlock/>
              </v:line>
            </w:pict>
          </mc:Fallback>
        </mc:AlternateContent>
      </w:r>
    </w:p>
    <w:tbl>
      <w:tblPr>
        <w:tblStyle w:val="8"/>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25A22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79B9DED0">
            <w:pPr>
              <w:widowControl/>
              <w:spacing w:line="0" w:lineRule="atLeast"/>
              <w:jc w:val="center"/>
              <w:rPr>
                <w:rFonts w:eastAsia="黑体"/>
                <w:color w:val="000000" w:themeColor="text1"/>
                <w:spacing w:val="20"/>
                <w:w w:val="135"/>
                <w:kern w:val="0"/>
                <w:sz w:val="28"/>
                <w:szCs w:val="20"/>
                <w14:textFill>
                  <w14:solidFill>
                    <w14:schemeClr w14:val="tx1"/>
                  </w14:solidFill>
                </w14:textFill>
              </w:rPr>
            </w:pPr>
            <w:r>
              <w:rPr>
                <w:rFonts w:hint="eastAsia" w:eastAsia="黑体"/>
                <w:spacing w:val="20"/>
                <w:w w:val="135"/>
                <w:kern w:val="0"/>
                <w:sz w:val="28"/>
                <w:szCs w:val="20"/>
              </w:rPr>
              <w:t>(征求意见稿)</w:t>
            </w:r>
          </w:p>
        </w:tc>
      </w:tr>
    </w:tbl>
    <w:p w14:paraId="168571B2">
      <w:pPr>
        <w:pStyle w:val="13"/>
        <w:framePr w:w="2971" w:wrap="around" w:vAnchor="page" w:hAnchor="page" w:x="8893" w:y="14107"/>
        <w:ind w:right="560"/>
        <w:jc w:val="both"/>
        <w:rPr>
          <w:color w:val="000000" w:themeColor="text1"/>
          <w14:textFill>
            <w14:solidFill>
              <w14:schemeClr w14:val="tx1"/>
            </w14:solidFill>
          </w14:textFill>
        </w:rPr>
      </w:pPr>
      <w:r>
        <w:rPr>
          <w:rFonts w:cs="黑体"/>
          <w:color w:val="000000" w:themeColor="text1"/>
          <w14:textFill>
            <w14:solidFill>
              <w14:schemeClr w14:val="tx1"/>
            </w14:solidFill>
          </w14:textFill>
        </w:rPr>
        <w:t xml:space="preserve"> 20</w:t>
      </w:r>
      <w:r>
        <w:rPr>
          <w:rFonts w:hint="eastAsia" w:cs="黑体"/>
          <w:color w:val="000000" w:themeColor="text1"/>
          <w14:textFill>
            <w14:solidFill>
              <w14:schemeClr w14:val="tx1"/>
            </w14:solidFill>
          </w14:textFill>
        </w:rPr>
        <w:t>25</w:t>
      </w:r>
      <w:r>
        <w:rPr>
          <w:rFonts w:cs="黑体"/>
          <w:color w:val="000000" w:themeColor="text1"/>
          <w14:textFill>
            <w14:solidFill>
              <w14:schemeClr w14:val="tx1"/>
            </w14:solidFill>
          </w14:textFill>
        </w:rPr>
        <w:t>-XX-XX</w:t>
      </w:r>
      <w:r>
        <w:rPr>
          <w:rFonts w:hint="eastAsia" w:cs="黑体"/>
          <w:color w:val="000000" w:themeColor="text1"/>
          <w14:textFill>
            <w14:solidFill>
              <w14:schemeClr w14:val="tx1"/>
            </w14:solidFill>
          </w14:textFill>
        </w:rPr>
        <w:t>实施</w:t>
      </w:r>
    </w:p>
    <w:p w14:paraId="5A29DD49">
      <w:pPr>
        <w:framePr w:w="7938" w:h="1134" w:hRule="exact" w:hSpace="125" w:vSpace="181" w:wrap="around" w:vAnchor="page" w:hAnchor="page" w:x="2175" w:y="14814" w:anchorLock="1"/>
        <w:topLinePunct/>
        <w:spacing w:line="240" w:lineRule="atLeast"/>
        <w:jc w:val="center"/>
        <w:rPr>
          <w:b/>
          <w:color w:val="000000" w:themeColor="text1"/>
          <w:lang w:val="zh-CN"/>
          <w14:textFill>
            <w14:solidFill>
              <w14:schemeClr w14:val="tx1"/>
            </w14:solidFill>
          </w14:textFill>
        </w:rPr>
        <w:sectPr>
          <w:headerReference r:id="rId3" w:type="even"/>
          <w:pgSz w:w="11906" w:h="16838"/>
          <w:pgMar w:top="567" w:right="1134" w:bottom="1440" w:left="1417" w:header="851" w:footer="992" w:gutter="0"/>
          <w:cols w:space="720" w:num="1"/>
          <w:docGrid w:type="lines" w:linePitch="312" w:charSpace="0"/>
        </w:sectPr>
      </w:pPr>
      <w:r>
        <w:rPr>
          <w:rFonts w:ascii="黑体" w:hAnsi="黑体" w:eastAsia="黑体" w:cs="黑体"/>
          <w:spacing w:val="16"/>
          <w:sz w:val="29"/>
          <w:szCs w:val="29"/>
        </w:rPr>
        <w:t>中国电力建设企业协会</w:t>
      </w:r>
      <w:r>
        <w:rPr>
          <w:rFonts w:hint="eastAsia" w:ascii="黑体" w:hAnsi="黑体" w:eastAsia="黑体" w:cs="黑体"/>
          <w:bCs/>
          <w:color w:val="000000" w:themeColor="text1"/>
          <w:spacing w:val="20"/>
          <w:w w:val="135"/>
          <w:kern w:val="0"/>
          <w:sz w:val="28"/>
          <w:szCs w:val="28"/>
          <w14:textFill>
            <w14:solidFill>
              <w14:schemeClr w14:val="tx1"/>
            </w14:solidFill>
          </w14:textFill>
        </w:rPr>
        <w:t xml:space="preserve">  </w:t>
      </w:r>
      <w:r>
        <w:rPr>
          <w:rFonts w:hint="eastAsia" w:ascii="黑体" w:hAnsi="黑体" w:eastAsia="黑体" w:cs="黑体"/>
          <w:spacing w:val="16"/>
          <w:sz w:val="29"/>
          <w:szCs w:val="29"/>
        </w:rPr>
        <w:t>发布</w:t>
      </w:r>
    </w:p>
    <w:sdt>
      <w:sdtPr>
        <w:rPr>
          <w:rFonts w:ascii="Calibri" w:hAnsi="Calibri" w:eastAsia="宋体"/>
          <w:kern w:val="2"/>
          <w:sz w:val="21"/>
          <w:szCs w:val="24"/>
          <w:lang w:val="zh-CN"/>
        </w:rPr>
        <w:id w:val="-42979425"/>
        <w:docPartObj>
          <w:docPartGallery w:val="Table of Contents"/>
          <w:docPartUnique/>
        </w:docPartObj>
      </w:sdtPr>
      <w:sdtEndPr>
        <w:rPr>
          <w:rFonts w:ascii="宋体" w:hAnsi="宋体" w:eastAsia="宋体"/>
          <w:bCs/>
          <w:kern w:val="2"/>
          <w:sz w:val="21"/>
          <w:szCs w:val="24"/>
          <w:lang w:val="zh-CN"/>
        </w:rPr>
      </w:sdtEndPr>
      <w:sdtContent>
        <w:p w14:paraId="44851C05">
          <w:pPr>
            <w:pStyle w:val="15"/>
            <w:spacing w:line="460" w:lineRule="exact"/>
          </w:pPr>
          <w:bookmarkStart w:id="6" w:name="_Toc76483591"/>
          <w:bookmarkStart w:id="7" w:name="_Toc13959"/>
          <w:bookmarkStart w:id="8" w:name="_Toc9758_WPSOffice_Level1"/>
          <w:bookmarkStart w:id="9" w:name="_Toc9514_WPSOffice_Level1"/>
          <w:r>
            <w:rPr>
              <w:rFonts w:hint="eastAsia" w:hAnsi="黑体" w:cs="黑体"/>
              <w:kern w:val="2"/>
              <w:szCs w:val="32"/>
            </w:rPr>
            <w:t>目　　次</w:t>
          </w:r>
          <w:bookmarkEnd w:id="6"/>
          <w:bookmarkEnd w:id="7"/>
        </w:p>
        <w:p w14:paraId="304D4090">
          <w:pPr>
            <w:pStyle w:val="5"/>
            <w:tabs>
              <w:tab w:val="right" w:leader="dot" w:pos="9354"/>
            </w:tabs>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"_Toc13959" </w:instrText>
          </w:r>
          <w:r>
            <w:fldChar w:fldCharType="separate"/>
          </w:r>
          <w:r>
            <w:rPr>
              <w:rFonts w:hint="eastAsia" w:hAnsi="黑体" w:cs="黑体"/>
              <w:szCs w:val="32"/>
            </w:rPr>
            <w:t>目　　次</w:t>
          </w:r>
          <w:r>
            <w:tab/>
          </w:r>
          <w:r>
            <w:fldChar w:fldCharType="begin"/>
          </w:r>
          <w:r>
            <w:instrText xml:space="preserve"> PAGEREF _Toc13959 \h </w:instrText>
          </w:r>
          <w:r>
            <w:fldChar w:fldCharType="separate"/>
          </w:r>
          <w:r>
            <w:t>I</w:t>
          </w:r>
          <w:r>
            <w:fldChar w:fldCharType="end"/>
          </w:r>
          <w:r>
            <w:fldChar w:fldCharType="end"/>
          </w:r>
        </w:p>
        <w:p w14:paraId="55D9DBE2">
          <w:pPr>
            <w:pStyle w:val="5"/>
            <w:tabs>
              <w:tab w:val="right" w:leader="dot" w:pos="9354"/>
            </w:tabs>
          </w:pPr>
          <w:r>
            <w:fldChar w:fldCharType="begin"/>
          </w:r>
          <w:r>
            <w:instrText xml:space="preserve"> HYPERLINK \l "_Toc21896" </w:instrText>
          </w:r>
          <w:r>
            <w:fldChar w:fldCharType="separate"/>
          </w:r>
          <w:r>
            <w:rPr>
              <w:rFonts w:hint="eastAsia" w:hAnsi="黑体" w:cs="黑体"/>
              <w:szCs w:val="32"/>
            </w:rPr>
            <w:t>前　　言</w:t>
          </w:r>
          <w:r>
            <w:tab/>
          </w:r>
          <w:r>
            <w:fldChar w:fldCharType="begin"/>
          </w:r>
          <w:r>
            <w:instrText xml:space="preserve"> PAGEREF _Toc21896 \h </w:instrText>
          </w:r>
          <w:r>
            <w:fldChar w:fldCharType="separate"/>
          </w:r>
          <w:r>
            <w:t>II</w:t>
          </w:r>
          <w:r>
            <w:fldChar w:fldCharType="end"/>
          </w:r>
          <w:r>
            <w:fldChar w:fldCharType="end"/>
          </w:r>
        </w:p>
        <w:p w14:paraId="560CF4CD">
          <w:pPr>
            <w:pStyle w:val="6"/>
            <w:tabs>
              <w:tab w:val="right" w:leader="dot" w:pos="9354"/>
            </w:tabs>
          </w:pPr>
          <w:r>
            <w:fldChar w:fldCharType="begin"/>
          </w:r>
          <w:r>
            <w:instrText xml:space="preserve"> HYPERLINK \l "_Toc32299" </w:instrText>
          </w:r>
          <w:r>
            <w:fldChar w:fldCharType="separate"/>
          </w:r>
          <w:r>
            <w:rPr>
              <w:rFonts w:hint="eastAsia" w:ascii="黑体" w:hAnsi="Times New Roman"/>
              <w:szCs w:val="21"/>
            </w:rPr>
            <w:t xml:space="preserve">1 </w:t>
          </w:r>
          <w:r>
            <w:rPr>
              <w:rFonts w:hint="eastAsia"/>
            </w:rPr>
            <w:t>总则</w:t>
          </w:r>
          <w:r>
            <w:tab/>
          </w:r>
          <w:r>
            <w:fldChar w:fldCharType="begin"/>
          </w:r>
          <w:r>
            <w:instrText xml:space="preserve"> PAGEREF _Toc32299 \h </w:instrText>
          </w:r>
          <w:r>
            <w:fldChar w:fldCharType="separate"/>
          </w:r>
          <w:r>
            <w:t>1</w:t>
          </w:r>
          <w:r>
            <w:fldChar w:fldCharType="end"/>
          </w:r>
          <w:r>
            <w:fldChar w:fldCharType="end"/>
          </w:r>
        </w:p>
        <w:p w14:paraId="4F9E6C16">
          <w:pPr>
            <w:pStyle w:val="6"/>
            <w:tabs>
              <w:tab w:val="right" w:leader="dot" w:pos="9354"/>
            </w:tabs>
          </w:pPr>
          <w:r>
            <w:fldChar w:fldCharType="begin"/>
          </w:r>
          <w:r>
            <w:instrText xml:space="preserve"> HYPERLINK \l "_Toc28991" </w:instrText>
          </w:r>
          <w:r>
            <w:fldChar w:fldCharType="separate"/>
          </w:r>
          <w:r>
            <w:rPr>
              <w:rFonts w:hint="eastAsia" w:ascii="黑体" w:hAnsi="Times New Roman"/>
              <w:szCs w:val="21"/>
            </w:rPr>
            <w:t xml:space="preserve">2 </w:t>
          </w:r>
          <w:r>
            <w:rPr>
              <w:rFonts w:hint="eastAsia"/>
            </w:rPr>
            <w:t>规范性引用文件</w:t>
          </w:r>
          <w:r>
            <w:tab/>
          </w:r>
          <w:r>
            <w:fldChar w:fldCharType="begin"/>
          </w:r>
          <w:r>
            <w:instrText xml:space="preserve"> PAGEREF _Toc28991 \h </w:instrText>
          </w:r>
          <w:r>
            <w:fldChar w:fldCharType="separate"/>
          </w:r>
          <w:r>
            <w:t>1</w:t>
          </w:r>
          <w:r>
            <w:fldChar w:fldCharType="end"/>
          </w:r>
          <w:r>
            <w:fldChar w:fldCharType="end"/>
          </w:r>
        </w:p>
        <w:p w14:paraId="5F35D2B7">
          <w:pPr>
            <w:pStyle w:val="6"/>
            <w:tabs>
              <w:tab w:val="right" w:leader="dot" w:pos="9354"/>
            </w:tabs>
          </w:pPr>
          <w:r>
            <w:fldChar w:fldCharType="begin"/>
          </w:r>
          <w:r>
            <w:instrText xml:space="preserve"> HYPERLINK \l "_Toc5951" </w:instrText>
          </w:r>
          <w:r>
            <w:fldChar w:fldCharType="separate"/>
          </w:r>
          <w:r>
            <w:rPr>
              <w:rFonts w:hint="eastAsia" w:ascii="黑体" w:hAnsi="Times New Roman"/>
              <w:szCs w:val="21"/>
            </w:rPr>
            <w:t xml:space="preserve">3 </w:t>
          </w:r>
          <w:r>
            <w:rPr>
              <w:rFonts w:hint="eastAsia"/>
            </w:rPr>
            <w:t>术语与定义</w:t>
          </w:r>
          <w:r>
            <w:tab/>
          </w:r>
          <w:r>
            <w:fldChar w:fldCharType="begin"/>
          </w:r>
          <w:r>
            <w:instrText xml:space="preserve"> PAGEREF _Toc5951 \h </w:instrText>
          </w:r>
          <w:r>
            <w:fldChar w:fldCharType="separate"/>
          </w:r>
          <w:r>
            <w:t>1</w:t>
          </w:r>
          <w:r>
            <w:fldChar w:fldCharType="end"/>
          </w:r>
          <w:r>
            <w:fldChar w:fldCharType="end"/>
          </w:r>
        </w:p>
        <w:p w14:paraId="1D7932BB">
          <w:pPr>
            <w:pStyle w:val="6"/>
            <w:tabs>
              <w:tab w:val="right" w:leader="dot" w:pos="9354"/>
            </w:tabs>
          </w:pPr>
          <w:r>
            <w:fldChar w:fldCharType="begin"/>
          </w:r>
          <w:r>
            <w:instrText xml:space="preserve"> HYPERLINK \l "_Toc5368" </w:instrText>
          </w:r>
          <w:r>
            <w:fldChar w:fldCharType="separate"/>
          </w:r>
          <w:r>
            <w:rPr>
              <w:rFonts w:hint="eastAsia" w:ascii="黑体" w:hAnsi="Times New Roman"/>
              <w:szCs w:val="21"/>
            </w:rPr>
            <w:t xml:space="preserve">4 </w:t>
          </w:r>
          <w:r>
            <w:rPr>
              <w:rFonts w:hint="eastAsia"/>
            </w:rPr>
            <w:t>基本规定</w:t>
          </w:r>
          <w:r>
            <w:tab/>
          </w:r>
          <w:r>
            <w:fldChar w:fldCharType="begin"/>
          </w:r>
          <w:r>
            <w:instrText xml:space="preserve"> PAGEREF _Toc5368 \h </w:instrText>
          </w:r>
          <w:r>
            <w:fldChar w:fldCharType="separate"/>
          </w:r>
          <w:r>
            <w:t>2</w:t>
          </w:r>
          <w:r>
            <w:fldChar w:fldCharType="end"/>
          </w:r>
          <w:r>
            <w:fldChar w:fldCharType="end"/>
          </w:r>
        </w:p>
        <w:p w14:paraId="3F5538DD">
          <w:pPr>
            <w:pStyle w:val="6"/>
            <w:tabs>
              <w:tab w:val="right" w:leader="dot" w:pos="9354"/>
            </w:tabs>
          </w:pPr>
          <w:r>
            <w:fldChar w:fldCharType="begin"/>
          </w:r>
          <w:r>
            <w:instrText xml:space="preserve"> HYPERLINK \l "_Toc17487" </w:instrText>
          </w:r>
          <w:r>
            <w:fldChar w:fldCharType="separate"/>
          </w:r>
          <w:r>
            <w:rPr>
              <w:rFonts w:hint="eastAsia" w:ascii="黑体" w:hAnsi="Times New Roman"/>
              <w:szCs w:val="21"/>
            </w:rPr>
            <w:t xml:space="preserve">5 </w:t>
          </w:r>
          <w:r>
            <w:rPr>
              <w:rFonts w:hint="eastAsia"/>
            </w:rPr>
            <w:t>项目监理机构设置、职责及设施</w:t>
          </w:r>
          <w:r>
            <w:tab/>
          </w:r>
          <w:r>
            <w:fldChar w:fldCharType="begin"/>
          </w:r>
          <w:r>
            <w:instrText xml:space="preserve"> PAGEREF _Toc17487 \h </w:instrText>
          </w:r>
          <w:r>
            <w:fldChar w:fldCharType="separate"/>
          </w:r>
          <w:r>
            <w:t>2</w:t>
          </w:r>
          <w:r>
            <w:fldChar w:fldCharType="end"/>
          </w:r>
          <w:r>
            <w:fldChar w:fldCharType="end"/>
          </w:r>
        </w:p>
        <w:p w14:paraId="6CE6FAC9">
          <w:pPr>
            <w:pStyle w:val="2"/>
            <w:tabs>
              <w:tab w:val="right" w:leader="dot" w:pos="9354"/>
            </w:tabs>
          </w:pPr>
          <w:r>
            <w:fldChar w:fldCharType="begin"/>
          </w:r>
          <w:r>
            <w:instrText xml:space="preserve"> HYPERLINK \l "_Toc5558" </w:instrText>
          </w:r>
          <w:r>
            <w:fldChar w:fldCharType="separate"/>
          </w:r>
          <w:r>
            <w:rPr>
              <w:rFonts w:hint="eastAsia" w:ascii="黑体" w:hAnsi="Times New Roman" w:eastAsia="黑体"/>
              <w:kern w:val="0"/>
              <w:szCs w:val="21"/>
            </w:rPr>
            <w:t xml:space="preserve">5.1 </w:t>
          </w:r>
          <w:r>
            <w:rPr>
              <w:rFonts w:hint="eastAsia"/>
            </w:rPr>
            <w:t>项目监理机构设置</w:t>
          </w:r>
          <w:r>
            <w:tab/>
          </w:r>
          <w:r>
            <w:fldChar w:fldCharType="begin"/>
          </w:r>
          <w:r>
            <w:instrText xml:space="preserve"> PAGEREF _Toc5558 \h </w:instrText>
          </w:r>
          <w:r>
            <w:fldChar w:fldCharType="separate"/>
          </w:r>
          <w:r>
            <w:t>2</w:t>
          </w:r>
          <w:r>
            <w:fldChar w:fldCharType="end"/>
          </w:r>
          <w:r>
            <w:fldChar w:fldCharType="end"/>
          </w:r>
        </w:p>
        <w:p w14:paraId="34E94D61">
          <w:pPr>
            <w:pStyle w:val="2"/>
            <w:tabs>
              <w:tab w:val="right" w:leader="dot" w:pos="9354"/>
            </w:tabs>
          </w:pPr>
          <w:r>
            <w:fldChar w:fldCharType="begin"/>
          </w:r>
          <w:r>
            <w:instrText xml:space="preserve"> HYPERLINK \l "_Toc14447" </w:instrText>
          </w:r>
          <w:r>
            <w:fldChar w:fldCharType="separate"/>
          </w:r>
          <w:r>
            <w:rPr>
              <w:rFonts w:hint="eastAsia" w:ascii="黑体" w:hAnsi="Times New Roman" w:eastAsia="黑体"/>
              <w:kern w:val="0"/>
              <w:szCs w:val="21"/>
            </w:rPr>
            <w:t xml:space="preserve">5.2 </w:t>
          </w:r>
          <w:r>
            <w:rPr>
              <w:rFonts w:hint="eastAsia"/>
            </w:rPr>
            <w:t>项目监理机构职责</w:t>
          </w:r>
          <w:r>
            <w:tab/>
          </w:r>
          <w:r>
            <w:fldChar w:fldCharType="begin"/>
          </w:r>
          <w:r>
            <w:instrText xml:space="preserve"> PAGEREF _Toc14447 \h </w:instrText>
          </w:r>
          <w:r>
            <w:fldChar w:fldCharType="separate"/>
          </w:r>
          <w:r>
            <w:t>3</w:t>
          </w:r>
          <w:r>
            <w:fldChar w:fldCharType="end"/>
          </w:r>
          <w:r>
            <w:fldChar w:fldCharType="end"/>
          </w:r>
        </w:p>
        <w:p w14:paraId="203E3C73">
          <w:pPr>
            <w:pStyle w:val="2"/>
            <w:tabs>
              <w:tab w:val="right" w:leader="dot" w:pos="9354"/>
            </w:tabs>
          </w:pPr>
          <w:r>
            <w:fldChar w:fldCharType="begin"/>
          </w:r>
          <w:r>
            <w:instrText xml:space="preserve"> HYPERLINK \l "_Toc11243" </w:instrText>
          </w:r>
          <w:r>
            <w:fldChar w:fldCharType="separate"/>
          </w:r>
          <w:r>
            <w:rPr>
              <w:rFonts w:hint="eastAsia" w:ascii="黑体" w:hAnsi="Times New Roman" w:eastAsia="黑体"/>
              <w:kern w:val="0"/>
              <w:szCs w:val="21"/>
            </w:rPr>
            <w:t xml:space="preserve">5.3 </w:t>
          </w:r>
          <w:r>
            <w:rPr>
              <w:rFonts w:hint="eastAsia"/>
            </w:rPr>
            <w:t>项目监理机构设施</w:t>
          </w:r>
          <w:r>
            <w:tab/>
          </w:r>
          <w:r>
            <w:fldChar w:fldCharType="begin"/>
          </w:r>
          <w:r>
            <w:instrText xml:space="preserve"> PAGEREF _Toc11243 \h </w:instrText>
          </w:r>
          <w:r>
            <w:fldChar w:fldCharType="separate"/>
          </w:r>
          <w:r>
            <w:t>4</w:t>
          </w:r>
          <w:r>
            <w:fldChar w:fldCharType="end"/>
          </w:r>
          <w:r>
            <w:fldChar w:fldCharType="end"/>
          </w:r>
        </w:p>
        <w:p w14:paraId="3031BBA7">
          <w:pPr>
            <w:pStyle w:val="6"/>
            <w:tabs>
              <w:tab w:val="right" w:leader="dot" w:pos="9354"/>
            </w:tabs>
          </w:pPr>
          <w:r>
            <w:fldChar w:fldCharType="begin"/>
          </w:r>
          <w:r>
            <w:instrText xml:space="preserve"> HYPERLINK \l "_Toc7470" </w:instrText>
          </w:r>
          <w:r>
            <w:fldChar w:fldCharType="separate"/>
          </w:r>
          <w:r>
            <w:rPr>
              <w:rFonts w:hint="eastAsia" w:ascii="黑体" w:hAnsi="Times New Roman"/>
              <w:szCs w:val="21"/>
            </w:rPr>
            <w:t xml:space="preserve">6 </w:t>
          </w:r>
          <w:r>
            <w:rPr>
              <w:rFonts w:hint="eastAsia"/>
            </w:rPr>
            <w:t>环境监理工作内容</w:t>
          </w:r>
          <w:r>
            <w:tab/>
          </w:r>
          <w:r>
            <w:fldChar w:fldCharType="begin"/>
          </w:r>
          <w:r>
            <w:instrText xml:space="preserve"> PAGEREF _Toc7470 \h </w:instrText>
          </w:r>
          <w:r>
            <w:fldChar w:fldCharType="separate"/>
          </w:r>
          <w:r>
            <w:t>4</w:t>
          </w:r>
          <w:r>
            <w:fldChar w:fldCharType="end"/>
          </w:r>
          <w:r>
            <w:fldChar w:fldCharType="end"/>
          </w:r>
        </w:p>
        <w:p w14:paraId="26A09DE3">
          <w:pPr>
            <w:pStyle w:val="2"/>
            <w:tabs>
              <w:tab w:val="right" w:leader="dot" w:pos="9354"/>
            </w:tabs>
          </w:pPr>
          <w:r>
            <w:fldChar w:fldCharType="begin"/>
          </w:r>
          <w:r>
            <w:instrText xml:space="preserve"> HYPERLINK \l "_Toc2607" </w:instrText>
          </w:r>
          <w:r>
            <w:fldChar w:fldCharType="separate"/>
          </w:r>
          <w:r>
            <w:rPr>
              <w:rFonts w:hint="eastAsia" w:ascii="黑体" w:hAnsi="Times New Roman" w:eastAsia="黑体"/>
              <w:kern w:val="0"/>
              <w:szCs w:val="21"/>
            </w:rPr>
            <w:t xml:space="preserve">6.1 </w:t>
          </w:r>
          <w:r>
            <w:rPr>
              <w:rFonts w:hint="eastAsia"/>
            </w:rPr>
            <w:t>设计阶段环境监理工作</w:t>
          </w:r>
          <w:r>
            <w:tab/>
          </w:r>
          <w:r>
            <w:fldChar w:fldCharType="begin"/>
          </w:r>
          <w:r>
            <w:instrText xml:space="preserve"> PAGEREF _Toc2607 \h </w:instrText>
          </w:r>
          <w:r>
            <w:fldChar w:fldCharType="separate"/>
          </w:r>
          <w:r>
            <w:t>4</w:t>
          </w:r>
          <w:r>
            <w:fldChar w:fldCharType="end"/>
          </w:r>
          <w:r>
            <w:fldChar w:fldCharType="end"/>
          </w:r>
        </w:p>
        <w:p w14:paraId="0820DA65">
          <w:pPr>
            <w:pStyle w:val="2"/>
            <w:tabs>
              <w:tab w:val="right" w:leader="dot" w:pos="9354"/>
            </w:tabs>
          </w:pPr>
          <w:r>
            <w:fldChar w:fldCharType="begin"/>
          </w:r>
          <w:r>
            <w:instrText xml:space="preserve"> HYPERLINK \l "_Toc21765" </w:instrText>
          </w:r>
          <w:r>
            <w:fldChar w:fldCharType="separate"/>
          </w:r>
          <w:r>
            <w:rPr>
              <w:rFonts w:hint="eastAsia" w:ascii="黑体" w:hAnsi="Times New Roman" w:eastAsia="黑体"/>
              <w:kern w:val="0"/>
              <w:szCs w:val="21"/>
            </w:rPr>
            <w:t xml:space="preserve">6.2 </w:t>
          </w:r>
          <w:r>
            <w:rPr>
              <w:rFonts w:hint="eastAsia"/>
            </w:rPr>
            <w:t>施工准备阶段环境监理工作</w:t>
          </w:r>
          <w:r>
            <w:tab/>
          </w:r>
          <w:r>
            <w:fldChar w:fldCharType="begin"/>
          </w:r>
          <w:r>
            <w:instrText xml:space="preserve"> PAGEREF _Toc21765 \h </w:instrText>
          </w:r>
          <w:r>
            <w:fldChar w:fldCharType="separate"/>
          </w:r>
          <w:r>
            <w:t>4</w:t>
          </w:r>
          <w:r>
            <w:fldChar w:fldCharType="end"/>
          </w:r>
          <w:r>
            <w:fldChar w:fldCharType="end"/>
          </w:r>
        </w:p>
        <w:p w14:paraId="2B03E837">
          <w:pPr>
            <w:pStyle w:val="2"/>
            <w:tabs>
              <w:tab w:val="right" w:leader="dot" w:pos="9354"/>
            </w:tabs>
          </w:pPr>
          <w:r>
            <w:fldChar w:fldCharType="begin"/>
          </w:r>
          <w:r>
            <w:instrText xml:space="preserve"> HYPERLINK \l "_Toc611" </w:instrText>
          </w:r>
          <w:r>
            <w:fldChar w:fldCharType="separate"/>
          </w:r>
          <w:r>
            <w:rPr>
              <w:rFonts w:hint="eastAsia" w:ascii="黑体" w:hAnsi="Times New Roman" w:eastAsia="黑体"/>
              <w:kern w:val="0"/>
              <w:szCs w:val="21"/>
            </w:rPr>
            <w:t xml:space="preserve">6.3 </w:t>
          </w:r>
          <w:r>
            <w:rPr>
              <w:rFonts w:hint="eastAsia"/>
            </w:rPr>
            <w:t>施工阶段环境监理工作</w:t>
          </w:r>
          <w:r>
            <w:tab/>
          </w:r>
          <w:r>
            <w:fldChar w:fldCharType="begin"/>
          </w:r>
          <w:r>
            <w:instrText xml:space="preserve"> PAGEREF _Toc611 \h </w:instrText>
          </w:r>
          <w:r>
            <w:fldChar w:fldCharType="separate"/>
          </w:r>
          <w:r>
            <w:t>6</w:t>
          </w:r>
          <w:r>
            <w:fldChar w:fldCharType="end"/>
          </w:r>
          <w:r>
            <w:fldChar w:fldCharType="end"/>
          </w:r>
        </w:p>
        <w:p w14:paraId="20240C3D">
          <w:pPr>
            <w:pStyle w:val="2"/>
            <w:tabs>
              <w:tab w:val="right" w:leader="dot" w:pos="9354"/>
            </w:tabs>
          </w:pPr>
          <w:r>
            <w:fldChar w:fldCharType="begin"/>
          </w:r>
          <w:r>
            <w:instrText xml:space="preserve"> HYPERLINK \l "_Toc18006" </w:instrText>
          </w:r>
          <w:r>
            <w:fldChar w:fldCharType="separate"/>
          </w:r>
          <w:r>
            <w:rPr>
              <w:rFonts w:hint="eastAsia" w:ascii="黑体" w:hAnsi="Times New Roman" w:eastAsia="黑体"/>
              <w:kern w:val="0"/>
              <w:szCs w:val="21"/>
            </w:rPr>
            <w:t xml:space="preserve">6.4 </w:t>
          </w:r>
          <w:r>
            <w:rPr>
              <w:rFonts w:hint="eastAsia"/>
            </w:rPr>
            <w:t>竣工验收阶段环境监理工作</w:t>
          </w:r>
          <w:r>
            <w:tab/>
          </w:r>
          <w:r>
            <w:fldChar w:fldCharType="begin"/>
          </w:r>
          <w:r>
            <w:instrText xml:space="preserve"> PAGEREF _Toc18006 \h </w:instrText>
          </w:r>
          <w:r>
            <w:fldChar w:fldCharType="separate"/>
          </w:r>
          <w:r>
            <w:t>9</w:t>
          </w:r>
          <w:r>
            <w:fldChar w:fldCharType="end"/>
          </w:r>
          <w:r>
            <w:fldChar w:fldCharType="end"/>
          </w:r>
        </w:p>
        <w:p w14:paraId="6C6DC624">
          <w:pPr>
            <w:pStyle w:val="6"/>
            <w:tabs>
              <w:tab w:val="right" w:leader="dot" w:pos="9354"/>
            </w:tabs>
          </w:pPr>
          <w:r>
            <w:fldChar w:fldCharType="begin"/>
          </w:r>
          <w:r>
            <w:instrText xml:space="preserve"> HYPERLINK \l "_Toc30027" </w:instrText>
          </w:r>
          <w:r>
            <w:fldChar w:fldCharType="separate"/>
          </w:r>
          <w:r>
            <w:rPr>
              <w:rFonts w:hint="eastAsia" w:ascii="黑体" w:hAnsi="Times New Roman"/>
              <w:szCs w:val="21"/>
            </w:rPr>
            <w:t xml:space="preserve">7 </w:t>
          </w:r>
          <w:r>
            <w:rPr>
              <w:rFonts w:hint="eastAsia"/>
            </w:rPr>
            <w:t>水土保持监理工作内容</w:t>
          </w:r>
          <w:r>
            <w:tab/>
          </w:r>
          <w:r>
            <w:fldChar w:fldCharType="begin"/>
          </w:r>
          <w:r>
            <w:instrText xml:space="preserve"> PAGEREF _Toc30027 \h </w:instrText>
          </w:r>
          <w:r>
            <w:fldChar w:fldCharType="separate"/>
          </w:r>
          <w:r>
            <w:t>10</w:t>
          </w:r>
          <w:r>
            <w:fldChar w:fldCharType="end"/>
          </w:r>
          <w:r>
            <w:fldChar w:fldCharType="end"/>
          </w:r>
        </w:p>
        <w:p w14:paraId="487E10D5">
          <w:pPr>
            <w:pStyle w:val="2"/>
            <w:tabs>
              <w:tab w:val="right" w:leader="dot" w:pos="9354"/>
            </w:tabs>
          </w:pPr>
          <w:r>
            <w:fldChar w:fldCharType="begin"/>
          </w:r>
          <w:r>
            <w:instrText xml:space="preserve"> HYPERLINK \l "_Toc6959" </w:instrText>
          </w:r>
          <w:r>
            <w:fldChar w:fldCharType="separate"/>
          </w:r>
          <w:r>
            <w:rPr>
              <w:rFonts w:hint="eastAsia" w:ascii="黑体" w:hAnsi="Times New Roman" w:eastAsia="黑体"/>
              <w:kern w:val="0"/>
              <w:szCs w:val="21"/>
            </w:rPr>
            <w:t xml:space="preserve">7.1 </w:t>
          </w:r>
          <w:r>
            <w:rPr>
              <w:rFonts w:hint="eastAsia"/>
            </w:rPr>
            <w:t>设计阶段水土保持监理工作</w:t>
          </w:r>
          <w:r>
            <w:tab/>
          </w:r>
          <w:r>
            <w:fldChar w:fldCharType="begin"/>
          </w:r>
          <w:r>
            <w:instrText xml:space="preserve"> PAGEREF _Toc6959 \h </w:instrText>
          </w:r>
          <w:r>
            <w:fldChar w:fldCharType="separate"/>
          </w:r>
          <w:r>
            <w:t>10</w:t>
          </w:r>
          <w:r>
            <w:fldChar w:fldCharType="end"/>
          </w:r>
          <w:r>
            <w:fldChar w:fldCharType="end"/>
          </w:r>
        </w:p>
        <w:p w14:paraId="0CBD96C1">
          <w:pPr>
            <w:pStyle w:val="2"/>
            <w:tabs>
              <w:tab w:val="right" w:leader="dot" w:pos="9354"/>
            </w:tabs>
          </w:pPr>
          <w:r>
            <w:fldChar w:fldCharType="begin"/>
          </w:r>
          <w:r>
            <w:instrText xml:space="preserve"> HYPERLINK \l "_Toc26537" </w:instrText>
          </w:r>
          <w:r>
            <w:fldChar w:fldCharType="separate"/>
          </w:r>
          <w:r>
            <w:rPr>
              <w:rFonts w:hint="eastAsia" w:ascii="黑体" w:hAnsi="Times New Roman" w:eastAsia="黑体"/>
              <w:kern w:val="0"/>
              <w:szCs w:val="21"/>
            </w:rPr>
            <w:t xml:space="preserve">7.2 </w:t>
          </w:r>
          <w:r>
            <w:rPr>
              <w:rFonts w:hint="eastAsia"/>
            </w:rPr>
            <w:t>施工准备阶段水土保持监理工作</w:t>
          </w:r>
          <w:r>
            <w:tab/>
          </w:r>
          <w:r>
            <w:fldChar w:fldCharType="begin"/>
          </w:r>
          <w:r>
            <w:instrText xml:space="preserve"> PAGEREF _Toc26537 \h </w:instrText>
          </w:r>
          <w:r>
            <w:fldChar w:fldCharType="separate"/>
          </w:r>
          <w:r>
            <w:t>11</w:t>
          </w:r>
          <w:r>
            <w:fldChar w:fldCharType="end"/>
          </w:r>
          <w:r>
            <w:fldChar w:fldCharType="end"/>
          </w:r>
        </w:p>
        <w:p w14:paraId="08E15228">
          <w:pPr>
            <w:pStyle w:val="2"/>
            <w:tabs>
              <w:tab w:val="right" w:leader="dot" w:pos="9354"/>
            </w:tabs>
          </w:pPr>
          <w:r>
            <w:fldChar w:fldCharType="begin"/>
          </w:r>
          <w:r>
            <w:instrText xml:space="preserve"> HYPERLINK \l "_Toc1142" </w:instrText>
          </w:r>
          <w:r>
            <w:fldChar w:fldCharType="separate"/>
          </w:r>
          <w:r>
            <w:rPr>
              <w:rFonts w:hint="eastAsia" w:ascii="黑体" w:hAnsi="Times New Roman" w:eastAsia="黑体"/>
              <w:kern w:val="0"/>
              <w:szCs w:val="21"/>
            </w:rPr>
            <w:t xml:space="preserve">7.3 </w:t>
          </w:r>
          <w:r>
            <w:rPr>
              <w:rFonts w:hint="eastAsia"/>
            </w:rPr>
            <w:t>施工阶段水土保持监理工作</w:t>
          </w:r>
          <w:r>
            <w:tab/>
          </w:r>
          <w:r>
            <w:fldChar w:fldCharType="begin"/>
          </w:r>
          <w:r>
            <w:instrText xml:space="preserve"> PAGEREF _Toc1142 \h </w:instrText>
          </w:r>
          <w:r>
            <w:fldChar w:fldCharType="separate"/>
          </w:r>
          <w:r>
            <w:t>13</w:t>
          </w:r>
          <w:r>
            <w:fldChar w:fldCharType="end"/>
          </w:r>
          <w:r>
            <w:fldChar w:fldCharType="end"/>
          </w:r>
        </w:p>
        <w:p w14:paraId="20859D42">
          <w:pPr>
            <w:pStyle w:val="2"/>
            <w:tabs>
              <w:tab w:val="right" w:leader="dot" w:pos="9354"/>
            </w:tabs>
          </w:pPr>
          <w:r>
            <w:fldChar w:fldCharType="begin"/>
          </w:r>
          <w:r>
            <w:instrText xml:space="preserve"> HYPERLINK \l "_Toc12625" </w:instrText>
          </w:r>
          <w:r>
            <w:fldChar w:fldCharType="separate"/>
          </w:r>
          <w:r>
            <w:rPr>
              <w:rFonts w:hint="eastAsia"/>
            </w:rPr>
            <w:t>7.4 竣工验收阶段水土保持监理工作</w:t>
          </w:r>
          <w:r>
            <w:tab/>
          </w:r>
          <w:r>
            <w:fldChar w:fldCharType="begin"/>
          </w:r>
          <w:r>
            <w:instrText xml:space="preserve"> PAGEREF _Toc12625 \h </w:instrText>
          </w:r>
          <w:r>
            <w:fldChar w:fldCharType="separate"/>
          </w:r>
          <w:r>
            <w:t>16</w:t>
          </w:r>
          <w:r>
            <w:fldChar w:fldCharType="end"/>
          </w:r>
          <w:r>
            <w:fldChar w:fldCharType="end"/>
          </w:r>
        </w:p>
        <w:p w14:paraId="167F1FE7">
          <w:pPr>
            <w:pStyle w:val="6"/>
            <w:tabs>
              <w:tab w:val="right" w:leader="dot" w:pos="9354"/>
            </w:tabs>
          </w:pPr>
          <w:r>
            <w:fldChar w:fldCharType="begin"/>
          </w:r>
          <w:r>
            <w:instrText xml:space="preserve"> HYPERLINK \l "_Toc17193" </w:instrText>
          </w:r>
          <w:r>
            <w:fldChar w:fldCharType="separate"/>
          </w:r>
          <w:r>
            <w:rPr>
              <w:rFonts w:hint="eastAsia" w:ascii="黑体" w:hAnsi="Times New Roman"/>
              <w:szCs w:val="21"/>
            </w:rPr>
            <w:t xml:space="preserve">8 </w:t>
          </w:r>
          <w:r>
            <w:rPr>
              <w:rFonts w:hint="eastAsia"/>
            </w:rPr>
            <w:t>文件资料管理工作</w:t>
          </w:r>
          <w:r>
            <w:tab/>
          </w:r>
          <w:r>
            <w:fldChar w:fldCharType="begin"/>
          </w:r>
          <w:r>
            <w:instrText xml:space="preserve"> PAGEREF _Toc17193 \h </w:instrText>
          </w:r>
          <w:r>
            <w:fldChar w:fldCharType="separate"/>
          </w:r>
          <w:r>
            <w:t>17</w:t>
          </w:r>
          <w:r>
            <w:fldChar w:fldCharType="end"/>
          </w:r>
          <w:r>
            <w:fldChar w:fldCharType="end"/>
          </w:r>
        </w:p>
        <w:p w14:paraId="1CE0F171">
          <w:pPr>
            <w:pStyle w:val="6"/>
            <w:tabs>
              <w:tab w:val="right" w:leader="dot" w:pos="9354"/>
            </w:tabs>
          </w:pPr>
          <w:r>
            <w:fldChar w:fldCharType="begin"/>
          </w:r>
          <w:r>
            <w:instrText xml:space="preserve"> HYPERLINK \l "_Toc7641" </w:instrText>
          </w:r>
          <w:r>
            <w:fldChar w:fldCharType="separate"/>
          </w:r>
          <w:r>
            <w:rPr>
              <w:rFonts w:hint="eastAsia" w:hAnsi="Times New Roman"/>
            </w:rPr>
            <w:t>附录A环境监理用表及报告样式</w:t>
          </w:r>
          <w:r>
            <w:tab/>
          </w:r>
          <w:r>
            <w:fldChar w:fldCharType="begin"/>
          </w:r>
          <w:r>
            <w:instrText xml:space="preserve"> PAGEREF _Toc7641 \h </w:instrText>
          </w:r>
          <w:r>
            <w:fldChar w:fldCharType="separate"/>
          </w:r>
          <w:r>
            <w:t>18</w:t>
          </w:r>
          <w:r>
            <w:fldChar w:fldCharType="end"/>
          </w:r>
          <w:r>
            <w:fldChar w:fldCharType="end"/>
          </w:r>
        </w:p>
        <w:p w14:paraId="03C1AE9F">
          <w:pPr>
            <w:pStyle w:val="6"/>
            <w:tabs>
              <w:tab w:val="right" w:leader="dot" w:pos="9354"/>
            </w:tabs>
          </w:pPr>
          <w:r>
            <w:fldChar w:fldCharType="begin"/>
          </w:r>
          <w:r>
            <w:instrText xml:space="preserve"> HYPERLINK \l "_Toc4303" </w:instrText>
          </w:r>
          <w:r>
            <w:fldChar w:fldCharType="separate"/>
          </w:r>
          <w:r>
            <w:rPr>
              <w:rFonts w:hint="eastAsia" w:hAnsi="Times New Roman"/>
            </w:rPr>
            <w:t>附录B水土保持监理用表及报告样式</w:t>
          </w:r>
          <w:r>
            <w:tab/>
          </w:r>
          <w:r>
            <w:fldChar w:fldCharType="begin"/>
          </w:r>
          <w:r>
            <w:instrText xml:space="preserve"> PAGEREF _Toc4303 \h </w:instrText>
          </w:r>
          <w:r>
            <w:fldChar w:fldCharType="separate"/>
          </w:r>
          <w:r>
            <w:t>22</w:t>
          </w:r>
          <w:r>
            <w:fldChar w:fldCharType="end"/>
          </w:r>
          <w:r>
            <w:fldChar w:fldCharType="end"/>
          </w:r>
        </w:p>
        <w:p w14:paraId="17A0D08F">
          <w:pPr>
            <w:pStyle w:val="6"/>
            <w:tabs>
              <w:tab w:val="right" w:leader="dot" w:pos="9354"/>
            </w:tabs>
          </w:pPr>
          <w:r>
            <w:fldChar w:fldCharType="begin"/>
          </w:r>
          <w:r>
            <w:instrText xml:space="preserve"> HYPERLINK \l "_Toc21456" </w:instrText>
          </w:r>
          <w:r>
            <w:fldChar w:fldCharType="separate"/>
          </w:r>
          <w:r>
            <w:rPr>
              <w:rFonts w:hint="eastAsia" w:hAnsi="Times New Roman"/>
            </w:rPr>
            <w:t>附录C环境</w:t>
          </w:r>
          <w:r>
            <w:rPr>
              <w:rFonts w:hint="eastAsia"/>
            </w:rPr>
            <w:t>保护</w:t>
          </w:r>
          <w:r>
            <w:rPr>
              <w:rFonts w:hint="eastAsia" w:hAnsi="Times New Roman"/>
            </w:rPr>
            <w:t>监理</w:t>
          </w:r>
          <w:r>
            <w:rPr>
              <w:rFonts w:hint="eastAsia"/>
            </w:rPr>
            <w:t>主要文件</w:t>
          </w:r>
          <w:r>
            <w:rPr>
              <w:rFonts w:hint="eastAsia" w:hAnsi="Times New Roman"/>
            </w:rPr>
            <w:t>资料清单</w:t>
          </w:r>
          <w:r>
            <w:tab/>
          </w:r>
          <w:r>
            <w:fldChar w:fldCharType="begin"/>
          </w:r>
          <w:r>
            <w:instrText xml:space="preserve"> PAGEREF _Toc21456 \h </w:instrText>
          </w:r>
          <w:r>
            <w:fldChar w:fldCharType="separate"/>
          </w:r>
          <w:r>
            <w:t>26</w:t>
          </w:r>
          <w:r>
            <w:fldChar w:fldCharType="end"/>
          </w:r>
          <w:r>
            <w:fldChar w:fldCharType="end"/>
          </w:r>
        </w:p>
        <w:p w14:paraId="3F4E9C32">
          <w:pPr>
            <w:pStyle w:val="6"/>
            <w:tabs>
              <w:tab w:val="right" w:leader="dot" w:pos="9354"/>
            </w:tabs>
          </w:pPr>
          <w:r>
            <w:fldChar w:fldCharType="begin"/>
          </w:r>
          <w:r>
            <w:instrText xml:space="preserve"> HYPERLINK \l "_Toc2132" </w:instrText>
          </w:r>
          <w:r>
            <w:fldChar w:fldCharType="separate"/>
          </w:r>
          <w:r>
            <w:rPr>
              <w:rFonts w:hint="eastAsia" w:hAnsi="Times New Roman"/>
            </w:rPr>
            <w:t>附录D水土保持监理</w:t>
          </w:r>
          <w:r>
            <w:rPr>
              <w:rFonts w:hint="eastAsia"/>
            </w:rPr>
            <w:t>主要文件</w:t>
          </w:r>
          <w:r>
            <w:rPr>
              <w:rFonts w:hint="eastAsia" w:hAnsi="Times New Roman"/>
            </w:rPr>
            <w:t>资料清单</w:t>
          </w:r>
          <w:r>
            <w:tab/>
          </w:r>
          <w:r>
            <w:fldChar w:fldCharType="begin"/>
          </w:r>
          <w:r>
            <w:instrText xml:space="preserve"> PAGEREF _Toc2132 \h </w:instrText>
          </w:r>
          <w:r>
            <w:fldChar w:fldCharType="separate"/>
          </w:r>
          <w:r>
            <w:t>27</w:t>
          </w:r>
          <w:r>
            <w:fldChar w:fldCharType="end"/>
          </w:r>
          <w:r>
            <w:fldChar w:fldCharType="end"/>
          </w:r>
        </w:p>
        <w:p w14:paraId="3DA9C2FF">
          <w:pPr>
            <w:rPr>
              <w:rFonts w:ascii="宋体" w:hAnsi="宋体"/>
            </w:rPr>
          </w:pPr>
          <w:r>
            <w:rPr>
              <w:rFonts w:ascii="宋体" w:hAnsi="宋体"/>
              <w:bCs/>
              <w:lang w:val="zh-CN"/>
            </w:rPr>
            <w:fldChar w:fldCharType="end"/>
          </w:r>
        </w:p>
      </w:sdtContent>
    </w:sdt>
    <w:p w14:paraId="7B3B2E3B">
      <w:pPr>
        <w:pStyle w:val="15"/>
        <w:spacing w:line="460" w:lineRule="exact"/>
        <w:rPr>
          <w:rFonts w:hAnsi="黑体" w:cs="黑体"/>
          <w:color w:val="000000" w:themeColor="text1"/>
          <w:kern w:val="2"/>
          <w:szCs w:val="32"/>
          <w14:textFill>
            <w14:solidFill>
              <w14:schemeClr w14:val="tx1"/>
            </w14:solidFill>
          </w14:textFill>
        </w:rPr>
        <w:sectPr>
          <w:headerReference r:id="rId4" w:type="default"/>
          <w:footerReference r:id="rId5" w:type="default"/>
          <w:footerReference r:id="rId6" w:type="even"/>
          <w:pgSz w:w="11906" w:h="16838"/>
          <w:pgMar w:top="1418" w:right="1134" w:bottom="1134" w:left="1418" w:header="1418" w:footer="1134" w:gutter="0"/>
          <w:pgNumType w:fmt="upperRoman" w:start="1"/>
          <w:cols w:space="720" w:num="1"/>
          <w:formProt w:val="0"/>
          <w:docGrid w:type="lines" w:linePitch="312" w:charSpace="0"/>
        </w:sectPr>
      </w:pPr>
    </w:p>
    <w:bookmarkEnd w:id="8"/>
    <w:bookmarkEnd w:id="9"/>
    <w:p w14:paraId="1C8B19F0">
      <w:pPr>
        <w:pStyle w:val="15"/>
        <w:spacing w:line="460" w:lineRule="exact"/>
        <w:rPr>
          <w:color w:val="000000" w:themeColor="text1"/>
          <w14:textFill>
            <w14:solidFill>
              <w14:schemeClr w14:val="tx1"/>
            </w14:solidFill>
          </w14:textFill>
        </w:rPr>
      </w:pPr>
      <w:bookmarkStart w:id="10" w:name="_Toc21896"/>
      <w:r>
        <w:rPr>
          <w:rFonts w:hint="eastAsia" w:hAnsi="黑体" w:cs="黑体"/>
          <w:color w:val="000000" w:themeColor="text1"/>
          <w:kern w:val="2"/>
          <w:szCs w:val="32"/>
          <w14:textFill>
            <w14:solidFill>
              <w14:schemeClr w14:val="tx1"/>
            </w14:solidFill>
          </w14:textFill>
        </w:rPr>
        <w:t>前　　言</w:t>
      </w:r>
      <w:bookmarkEnd w:id="10"/>
    </w:p>
    <w:p w14:paraId="4B03D5A2">
      <w:pPr>
        <w:rPr>
          <w:color w:val="000000" w:themeColor="text1"/>
          <w:sz w:val="22"/>
          <w14:textFill>
            <w14:solidFill>
              <w14:schemeClr w14:val="tx1"/>
            </w14:solidFill>
          </w14:textFill>
        </w:rPr>
      </w:pPr>
    </w:p>
    <w:p w14:paraId="55C2A461">
      <w:pPr>
        <w:pStyle w:val="16"/>
        <w:autoSpaceDE/>
        <w:autoSpaceDN/>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本标准按照GB/T 1.1-2020《标准化工作导则  第1部分：标准化文件的结构和起草规则》 给出的规则起草。</w:t>
      </w:r>
    </w:p>
    <w:p w14:paraId="11CE4EEB">
      <w:pPr>
        <w:pStyle w:val="16"/>
        <w:rPr>
          <w:color w:val="000000" w:themeColor="text1"/>
          <w:szCs w:val="22"/>
          <w14:textFill>
            <w14:solidFill>
              <w14:schemeClr w14:val="tx1"/>
            </w14:solidFill>
          </w14:textFill>
        </w:rPr>
      </w:pPr>
      <w:r>
        <w:rPr>
          <w:rFonts w:hint="eastAsia" w:ascii="Times New Roman"/>
          <w:color w:val="000000" w:themeColor="text1"/>
          <w14:textFill>
            <w14:solidFill>
              <w14:schemeClr w14:val="tx1"/>
            </w14:solidFill>
          </w14:textFill>
        </w:rPr>
        <w:t>请注意本标准的某些内容可能涉及专利，本标准的发布机构不承担识别这些专利的责任。</w:t>
      </w:r>
    </w:p>
    <w:p w14:paraId="03BB7D4A">
      <w:pPr>
        <w:pStyle w:val="16"/>
        <w:rPr>
          <w:color w:val="000000" w:themeColor="text1"/>
          <w:szCs w:val="22"/>
          <w14:textFill>
            <w14:solidFill>
              <w14:schemeClr w14:val="tx1"/>
            </w14:solidFill>
          </w14:textFill>
        </w:rPr>
      </w:pPr>
      <w:r>
        <w:rPr>
          <w:rFonts w:hint="eastAsia" w:ascii="Times New Roman"/>
          <w:color w:val="000000" w:themeColor="text1"/>
          <w14:textFill>
            <w14:solidFill>
              <w14:schemeClr w14:val="tx1"/>
            </w14:solidFill>
          </w14:textFill>
        </w:rPr>
        <w:t>本标准由中国电力企业联合会能源行业涉 提出、归口管理并负责解释。</w:t>
      </w:r>
    </w:p>
    <w:p w14:paraId="0DF307FB">
      <w:pPr>
        <w:pStyle w:val="1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本标准起草单位：</w:t>
      </w:r>
      <w:r>
        <w:rPr>
          <w:rFonts w:hint="eastAsia" w:ascii="Times New Roman"/>
          <w:color w:val="000000" w:themeColor="text1"/>
          <w:lang w:bidi="ar"/>
          <w14:textFill>
            <w14:solidFill>
              <w14:schemeClr w14:val="tx1"/>
            </w14:solidFill>
          </w14:textFill>
        </w:rPr>
        <w:t>。。。。</w:t>
      </w:r>
      <w:r>
        <w:rPr>
          <w:rFonts w:hint="eastAsia" w:ascii="Times New Roman"/>
          <w:color w:val="000000" w:themeColor="text1"/>
          <w14:textFill>
            <w14:solidFill>
              <w14:schemeClr w14:val="tx1"/>
            </w14:solidFill>
          </w14:textFill>
        </w:rPr>
        <w:t>。。</w:t>
      </w:r>
    </w:p>
    <w:p w14:paraId="743B9431">
      <w:pPr>
        <w:pStyle w:val="1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本标准主要起草人：。。。。。。</w:t>
      </w:r>
    </w:p>
    <w:p w14:paraId="49BA8145">
      <w:pPr>
        <w:ind w:firstLine="420"/>
        <w:rPr>
          <w:color w:val="000000" w:themeColor="text1"/>
          <w14:textFill>
            <w14:solidFill>
              <w14:schemeClr w14:val="tx1"/>
            </w14:solidFill>
          </w14:textFill>
        </w:rPr>
        <w:sectPr>
          <w:footerReference r:id="rId7" w:type="default"/>
          <w:footerReference r:id="rId8" w:type="even"/>
          <w:pgSz w:w="11906" w:h="16838"/>
          <w:pgMar w:top="567" w:right="1134" w:bottom="1134" w:left="1418" w:header="1418" w:footer="1134" w:gutter="0"/>
          <w:pgNumType w:fmt="upperRoman"/>
          <w:cols w:space="720" w:num="1"/>
          <w:formProt w:val="0"/>
          <w:docGrid w:type="lines" w:linePitch="312" w:charSpace="0"/>
        </w:sectPr>
      </w:pPr>
      <w:r>
        <w:rPr>
          <w:rFonts w:hint="eastAsia" w:ascii="Times New Roman"/>
          <w:color w:val="000000" w:themeColor="text1"/>
          <w14:textFill>
            <w14:solidFill>
              <w14:schemeClr w14:val="tx1"/>
            </w14:solidFill>
          </w14:textFill>
        </w:rPr>
        <w:t>本标准在执行过程中的意见或建议反馈至中国电力企业联合会标准化管理中心（北京市白广路二条一号，100761）。</w:t>
      </w:r>
    </w:p>
    <w:p w14:paraId="2CB2F9C8">
      <w:pPr>
        <w:pStyle w:val="17"/>
      </w:pPr>
      <w:r>
        <w:rPr>
          <w:rFonts w:hint="eastAsia"/>
        </w:rPr>
        <w:t>输变电工程环保水保监理导则</w:t>
      </w:r>
    </w:p>
    <w:p w14:paraId="4172CAC3">
      <w:pPr>
        <w:pStyle w:val="18"/>
      </w:pPr>
      <w:bookmarkStart w:id="11" w:name="_Toc32299"/>
      <w:r>
        <w:rPr>
          <w:rFonts w:hint="eastAsia"/>
        </w:rPr>
        <w:t>总则</w:t>
      </w:r>
      <w:bookmarkEnd w:id="11"/>
    </w:p>
    <w:p w14:paraId="76A0C8A0">
      <w:pPr>
        <w:pStyle w:val="16"/>
        <w:rPr>
          <w:color w:val="000000" w:themeColor="text1"/>
          <w14:textFill>
            <w14:solidFill>
              <w14:schemeClr w14:val="tx1"/>
            </w14:solidFill>
          </w14:textFill>
        </w:rPr>
      </w:pPr>
      <w:r>
        <w:rPr>
          <w:rFonts w:hint="eastAsia" w:ascii="Times New Roman"/>
        </w:rPr>
        <w:t xml:space="preserve">1.0.1 </w:t>
      </w:r>
      <w:r>
        <w:rPr>
          <w:rFonts w:hint="eastAsia"/>
          <w:color w:val="000000" w:themeColor="text1"/>
          <w14:textFill>
            <w14:solidFill>
              <w14:schemeClr w14:val="tx1"/>
            </w14:solidFill>
          </w14:textFill>
        </w:rPr>
        <w:t>本文件规定了输变电工程环境监理和水土保持监理的组织机构、工作职责、工作内容、文件资料管理等要求。</w:t>
      </w:r>
    </w:p>
    <w:p w14:paraId="7BB88550">
      <w:pPr>
        <w:pStyle w:val="16"/>
      </w:pPr>
      <w:r>
        <w:rPr>
          <w:rFonts w:hint="eastAsia" w:ascii="Times New Roman"/>
        </w:rPr>
        <w:t xml:space="preserve">1.0.2 </w:t>
      </w:r>
      <w:r>
        <w:rPr>
          <w:rFonts w:hint="eastAsia"/>
          <w:color w:val="000000" w:themeColor="text1"/>
          <w14:textFill>
            <w14:solidFill>
              <w14:schemeClr w14:val="tx1"/>
            </w14:solidFill>
          </w14:textFill>
        </w:rPr>
        <w:t>本文件适用于新建、扩建、改建的35kV及以上输变电工程环境监理和水土保持监理。</w:t>
      </w:r>
    </w:p>
    <w:p w14:paraId="47160A5A">
      <w:pPr>
        <w:pStyle w:val="18"/>
      </w:pPr>
      <w:bookmarkStart w:id="12" w:name="_Toc28991"/>
      <w:r>
        <w:rPr>
          <w:rFonts w:hint="eastAsia"/>
        </w:rPr>
        <w:t>规范性引用文件</w:t>
      </w:r>
      <w:bookmarkEnd w:id="12"/>
    </w:p>
    <w:p w14:paraId="31645EB2">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下列文件对于本文件的应用是必不可少的。凡是注日期的引用文件，仅所注日期的版本适用于本文件。凡是不注日期的引用文件，其最新版本（包括所有的修改单）适用于本文件。</w:t>
      </w:r>
    </w:p>
    <w:p w14:paraId="65C81B7A">
      <w:pPr>
        <w:pStyle w:val="16"/>
        <w:rPr>
          <w:color w:val="000000" w:themeColor="text1"/>
          <w14:textFill>
            <w14:solidFill>
              <w14:schemeClr w14:val="tx1"/>
            </w14:solidFill>
          </w14:textFill>
        </w:rPr>
      </w:pPr>
      <w:r>
        <w:rPr>
          <w:color w:val="000000" w:themeColor="text1"/>
          <w14:textFill>
            <w14:solidFill>
              <w14:schemeClr w14:val="tx1"/>
            </w14:solidFill>
          </w14:textFill>
        </w:rPr>
        <w:t>DL/T XXXX-XXXX XXXXXXXXXXXXXX</w:t>
      </w:r>
    </w:p>
    <w:p w14:paraId="13B77079">
      <w:pPr>
        <w:pStyle w:val="16"/>
        <w:rPr>
          <w:color w:val="000000" w:themeColor="text1"/>
          <w14:textFill>
            <w14:solidFill>
              <w14:schemeClr w14:val="tx1"/>
            </w14:solidFill>
          </w14:textFill>
        </w:rPr>
      </w:pPr>
      <w:r>
        <w:rPr>
          <w:color w:val="000000" w:themeColor="text1"/>
          <w14:textFill>
            <w14:solidFill>
              <w14:schemeClr w14:val="tx1"/>
            </w14:solidFill>
          </w14:textFill>
        </w:rPr>
        <w:t>《水利部关于进一步深化“放管服”改革全面加强水土保持监管的意见》〈水保（2019)160号〕</w:t>
      </w:r>
    </w:p>
    <w:p w14:paraId="3BBC3D2C">
      <w:pPr>
        <w:pStyle w:val="16"/>
        <w:rPr>
          <w:color w:val="000000" w:themeColor="text1"/>
          <w14:textFill>
            <w14:solidFill>
              <w14:schemeClr w14:val="tx1"/>
            </w14:solidFill>
          </w14:textFill>
        </w:rPr>
      </w:pPr>
      <w:r>
        <w:rPr>
          <w:color w:val="000000" w:themeColor="text1"/>
          <w14:textFill>
            <w14:solidFill>
              <w14:schemeClr w14:val="tx1"/>
            </w14:solidFill>
          </w14:textFill>
        </w:rPr>
        <w:t>《关于进一步加强环境监理工作若干意见的通知》环发〔1999〕141号</w:t>
      </w:r>
    </w:p>
    <w:p w14:paraId="3763510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 3096《声环境质量标准》</w:t>
      </w:r>
    </w:p>
    <w:p w14:paraId="713BECB0">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GB12523《建筑施工场界环境噪声排放标准》</w:t>
      </w:r>
    </w:p>
    <w:p w14:paraId="56C8E1F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GB8978《污水综合排放标准》</w:t>
      </w:r>
    </w:p>
    <w:p w14:paraId="08D19C30">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GB16297《大气污染物综合排放标准》</w:t>
      </w:r>
    </w:p>
    <w:p w14:paraId="3035D47C">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GB3095《环境空气质量标准》</w:t>
      </w:r>
    </w:p>
    <w:p w14:paraId="0D5C0F6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GB18599《一般工业固体废物贮存和填埋污控制标准》</w:t>
      </w:r>
    </w:p>
    <w:p w14:paraId="6F8FF24B">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GB18597《危险废物贮存污染控制标准》</w:t>
      </w:r>
    </w:p>
    <w:p w14:paraId="71768E86">
      <w:pPr>
        <w:pStyle w:val="16"/>
      </w:pPr>
      <w:r>
        <w:rPr>
          <w:rFonts w:hint="eastAsia"/>
          <w:color w:val="000000" w:themeColor="text1"/>
          <w14:textFill>
            <w14:solidFill>
              <w14:schemeClr w14:val="tx1"/>
            </w14:solidFill>
          </w14:textFill>
        </w:rPr>
        <w:t>DL/T 5434</w:t>
      </w:r>
      <w:r>
        <w:rPr>
          <w:rFonts w:hint="eastAsia"/>
        </w:rPr>
        <w:t>《电力建设工程监理规范》</w:t>
      </w:r>
    </w:p>
    <w:p w14:paraId="10B90A02">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T/CEC 5089《电网工程监理导则》</w:t>
      </w:r>
    </w:p>
    <w:p w14:paraId="71B5F27C">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SL/T523-2024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水土保持监理规范</w:t>
      </w:r>
      <w:r>
        <w:rPr>
          <w:color w:val="000000" w:themeColor="text1"/>
          <w14:textFill>
            <w14:solidFill>
              <w14:schemeClr w14:val="tx1"/>
            </w14:solidFill>
          </w14:textFill>
        </w:rPr>
        <w:t>》</w:t>
      </w:r>
    </w:p>
    <w:p w14:paraId="27B15F5A">
      <w:pPr>
        <w:pStyle w:val="16"/>
      </w:pPr>
      <w:r>
        <w:rPr>
          <w:rFonts w:hint="eastAsia"/>
          <w:color w:val="000000" w:themeColor="text1"/>
          <w14:textFill>
            <w14:solidFill>
              <w14:schemeClr w14:val="tx1"/>
            </w14:solidFill>
          </w14:textFill>
        </w:rPr>
        <w:t>SL_T 336-2025《水土保持工程质量验收与评价规范》</w:t>
      </w:r>
    </w:p>
    <w:p w14:paraId="451B6BEF">
      <w:pPr>
        <w:pStyle w:val="18"/>
      </w:pPr>
      <w:bookmarkStart w:id="13" w:name="_Toc5951"/>
      <w:r>
        <w:rPr>
          <w:rFonts w:hint="eastAsia"/>
        </w:rPr>
        <w:t>术语与定义</w:t>
      </w:r>
      <w:bookmarkEnd w:id="13"/>
    </w:p>
    <w:p w14:paraId="4B0589BB">
      <w:pPr>
        <w:pStyle w:val="16"/>
        <w:rPr>
          <w:color w:val="000000" w:themeColor="text1"/>
          <w14:textFill>
            <w14:solidFill>
              <w14:schemeClr w14:val="tx1"/>
            </w14:solidFill>
          </w14:textFill>
        </w:rPr>
      </w:pPr>
      <w:r>
        <w:rPr>
          <w:rFonts w:hint="eastAsia"/>
        </w:rPr>
        <w:t>ISBN978-7-5198-8316-4、ISBN978-7-5198-8377-5界定的以及下列术语和定义适用于本文件</w:t>
      </w:r>
      <w:r>
        <w:rPr>
          <w:rFonts w:hint="eastAsia"/>
          <w:color w:val="000000" w:themeColor="text1"/>
          <w14:textFill>
            <w14:solidFill>
              <w14:schemeClr w14:val="tx1"/>
            </w14:solidFill>
          </w14:textFill>
        </w:rPr>
        <w:t>。</w:t>
      </w:r>
    </w:p>
    <w:p w14:paraId="06884096">
      <w:pPr>
        <w:pStyle w:val="16"/>
        <w:autoSpaceDE/>
        <w:autoSpaceDN/>
        <w:spacing w:before="156" w:beforeLines="50" w:after="156" w:afterLines="50"/>
        <w:ind w:firstLine="0" w:firstLineChars="0"/>
        <w:rPr>
          <w:rFonts w:ascii="黑体" w:hAnsi="黑体" w:eastAsia="黑体"/>
        </w:rPr>
      </w:pPr>
      <w:r>
        <w:rPr>
          <w:rFonts w:hint="eastAsia" w:ascii="黑体" w:hAnsi="黑体" w:eastAsia="黑体"/>
        </w:rPr>
        <w:t>3.1</w:t>
      </w:r>
    </w:p>
    <w:p w14:paraId="4356C7BF">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项目监理机构  project management organization</w:t>
      </w:r>
    </w:p>
    <w:p w14:paraId="6D4CC77D">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工程监理单位派驻工程负责履行建设工程监理合同的组织机构。</w:t>
      </w:r>
    </w:p>
    <w:p w14:paraId="34330FD6">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环境总监理工程师  chiefenvironmental supervision engineer</w:t>
      </w:r>
    </w:p>
    <w:p w14:paraId="602C5651">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由环境监理单位法定代表人书面任命，负责履行监理合同、主持环境监理机构工作的人员。</w:t>
      </w:r>
    </w:p>
    <w:p w14:paraId="2E73236C">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环境监理工程师  specialty environmental supervision engineer</w:t>
      </w:r>
    </w:p>
    <w:p w14:paraId="4AEE233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根据环境监理岗位职责分工和环境监理总监的指令负责实施某一专业或某一方面的环境监理工作，具有相应环境监理文件签发权的监理工程师。</w:t>
      </w:r>
    </w:p>
    <w:p w14:paraId="2BAB882E">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环境监理员  siteenvironmentalsupervisor</w:t>
      </w:r>
    </w:p>
    <w:p w14:paraId="3795160F">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经过环境监理业务培训，具有同类工程专业知识，从事环境监理工作的监理人员。</w:t>
      </w:r>
    </w:p>
    <w:p w14:paraId="1C3D66C5">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环境监理规划planofenvironmentalsupervision</w:t>
      </w:r>
    </w:p>
    <w:p w14:paraId="0FB59DE1">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指导项目环境监理机构全面开展环境监理工作的指导性文件。</w:t>
      </w:r>
    </w:p>
    <w:p w14:paraId="237F5F10">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环境监理实施细则detailed rules ofenvironmental supervision</w:t>
      </w:r>
    </w:p>
    <w:p w14:paraId="2CF91616">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明确环境监理工作重点、难点及控制要点的操作性文件。</w:t>
      </w:r>
    </w:p>
    <w:p w14:paraId="23194309">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环境监理文件 documentofenvironmentalsupervision</w:t>
      </w:r>
    </w:p>
    <w:p w14:paraId="75DD9BA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项目环境监理过程中，形成的环境监理技术文件和成果资料，主要包含监理通知单、监理联系监理巡查记录表等环境监理过程记录资料，以及监理规划、监理实施细则、监理月报、监理总结等环境监理工作报告。</w:t>
      </w:r>
    </w:p>
    <w:p w14:paraId="66722E4C">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水土保持总监理工程师  chief Supervising Engineer for Soil and Water Conservation</w:t>
      </w:r>
    </w:p>
    <w:p w14:paraId="3C9AD548">
      <w:pPr>
        <w:pStyle w:val="16"/>
        <w:rPr>
          <w:rFonts w:ascii="黑体" w:hAns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由水土保持监理单位法定代表人书面任命，负责履行水土保持监理合同、主持水土保持监理机构工作的人员。</w:t>
      </w:r>
    </w:p>
    <w:p w14:paraId="2C8C3BA9">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水土保持监理工程师  soil and water conservation supervision engineer</w:t>
      </w:r>
    </w:p>
    <w:p w14:paraId="728328BD">
      <w:pPr>
        <w:pStyle w:val="16"/>
        <w:rPr>
          <w:rFonts w:ascii="黑体" w:hAns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根据建设项目水土保持监理岗位职责分工和水土保持总监理工程师的指令负责实施某一专业或某一方面的水土保持监理工作，具有相应水土保持监理文件签发权的监理工程师。</w:t>
      </w:r>
    </w:p>
    <w:p w14:paraId="18984285">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水土保持监理员  soil and Water Conservation Supervisor</w:t>
      </w:r>
    </w:p>
    <w:p w14:paraId="3B58D6BC">
      <w:pPr>
        <w:pStyle w:val="16"/>
      </w:pPr>
      <w:r>
        <w:rPr>
          <w:rFonts w:hint="eastAsia"/>
          <w:color w:val="000000" w:themeColor="text1"/>
          <w14:textFill>
            <w14:solidFill>
              <w14:schemeClr w14:val="tx1"/>
            </w14:solidFill>
          </w14:textFill>
        </w:rPr>
        <w:t>经过水土保持监理业务培训，具有同类建设项目相关专业知识，从事具体水土保持监理工作的监理人员。</w:t>
      </w:r>
    </w:p>
    <w:p w14:paraId="2EDBD798">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水土保持监理规划 plan of soil and water conservation supervision</w:t>
      </w:r>
    </w:p>
    <w:p w14:paraId="79A38EDA">
      <w:pPr>
        <w:pStyle w:val="16"/>
      </w:pPr>
      <w:r>
        <w:rPr>
          <w:rFonts w:hint="eastAsia"/>
        </w:rPr>
        <w:t>用以指导输变电工程水土保持监理机构全面开展水土保持监理工作的指导性文件。</w:t>
      </w:r>
    </w:p>
    <w:p w14:paraId="45F3DFC6">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水土保持监理实施细则 detailed rules of soil and water conservation supervision</w:t>
      </w:r>
    </w:p>
    <w:p w14:paraId="4BDC9DD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针对建设项目中某一专业或某一方面水土保持监理工作的操作性文件。</w:t>
      </w:r>
    </w:p>
    <w:p w14:paraId="10B9C5C3">
      <w:pPr>
        <w:pStyle w:val="16"/>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水土保持监理报告 report of soil and water conservation supervision</w:t>
      </w:r>
    </w:p>
    <w:p w14:paraId="74431CF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为反映水土保持监理工作开展情况、建设项目配套水土保持保护设施建设及水土保持措施实施情况、施工单位水土保持行为编制的技术文件。根据编制目的的不同，可以分为水土保持监理月报、水土保持监理总结报告。</w:t>
      </w:r>
    </w:p>
    <w:p w14:paraId="126E3421">
      <w:pPr>
        <w:pStyle w:val="18"/>
        <w:rPr>
          <w:color w:val="000000" w:themeColor="text1"/>
          <w14:textFill>
            <w14:solidFill>
              <w14:schemeClr w14:val="tx1"/>
            </w14:solidFill>
          </w14:textFill>
        </w:rPr>
      </w:pPr>
      <w:bookmarkStart w:id="14" w:name="_Toc5368"/>
      <w:r>
        <w:rPr>
          <w:rFonts w:hint="eastAsia"/>
          <w:color w:val="000000" w:themeColor="text1"/>
          <w14:textFill>
            <w14:solidFill>
              <w14:schemeClr w14:val="tx1"/>
            </w14:solidFill>
          </w14:textFill>
        </w:rPr>
        <w:t>基本规定</w:t>
      </w:r>
      <w:bookmarkEnd w:id="14"/>
    </w:p>
    <w:p w14:paraId="2EB5153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4.0.1 环境监理、水土保持监理工作可委托主体工程监理单位实施，也可单独委托具备资质条件的环境监理单位、水土保持监理单位实施。</w:t>
      </w:r>
    </w:p>
    <w:p w14:paraId="5325418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4.0.2 工程监理单位应在项目监理机构中配置环境监理、水土保持监理人员，单独委托的环境监理单位、水土保持监理单位应设置项目环境监理机构、项目水土保持监理机构。</w:t>
      </w:r>
    </w:p>
    <w:p w14:paraId="0E227990">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4.0.3 监理单位应在委托监理合同签订后，将项目监理机构的组织形式、人员构成及总监理工程师的任命书面通知建设单位。</w:t>
      </w:r>
    </w:p>
    <w:p w14:paraId="6DE63132">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4.0.4 当总监理工程师需要调整时，监理单位应征得建设单位书面同意。</w:t>
      </w:r>
    </w:p>
    <w:p w14:paraId="6F225001">
      <w:pPr>
        <w:pStyle w:val="18"/>
        <w:rPr>
          <w:color w:val="000000" w:themeColor="text1"/>
          <w14:textFill>
            <w14:solidFill>
              <w14:schemeClr w14:val="tx1"/>
            </w14:solidFill>
          </w14:textFill>
        </w:rPr>
      </w:pPr>
      <w:bookmarkStart w:id="15" w:name="_Toc2984"/>
      <w:bookmarkStart w:id="16" w:name="_Toc17487"/>
      <w:bookmarkStart w:id="17" w:name="_Toc31198"/>
      <w:r>
        <w:rPr>
          <w:rFonts w:hint="eastAsia"/>
          <w:color w:val="000000" w:themeColor="text1"/>
          <w14:textFill>
            <w14:solidFill>
              <w14:schemeClr w14:val="tx1"/>
            </w14:solidFill>
          </w14:textFill>
        </w:rPr>
        <w:t>项目监理机构设置、职责及设施</w:t>
      </w:r>
      <w:bookmarkEnd w:id="15"/>
      <w:bookmarkEnd w:id="16"/>
    </w:p>
    <w:p w14:paraId="10412BF7">
      <w:pPr>
        <w:pStyle w:val="19"/>
        <w:ind w:left="0"/>
        <w:rPr>
          <w:color w:val="000000" w:themeColor="text1"/>
          <w14:textFill>
            <w14:solidFill>
              <w14:schemeClr w14:val="tx1"/>
            </w14:solidFill>
          </w14:textFill>
        </w:rPr>
      </w:pPr>
      <w:bookmarkStart w:id="18" w:name="_Toc23367"/>
      <w:bookmarkStart w:id="19" w:name="_Toc5558"/>
      <w:r>
        <w:rPr>
          <w:rFonts w:hint="eastAsia"/>
          <w:color w:val="000000" w:themeColor="text1"/>
          <w14:textFill>
            <w14:solidFill>
              <w14:schemeClr w14:val="tx1"/>
            </w14:solidFill>
          </w14:textFill>
        </w:rPr>
        <w:t>项目监理机构设置</w:t>
      </w:r>
      <w:bookmarkEnd w:id="18"/>
      <w:bookmarkEnd w:id="19"/>
    </w:p>
    <w:p w14:paraId="5F5CCD8D">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5.1.1 项目监理机构的组织形式和规模，应根据监理合同规定的服务内容、服务期限、工程类别及规模、技术复杂程度、工程环境保护和水土保持要求等因素确定。</w:t>
      </w:r>
    </w:p>
    <w:p w14:paraId="29FAA04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5.1.2 项目监理机构应由总监理工程师、监理工程师和监理员组成，根据需要可配备总监理工程师代表。监理人员应符合DL/T 5434</w:t>
      </w:r>
      <w:r>
        <w:rPr>
          <w:rFonts w:hint="eastAsia"/>
        </w:rPr>
        <w:t>《电力建设工程监理规范》中规定的任职资格，并熟悉输变电工程环境保护、水土保持专业知识，具备输变电工程环境保护、水土保持监理能力。</w:t>
      </w:r>
    </w:p>
    <w:p w14:paraId="04507966">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5.1.3 </w:t>
      </w:r>
      <w:r>
        <w:rPr>
          <w:rFonts w:hint="eastAsia"/>
        </w:rPr>
        <w:t>由主体工程</w:t>
      </w:r>
      <w:r>
        <w:rPr>
          <w:rFonts w:hint="eastAsia"/>
          <w:color w:val="000000" w:themeColor="text1"/>
          <w14:textFill>
            <w14:solidFill>
              <w14:schemeClr w14:val="tx1"/>
            </w14:solidFill>
          </w14:textFill>
        </w:rPr>
        <w:t>监理单位开展环境保护、水土保持监理工作时，应在项目监理机构中增加环境保护、水土保持监理人员。项目监理机构岗位配置符合以下基本要求：</w:t>
      </w:r>
    </w:p>
    <w:p w14:paraId="1774E107">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（1）1000kV（±800kV）及以上输变电工程应配置专职环境监理、水土保持监理工程师。</w:t>
      </w:r>
    </w:p>
    <w:p w14:paraId="6569A1E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（2）750kV（±660kV）及以下输变电工程可配置兼职环境监理、水土保持监理工程师。</w:t>
      </w:r>
    </w:p>
    <w:p w14:paraId="25D5E10A">
      <w:pPr>
        <w:pStyle w:val="19"/>
        <w:ind w:left="0"/>
        <w:rPr>
          <w:color w:val="000000" w:themeColor="text1"/>
          <w14:textFill>
            <w14:solidFill>
              <w14:schemeClr w14:val="tx1"/>
            </w14:solidFill>
          </w14:textFill>
        </w:rPr>
      </w:pPr>
      <w:bookmarkStart w:id="20" w:name="_Toc14447"/>
      <w:bookmarkStart w:id="21" w:name="_Toc28692"/>
      <w:r>
        <w:rPr>
          <w:rFonts w:hint="eastAsia"/>
          <w:color w:val="000000" w:themeColor="text1"/>
          <w14:textFill>
            <w14:solidFill>
              <w14:schemeClr w14:val="tx1"/>
            </w14:solidFill>
          </w14:textFill>
        </w:rPr>
        <w:t>项目监理机构职责</w:t>
      </w:r>
      <w:bookmarkEnd w:id="20"/>
      <w:bookmarkEnd w:id="21"/>
    </w:p>
    <w:p w14:paraId="7391DD26">
      <w:pPr>
        <w:pStyle w:val="16"/>
      </w:pPr>
      <w:r>
        <w:rPr>
          <w:rFonts w:hint="eastAsia"/>
        </w:rPr>
        <w:t>5.2.1 项目监理机构职责应包含下列内容：</w:t>
      </w:r>
    </w:p>
    <w:p w14:paraId="4297DCC0">
      <w:pPr>
        <w:pStyle w:val="16"/>
      </w:pPr>
      <w:r>
        <w:rPr>
          <w:rFonts w:hint="eastAsia"/>
        </w:rPr>
        <w:t>（1）编制监理规划、监理实施细则等策划文件。</w:t>
      </w:r>
    </w:p>
    <w:p w14:paraId="366BB54A">
      <w:pPr>
        <w:pStyle w:val="16"/>
      </w:pPr>
      <w:r>
        <w:rPr>
          <w:rFonts w:hint="eastAsia"/>
        </w:rPr>
        <w:t>（2）核实设计文件与环境影响评价、水土保持方案及批复文件的相符性。</w:t>
      </w:r>
    </w:p>
    <w:p w14:paraId="04FEA877">
      <w:pPr>
        <w:pStyle w:val="16"/>
      </w:pPr>
      <w:r>
        <w:rPr>
          <w:rFonts w:hint="eastAsia"/>
        </w:rPr>
        <w:t>（3）协助建设单位建立环境保护及水土保持管理制度和沟通机制。</w:t>
      </w:r>
    </w:p>
    <w:p w14:paraId="0BC95386">
      <w:pPr>
        <w:pStyle w:val="16"/>
      </w:pPr>
      <w:r>
        <w:rPr>
          <w:rFonts w:hint="eastAsia"/>
        </w:rPr>
        <w:t>（4）协助建设单位开展环境保护及水土保持宣传和培训。</w:t>
      </w:r>
    </w:p>
    <w:p w14:paraId="3E626C5F">
      <w:pPr>
        <w:pStyle w:val="16"/>
      </w:pPr>
      <w:r>
        <w:rPr>
          <w:rFonts w:hint="eastAsia"/>
        </w:rPr>
        <w:t>（5）审查施工组织设计、质量验收划分、施工方案、设计变更等文件。</w:t>
      </w:r>
    </w:p>
    <w:p w14:paraId="2A8874A0">
      <w:pPr>
        <w:pStyle w:val="16"/>
      </w:pPr>
      <w:r>
        <w:rPr>
          <w:rFonts w:hint="eastAsia"/>
        </w:rPr>
        <w:t>（6）核查施工单位申报的原材料、中间产品、构配件及工程设备。</w:t>
      </w:r>
    </w:p>
    <w:p w14:paraId="1105FF9D">
      <w:pPr>
        <w:pStyle w:val="16"/>
      </w:pPr>
      <w:r>
        <w:rPr>
          <w:rFonts w:hint="eastAsia"/>
        </w:rPr>
        <w:t>（7）对施工过程中环境保护、水土保持措施落实情况监督控制，检查验收工程施工质量。</w:t>
      </w:r>
    </w:p>
    <w:p w14:paraId="6B5AA258">
      <w:pPr>
        <w:pStyle w:val="16"/>
      </w:pPr>
      <w:r>
        <w:rPr>
          <w:rFonts w:hint="eastAsia"/>
        </w:rPr>
        <w:t>（8）配合生态环境部门及水行政主管部门监督检查，协助建设单位开展环境保护、水土保持设施专项验收。</w:t>
      </w:r>
    </w:p>
    <w:p w14:paraId="2FF86681">
      <w:pPr>
        <w:pStyle w:val="16"/>
      </w:pPr>
      <w:r>
        <w:rPr>
          <w:rFonts w:hint="eastAsia"/>
        </w:rPr>
        <w:t>（9）对环境保护、水土保持监理文件资料进行管理，并按档案管理要求整理、归档。</w:t>
      </w:r>
    </w:p>
    <w:p w14:paraId="5F0B564E">
      <w:pPr>
        <w:pStyle w:val="16"/>
        <w:rPr>
          <w:color w:val="000000" w:themeColor="text1"/>
          <w14:textFill>
            <w14:solidFill>
              <w14:schemeClr w14:val="tx1"/>
            </w14:solidFill>
          </w14:textFill>
        </w:rPr>
      </w:pPr>
      <w:r>
        <w:t>5.2.</w:t>
      </w:r>
      <w:r>
        <w:rPr>
          <w:rFonts w:hint="eastAsia"/>
        </w:rPr>
        <w:t xml:space="preserve">2 </w:t>
      </w:r>
      <w:r>
        <w:rPr>
          <w:rFonts w:hint="eastAsia"/>
          <w:color w:val="000000" w:themeColor="text1"/>
          <w14:textFill>
            <w14:solidFill>
              <w14:schemeClr w14:val="tx1"/>
            </w14:solidFill>
          </w14:textFill>
        </w:rPr>
        <w:t>总监理工程师应履行下列主要职责：</w:t>
      </w:r>
    </w:p>
    <w:p w14:paraId="411A7B06">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（1）组织编制环境保护、水土保持监理规划，审批环境保护、水土保持监理实施细则。</w:t>
      </w:r>
    </w:p>
    <w:p w14:paraId="32A0D31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（2）确定监理机构职责分工，根据工程建设进展情况，调配监理人员。</w:t>
      </w:r>
    </w:p>
    <w:p w14:paraId="6BE2C59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（3）主持监理例会和专题会议。</w:t>
      </w:r>
    </w:p>
    <w:p w14:paraId="6844F44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（4）组织审核环境保护、水土保持工程变更。</w:t>
      </w:r>
    </w:p>
    <w:p w14:paraId="5C1E4694">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（5）签发监理机构文件和指令。</w:t>
      </w:r>
    </w:p>
    <w:p w14:paraId="667B6E01">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（6）审核涉及环境保护、水土保持工程的付款申请、支付证书和结算文件。</w:t>
      </w:r>
    </w:p>
    <w:p w14:paraId="3A625B54">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（7）参加环境保护、水土保持专项验收工作。</w:t>
      </w:r>
    </w:p>
    <w:p w14:paraId="55DA457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（8）参加或配合涉及环境保护、水土保持的工程事故和突发事件的调查和处理。</w:t>
      </w:r>
    </w:p>
    <w:p w14:paraId="0EFA72F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（9）组织编制监理工作报告和监理文件归档。</w:t>
      </w:r>
    </w:p>
    <w:p w14:paraId="143891CF">
      <w:pPr>
        <w:pStyle w:val="16"/>
        <w:rPr>
          <w:color w:val="000000" w:themeColor="text1"/>
          <w14:textFill>
            <w14:solidFill>
              <w14:schemeClr w14:val="tx1"/>
            </w14:solidFill>
          </w14:textFill>
        </w:rPr>
      </w:pPr>
      <w:r>
        <w:t>5.2.</w:t>
      </w:r>
      <w:r>
        <w:rPr>
          <w:rFonts w:hint="eastAsia"/>
        </w:rPr>
        <w:t>3</w:t>
      </w:r>
      <w:r>
        <w:t xml:space="preserve"> </w:t>
      </w:r>
      <w:r>
        <w:rPr>
          <w:rFonts w:hint="eastAsia"/>
        </w:rPr>
        <w:t>总监理工程师不得将下列职责委托给</w:t>
      </w:r>
      <w:r>
        <w:rPr>
          <w:rFonts w:hint="eastAsia"/>
          <w:color w:val="000000" w:themeColor="text1"/>
          <w14:textFill>
            <w14:solidFill>
              <w14:schemeClr w14:val="tx1"/>
            </w14:solidFill>
          </w14:textFill>
        </w:rPr>
        <w:t>总监理工程师代表：</w:t>
      </w:r>
    </w:p>
    <w:p w14:paraId="761A9175">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（1）主持编制环境保护、水土保持监理规划，审批环境保护、水土保持监理实施细则。</w:t>
      </w:r>
    </w:p>
    <w:p w14:paraId="790E0ABC">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（2）确定监理机构职责分工，根据工程建设进展情况，调配监理人员。</w:t>
      </w:r>
    </w:p>
    <w:p w14:paraId="76B15EC6">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（3）签发涉及环境保护、水土保持部分的工程开工令、暂停令、复工令。</w:t>
      </w:r>
    </w:p>
    <w:p w14:paraId="702136A5">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（4）审核涉及环境保护、水土保持工程的付款申请、支付证书和结算文件。</w:t>
      </w:r>
    </w:p>
    <w:p w14:paraId="4AE6926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（5）参加或配合涉及环境保护、水土保持的工程事故和突发事件的调查和处理。</w:t>
      </w:r>
    </w:p>
    <w:p w14:paraId="0CB25B4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5.2.4 监理工程师应履行下列主要职责：</w:t>
      </w:r>
    </w:p>
    <w:p w14:paraId="62249917">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（1）参与编制环境保护、水土保持监理规划，负责编制环境保护、水土保持监理实施细则；</w:t>
      </w:r>
    </w:p>
    <w:p w14:paraId="119FCC3D">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（2）审查施工单位提交的报审文件，提出审查意见。</w:t>
      </w:r>
    </w:p>
    <w:p w14:paraId="29CDFFB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（3）参加监理例会和专题会议。</w:t>
      </w:r>
    </w:p>
    <w:p w14:paraId="6267F30F">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（4）开展环境保护、水土保持措施（设施）过程检查。</w:t>
      </w:r>
    </w:p>
    <w:p w14:paraId="43E0432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（5）参与环境保护、水土保持工程质量验收。</w:t>
      </w:r>
    </w:p>
    <w:p w14:paraId="5BBAD21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（6）编制环境保护、水土保持监理日志，参与编制环境保护、水土保持监理月报、监理专题报告及监理工作报告。</w:t>
      </w:r>
    </w:p>
    <w:p w14:paraId="28B660A5">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（7）整理环境保护、水土保持监理文件资料。</w:t>
      </w:r>
    </w:p>
    <w:p w14:paraId="52B4248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（8）指导、检查监理员工作。</w:t>
      </w:r>
    </w:p>
    <w:p w14:paraId="6B28087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（9）完成总监理工程师交办的其他工作。</w:t>
      </w:r>
    </w:p>
    <w:p w14:paraId="6813102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5.2.5 监理员应履行下列主要职责：</w:t>
      </w:r>
    </w:p>
    <w:p w14:paraId="74C328A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（1）开展现场监理工作，跟踪检查环境保护、水土保持工程的实施情况，做好检查记录。</w:t>
      </w:r>
    </w:p>
    <w:p w14:paraId="6AF28D7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（2）对环境保护、水土保持关键工序和重要部位进行巡视、见证和旁站。</w:t>
      </w:r>
    </w:p>
    <w:p w14:paraId="0729DF3F">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（3）指出工程现场问题，并向监理工程师汇报。</w:t>
      </w:r>
    </w:p>
    <w:p w14:paraId="0710A20C">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（4）现场复核环境保护、水土保持工程原始数据。</w:t>
      </w:r>
    </w:p>
    <w:p w14:paraId="141C47EA">
      <w:pPr>
        <w:pStyle w:val="16"/>
        <w:rPr>
          <w:rFonts w:ascii="Times New Roman"/>
        </w:rPr>
      </w:pPr>
      <w:r>
        <w:rPr>
          <w:rFonts w:hint="eastAsia"/>
          <w:color w:val="000000" w:themeColor="text1"/>
          <w14:textFill>
            <w14:solidFill>
              <w14:schemeClr w14:val="tx1"/>
            </w14:solidFill>
          </w14:textFill>
        </w:rPr>
        <w:t>（5）完成监理工程师交办的其他工作。</w:t>
      </w:r>
    </w:p>
    <w:p w14:paraId="6E2DB929">
      <w:pPr>
        <w:pStyle w:val="19"/>
        <w:ind w:left="0"/>
      </w:pPr>
      <w:bookmarkStart w:id="22" w:name="_Toc6753"/>
      <w:bookmarkStart w:id="23" w:name="_Toc11243"/>
      <w:r>
        <w:rPr>
          <w:rFonts w:hint="eastAsia"/>
          <w:color w:val="000000" w:themeColor="text1"/>
          <w14:textFill>
            <w14:solidFill>
              <w14:schemeClr w14:val="tx1"/>
            </w14:solidFill>
          </w14:textFill>
        </w:rPr>
        <w:t>项目监理机构设施</w:t>
      </w:r>
      <w:bookmarkEnd w:id="22"/>
      <w:bookmarkEnd w:id="23"/>
    </w:p>
    <w:p w14:paraId="6583F45D">
      <w:pPr>
        <w:pStyle w:val="16"/>
      </w:pPr>
      <w:r>
        <w:rPr>
          <w:rFonts w:hint="eastAsia"/>
          <w:color w:val="000000" w:themeColor="text1"/>
          <w14:textFill>
            <w14:solidFill>
              <w14:schemeClr w14:val="tx1"/>
            </w14:solidFill>
          </w14:textFill>
        </w:rPr>
        <w:t>5.3.1 项目监理机构应按监理合同约定，配备满足现场环境保护、水土保持监理工作需求的办公、交通、</w:t>
      </w:r>
      <w:r>
        <w:rPr>
          <w:rFonts w:hint="eastAsia"/>
        </w:rPr>
        <w:t>安全、应急等</w:t>
      </w:r>
      <w:r>
        <w:rPr>
          <w:rFonts w:hint="eastAsia"/>
          <w:color w:val="000000" w:themeColor="text1"/>
          <w14:textFill>
            <w14:solidFill>
              <w14:schemeClr w14:val="tx1"/>
            </w14:solidFill>
          </w14:textFill>
        </w:rPr>
        <w:t>设施设备。</w:t>
      </w:r>
    </w:p>
    <w:p w14:paraId="49B4F709">
      <w:pPr>
        <w:pStyle w:val="16"/>
      </w:pPr>
      <w:r>
        <w:rPr>
          <w:color w:val="000000" w:themeColor="text1"/>
          <w14:textFill>
            <w14:solidFill>
              <w14:schemeClr w14:val="tx1"/>
            </w14:solidFill>
          </w14:textFill>
        </w:rPr>
        <w:t xml:space="preserve">5.3.2 </w:t>
      </w:r>
      <w:r>
        <w:rPr>
          <w:rFonts w:hint="eastAsia"/>
        </w:rPr>
        <w:t>项目监理机构宜配备以下仪器设备：</w:t>
      </w:r>
    </w:p>
    <w:p w14:paraId="29F86641">
      <w:pPr>
        <w:pStyle w:val="16"/>
      </w:pPr>
      <w:r>
        <w:rPr>
          <w:rFonts w:hint="eastAsia"/>
        </w:rPr>
        <w:t>（1）</w:t>
      </w:r>
      <w:r>
        <w:t>监测设备</w:t>
      </w:r>
      <w:r>
        <w:rPr>
          <w:rFonts w:hint="eastAsia"/>
        </w:rPr>
        <w:t>，包括多功能噪声统计分析仪、便携式</w:t>
      </w:r>
      <m:oMath>
        <m:sSub>
          <m:sSubPr>
            <m:ctrlPr>
              <w:rPr>
                <w:rFonts w:ascii="Cambria Math" w:hAnsi="Cambria Math"/>
                <w:i/>
              </w:rPr>
            </m:ctrlPr>
          </m:sSubPr>
          <m:e>
            <m:r>
              <m:rPr/>
              <w:rPr>
                <w:rFonts w:ascii="Cambria Math" w:hAnsi="Cambria Math"/>
              </w:rPr>
              <m:t>PM</m:t>
            </m:r>
            <m:ctrlPr>
              <w:rPr>
                <w:rFonts w:ascii="Cambria Math" w:hAnsi="Cambria Math"/>
                <w:i/>
              </w:rPr>
            </m:ctrlPr>
          </m:e>
          <m:sub>
            <m:r>
              <m:rPr/>
              <w:rPr>
                <w:rFonts w:ascii="Cambria Math" w:hAnsi="Cambria Math"/>
              </w:rPr>
              <m:t>2.5</m:t>
            </m:r>
            <m:ctrlPr>
              <w:rPr>
                <w:rFonts w:ascii="Cambria Math" w:hAnsi="Cambria Math"/>
                <w:i/>
              </w:rPr>
            </m:ctrlPr>
          </m:sub>
        </m:sSub>
      </m:oMath>
      <w:r>
        <w:rPr>
          <w:rFonts w:hint="eastAsia"/>
        </w:rPr>
        <w:t>/</w:t>
      </w:r>
      <m:oMath>
        <m:sSub>
          <m:sSubPr>
            <m:ctrlPr>
              <w:rPr>
                <w:rFonts w:ascii="Cambria Math" w:hAnsi="Cambria Math"/>
                <w:i/>
              </w:rPr>
            </m:ctrlPr>
          </m:sSubPr>
          <m:e>
            <m:r>
              <m:rPr/>
              <w:rPr>
                <w:rFonts w:ascii="Cambria Math" w:hAnsi="Cambria Math"/>
              </w:rPr>
              <m:t>PM</m:t>
            </m:r>
            <m:ctrlPr>
              <w:rPr>
                <w:rFonts w:ascii="Cambria Math" w:hAnsi="Cambria Math"/>
                <w:i/>
              </w:rPr>
            </m:ctrlPr>
          </m:e>
          <m:sub>
            <m:r>
              <m:rPr/>
              <w:rPr>
                <w:rFonts w:ascii="Cambria Math" w:hAnsi="Cambria Math"/>
              </w:rPr>
              <m:t>10</m:t>
            </m:r>
            <m:ctrlPr>
              <w:rPr>
                <w:rFonts w:ascii="Cambria Math" w:hAnsi="Cambria Math"/>
                <w:i/>
              </w:rPr>
            </m:ctrlPr>
          </m:sub>
        </m:sSub>
      </m:oMath>
      <w:r>
        <w:rPr>
          <w:rFonts w:hint="eastAsia"/>
        </w:rPr>
        <w:t>监测仪、便携式多参数水质测定仪等。</w:t>
      </w:r>
    </w:p>
    <w:p w14:paraId="0DFFF55F">
      <w:pPr>
        <w:pStyle w:val="16"/>
      </w:pPr>
      <w:r>
        <w:rPr>
          <w:rFonts w:hint="eastAsia"/>
        </w:rPr>
        <w:t>（2）辅助设备，包括摄像机、无人机、卫星定位设备、测距仪、坡度仪、望远镜、土壤采样工具等。</w:t>
      </w:r>
    </w:p>
    <w:p w14:paraId="30C2133C">
      <w:pPr>
        <w:pStyle w:val="18"/>
        <w:rPr>
          <w:color w:val="000000" w:themeColor="text1"/>
          <w14:textFill>
            <w14:solidFill>
              <w14:schemeClr w14:val="tx1"/>
            </w14:solidFill>
          </w14:textFill>
        </w:rPr>
      </w:pPr>
      <w:bookmarkStart w:id="24" w:name="_Toc7470"/>
      <w:r>
        <w:rPr>
          <w:rFonts w:hint="eastAsia"/>
          <w:color w:val="000000" w:themeColor="text1"/>
          <w14:textFill>
            <w14:solidFill>
              <w14:schemeClr w14:val="tx1"/>
            </w14:solidFill>
          </w14:textFill>
        </w:rPr>
        <w:t>环境监理工作内容</w:t>
      </w:r>
      <w:bookmarkEnd w:id="17"/>
      <w:bookmarkEnd w:id="24"/>
    </w:p>
    <w:p w14:paraId="40576B27">
      <w:pPr>
        <w:pStyle w:val="19"/>
        <w:ind w:left="0"/>
      </w:pPr>
      <w:bookmarkStart w:id="25" w:name="_Toc2607"/>
      <w:r>
        <w:rPr>
          <w:rFonts w:hint="eastAsia"/>
        </w:rPr>
        <w:t>设计阶段环境监理工作</w:t>
      </w:r>
      <w:bookmarkEnd w:id="25"/>
    </w:p>
    <w:p w14:paraId="50B29B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6.1.1 根据建设单位的委托，参与环境影响评价报告初步审查工作，协助开展环境影响评价报告批复。</w:t>
      </w:r>
    </w:p>
    <w:p w14:paraId="39EF112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6.1.2 初步设计阶段，开展工程环境保护设计文件审查。设计深度应符合主体项目初步设计方案、环境影响评价报告及其批复文件要求，审查应包括以下内容：</w:t>
      </w:r>
    </w:p>
    <w:p w14:paraId="2A7B4B2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（1）设计依据的符合性；</w:t>
      </w:r>
    </w:p>
    <w:p w14:paraId="55B8E73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（2）工程项目环境保护防治目标；</w:t>
      </w:r>
    </w:p>
    <w:p w14:paraId="53956C1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（3）区域环境现状及制约因素分析；</w:t>
      </w:r>
    </w:p>
    <w:p w14:paraId="18E4184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（4）重大变动情况及说明；</w:t>
      </w:r>
    </w:p>
    <w:p w14:paraId="2041BFF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（5）施工及运行期环境因素影响分析；</w:t>
      </w:r>
    </w:p>
    <w:p w14:paraId="31FED48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（6）环境保护措施(设施)设计，宜包括电磁环境保护、声环境保护、生态环境保护、水环境保护、大气环境保护、固体废弃物处置、环境风险防控、环境保护管理等内容；</w:t>
      </w:r>
    </w:p>
    <w:p w14:paraId="2958AAA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（7）环境保护措施(设施)工程量及投资概算。</w:t>
      </w:r>
    </w:p>
    <w:p w14:paraId="159E903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6.1.3 施工图设计阶段，开展工程环境保护设计文件审查。设计深度应符合已批准的初步设计方案、环境影响评价报告及其批复文件的要求，审查应包括以下内容：</w:t>
      </w:r>
    </w:p>
    <w:p w14:paraId="1B99614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（1）设计依据的符合性；</w:t>
      </w:r>
    </w:p>
    <w:p w14:paraId="7D73392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（2）工程项目环境保护防治目标；</w:t>
      </w:r>
    </w:p>
    <w:p w14:paraId="4C40C61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（3）区域环境现状及制约因素分析；</w:t>
      </w:r>
    </w:p>
    <w:p w14:paraId="752E30D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（4）重大变动情况及说明；</w:t>
      </w:r>
    </w:p>
    <w:p w14:paraId="1D4C70E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（5）环境保护措施(设施)设计，宜包括电磁环境保护、声环境保护、生态环境保护、水环境保护、大气环境保护、固体废弃物处置、环境风险防控、环境保护管理等内容；</w:t>
      </w:r>
    </w:p>
    <w:p w14:paraId="59683FF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（6）环境保护措施(设施)施工设计说明；</w:t>
      </w:r>
    </w:p>
    <w:p w14:paraId="6212BFA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（7）环境保护措施(设施)工程量及投资预算。</w:t>
      </w:r>
    </w:p>
    <w:p w14:paraId="42B19CF4">
      <w:pPr>
        <w:pStyle w:val="19"/>
        <w:ind w:left="0"/>
      </w:pPr>
      <w:bookmarkStart w:id="26" w:name="_Toc21765"/>
      <w:r>
        <w:rPr>
          <w:rFonts w:hint="eastAsia"/>
          <w:color w:val="000000" w:themeColor="text1"/>
          <w14:textFill>
            <w14:solidFill>
              <w14:schemeClr w14:val="tx1"/>
            </w14:solidFill>
          </w14:textFill>
        </w:rPr>
        <w:t>施工准备阶段环境监理工作</w:t>
      </w:r>
      <w:bookmarkEnd w:id="26"/>
    </w:p>
    <w:p w14:paraId="2AB8D94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6.2.1 环境监理实施前，应收集和熟悉环境监理相关资料文件，包括下列主要内容：</w:t>
      </w:r>
    </w:p>
    <w:p w14:paraId="41E0D9B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（1）国家、行业等有关环境保护法律、法规、技术标准；</w:t>
      </w:r>
    </w:p>
    <w:p w14:paraId="1AE4F10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（2）工程环境影响评价报告及其批复文件；</w:t>
      </w:r>
    </w:p>
    <w:p w14:paraId="353949B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（3）工程设计文件；</w:t>
      </w:r>
    </w:p>
    <w:p w14:paraId="7A229A6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（4）建设单位有关环境保护的要求；</w:t>
      </w:r>
    </w:p>
    <w:p w14:paraId="22CCC6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（5）工程建设相关合同及协议；</w:t>
      </w:r>
    </w:p>
    <w:p w14:paraId="16C7446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（6）其他涉及环境保护的有关文件。</w:t>
      </w:r>
    </w:p>
    <w:p w14:paraId="76D6876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6.2.2 进行变电（换流）站站址、线路路径及周边环境现场勘察，收集或记录项目原始地貌特征、土地利用及植被等生态环境现状的照片、视频影像等资料。</w:t>
      </w:r>
    </w:p>
    <w:p w14:paraId="5A421CA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6.2.3 施工图会审前，进行环境保护专项设计图纸预检，形成施工图预检记录，施工图应满足初步设计文件、环境影响评价报告及其批复文件的要求。施工图预检应包括下列主要内容：</w:t>
      </w:r>
    </w:p>
    <w:p w14:paraId="739867F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（1）变电工程：</w:t>
      </w:r>
    </w:p>
    <w:p w14:paraId="01932B2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1）工程建设地点、站区征地及用地红线面积、总平面布置及站区竖向布置、工程建设规模、进出线路数量及位置；</w:t>
      </w:r>
    </w:p>
    <w:p w14:paraId="0EBDC8D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2）主要设备选型的合理性、先进性，包括设备的低噪音、低损耗、节能、可靠性等内容；</w:t>
      </w:r>
    </w:p>
    <w:p w14:paraId="4AABCE0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3）站区降电磁场影响、降噪隔声、吸声、减振、通风等措施(设施)；</w:t>
      </w:r>
    </w:p>
    <w:p w14:paraId="00F0609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4）土石方开挖填筑总量、土石方平衡量、弃渣场地位置选择、弃渣量处理等措施；</w:t>
      </w:r>
    </w:p>
    <w:p w14:paraId="0C13265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5）站区雨污管网分流、生活污水处理及回用设施；</w:t>
      </w:r>
    </w:p>
    <w:p w14:paraId="0CA4B8C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6）事故油池(坑)设施及废油处理措施；</w:t>
      </w:r>
    </w:p>
    <w:p w14:paraId="403D853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7）危废暂存设施及固废处理措施；</w:t>
      </w:r>
    </w:p>
    <w:p w14:paraId="01ED2F8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8）站内外绿化及植被恢复措施；</w:t>
      </w:r>
    </w:p>
    <w:p w14:paraId="621CB51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9）站区其它影响环境保护的措施(设施)。</w:t>
      </w:r>
    </w:p>
    <w:p w14:paraId="47A4862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（2）输电线路工程：</w:t>
      </w:r>
    </w:p>
    <w:p w14:paraId="4B81462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1）主要技术指标，包括线路长度、导线高度、导线型号与排列方式、塔基数量及塔基占地性质、面积等内容；</w:t>
      </w:r>
    </w:p>
    <w:p w14:paraId="099B226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2）沿线环境保护目标；</w:t>
      </w:r>
    </w:p>
    <w:p w14:paraId="0744B50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3）架空或电缆线路路径方案有关环境保护目标避让措施；</w:t>
      </w:r>
    </w:p>
    <w:p w14:paraId="62F8F3D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4）塔基区开挖填筑及弃土处理措施；</w:t>
      </w:r>
    </w:p>
    <w:p w14:paraId="64D4012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5）电缆沟道、顶管作业的土方堆放、弃土、弃渣等处理措施；</w:t>
      </w:r>
    </w:p>
    <w:p w14:paraId="3852924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6）减少林木砍伐措施；</w:t>
      </w:r>
    </w:p>
    <w:p w14:paraId="707806A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7）临近或进入生态敏感区、饮用水源保护区等生态保护措施；</w:t>
      </w:r>
    </w:p>
    <w:p w14:paraId="76555A6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8）自然环境保护及植被恢复措施；</w:t>
      </w:r>
    </w:p>
    <w:p w14:paraId="1C1831C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9）线路跨越或临近电磁环境敏感目标采取的降电磁场影响措施；</w:t>
      </w:r>
    </w:p>
    <w:p w14:paraId="095AAFB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10）临时道路、索道架设等施工临时占地，建（构）筑物拆迁等迹地恢复措施。</w:t>
      </w:r>
    </w:p>
    <w:p w14:paraId="7CF18A5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6.2.4 组织或参与施工图会审，针对环境保护方面的问题，提出监理意见，形成图纸会审纪要，督促设计单位及时回复处理。</w:t>
      </w:r>
    </w:p>
    <w:p w14:paraId="72C3206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6.2.5 总监理工程师应组织编制环境监理规划或包含环境监理内容的工程监理规划，经公司技术负责人审批后实施。环境监理规划参见附录A中表A.2，应包括下列主要内容：</w:t>
      </w:r>
    </w:p>
    <w:p w14:paraId="653C711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1）建设项目概况；</w:t>
      </w:r>
    </w:p>
    <w:p w14:paraId="4899E47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2）环境监理工作目标；</w:t>
      </w:r>
    </w:p>
    <w:p w14:paraId="12F86B7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3）环境监理工作依据；</w:t>
      </w:r>
    </w:p>
    <w:p w14:paraId="3ABEE15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4）环境监理工作范围和内容；</w:t>
      </w:r>
    </w:p>
    <w:p w14:paraId="292946E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5）环境监理工作程序；</w:t>
      </w:r>
    </w:p>
    <w:p w14:paraId="4E4EAA9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6）环境监理工作方法及措施；</w:t>
      </w:r>
    </w:p>
    <w:p w14:paraId="74C2166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7）环境监理组织机构及人员配备；</w:t>
      </w:r>
    </w:p>
    <w:p w14:paraId="6496235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8）环境监理设备设施配置；</w:t>
      </w:r>
    </w:p>
    <w:p w14:paraId="4C3D5FC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9）环境监理文件管理。</w:t>
      </w:r>
    </w:p>
    <w:p w14:paraId="73A2A1F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6.2.6 监理工程师应编制环境监理实施细则，经总监理工程师审批后实施。环境监理实施细则参见附录A中表A.3，应包括下列主要内容：</w:t>
      </w:r>
    </w:p>
    <w:p w14:paraId="033DC0B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1）监理工作依据；</w:t>
      </w:r>
    </w:p>
    <w:p w14:paraId="682E52E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2）监理工作目标及主要内容；</w:t>
      </w:r>
    </w:p>
    <w:p w14:paraId="14502E2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3）监理工作特点及难点分析；</w:t>
      </w:r>
    </w:p>
    <w:p w14:paraId="466D445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4）监理人员职责及分工；</w:t>
      </w:r>
    </w:p>
    <w:p w14:paraId="1CA0460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5）监理工作主要流程；</w:t>
      </w:r>
    </w:p>
    <w:p w14:paraId="6430705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6）监理工作方法及措施；</w:t>
      </w:r>
    </w:p>
    <w:p w14:paraId="6F240A6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7）监理记录及问题处理。</w:t>
      </w:r>
    </w:p>
    <w:p w14:paraId="24F883F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6.2.7 审查施工项目部管理人员资格，应包括下列主要内容： </w:t>
      </w:r>
    </w:p>
    <w:p w14:paraId="0C13243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（1）项目经理持有效的注册建造师证书，其注册证书专业、级别与工程规模匹配，并取得安全生产考核合格证书，具备同类工程工作经验；</w:t>
      </w:r>
    </w:p>
    <w:p w14:paraId="59C3733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（2）项目技术负责人、质检员持有与工程规模要求相匹配的专业技术职称证书、资格证书，并熟悉环境保护专业工作。</w:t>
      </w:r>
    </w:p>
    <w:p w14:paraId="7653E35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6.2.8 审查与工程环境保护相关的主要施工机械、工器具配置情况，符合要求后方允许进场。</w:t>
      </w:r>
    </w:p>
    <w:p w14:paraId="0C3F6DA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6.2.9 工程开工前，审查施工组织设计和环境保护专项施工方案，应包括下列主要内容：</w:t>
      </w:r>
    </w:p>
    <w:p w14:paraId="48A1D3A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（1）编制、审核和批准程序符合规定；</w:t>
      </w:r>
    </w:p>
    <w:p w14:paraId="0E0FC3F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（2）编制依据有效且具有针对性；</w:t>
      </w:r>
    </w:p>
    <w:p w14:paraId="1C356F9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（3）环境保护控制目标符合工程合同、环境保护影响评价报告及其批复文件的要求；</w:t>
      </w:r>
    </w:p>
    <w:p w14:paraId="6FB9C4B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（4）环境保护措施（设施）特点、难点分析具有针对性；</w:t>
      </w:r>
    </w:p>
    <w:p w14:paraId="0411F43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（5）施工组织机构和人员配置、组织形式满足要求；</w:t>
      </w:r>
    </w:p>
    <w:p w14:paraId="1CEFBE3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（6）施工进度计划，施工机械设备、劳动力及材料供应等资源配置计划满足要求；</w:t>
      </w:r>
    </w:p>
    <w:p w14:paraId="6E3E576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（7）环境保护措施（设施）及其施工安装工艺质量符合设计文件、环境影响报告及其批复文件要求；</w:t>
      </w:r>
    </w:p>
    <w:p w14:paraId="38A44AE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 环境保护管理制度及环境风险应急预案满足环境保护管理要求。</w:t>
      </w:r>
    </w:p>
    <w:p w14:paraId="7DB43B2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6.2.10 参加或开展环境保护培训交底工作，包括下列主要内容：</w:t>
      </w:r>
    </w:p>
    <w:p w14:paraId="5B80EAE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（1）参加建设单位组织的环境保护相关培训交底工作；</w:t>
      </w:r>
    </w:p>
    <w:p w14:paraId="115EE3A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（2）参加建设单位组织的第一次工地例会，参加环境保护专项设计交底；</w:t>
      </w:r>
    </w:p>
    <w:p w14:paraId="5FC5FE0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（3）对施工单位进行环境监理工作交底；</w:t>
      </w:r>
    </w:p>
    <w:p w14:paraId="5FABF5E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（4）检查施工单位环境保护培训及交底情况；</w:t>
      </w:r>
    </w:p>
    <w:p w14:paraId="087A023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（5）总监理工程师应根据项目监理机构分工及岗位职责，向监理人员进行环境监理工作培训和交底。</w:t>
      </w:r>
    </w:p>
    <w:p w14:paraId="5BC5E7A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6.2.11 审查施工单位报送的工程开工报审表及相关文件，总监理工程师签署审核意见后，报建设单位批准。工程开工条件中有关环境保护的审查应包括下列主要内容：</w:t>
      </w:r>
    </w:p>
    <w:p w14:paraId="0DF862B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（1）环境保护依法合规手续已办理；</w:t>
      </w:r>
    </w:p>
    <w:p w14:paraId="53F0A17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（2）环境保护设计交底和图纸会审已完成；</w:t>
      </w:r>
    </w:p>
    <w:p w14:paraId="442938D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（3）施工组织设计、环境保护专项施工方案已审核通过；</w:t>
      </w:r>
    </w:p>
    <w:p w14:paraId="5C82308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施工单位现场环境保护管理体系已建立，管理及施工人员已到位；</w:t>
      </w:r>
    </w:p>
    <w:p w14:paraId="6DB8D4C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环境保护措施（设施）相关的施工机器具、主要工程材料已落实；</w:t>
      </w:r>
    </w:p>
    <w:p w14:paraId="6A3C23C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施工单位管理人员、施工作业人员完成环境保护施工培训和交底。</w:t>
      </w:r>
    </w:p>
    <w:p w14:paraId="5723469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6.2.12 核查工程有关环境影响的沟通协调、信息公示等落实情况。</w:t>
      </w:r>
    </w:p>
    <w:p w14:paraId="705D20BB">
      <w:pPr>
        <w:pStyle w:val="19"/>
        <w:ind w:left="0"/>
      </w:pPr>
      <w:bookmarkStart w:id="27" w:name="_Toc2079"/>
      <w:bookmarkStart w:id="28" w:name="_Toc611"/>
      <w:r>
        <w:rPr>
          <w:rFonts w:hint="eastAsia"/>
          <w:color w:val="000000" w:themeColor="text1"/>
          <w14:textFill>
            <w14:solidFill>
              <w14:schemeClr w14:val="tx1"/>
            </w14:solidFill>
          </w14:textFill>
        </w:rPr>
        <w:t>施工阶段环境监理工作</w:t>
      </w:r>
      <w:bookmarkEnd w:id="27"/>
      <w:bookmarkEnd w:id="28"/>
    </w:p>
    <w:p w14:paraId="5292613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6.3.1.主要环境保护材料、构配件、设备进场检查</w:t>
      </w:r>
    </w:p>
    <w:p w14:paraId="1B9E910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（1）组织或参加环境保护主要材料、构配件进场验收，核查质量证明文件及出厂试验报告，现场开展外观质量检查。</w:t>
      </w:r>
    </w:p>
    <w:p w14:paraId="5AF86FE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（2）监理人员应按复试要求进行见证取样，督促施工单位进行复试送检，合格后方允许使用。</w:t>
      </w:r>
    </w:p>
    <w:p w14:paraId="7A87C41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（3）参加建设单位提供的环境保护设备开箱检查，并做好记录。</w:t>
      </w:r>
    </w:p>
    <w:p w14:paraId="314A4F6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（4）材料、构配件、设备验收不合格的，应通知责任单位立即退场。</w:t>
      </w:r>
    </w:p>
    <w:p w14:paraId="77FCE5E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6.3.2 环境保护措施（设施）监理检查点设置</w:t>
      </w:r>
    </w:p>
    <w:p w14:paraId="466948A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应根据环境保护影响评价报告及其批复文件、设计文件、工程特点和重要程度设置检查点，具体要求如下：</w:t>
      </w:r>
    </w:p>
    <w:p w14:paraId="28A7249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环境保护永久设施的质量控制点设置应与主体工程同步进行，控制点类型应参照《电网工程监理导则》T/CEC 5089第5.13条进行设置。检查记录表格式参见附录A中表A.1。</w:t>
      </w:r>
    </w:p>
    <w:p w14:paraId="76EE150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输变电工程环境保护措施检查点设置应符合表6-1的要求。</w:t>
      </w:r>
    </w:p>
    <w:p w14:paraId="44A5C046">
      <w:pPr>
        <w:pStyle w:val="16"/>
        <w:adjustRightInd w:val="0"/>
        <w:snapToGrid w:val="0"/>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表6-1  输变电工程环境保护措施检查点设置表</w:t>
      </w:r>
    </w:p>
    <w:tbl>
      <w:tblPr>
        <w:tblStyle w:val="8"/>
        <w:tblW w:w="9301" w:type="dxa"/>
        <w:tblInd w:w="98" w:type="dxa"/>
        <w:tblLayout w:type="fixed"/>
        <w:tblCellMar>
          <w:top w:w="0" w:type="dxa"/>
          <w:left w:w="108" w:type="dxa"/>
          <w:bottom w:w="0" w:type="dxa"/>
          <w:right w:w="108" w:type="dxa"/>
        </w:tblCellMar>
      </w:tblPr>
      <w:tblGrid>
        <w:gridCol w:w="1047"/>
        <w:gridCol w:w="2315"/>
        <w:gridCol w:w="4356"/>
        <w:gridCol w:w="1583"/>
      </w:tblGrid>
      <w:tr w14:paraId="71D01C0D">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7161E6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2190" w:type="dxa"/>
            <w:tcBorders>
              <w:top w:val="single" w:color="000000" w:sz="4" w:space="0"/>
              <w:left w:val="single" w:color="000000" w:sz="4" w:space="0"/>
              <w:bottom w:val="single" w:color="000000" w:sz="4" w:space="0"/>
              <w:right w:val="single" w:color="000000" w:sz="4" w:space="0"/>
            </w:tcBorders>
            <w:vAlign w:val="center"/>
          </w:tcPr>
          <w:p w14:paraId="1A8CF6F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环境要素</w:t>
            </w:r>
          </w:p>
        </w:tc>
        <w:tc>
          <w:tcPr>
            <w:tcW w:w="4121" w:type="dxa"/>
            <w:tcBorders>
              <w:top w:val="single" w:color="000000" w:sz="4" w:space="0"/>
              <w:left w:val="single" w:color="000000" w:sz="4" w:space="0"/>
              <w:bottom w:val="single" w:color="000000" w:sz="4" w:space="0"/>
              <w:right w:val="single" w:color="000000" w:sz="4" w:space="0"/>
            </w:tcBorders>
            <w:vAlign w:val="center"/>
          </w:tcPr>
          <w:p w14:paraId="61164CDA">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环保措施内容</w:t>
            </w:r>
          </w:p>
        </w:tc>
        <w:tc>
          <w:tcPr>
            <w:tcW w:w="1498" w:type="dxa"/>
            <w:tcBorders>
              <w:top w:val="single" w:color="000000" w:sz="4" w:space="0"/>
              <w:left w:val="single" w:color="000000" w:sz="4" w:space="0"/>
              <w:bottom w:val="single" w:color="000000" w:sz="4" w:space="0"/>
              <w:right w:val="single" w:color="000000" w:sz="4" w:space="0"/>
            </w:tcBorders>
            <w:vAlign w:val="center"/>
          </w:tcPr>
          <w:p w14:paraId="1447FA9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检查方法</w:t>
            </w:r>
          </w:p>
        </w:tc>
      </w:tr>
      <w:tr w14:paraId="34608C9E">
        <w:tblPrEx>
          <w:tblCellMar>
            <w:top w:w="0" w:type="dxa"/>
            <w:left w:w="108" w:type="dxa"/>
            <w:bottom w:w="0" w:type="dxa"/>
            <w:right w:w="108" w:type="dxa"/>
          </w:tblCellMar>
        </w:tblPrEx>
        <w:trPr>
          <w:trHeight w:val="3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55FD38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190" w:type="dxa"/>
            <w:vMerge w:val="restart"/>
            <w:tcBorders>
              <w:top w:val="single" w:color="000000" w:sz="4" w:space="0"/>
              <w:left w:val="single" w:color="000000" w:sz="4" w:space="0"/>
              <w:bottom w:val="single" w:color="000000" w:sz="4" w:space="0"/>
              <w:right w:val="single" w:color="000000" w:sz="4" w:space="0"/>
            </w:tcBorders>
            <w:vAlign w:val="center"/>
          </w:tcPr>
          <w:p w14:paraId="5751642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声环境保护</w:t>
            </w:r>
          </w:p>
        </w:tc>
        <w:tc>
          <w:tcPr>
            <w:tcW w:w="4121" w:type="dxa"/>
            <w:tcBorders>
              <w:top w:val="single" w:color="000000" w:sz="4" w:space="0"/>
              <w:left w:val="single" w:color="000000" w:sz="4" w:space="0"/>
              <w:bottom w:val="single" w:color="000000" w:sz="4" w:space="0"/>
              <w:right w:val="single" w:color="000000" w:sz="4" w:space="0"/>
            </w:tcBorders>
            <w:vAlign w:val="center"/>
          </w:tcPr>
          <w:p w14:paraId="0AC9A88A">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施工机械噪声污染防治措施</w:t>
            </w:r>
          </w:p>
        </w:tc>
        <w:tc>
          <w:tcPr>
            <w:tcW w:w="1498" w:type="dxa"/>
            <w:tcBorders>
              <w:top w:val="single" w:color="000000" w:sz="4" w:space="0"/>
              <w:left w:val="single" w:color="000000" w:sz="4" w:space="0"/>
              <w:bottom w:val="single" w:color="000000" w:sz="4" w:space="0"/>
              <w:right w:val="single" w:color="000000" w:sz="4" w:space="0"/>
            </w:tcBorders>
            <w:vAlign w:val="center"/>
          </w:tcPr>
          <w:p w14:paraId="231A8AB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4D49E48F">
        <w:tblPrEx>
          <w:tblCellMar>
            <w:top w:w="0" w:type="dxa"/>
            <w:left w:w="108" w:type="dxa"/>
            <w:bottom w:w="0" w:type="dxa"/>
            <w:right w:w="108" w:type="dxa"/>
          </w:tblCellMar>
        </w:tblPrEx>
        <w:trPr>
          <w:trHeight w:val="32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0AFBB9F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35B8FEC0">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41CA61B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临近城镇、人口密集区降噪措施</w:t>
            </w:r>
          </w:p>
        </w:tc>
        <w:tc>
          <w:tcPr>
            <w:tcW w:w="1498" w:type="dxa"/>
            <w:tcBorders>
              <w:top w:val="single" w:color="000000" w:sz="4" w:space="0"/>
              <w:left w:val="single" w:color="000000" w:sz="4" w:space="0"/>
              <w:bottom w:val="single" w:color="000000" w:sz="4" w:space="0"/>
              <w:right w:val="single" w:color="000000" w:sz="4" w:space="0"/>
            </w:tcBorders>
            <w:vAlign w:val="center"/>
          </w:tcPr>
          <w:p w14:paraId="2E3A210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DA52A62">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4FF1BB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4AF3E453">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40BE638A">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运输车辆降噪措施</w:t>
            </w:r>
          </w:p>
        </w:tc>
        <w:tc>
          <w:tcPr>
            <w:tcW w:w="1498" w:type="dxa"/>
            <w:tcBorders>
              <w:top w:val="single" w:color="000000" w:sz="4" w:space="0"/>
              <w:left w:val="single" w:color="000000" w:sz="4" w:space="0"/>
              <w:bottom w:val="single" w:color="000000" w:sz="4" w:space="0"/>
              <w:right w:val="single" w:color="000000" w:sz="4" w:space="0"/>
            </w:tcBorders>
            <w:vAlign w:val="center"/>
          </w:tcPr>
          <w:p w14:paraId="405F051B">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F01A950">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7C5F3BD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2E96A6CF">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66AF094C">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噪声监测</w:t>
            </w:r>
          </w:p>
        </w:tc>
        <w:tc>
          <w:tcPr>
            <w:tcW w:w="1498" w:type="dxa"/>
            <w:tcBorders>
              <w:top w:val="single" w:color="000000" w:sz="4" w:space="0"/>
              <w:left w:val="single" w:color="000000" w:sz="4" w:space="0"/>
              <w:bottom w:val="single" w:color="000000" w:sz="4" w:space="0"/>
              <w:right w:val="single" w:color="000000" w:sz="4" w:space="0"/>
            </w:tcBorders>
            <w:vAlign w:val="center"/>
          </w:tcPr>
          <w:p w14:paraId="0038ECD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3418CB57">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452EB67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2190" w:type="dxa"/>
            <w:vMerge w:val="restart"/>
            <w:tcBorders>
              <w:top w:val="single" w:color="000000" w:sz="4" w:space="0"/>
              <w:left w:val="single" w:color="000000" w:sz="4" w:space="0"/>
              <w:bottom w:val="single" w:color="000000" w:sz="4" w:space="0"/>
              <w:right w:val="single" w:color="000000" w:sz="4" w:space="0"/>
            </w:tcBorders>
            <w:vAlign w:val="center"/>
          </w:tcPr>
          <w:p w14:paraId="5AA0DFE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生态环境保护</w:t>
            </w:r>
          </w:p>
        </w:tc>
        <w:tc>
          <w:tcPr>
            <w:tcW w:w="4121" w:type="dxa"/>
            <w:tcBorders>
              <w:top w:val="single" w:color="000000" w:sz="4" w:space="0"/>
              <w:left w:val="single" w:color="000000" w:sz="4" w:space="0"/>
              <w:bottom w:val="single" w:color="000000" w:sz="4" w:space="0"/>
              <w:right w:val="single" w:color="000000" w:sz="4" w:space="0"/>
            </w:tcBorders>
            <w:vAlign w:val="center"/>
          </w:tcPr>
          <w:p w14:paraId="25C64B6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施工限界</w:t>
            </w:r>
          </w:p>
        </w:tc>
        <w:tc>
          <w:tcPr>
            <w:tcW w:w="1498" w:type="dxa"/>
            <w:tcBorders>
              <w:top w:val="single" w:color="000000" w:sz="4" w:space="0"/>
              <w:left w:val="single" w:color="000000" w:sz="4" w:space="0"/>
              <w:bottom w:val="single" w:color="000000" w:sz="4" w:space="0"/>
              <w:right w:val="single" w:color="000000" w:sz="4" w:space="0"/>
            </w:tcBorders>
            <w:vAlign w:val="center"/>
          </w:tcPr>
          <w:p w14:paraId="57BA093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72C25DF9">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49F25D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04C2C4FE">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1E75C08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表土与植被保护</w:t>
            </w:r>
          </w:p>
        </w:tc>
        <w:tc>
          <w:tcPr>
            <w:tcW w:w="1498" w:type="dxa"/>
            <w:tcBorders>
              <w:top w:val="single" w:color="000000" w:sz="4" w:space="0"/>
              <w:left w:val="single" w:color="000000" w:sz="4" w:space="0"/>
              <w:bottom w:val="single" w:color="000000" w:sz="4" w:space="0"/>
              <w:right w:val="single" w:color="000000" w:sz="4" w:space="0"/>
            </w:tcBorders>
            <w:vAlign w:val="center"/>
          </w:tcPr>
          <w:p w14:paraId="12C09B2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4B296242">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4E546B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757FB4E0">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78B5244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林木砍伐</w:t>
            </w:r>
          </w:p>
        </w:tc>
        <w:tc>
          <w:tcPr>
            <w:tcW w:w="1498" w:type="dxa"/>
            <w:tcBorders>
              <w:top w:val="single" w:color="000000" w:sz="4" w:space="0"/>
              <w:left w:val="single" w:color="000000" w:sz="4" w:space="0"/>
              <w:bottom w:val="single" w:color="000000" w:sz="4" w:space="0"/>
              <w:right w:val="single" w:color="000000" w:sz="4" w:space="0"/>
            </w:tcBorders>
            <w:vAlign w:val="center"/>
          </w:tcPr>
          <w:p w14:paraId="757AFE48">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20B4CF20">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6C28353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739992DB">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223CE78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迹地恢复</w:t>
            </w:r>
          </w:p>
        </w:tc>
        <w:tc>
          <w:tcPr>
            <w:tcW w:w="1498" w:type="dxa"/>
            <w:tcBorders>
              <w:top w:val="single" w:color="000000" w:sz="4" w:space="0"/>
              <w:left w:val="single" w:color="000000" w:sz="4" w:space="0"/>
              <w:bottom w:val="single" w:color="000000" w:sz="4" w:space="0"/>
              <w:right w:val="single" w:color="000000" w:sz="4" w:space="0"/>
            </w:tcBorders>
            <w:vAlign w:val="center"/>
          </w:tcPr>
          <w:p w14:paraId="4BDFBDC2">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5ACACF3A">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6B2E74E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72E84F87">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6BC7592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生态敏感区施工</w:t>
            </w:r>
          </w:p>
        </w:tc>
        <w:tc>
          <w:tcPr>
            <w:tcW w:w="1498" w:type="dxa"/>
            <w:tcBorders>
              <w:top w:val="single" w:color="000000" w:sz="4" w:space="0"/>
              <w:left w:val="single" w:color="000000" w:sz="4" w:space="0"/>
              <w:bottom w:val="single" w:color="000000" w:sz="4" w:space="0"/>
              <w:right w:val="single" w:color="000000" w:sz="4" w:space="0"/>
            </w:tcBorders>
            <w:vAlign w:val="center"/>
          </w:tcPr>
          <w:p w14:paraId="55A71359">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2462AADF">
        <w:tblPrEx>
          <w:tblCellMar>
            <w:top w:w="0" w:type="dxa"/>
            <w:left w:w="108" w:type="dxa"/>
            <w:bottom w:w="0" w:type="dxa"/>
            <w:right w:w="108" w:type="dxa"/>
          </w:tblCellMar>
        </w:tblPrEx>
        <w:trPr>
          <w:trHeight w:val="30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63BAAAB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190" w:type="dxa"/>
            <w:vMerge w:val="restart"/>
            <w:tcBorders>
              <w:top w:val="single" w:color="000000" w:sz="4" w:space="0"/>
              <w:left w:val="single" w:color="000000" w:sz="4" w:space="0"/>
              <w:bottom w:val="single" w:color="000000" w:sz="4" w:space="0"/>
              <w:right w:val="single" w:color="000000" w:sz="4" w:space="0"/>
            </w:tcBorders>
            <w:vAlign w:val="center"/>
          </w:tcPr>
          <w:p w14:paraId="4C79945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水环境保护</w:t>
            </w:r>
          </w:p>
        </w:tc>
        <w:tc>
          <w:tcPr>
            <w:tcW w:w="4121" w:type="dxa"/>
            <w:tcBorders>
              <w:top w:val="single" w:color="000000" w:sz="4" w:space="0"/>
              <w:left w:val="single" w:color="000000" w:sz="4" w:space="0"/>
              <w:bottom w:val="single" w:color="000000" w:sz="4" w:space="0"/>
              <w:right w:val="single" w:color="000000" w:sz="4" w:space="0"/>
            </w:tcBorders>
            <w:vAlign w:val="center"/>
          </w:tcPr>
          <w:p w14:paraId="3F1C7D9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施工废水治理</w:t>
            </w:r>
          </w:p>
        </w:tc>
        <w:tc>
          <w:tcPr>
            <w:tcW w:w="1498" w:type="dxa"/>
            <w:tcBorders>
              <w:top w:val="single" w:color="000000" w:sz="4" w:space="0"/>
              <w:left w:val="single" w:color="000000" w:sz="4" w:space="0"/>
              <w:bottom w:val="single" w:color="000000" w:sz="4" w:space="0"/>
              <w:right w:val="single" w:color="000000" w:sz="4" w:space="0"/>
            </w:tcBorders>
            <w:vAlign w:val="center"/>
          </w:tcPr>
          <w:p w14:paraId="618C407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2AF1E1F4">
        <w:tblPrEx>
          <w:tblCellMar>
            <w:top w:w="0" w:type="dxa"/>
            <w:left w:w="108" w:type="dxa"/>
            <w:bottom w:w="0" w:type="dxa"/>
            <w:right w:w="108" w:type="dxa"/>
          </w:tblCellMar>
        </w:tblPrEx>
        <w:trPr>
          <w:trHeight w:val="34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1EE8C85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60D13C2F">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28DFE56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生活污水处理</w:t>
            </w:r>
          </w:p>
        </w:tc>
        <w:tc>
          <w:tcPr>
            <w:tcW w:w="1498" w:type="dxa"/>
            <w:tcBorders>
              <w:top w:val="single" w:color="000000" w:sz="4" w:space="0"/>
              <w:left w:val="single" w:color="000000" w:sz="4" w:space="0"/>
              <w:bottom w:val="single" w:color="000000" w:sz="4" w:space="0"/>
              <w:right w:val="single" w:color="000000" w:sz="4" w:space="0"/>
            </w:tcBorders>
            <w:vAlign w:val="center"/>
          </w:tcPr>
          <w:p w14:paraId="684D37A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53BA2B00">
        <w:tblPrEx>
          <w:tblCellMar>
            <w:top w:w="0" w:type="dxa"/>
            <w:left w:w="108" w:type="dxa"/>
            <w:bottom w:w="0" w:type="dxa"/>
            <w:right w:w="108" w:type="dxa"/>
          </w:tblCellMar>
        </w:tblPrEx>
        <w:trPr>
          <w:trHeight w:val="31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1B7F62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4A25BE69">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14F5678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饮用水源保护</w:t>
            </w:r>
          </w:p>
        </w:tc>
        <w:tc>
          <w:tcPr>
            <w:tcW w:w="1498" w:type="dxa"/>
            <w:tcBorders>
              <w:top w:val="single" w:color="000000" w:sz="4" w:space="0"/>
              <w:left w:val="single" w:color="000000" w:sz="4" w:space="0"/>
              <w:bottom w:val="single" w:color="000000" w:sz="4" w:space="0"/>
              <w:right w:val="single" w:color="000000" w:sz="4" w:space="0"/>
            </w:tcBorders>
            <w:vAlign w:val="center"/>
          </w:tcPr>
          <w:p w14:paraId="23F99FB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E7E82A8">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6D431D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2BD0B6A8">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noWrap/>
            <w:vAlign w:val="center"/>
          </w:tcPr>
          <w:p w14:paraId="2FDD91F6">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废油处理</w:t>
            </w:r>
          </w:p>
        </w:tc>
        <w:tc>
          <w:tcPr>
            <w:tcW w:w="1498" w:type="dxa"/>
            <w:tcBorders>
              <w:top w:val="single" w:color="000000" w:sz="4" w:space="0"/>
              <w:left w:val="single" w:color="000000" w:sz="4" w:space="0"/>
              <w:bottom w:val="single" w:color="000000" w:sz="4" w:space="0"/>
              <w:right w:val="single" w:color="000000" w:sz="4" w:space="0"/>
            </w:tcBorders>
            <w:noWrap/>
            <w:vAlign w:val="center"/>
          </w:tcPr>
          <w:p w14:paraId="2AA3CB21">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2A8651EF">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4C8C2E2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293EF35B">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noWrap/>
            <w:vAlign w:val="center"/>
          </w:tcPr>
          <w:p w14:paraId="693BFE2C">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泥浆处理</w:t>
            </w:r>
          </w:p>
        </w:tc>
        <w:tc>
          <w:tcPr>
            <w:tcW w:w="1498" w:type="dxa"/>
            <w:tcBorders>
              <w:top w:val="single" w:color="000000" w:sz="4" w:space="0"/>
              <w:left w:val="single" w:color="000000" w:sz="4" w:space="0"/>
              <w:bottom w:val="single" w:color="000000" w:sz="4" w:space="0"/>
              <w:right w:val="single" w:color="000000" w:sz="4" w:space="0"/>
            </w:tcBorders>
            <w:noWrap/>
            <w:vAlign w:val="center"/>
          </w:tcPr>
          <w:p w14:paraId="03D9492B">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78BC6EE4">
        <w:tblPrEx>
          <w:tblCellMar>
            <w:top w:w="0" w:type="dxa"/>
            <w:left w:w="108" w:type="dxa"/>
            <w:bottom w:w="0" w:type="dxa"/>
            <w:right w:w="108" w:type="dxa"/>
          </w:tblCellMar>
        </w:tblPrEx>
        <w:trPr>
          <w:trHeight w:val="30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5FA8063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2190" w:type="dxa"/>
            <w:vMerge w:val="restart"/>
            <w:tcBorders>
              <w:top w:val="single" w:color="000000" w:sz="4" w:space="0"/>
              <w:left w:val="single" w:color="000000" w:sz="4" w:space="0"/>
              <w:bottom w:val="single" w:color="000000" w:sz="4" w:space="0"/>
              <w:right w:val="single" w:color="000000" w:sz="4" w:space="0"/>
            </w:tcBorders>
            <w:vAlign w:val="center"/>
          </w:tcPr>
          <w:p w14:paraId="2E0A77E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大气环境保护</w:t>
            </w:r>
          </w:p>
        </w:tc>
        <w:tc>
          <w:tcPr>
            <w:tcW w:w="4121" w:type="dxa"/>
            <w:tcBorders>
              <w:top w:val="single" w:color="000000" w:sz="4" w:space="0"/>
              <w:left w:val="single" w:color="000000" w:sz="4" w:space="0"/>
              <w:bottom w:val="single" w:color="000000" w:sz="4" w:space="0"/>
              <w:right w:val="single" w:color="000000" w:sz="4" w:space="0"/>
            </w:tcBorders>
            <w:vAlign w:val="center"/>
          </w:tcPr>
          <w:p w14:paraId="07B898E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扬尘控制</w:t>
            </w:r>
          </w:p>
        </w:tc>
        <w:tc>
          <w:tcPr>
            <w:tcW w:w="1498" w:type="dxa"/>
            <w:tcBorders>
              <w:top w:val="single" w:color="000000" w:sz="4" w:space="0"/>
              <w:left w:val="single" w:color="000000" w:sz="4" w:space="0"/>
              <w:bottom w:val="single" w:color="000000" w:sz="4" w:space="0"/>
              <w:right w:val="single" w:color="000000" w:sz="4" w:space="0"/>
            </w:tcBorders>
            <w:vAlign w:val="center"/>
          </w:tcPr>
          <w:p w14:paraId="04015C73">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1881E752">
        <w:tblPrEx>
          <w:tblCellMar>
            <w:top w:w="0" w:type="dxa"/>
            <w:left w:w="108" w:type="dxa"/>
            <w:bottom w:w="0" w:type="dxa"/>
            <w:right w:w="108" w:type="dxa"/>
          </w:tblCellMar>
        </w:tblPrEx>
        <w:trPr>
          <w:trHeight w:val="32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3522BF0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16</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5537865C">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noWrap/>
            <w:vAlign w:val="center"/>
          </w:tcPr>
          <w:p w14:paraId="6A6D089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扬尘监测</w:t>
            </w:r>
          </w:p>
        </w:tc>
        <w:tc>
          <w:tcPr>
            <w:tcW w:w="1498" w:type="dxa"/>
            <w:tcBorders>
              <w:top w:val="single" w:color="000000" w:sz="4" w:space="0"/>
              <w:left w:val="single" w:color="000000" w:sz="4" w:space="0"/>
              <w:bottom w:val="single" w:color="000000" w:sz="4" w:space="0"/>
              <w:right w:val="single" w:color="000000" w:sz="4" w:space="0"/>
            </w:tcBorders>
            <w:noWrap/>
            <w:vAlign w:val="center"/>
          </w:tcPr>
          <w:p w14:paraId="413A44D8">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455A291A">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39875A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17</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4D78B6AB">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7C8F6F6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材料堆放苫盖</w:t>
            </w:r>
          </w:p>
        </w:tc>
        <w:tc>
          <w:tcPr>
            <w:tcW w:w="1498" w:type="dxa"/>
            <w:tcBorders>
              <w:top w:val="single" w:color="000000" w:sz="4" w:space="0"/>
              <w:left w:val="single" w:color="000000" w:sz="4" w:space="0"/>
              <w:bottom w:val="single" w:color="000000" w:sz="4" w:space="0"/>
              <w:right w:val="single" w:color="000000" w:sz="4" w:space="0"/>
            </w:tcBorders>
            <w:vAlign w:val="center"/>
          </w:tcPr>
          <w:p w14:paraId="6D4ED193">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CA7DE28">
        <w:tblPrEx>
          <w:tblCellMar>
            <w:top w:w="0" w:type="dxa"/>
            <w:left w:w="108" w:type="dxa"/>
            <w:bottom w:w="0" w:type="dxa"/>
            <w:right w:w="108" w:type="dxa"/>
          </w:tblCellMar>
        </w:tblPrEx>
        <w:trPr>
          <w:trHeight w:val="32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1FFEC46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w:t>
            </w:r>
          </w:p>
        </w:tc>
        <w:tc>
          <w:tcPr>
            <w:tcW w:w="2190" w:type="dxa"/>
            <w:vMerge w:val="restart"/>
            <w:tcBorders>
              <w:top w:val="single" w:color="000000" w:sz="4" w:space="0"/>
              <w:left w:val="single" w:color="000000" w:sz="4" w:space="0"/>
              <w:bottom w:val="single" w:color="000000" w:sz="4" w:space="0"/>
              <w:right w:val="single" w:color="000000" w:sz="4" w:space="0"/>
            </w:tcBorders>
            <w:vAlign w:val="center"/>
          </w:tcPr>
          <w:p w14:paraId="67F2882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固体废弃物处置</w:t>
            </w:r>
          </w:p>
        </w:tc>
        <w:tc>
          <w:tcPr>
            <w:tcW w:w="4121" w:type="dxa"/>
            <w:tcBorders>
              <w:top w:val="single" w:color="000000" w:sz="4" w:space="0"/>
              <w:left w:val="single" w:color="000000" w:sz="4" w:space="0"/>
              <w:bottom w:val="single" w:color="000000" w:sz="4" w:space="0"/>
              <w:right w:val="single" w:color="000000" w:sz="4" w:space="0"/>
            </w:tcBorders>
            <w:vAlign w:val="center"/>
          </w:tcPr>
          <w:p w14:paraId="678D6893">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垃圾处置</w:t>
            </w:r>
          </w:p>
        </w:tc>
        <w:tc>
          <w:tcPr>
            <w:tcW w:w="1498" w:type="dxa"/>
            <w:tcBorders>
              <w:top w:val="single" w:color="000000" w:sz="4" w:space="0"/>
              <w:left w:val="single" w:color="000000" w:sz="4" w:space="0"/>
              <w:bottom w:val="single" w:color="000000" w:sz="4" w:space="0"/>
              <w:right w:val="single" w:color="000000" w:sz="4" w:space="0"/>
            </w:tcBorders>
            <w:vAlign w:val="center"/>
          </w:tcPr>
          <w:p w14:paraId="7C2A0DB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E6E8E1E">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2812E9C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19</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36255DC8">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22BD86B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弃土处理</w:t>
            </w:r>
          </w:p>
        </w:tc>
        <w:tc>
          <w:tcPr>
            <w:tcW w:w="1498" w:type="dxa"/>
            <w:tcBorders>
              <w:top w:val="single" w:color="000000" w:sz="4" w:space="0"/>
              <w:left w:val="single" w:color="000000" w:sz="4" w:space="0"/>
              <w:bottom w:val="single" w:color="000000" w:sz="4" w:space="0"/>
              <w:right w:val="single" w:color="000000" w:sz="4" w:space="0"/>
            </w:tcBorders>
            <w:vAlign w:val="center"/>
          </w:tcPr>
          <w:p w14:paraId="1589A3B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见证</w:t>
            </w:r>
          </w:p>
        </w:tc>
      </w:tr>
      <w:tr w14:paraId="0B4F81DA">
        <w:tblPrEx>
          <w:tblCellMar>
            <w:top w:w="0" w:type="dxa"/>
            <w:left w:w="108" w:type="dxa"/>
            <w:bottom w:w="0" w:type="dxa"/>
            <w:right w:w="108" w:type="dxa"/>
          </w:tblCellMar>
        </w:tblPrEx>
        <w:trPr>
          <w:trHeight w:val="34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4BA289F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36C23123">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26BA271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弃渣、废弃金属物处置</w:t>
            </w:r>
          </w:p>
        </w:tc>
        <w:tc>
          <w:tcPr>
            <w:tcW w:w="1498" w:type="dxa"/>
            <w:tcBorders>
              <w:top w:val="single" w:color="000000" w:sz="4" w:space="0"/>
              <w:left w:val="single" w:color="000000" w:sz="4" w:space="0"/>
              <w:bottom w:val="single" w:color="000000" w:sz="4" w:space="0"/>
              <w:right w:val="single" w:color="000000" w:sz="4" w:space="0"/>
            </w:tcBorders>
            <w:vAlign w:val="center"/>
          </w:tcPr>
          <w:p w14:paraId="6205CBA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4C8F1217">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5C99274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21</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45D7231E">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64A9E4B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隔离保护</w:t>
            </w:r>
          </w:p>
        </w:tc>
        <w:tc>
          <w:tcPr>
            <w:tcW w:w="1498" w:type="dxa"/>
            <w:tcBorders>
              <w:top w:val="single" w:color="000000" w:sz="4" w:space="0"/>
              <w:left w:val="single" w:color="000000" w:sz="4" w:space="0"/>
              <w:bottom w:val="single" w:color="000000" w:sz="4" w:space="0"/>
              <w:right w:val="single" w:color="000000" w:sz="4" w:space="0"/>
            </w:tcBorders>
            <w:vAlign w:val="center"/>
          </w:tcPr>
          <w:p w14:paraId="4ACB3AE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63ECD752">
        <w:tblPrEx>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73F15B6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22</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11F67E39">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noWrap/>
            <w:vAlign w:val="center"/>
          </w:tcPr>
          <w:p w14:paraId="690D76E6">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土壤污染防治</w:t>
            </w:r>
          </w:p>
        </w:tc>
        <w:tc>
          <w:tcPr>
            <w:tcW w:w="1498" w:type="dxa"/>
            <w:tcBorders>
              <w:top w:val="single" w:color="000000" w:sz="4" w:space="0"/>
              <w:left w:val="single" w:color="000000" w:sz="4" w:space="0"/>
              <w:bottom w:val="single" w:color="000000" w:sz="4" w:space="0"/>
              <w:right w:val="single" w:color="000000" w:sz="4" w:space="0"/>
            </w:tcBorders>
            <w:vAlign w:val="center"/>
          </w:tcPr>
          <w:p w14:paraId="32A305D8">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r w14:paraId="28BAC761">
        <w:tblPrEx>
          <w:tblCellMar>
            <w:top w:w="0" w:type="dxa"/>
            <w:left w:w="108" w:type="dxa"/>
            <w:bottom w:w="0" w:type="dxa"/>
            <w:right w:w="108" w:type="dxa"/>
          </w:tblCellMar>
        </w:tblPrEx>
        <w:trPr>
          <w:trHeight w:val="400" w:hRule="atLeast"/>
        </w:trPr>
        <w:tc>
          <w:tcPr>
            <w:tcW w:w="990" w:type="dxa"/>
            <w:tcBorders>
              <w:top w:val="single" w:color="000000" w:sz="4" w:space="0"/>
              <w:left w:val="single" w:color="000000" w:sz="4" w:space="0"/>
              <w:bottom w:val="single" w:color="000000" w:sz="4" w:space="0"/>
              <w:right w:val="single" w:color="000000" w:sz="4" w:space="0"/>
            </w:tcBorders>
            <w:vAlign w:val="center"/>
          </w:tcPr>
          <w:p w14:paraId="7B283B7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w:t>
            </w:r>
          </w:p>
        </w:tc>
        <w:tc>
          <w:tcPr>
            <w:tcW w:w="2190" w:type="dxa"/>
            <w:vMerge w:val="continue"/>
            <w:tcBorders>
              <w:top w:val="single" w:color="000000" w:sz="4" w:space="0"/>
              <w:left w:val="single" w:color="000000" w:sz="4" w:space="0"/>
              <w:bottom w:val="single" w:color="000000" w:sz="4" w:space="0"/>
              <w:right w:val="single" w:color="000000" w:sz="4" w:space="0"/>
            </w:tcBorders>
            <w:vAlign w:val="center"/>
          </w:tcPr>
          <w:p w14:paraId="760B7369">
            <w:pPr>
              <w:jc w:val="center"/>
              <w:rPr>
                <w:rFonts w:ascii="宋体" w:hAnsi="宋体" w:cs="宋体"/>
                <w:color w:val="000000"/>
                <w:sz w:val="22"/>
                <w:szCs w:val="22"/>
              </w:rPr>
            </w:pPr>
          </w:p>
        </w:tc>
        <w:tc>
          <w:tcPr>
            <w:tcW w:w="4121" w:type="dxa"/>
            <w:tcBorders>
              <w:top w:val="single" w:color="000000" w:sz="4" w:space="0"/>
              <w:left w:val="single" w:color="000000" w:sz="4" w:space="0"/>
              <w:bottom w:val="single" w:color="000000" w:sz="4" w:space="0"/>
              <w:right w:val="single" w:color="000000" w:sz="4" w:space="0"/>
            </w:tcBorders>
            <w:vAlign w:val="center"/>
          </w:tcPr>
          <w:p w14:paraId="301E251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危险废物处置</w:t>
            </w:r>
          </w:p>
        </w:tc>
        <w:tc>
          <w:tcPr>
            <w:tcW w:w="1498" w:type="dxa"/>
            <w:tcBorders>
              <w:top w:val="single" w:color="000000" w:sz="4" w:space="0"/>
              <w:left w:val="single" w:color="000000" w:sz="4" w:space="0"/>
              <w:bottom w:val="single" w:color="000000" w:sz="4" w:space="0"/>
              <w:right w:val="single" w:color="000000" w:sz="4" w:space="0"/>
            </w:tcBorders>
            <w:vAlign w:val="center"/>
          </w:tcPr>
          <w:p w14:paraId="4A45D64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巡视</w:t>
            </w:r>
          </w:p>
        </w:tc>
      </w:tr>
    </w:tbl>
    <w:p w14:paraId="0C9919A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6.3.3  环境保护措施（设施）监理检查要点</w:t>
      </w:r>
    </w:p>
    <w:p w14:paraId="171EAB7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（1）环境保护设施监理检查要点</w:t>
      </w:r>
    </w:p>
    <w:p w14:paraId="1806481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环境保护设施质量检查、验收与评定应纳入工程主体质量同步管理，贯穿施工全过程。环境保护设施质量管控监理措施及方法宜参照《电网工程监理导则》T/CEC 5089第6章的要求进行并及时记录。</w:t>
      </w:r>
    </w:p>
    <w:p w14:paraId="462E8F7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（2）声环境保护监理检查要点</w:t>
      </w:r>
    </w:p>
    <w:p w14:paraId="160F68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1）施工期间，巡视检查施工机械噪声污染防治措施落实情况，主要包括以下内容：</w:t>
      </w:r>
    </w:p>
    <w:p w14:paraId="7A0DEA2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a）施工机械设备宜选用国家公布的《低噪声施工设备指导名录》中的设备；</w:t>
      </w:r>
    </w:p>
    <w:p w14:paraId="5684B90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b）高噪声设备（如发电机）使用应采取减振、隔音围挡或远离居民区布置等措施；</w:t>
      </w:r>
    </w:p>
    <w:p w14:paraId="4892541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c）检查土石方开挖、爆破、砂石料搅拌、混凝土施工等施工噪音较大的施工活动降噪声措施落实情况，避免在夜间等居民休息时间进行打桩、爆破等高噪声作业；</w:t>
      </w:r>
    </w:p>
    <w:p w14:paraId="4C9451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2）临近城镇或人口密集区施工，对声环保目标产生较大影响的作业活动应限制夜间施工或遵守当地城镇施工时间的相关要求；</w:t>
      </w:r>
    </w:p>
    <w:p w14:paraId="78445CF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3）检查施工期间声环境敏感区域隔声、消声、降噪设备设施安装布设情况；</w:t>
      </w:r>
    </w:p>
    <w:p w14:paraId="060CC6B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4）检查运输车辆进入施工区域后限速行驶、禁止鸣笛等措施落实情况，夜间运输应尽量避开噪声敏感时段；</w:t>
      </w:r>
    </w:p>
    <w:p w14:paraId="7049AA4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5）在临近城镇、人口密集区或声环保敏感区域施工时，应见证声环境监测器设置，查看噪音监测情况；噪声排放应符合GB12523《建筑施工场界环境噪声排放标准》和GB 3096《声环境质量标准》的相关要求。</w:t>
      </w:r>
    </w:p>
    <w:p w14:paraId="1607805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（3）生态环境保护监理检查要点</w:t>
      </w:r>
    </w:p>
    <w:p w14:paraId="5DA9E5CF">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1）检查施工平面布置、施工界限满足设计文件、环境影响报告书及批复文件等要求。</w:t>
      </w:r>
    </w:p>
    <w:p w14:paraId="763E73F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2）检查施工区域防护设施、隔离措施、公告牌、警戒线、警示标示设置状况满足要求，不得擅自扩大施工界定范围。</w:t>
      </w:r>
    </w:p>
    <w:p w14:paraId="1EA4117E">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3）检查塔基、边坡及附属设施表土及草皮剥离、保护、回覆情况，拦挡、溜渣清理、坡面修复、熟土覆盖、造林种草、洒水抚育等植被恢复及治理情况符合要求。</w:t>
      </w:r>
    </w:p>
    <w:p w14:paraId="6FA7DBF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4）检查机械及材料临时堆放及使用场地、施工道路、索道架设等临时占地区域按要求进行土地及植被恢复。</w:t>
      </w:r>
    </w:p>
    <w:p w14:paraId="2B296B6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5）见证施工沿线林木砍伐量、面积、树种及分布情况，林木砍伐应符合环境影响评价文件及其批复意见、设计文件相关要求。</w:t>
      </w:r>
    </w:p>
    <w:p w14:paraId="72AB0D75">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6）巡视检查建筑物等工程拆迁区域迹地恢复情况，督促施工单位按照环境保护影响评价文件及其批复意见的要求进行迹地恢复。</w:t>
      </w:r>
    </w:p>
    <w:p w14:paraId="5FE68F60">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7）在生态敏感区施工时，重点检查生态保护措施落实情况，应包括下列主要内容：</w:t>
      </w:r>
    </w:p>
    <w:p w14:paraId="43A4346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a）生态敏感区及施工临时占地、通道、索道架设等施工活动场所范围的界定，不得扩大施工界定范围；</w:t>
      </w:r>
    </w:p>
    <w:p w14:paraId="7A77D71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b）检查施工单位是否按照已批准的专项施工方案组织施工，落实环境影响评价报告文件及其批复文件、设计文件提出的环境污染防治措施及生态保护措施；</w:t>
      </w:r>
    </w:p>
    <w:p w14:paraId="7C60F67B">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c）项目区涉及列入国家和地方重点保护名录的动、植物资源时，巡视检查保护野生动物主要分布区域的施工作业行为，监督施工作业避开动物繁殖、哺乳等特殊时期，重点检查保护植物植被的就地保护、异地移植等保护措施落实情况。</w:t>
      </w:r>
    </w:p>
    <w:p w14:paraId="725DB3C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（4）水环境保护监理检查要点</w:t>
      </w:r>
    </w:p>
    <w:p w14:paraId="313B06CD">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1）巡视检查施工废水治理措施落实情况，施工现场拌和、砂石料冲洗、物料清洗、机械冲洗等废水处理设施建设及运行情况。</w:t>
      </w:r>
    </w:p>
    <w:p w14:paraId="3922C389">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2）巡视检查基础开挖时地下水处理及排放措施落实情况，避免造成水环境污染。</w:t>
      </w:r>
    </w:p>
    <w:p w14:paraId="098A90C1">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3）检查施工人员生活污水排放方式及处理情况，外排废水水质应符合GB8978《污水综合排放标准》排放标准。</w:t>
      </w:r>
    </w:p>
    <w:p w14:paraId="416C7C1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4）在饮用水水源保护区和其他水体保护区内或附近施工时，应检查施工区域界限、地表水体的径流拦截处理措施、污水防治等措施，避免污染水源。</w:t>
      </w:r>
    </w:p>
    <w:p w14:paraId="7955EB1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5）检查施工带油机械的铺垫隔离措施，防止造成地表水、地下水及土壤污染。</w:t>
      </w:r>
    </w:p>
    <w:p w14:paraId="3A6577F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6）检查施工泥浆沉淀池的设置和泥浆处理满足要求，施工过程车辆泥浆清洗符合相关规定。</w:t>
      </w:r>
    </w:p>
    <w:p w14:paraId="77C7F1D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（5）大气环境保护监理检查要点</w:t>
      </w:r>
    </w:p>
    <w:p w14:paraId="3B26AAF3">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1）检查土石方开挖、爆破、混凝土施工、车辆运输等施工活动及施工区域进行降尘、除尘措施落实情况满足要求。</w:t>
      </w:r>
    </w:p>
    <w:p w14:paraId="3981F25B">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2）见证扬尘监测器设置符合要求，查看扬尘监测情况，扬尘控制满足GB16297《大气污染物综合排放标准》及GB3095《环境空气质量标准》的相关要求。</w:t>
      </w:r>
    </w:p>
    <w:p w14:paraId="42BE90E7">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3）巡视检查易起尘的临时堆土、砂石、粉状等物料密闭式防尘布(网)苫盖措施落实情况，防止造成大气污染。</w:t>
      </w:r>
    </w:p>
    <w:p w14:paraId="6D38C2B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（6）固体废弃物处置监理检查要点</w:t>
      </w:r>
    </w:p>
    <w:p w14:paraId="581F9954">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1）监督施工单位制定固体废弃物管理制度，督促施工单位按照管理制度和专项施工方案的要求进行管理和处置固体废弃物。</w:t>
      </w:r>
    </w:p>
    <w:p w14:paraId="09C9BD2A">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2）巡视检查施工现场、材料站和生活区建筑垃圾、生活垃圾的管理措施落实情况，包括垃圾及时清理、集中分类收集、定期清运处置等内容，督促施工单位对建筑垃圾和生活垃圾进行有序堆放、合理处置。</w:t>
      </w:r>
    </w:p>
    <w:p w14:paraId="7E6B15BF">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3）巡视检查土石方开挖、堆放、回填及弃土清运情况，堆放和处置应满足GB18599《一般工业固体废物贮存和填埋污控制标准》的要求。</w:t>
      </w:r>
    </w:p>
    <w:p w14:paraId="279148A2">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4）巡视检查施工现场弃渣、焊条焊渣、金属废弃物材料收集、储存、处置情况。</w:t>
      </w:r>
    </w:p>
    <w:p w14:paraId="09DBAA88">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5）在农田和经济作物区施工时，巡视检查施工临时占地及通道的隔离保护措施，检查施工结束后及时清除混凝土余料和残渣情况，以免影响后期土地功能的恢复。</w:t>
      </w:r>
    </w:p>
    <w:p w14:paraId="4232161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6）巡视检查土壤污染防治措施的落实情况，防止施工期间废油、固体废弃物污染土壤。</w:t>
      </w:r>
    </w:p>
    <w:p w14:paraId="03EC434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检查废油、废气、废铅蓄电池等危险废物管理措施按照环境保护影响评价及其批复文件落实，包括危险废物暂存库设置、标识及出入库管理、危险废物处置等内容；暂存和处置应满足GB18597《危险废物贮存污染控制标准》的要求。</w:t>
      </w:r>
    </w:p>
    <w:p w14:paraId="3BF9237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6.3.4 环境保护管理体系运转情况核查</w:t>
      </w:r>
    </w:p>
    <w:p w14:paraId="627C43A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（1）核查环境保护施工管理人员到岗履职情况，未按要求到位履职的应及时向建设单位报告。</w:t>
      </w:r>
    </w:p>
    <w:p w14:paraId="60B10BE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（2）检查施工单位环境保护管理制度健全、管理体系正常运转情况。</w:t>
      </w:r>
    </w:p>
    <w:p w14:paraId="249B09E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6.3.5 项目监理机构应组织或参与环境保护设施过程验收，对质量控制资料和实体质量进行检查、验收。</w:t>
      </w:r>
    </w:p>
    <w:p w14:paraId="53EA21C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6.3.6 监理签证</w:t>
      </w:r>
    </w:p>
    <w:p w14:paraId="55E2332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（1）开展环境保护设施隐蔽工程验收，核实隐蔽工程量并签证。</w:t>
      </w:r>
    </w:p>
    <w:p w14:paraId="6EC165A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（2）按照合同及相关文件要求核查施工单位报审的环境措施工程量并签证。</w:t>
      </w:r>
    </w:p>
    <w:p w14:paraId="1E93288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6.3.7 设计变更处理</w:t>
      </w:r>
    </w:p>
    <w:p w14:paraId="2FDD782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（1）因现场条件或设计方案发生变化，环境保护措施(设施)需要发生重大变更时，及时向建设单位进行报告，并协助建设单位重新编制环境保护影响报告书（表）并报批。</w:t>
      </w:r>
    </w:p>
    <w:p w14:paraId="5CEDC740">
      <w:pPr>
        <w:pStyle w:val="16"/>
        <w:widowControl w:val="0"/>
        <w:rPr>
          <w:color w:val="000000" w:themeColor="text1"/>
          <w14:textFill>
            <w14:solidFill>
              <w14:schemeClr w14:val="tx1"/>
            </w14:solidFill>
          </w14:textFill>
        </w:rPr>
      </w:pPr>
      <w:r>
        <w:rPr>
          <w:rFonts w:hint="eastAsia"/>
          <w:color w:val="000000" w:themeColor="text1"/>
          <w14:textFill>
            <w14:solidFill>
              <w14:schemeClr w14:val="tx1"/>
            </w14:solidFill>
          </w14:textFill>
        </w:rPr>
        <w:t>（2）环境保护设施发生一般变更时，参加对设计变更审查，提出监理意见。</w:t>
      </w:r>
    </w:p>
    <w:p w14:paraId="3C8D381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（3）设计变更发生后，应开展设计变更执行情况检查。</w:t>
      </w:r>
    </w:p>
    <w:p w14:paraId="7C98DC7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6.3.8问题发现及处理 </w:t>
      </w:r>
    </w:p>
    <w:p w14:paraId="2056FDD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在环境监理过程中，发现环境保护措施(设施》、生态保护措施不满足环境影响评价文件及其批复意见、设计文件要求的，应立即下发《监理工程师通知单》,要求施工单位限期予以纠正,并对整改情况跟踪检查。《监理工程师通知单》</w:t>
      </w:r>
      <w:r>
        <w:rPr>
          <w:rFonts w:hint="eastAsia"/>
        </w:rPr>
        <w:t>参照DL/T5434中表A.0.4。</w:t>
      </w:r>
    </w:p>
    <w:p w14:paraId="0F6E01B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（2）工程施工过程中发生下列情况之一,应及时报告建设单位,经建设单位同意后,由总监理工程师签发《工程暂停令》：</w:t>
      </w:r>
    </w:p>
    <w:p w14:paraId="1000C05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1）工程发生重大变更,且尚未履行重大变更环境保护相关手续；</w:t>
      </w:r>
    </w:p>
    <w:p w14:paraId="4E95408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2）工程存在重大环境保护隐患；</w:t>
      </w:r>
    </w:p>
    <w:p w14:paraId="02943B8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3）工程发生严重生态破坏情形；</w:t>
      </w:r>
    </w:p>
    <w:p w14:paraId="6C6C5B5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4）工程发生突发环境事件。</w:t>
      </w:r>
    </w:p>
    <w:p w14:paraId="280F30E4">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（3）《工程暂停令》应依据停工原因的影响范围和程度，确定工程项目停工范围及复工要求。《工程暂停令》</w:t>
      </w:r>
      <w:r>
        <w:rPr>
          <w:rFonts w:hint="eastAsia"/>
        </w:rPr>
        <w:t>参照DL/T5434中表A.0.6。</w:t>
      </w:r>
    </w:p>
    <w:p w14:paraId="5D7292B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（4）工程重大变更问题得到整改，或履行完环境保护相关手续后，经项目监理机构复核，符合要求后由总监理工程师签署《工程复工令》，报建设单位同意后复工。《工程复工令》</w:t>
      </w:r>
      <w:r>
        <w:rPr>
          <w:rFonts w:hint="eastAsia"/>
        </w:rPr>
        <w:t>参照DL/T5434中表A.0.10。</w:t>
      </w:r>
    </w:p>
    <w:p w14:paraId="78F47A0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在实施监理过程中，发现工程存在质量、安全事故隐患的，经项目监理机构发出《监理工程通知单》或《工程暂停令》后，承包单位拒不整改或不暂停施工的，项目监理机构应以《监理报告》的形式及时向建设单位和上级主管部门报告。《监理报告》</w:t>
      </w:r>
      <w:r>
        <w:rPr>
          <w:rFonts w:hint="eastAsia"/>
        </w:rPr>
        <w:t>参照DL/T5434中表A.0.9。</w:t>
      </w:r>
    </w:p>
    <w:p w14:paraId="0568777A">
      <w:pPr>
        <w:pStyle w:val="19"/>
        <w:ind w:left="0"/>
      </w:pPr>
      <w:bookmarkStart w:id="29" w:name="_Toc18006"/>
      <w:bookmarkStart w:id="30" w:name="_Toc21540"/>
      <w:r>
        <w:rPr>
          <w:rFonts w:hint="eastAsia"/>
          <w:color w:val="000000" w:themeColor="text1"/>
          <w14:textFill>
            <w14:solidFill>
              <w14:schemeClr w14:val="tx1"/>
            </w14:solidFill>
          </w14:textFill>
        </w:rPr>
        <w:t>竣工验收阶段环境监理工作</w:t>
      </w:r>
      <w:bookmarkEnd w:id="29"/>
      <w:bookmarkEnd w:id="30"/>
    </w:p>
    <w:p w14:paraId="567227C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6.4.1 督促施工单位开展环境保护措施（设施）施工质量自检。</w:t>
      </w:r>
    </w:p>
    <w:p w14:paraId="12289DC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6.4.2 审查施工单位报送的竣工验收申请，并在工程竣工监理预验收时同步开展环境保护设施监理预验收工作，主要包括下列内容:</w:t>
      </w:r>
    </w:p>
    <w:p w14:paraId="153CCCA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（1）核查环境保护设施质量验评记录及质量控制资料；</w:t>
      </w:r>
    </w:p>
    <w:p w14:paraId="56482CC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（2）核查环境保护设施有关安全及功能性能检测资料；</w:t>
      </w:r>
    </w:p>
    <w:p w14:paraId="51652F8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（3）主要设施功能项目抽检；</w:t>
      </w:r>
    </w:p>
    <w:p w14:paraId="6D5E47B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（4）现场开展观感质量验收；</w:t>
      </w:r>
    </w:p>
    <w:p w14:paraId="70D28AC2">
      <w:pPr>
        <w:pStyle w:val="16"/>
        <w:widowControl w:val="0"/>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（5）对环境保护设施分部工程、单位工程施工单位自评定情况进行复核。</w:t>
      </w:r>
    </w:p>
    <w:p w14:paraId="5BE74DC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6.4.3 工程竣工前，开展环境保护措施实施情况核查，应包括下列主要内容：</w:t>
      </w:r>
    </w:p>
    <w:p w14:paraId="1F4CA57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（1）工程涉及的拆迁及迹地清理；</w:t>
      </w:r>
    </w:p>
    <w:p w14:paraId="2F04BBD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（2）工程临建设施拆除及迹地清理；</w:t>
      </w:r>
    </w:p>
    <w:p w14:paraId="122C6CD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（3）施工及影响区域生态恢复效果；</w:t>
      </w:r>
    </w:p>
    <w:p w14:paraId="653D66F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（4）环境保护措施建设及运行情况；</w:t>
      </w:r>
    </w:p>
    <w:p w14:paraId="30F4CC0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（5）环境保护措施施工过程资料核查。</w:t>
      </w:r>
    </w:p>
    <w:p w14:paraId="747845F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6.4.4 核查环境保护措施(设施)时发现的问题，明确整改要求和时间，形成清单书面下发给施工单位，督促施工单位限期整改完毕后进行复核，合格后签署意见报建设单位验收。</w:t>
      </w:r>
    </w:p>
    <w:p w14:paraId="6FD10B2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6.4.5 总监理工程师应组织编制环境监理预验收报告，报告应包括下列主要内容：</w:t>
      </w:r>
    </w:p>
    <w:p w14:paraId="03F738A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（1）工程建设概况；</w:t>
      </w:r>
    </w:p>
    <w:p w14:paraId="3797D5C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（2）环境保护措施(设施)实施情况；</w:t>
      </w:r>
    </w:p>
    <w:p w14:paraId="79D48B9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（3）环境保护设施质量验收情况；</w:t>
      </w:r>
    </w:p>
    <w:p w14:paraId="2577BA2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（4）环境保护措施现场核查情况；</w:t>
      </w:r>
    </w:p>
    <w:p w14:paraId="6064506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（5）环境保护措施(设施)文件核查情况；</w:t>
      </w:r>
    </w:p>
    <w:p w14:paraId="78EB17C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（6）遗留问题及建议；</w:t>
      </w:r>
    </w:p>
    <w:p w14:paraId="62890C1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（7）环境保护监理验收结论。</w:t>
      </w:r>
    </w:p>
    <w:p w14:paraId="054A48C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6.4.6 工程试运行期间，核查电磁环境和声环境监测结果满足环境保护影响评价报告要求。</w:t>
      </w:r>
    </w:p>
    <w:p w14:paraId="6B8DF11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6.4.7 竣工环境保护验收</w:t>
      </w:r>
    </w:p>
    <w:p w14:paraId="6449DD3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（1）参加建设单位组织的竣工环境保护验收，对于验收中发现的问题应督促责任单位及时整改，合格后签署监理验收意见。</w:t>
      </w:r>
    </w:p>
    <w:p w14:paraId="19C199D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（2）进行竣工环境保护验收时存在下列情况之一的，不得签署监理验收合格的意见：</w:t>
      </w:r>
    </w:p>
    <w:p w14:paraId="7F234F7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1）涉及重大变动但未完成重新审批流程，或未落实变更后的批复文件要求；</w:t>
      </w:r>
    </w:p>
    <w:p w14:paraId="17AE296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2）进入生态保护红线范围及自然保护区、风景名胜区、世界文化和自然遗产地、饮用水水源保护区、海洋特别保护区等环境敏感区的,生态保护措施未落实到位，相关手续不完备的；</w:t>
      </w:r>
    </w:p>
    <w:p w14:paraId="4185BBE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3）变电站(换流站)污水处理、废(事故)油收集、噪声控制等环境保护设施未建成的；</w:t>
      </w:r>
    </w:p>
    <w:p w14:paraId="1DAAF1B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4）迹地恢复工作未按要求完成的；</w:t>
      </w:r>
    </w:p>
    <w:p w14:paraId="772D824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5）变电(换流)站厂界噪声、外排废水监测超标的，电磁和声环境敏感目标监测超标的；</w:t>
      </w:r>
    </w:p>
    <w:p w14:paraId="1CEA46D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6）验收调查报告的基础资料数据明显不实，内容存在重大缺项、遗漏等不符合相关技术规范的；</w:t>
      </w:r>
    </w:p>
    <w:p w14:paraId="244EE02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7）环境保护影响评价报告及其批复文件提出的其他环境保护措施未落实的；</w:t>
      </w:r>
    </w:p>
    <w:p w14:paraId="3DE5035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8）违反环境保护法律法规受到处罚，被责令改正，尚未改正完成的，或存在其他不符合环境保护法律法规等情形的。</w:t>
      </w:r>
    </w:p>
    <w:p w14:paraId="369E27B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（3）参加由工程启动验收或竣工验收会议，汇报环境监理工作情况和验收整改消缺情况，并就满足启动条件情况提出监理意见。</w:t>
      </w:r>
    </w:p>
    <w:p w14:paraId="391E285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6.4.8 工程投运后，项目监理机构应在《监理工作总结》中编制环境监理工作总结专篇或编制环境监理工作总结。环境监理工作总结参见附录A中表A.4，应包括下列主要内容：</w:t>
      </w:r>
    </w:p>
    <w:p w14:paraId="13E98CD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（1）工程概况：</w:t>
      </w:r>
    </w:p>
    <w:p w14:paraId="1916292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（2）工程项目环境保护投资情况；</w:t>
      </w:r>
    </w:p>
    <w:p w14:paraId="730804E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（3）环境保护措施(设施)施工实施进度情况；</w:t>
      </w:r>
    </w:p>
    <w:p w14:paraId="59BBD86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（4）环境保护措施(设施)落实完成情况；</w:t>
      </w:r>
    </w:p>
    <w:p w14:paraId="5E3B6EB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（5）施工期环境监测情况；</w:t>
      </w:r>
    </w:p>
    <w:p w14:paraId="255EFDE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（6）环境监理工作开展情况；</w:t>
      </w:r>
    </w:p>
    <w:p w14:paraId="7F65938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（7）环境监理验收情况；</w:t>
      </w:r>
    </w:p>
    <w:p w14:paraId="3813491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（8）项目环境保护存在的问题及建议。</w:t>
      </w:r>
    </w:p>
    <w:p w14:paraId="05B9F2C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6.4.9 环境保护评价</w:t>
      </w:r>
    </w:p>
    <w:p w14:paraId="57F709A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参加或配合建设单位及相关部门开展环境影响后评价工作，提供环境监理相关资料。</w:t>
      </w:r>
    </w:p>
    <w:p w14:paraId="53FD8848">
      <w:pPr>
        <w:pStyle w:val="18"/>
        <w:rPr>
          <w:color w:val="000000" w:themeColor="text1"/>
          <w14:textFill>
            <w14:solidFill>
              <w14:schemeClr w14:val="tx1"/>
            </w14:solidFill>
          </w14:textFill>
        </w:rPr>
      </w:pPr>
      <w:bookmarkStart w:id="31" w:name="_Toc30027"/>
      <w:r>
        <w:rPr>
          <w:rFonts w:hint="eastAsia"/>
          <w:color w:val="000000" w:themeColor="text1"/>
          <w14:textFill>
            <w14:solidFill>
              <w14:schemeClr w14:val="tx1"/>
            </w14:solidFill>
          </w14:textFill>
        </w:rPr>
        <w:t>水土保持监理工作内容</w:t>
      </w:r>
      <w:bookmarkEnd w:id="31"/>
    </w:p>
    <w:p w14:paraId="07EA945E">
      <w:pPr>
        <w:pStyle w:val="19"/>
        <w:ind w:left="0"/>
      </w:pPr>
      <w:bookmarkStart w:id="32" w:name="_Toc6959"/>
      <w:r>
        <w:rPr>
          <w:rFonts w:hint="eastAsia"/>
        </w:rPr>
        <w:t>设计阶段水土保持监理工作</w:t>
      </w:r>
      <w:bookmarkEnd w:id="32"/>
    </w:p>
    <w:p w14:paraId="374A4D2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7.1.1 根据建设单位的委托，参与水土保持方案初步审查工作，协助开展水土保持方案批复。</w:t>
      </w:r>
    </w:p>
    <w:p w14:paraId="02A9ABD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7.1.2 初步设计阶段，开展工程水土保持设计文件审查。设计深度应符合主体项目初步设计方案、水土保持方案及其批复文件要求，审查应包括以下内容：</w:t>
      </w:r>
    </w:p>
    <w:p w14:paraId="3A18CDC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（1）项目水土保持设计依据；</w:t>
      </w:r>
    </w:p>
    <w:p w14:paraId="48F3C94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（2）水土保持工程建设规模及内容；</w:t>
      </w:r>
    </w:p>
    <w:p w14:paraId="0812DA9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（3）区域水土流失现状及制约因素；</w:t>
      </w:r>
    </w:p>
    <w:p w14:paraId="338CE49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（4）水土流失防治目标；</w:t>
      </w:r>
    </w:p>
    <w:p w14:paraId="113C1E7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（5）水土流失防治分区；</w:t>
      </w:r>
    </w:p>
    <w:p w14:paraId="59C70DB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（6）水土保持措施及工程量；</w:t>
      </w:r>
    </w:p>
    <w:p w14:paraId="4BE903B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（7）重大变更情况；</w:t>
      </w:r>
    </w:p>
    <w:p w14:paraId="469EC68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（8）水土保持投资概算。</w:t>
      </w:r>
    </w:p>
    <w:p w14:paraId="7B5F7BC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7.1.3 施工图设计阶段，开展工程水土保持设计文件审查。设计深度应符合已批准的初步设计方案、水土保持方案及其批复文件的要求，审查应包括以下内容：</w:t>
      </w:r>
    </w:p>
    <w:p w14:paraId="34F2073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（1）水土保持设计依据；</w:t>
      </w:r>
    </w:p>
    <w:p w14:paraId="032011F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（2）水土保持工程建设规模及内容；</w:t>
      </w:r>
    </w:p>
    <w:p w14:paraId="799B53A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（3）区域水土流失现状分析；</w:t>
      </w:r>
    </w:p>
    <w:p w14:paraId="2DAA571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（4）水土流失防治目标；</w:t>
      </w:r>
    </w:p>
    <w:p w14:paraId="0DFEDCA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（5）重大变更情况；</w:t>
      </w:r>
    </w:p>
    <w:p w14:paraId="30AB6D5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（6）水土保持措施、工程量及投资；</w:t>
      </w:r>
    </w:p>
    <w:p w14:paraId="5CF0058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（7）水土保持施工设计说明。</w:t>
      </w:r>
    </w:p>
    <w:p w14:paraId="61337143">
      <w:pPr>
        <w:pStyle w:val="19"/>
        <w:ind w:left="0"/>
      </w:pPr>
      <w:bookmarkStart w:id="33" w:name="_Toc26537"/>
      <w:r>
        <w:rPr>
          <w:rFonts w:hint="eastAsia"/>
          <w:color w:val="000000"/>
        </w:rPr>
        <w:t>施工准备阶段水土保持监理工作</w:t>
      </w:r>
      <w:bookmarkEnd w:id="33"/>
    </w:p>
    <w:p w14:paraId="7AFDCBC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 水土保持监理实施前，应收集和熟悉水土保持监理相关的资料文件，应包括以下主要内容：</w:t>
      </w:r>
    </w:p>
    <w:p w14:paraId="64423B5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（1）国家、行业等有关水土保持法律、法规、标准；</w:t>
      </w:r>
    </w:p>
    <w:p w14:paraId="35F66B3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（2）项目水土保持方案及其批复文件；</w:t>
      </w:r>
    </w:p>
    <w:p w14:paraId="01F8E07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（3）工程设计文件；</w:t>
      </w:r>
    </w:p>
    <w:p w14:paraId="432650D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（4）建设单位有关水土保持要求；</w:t>
      </w:r>
    </w:p>
    <w:p w14:paraId="5148F2F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（5）工程建设相关合同及协议；</w:t>
      </w:r>
    </w:p>
    <w:p w14:paraId="1A3C4D6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（6）其他涉及水土保持的有关文件。</w:t>
      </w:r>
    </w:p>
    <w:p w14:paraId="11FA0F5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7.2.2 对变电（换流）站站址、线路路径及周边环境进行现场勘察，收集或记录项目原始地貌特征、土地利用及植被情况、水土流失现状的照片或视频影像等资料。</w:t>
      </w:r>
    </w:p>
    <w:p w14:paraId="179B312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7.2.3 根据监理合同约定，协助建设单位开展水土保持相关招标、合同文件审核，审核内容包括：</w:t>
      </w:r>
    </w:p>
    <w:p w14:paraId="394084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（1）涉及水土保持工程施工的相关条款应符合批复的水土保持方案、水土保持设计文件要求。</w:t>
      </w:r>
    </w:p>
    <w:p w14:paraId="4C40939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（2）施工单位关于弃渣运输和堆置、取料(土、石、砂)场开采、边坡开挖、表土剥离保护与利用等环节的水土流失防治责任。</w:t>
      </w:r>
    </w:p>
    <w:p w14:paraId="579BB72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7.2.4 施工图会审前，进行水土保持设计图纸预检，形成施工图预检记录。施工图预检内容应包括：</w:t>
      </w:r>
    </w:p>
    <w:p w14:paraId="38A8392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（1）变电工程：</w:t>
      </w:r>
    </w:p>
    <w:p w14:paraId="76EE45F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1）工程建设地点、站区征地及用地红线面积、总平面布置及站区竖向布置、工程建设规模、进出线路数量及位置；</w:t>
      </w:r>
    </w:p>
    <w:p w14:paraId="50DEF7D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2）临时道路、施工生产生活场地等临时占地的水土流失防治责任范围；</w:t>
      </w:r>
    </w:p>
    <w:p w14:paraId="2B36848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3）永久道路、变电站供电系统、给排水系统等附属工程的水土流失防治责任范围；</w:t>
      </w:r>
    </w:p>
    <w:p w14:paraId="52C6962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4）土石方开挖填筑总量、土石方平衡量、取弃土场地位置、取弃土量；</w:t>
      </w:r>
    </w:p>
    <w:p w14:paraId="32B8851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5）表土剥离与回覆、植被保护与恢复、土地整治等措施；</w:t>
      </w:r>
    </w:p>
    <w:p w14:paraId="6D6E69B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6）截排水、护坡及挡墙等工程措施；</w:t>
      </w:r>
    </w:p>
    <w:p w14:paraId="629402D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7）水土保持临时防护措施；</w:t>
      </w:r>
    </w:p>
    <w:p w14:paraId="576DE46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涉及水土流失重点预防区和重点治理区、饮用水水源保护区、水功能一级区的保护区和保留区、自然保护区、世界文化和自然遗产地、风景名胜区、地质公园、森林公园以及重要湿地、生态保护红线等敏感区有关水土保持的措施。</w:t>
      </w:r>
    </w:p>
    <w:p w14:paraId="7EFCCC7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（2）输电线路工程：</w:t>
      </w:r>
    </w:p>
    <w:p w14:paraId="7A8A5C5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1）架空线路或电缆路径长度及走向，塔基数量等建设规模；</w:t>
      </w:r>
    </w:p>
    <w:p w14:paraId="1525AB0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2）工程占地性质、面积、水土流失防治责任范围；</w:t>
      </w:r>
    </w:p>
    <w:p w14:paraId="2DD3226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3）开挖填筑土石方总量及取弃土处理措施；</w:t>
      </w:r>
    </w:p>
    <w:p w14:paraId="03F9388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4）牵张场、跨越场、临时道路等临时用地的类型、面积；</w:t>
      </w:r>
    </w:p>
    <w:p w14:paraId="6AC0310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5）永久截排水、沉沙池、护坡及挡墙等工程措施；</w:t>
      </w:r>
    </w:p>
    <w:p w14:paraId="601C2E7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6）表土剥离与回覆、土地整治等措施；</w:t>
      </w:r>
    </w:p>
    <w:p w14:paraId="73FA5A1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7）临时截排水、拦挡、苫盖等临时防护措施；</w:t>
      </w:r>
    </w:p>
    <w:p w14:paraId="69D2BE2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8）植被恢复措施；</w:t>
      </w:r>
    </w:p>
    <w:p w14:paraId="5E959C2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涉及水土流失重点预防区和重点治理区、饮用水水源保护区、水功能一级区的保护区和保留区、自然保护区、世界文化和自然遗产地、风景名胜区、地质公园、森林公园以及重要湿地、生态保护红线等敏感区有关水土保持的措施。</w:t>
      </w:r>
    </w:p>
    <w:p w14:paraId="35C04CB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7.2.5 组织或参与施工图会审，针对水土保持方面的问题，提出监理意见，形成图纸会审纪要，督促设计单位及时回复处理。</w:t>
      </w:r>
    </w:p>
    <w:p w14:paraId="7A651D5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7.2.6 总监理工程师应组织编制水土保持监理规划或包含水土保持监理内容的工程监理规划，经公司技术负责人审批后实施。水土保持监理规划参见附录B中表B.2，应包括下列主要内容：</w:t>
      </w:r>
    </w:p>
    <w:p w14:paraId="72B1836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（1）建设项目概况；</w:t>
      </w:r>
    </w:p>
    <w:p w14:paraId="52A193D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（2）监理工作任务和目标；</w:t>
      </w:r>
    </w:p>
    <w:p w14:paraId="1DE82FE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（3）监理工作依据；</w:t>
      </w:r>
    </w:p>
    <w:p w14:paraId="3A2F3CA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（4）监理工作范围和内容；</w:t>
      </w:r>
    </w:p>
    <w:p w14:paraId="7A18912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（5）监理工作制度、程序及方法；</w:t>
      </w:r>
    </w:p>
    <w:p w14:paraId="2EB3346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（6）监理组织机构及人员配备；</w:t>
      </w:r>
    </w:p>
    <w:p w14:paraId="4F81239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（7）监理设备设施配置；</w:t>
      </w:r>
    </w:p>
    <w:p w14:paraId="62B9FB8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（8）监理文件管理。</w:t>
      </w:r>
    </w:p>
    <w:p w14:paraId="3FC2B91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7.2.7 监理工程师应编制水土保持监理实施细则，经总监理工程师审批后实施。水土保持监理实施细则参见附录B中表B.3，应包括下列主要内容：</w:t>
      </w:r>
    </w:p>
    <w:p w14:paraId="78992E0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（1）编制依据、监理范围、职责分工和项目划分。</w:t>
      </w:r>
    </w:p>
    <w:p w14:paraId="2F5204F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（2）监理工作重点；</w:t>
      </w:r>
    </w:p>
    <w:p w14:paraId="5698892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（3）事前监理内容和要求；</w:t>
      </w:r>
    </w:p>
    <w:p w14:paraId="4E9974D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（4）过程监理内容和要求；</w:t>
      </w:r>
    </w:p>
    <w:p w14:paraId="0BEF89C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（5）验收监理内容和要求；</w:t>
      </w:r>
    </w:p>
    <w:p w14:paraId="191377E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（6）水土流失隐患及事故处理；</w:t>
      </w:r>
    </w:p>
    <w:p w14:paraId="6A4BED7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7.2.8 工程开工前，项目监理机构应根据法律法规、监理合同建立健全项目水土保持管理制度和体系，确定监理过程中的工作方法。</w:t>
      </w:r>
    </w:p>
    <w:p w14:paraId="3C6568B2">
      <w:pPr>
        <w:pStyle w:val="16"/>
        <w:adjustRightInd w:val="0"/>
        <w:snapToGrid w:val="0"/>
        <w:ind w:left="420" w:leftChars="200" w:firstLineChars="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7.2.9 项目监理机构应审查水土保持施工单位管理人员资格，资格审查应包括下列主要内容： </w:t>
      </w:r>
    </w:p>
    <w:p w14:paraId="44ADFC2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（1）项目经理持有效的注册建造师证书，其注册证书专业、级别工程规模相一致，并取得安全生产考核合格证书，具备同类工程工作经验；</w:t>
      </w:r>
    </w:p>
    <w:p w14:paraId="79FA3AB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 项目技术负责人、质检员持有与工程规模相一致的专业技术职称证书、资格证书，熟悉环境保护专业工作。</w:t>
      </w:r>
    </w:p>
    <w:p w14:paraId="0454121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7.2.10 项目监理机构应对工程水土保持相关的主要施工机械、工器具进行审查，符合要求后方允许进场。</w:t>
      </w:r>
    </w:p>
    <w:p w14:paraId="636A28A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7.2.11 工程开工前，审查施工组织设计和水土保持专项施工方案，审查应包括下列基本内容：</w:t>
      </w:r>
    </w:p>
    <w:p w14:paraId="4528B9C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（1）编制、审核和批准程序符合规定；</w:t>
      </w:r>
    </w:p>
    <w:p w14:paraId="0E960DA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（2）编制依据有效且具有针对性；</w:t>
      </w:r>
    </w:p>
    <w:p w14:paraId="329A327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（3）水土保持组织机构、人员、施工机械及工器具、管理制度及风险应急预案满足管理要求；</w:t>
      </w:r>
    </w:p>
    <w:p w14:paraId="33E1FE4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（4）临时施工场地选址及总体布置、施工道路的水土流失影响及控制措施；</w:t>
      </w:r>
    </w:p>
    <w:p w14:paraId="66BB748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（5）拟采取的水土保持工程措施、临时措施、植物措施符合水土保持方案及其批复文件、设计文件要求；</w:t>
      </w:r>
    </w:p>
    <w:p w14:paraId="143CE74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（6）施工进度计划，施工机械设备、劳动力及材料供应计划等满足要求。</w:t>
      </w:r>
    </w:p>
    <w:p w14:paraId="607C646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7.2.12 项目监理机构应开展弃渣场使用计划的审核，审查应包括以下内容：</w:t>
      </w:r>
    </w:p>
    <w:p w14:paraId="662F584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（1）弃渣场使用计划与工程施工进度计划适应性；</w:t>
      </w:r>
    </w:p>
    <w:p w14:paraId="00EE667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（2）弃渣场选址、堆置方案及其防护工程与设计文件的符合性；</w:t>
      </w:r>
    </w:p>
    <w:p w14:paraId="14C8E18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（3）运渣道路、基底清理、表土剥离与保护、弃渣堆置、拦挡工程、截排水工程等施工布置、施工时序、进度安排是否符合水土保持要求。</w:t>
      </w:r>
    </w:p>
    <w:p w14:paraId="28C5D0F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7.2.13 项目监理机构应开展表土剥离保护与利用计划的审核，审查应包括以下内容：</w:t>
      </w:r>
    </w:p>
    <w:p w14:paraId="244B2B8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（1）表土剥离保护与利用计划与工程施工工序和进度适应性；</w:t>
      </w:r>
    </w:p>
    <w:p w14:paraId="456F5D5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（2）表土剥离范围、面积、厚度、临时堆存与防护以及与后期表土回覆利用和植被恢复的协调性。</w:t>
      </w:r>
    </w:p>
    <w:p w14:paraId="01DFE58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7.2.14 参加或开展水土保持培训交底工作，包括下列主要内容：</w:t>
      </w:r>
    </w:p>
    <w:p w14:paraId="559BED1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（1）参加建设单位组织的水土保持相关培训交底工作；</w:t>
      </w:r>
    </w:p>
    <w:p w14:paraId="50A80E4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（2）参加建设单位组织的第一次工地例会，参加水土保持专项设计交底；</w:t>
      </w:r>
    </w:p>
    <w:p w14:paraId="7EC7C5A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（3）对施工单位进行水土保持监理工作交底；</w:t>
      </w:r>
    </w:p>
    <w:p w14:paraId="4668CF0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（4）检查施工单位水土保持培训及交底情况；</w:t>
      </w:r>
    </w:p>
    <w:p w14:paraId="1D7CDA6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（5）总监理工程师应根据项目监理机构分工及岗位职责，向监理人员进行水土保持监理工作培训和交底。</w:t>
      </w:r>
    </w:p>
    <w:p w14:paraId="35FF65A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7.2.16 工程开工前，项目监理机构应协助建设单位开展水土保持项目划分工作，审核工程划分中水土保持相关内容，主体工程项目划分重大调整时，应对水土保持项目划分进行调整。</w:t>
      </w:r>
    </w:p>
    <w:p w14:paraId="59F4387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7.2.17 审查施工单位报送的工程开工报审表及相关文件，总监理工程师签署审核意见后，报建设单位批准。工程开工条件中有关水土保持的审查应包括下列内容：</w:t>
      </w:r>
    </w:p>
    <w:p w14:paraId="41232A8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（1）水土保持依法合规手续已办理。</w:t>
      </w:r>
    </w:p>
    <w:p w14:paraId="6E5A75E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（2）水土保持设计交底和图纸会审已完成。</w:t>
      </w:r>
    </w:p>
    <w:p w14:paraId="78FD76C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（3）施工组织设计、水土保持专项施工方案已审核通过。</w:t>
      </w:r>
    </w:p>
    <w:p w14:paraId="64D3A94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（4）施工单位现场水土保持管理体系已建立，管理及施工人员已到位。</w:t>
      </w:r>
    </w:p>
    <w:p w14:paraId="37B9A3D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（5）水土保持措施（设施）相关的施工机器具、主要工程材料已落实；</w:t>
      </w:r>
    </w:p>
    <w:p w14:paraId="0DE751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（6）施工单位管理人员、施工作业人员完成水土保持施工培训和交底。</w:t>
      </w:r>
    </w:p>
    <w:p w14:paraId="4AE9F7AC">
      <w:pPr>
        <w:pStyle w:val="19"/>
        <w:ind w:left="0"/>
        <w:rPr>
          <w:color w:val="000000"/>
        </w:rPr>
      </w:pPr>
      <w:bookmarkStart w:id="34" w:name="_Toc1142"/>
      <w:r>
        <w:rPr>
          <w:rFonts w:hint="eastAsia"/>
          <w:color w:val="000000"/>
        </w:rPr>
        <w:t>施工阶段水土保持监理工作</w:t>
      </w:r>
      <w:bookmarkEnd w:id="34"/>
    </w:p>
    <w:p w14:paraId="06D128C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7.3.1 输变电工程施工阶段水土保持监理工作</w:t>
      </w:r>
    </w:p>
    <w:p w14:paraId="2204AC5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7.3.1.1 主要水土保持材料、中间产品、设备进场检查</w:t>
      </w:r>
    </w:p>
    <w:p w14:paraId="055010D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（1）组织或参加水土保持主要材料、中间产品、设备进场验收，核查质量证明文件及出厂试验报告，现场开展外观质量检查。</w:t>
      </w:r>
    </w:p>
    <w:p w14:paraId="6A4DEB0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（2）监理人员应按复试要求进行见证取样，督促施工单位进行复试送检，合格后方允许使用。</w:t>
      </w:r>
    </w:p>
    <w:p w14:paraId="0D3D18F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（3）材料、中间产品、设备验收不合格的，应通知责任单位立即退场。</w:t>
      </w:r>
    </w:p>
    <w:p w14:paraId="779E576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7.3.1.2 水土保持措施（设施）检查点设置</w:t>
      </w:r>
    </w:p>
    <w:p w14:paraId="3D0F11D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应根据水土保持方案及其批复文件、设计文件、工程特点和重要程度设置控制点，具体要求如下：</w:t>
      </w:r>
    </w:p>
    <w:p w14:paraId="45972D1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（1）水土保持设施的质量控制点设置应与主体工程同步进行，控制点类型应参照《电网工程监理导则》T/CEC 5089第5.13条进行设置。</w:t>
      </w:r>
    </w:p>
    <w:p w14:paraId="1A0D5D22">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（2）输变电工程水土保持措施控制点检查方法应符合表7-1要求。检查记录表格式参见附录B中表B.1。</w:t>
      </w:r>
    </w:p>
    <w:p w14:paraId="5421B8B2">
      <w:pPr>
        <w:pStyle w:val="20"/>
        <w:spacing w:line="240" w:lineRule="auto"/>
        <w:jc w:val="center"/>
        <w:rPr>
          <w:rFonts w:ascii="宋体" w:hAnsi="宋体" w:eastAsia="宋体" w:cs="宋体"/>
          <w:sz w:val="21"/>
          <w:szCs w:val="21"/>
        </w:rPr>
      </w:pPr>
      <w:r>
        <w:rPr>
          <w:rFonts w:hint="eastAsia" w:ascii="宋体" w:hAnsi="宋体" w:eastAsia="宋体" w:cs="宋体"/>
          <w:b/>
          <w:bCs/>
          <w:sz w:val="21"/>
          <w:szCs w:val="21"/>
        </w:rPr>
        <w:t>表 7-1 输变电工程水土保持措施检查方法</w:t>
      </w:r>
    </w:p>
    <w:tbl>
      <w:tblPr>
        <w:tblStyle w:val="8"/>
        <w:tblW w:w="10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70"/>
        <w:gridCol w:w="2122"/>
        <w:gridCol w:w="5250"/>
        <w:gridCol w:w="1923"/>
      </w:tblGrid>
      <w:tr w14:paraId="4B4E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5A0A0E0C">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序号</w:t>
            </w:r>
          </w:p>
        </w:tc>
        <w:tc>
          <w:tcPr>
            <w:tcW w:w="2122" w:type="dxa"/>
            <w:tcMar>
              <w:top w:w="60" w:type="dxa"/>
              <w:left w:w="120" w:type="dxa"/>
              <w:bottom w:w="30" w:type="dxa"/>
              <w:right w:w="120" w:type="dxa"/>
            </w:tcMar>
            <w:vAlign w:val="center"/>
          </w:tcPr>
          <w:p w14:paraId="2E3B732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水土保持要素</w:t>
            </w:r>
          </w:p>
        </w:tc>
        <w:tc>
          <w:tcPr>
            <w:tcW w:w="5250" w:type="dxa"/>
            <w:tcMar>
              <w:top w:w="60" w:type="dxa"/>
              <w:left w:w="120" w:type="dxa"/>
              <w:bottom w:w="30" w:type="dxa"/>
              <w:right w:w="120" w:type="dxa"/>
            </w:tcMar>
            <w:vAlign w:val="center"/>
          </w:tcPr>
          <w:p w14:paraId="2557302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水土保持措施内容</w:t>
            </w:r>
          </w:p>
        </w:tc>
        <w:tc>
          <w:tcPr>
            <w:tcW w:w="1923" w:type="dxa"/>
            <w:tcMar>
              <w:top w:w="60" w:type="dxa"/>
              <w:left w:w="120" w:type="dxa"/>
              <w:bottom w:w="30" w:type="dxa"/>
              <w:right w:w="120" w:type="dxa"/>
            </w:tcMar>
            <w:vAlign w:val="center"/>
          </w:tcPr>
          <w:p w14:paraId="22786DD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检查方法</w:t>
            </w:r>
          </w:p>
        </w:tc>
      </w:tr>
      <w:tr w14:paraId="212FB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483CC7C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w:t>
            </w:r>
          </w:p>
        </w:tc>
        <w:tc>
          <w:tcPr>
            <w:tcW w:w="2122" w:type="dxa"/>
            <w:tcMar>
              <w:top w:w="60" w:type="dxa"/>
              <w:left w:w="120" w:type="dxa"/>
              <w:bottom w:w="30" w:type="dxa"/>
              <w:right w:w="120" w:type="dxa"/>
            </w:tcMar>
            <w:vAlign w:val="center"/>
          </w:tcPr>
          <w:p w14:paraId="1559396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防治责任范围控制</w:t>
            </w:r>
          </w:p>
        </w:tc>
        <w:tc>
          <w:tcPr>
            <w:tcW w:w="5250" w:type="dxa"/>
            <w:tcMar>
              <w:top w:w="60" w:type="dxa"/>
              <w:left w:w="120" w:type="dxa"/>
              <w:bottom w:w="30" w:type="dxa"/>
              <w:right w:w="120" w:type="dxa"/>
            </w:tcMar>
            <w:vAlign w:val="center"/>
          </w:tcPr>
          <w:p w14:paraId="65DA3A2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水土流失防治责任范围动态监督</w:t>
            </w:r>
          </w:p>
        </w:tc>
        <w:tc>
          <w:tcPr>
            <w:tcW w:w="1923" w:type="dxa"/>
            <w:tcMar>
              <w:top w:w="60" w:type="dxa"/>
              <w:left w:w="120" w:type="dxa"/>
              <w:bottom w:w="30" w:type="dxa"/>
              <w:right w:w="120" w:type="dxa"/>
            </w:tcMar>
            <w:vAlign w:val="center"/>
          </w:tcPr>
          <w:p w14:paraId="45CF5FEA">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6316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7D826B8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2122" w:type="dxa"/>
            <w:tcMar>
              <w:top w:w="60" w:type="dxa"/>
              <w:left w:w="120" w:type="dxa"/>
              <w:bottom w:w="30" w:type="dxa"/>
              <w:right w:w="120" w:type="dxa"/>
            </w:tcMar>
            <w:vAlign w:val="center"/>
          </w:tcPr>
          <w:p w14:paraId="7C80148C">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弃渣场防护</w:t>
            </w:r>
          </w:p>
        </w:tc>
        <w:tc>
          <w:tcPr>
            <w:tcW w:w="5250" w:type="dxa"/>
            <w:tcMar>
              <w:top w:w="60" w:type="dxa"/>
              <w:left w:w="120" w:type="dxa"/>
              <w:bottom w:w="30" w:type="dxa"/>
              <w:right w:w="120" w:type="dxa"/>
            </w:tcMar>
            <w:vAlign w:val="center"/>
          </w:tcPr>
          <w:p w14:paraId="70B8D71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弃渣场拦挡、防护措施</w:t>
            </w:r>
          </w:p>
        </w:tc>
        <w:tc>
          <w:tcPr>
            <w:tcW w:w="1923" w:type="dxa"/>
            <w:tcMar>
              <w:top w:w="60" w:type="dxa"/>
              <w:left w:w="120" w:type="dxa"/>
              <w:bottom w:w="30" w:type="dxa"/>
              <w:right w:w="120" w:type="dxa"/>
            </w:tcMar>
            <w:vAlign w:val="center"/>
          </w:tcPr>
          <w:p w14:paraId="41669893">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5076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1794333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w:t>
            </w:r>
          </w:p>
        </w:tc>
        <w:tc>
          <w:tcPr>
            <w:tcW w:w="2122" w:type="dxa"/>
            <w:vMerge w:val="restart"/>
            <w:tcMar>
              <w:top w:w="60" w:type="dxa"/>
              <w:left w:w="120" w:type="dxa"/>
              <w:bottom w:w="30" w:type="dxa"/>
              <w:right w:w="120" w:type="dxa"/>
            </w:tcMar>
            <w:vAlign w:val="center"/>
          </w:tcPr>
          <w:p w14:paraId="3C51B7C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截（排）水系统</w:t>
            </w:r>
          </w:p>
        </w:tc>
        <w:tc>
          <w:tcPr>
            <w:tcW w:w="5250" w:type="dxa"/>
            <w:tcMar>
              <w:top w:w="60" w:type="dxa"/>
              <w:left w:w="120" w:type="dxa"/>
              <w:bottom w:w="30" w:type="dxa"/>
              <w:right w:w="120" w:type="dxa"/>
            </w:tcMar>
            <w:vAlign w:val="center"/>
          </w:tcPr>
          <w:p w14:paraId="49666E4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永久/临时（截）排水沟、沉砂池</w:t>
            </w:r>
          </w:p>
        </w:tc>
        <w:tc>
          <w:tcPr>
            <w:tcW w:w="1923" w:type="dxa"/>
            <w:tcMar>
              <w:top w:w="60" w:type="dxa"/>
              <w:left w:w="120" w:type="dxa"/>
              <w:bottom w:w="30" w:type="dxa"/>
              <w:right w:w="120" w:type="dxa"/>
            </w:tcMar>
            <w:vAlign w:val="center"/>
          </w:tcPr>
          <w:p w14:paraId="769AD22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6BB7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6FB549F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w:t>
            </w:r>
          </w:p>
        </w:tc>
        <w:tc>
          <w:tcPr>
            <w:tcW w:w="2122" w:type="dxa"/>
            <w:vMerge w:val="continue"/>
            <w:tcMar>
              <w:top w:w="60" w:type="dxa"/>
              <w:left w:w="120" w:type="dxa"/>
              <w:bottom w:w="30" w:type="dxa"/>
              <w:right w:w="120" w:type="dxa"/>
            </w:tcMar>
            <w:vAlign w:val="center"/>
          </w:tcPr>
          <w:p w14:paraId="7B716993">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2E732C8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泥浆池</w:t>
            </w:r>
          </w:p>
        </w:tc>
        <w:tc>
          <w:tcPr>
            <w:tcW w:w="1923" w:type="dxa"/>
            <w:tcMar>
              <w:top w:w="60" w:type="dxa"/>
              <w:left w:w="120" w:type="dxa"/>
              <w:bottom w:w="30" w:type="dxa"/>
              <w:right w:w="120" w:type="dxa"/>
            </w:tcMar>
            <w:vAlign w:val="center"/>
          </w:tcPr>
          <w:p w14:paraId="38B39DD3">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322B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50E6950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5</w:t>
            </w:r>
          </w:p>
        </w:tc>
        <w:tc>
          <w:tcPr>
            <w:tcW w:w="2122" w:type="dxa"/>
            <w:vMerge w:val="continue"/>
            <w:tcMar>
              <w:top w:w="60" w:type="dxa"/>
              <w:left w:w="120" w:type="dxa"/>
              <w:bottom w:w="30" w:type="dxa"/>
              <w:right w:w="120" w:type="dxa"/>
            </w:tcMar>
            <w:vAlign w:val="center"/>
          </w:tcPr>
          <w:p w14:paraId="06100431">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6A16EA8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检查井及排水管道</w:t>
            </w:r>
          </w:p>
        </w:tc>
        <w:tc>
          <w:tcPr>
            <w:tcW w:w="1923" w:type="dxa"/>
            <w:tcMar>
              <w:top w:w="60" w:type="dxa"/>
              <w:left w:w="120" w:type="dxa"/>
              <w:bottom w:w="30" w:type="dxa"/>
              <w:right w:w="120" w:type="dxa"/>
            </w:tcMar>
            <w:vAlign w:val="center"/>
          </w:tcPr>
          <w:p w14:paraId="6F944A7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3B4F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jc w:val="center"/>
        </w:trPr>
        <w:tc>
          <w:tcPr>
            <w:tcW w:w="970" w:type="dxa"/>
            <w:tcMar>
              <w:top w:w="60" w:type="dxa"/>
              <w:left w:w="120" w:type="dxa"/>
              <w:bottom w:w="30" w:type="dxa"/>
              <w:right w:w="120" w:type="dxa"/>
            </w:tcMar>
            <w:vAlign w:val="center"/>
          </w:tcPr>
          <w:p w14:paraId="7EF4E63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w:t>
            </w:r>
          </w:p>
        </w:tc>
        <w:tc>
          <w:tcPr>
            <w:tcW w:w="2122" w:type="dxa"/>
            <w:vMerge w:val="restart"/>
            <w:tcMar>
              <w:top w:w="60" w:type="dxa"/>
              <w:left w:w="120" w:type="dxa"/>
              <w:bottom w:w="30" w:type="dxa"/>
              <w:right w:w="120" w:type="dxa"/>
            </w:tcMar>
            <w:vAlign w:val="center"/>
          </w:tcPr>
          <w:p w14:paraId="5CB5739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给水系统</w:t>
            </w:r>
          </w:p>
        </w:tc>
        <w:tc>
          <w:tcPr>
            <w:tcW w:w="5250" w:type="dxa"/>
            <w:tcMar>
              <w:top w:w="60" w:type="dxa"/>
              <w:left w:w="120" w:type="dxa"/>
              <w:bottom w:w="30" w:type="dxa"/>
              <w:right w:w="120" w:type="dxa"/>
            </w:tcMar>
            <w:vAlign w:val="center"/>
          </w:tcPr>
          <w:p w14:paraId="30D2BEE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消防水池</w:t>
            </w:r>
          </w:p>
        </w:tc>
        <w:tc>
          <w:tcPr>
            <w:tcW w:w="1923" w:type="dxa"/>
            <w:tcMar>
              <w:top w:w="60" w:type="dxa"/>
              <w:left w:w="120" w:type="dxa"/>
              <w:bottom w:w="30" w:type="dxa"/>
              <w:right w:w="120" w:type="dxa"/>
            </w:tcMar>
            <w:vAlign w:val="center"/>
          </w:tcPr>
          <w:p w14:paraId="68D6E53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2824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jc w:val="center"/>
        </w:trPr>
        <w:tc>
          <w:tcPr>
            <w:tcW w:w="970" w:type="dxa"/>
            <w:tcMar>
              <w:top w:w="60" w:type="dxa"/>
              <w:left w:w="120" w:type="dxa"/>
              <w:bottom w:w="30" w:type="dxa"/>
              <w:right w:w="120" w:type="dxa"/>
            </w:tcMar>
            <w:vAlign w:val="center"/>
          </w:tcPr>
          <w:p w14:paraId="0C07AF0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w:t>
            </w:r>
          </w:p>
        </w:tc>
        <w:tc>
          <w:tcPr>
            <w:tcW w:w="2122" w:type="dxa"/>
            <w:vMerge w:val="continue"/>
            <w:tcMar>
              <w:top w:w="60" w:type="dxa"/>
              <w:left w:w="120" w:type="dxa"/>
              <w:bottom w:w="30" w:type="dxa"/>
              <w:right w:w="120" w:type="dxa"/>
            </w:tcMar>
            <w:vAlign w:val="center"/>
          </w:tcPr>
          <w:p w14:paraId="50E54378">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13E36DD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消防及给水管道</w:t>
            </w:r>
          </w:p>
        </w:tc>
        <w:tc>
          <w:tcPr>
            <w:tcW w:w="1923" w:type="dxa"/>
            <w:tcMar>
              <w:top w:w="60" w:type="dxa"/>
              <w:left w:w="120" w:type="dxa"/>
              <w:bottom w:w="30" w:type="dxa"/>
              <w:right w:w="120" w:type="dxa"/>
            </w:tcMar>
            <w:vAlign w:val="center"/>
          </w:tcPr>
          <w:p w14:paraId="4776A2B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78EE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jc w:val="center"/>
        </w:trPr>
        <w:tc>
          <w:tcPr>
            <w:tcW w:w="970" w:type="dxa"/>
            <w:tcMar>
              <w:top w:w="60" w:type="dxa"/>
              <w:left w:w="120" w:type="dxa"/>
              <w:bottom w:w="30" w:type="dxa"/>
              <w:right w:w="120" w:type="dxa"/>
            </w:tcMar>
            <w:vAlign w:val="center"/>
          </w:tcPr>
          <w:p w14:paraId="19F2708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5</w:t>
            </w:r>
          </w:p>
        </w:tc>
        <w:tc>
          <w:tcPr>
            <w:tcW w:w="2122" w:type="dxa"/>
            <w:vMerge w:val="restart"/>
            <w:tcMar>
              <w:top w:w="60" w:type="dxa"/>
              <w:left w:w="120" w:type="dxa"/>
              <w:bottom w:w="30" w:type="dxa"/>
              <w:right w:w="120" w:type="dxa"/>
            </w:tcMar>
            <w:vAlign w:val="center"/>
          </w:tcPr>
          <w:p w14:paraId="05D57ED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拦渣、边坡防护工程</w:t>
            </w:r>
          </w:p>
        </w:tc>
        <w:tc>
          <w:tcPr>
            <w:tcW w:w="5250" w:type="dxa"/>
            <w:tcMar>
              <w:top w:w="60" w:type="dxa"/>
              <w:left w:w="120" w:type="dxa"/>
              <w:bottom w:w="30" w:type="dxa"/>
              <w:right w:w="120" w:type="dxa"/>
            </w:tcMar>
            <w:vAlign w:val="center"/>
          </w:tcPr>
          <w:p w14:paraId="39B8015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挡墙</w:t>
            </w:r>
          </w:p>
        </w:tc>
        <w:tc>
          <w:tcPr>
            <w:tcW w:w="1923" w:type="dxa"/>
            <w:tcMar>
              <w:top w:w="60" w:type="dxa"/>
              <w:left w:w="120" w:type="dxa"/>
              <w:bottom w:w="30" w:type="dxa"/>
              <w:right w:w="120" w:type="dxa"/>
            </w:tcMar>
            <w:vAlign w:val="center"/>
          </w:tcPr>
          <w:p w14:paraId="282CA41C">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4284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jc w:val="center"/>
        </w:trPr>
        <w:tc>
          <w:tcPr>
            <w:tcW w:w="970" w:type="dxa"/>
            <w:tcMar>
              <w:top w:w="60" w:type="dxa"/>
              <w:left w:w="120" w:type="dxa"/>
              <w:bottom w:w="30" w:type="dxa"/>
              <w:right w:w="120" w:type="dxa"/>
            </w:tcMar>
            <w:vAlign w:val="center"/>
          </w:tcPr>
          <w:p w14:paraId="3C81862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w:t>
            </w:r>
          </w:p>
        </w:tc>
        <w:tc>
          <w:tcPr>
            <w:tcW w:w="2122" w:type="dxa"/>
            <w:vMerge w:val="continue"/>
            <w:tcMar>
              <w:top w:w="60" w:type="dxa"/>
              <w:left w:w="120" w:type="dxa"/>
              <w:bottom w:w="30" w:type="dxa"/>
              <w:right w:w="120" w:type="dxa"/>
            </w:tcMar>
            <w:vAlign w:val="center"/>
          </w:tcPr>
          <w:p w14:paraId="2E15BB10">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65B24F6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浆砌石护坡、混凝土预制块护坡</w:t>
            </w:r>
          </w:p>
        </w:tc>
        <w:tc>
          <w:tcPr>
            <w:tcW w:w="1923" w:type="dxa"/>
            <w:tcMar>
              <w:top w:w="60" w:type="dxa"/>
              <w:left w:w="120" w:type="dxa"/>
              <w:bottom w:w="30" w:type="dxa"/>
              <w:right w:w="120" w:type="dxa"/>
            </w:tcMar>
            <w:vAlign w:val="center"/>
          </w:tcPr>
          <w:p w14:paraId="7E2B44D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423B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0CC08EC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w:t>
            </w:r>
          </w:p>
        </w:tc>
        <w:tc>
          <w:tcPr>
            <w:tcW w:w="2122" w:type="dxa"/>
            <w:vMerge w:val="continue"/>
            <w:tcMar>
              <w:top w:w="60" w:type="dxa"/>
              <w:left w:w="120" w:type="dxa"/>
              <w:bottom w:w="30" w:type="dxa"/>
              <w:right w:w="120" w:type="dxa"/>
            </w:tcMar>
            <w:vAlign w:val="center"/>
          </w:tcPr>
          <w:p w14:paraId="4BA14BF6">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3154FCD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喷锚、锚杆锚索防护</w:t>
            </w:r>
          </w:p>
        </w:tc>
        <w:tc>
          <w:tcPr>
            <w:tcW w:w="1923" w:type="dxa"/>
            <w:tcMar>
              <w:top w:w="60" w:type="dxa"/>
              <w:left w:w="120" w:type="dxa"/>
              <w:bottom w:w="30" w:type="dxa"/>
              <w:right w:w="120" w:type="dxa"/>
            </w:tcMar>
            <w:vAlign w:val="center"/>
          </w:tcPr>
          <w:p w14:paraId="5D4A8A4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停工待检</w:t>
            </w:r>
          </w:p>
        </w:tc>
      </w:tr>
      <w:tr w14:paraId="1C80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251B1D1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w:t>
            </w:r>
          </w:p>
        </w:tc>
        <w:tc>
          <w:tcPr>
            <w:tcW w:w="2122" w:type="dxa"/>
            <w:vMerge w:val="continue"/>
            <w:tcMar>
              <w:top w:w="60" w:type="dxa"/>
              <w:left w:w="120" w:type="dxa"/>
              <w:bottom w:w="30" w:type="dxa"/>
              <w:right w:w="120" w:type="dxa"/>
            </w:tcMar>
            <w:vAlign w:val="center"/>
          </w:tcPr>
          <w:p w14:paraId="25BBF988">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475BBFE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植草护坡</w:t>
            </w:r>
          </w:p>
        </w:tc>
        <w:tc>
          <w:tcPr>
            <w:tcW w:w="1923" w:type="dxa"/>
            <w:tcMar>
              <w:top w:w="60" w:type="dxa"/>
              <w:left w:w="120" w:type="dxa"/>
              <w:bottom w:w="30" w:type="dxa"/>
              <w:right w:w="120" w:type="dxa"/>
            </w:tcMar>
            <w:vAlign w:val="center"/>
          </w:tcPr>
          <w:p w14:paraId="6704749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0F6F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47A31F4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9</w:t>
            </w:r>
          </w:p>
        </w:tc>
        <w:tc>
          <w:tcPr>
            <w:tcW w:w="2122" w:type="dxa"/>
            <w:tcMar>
              <w:top w:w="60" w:type="dxa"/>
              <w:left w:w="120" w:type="dxa"/>
              <w:bottom w:w="30" w:type="dxa"/>
              <w:right w:w="120" w:type="dxa"/>
            </w:tcMar>
            <w:vAlign w:val="center"/>
          </w:tcPr>
          <w:p w14:paraId="05AAF4C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表土/草皮保护</w:t>
            </w:r>
          </w:p>
        </w:tc>
        <w:tc>
          <w:tcPr>
            <w:tcW w:w="5250" w:type="dxa"/>
            <w:tcMar>
              <w:top w:w="60" w:type="dxa"/>
              <w:left w:w="120" w:type="dxa"/>
              <w:bottom w:w="30" w:type="dxa"/>
              <w:right w:w="120" w:type="dxa"/>
            </w:tcMar>
            <w:vAlign w:val="center"/>
          </w:tcPr>
          <w:p w14:paraId="59F89FA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表土/草皮剥离、堆放与保存、回覆</w:t>
            </w:r>
          </w:p>
        </w:tc>
        <w:tc>
          <w:tcPr>
            <w:tcW w:w="1923" w:type="dxa"/>
            <w:tcMar>
              <w:top w:w="60" w:type="dxa"/>
              <w:left w:w="120" w:type="dxa"/>
              <w:bottom w:w="30" w:type="dxa"/>
              <w:right w:w="120" w:type="dxa"/>
            </w:tcMar>
            <w:vAlign w:val="center"/>
          </w:tcPr>
          <w:p w14:paraId="11A9464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427E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4F3DC6B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10</w:t>
            </w:r>
          </w:p>
        </w:tc>
        <w:tc>
          <w:tcPr>
            <w:tcW w:w="2122" w:type="dxa"/>
            <w:tcMar>
              <w:top w:w="60" w:type="dxa"/>
              <w:left w:w="120" w:type="dxa"/>
              <w:bottom w:w="30" w:type="dxa"/>
              <w:right w:w="120" w:type="dxa"/>
            </w:tcMar>
            <w:vAlign w:val="center"/>
          </w:tcPr>
          <w:p w14:paraId="68DB482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临时防护设施</w:t>
            </w:r>
          </w:p>
        </w:tc>
        <w:tc>
          <w:tcPr>
            <w:tcW w:w="5250" w:type="dxa"/>
            <w:tcMar>
              <w:top w:w="60" w:type="dxa"/>
              <w:left w:w="120" w:type="dxa"/>
              <w:bottom w:w="30" w:type="dxa"/>
              <w:right w:w="120" w:type="dxa"/>
            </w:tcMar>
            <w:vAlign w:val="center"/>
          </w:tcPr>
          <w:p w14:paraId="3A0EC00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临时苫盖、隔离措施、施工限界设施</w:t>
            </w:r>
          </w:p>
        </w:tc>
        <w:tc>
          <w:tcPr>
            <w:tcW w:w="1923" w:type="dxa"/>
            <w:tcMar>
              <w:top w:w="60" w:type="dxa"/>
              <w:left w:w="120" w:type="dxa"/>
              <w:bottom w:w="30" w:type="dxa"/>
              <w:right w:w="120" w:type="dxa"/>
            </w:tcMar>
            <w:vAlign w:val="center"/>
          </w:tcPr>
          <w:p w14:paraId="055141D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6C1F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2425D03F">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11</w:t>
            </w:r>
          </w:p>
        </w:tc>
        <w:tc>
          <w:tcPr>
            <w:tcW w:w="2122" w:type="dxa"/>
            <w:vMerge w:val="restart"/>
            <w:tcMar>
              <w:top w:w="60" w:type="dxa"/>
              <w:left w:w="120" w:type="dxa"/>
              <w:bottom w:w="30" w:type="dxa"/>
              <w:right w:w="120" w:type="dxa"/>
            </w:tcMar>
            <w:vAlign w:val="center"/>
          </w:tcPr>
          <w:p w14:paraId="0615142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土地整治工程</w:t>
            </w:r>
          </w:p>
        </w:tc>
        <w:tc>
          <w:tcPr>
            <w:tcW w:w="5250" w:type="dxa"/>
            <w:tcMar>
              <w:top w:w="60" w:type="dxa"/>
              <w:left w:w="120" w:type="dxa"/>
              <w:bottom w:w="30" w:type="dxa"/>
              <w:right w:w="120" w:type="dxa"/>
            </w:tcMar>
            <w:vAlign w:val="center"/>
          </w:tcPr>
          <w:p w14:paraId="6376EB2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场地平整</w:t>
            </w:r>
          </w:p>
        </w:tc>
        <w:tc>
          <w:tcPr>
            <w:tcW w:w="1923" w:type="dxa"/>
            <w:tcMar>
              <w:top w:w="60" w:type="dxa"/>
              <w:left w:w="120" w:type="dxa"/>
              <w:bottom w:w="30" w:type="dxa"/>
              <w:right w:w="120" w:type="dxa"/>
            </w:tcMar>
            <w:vAlign w:val="center"/>
          </w:tcPr>
          <w:p w14:paraId="57A53D2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677F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5CEF9256">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12</w:t>
            </w:r>
          </w:p>
        </w:tc>
        <w:tc>
          <w:tcPr>
            <w:tcW w:w="2122" w:type="dxa"/>
            <w:vMerge w:val="continue"/>
            <w:tcMar>
              <w:top w:w="60" w:type="dxa"/>
              <w:left w:w="120" w:type="dxa"/>
              <w:bottom w:w="30" w:type="dxa"/>
              <w:right w:w="120" w:type="dxa"/>
            </w:tcMar>
            <w:vAlign w:val="center"/>
          </w:tcPr>
          <w:p w14:paraId="283C4678">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6C0034A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土地复耕</w:t>
            </w:r>
          </w:p>
        </w:tc>
        <w:tc>
          <w:tcPr>
            <w:tcW w:w="1923" w:type="dxa"/>
            <w:tcMar>
              <w:top w:w="60" w:type="dxa"/>
              <w:left w:w="120" w:type="dxa"/>
              <w:bottom w:w="30" w:type="dxa"/>
              <w:right w:w="120" w:type="dxa"/>
            </w:tcMar>
            <w:vAlign w:val="center"/>
          </w:tcPr>
          <w:p w14:paraId="3CE3CB2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7659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2FD0B8EA">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13</w:t>
            </w:r>
          </w:p>
        </w:tc>
        <w:tc>
          <w:tcPr>
            <w:tcW w:w="2122" w:type="dxa"/>
            <w:vMerge w:val="restart"/>
            <w:tcMar>
              <w:top w:w="60" w:type="dxa"/>
              <w:left w:w="120" w:type="dxa"/>
              <w:bottom w:w="30" w:type="dxa"/>
              <w:right w:w="120" w:type="dxa"/>
            </w:tcMar>
            <w:vAlign w:val="center"/>
          </w:tcPr>
          <w:p w14:paraId="10382AC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植被恢复工程</w:t>
            </w:r>
          </w:p>
        </w:tc>
        <w:tc>
          <w:tcPr>
            <w:tcW w:w="5250" w:type="dxa"/>
            <w:tcMar>
              <w:top w:w="60" w:type="dxa"/>
              <w:left w:w="120" w:type="dxa"/>
              <w:bottom w:w="30" w:type="dxa"/>
              <w:right w:w="120" w:type="dxa"/>
            </w:tcMar>
            <w:vAlign w:val="center"/>
          </w:tcPr>
          <w:p w14:paraId="4E42D92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林草种植</w:t>
            </w:r>
          </w:p>
        </w:tc>
        <w:tc>
          <w:tcPr>
            <w:tcW w:w="1923" w:type="dxa"/>
            <w:tcMar>
              <w:top w:w="60" w:type="dxa"/>
              <w:left w:w="120" w:type="dxa"/>
              <w:bottom w:w="30" w:type="dxa"/>
              <w:right w:w="120" w:type="dxa"/>
            </w:tcMar>
            <w:vAlign w:val="center"/>
          </w:tcPr>
          <w:p w14:paraId="7E1718C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5AC5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21A26B4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14</w:t>
            </w:r>
          </w:p>
        </w:tc>
        <w:tc>
          <w:tcPr>
            <w:tcW w:w="2122" w:type="dxa"/>
            <w:vMerge w:val="continue"/>
            <w:tcMar>
              <w:top w:w="60" w:type="dxa"/>
              <w:left w:w="120" w:type="dxa"/>
              <w:bottom w:w="30" w:type="dxa"/>
              <w:right w:w="120" w:type="dxa"/>
            </w:tcMar>
            <w:vAlign w:val="center"/>
          </w:tcPr>
          <w:p w14:paraId="136F41CD">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01AC5E1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迹地恢复</w:t>
            </w:r>
          </w:p>
        </w:tc>
        <w:tc>
          <w:tcPr>
            <w:tcW w:w="1923" w:type="dxa"/>
            <w:tcMar>
              <w:top w:w="60" w:type="dxa"/>
              <w:left w:w="120" w:type="dxa"/>
              <w:bottom w:w="30" w:type="dxa"/>
              <w:right w:w="120" w:type="dxa"/>
            </w:tcMar>
            <w:vAlign w:val="center"/>
          </w:tcPr>
          <w:p w14:paraId="3E6AEDB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0732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970" w:type="dxa"/>
            <w:tcMar>
              <w:top w:w="60" w:type="dxa"/>
              <w:left w:w="120" w:type="dxa"/>
              <w:bottom w:w="30" w:type="dxa"/>
              <w:right w:w="120" w:type="dxa"/>
            </w:tcMar>
            <w:vAlign w:val="center"/>
          </w:tcPr>
          <w:p w14:paraId="7FE6CF8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15</w:t>
            </w:r>
          </w:p>
        </w:tc>
        <w:tc>
          <w:tcPr>
            <w:tcW w:w="2122" w:type="dxa"/>
            <w:tcMar>
              <w:top w:w="60" w:type="dxa"/>
              <w:left w:w="120" w:type="dxa"/>
              <w:bottom w:w="30" w:type="dxa"/>
              <w:right w:w="120" w:type="dxa"/>
            </w:tcMar>
            <w:vAlign w:val="center"/>
          </w:tcPr>
          <w:p w14:paraId="03E029A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地下涌水控制</w:t>
            </w:r>
          </w:p>
        </w:tc>
        <w:tc>
          <w:tcPr>
            <w:tcW w:w="5250" w:type="dxa"/>
            <w:tcMar>
              <w:top w:w="60" w:type="dxa"/>
              <w:left w:w="120" w:type="dxa"/>
              <w:bottom w:w="30" w:type="dxa"/>
              <w:right w:w="120" w:type="dxa"/>
            </w:tcMar>
            <w:vAlign w:val="center"/>
          </w:tcPr>
          <w:p w14:paraId="61AFA2B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降水井、导排水盲沟</w:t>
            </w:r>
          </w:p>
        </w:tc>
        <w:tc>
          <w:tcPr>
            <w:tcW w:w="1923" w:type="dxa"/>
            <w:tcMar>
              <w:top w:w="60" w:type="dxa"/>
              <w:left w:w="120" w:type="dxa"/>
              <w:bottom w:w="30" w:type="dxa"/>
              <w:right w:w="120" w:type="dxa"/>
            </w:tcMar>
            <w:vAlign w:val="center"/>
          </w:tcPr>
          <w:p w14:paraId="62B97AB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巡视</w:t>
            </w:r>
          </w:p>
        </w:tc>
      </w:tr>
      <w:tr w14:paraId="6EF3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 w:hRule="atLeast"/>
          <w:jc w:val="center"/>
        </w:trPr>
        <w:tc>
          <w:tcPr>
            <w:tcW w:w="970" w:type="dxa"/>
            <w:tcMar>
              <w:top w:w="60" w:type="dxa"/>
              <w:left w:w="120" w:type="dxa"/>
              <w:bottom w:w="30" w:type="dxa"/>
              <w:right w:w="120" w:type="dxa"/>
            </w:tcMar>
            <w:vAlign w:val="center"/>
          </w:tcPr>
          <w:p w14:paraId="5C9A215A">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16</w:t>
            </w:r>
          </w:p>
        </w:tc>
        <w:tc>
          <w:tcPr>
            <w:tcW w:w="2122" w:type="dxa"/>
            <w:vMerge w:val="restart"/>
            <w:tcMar>
              <w:top w:w="60" w:type="dxa"/>
              <w:left w:w="120" w:type="dxa"/>
              <w:bottom w:w="30" w:type="dxa"/>
              <w:right w:w="120" w:type="dxa"/>
            </w:tcMar>
            <w:vAlign w:val="center"/>
          </w:tcPr>
          <w:p w14:paraId="1490416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防风固沙工程</w:t>
            </w:r>
          </w:p>
        </w:tc>
        <w:tc>
          <w:tcPr>
            <w:tcW w:w="5250" w:type="dxa"/>
            <w:tcMar>
              <w:top w:w="60" w:type="dxa"/>
              <w:left w:w="120" w:type="dxa"/>
              <w:bottom w:w="30" w:type="dxa"/>
              <w:right w:w="120" w:type="dxa"/>
            </w:tcMar>
            <w:vAlign w:val="center"/>
          </w:tcPr>
          <w:p w14:paraId="02C7B388">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植物固沙</w:t>
            </w:r>
          </w:p>
        </w:tc>
        <w:tc>
          <w:tcPr>
            <w:tcW w:w="1923" w:type="dxa"/>
            <w:tcMar>
              <w:top w:w="60" w:type="dxa"/>
              <w:left w:w="120" w:type="dxa"/>
              <w:bottom w:w="30" w:type="dxa"/>
              <w:right w:w="120" w:type="dxa"/>
            </w:tcMar>
            <w:vAlign w:val="center"/>
          </w:tcPr>
          <w:p w14:paraId="1CAAEF8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r w14:paraId="12DC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 w:hRule="atLeast"/>
          <w:jc w:val="center"/>
        </w:trPr>
        <w:tc>
          <w:tcPr>
            <w:tcW w:w="970" w:type="dxa"/>
            <w:tcMar>
              <w:top w:w="60" w:type="dxa"/>
              <w:left w:w="120" w:type="dxa"/>
              <w:bottom w:w="30" w:type="dxa"/>
              <w:right w:w="120" w:type="dxa"/>
            </w:tcMar>
            <w:vAlign w:val="center"/>
          </w:tcPr>
          <w:p w14:paraId="10F191B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17</w:t>
            </w:r>
          </w:p>
        </w:tc>
        <w:tc>
          <w:tcPr>
            <w:tcW w:w="2122" w:type="dxa"/>
            <w:vMerge w:val="continue"/>
            <w:tcMar>
              <w:top w:w="60" w:type="dxa"/>
              <w:left w:w="120" w:type="dxa"/>
              <w:bottom w:w="30" w:type="dxa"/>
              <w:right w:w="120" w:type="dxa"/>
            </w:tcMar>
            <w:vAlign w:val="center"/>
          </w:tcPr>
          <w:p w14:paraId="5F2C4430">
            <w:pPr>
              <w:widowControl/>
              <w:jc w:val="center"/>
              <w:textAlignment w:val="center"/>
              <w:rPr>
                <w:rFonts w:ascii="宋体" w:hAnsi="宋体" w:cs="宋体"/>
                <w:color w:val="000000"/>
                <w:kern w:val="0"/>
                <w:sz w:val="22"/>
                <w:szCs w:val="22"/>
                <w:lang w:bidi="ar"/>
              </w:rPr>
            </w:pPr>
          </w:p>
        </w:tc>
        <w:tc>
          <w:tcPr>
            <w:tcW w:w="5250" w:type="dxa"/>
            <w:tcMar>
              <w:top w:w="60" w:type="dxa"/>
              <w:left w:w="120" w:type="dxa"/>
              <w:bottom w:w="30" w:type="dxa"/>
              <w:right w:w="120" w:type="dxa"/>
            </w:tcMar>
            <w:vAlign w:val="center"/>
          </w:tcPr>
          <w:p w14:paraId="090412E1">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工程固沙</w:t>
            </w:r>
          </w:p>
        </w:tc>
        <w:tc>
          <w:tcPr>
            <w:tcW w:w="1923" w:type="dxa"/>
            <w:tcMar>
              <w:top w:w="60" w:type="dxa"/>
              <w:left w:w="120" w:type="dxa"/>
              <w:bottom w:w="30" w:type="dxa"/>
              <w:right w:w="120" w:type="dxa"/>
            </w:tcMar>
            <w:vAlign w:val="center"/>
          </w:tcPr>
          <w:p w14:paraId="77500D5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见证</w:t>
            </w:r>
          </w:p>
        </w:tc>
      </w:tr>
    </w:tbl>
    <w:p w14:paraId="0D1B8141">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p>
    <w:p w14:paraId="5DAE8B5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7.3.1.3 输变电工程水土保持监理检查要点</w:t>
      </w:r>
    </w:p>
    <w:p w14:paraId="6B074A0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（1）水土保持设施质量检查、验收与评定应纳入工程主体质量同步管理，贯穿施工全过程。水土保持设施质量管控监理措施及方法宜参照《电网工程监理导则》T/CEC 5089 第6章的要求进行并及时记录。</w:t>
      </w:r>
    </w:p>
    <w:p w14:paraId="421D4AA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（2）防治责任范围控制监理检查要点</w:t>
      </w:r>
    </w:p>
    <w:p w14:paraId="07C792C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1）核查站区、塔基、电缆沟隧及临时占地用地许可手续完备，水土流失防治责任范围已确定。</w:t>
      </w:r>
    </w:p>
    <w:p w14:paraId="1F2DE2A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2）核查站区、塔基、电缆沟隧等永久占地的边界坐标及占地规模与水土保持方案及其批复文件一致性</w:t>
      </w:r>
    </w:p>
    <w:p w14:paraId="1345AC6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3）核查临时占地面积及选址与水土保持方案及其批复文件一致性。</w:t>
      </w:r>
    </w:p>
    <w:p w14:paraId="12DE921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（3）弃渣场防护监理检查要点</w:t>
      </w:r>
    </w:p>
    <w:p w14:paraId="2CAA248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1)检查弃渣堆放高度、防护措施满足弃渣场使用要求。</w:t>
      </w:r>
    </w:p>
    <w:p w14:paraId="61082F4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2)检查弃渣作业的实施范围及实施地点，杜绝超范围弃渣、随意倾倒现象。</w:t>
      </w:r>
    </w:p>
    <w:p w14:paraId="6AB3B18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（4）截（排）水系统监理检查要点</w:t>
      </w:r>
    </w:p>
    <w:p w14:paraId="04C9F14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1）永久/临时（截）排水沟、沉砂池措施落实情况，主要包括以下内容：</w:t>
      </w:r>
    </w:p>
    <w:p w14:paraId="345E9FC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a)检查永久/临时（截）排水沟、沉砂池的位置、截面尺寸、坡度、伸缩缝处理等与设计要求一致。</w:t>
      </w:r>
    </w:p>
    <w:p w14:paraId="704F8C4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b)检查沉砂池与永久/临时（截）排水沟衔接情况；</w:t>
      </w:r>
    </w:p>
    <w:p w14:paraId="3773990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c）跟踪永久/临时（截）排水沟、沉砂池日常运行维护情况；</w:t>
      </w:r>
    </w:p>
    <w:p w14:paraId="10339BA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d）检查临时（截）排水沟、沉砂池拆除及恢复情况。</w:t>
      </w:r>
    </w:p>
    <w:p w14:paraId="5FC1390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2)泥浆池措施落实情况，主要包括以下内容：</w:t>
      </w:r>
    </w:p>
    <w:p w14:paraId="2C5613A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a）检查泥浆池的位置、截面尺寸、边坡防护措施落实情况；</w:t>
      </w:r>
    </w:p>
    <w:p w14:paraId="640ABBB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b）检查泥浆池日常运行情况；</w:t>
      </w:r>
    </w:p>
    <w:p w14:paraId="24B2DD1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c）检查泥浆池拆除及恢复情况。</w:t>
      </w:r>
    </w:p>
    <w:p w14:paraId="398C7A1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3）检查井及排水管道措施落实情况，主要包括以下内容：</w:t>
      </w:r>
    </w:p>
    <w:p w14:paraId="2E8E0A1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a）检查管道的材质、壁厚与设计要求一致；</w:t>
      </w:r>
    </w:p>
    <w:p w14:paraId="5A1ADC7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b）检查管道的坡度、埋深、接口连接方式、管周回填材料与设计要求一致；</w:t>
      </w:r>
    </w:p>
    <w:p w14:paraId="3C1E480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c）检查井壁材质、埋深、井周回填材料与设计要求一致；</w:t>
      </w:r>
    </w:p>
    <w:p w14:paraId="4956514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d）检查排水管道与检查井的衔接顺畅，接口密封，井底流槽平顺；</w:t>
      </w:r>
    </w:p>
    <w:p w14:paraId="787C9E8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e）核查排水管、检查井通球、闭水试验结果符合规范要求。</w:t>
      </w:r>
    </w:p>
    <w:p w14:paraId="0880023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（5）给水系统监理检查要点</w:t>
      </w:r>
    </w:p>
    <w:p w14:paraId="6FEDCC4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1）消防水池措施落实情况，主要包括以下内容：</w:t>
      </w:r>
    </w:p>
    <w:p w14:paraId="4A1D7C9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a）检查穿墙套管的管径、壁厚、安装位置、止水环焊接质量与设计要求一致；</w:t>
      </w:r>
    </w:p>
    <w:p w14:paraId="583508A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b）检查止水钢板的尺寸、壁厚、焊接质量、位置与朝向与设计要求一致；</w:t>
      </w:r>
    </w:p>
    <w:p w14:paraId="2BAEDE6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c）检查混凝土强度、外观质量、结构尺寸与设计要求一致；</w:t>
      </w:r>
    </w:p>
    <w:p w14:paraId="05B8FA7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d）检查池壁内外的防水构造与设计要求一致；</w:t>
      </w:r>
    </w:p>
    <w:p w14:paraId="6418585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e）核查满水试验结果，池壁、穿墙套管等处渗漏符合规范要求。</w:t>
      </w:r>
    </w:p>
    <w:p w14:paraId="3F3F887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2）消防及给水管道措施落实情况，主要包括以下内容：</w:t>
      </w:r>
    </w:p>
    <w:p w14:paraId="07605AA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a）检查消防及给水管道的材质、壁厚及防腐与设计要求一致。</w:t>
      </w:r>
    </w:p>
    <w:p w14:paraId="62B8372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b）检查消防及给水管道的埋深、接口处理、管周回填材料与设计要求一致；</w:t>
      </w:r>
    </w:p>
    <w:p w14:paraId="2B62A2B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c）核查消防及给水管道压力试验结果，符合规范要求。</w:t>
      </w:r>
    </w:p>
    <w:p w14:paraId="3959265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（6）拦渣、边坡防护工程监理检查要点</w:t>
      </w:r>
    </w:p>
    <w:p w14:paraId="55E4F08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1）挡墙措施落实情况，主要包括以下内容：</w:t>
      </w:r>
    </w:p>
    <w:p w14:paraId="2F466C9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a）检查挡墙轴线位置、埋置深度、基底土质、基底坡度及坡向与设计要求一致；</w:t>
      </w:r>
    </w:p>
    <w:p w14:paraId="6146BB1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b）检查挡墙断面尺寸、外观质量、混凝土强度、及砂浆强度与设计要求一致；</w:t>
      </w:r>
    </w:p>
    <w:p w14:paraId="03175C7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c）检查挡墙泄水孔、反滤层、排水盲沟与设计要求一致；</w:t>
      </w:r>
    </w:p>
    <w:p w14:paraId="0074C03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d）检查挡墙背后回填土质、分层压实度与设计要求一致。</w:t>
      </w:r>
    </w:p>
    <w:p w14:paraId="169A893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2）浆砌石护坡、混凝土预制块护坡措施落实情况，主要包括以下内容：</w:t>
      </w:r>
    </w:p>
    <w:p w14:paraId="3CD88AD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a）检查护坡基础、坡度与设计要求一致；</w:t>
      </w:r>
    </w:p>
    <w:p w14:paraId="529AD66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b）检查浆砌石护坡的砂浆饱满度、砂浆强度、错缝设置符合规范要求；</w:t>
      </w:r>
    </w:p>
    <w:p w14:paraId="2115440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c）检查混凝土预制块的拼接缝隙、平整度符合规范要求；</w:t>
      </w:r>
    </w:p>
    <w:p w14:paraId="31B4CE9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d）检查护坡表面排水槽位置、断面尺寸、护坡底部排水盲沟的设置与设计要求一致；</w:t>
      </w:r>
    </w:p>
    <w:p w14:paraId="5182F35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e）检查浆砌石勾缝质量、预制块嵌缝材料符合规范要求。</w:t>
      </w:r>
    </w:p>
    <w:p w14:paraId="3E5159F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3）喷锚、锚杆锚索防护措施落实情况，主要包括以下内容：</w:t>
      </w:r>
    </w:p>
    <w:p w14:paraId="598D74E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a）检查锚杆/锚索的钻孔深度、间距、孔径、锚固力与设计要求一致；</w:t>
      </w:r>
    </w:p>
    <w:p w14:paraId="23137B3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b）检查锚杆、锚索规格、材质及强度与设计要求一致；</w:t>
      </w:r>
    </w:p>
    <w:p w14:paraId="6C80586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c）检查喷混凝土/喷浆层的厚度、平整度、裂缝、与土体的结合度符合规范要求。</w:t>
      </w:r>
    </w:p>
    <w:p w14:paraId="1B2767F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4）植草护坡措施落实情况，主要包括以下内容：</w:t>
      </w:r>
    </w:p>
    <w:p w14:paraId="6C2E00F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a）检查坡面清理及平整情况；</w:t>
      </w:r>
    </w:p>
    <w:p w14:paraId="44BECAF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b）检查种植土厚度及填充情况，土工格室铺设固定情况；</w:t>
      </w:r>
    </w:p>
    <w:p w14:paraId="7FF1E38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c）检查植草品种质量，播种密度，植草成活率；</w:t>
      </w:r>
    </w:p>
    <w:p w14:paraId="61ED5B7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d）检查护坡落实效果。</w:t>
      </w:r>
    </w:p>
    <w:p w14:paraId="3AFFFCA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（7）表土/草皮保护监理检查要点</w:t>
      </w:r>
    </w:p>
    <w:p w14:paraId="236C01F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1）检查表土/草皮剥离范围、方法、厚度、工程量符合水土保持方案及其批复文件要求；</w:t>
      </w:r>
    </w:p>
    <w:p w14:paraId="1A2FA87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2）检查表土/草皮堆放高度、堆放场地落实情况；</w:t>
      </w:r>
    </w:p>
    <w:p w14:paraId="075F584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3）检查表土/草皮保存及防护措施落实情况；</w:t>
      </w:r>
    </w:p>
    <w:p w14:paraId="7D02CC6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4）检查表土回覆情况、草皮回铺效果。</w:t>
      </w:r>
    </w:p>
    <w:p w14:paraId="192151A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（8）临时防护设施监理检查要点</w:t>
      </w:r>
    </w:p>
    <w:p w14:paraId="582F47E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1）检查临时苫盖、隔离措施、施工限界设施实施情况；</w:t>
      </w:r>
    </w:p>
    <w:p w14:paraId="776395D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2）跟踪临时苫盖、隔离措施、施工限界设施完整性；</w:t>
      </w:r>
    </w:p>
    <w:p w14:paraId="07974F2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3）跟踪临时苫盖、隔离措施、施工限界设施拆除后材料的处置情况。</w:t>
      </w:r>
    </w:p>
    <w:p w14:paraId="086F695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（9）土地整治工程监理检查要点</w:t>
      </w:r>
    </w:p>
    <w:p w14:paraId="220C59A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1）场地平整监理检查主要包括以下内容：</w:t>
      </w:r>
    </w:p>
    <w:p w14:paraId="35BAC76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a）检查场地平整的实施时间、范围、工程量符合方案和设计要求；</w:t>
      </w:r>
    </w:p>
    <w:p w14:paraId="09D86F1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b）检查场地平整厚度、质量满足复绿要求。</w:t>
      </w:r>
    </w:p>
    <w:p w14:paraId="6274FBC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2）土地复耕监理检查主要包括以下内容：</w:t>
      </w:r>
    </w:p>
    <w:p w14:paraId="577D9D3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a）检查土地复耕的实施时间、范围、工程量符合方案和设计要求；</w:t>
      </w:r>
    </w:p>
    <w:p w14:paraId="13E911A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b）核查土地整治的深度、质量满足复耕要求。</w:t>
      </w:r>
    </w:p>
    <w:p w14:paraId="781657D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（10）植被恢复工程监理检查要点</w:t>
      </w:r>
    </w:p>
    <w:p w14:paraId="1C7569E3">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1）林草种植措施落实情况，主要包括以下内容：</w:t>
      </w:r>
    </w:p>
    <w:p w14:paraId="0912C13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a）检查草种、林木种品类及质量与设计要求一致；</w:t>
      </w:r>
    </w:p>
    <w:p w14:paraId="2ED3F75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b）检查种植土厚度、土质、翻土深度满足种植要求；</w:t>
      </w:r>
    </w:p>
    <w:p w14:paraId="12F39B3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c）检查种植密度、幼苗成活率、种植工艺符合要求</w:t>
      </w:r>
    </w:p>
    <w:p w14:paraId="1CF7CDD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2）迹地恢复措施落实情况，主要包括以下内容：</w:t>
      </w:r>
    </w:p>
    <w:p w14:paraId="6D7A0CC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a）检查临时设施拆除、杂物清理情况；</w:t>
      </w:r>
    </w:p>
    <w:p w14:paraId="642FB48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b）核查前期剥离的表土质量；</w:t>
      </w:r>
    </w:p>
    <w:p w14:paraId="183F298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c）核查迹地恢复情况。</w:t>
      </w:r>
    </w:p>
    <w:p w14:paraId="5744839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（11）地下涌水控制监理检查要点</w:t>
      </w:r>
    </w:p>
    <w:p w14:paraId="44C20F5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1）检查排水顺畅程度。</w:t>
      </w:r>
    </w:p>
    <w:p w14:paraId="4EB03FD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2）观察水质，检查水土流失情况。</w:t>
      </w:r>
    </w:p>
    <w:p w14:paraId="526AFD7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（12）防风固沙工程监理检查要点</w:t>
      </w:r>
    </w:p>
    <w:p w14:paraId="285D079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1）植物固沙措施落实情况，主要包括以下内容：</w:t>
      </w:r>
    </w:p>
    <w:p w14:paraId="4E0F42F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a）检查植被成活率、覆盖度落实情况；</w:t>
      </w:r>
    </w:p>
    <w:p w14:paraId="26CC3F8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b）检查沙蚀控制、根系固沙、土壤改良情况，验证水土保持效果。</w:t>
      </w:r>
    </w:p>
    <w:p w14:paraId="0126D3D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2）工程固沙措施落实情况，主要包括以下内容：</w:t>
      </w:r>
    </w:p>
    <w:p w14:paraId="39B55A7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a）检查工程固沙设施的位置、结构牢固度等符合要求；</w:t>
      </w:r>
    </w:p>
    <w:p w14:paraId="154230F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b）检查挡沙效果、风蚀控制情况，验证水土保持效果。</w:t>
      </w:r>
    </w:p>
    <w:p w14:paraId="4F803CBF">
      <w:pPr>
        <w:pStyle w:val="19"/>
        <w:numPr>
          <w:ilvl w:val="0"/>
          <w:numId w:val="0"/>
        </w:numPr>
      </w:pPr>
      <w:bookmarkStart w:id="35" w:name="_Toc12625"/>
      <w:r>
        <w:rPr>
          <w:rFonts w:hint="eastAsia"/>
          <w:color w:val="000000"/>
        </w:rPr>
        <w:t>7.4 竣工验收阶段水土保持监理工作</w:t>
      </w:r>
      <w:bookmarkEnd w:id="35"/>
    </w:p>
    <w:p w14:paraId="5783D09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7.4.1 督促施工单位开展水土保持设施施工质量自检。</w:t>
      </w:r>
    </w:p>
    <w:p w14:paraId="6A2CC1C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7.4.2 在施工自检合格基础上，监理机构随主体工程同步开展水土保持设施（措施）监理预验收，对以下内容进行全面检查：</w:t>
      </w:r>
    </w:p>
    <w:p w14:paraId="278F4A9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1）核查水土保持设施质量验评记录及质量控制资料；</w:t>
      </w:r>
    </w:p>
    <w:p w14:paraId="4B77DE1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2）核查水土保持设施有关安全及功能性能检测资料；</w:t>
      </w:r>
    </w:p>
    <w:p w14:paraId="0AB783F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3）水土保持设施水土流失防治效果；</w:t>
      </w:r>
    </w:p>
    <w:p w14:paraId="5A1283E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4）现场观感质量验收。</w:t>
      </w:r>
    </w:p>
    <w:p w14:paraId="1B63AC3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7.4.3 项目监理机构应参加建设单位组织的竣工水土保持设施验收，汇报工程水土保持监理情况，配合建设单位完成验收问题的整改闭环工作。</w:t>
      </w:r>
    </w:p>
    <w:p w14:paraId="3BA14C4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7.4.4 水土保持设施（措施）验收时存在下列情况之一的，项目监理机构不得签署验收合格的意见。</w:t>
      </w:r>
    </w:p>
    <w:p w14:paraId="64A70B9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1）未依法依规履行水土保持方案及重大变更审批程序的；</w:t>
      </w:r>
    </w:p>
    <w:p w14:paraId="3B6882A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2）未依法依规开展水土保持监测或补充开展的水土保持监测不符合规定的；</w:t>
      </w:r>
    </w:p>
    <w:p w14:paraId="7203C2D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3）废弃土石渣未按水土保持方案要求处理的；</w:t>
      </w:r>
    </w:p>
    <w:p w14:paraId="1F9F750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4）水土保持措施体系、等级和标准未按水土保持方案要求落实的；</w:t>
      </w:r>
    </w:p>
    <w:p w14:paraId="6711034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5）重要防护对象无安全稳定结论或结论为不稳定的。</w:t>
      </w:r>
    </w:p>
    <w:p w14:paraId="48895F3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6）水土保持分部工程和单位工程未经验收或验收不合格的。</w:t>
      </w:r>
    </w:p>
    <w:p w14:paraId="4650805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7）水土保持监测总结报告等材料弄虚作假或存在重大技术问题的。</w:t>
      </w:r>
    </w:p>
    <w:p w14:paraId="6BC2FEE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8）未依法依规足额缴纳水土保持补偿费的。</w:t>
      </w:r>
    </w:p>
    <w:p w14:paraId="7932AB3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7.4.5 项目监理机构应参加工程启动验收或竣工验收会议，汇报水土保持监理工作情况和验收整改消缺情况，并就满足启动条件情况提出监理意见。</w:t>
      </w:r>
    </w:p>
    <w:p w14:paraId="3B20EB3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7.4.6 工程投运后，项目监理机构应在《监理工作总结》中编制水土保持监理工作总结专篇或编制水土保持监理工作总结。水土保持监理工作总结参见附录B中表B.4，应包括下列主要内容：</w:t>
      </w:r>
    </w:p>
    <w:p w14:paraId="708B434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1）工程概况；</w:t>
      </w:r>
    </w:p>
    <w:p w14:paraId="272F444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2）工程水土保持监理依据；</w:t>
      </w:r>
    </w:p>
    <w:p w14:paraId="3DCE97F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3）工程水土保持监理范围和内容；</w:t>
      </w:r>
    </w:p>
    <w:p w14:paraId="3FFD0CA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4）工程水土保持监理工作开展情况；</w:t>
      </w:r>
    </w:p>
    <w:p w14:paraId="173CE8D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5）工程水土保持监理成果；</w:t>
      </w:r>
    </w:p>
    <w:p w14:paraId="75A0E0E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14:textFill>
            <w14:solidFill>
              <w14:schemeClr w14:val="tx1"/>
            </w14:solidFill>
          </w14:textFill>
        </w:rPr>
        <w:t>存在的问题及建议</w:t>
      </w:r>
      <w:r>
        <w:rPr>
          <w:rFonts w:hint="eastAsia"/>
          <w:color w:val="000000" w:themeColor="text1"/>
          <w14:textFill>
            <w14:solidFill>
              <w14:schemeClr w14:val="tx1"/>
            </w14:solidFill>
          </w14:textFill>
        </w:rPr>
        <w:t>；</w:t>
      </w:r>
    </w:p>
    <w:p w14:paraId="58825FC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7）水土保持工作大事记；</w:t>
      </w:r>
    </w:p>
    <w:p w14:paraId="304FCC3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8）图表及影像资料。</w:t>
      </w:r>
    </w:p>
    <w:p w14:paraId="48A64A3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7.4.7 水土保持设施验收后，项目监理机构应配合建设单位向水土保持方案审批部门进行验收资料报备。</w:t>
      </w:r>
    </w:p>
    <w:p w14:paraId="334CE296">
      <w:pPr>
        <w:pStyle w:val="18"/>
        <w:rPr>
          <w:color w:val="000000" w:themeColor="text1"/>
          <w14:textFill>
            <w14:solidFill>
              <w14:schemeClr w14:val="tx1"/>
            </w14:solidFill>
          </w14:textFill>
        </w:rPr>
      </w:pPr>
      <w:bookmarkStart w:id="36" w:name="_Toc17193"/>
      <w:r>
        <w:rPr>
          <w:rFonts w:hint="eastAsia"/>
          <w:color w:val="000000" w:themeColor="text1"/>
          <w14:textFill>
            <w14:solidFill>
              <w14:schemeClr w14:val="tx1"/>
            </w14:solidFill>
          </w14:textFill>
        </w:rPr>
        <w:t>文件资料管理工作</w:t>
      </w:r>
      <w:bookmarkEnd w:id="36"/>
    </w:p>
    <w:p w14:paraId="19C865B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8.1 项目监理机构应建立完善的文件资料管理制度，并对监理文件资料的形成、流转、收集、分类、整理、组卷、归档、移交进行全过程管理。</w:t>
      </w:r>
    </w:p>
    <w:p w14:paraId="7FF7EF4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8.2 项目监理机构应收集、整理环境保护及水土保持文件资料，环境保护监理主要文件资料清单见附录C，水土保持监理主要文件资料清单见附录D。</w:t>
      </w:r>
    </w:p>
    <w:p w14:paraId="0E85656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8.3 环境保护及水土保持监理日志应包含以下内容：</w:t>
      </w:r>
    </w:p>
    <w:p w14:paraId="352F5ED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1）当日环境保护及水土保持施工情况；</w:t>
      </w:r>
    </w:p>
    <w:p w14:paraId="3D98AFB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2）当日监理工作情况，包括文件审查、旁站、见证取样、重要部位巡视、过程验收等；</w:t>
      </w:r>
    </w:p>
    <w:p w14:paraId="1DA9C80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3）当日环境保护及水土保持施工存在的问题及整改处理情况；</w:t>
      </w:r>
    </w:p>
    <w:p w14:paraId="35F95DE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4）其他有关事项。</w:t>
      </w:r>
    </w:p>
    <w:p w14:paraId="37FB450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8.4 环境保护及水土保持监理月报应包含以下内容：</w:t>
      </w:r>
    </w:p>
    <w:p w14:paraId="5252F42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1）本月环境保护及水土保持设施施工进度情况；</w:t>
      </w:r>
    </w:p>
    <w:p w14:paraId="768ADF2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2）上月环境保护及水土保持问题整改情况；</w:t>
      </w:r>
    </w:p>
    <w:p w14:paraId="0677FE6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3）本月环境保护及水土保持措施落实情况；</w:t>
      </w:r>
    </w:p>
    <w:p w14:paraId="2946503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4）本月环境保护及水土保持监理工作情况，包括工程材料进场检验、见证取样、重要部位巡视、过程验收、工程投资及支付等；</w:t>
      </w:r>
    </w:p>
    <w:p w14:paraId="7D25861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5）本月环境保护及水土保持施工中存在的问题及处理情况；</w:t>
      </w:r>
    </w:p>
    <w:p w14:paraId="18AE596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6）下月环境保护及水土保持监理工作重点内容；</w:t>
      </w:r>
    </w:p>
    <w:p w14:paraId="3464F17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7）工程大事记；</w:t>
      </w:r>
    </w:p>
    <w:p w14:paraId="39E2630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8）其他有关事项。</w:t>
      </w:r>
    </w:p>
    <w:p w14:paraId="0B2BD50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8.5 项目监理机构应按建设单位要求完成环境保护及水土保持档案移交，办理移交手续。</w:t>
      </w:r>
    </w:p>
    <w:p w14:paraId="537444A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p>
    <w:p w14:paraId="7C963341">
      <w:pPr>
        <w:rPr>
          <w:color w:val="000000" w:themeColor="text1"/>
          <w14:textFill>
            <w14:solidFill>
              <w14:schemeClr w14:val="tx1"/>
            </w14:solidFill>
          </w14:textFill>
        </w:rPr>
      </w:pPr>
    </w:p>
    <w:p w14:paraId="4863559F">
      <w:pPr>
        <w:pStyle w:val="3"/>
        <w:sectPr>
          <w:footerReference r:id="rId9" w:type="default"/>
          <w:footerReference r:id="rId10" w:type="even"/>
          <w:pgSz w:w="11906" w:h="16838"/>
          <w:pgMar w:top="1418" w:right="1134" w:bottom="1134" w:left="1418" w:header="1418" w:footer="1134" w:gutter="0"/>
          <w:pgNumType w:start="1"/>
          <w:cols w:space="720" w:num="1"/>
          <w:formProt w:val="0"/>
          <w:docGrid w:type="lines" w:linePitch="312" w:charSpace="0"/>
        </w:sectPr>
      </w:pPr>
    </w:p>
    <w:p w14:paraId="28E9300C">
      <w:pPr>
        <w:pStyle w:val="18"/>
        <w:numPr>
          <w:ilvl w:val="0"/>
          <w:numId w:val="0"/>
        </w:numPr>
        <w:rPr>
          <w:color w:val="000000" w:themeColor="text1"/>
          <w14:textFill>
            <w14:solidFill>
              <w14:schemeClr w14:val="tx1"/>
            </w14:solidFill>
          </w14:textFill>
        </w:rPr>
      </w:pPr>
      <w:bookmarkStart w:id="37" w:name="_Toc7641"/>
      <w:r>
        <w:rPr>
          <w:rFonts w:hint="eastAsia"/>
          <w:color w:val="000000" w:themeColor="text1"/>
          <w14:textFill>
            <w14:solidFill>
              <w14:schemeClr w14:val="tx1"/>
            </w14:solidFill>
          </w14:textFill>
        </w:rPr>
        <w:t>附录A环境监理用表及报告样式</w:t>
      </w:r>
      <w:bookmarkEnd w:id="37"/>
      <w:bookmarkStart w:id="38" w:name="pindex787"/>
      <w:bookmarkEnd w:id="38"/>
      <w:bookmarkStart w:id="39" w:name="_Toc6544"/>
      <w:bookmarkStart w:id="40" w:name="_Toc9670"/>
    </w:p>
    <w:p w14:paraId="28CFA1BA">
      <w:pPr>
        <w:jc w:val="center"/>
      </w:pPr>
      <w:r>
        <w:rPr>
          <w:rFonts w:hint="eastAsia"/>
        </w:rPr>
        <w:t>A.1环保措施监理检查记录表</w:t>
      </w:r>
    </w:p>
    <w:tbl>
      <w:tblPr>
        <w:tblStyle w:val="8"/>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5"/>
      </w:tblGrid>
      <w:tr w14:paraId="37F7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8" w:hRule="exact"/>
          <w:jc w:val="center"/>
        </w:trPr>
        <w:tc>
          <w:tcPr>
            <w:tcW w:w="9465" w:type="dxa"/>
            <w:tcBorders>
              <w:tl2br w:val="nil"/>
              <w:tr2bl w:val="nil"/>
            </w:tcBorders>
            <w:shd w:val="clear" w:color="auto" w:fill="FFFFFF"/>
            <w:vAlign w:val="center"/>
          </w:tcPr>
          <w:p w14:paraId="4268971A">
            <w:r>
              <w:rPr>
                <w:rFonts w:hint="eastAsia"/>
              </w:rPr>
              <w:t>工程名称：                                       检查部位：</w:t>
            </w:r>
          </w:p>
        </w:tc>
      </w:tr>
      <w:tr w14:paraId="597A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9" w:hRule="exact"/>
          <w:jc w:val="center"/>
        </w:trPr>
        <w:tc>
          <w:tcPr>
            <w:tcW w:w="9465" w:type="dxa"/>
            <w:tcBorders>
              <w:tl2br w:val="nil"/>
              <w:tr2bl w:val="nil"/>
            </w:tcBorders>
            <w:shd w:val="clear" w:color="auto" w:fill="FFFFFF"/>
          </w:tcPr>
          <w:p w14:paraId="7D1F6EC3">
            <w:r>
              <w:rPr>
                <w:rFonts w:hint="eastAsia"/>
              </w:rPr>
              <w:t>措施名称：</w:t>
            </w:r>
          </w:p>
        </w:tc>
      </w:tr>
      <w:tr w14:paraId="6C81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67" w:hRule="exact"/>
          <w:jc w:val="center"/>
        </w:trPr>
        <w:tc>
          <w:tcPr>
            <w:tcW w:w="9465" w:type="dxa"/>
            <w:tcBorders>
              <w:tl2br w:val="nil"/>
              <w:tr2bl w:val="nil"/>
            </w:tcBorders>
            <w:shd w:val="clear" w:color="auto" w:fill="FFFFFF"/>
          </w:tcPr>
          <w:p w14:paraId="15508173">
            <w:r>
              <w:rPr>
                <w:rFonts w:hint="eastAsia"/>
              </w:rPr>
              <w:t>措施实施情况：</w:t>
            </w:r>
          </w:p>
          <w:p w14:paraId="3E178D26">
            <w:pPr>
              <w:ind w:firstLine="420" w:firstLineChars="200"/>
            </w:pPr>
            <w:r>
              <w:rPr>
                <w:rFonts w:hint="eastAsia"/>
              </w:rPr>
              <w:t>施工人员、机具设备、使用的构配件和材料、实施的方法和措施等。</w:t>
            </w:r>
          </w:p>
        </w:tc>
      </w:tr>
      <w:tr w14:paraId="6D2F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94" w:hRule="exact"/>
          <w:jc w:val="center"/>
        </w:trPr>
        <w:tc>
          <w:tcPr>
            <w:tcW w:w="9465" w:type="dxa"/>
            <w:tcBorders>
              <w:tl2br w:val="nil"/>
              <w:tr2bl w:val="nil"/>
            </w:tcBorders>
            <w:shd w:val="clear" w:color="auto" w:fill="FFFFFF"/>
          </w:tcPr>
          <w:p w14:paraId="08E11771">
            <w:r>
              <w:rPr>
                <w:rFonts w:hint="eastAsia"/>
              </w:rPr>
              <w:t>监理检查情况：</w:t>
            </w:r>
          </w:p>
          <w:p w14:paraId="074EDF2E">
            <w:r>
              <w:rPr>
                <w:rFonts w:hint="eastAsia"/>
              </w:rPr>
              <w:t xml:space="preserve">    检查、核查的措施具体实施情况，是否与环境保护施工方案一致，是否满足工程环境影响报告书（表）及其批复文件要求，现场实施效果图片取证（整体、局部照片，不少于4张）</w:t>
            </w:r>
          </w:p>
        </w:tc>
      </w:tr>
      <w:tr w14:paraId="2C2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64" w:hRule="exact"/>
          <w:jc w:val="center"/>
        </w:trPr>
        <w:tc>
          <w:tcPr>
            <w:tcW w:w="9465" w:type="dxa"/>
            <w:tcBorders>
              <w:tl2br w:val="nil"/>
              <w:tr2bl w:val="nil"/>
            </w:tcBorders>
            <w:shd w:val="clear" w:color="auto" w:fill="FFFFFF"/>
          </w:tcPr>
          <w:p w14:paraId="11A389E1">
            <w:r>
              <w:rPr>
                <w:rFonts w:hint="eastAsia"/>
              </w:rPr>
              <w:t>发现的问题：</w:t>
            </w:r>
          </w:p>
          <w:p w14:paraId="4D0E07F1"/>
        </w:tc>
      </w:tr>
      <w:tr w14:paraId="127B4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59" w:hRule="exact"/>
          <w:jc w:val="center"/>
        </w:trPr>
        <w:tc>
          <w:tcPr>
            <w:tcW w:w="9465" w:type="dxa"/>
            <w:tcBorders>
              <w:tl2br w:val="nil"/>
              <w:tr2bl w:val="nil"/>
            </w:tcBorders>
            <w:shd w:val="clear" w:color="auto" w:fill="FFFFFF"/>
          </w:tcPr>
          <w:p w14:paraId="1617A263">
            <w:r>
              <w:rPr>
                <w:rFonts w:hint="eastAsia"/>
              </w:rPr>
              <w:t>处理意见：</w:t>
            </w:r>
          </w:p>
          <w:p w14:paraId="5405E64B"/>
          <w:p w14:paraId="41BE9AC9"/>
          <w:p w14:paraId="769A909D"/>
          <w:p w14:paraId="27FFE48B"/>
          <w:p w14:paraId="06AF2F66"/>
          <w:p w14:paraId="1D062B5E">
            <w:pPr>
              <w:wordWrap w:val="0"/>
              <w:jc w:val="right"/>
            </w:pPr>
            <w:r>
              <w:rPr>
                <w:rFonts w:hint="eastAsia"/>
              </w:rPr>
              <w:t xml:space="preserve">                   </w:t>
            </w:r>
          </w:p>
          <w:p w14:paraId="3B54604B">
            <w:pPr>
              <w:wordWrap w:val="0"/>
              <w:jc w:val="right"/>
            </w:pPr>
            <w:r>
              <w:rPr>
                <w:rFonts w:hint="eastAsia"/>
              </w:rPr>
              <w:t xml:space="preserve">检查人员：                   </w:t>
            </w:r>
          </w:p>
          <w:p w14:paraId="321D8681">
            <w:r>
              <w:rPr>
                <w:rFonts w:hint="eastAsia"/>
              </w:rPr>
              <w:t xml:space="preserve">                                                                 日期：</w:t>
            </w:r>
          </w:p>
          <w:p w14:paraId="3EC87111"/>
          <w:p w14:paraId="59AD365D"/>
          <w:p w14:paraId="722B66FD"/>
          <w:p w14:paraId="3A8EF98D"/>
        </w:tc>
      </w:tr>
    </w:tbl>
    <w:p w14:paraId="5261A2AE">
      <w:pPr>
        <w:sectPr>
          <w:pgSz w:w="11906" w:h="16838"/>
          <w:pgMar w:top="567" w:right="1134" w:bottom="1134" w:left="1418" w:header="1418" w:footer="1134" w:gutter="0"/>
          <w:cols w:space="720" w:num="1"/>
          <w:formProt w:val="0"/>
          <w:docGrid w:type="lines" w:linePitch="312" w:charSpace="0"/>
        </w:sectPr>
      </w:pPr>
    </w:p>
    <w:p w14:paraId="15939062"/>
    <w:p w14:paraId="259E6D1B">
      <w:pPr>
        <w:pStyle w:val="16"/>
        <w:adjustRightInd w:val="0"/>
        <w:snapToGrid w:val="0"/>
        <w:ind w:firstLine="2940" w:firstLineChars="14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A.2环境监理规划主要内容</w:t>
      </w:r>
    </w:p>
    <w:p w14:paraId="448BD8D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A.2.1 总则。阐述环境监理目的和意义。包括环境保护法规、政策要求，工程建设环境保护的意义，环境监理委托人要求，最终达到的目的等。</w:t>
      </w:r>
    </w:p>
    <w:p w14:paraId="2351195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A.2.2 建设项目概况。拟建项目名称、建设地点、建设周期；项目建设规模，变电站包括电压等级、主变容量、出线间隔、配电装置、场地布置等；输电线路工程包括电压等级、线路长度及规格、杆塔基数及型号、交叉跨越等；工程环境保护设施、措施总体特点及要求，周边环境保护目标调整情况。</w:t>
      </w:r>
    </w:p>
    <w:p w14:paraId="676BD49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A.2.3 环境监理工作依据。国家、地方有关环境保护法律、法规、标准；工程环境影响报告书（表）及其批复；工程设计文件；建设单位有关环境保护要求；环境保护施工方案及措施等。</w:t>
      </w:r>
    </w:p>
    <w:p w14:paraId="1A71D81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A.2.4 环境监理工作目标。环境监理工作总体目标及目标分解；目标的监测及保证目标关键监理措施。</w:t>
      </w:r>
    </w:p>
    <w:p w14:paraId="4CDF0DB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A.2.5 环境监理工作范围和内容。环境监理的工作范围、地理范围、时间范围等；明确设计阶段、开工准备阶段、工程实施阶段、竣工验收阶段、档案移交阶段等各阶段的环境监理内容。</w:t>
      </w:r>
    </w:p>
    <w:p w14:paraId="3299A682">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A.2.6 环境监理工作程序。确定环境监理总体工作程序，关键工序、重要环节、重点部位等监理工作流程。</w:t>
      </w:r>
    </w:p>
    <w:p w14:paraId="329039E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A.2.7 环境监理工作方法及措施。结合工程特点及建设单位要求,确定采取的审查、巡视、见证、旁站等环境监理工作方法，采用组织、经济、技术等措施。</w:t>
      </w:r>
    </w:p>
    <w:p w14:paraId="2EDEB82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A.2.8 环境监理组织机构及人员配备。根据具体工程特点及地区管理规定,明确采取的环境监理组织机构形式，确定环境监理工作参与人员，说明各自职责。</w:t>
      </w:r>
    </w:p>
    <w:p w14:paraId="0F866D6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A.2.9 环境监理设施、设备。根据监理委托合同和工作需要，确定在项目环境监理工作中应配备的专业仪器设施、设备。</w:t>
      </w:r>
    </w:p>
    <w:p w14:paraId="09AEEBDE">
      <w:pPr>
        <w:pStyle w:val="16"/>
        <w:adjustRightInd w:val="0"/>
        <w:snapToGrid w:val="0"/>
        <w:textAlignment w:val="baseline"/>
        <w:rPr>
          <w:color w:val="000000" w:themeColor="text1"/>
          <w14:textFill>
            <w14:solidFill>
              <w14:schemeClr w14:val="tx1"/>
            </w14:solidFill>
          </w14:textFill>
        </w:rPr>
        <w:sectPr>
          <w:pgSz w:w="11906" w:h="16838"/>
          <w:pgMar w:top="567" w:right="1134" w:bottom="1134" w:left="1418" w:header="1418" w:footer="1134" w:gutter="0"/>
          <w:cols w:space="720" w:num="1"/>
          <w:formProt w:val="0"/>
          <w:docGrid w:type="lines" w:linePitch="312" w:charSpace="0"/>
        </w:sectPr>
      </w:pPr>
      <w:r>
        <w:rPr>
          <w:rFonts w:hint="eastAsia"/>
          <w:color w:val="000000" w:themeColor="text1"/>
          <w14:textFill>
            <w14:solidFill>
              <w14:schemeClr w14:val="tx1"/>
            </w14:solidFill>
          </w14:textFill>
        </w:rPr>
        <w:t>A.2.10 监理成果。明确环境监理涉及的工作成果和档案资料。</w:t>
      </w:r>
    </w:p>
    <w:p w14:paraId="059D7D71">
      <w:pPr>
        <w:pStyle w:val="16"/>
        <w:adjustRightInd w:val="0"/>
        <w:snapToGrid w:val="0"/>
        <w:ind w:firstLine="2940" w:firstLineChars="14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A.3环境监理实施细则主要内容</w:t>
      </w:r>
    </w:p>
    <w:bookmarkEnd w:id="39"/>
    <w:bookmarkEnd w:id="40"/>
    <w:p w14:paraId="250E653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A.3.1 总则</w:t>
      </w:r>
    </w:p>
    <w:p w14:paraId="68170C7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结合工程施工及环境特点，详细说明工程建设内容及规模、环境污染工序及可能产生的环境影响、敏感目标分布情况等。</w:t>
      </w:r>
    </w:p>
    <w:p w14:paraId="71111A7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A.3.2 环境监理工作流程</w:t>
      </w:r>
    </w:p>
    <w:p w14:paraId="0642206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按照工程施工特点，分阶段介绍环境监理工作流程。</w:t>
      </w:r>
    </w:p>
    <w:p w14:paraId="46BE3FB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A.3.3 环境监理工作目标和范围</w:t>
      </w:r>
    </w:p>
    <w:p w14:paraId="056EECD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详细说明预计达到的目标，目标应尽可能细化，包括废水、扬尘及施工噪声防治措施落实目标，各类生态保护措施落实目标，污染因子达标排放目标，周边地表水、环境空气、声环境质量达标目标等;细化明确涉及生态敏感区工程监理工作范围，包括准确的现场工作范围以及各参建单位的工作界面。</w:t>
      </w:r>
    </w:p>
    <w:p w14:paraId="393E8AE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A.3.4 环境监理人员岗位职责</w:t>
      </w:r>
    </w:p>
    <w:p w14:paraId="476BCAF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介绍环境监理机构的组织架构、环境监理人员及联络方式，明确工作人员应行的工作职责及分工、环境监理人员守则等。</w:t>
      </w:r>
    </w:p>
    <w:p w14:paraId="28213DCA">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A.3.5 环境监理工作内容</w:t>
      </w:r>
    </w:p>
    <w:p w14:paraId="32B7C97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分阶段分类说明具体工作内容，明确各工序具体的监理方法、监理部位以及形成的监理记录要点。</w:t>
      </w:r>
    </w:p>
    <w:p w14:paraId="66A1A880">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A.3.6 环境监理特点及难点。专业工程特点、环境影响评价及批复要求、环境保护设计、工程建设期环境保护措施等特点分析；根据工程特点分析环境监理重点、难点。</w:t>
      </w:r>
    </w:p>
    <w:p w14:paraId="4AC7D52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A.3.7 监理工作流程。环境工程管理人员、特种作业人员审查流程；环境工程施工机械/设备进场审查流程；环境监理施工方案审查流程；环境工程原材料进场审查流程；环境工程巡查/见证流程、旁站检查流程、停工待检检查流程；环境工程计量监理工作流程；设计变更监理审查流程；环境工程质量验收监理工作流程；环境事故事件应急处置监理工作流程。</w:t>
      </w:r>
    </w:p>
    <w:p w14:paraId="6FEFD70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A.3.8 环境监理工作要点。</w:t>
      </w:r>
    </w:p>
    <w:p w14:paraId="090FD127">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环境保护设施（油坑、水封井、检查井、事故油池；排水管道、化粪池、格栅井、调节水池、生化池、终沉池、回用水池；设备隔声、消声等降噪措施、防火墙；挡土墙、排水沟、护坡等）监理工作要点：分别阐述原材料进场控制要点，隐蔽工程检查控制要点，试验、检验见证检查控制要点，重点部分旁站检查控制要点，检验批、分项工程验收监理要点，分部工程、单位工程验收监理要点，专项验收监理要点，资料归档移交监理要点等。</w:t>
      </w:r>
    </w:p>
    <w:p w14:paraId="41E6950E">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环境保护措施监理工作要点：重点环节及工序环境监理要点；生态敏感区环境监理要点及迹地恢复环境监理要点。根据重点环节及工序的特点，结合污染产生源、产生部位、处置措施及排放要求等详细说明监理工作程序、内容、方法和主要关注点及应达到的监理要求。</w:t>
      </w:r>
    </w:p>
    <w:p w14:paraId="67DF859D">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生态敏感区监理要点：应给出生态敏感区的保护级别、保护对象、保护分区区划等具体信息，详细说明涉及生态敏感区的工程施工方案、施工污染物产排情况、主要施工环境保护措施，明确 监理部位、监理时段、监理方法、主要技术要求以及应形成的监理记录文件等。</w:t>
      </w:r>
    </w:p>
    <w:p w14:paraId="273AB65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迹地恢复环境监理要点：应列出环境影响报告书中要求进行迹地恢复的具体工程位置、恢复方案，统计主要工程量，明确恢复措施的监理时段、监理方法、主要技术要求以及应形成的记录文件等。</w:t>
      </w:r>
    </w:p>
    <w:p w14:paraId="72336796">
      <w:pPr>
        <w:pStyle w:val="16"/>
        <w:adjustRightInd w:val="0"/>
        <w:snapToGrid w:val="0"/>
        <w:textAlignment w:val="baseline"/>
        <w:rPr>
          <w:color w:val="000000" w:themeColor="text1"/>
          <w14:textFill>
            <w14:solidFill>
              <w14:schemeClr w14:val="tx1"/>
            </w14:solidFill>
          </w14:textFill>
        </w:rPr>
        <w:sectPr>
          <w:pgSz w:w="11906" w:h="16838"/>
          <w:pgMar w:top="567" w:right="1134" w:bottom="1134" w:left="1418" w:header="1418" w:footer="1134" w:gutter="0"/>
          <w:cols w:space="720" w:num="1"/>
          <w:formProt w:val="0"/>
          <w:docGrid w:type="lines" w:linePitch="312" w:charSpace="0"/>
        </w:sectPr>
      </w:pPr>
      <w:r>
        <w:rPr>
          <w:rFonts w:hint="eastAsia"/>
          <w:color w:val="000000" w:themeColor="text1"/>
          <w14:textFill>
            <w14:solidFill>
              <w14:schemeClr w14:val="tx1"/>
            </w14:solidFill>
          </w14:textFill>
        </w:rPr>
        <w:t>A.3.9 监理工作方法及措施。环境监理工作方法：审查、见证、旁站、停工待检、巡视、平行检验、验收、通知单、视频等。环境监理措施：环境质量、进度、造价、安全控制措施，合同信息管理措施。</w:t>
      </w:r>
    </w:p>
    <w:p w14:paraId="06BE42D6">
      <w:pPr>
        <w:pStyle w:val="16"/>
        <w:ind w:firstLine="3150" w:firstLineChars="1500"/>
        <w:rPr>
          <w:color w:val="000000" w:themeColor="text1"/>
          <w14:textFill>
            <w14:solidFill>
              <w14:schemeClr w14:val="tx1"/>
            </w14:solidFill>
          </w14:textFill>
        </w:rPr>
      </w:pPr>
      <w:r>
        <w:rPr>
          <w:rFonts w:hint="eastAsia"/>
          <w:color w:val="000000" w:themeColor="text1"/>
          <w14:textFill>
            <w14:solidFill>
              <w14:schemeClr w14:val="tx1"/>
            </w14:solidFill>
          </w14:textFill>
        </w:rPr>
        <w:t>A.4 环境监理工作总结报告内容</w:t>
      </w:r>
    </w:p>
    <w:p w14:paraId="7E00FD0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A.4.1 工程</w:t>
      </w:r>
      <w:r>
        <w:rPr>
          <w:color w:val="000000" w:themeColor="text1"/>
          <w14:textFill>
            <w14:solidFill>
              <w14:schemeClr w14:val="tx1"/>
            </w14:solidFill>
          </w14:textFill>
        </w:rPr>
        <w:t>概况</w:t>
      </w:r>
    </w:p>
    <w:p w14:paraId="7081D2A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介绍</w:t>
      </w:r>
      <w:r>
        <w:rPr>
          <w:color w:val="000000" w:themeColor="text1"/>
          <w14:textFill>
            <w14:solidFill>
              <w14:schemeClr w14:val="tx1"/>
            </w14:solidFill>
          </w14:textFill>
        </w:rPr>
        <w:t>输变电工程的基本信息，如工程名称、位置、规模、电压等级、线路长度、变电站建设情况等</w:t>
      </w:r>
      <w:r>
        <w:rPr>
          <w:rFonts w:hint="eastAsia"/>
          <w:color w:val="000000" w:themeColor="text1"/>
          <w14:textFill>
            <w14:solidFill>
              <w14:schemeClr w14:val="tx1"/>
            </w14:solidFill>
          </w14:textFill>
        </w:rPr>
        <w:t>。</w:t>
      </w:r>
    </w:p>
    <w:p w14:paraId="2B2CBB56">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A.4.2 工程</w:t>
      </w:r>
      <w:r>
        <w:rPr>
          <w:color w:val="000000" w:themeColor="text1"/>
          <w14:textFill>
            <w14:solidFill>
              <w14:schemeClr w14:val="tx1"/>
            </w14:solidFill>
          </w14:textFill>
        </w:rPr>
        <w:t>项目</w:t>
      </w:r>
      <w:r>
        <w:rPr>
          <w:rFonts w:hint="eastAsia"/>
          <w:color w:val="000000" w:themeColor="text1"/>
          <w14:textFill>
            <w14:solidFill>
              <w14:schemeClr w14:val="tx1"/>
            </w14:solidFill>
          </w14:textFill>
        </w:rPr>
        <w:t>环境保护</w:t>
      </w:r>
      <w:r>
        <w:rPr>
          <w:color w:val="000000" w:themeColor="text1"/>
          <w14:textFill>
            <w14:solidFill>
              <w14:schemeClr w14:val="tx1"/>
            </w14:solidFill>
          </w14:textFill>
        </w:rPr>
        <w:t>投资</w:t>
      </w:r>
      <w:r>
        <w:rPr>
          <w:rFonts w:hint="eastAsia"/>
          <w:color w:val="000000" w:themeColor="text1"/>
          <w14:textFill>
            <w14:solidFill>
              <w14:schemeClr w14:val="tx1"/>
            </w14:solidFill>
          </w14:textFill>
        </w:rPr>
        <w:t>情况</w:t>
      </w:r>
    </w:p>
    <w:p w14:paraId="551C48B5">
      <w:pPr>
        <w:pStyle w:val="16"/>
        <w:adjustRightInd w:val="0"/>
        <w:snapToGri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介绍环保投资金额、占总投资比例，详细罗列各项环保投资的具体去向。</w:t>
      </w:r>
    </w:p>
    <w:p w14:paraId="659805A8">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A.4.3 环境保护措施(设施)</w:t>
      </w:r>
      <w:r>
        <w:rPr>
          <w:color w:val="000000" w:themeColor="text1"/>
          <w14:textFill>
            <w14:solidFill>
              <w14:schemeClr w14:val="tx1"/>
            </w14:solidFill>
          </w14:textFill>
        </w:rPr>
        <w:t>施工</w:t>
      </w:r>
      <w:r>
        <w:rPr>
          <w:rFonts w:hint="eastAsia"/>
          <w:color w:val="000000" w:themeColor="text1"/>
          <w14:textFill>
            <w14:solidFill>
              <w14:schemeClr w14:val="tx1"/>
            </w14:solidFill>
          </w14:textFill>
        </w:rPr>
        <w:t>实施</w:t>
      </w:r>
      <w:r>
        <w:rPr>
          <w:color w:val="000000" w:themeColor="text1"/>
          <w14:textFill>
            <w14:solidFill>
              <w14:schemeClr w14:val="tx1"/>
            </w14:solidFill>
          </w14:textFill>
        </w:rPr>
        <w:t>进度</w:t>
      </w:r>
      <w:r>
        <w:rPr>
          <w:rFonts w:hint="eastAsia"/>
          <w:color w:val="000000" w:themeColor="text1"/>
          <w14:textFill>
            <w14:solidFill>
              <w14:schemeClr w14:val="tx1"/>
            </w14:solidFill>
          </w14:textFill>
        </w:rPr>
        <w:t>情况</w:t>
      </w:r>
    </w:p>
    <w:p w14:paraId="007E40F1">
      <w:pPr>
        <w:pStyle w:val="16"/>
        <w:adjustRightInd w:val="0"/>
        <w:snapToGri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按照施工时间顺序，阐述各类环保措施和设施的施工开展情况，包括开工时间、预计完工时间、实际进度是否符合计划等，说明施工过程中遇到的问题及解决方法。</w:t>
      </w:r>
    </w:p>
    <w:p w14:paraId="68D3D01F">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A.4.4 环境保护措施(设施)</w:t>
      </w:r>
      <w:r>
        <w:rPr>
          <w:color w:val="000000" w:themeColor="text1"/>
          <w14:textFill>
            <w14:solidFill>
              <w14:schemeClr w14:val="tx1"/>
            </w14:solidFill>
          </w14:textFill>
        </w:rPr>
        <w:t>落实完成情况</w:t>
      </w:r>
    </w:p>
    <w:p w14:paraId="2AA5B878">
      <w:pPr>
        <w:pStyle w:val="16"/>
        <w:adjustRightInd w:val="0"/>
        <w:snapToGri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对照环境影响评价报告及相关批复要求，逐一说明各项环保措施和设施是否已按要求完成建设和落实，展示完成后的设施情况及效果。</w:t>
      </w:r>
    </w:p>
    <w:p w14:paraId="3619AB4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A.4.5 </w:t>
      </w:r>
      <w:r>
        <w:rPr>
          <w:color w:val="000000" w:themeColor="text1"/>
          <w14:textFill>
            <w14:solidFill>
              <w14:schemeClr w14:val="tx1"/>
            </w14:solidFill>
          </w14:textFill>
        </w:rPr>
        <w:t>施工期环境监测</w:t>
      </w:r>
      <w:r>
        <w:rPr>
          <w:rFonts w:hint="eastAsia"/>
          <w:color w:val="000000" w:themeColor="text1"/>
          <w14:textFill>
            <w14:solidFill>
              <w14:schemeClr w14:val="tx1"/>
            </w14:solidFill>
          </w14:textFill>
        </w:rPr>
        <w:t>情况</w:t>
      </w:r>
    </w:p>
    <w:p w14:paraId="204B857B">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说明施工期环境监测的方案制定，包括监测因子、监测点位、监测频率等，展示监测数据及分析结果，判断是否符合相关环境标准，对监测中发现的问题进行总结。</w:t>
      </w:r>
    </w:p>
    <w:p w14:paraId="15925D11">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A.4.6 </w:t>
      </w:r>
      <w:r>
        <w:rPr>
          <w:color w:val="000000" w:themeColor="text1"/>
          <w14:textFill>
            <w14:solidFill>
              <w14:schemeClr w14:val="tx1"/>
            </w14:solidFill>
          </w14:textFill>
        </w:rPr>
        <w:t>环境监理工作</w:t>
      </w:r>
      <w:r>
        <w:rPr>
          <w:rFonts w:hint="eastAsia"/>
          <w:color w:val="000000" w:themeColor="text1"/>
          <w14:textFill>
            <w14:solidFill>
              <w14:schemeClr w14:val="tx1"/>
            </w14:solidFill>
          </w14:textFill>
        </w:rPr>
        <w:t>开展</w:t>
      </w:r>
      <w:r>
        <w:rPr>
          <w:color w:val="000000" w:themeColor="text1"/>
          <w14:textFill>
            <w14:solidFill>
              <w14:schemeClr w14:val="tx1"/>
            </w14:solidFill>
          </w14:textFill>
        </w:rPr>
        <w:t>情况</w:t>
      </w:r>
    </w:p>
    <w:p w14:paraId="1D22834C">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说明施工期环境监测的方案制定，包括监测因子、监测点位、监测频率等，展示监测数据及分析结果，判断是否符合相关环境标准，对监测中发现的问题进行总结。</w:t>
      </w:r>
    </w:p>
    <w:p w14:paraId="29C9B739">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A.4.7 </w:t>
      </w:r>
      <w:r>
        <w:rPr>
          <w:color w:val="000000" w:themeColor="text1"/>
          <w14:textFill>
            <w14:solidFill>
              <w14:schemeClr w14:val="tx1"/>
            </w14:solidFill>
          </w14:textFill>
        </w:rPr>
        <w:t>环境监理</w:t>
      </w:r>
      <w:r>
        <w:rPr>
          <w:rFonts w:hint="eastAsia"/>
          <w:color w:val="000000" w:themeColor="text1"/>
          <w14:textFill>
            <w14:solidFill>
              <w14:schemeClr w14:val="tx1"/>
            </w14:solidFill>
          </w14:textFill>
        </w:rPr>
        <w:t>验收情况</w:t>
      </w:r>
    </w:p>
    <w:p w14:paraId="3409191A">
      <w:pPr>
        <w:pStyle w:val="16"/>
        <w:adjustRightInd w:val="0"/>
        <w:snapToGri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阐述环境监理验收的组织、程序和标准，说明验收结果是否合格，对验收中发现的问题及整改复查情况进行说明，强调验收的重要性和意义。</w:t>
      </w:r>
    </w:p>
    <w:p w14:paraId="2F07B974">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A.4.8 项目环境保护</w:t>
      </w:r>
      <w:r>
        <w:rPr>
          <w:color w:val="000000" w:themeColor="text1"/>
          <w14:textFill>
            <w14:solidFill>
              <w14:schemeClr w14:val="tx1"/>
            </w14:solidFill>
          </w14:textFill>
        </w:rPr>
        <w:t>存在的问题及建议</w:t>
      </w:r>
      <w:r>
        <w:rPr>
          <w:rFonts w:hint="eastAsia"/>
          <w:color w:val="000000" w:themeColor="text1"/>
          <w14:textFill>
            <w14:solidFill>
              <w14:schemeClr w14:val="tx1"/>
            </w14:solidFill>
          </w14:textFill>
        </w:rPr>
        <w:t>。</w:t>
      </w:r>
    </w:p>
    <w:p w14:paraId="0E702075">
      <w:pPr>
        <w:pStyle w:val="16"/>
        <w:adjustRightInd w:val="0"/>
        <w:snapToGrid w:val="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介绍工程存在的遗留问题，提出下一步工作建议。</w:t>
      </w:r>
    </w:p>
    <w:p w14:paraId="514D0F95">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p>
    <w:p w14:paraId="0CC62CD1">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sectPr>
          <w:pgSz w:w="11906" w:h="16838"/>
          <w:pgMar w:top="567" w:right="1134" w:bottom="1134" w:left="1418" w:header="1418" w:footer="1134" w:gutter="0"/>
          <w:cols w:space="720" w:num="1"/>
          <w:formProt w:val="0"/>
          <w:docGrid w:type="lines" w:linePitch="312" w:charSpace="0"/>
        </w:sectPr>
      </w:pPr>
    </w:p>
    <w:p w14:paraId="56FD420B">
      <w:pPr>
        <w:pStyle w:val="18"/>
        <w:numPr>
          <w:ilvl w:val="0"/>
          <w:numId w:val="0"/>
        </w:numPr>
        <w:rPr>
          <w:color w:val="000000" w:themeColor="text1"/>
          <w:lang w:val="nl-BE"/>
          <w14:textFill>
            <w14:solidFill>
              <w14:schemeClr w14:val="tx1"/>
            </w14:solidFill>
          </w14:textFill>
        </w:rPr>
      </w:pPr>
      <w:bookmarkStart w:id="41" w:name="_Toc4303"/>
      <w:r>
        <w:rPr>
          <w:rFonts w:hint="eastAsia"/>
          <w:color w:val="000000" w:themeColor="text1"/>
          <w14:textFill>
            <w14:solidFill>
              <w14:schemeClr w14:val="tx1"/>
            </w14:solidFill>
          </w14:textFill>
        </w:rPr>
        <w:t>附录B水土保持监理用表及报告样式</w:t>
      </w:r>
      <w:bookmarkEnd w:id="41"/>
    </w:p>
    <w:p w14:paraId="7B17ED26">
      <w:pPr>
        <w:jc w:val="center"/>
      </w:pPr>
      <w:r>
        <w:rPr>
          <w:rFonts w:hint="eastAsia"/>
        </w:rPr>
        <w:t>B.1水土保持措施（设施）监理检查记录表</w:t>
      </w:r>
    </w:p>
    <w:tbl>
      <w:tblPr>
        <w:tblStyle w:val="8"/>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5"/>
      </w:tblGrid>
      <w:tr w14:paraId="4FF8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8" w:hRule="exact"/>
          <w:jc w:val="center"/>
        </w:trPr>
        <w:tc>
          <w:tcPr>
            <w:tcW w:w="9465" w:type="dxa"/>
            <w:tcBorders>
              <w:tl2br w:val="nil"/>
              <w:tr2bl w:val="nil"/>
            </w:tcBorders>
            <w:shd w:val="clear" w:color="auto" w:fill="FFFFFF"/>
            <w:vAlign w:val="center"/>
          </w:tcPr>
          <w:p w14:paraId="72280C5E">
            <w:r>
              <w:rPr>
                <w:rFonts w:hint="eastAsia"/>
              </w:rPr>
              <w:t>工程名称：                                       检查部位：</w:t>
            </w:r>
          </w:p>
        </w:tc>
      </w:tr>
      <w:tr w14:paraId="2ECF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9" w:hRule="exact"/>
          <w:jc w:val="center"/>
        </w:trPr>
        <w:tc>
          <w:tcPr>
            <w:tcW w:w="9465" w:type="dxa"/>
            <w:tcBorders>
              <w:tl2br w:val="nil"/>
              <w:tr2bl w:val="nil"/>
            </w:tcBorders>
            <w:shd w:val="clear" w:color="auto" w:fill="FFFFFF"/>
          </w:tcPr>
          <w:p w14:paraId="2C5935CD">
            <w:r>
              <w:rPr>
                <w:rFonts w:hint="eastAsia"/>
              </w:rPr>
              <w:t>措施（设施）名称：</w:t>
            </w:r>
          </w:p>
        </w:tc>
      </w:tr>
      <w:tr w14:paraId="5E6D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67" w:hRule="exact"/>
          <w:jc w:val="center"/>
        </w:trPr>
        <w:tc>
          <w:tcPr>
            <w:tcW w:w="9465" w:type="dxa"/>
            <w:tcBorders>
              <w:tl2br w:val="nil"/>
              <w:tr2bl w:val="nil"/>
            </w:tcBorders>
            <w:shd w:val="clear" w:color="auto" w:fill="FFFFFF"/>
          </w:tcPr>
          <w:p w14:paraId="76D529B6">
            <w:r>
              <w:rPr>
                <w:rFonts w:hint="eastAsia"/>
              </w:rPr>
              <w:t>措施（设施）实施情况：</w:t>
            </w:r>
          </w:p>
          <w:p w14:paraId="1A0FF57A">
            <w:pPr>
              <w:ind w:firstLine="420" w:firstLineChars="200"/>
            </w:pPr>
            <w:r>
              <w:rPr>
                <w:rFonts w:hint="eastAsia"/>
              </w:rPr>
              <w:t>施工人员、机具设备、使用的构配件和材料、实施的方法和措施等。</w:t>
            </w:r>
          </w:p>
        </w:tc>
      </w:tr>
      <w:tr w14:paraId="39CC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94" w:hRule="exact"/>
          <w:jc w:val="center"/>
        </w:trPr>
        <w:tc>
          <w:tcPr>
            <w:tcW w:w="9465" w:type="dxa"/>
            <w:tcBorders>
              <w:tl2br w:val="nil"/>
              <w:tr2bl w:val="nil"/>
            </w:tcBorders>
            <w:shd w:val="clear" w:color="auto" w:fill="FFFFFF"/>
          </w:tcPr>
          <w:p w14:paraId="7010879B">
            <w:r>
              <w:rPr>
                <w:rFonts w:hint="eastAsia"/>
              </w:rPr>
              <w:t>监理检查情况：</w:t>
            </w:r>
          </w:p>
          <w:p w14:paraId="1F300F17">
            <w:r>
              <w:rPr>
                <w:rFonts w:hint="eastAsia"/>
              </w:rPr>
              <w:t xml:space="preserve">    检查、核查的措施（设施）具体实施情况，是否与水土保持施工方案一致，是否满足工程水土保持报告及其批复文件要求，现场实施效果图片取证（整体、局部照片，不少于4张）</w:t>
            </w:r>
          </w:p>
        </w:tc>
      </w:tr>
      <w:tr w14:paraId="72C2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64" w:hRule="exact"/>
          <w:jc w:val="center"/>
        </w:trPr>
        <w:tc>
          <w:tcPr>
            <w:tcW w:w="9465" w:type="dxa"/>
            <w:tcBorders>
              <w:tl2br w:val="nil"/>
              <w:tr2bl w:val="nil"/>
            </w:tcBorders>
            <w:shd w:val="clear" w:color="auto" w:fill="FFFFFF"/>
          </w:tcPr>
          <w:p w14:paraId="610AA268">
            <w:r>
              <w:rPr>
                <w:rFonts w:hint="eastAsia"/>
              </w:rPr>
              <w:t>发现的问题：</w:t>
            </w:r>
          </w:p>
          <w:p w14:paraId="0EE4A9D7"/>
        </w:tc>
      </w:tr>
      <w:tr w14:paraId="3A55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59" w:hRule="exact"/>
          <w:jc w:val="center"/>
        </w:trPr>
        <w:tc>
          <w:tcPr>
            <w:tcW w:w="9465" w:type="dxa"/>
            <w:tcBorders>
              <w:tl2br w:val="nil"/>
              <w:tr2bl w:val="nil"/>
            </w:tcBorders>
            <w:shd w:val="clear" w:color="auto" w:fill="FFFFFF"/>
          </w:tcPr>
          <w:p w14:paraId="1352FA26">
            <w:r>
              <w:rPr>
                <w:rFonts w:hint="eastAsia"/>
              </w:rPr>
              <w:t>处理意见：</w:t>
            </w:r>
          </w:p>
          <w:p w14:paraId="0084A0E7"/>
          <w:p w14:paraId="521DDD9F"/>
          <w:p w14:paraId="440C051A"/>
          <w:p w14:paraId="4A88D6D0"/>
          <w:p w14:paraId="180FFD61"/>
          <w:p w14:paraId="02AD2042">
            <w:pPr>
              <w:wordWrap w:val="0"/>
              <w:jc w:val="right"/>
            </w:pPr>
            <w:r>
              <w:rPr>
                <w:rFonts w:hint="eastAsia"/>
              </w:rPr>
              <w:t xml:space="preserve">                   </w:t>
            </w:r>
          </w:p>
          <w:p w14:paraId="05CD2124">
            <w:pPr>
              <w:wordWrap w:val="0"/>
              <w:jc w:val="right"/>
            </w:pPr>
            <w:r>
              <w:rPr>
                <w:rFonts w:hint="eastAsia"/>
              </w:rPr>
              <w:t xml:space="preserve">检查人员：                   </w:t>
            </w:r>
          </w:p>
          <w:p w14:paraId="12B36B05">
            <w:r>
              <w:rPr>
                <w:rFonts w:hint="eastAsia"/>
              </w:rPr>
              <w:t xml:space="preserve">                                                                 日期：</w:t>
            </w:r>
          </w:p>
          <w:p w14:paraId="5FA40906"/>
          <w:p w14:paraId="473C896A"/>
          <w:p w14:paraId="581D71EE"/>
          <w:p w14:paraId="1554701D"/>
        </w:tc>
      </w:tr>
    </w:tbl>
    <w:p w14:paraId="150E9E07">
      <w:pPr>
        <w:pStyle w:val="7"/>
        <w:widowControl/>
        <w:autoSpaceDE w:val="0"/>
        <w:autoSpaceDN w:val="0"/>
        <w:adjustRightInd w:val="0"/>
        <w:snapToGrid w:val="0"/>
        <w:spacing w:before="0" w:beforeAutospacing="0" w:after="0" w:afterAutospacing="0"/>
        <w:ind w:firstLine="420" w:firstLineChars="200"/>
        <w:jc w:val="center"/>
        <w:textAlignment w:val="baseline"/>
        <w:rPr>
          <w:rFonts w:ascii="宋体" w:hAnsi="Times New Roman"/>
          <w:color w:val="000000" w:themeColor="text1"/>
          <w:sz w:val="21"/>
          <w14:textFill>
            <w14:solidFill>
              <w14:schemeClr w14:val="tx1"/>
            </w14:solidFill>
          </w14:textFill>
        </w:rPr>
        <w:sectPr>
          <w:pgSz w:w="11906" w:h="16838"/>
          <w:pgMar w:top="567" w:right="1134" w:bottom="1134" w:left="1418" w:header="1418" w:footer="1134" w:gutter="0"/>
          <w:cols w:space="720" w:num="1"/>
          <w:formProt w:val="0"/>
          <w:docGrid w:type="lines" w:linePitch="312" w:charSpace="0"/>
        </w:sectPr>
      </w:pPr>
    </w:p>
    <w:p w14:paraId="547914B8">
      <w:pPr>
        <w:pStyle w:val="7"/>
        <w:widowControl/>
        <w:autoSpaceDE w:val="0"/>
        <w:autoSpaceDN w:val="0"/>
        <w:adjustRightInd w:val="0"/>
        <w:snapToGrid w:val="0"/>
        <w:spacing w:before="0" w:beforeAutospacing="0" w:after="0" w:afterAutospacing="0"/>
        <w:ind w:firstLine="420" w:firstLineChars="200"/>
        <w:jc w:val="center"/>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B.2水土保持监理规划主要内容</w:t>
      </w:r>
    </w:p>
    <w:p w14:paraId="62F833C2">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B.2.1 总则</w:t>
      </w:r>
    </w:p>
    <w:p w14:paraId="022FFF6F">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介绍水土保持监理工作依据。工作依据主要包括国家及地方颁布的与工程相关的水土保持法律、法规、水土保持方案及批复文件、工程有关设计资料及工程水土保持监理合同。。</w:t>
      </w:r>
    </w:p>
    <w:p w14:paraId="640E13DC">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B.2.2 工程概况</w:t>
      </w:r>
    </w:p>
    <w:p w14:paraId="5B78ABE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介绍建设项目主要工程内容及规模:结合工程水土保持方案,介绍项目区水土流失概况、工程水土流失防治标准及目标值、水土流失防治责任范围及水土流失防治分区。</w:t>
      </w:r>
    </w:p>
    <w:p w14:paraId="34802FE8">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B.2.3 监理期限、工作范围与内容</w:t>
      </w:r>
    </w:p>
    <w:p w14:paraId="2F4C3FC9">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明确监理时段及工作范围。原则上水保监理工作期限为现场监理工作时段及后期验收工作配合时段:监理工作范围涵盖工程变电及线路工程永久占地及临时占地区域。提出各阶段具体监理工作内容。</w:t>
      </w:r>
    </w:p>
    <w:p w14:paraId="1B68DBD2">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B.2.4 监理工作目标介绍水土保持监理质量控制目标、进度控制目标、投资控制目标、项目管理目标、合同管理目标及协调工作目标。</w:t>
      </w:r>
    </w:p>
    <w:p w14:paraId="69F5A4AA">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B.2.5 监理方法及工作程序</w:t>
      </w:r>
    </w:p>
    <w:p w14:paraId="10D541AF">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明确工程水土保持监理方法。水土保持监理方法主要包括发布文件、跟踪检查、平行检测、现场记录、巡视检验、旁站监理、遥感遥测、宣传培训以及协调各参建方关系，调解工程施工中出现的问题和争议等。</w:t>
      </w:r>
    </w:p>
    <w:p w14:paraId="6CE7083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介绍水土保持监理总体工作程序，根据输变电工程建设特点，分别介绍各阶段水土保持</w:t>
      </w:r>
    </w:p>
    <w:p w14:paraId="304552D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监理工作程序。</w:t>
      </w:r>
    </w:p>
    <w:p w14:paraId="44D63BD1">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B.2.6 监理工作制度</w:t>
      </w:r>
    </w:p>
    <w:p w14:paraId="35F85BF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明确水土保持监理工作所采用的工作制度，确保监理工作规范有序开展。水土保持监理工作制度包括技术文件审核审批制度、工程质量检验制度、工作报告制度、工程验收制度等。</w:t>
      </w:r>
    </w:p>
    <w:p w14:paraId="79BFDB13">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B.2.7 监理项目部组织机构及监理设备</w:t>
      </w:r>
    </w:p>
    <w:p w14:paraId="0ED6CA0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明确水土保持监理工作组织机构建设情况:拟投入的水土保持监理人员及相应职责;拟投入的主要监理设施、设备。</w:t>
      </w:r>
    </w:p>
    <w:p w14:paraId="01BBEE93">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B.2.8 水土保持项目划分</w:t>
      </w:r>
    </w:p>
    <w:p w14:paraId="0C5D95E5">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明确工程水土保持项目划分。</w:t>
      </w:r>
    </w:p>
    <w:p w14:paraId="1426D595">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B.2.9 监理要点</w:t>
      </w:r>
    </w:p>
    <w:p w14:paraId="5D06333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明确项目水土保持监理工作重点内容及难点;根据工程施工特点、水土保持方案及设计提出的主要水土保持措施，明确变电站(换流站、开关站、串补站)、输电线路工程各阶段水土保持监理工作要点:根据项目涉及的敏感区、敏感区分布情况、敏感区相应保护要求等,明确敏感区水土保持监理工作要点。</w:t>
      </w:r>
    </w:p>
    <w:p w14:paraId="22DDEF95">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B.2.10 监理成果提交</w:t>
      </w:r>
    </w:p>
    <w:p w14:paraId="6B407E5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sectPr>
          <w:pgSz w:w="11906" w:h="16838"/>
          <w:pgMar w:top="567" w:right="1134" w:bottom="1134" w:left="1418" w:header="1418" w:footer="1134" w:gutter="0"/>
          <w:cols w:space="720" w:num="1"/>
          <w:formProt w:val="0"/>
          <w:docGrid w:type="lines" w:linePitch="312" w:charSpace="0"/>
        </w:sectPr>
      </w:pPr>
      <w:r>
        <w:rPr>
          <w:rFonts w:hint="eastAsia" w:ascii="宋体" w:hAnsi="Times New Roman"/>
          <w:color w:val="000000" w:themeColor="text1"/>
          <w:sz w:val="21"/>
          <w14:textFill>
            <w14:solidFill>
              <w14:schemeClr w14:val="tx1"/>
            </w14:solidFill>
          </w14:textFill>
        </w:rPr>
        <w:t>明确项目水土保持监理工作涉及的主要成果资料及提交形式。</w:t>
      </w:r>
    </w:p>
    <w:p w14:paraId="70E5EDDD">
      <w:pPr>
        <w:pStyle w:val="7"/>
        <w:widowControl/>
        <w:autoSpaceDE w:val="0"/>
        <w:autoSpaceDN w:val="0"/>
        <w:adjustRightInd w:val="0"/>
        <w:snapToGrid w:val="0"/>
        <w:spacing w:before="0" w:beforeAutospacing="0" w:after="0" w:afterAutospacing="0"/>
        <w:ind w:firstLine="420" w:firstLineChars="200"/>
        <w:jc w:val="center"/>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B.3水土保持监理实施细则主要内容</w:t>
      </w:r>
    </w:p>
    <w:p w14:paraId="5208BF1A">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B.3.1 总则</w:t>
      </w:r>
    </w:p>
    <w:p w14:paraId="42E67A74">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介绍项目概况，包含项目基本情况、项目组成及工程特性、项目水土流失防治标准、防治分区及责任范围等、项目水土保持方案报告书批复要求等:明确编制依据及监理项目部组织机构及拟投入的人员情况。</w:t>
      </w:r>
    </w:p>
    <w:p w14:paraId="050F95CF">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B.3.2 监理工作目标、范围及内容</w:t>
      </w:r>
    </w:p>
    <w:p w14:paraId="63CDDBFC">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细化监理工作目标及工作范围:分阶段细化水土保持监理工作内容。</w:t>
      </w:r>
    </w:p>
    <w:p w14:paraId="2516649C">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B.3.3 水土保持工程质量控制</w:t>
      </w:r>
    </w:p>
    <w:p w14:paraId="02365A94">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明确水土保持工程质量控制的内容和方法:明确水土保持工程主要材料、构配件及工程设备质量控制内容及方法:明确水土保持工程质量评定内容和方法等。</w:t>
      </w:r>
    </w:p>
    <w:p w14:paraId="2EE7A391">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B.3.4 水土保持工程进度控制的内容、措施和方法</w:t>
      </w:r>
    </w:p>
    <w:p w14:paraId="4A1867C1">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明确水土保持工程进度目标控制体系、施工进度计划的申报与审批及水土保持工程施工计划的申报及审批流程、施工进度的过程控制措施:明确水土保持工程施工进度的过程控制内容和方法:明确水土保持工程停工、复工流程及主要内容:明确工期延误及工程延误的处理。</w:t>
      </w:r>
    </w:p>
    <w:p w14:paraId="67FFEC9D">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B.3.5 水土保持工程投资控制的内容、措施和方法</w:t>
      </w:r>
    </w:p>
    <w:p w14:paraId="1C9315A0">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明确水土保持投资控制的目标体系、水土保持工程计量与支付相关程序、要求及水土保持措施变更控制。</w:t>
      </w:r>
    </w:p>
    <w:p w14:paraId="3733091F">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B.3.6 合同与信息管理</w:t>
      </w:r>
    </w:p>
    <w:p w14:paraId="7C073462">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明确合同管理内容、工程变更管理、费用索赔的处理及合同的解除等:明确信息管理体系、信息的收集和整理要求等。</w:t>
      </w:r>
    </w:p>
    <w:p w14:paraId="3B2FDB5C">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B.3.7 水土保持问题处理</w:t>
      </w:r>
    </w:p>
    <w:p w14:paraId="2DA9808F">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明确一般性水土保持问题及重大水土保持问题的处理流程和方法。</w:t>
      </w:r>
    </w:p>
    <w:p w14:paraId="206AC394">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B.3.8 工程各水土保持防治区监理实施细则</w:t>
      </w:r>
    </w:p>
    <w:p w14:paraId="64D85B60">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针对变电站(换流站、开关站、串补站)站区、进站道路区、站外管线区、施工电源线路区、施工生产生活区等防治区，明确工程水土保持监理实施细则。</w:t>
      </w:r>
    </w:p>
    <w:p w14:paraId="28608ADE">
      <w:pPr>
        <w:autoSpaceDE w:val="0"/>
        <w:autoSpaceDN w:val="0"/>
        <w:ind w:firstLine="420" w:firstLineChars="200"/>
        <w:rPr>
          <w:rFonts w:ascii="宋体" w:hAnsi="Times New Roman"/>
          <w:color w:val="000000" w:themeColor="text1"/>
          <w:kern w:val="0"/>
          <w14:textFill>
            <w14:solidFill>
              <w14:schemeClr w14:val="tx1"/>
            </w14:solidFill>
          </w14:textFill>
        </w:rPr>
      </w:pPr>
      <w:r>
        <w:rPr>
          <w:rFonts w:hint="eastAsia" w:ascii="宋体" w:hAnsi="Times New Roman"/>
          <w:color w:val="000000" w:themeColor="text1"/>
          <w:kern w:val="0"/>
          <w14:textFill>
            <w14:solidFill>
              <w14:schemeClr w14:val="tx1"/>
            </w14:solidFill>
          </w14:textFill>
        </w:rPr>
        <w:t>针对输电线路塔基区、塔基施工场地、施工道路区、牵张场、房屋拆建区、施工生产生活区等防治区明确水土保持监理实施细则。</w:t>
      </w:r>
    </w:p>
    <w:p w14:paraId="291F16DE">
      <w:pPr>
        <w:autoSpaceDE w:val="0"/>
        <w:autoSpaceDN w:val="0"/>
        <w:ind w:firstLine="420" w:firstLineChars="200"/>
        <w:rPr>
          <w:color w:val="000000"/>
        </w:rPr>
      </w:pPr>
      <w:r>
        <w:rPr>
          <w:rFonts w:hint="eastAsia" w:ascii="宋体" w:hAnsi="Times New Roman"/>
          <w:color w:val="000000" w:themeColor="text1"/>
          <w:kern w:val="0"/>
          <w14:textFill>
            <w14:solidFill>
              <w14:schemeClr w14:val="tx1"/>
            </w14:solidFill>
          </w14:textFill>
        </w:rPr>
        <w:t>B.3.9 监理工作计划</w:t>
      </w:r>
      <w:r>
        <w:rPr>
          <w:color w:val="000000"/>
        </w:rPr>
        <w:t>。</w:t>
      </w:r>
    </w:p>
    <w:p w14:paraId="31A2003B">
      <w:pPr>
        <w:autoSpaceDE w:val="0"/>
        <w:autoSpaceDN w:val="0"/>
        <w:ind w:firstLine="420" w:firstLineChars="200"/>
        <w:rPr>
          <w:color w:val="000000"/>
        </w:rPr>
        <w:sectPr>
          <w:pgSz w:w="11906" w:h="16838"/>
          <w:pgMar w:top="567" w:right="1134" w:bottom="1134" w:left="1418" w:header="1418" w:footer="1134" w:gutter="0"/>
          <w:cols w:space="720" w:num="1"/>
          <w:formProt w:val="0"/>
          <w:docGrid w:type="lines" w:linePitch="312" w:charSpace="0"/>
        </w:sectPr>
      </w:pPr>
      <w:r>
        <w:rPr>
          <w:rFonts w:hint="eastAsia"/>
          <w:color w:val="000000"/>
        </w:rPr>
        <w:t>介绍水土保持监理计划。</w:t>
      </w:r>
    </w:p>
    <w:p w14:paraId="3FE38C78">
      <w:pPr>
        <w:pStyle w:val="7"/>
        <w:widowControl/>
        <w:autoSpaceDE w:val="0"/>
        <w:autoSpaceDN w:val="0"/>
        <w:adjustRightInd w:val="0"/>
        <w:snapToGrid w:val="0"/>
        <w:spacing w:before="0" w:beforeAutospacing="0" w:after="0" w:afterAutospacing="0"/>
        <w:ind w:firstLine="420" w:firstLineChars="200"/>
        <w:jc w:val="center"/>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B.4 水土保持监理工作总结报告内容</w:t>
      </w:r>
    </w:p>
    <w:p w14:paraId="0EEE999E">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 xml:space="preserve">B.4.1 </w:t>
      </w:r>
      <w:r>
        <w:rPr>
          <w:rFonts w:hint="eastAsia" w:ascii="宋体" w:hAnsi="Times New Roman"/>
          <w:color w:val="000000"/>
          <w:sz w:val="21"/>
        </w:rPr>
        <w:t>工程概况</w:t>
      </w:r>
    </w:p>
    <w:p w14:paraId="5A53D05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介绍工程地理位置、工程特性、工程占地及土石方情况、工程建设情况等。</w:t>
      </w:r>
    </w:p>
    <w:p w14:paraId="4D9D4178">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2 工程水土保持监理依据</w:t>
      </w:r>
    </w:p>
    <w:p w14:paraId="7583F351">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介绍工程监理依据。</w:t>
      </w:r>
    </w:p>
    <w:p w14:paraId="685A6DE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3 工程水土保持监理范围和内容</w:t>
      </w:r>
    </w:p>
    <w:p w14:paraId="4E61CBD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介绍工程监理内容及方式、监理时段及工作范围、监理机构及人员组成、监理工作程序及水土保持项目划分。</w:t>
      </w:r>
    </w:p>
    <w:p w14:paraId="1C90182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4 工程水土保持监理工作开展情况</w:t>
      </w:r>
    </w:p>
    <w:p w14:paraId="37E04B9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根据工程水土保持方案提出的工程措施、植物措施及临时措施，结合监理情况，分别针对</w:t>
      </w:r>
      <w:r>
        <w:rPr>
          <w:rFonts w:hint="eastAsia" w:ascii="宋体" w:hAnsi="Times New Roman"/>
          <w:color w:val="000000" w:themeColor="text1"/>
          <w:sz w:val="21"/>
          <w14:textFill>
            <w14:solidFill>
              <w14:schemeClr w14:val="tx1"/>
            </w14:solidFill>
          </w14:textFill>
        </w:rPr>
        <w:t>变电（换流）站</w:t>
      </w:r>
      <w:r>
        <w:rPr>
          <w:rFonts w:hint="eastAsia" w:ascii="宋体" w:hAnsi="Times New Roman"/>
          <w:color w:val="000000"/>
          <w:sz w:val="21"/>
        </w:rPr>
        <w:t>、输电线路工程施工各阶段，介绍施工期措施落实情况、完成量及投资，并附相关措施图片:对水土保持各防治分区水土保持工程措施、植物措施及临时措施实际完成量与水保方案要求量对比分析，说明变化原因。</w:t>
      </w:r>
    </w:p>
    <w:p w14:paraId="2FC05CD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5 工程水土保持监理成果</w:t>
      </w:r>
    </w:p>
    <w:p w14:paraId="03B4AA6A">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质量控制监理工作成效</w:t>
      </w:r>
    </w:p>
    <w:p w14:paraId="78C347B8">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施工准备期、施工期及竣工验收期分别采取的水土保持工程质量控制措施:水土保持工程项目划分情况:主要的水土保持工程质量评定工作开展情况及质量评定结果，附评定表及签证:水土保持工程监理初检组织情况、初检工作开展情况、监理初检结论及成果，附监理初检报告:水土保持工程竣工验收情况，明确水土保持工程竣工验收结论。</w:t>
      </w:r>
    </w:p>
    <w:p w14:paraId="26FE10E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进度控制监理工作成效</w:t>
      </w:r>
    </w:p>
    <w:p w14:paraId="0E61733D">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介绍施工阶段采取的水土保持工程进度控制措施:对比工程建设进度，介绍水土保持措施落实进展，说明水土保持“三同时”落实情况:以图表形式描述工程进度目标完成情况。</w:t>
      </w:r>
    </w:p>
    <w:p w14:paraId="04FFA17F">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投资控制监理工作成效投资控制监理工作成效</w:t>
      </w:r>
    </w:p>
    <w:p w14:paraId="49E09295">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介绍工程水土保持投资控制采取的措施及工程水土保持投资目标完成情况,并与水土保持方案估算投资进行对比，说明投资变化主要原因。</w:t>
      </w:r>
    </w:p>
    <w:p w14:paraId="7121433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 xml:space="preserve">6 </w:t>
      </w:r>
      <w:r>
        <w:rPr>
          <w:rFonts w:ascii="宋体" w:hAnsi="Times New Roman"/>
          <w:color w:val="000000" w:themeColor="text1"/>
          <w:sz w:val="21"/>
          <w14:textFill>
            <w14:solidFill>
              <w14:schemeClr w14:val="tx1"/>
            </w14:solidFill>
          </w14:textFill>
        </w:rPr>
        <w:t>存在的问题及建议</w:t>
      </w:r>
    </w:p>
    <w:p w14:paraId="72E1FAFE">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r>
        <w:rPr>
          <w:rFonts w:hint="eastAsia" w:ascii="宋体" w:hAnsi="Times New Roman"/>
          <w:color w:val="000000" w:themeColor="text1"/>
          <w:sz w:val="21"/>
          <w14:textFill>
            <w14:solidFill>
              <w14:schemeClr w14:val="tx1"/>
            </w14:solidFill>
          </w14:textFill>
        </w:rPr>
        <w:t>介绍工程存在的遗留问题，提出下一步工作建议。</w:t>
      </w:r>
    </w:p>
    <w:p w14:paraId="5673F29D">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7 水土保持工作大事记</w:t>
      </w:r>
    </w:p>
    <w:p w14:paraId="018FDC27">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sz w:val="21"/>
        </w:rPr>
        <w:t>包括项目开、竣工时间节点:重要的水土保持会议:水土流失事件及处置情况:水土保持纠纷处理:水土保持监督检查:重要的水土保持宣传活动等。</w:t>
      </w:r>
    </w:p>
    <w:p w14:paraId="07341BBC">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hint="eastAsia" w:ascii="宋体" w:hAnsi="Times New Roman"/>
          <w:color w:val="000000" w:themeColor="text1"/>
          <w:sz w:val="21"/>
          <w14:textFill>
            <w14:solidFill>
              <w14:schemeClr w14:val="tx1"/>
            </w14:solidFill>
          </w14:textFill>
        </w:rPr>
        <w:t>B.4.</w:t>
      </w:r>
      <w:r>
        <w:rPr>
          <w:rFonts w:hint="eastAsia" w:ascii="宋体" w:hAnsi="Times New Roman"/>
          <w:color w:val="000000"/>
          <w:sz w:val="21"/>
        </w:rPr>
        <w:t>8 图表及影像资料</w:t>
      </w:r>
    </w:p>
    <w:p w14:paraId="3D310A50">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sz w:val="21"/>
        </w:rPr>
      </w:pPr>
      <w:r>
        <w:rPr>
          <w:rFonts w:ascii="宋体" w:hAnsi="Times New Roman"/>
          <w:color w:val="000000"/>
          <w:sz w:val="21"/>
        </w:rPr>
        <w:t>包含项目地理位置及线路走向图、监理工作开展情况相关图片、现场监督检查图片，工程水土保持工程措施、植物措施及临时防护措施图片、影像等。</w:t>
      </w:r>
    </w:p>
    <w:p w14:paraId="01F345F9">
      <w:pPr>
        <w:autoSpaceDE w:val="0"/>
        <w:autoSpaceDN w:val="0"/>
        <w:ind w:firstLine="420" w:firstLineChars="200"/>
        <w:rPr>
          <w:rFonts w:ascii="宋体" w:hAnsi="Times New Roman"/>
          <w:color w:val="000000" w:themeColor="text1"/>
          <w:kern w:val="0"/>
          <w14:textFill>
            <w14:solidFill>
              <w14:schemeClr w14:val="tx1"/>
            </w14:solidFill>
          </w14:textFill>
        </w:rPr>
      </w:pPr>
    </w:p>
    <w:p w14:paraId="4E6A8A41">
      <w:pPr>
        <w:sectPr>
          <w:pgSz w:w="11906" w:h="16838"/>
          <w:pgMar w:top="567" w:right="1134" w:bottom="1134" w:left="1418" w:header="1418" w:footer="1134" w:gutter="0"/>
          <w:cols w:space="720" w:num="1"/>
          <w:formProt w:val="0"/>
          <w:docGrid w:type="lines" w:linePitch="312" w:charSpace="0"/>
        </w:sectPr>
      </w:pPr>
    </w:p>
    <w:p w14:paraId="10A2EDEB">
      <w:pPr>
        <w:pStyle w:val="18"/>
        <w:numPr>
          <w:ilvl w:val="0"/>
          <w:numId w:val="0"/>
        </w:numPr>
        <w:rPr>
          <w:color w:val="000000" w:themeColor="text1"/>
          <w14:textFill>
            <w14:solidFill>
              <w14:schemeClr w14:val="tx1"/>
            </w14:solidFill>
          </w14:textFill>
        </w:rPr>
      </w:pPr>
      <w:bookmarkStart w:id="42" w:name="_Toc21456"/>
      <w:r>
        <w:rPr>
          <w:rFonts w:hint="eastAsia"/>
          <w:color w:val="000000" w:themeColor="text1"/>
          <w14:textFill>
            <w14:solidFill>
              <w14:schemeClr w14:val="tx1"/>
            </w14:solidFill>
          </w14:textFill>
        </w:rPr>
        <w:t>附录C环境保护监理主要文件资料清单</w:t>
      </w:r>
      <w:bookmarkEnd w:id="42"/>
    </w:p>
    <w:p w14:paraId="2B3DDB24">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sz w:val="21"/>
          <w:szCs w:val="21"/>
        </w:rPr>
      </w:pPr>
      <w:r>
        <w:rPr>
          <w:rFonts w:hint="eastAsia" w:ascii="宋体" w:hAnsi="宋体" w:cs="宋体"/>
          <w:sz w:val="21"/>
          <w:szCs w:val="21"/>
        </w:rPr>
        <w:t>C.1.1 项目及工程前期</w:t>
      </w:r>
    </w:p>
    <w:p w14:paraId="7ADAF092">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1.审批文件</w:t>
      </w:r>
    </w:p>
    <w:p w14:paraId="5993571E">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环境影响评价报告及批复文件、环境影响评价变更报告及批复文件（如有）、环境保护“三同时”备案材料。</w:t>
      </w:r>
    </w:p>
    <w:p w14:paraId="0938AB5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2.设计文件</w:t>
      </w:r>
    </w:p>
    <w:p w14:paraId="5A63D6D8">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可行性研究报告及批复、初步设计报告及批复文件。</w:t>
      </w:r>
    </w:p>
    <w:p w14:paraId="3B88BB03">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sz w:val="21"/>
          <w:szCs w:val="21"/>
        </w:rPr>
      </w:pPr>
      <w:r>
        <w:rPr>
          <w:rFonts w:hint="eastAsia" w:ascii="宋体" w:hAnsi="宋体" w:cs="宋体"/>
          <w:sz w:val="21"/>
          <w:szCs w:val="21"/>
        </w:rPr>
        <w:t>C.1.2 施工准备阶段</w:t>
      </w:r>
    </w:p>
    <w:p w14:paraId="5DA83E68">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1.合同文件</w:t>
      </w:r>
    </w:p>
    <w:p w14:paraId="61E92156">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施工合同、环境监理合同及其他技术服务合同。</w:t>
      </w:r>
    </w:p>
    <w:p w14:paraId="7A4A1D7E">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2.施工图设计文件</w:t>
      </w:r>
    </w:p>
    <w:p w14:paraId="1D502A4B">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施工图、图纸会审纪要、设计交底纪要。</w:t>
      </w:r>
    </w:p>
    <w:p w14:paraId="3A34C9E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3.施工文件</w:t>
      </w:r>
    </w:p>
    <w:p w14:paraId="13DC9BDA">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施工组织设计、施工方案；人员、机械、材料等开工报审资料。</w:t>
      </w:r>
    </w:p>
    <w:p w14:paraId="20FD920D">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4.监理文件</w:t>
      </w:r>
    </w:p>
    <w:p w14:paraId="7CDD0D75">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施工图预检记录、环境监理规划及实施细则、人员资格证书。</w:t>
      </w:r>
    </w:p>
    <w:p w14:paraId="3D17673D">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sz w:val="21"/>
          <w:szCs w:val="21"/>
        </w:rPr>
      </w:pPr>
      <w:r>
        <w:rPr>
          <w:rFonts w:hint="eastAsia" w:ascii="宋体" w:hAnsi="宋体" w:cs="宋体"/>
          <w:sz w:val="21"/>
          <w:szCs w:val="21"/>
        </w:rPr>
        <w:t>C.1.3 施工过程</w:t>
      </w:r>
    </w:p>
    <w:p w14:paraId="1D009D86">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1.监理工作文件</w:t>
      </w:r>
    </w:p>
    <w:p w14:paraId="7381EEF6">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环境监理工作报告、监理通知单及回复单、暂停令、复工令。</w:t>
      </w:r>
    </w:p>
    <w:p w14:paraId="46D3B2E8">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2.日常监理记录</w:t>
      </w:r>
    </w:p>
    <w:p w14:paraId="6AA176E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监理检查记录表、环境监理日志、环境监理月报、环保会议纪要、环保培训记录、环保资金使用台账。</w:t>
      </w:r>
    </w:p>
    <w:p w14:paraId="72227E7B">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3.其他重要文件</w:t>
      </w:r>
    </w:p>
    <w:p w14:paraId="01B19850">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扬尘、噪声、废水监测报告、危险废物转移及处置协议等。</w:t>
      </w:r>
    </w:p>
    <w:p w14:paraId="66DE11CD">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4.影像资料</w:t>
      </w:r>
    </w:p>
    <w:p w14:paraId="62B019B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环境保护现场措施实施照片、视频影像（关键工序、验收过程）等。</w:t>
      </w:r>
    </w:p>
    <w:p w14:paraId="736BC867">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sz w:val="21"/>
          <w:szCs w:val="21"/>
        </w:rPr>
      </w:pPr>
      <w:r>
        <w:rPr>
          <w:rFonts w:hint="eastAsia" w:ascii="宋体" w:hAnsi="宋体" w:cs="宋体"/>
          <w:sz w:val="21"/>
          <w:szCs w:val="21"/>
        </w:rPr>
        <w:t>C.1.4 验收阶段文件</w:t>
      </w:r>
    </w:p>
    <w:p w14:paraId="3C86348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1.施工自检文件</w:t>
      </w:r>
    </w:p>
    <w:p w14:paraId="0A86EF8F">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施工验收报告、环保设施调试记录、验收申请表。</w:t>
      </w:r>
    </w:p>
    <w:p w14:paraId="45B5C334">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2.监理预验收文件</w:t>
      </w:r>
    </w:p>
    <w:p w14:paraId="185C16E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环境监理验收报告、验收问题消缺单、环境监理工作总结。</w:t>
      </w:r>
    </w:p>
    <w:p w14:paraId="1E94ECC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sz w:val="21"/>
          <w:szCs w:val="21"/>
        </w:rPr>
        <w:t>3.竣工验收文件</w:t>
      </w:r>
    </w:p>
    <w:p w14:paraId="63E62F64">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sz w:val="21"/>
          <w:szCs w:val="21"/>
        </w:rPr>
      </w:pPr>
      <w:r>
        <w:rPr>
          <w:rFonts w:hint="eastAsia" w:ascii="宋体" w:hAnsi="宋体" w:cs="宋体"/>
          <w:color w:val="000000" w:themeColor="text1"/>
          <w:sz w:val="21"/>
          <w:szCs w:val="21"/>
          <w14:textFill>
            <w14:solidFill>
              <w14:schemeClr w14:val="tx1"/>
            </w14:solidFill>
          </w14:textFill>
        </w:rPr>
        <w:t>验收会议纪要、专家评审意见、验收鉴定书</w:t>
      </w:r>
      <w:r>
        <w:rPr>
          <w:rFonts w:hint="eastAsia" w:ascii="宋体" w:hAnsi="宋体" w:cs="宋体"/>
          <w:sz w:val="21"/>
          <w:szCs w:val="21"/>
        </w:rPr>
        <w:t>、竣工环保验收申请及批复文件，公示材料及备案文件。</w:t>
      </w:r>
    </w:p>
    <w:p w14:paraId="1B90E131">
      <w:pPr>
        <w:rPr>
          <w:rFonts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br w:type="page"/>
      </w:r>
    </w:p>
    <w:p w14:paraId="29753C67">
      <w:pPr>
        <w:pStyle w:val="18"/>
        <w:numPr>
          <w:ilvl w:val="0"/>
          <w:numId w:val="0"/>
        </w:numPr>
        <w:rPr>
          <w:color w:val="000000" w:themeColor="text1"/>
          <w14:textFill>
            <w14:solidFill>
              <w14:schemeClr w14:val="tx1"/>
            </w14:solidFill>
          </w14:textFill>
        </w:rPr>
      </w:pPr>
      <w:bookmarkStart w:id="43" w:name="_Toc2132"/>
      <w:r>
        <w:rPr>
          <w:rFonts w:hint="eastAsia"/>
          <w:color w:val="000000" w:themeColor="text1"/>
          <w14:textFill>
            <w14:solidFill>
              <w14:schemeClr w14:val="tx1"/>
            </w14:solidFill>
          </w14:textFill>
        </w:rPr>
        <w:t>附录D水土保持监理主要文件资料清单</w:t>
      </w:r>
      <w:bookmarkEnd w:id="43"/>
    </w:p>
    <w:p w14:paraId="7A20454E">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sz w:val="21"/>
          <w:szCs w:val="21"/>
        </w:rPr>
        <w:t xml:space="preserve">D.1.1 </w:t>
      </w:r>
      <w:r>
        <w:rPr>
          <w:rFonts w:hint="eastAsia" w:ascii="宋体" w:hAnsi="宋体" w:cs="宋体"/>
          <w:color w:val="000000" w:themeColor="text1"/>
          <w:sz w:val="21"/>
          <w:szCs w:val="21"/>
          <w14:textFill>
            <w14:solidFill>
              <w14:schemeClr w14:val="tx1"/>
            </w14:solidFill>
          </w14:textFill>
        </w:rPr>
        <w:t>项目及工程前期</w:t>
      </w:r>
    </w:p>
    <w:p w14:paraId="3142EFE2">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1.审批文件</w:t>
      </w:r>
    </w:p>
    <w:p w14:paraId="533F97D6">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水土保持方案及批复文件、水土保持方案变更报告及批复文件（如有）、水土保持“三同时”备案材料。</w:t>
      </w:r>
    </w:p>
    <w:p w14:paraId="2E016BFB">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2.设计文件</w:t>
      </w:r>
    </w:p>
    <w:p w14:paraId="1D069ED2">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可行性研究报告及批复、初步设计报告及批复文件。</w:t>
      </w:r>
    </w:p>
    <w:p w14:paraId="501FEF83">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sz w:val="21"/>
          <w:szCs w:val="21"/>
        </w:rPr>
        <w:t xml:space="preserve">D.1.2 </w:t>
      </w:r>
      <w:r>
        <w:rPr>
          <w:rFonts w:hint="eastAsia" w:ascii="宋体" w:hAnsi="宋体" w:cs="宋体"/>
          <w:color w:val="000000" w:themeColor="text1"/>
          <w:sz w:val="21"/>
          <w:szCs w:val="21"/>
          <w14:textFill>
            <w14:solidFill>
              <w14:schemeClr w14:val="tx1"/>
            </w14:solidFill>
          </w14:textFill>
        </w:rPr>
        <w:t>施工准备阶段</w:t>
      </w:r>
    </w:p>
    <w:p w14:paraId="072BBFEE">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1.合同文件</w:t>
      </w:r>
    </w:p>
    <w:p w14:paraId="430BE49E">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施工合同、水土保持监理合同及其他技术服务合同。</w:t>
      </w:r>
    </w:p>
    <w:p w14:paraId="14D8757F">
      <w:pPr>
        <w:pStyle w:val="7"/>
        <w:widowControl/>
        <w:numPr>
          <w:ilvl w:val="255"/>
          <w:numId w:val="0"/>
        </w:numPr>
        <w:autoSpaceDE w:val="0"/>
        <w:autoSpaceDN w:val="0"/>
        <w:adjustRightInd w:val="0"/>
        <w:snapToGrid w:val="0"/>
        <w:spacing w:before="0" w:beforeAutospacing="0" w:after="0" w:afterAutospacing="0"/>
        <w:ind w:left="84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2.施工图设计文件</w:t>
      </w:r>
    </w:p>
    <w:p w14:paraId="0934488E">
      <w:pPr>
        <w:pStyle w:val="7"/>
        <w:widowControl/>
        <w:numPr>
          <w:ilvl w:val="255"/>
          <w:numId w:val="0"/>
        </w:numPr>
        <w:autoSpaceDE w:val="0"/>
        <w:autoSpaceDN w:val="0"/>
        <w:adjustRightInd w:val="0"/>
        <w:snapToGrid w:val="0"/>
        <w:spacing w:before="0" w:beforeAutospacing="0" w:after="0" w:afterAutospacing="0"/>
        <w:ind w:left="84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施工图、图纸会审纪要、设计交底纪要。</w:t>
      </w:r>
    </w:p>
    <w:p w14:paraId="11983B16">
      <w:pPr>
        <w:pStyle w:val="7"/>
        <w:widowControl/>
        <w:numPr>
          <w:ilvl w:val="255"/>
          <w:numId w:val="0"/>
        </w:numPr>
        <w:autoSpaceDE w:val="0"/>
        <w:autoSpaceDN w:val="0"/>
        <w:adjustRightInd w:val="0"/>
        <w:snapToGrid w:val="0"/>
        <w:spacing w:before="0" w:beforeAutospacing="0" w:after="0" w:afterAutospacing="0"/>
        <w:ind w:left="84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3.施工文件</w:t>
      </w:r>
    </w:p>
    <w:p w14:paraId="0A8450F0">
      <w:pPr>
        <w:pStyle w:val="7"/>
        <w:widowControl/>
        <w:numPr>
          <w:ilvl w:val="255"/>
          <w:numId w:val="0"/>
        </w:numPr>
        <w:autoSpaceDE w:val="0"/>
        <w:autoSpaceDN w:val="0"/>
        <w:adjustRightInd w:val="0"/>
        <w:snapToGrid w:val="0"/>
        <w:spacing w:before="0" w:beforeAutospacing="0" w:after="0" w:afterAutospacing="0"/>
        <w:ind w:left="84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施工组织设计、施工方案；人员、机械、材料等开工报审资料。</w:t>
      </w:r>
    </w:p>
    <w:p w14:paraId="65AAB541">
      <w:pPr>
        <w:pStyle w:val="7"/>
        <w:widowControl/>
        <w:numPr>
          <w:ilvl w:val="255"/>
          <w:numId w:val="0"/>
        </w:numPr>
        <w:autoSpaceDE w:val="0"/>
        <w:autoSpaceDN w:val="0"/>
        <w:adjustRightInd w:val="0"/>
        <w:snapToGrid w:val="0"/>
        <w:spacing w:before="0" w:beforeAutospacing="0" w:after="0" w:afterAutospacing="0"/>
        <w:ind w:left="84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4.监理文件</w:t>
      </w:r>
    </w:p>
    <w:p w14:paraId="6C7DE3F6">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施工图预检记录、水土保持监理规划及实施细则、人员资格证书。</w:t>
      </w:r>
    </w:p>
    <w:p w14:paraId="02D435CC">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sz w:val="21"/>
          <w:szCs w:val="21"/>
        </w:rPr>
        <w:t xml:space="preserve">D.1.3 </w:t>
      </w:r>
      <w:r>
        <w:rPr>
          <w:rFonts w:hint="eastAsia" w:ascii="宋体" w:hAnsi="宋体" w:cs="宋体"/>
          <w:color w:val="000000" w:themeColor="text1"/>
          <w:sz w:val="21"/>
          <w:szCs w:val="21"/>
          <w14:textFill>
            <w14:solidFill>
              <w14:schemeClr w14:val="tx1"/>
            </w14:solidFill>
          </w14:textFill>
        </w:rPr>
        <w:t>施工过程阶段</w:t>
      </w:r>
    </w:p>
    <w:p w14:paraId="7970417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1.监理工作文件</w:t>
      </w:r>
    </w:p>
    <w:p w14:paraId="681BD31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水土保持监理工作报告、监理通知单及回复单、暂停令、复工令。</w:t>
      </w:r>
    </w:p>
    <w:p w14:paraId="0A36D5CD">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2.日常监理记录</w:t>
      </w:r>
    </w:p>
    <w:p w14:paraId="4E5866AC">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监理检查记录表、水土保持监理日志、水土保持监理月报、水土保持会议纪要、水土保持培训记录、水土保持资金使用台账。</w:t>
      </w:r>
    </w:p>
    <w:p w14:paraId="37EA5373">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3.其他重要文件</w:t>
      </w:r>
    </w:p>
    <w:p w14:paraId="7F857ABA">
      <w:pPr>
        <w:pStyle w:val="7"/>
        <w:widowControl/>
        <w:numPr>
          <w:ilvl w:val="255"/>
          <w:numId w:val="0"/>
        </w:numPr>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取弃土相关协议及记录、水土保持设施质量评定记录、水土保持行政处罚文件等。</w:t>
      </w:r>
    </w:p>
    <w:p w14:paraId="1D213DA8">
      <w:pPr>
        <w:pStyle w:val="7"/>
        <w:widowControl/>
        <w:numPr>
          <w:ilvl w:val="255"/>
          <w:numId w:val="0"/>
        </w:numPr>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4.影像资料</w:t>
      </w:r>
    </w:p>
    <w:p w14:paraId="2EF6245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水土保持现场措施实施照片、视频影像（关键工序、验收过程）等。</w:t>
      </w:r>
    </w:p>
    <w:p w14:paraId="3067824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sz w:val="21"/>
          <w:szCs w:val="21"/>
        </w:rPr>
        <w:t xml:space="preserve">D.1.4 </w:t>
      </w:r>
      <w:r>
        <w:rPr>
          <w:rFonts w:hint="eastAsia" w:ascii="宋体" w:hAnsi="宋体" w:cs="宋体"/>
          <w:color w:val="000000" w:themeColor="text1"/>
          <w:sz w:val="21"/>
          <w:szCs w:val="21"/>
          <w14:textFill>
            <w14:solidFill>
              <w14:schemeClr w14:val="tx1"/>
            </w14:solidFill>
          </w14:textFill>
        </w:rPr>
        <w:t>验收阶段</w:t>
      </w:r>
    </w:p>
    <w:p w14:paraId="711DE268">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1.施工自检文件</w:t>
      </w:r>
    </w:p>
    <w:p w14:paraId="018F388A">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施工验收报告、水土保持设施调试记录、验收申请表。</w:t>
      </w:r>
    </w:p>
    <w:p w14:paraId="767EBE21">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2.监理预验收文件</w:t>
      </w:r>
    </w:p>
    <w:p w14:paraId="5A24E065">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水土保持监理验收报告、验收问题消缺单、水土保持监理工作总结。</w:t>
      </w:r>
    </w:p>
    <w:p w14:paraId="70C07F89">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3.竣工验收文件</w:t>
      </w:r>
    </w:p>
    <w:p w14:paraId="75BAF165">
      <w:pPr>
        <w:pStyle w:val="7"/>
        <w:widowControl/>
        <w:autoSpaceDE w:val="0"/>
        <w:autoSpaceDN w:val="0"/>
        <w:adjustRightInd w:val="0"/>
        <w:snapToGrid w:val="0"/>
        <w:spacing w:before="0" w:beforeAutospacing="0" w:after="0" w:afterAutospacing="0"/>
        <w:ind w:firstLine="840" w:firstLineChars="400"/>
        <w:jc w:val="both"/>
        <w:textAlignment w:val="baseline"/>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验收会议纪要、专家评审意见、验收鉴定书、竣工水土保持验收申请及批复文件，公示材料及备案文件。</w:t>
      </w:r>
    </w:p>
    <w:p w14:paraId="3EE46226">
      <w:pPr>
        <w:pStyle w:val="7"/>
        <w:widowControl/>
        <w:autoSpaceDE w:val="0"/>
        <w:autoSpaceDN w:val="0"/>
        <w:adjustRightInd w:val="0"/>
        <w:snapToGrid w:val="0"/>
        <w:spacing w:before="0" w:beforeAutospacing="0" w:after="0" w:afterAutospacing="0"/>
        <w:ind w:firstLine="420" w:firstLineChars="200"/>
        <w:jc w:val="both"/>
        <w:textAlignment w:val="baseline"/>
        <w:rPr>
          <w:rFonts w:ascii="宋体" w:hAnsi="Times New Roman"/>
          <w:color w:val="000000" w:themeColor="text1"/>
          <w:sz w:val="21"/>
          <w14:textFill>
            <w14:solidFill>
              <w14:schemeClr w14:val="tx1"/>
            </w14:solidFill>
          </w14:textFill>
        </w:rPr>
      </w:pPr>
    </w:p>
    <w:p w14:paraId="21027F52"/>
    <w:sectPr>
      <w:pgSz w:w="11906" w:h="16838"/>
      <w:pgMar w:top="567" w:right="1134" w:bottom="1134" w:left="1418" w:header="1418" w:footer="1134"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1E3BA">
    <w:pPr>
      <w:pStyle w:val="22"/>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70650">
                          <w:pPr>
                            <w:pStyle w:val="2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8270650">
                    <w:pPr>
                      <w:pStyle w:val="2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6108A">
    <w:pPr>
      <w:pStyle w:val="4"/>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58C7D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758C7D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71154">
    <w:pPr>
      <w:pStyle w:val="22"/>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FC1C7">
                          <w:pPr>
                            <w:pStyle w:val="2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E2FC1C7">
                    <w:pPr>
                      <w:pStyle w:val="2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D9E77">
    <w:pPr>
      <w:pStyle w:val="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E5BEE">
                          <w:pPr>
                            <w:pStyle w:val="4"/>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96E5BEE">
                    <w:pPr>
                      <w:pStyle w:val="4"/>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A5D5E">
    <w:pPr>
      <w:pStyle w:val="22"/>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76180E">
                          <w:pPr>
                            <w:pStyle w:val="2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476180E">
                    <w:pPr>
                      <w:pStyle w:val="2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A7D8">
    <w:pPr>
      <w:pStyle w:val="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65786">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68465786">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FC727">
    <w:pPr>
      <w:pStyle w:val="21"/>
      <w:tabs>
        <w:tab w:val="center" w:pos="4153"/>
        <w:tab w:val="clear" w:pos="4154"/>
        <w:tab w:val="clear" w:pos="8306"/>
      </w:tabs>
      <w:jc w:val="left"/>
    </w:pPr>
    <w:r>
      <w:rPr>
        <w:rFonts w:hint="eastAsia"/>
      </w:rPr>
      <w:t>T</w:t>
    </w:r>
    <w:r>
      <w:t>/</w:t>
    </w:r>
    <w:r>
      <w:rPr>
        <w:rFonts w:hint="eastAsia"/>
      </w:rPr>
      <w:t>CEC xxxxx</w:t>
    </w:r>
    <w:r>
      <w:t>—</w:t>
    </w:r>
    <w:r>
      <w:rPr>
        <w:rFonts w:hint="eastAsia"/>
      </w:rPr>
      <w:t>20</w:t>
    </w:r>
    <w:r>
      <w:t>2</w:t>
    </w:r>
    <w:r>
      <w:rPr>
        <w:rFonts w:hint="eastAsia"/>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CCCD">
    <w:pPr>
      <w:pStyle w:val="21"/>
    </w:pPr>
    <w:r>
      <w:rPr>
        <w:rFonts w:hint="eastAsia"/>
      </w:rPr>
      <w:t>T</w:t>
    </w:r>
    <w:r>
      <w:t>/</w:t>
    </w:r>
    <w:r>
      <w:rPr>
        <w:rFonts w:hint="eastAsia"/>
      </w:rPr>
      <w:t xml:space="preserve">CEPCA </w:t>
    </w:r>
    <w:r>
      <w:t>XXXXX—20</w:t>
    </w:r>
    <w:r>
      <w:rPr>
        <w:rFonts w:hint="eastAsia"/>
      </w:rP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31CEE"/>
    <w:rsid w:val="7D531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Plain Text"/>
    <w:basedOn w:val="1"/>
    <w:qFormat/>
    <w:uiPriority w:val="0"/>
    <w:pPr>
      <w:tabs>
        <w:tab w:val="left" w:pos="-945"/>
      </w:tabs>
    </w:pPr>
    <w:rPr>
      <w:rFonts w:ascii="宋体" w:hAnsi="Courier New"/>
    </w:rPr>
  </w:style>
  <w:style w:type="paragraph" w:styleId="4">
    <w:name w:val="footer"/>
    <w:basedOn w:val="1"/>
    <w:qFormat/>
    <w:uiPriority w:val="0"/>
    <w:pPr>
      <w:snapToGrid w:val="0"/>
      <w:ind w:right="210" w:rightChars="100"/>
      <w:jc w:val="right"/>
    </w:pPr>
    <w:rPr>
      <w:sz w:val="18"/>
      <w:szCs w:val="18"/>
    </w:rPr>
  </w:style>
  <w:style w:type="paragraph" w:styleId="5">
    <w:name w:val="toc 1"/>
    <w:basedOn w:val="1"/>
    <w:next w:val="1"/>
    <w:qFormat/>
    <w:uiPriority w:val="39"/>
  </w:style>
  <w:style w:type="paragraph" w:styleId="6">
    <w:name w:val="toc 2"/>
    <w:basedOn w:val="1"/>
    <w:next w:val="1"/>
    <w:qFormat/>
    <w:uiPriority w:val="39"/>
    <w:pPr>
      <w:jc w:val="center"/>
    </w:pPr>
    <w:rPr>
      <w:rFonts w:ascii="等线" w:hAnsi="等线" w:eastAsia="黑体"/>
      <w:b/>
      <w:bCs/>
      <w:szCs w:val="22"/>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11">
    <w:name w:val="其他发布日期"/>
    <w:basedOn w:val="12"/>
    <w:qFormat/>
    <w:uiPriority w:val="0"/>
    <w:pPr>
      <w:framePr w:wrap="around" w:vAnchor="page" w:hAnchor="text" w:x="1419" w:y="1"/>
    </w:pPr>
  </w:style>
  <w:style w:type="paragraph" w:customStyle="1" w:styleId="12">
    <w:name w:val="发布日期"/>
    <w:qFormat/>
    <w:uiPriority w:val="0"/>
    <w:rPr>
      <w:rFonts w:ascii="黑体" w:hAnsi="黑体" w:eastAsia="黑体" w:cs="Times New Roman"/>
      <w:sz w:val="28"/>
      <w:lang w:val="en-US" w:eastAsia="zh-CN" w:bidi="ar-SA"/>
    </w:rPr>
  </w:style>
  <w:style w:type="paragraph" w:customStyle="1" w:styleId="13">
    <w:name w:val="其他实施日期"/>
    <w:basedOn w:val="14"/>
    <w:qFormat/>
    <w:uiPriority w:val="0"/>
  </w:style>
  <w:style w:type="paragraph" w:customStyle="1" w:styleId="14">
    <w:name w:val="实施日期"/>
    <w:basedOn w:val="12"/>
    <w:qFormat/>
    <w:uiPriority w:val="0"/>
    <w:pPr>
      <w:jc w:val="right"/>
    </w:pPr>
  </w:style>
  <w:style w:type="paragraph" w:customStyle="1" w:styleId="15">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名称"/>
    <w:basedOn w:val="1"/>
    <w:next w:val="1"/>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paragraph" w:customStyle="1" w:styleId="18">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9">
    <w:name w:val="一级条标题"/>
    <w:basedOn w:val="18"/>
    <w:next w:val="1"/>
    <w:qFormat/>
    <w:uiPriority w:val="0"/>
    <w:pPr>
      <w:numPr>
        <w:ilvl w:val="1"/>
      </w:numPr>
      <w:spacing w:before="156" w:beforeLines="50" w:after="156" w:afterLines="50"/>
      <w:outlineLvl w:val="2"/>
    </w:pPr>
    <w:rPr>
      <w:szCs w:val="21"/>
    </w:rPr>
  </w:style>
  <w:style w:type="paragraph" w:customStyle="1" w:styleId="20">
    <w:name w:val="2"/>
    <w:qFormat/>
    <w:uiPriority w:val="0"/>
    <w:pPr>
      <w:spacing w:before="120" w:after="120" w:line="288" w:lineRule="auto"/>
    </w:pPr>
    <w:rPr>
      <w:rFonts w:ascii="Arial" w:hAnsi="Arial" w:eastAsia="等线" w:cs="Arial"/>
      <w:sz w:val="22"/>
      <w:szCs w:val="22"/>
      <w:lang w:val="en-US" w:eastAsia="zh-CN" w:bidi="ar-SA"/>
    </w:rPr>
  </w:style>
  <w:style w:type="paragraph" w:customStyle="1" w:styleId="2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2025-10-30T06:01:00Z</dcterms:created>
  <dc:creator>涛哥</dc:creator>
  <cp:lastModifiedBy>涛哥</cp:lastModifiedBy>
  <dcterms:modified xsi:type="dcterms:W3CDTF">2025-10-30T06:01:54Z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DD60A58F9C11404DA0107F7E85A4E803_11</vt:lpwstr>
  </property>
  <property fmtid="{D5CDD505-2E9C-101B-9397-08002B2CF9AE}" pid="4" name="KSOTemplateDocerSaveRecord">
    <vt:lpwstr>eyJoZGlkIjoiYWNmNjg0MWQ2ZTI1ZDY0MjU4ZWEwNTI3YjI3NTQ3ZmUiLCJ1c2VySWQiOiIxMjEwMTI1MDE1In0=</vt:lpwstr>
  </property>
</Properties>
</file>