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442BCB">
      <w:pPr>
        <w:jc w:val="left"/>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附件4</w:t>
      </w:r>
    </w:p>
    <w:p w14:paraId="36379406">
      <w:pPr>
        <w:jc w:val="center"/>
        <w:rPr>
          <w:rFonts w:hint="eastAsia" w:ascii="方正小标宋_GBK" w:hAnsi="黑体" w:eastAsia="方正小标宋_GBK" w:cs="黑体"/>
          <w:b/>
          <w:bCs/>
          <w:sz w:val="52"/>
          <w:szCs w:val="52"/>
          <w:lang w:val="zh-CN"/>
        </w:rPr>
      </w:pPr>
    </w:p>
    <w:p w14:paraId="769F1D45">
      <w:pPr>
        <w:jc w:val="center"/>
        <w:rPr>
          <w:rFonts w:ascii="方正小标宋_GBK" w:hAnsi="黑体" w:eastAsia="方正小标宋_GBK" w:cs="黑体"/>
          <w:b/>
          <w:bCs/>
          <w:sz w:val="52"/>
          <w:szCs w:val="52"/>
          <w:lang w:val="zh-CN"/>
        </w:rPr>
      </w:pPr>
      <w:r>
        <w:rPr>
          <w:rFonts w:hint="eastAsia" w:ascii="方正小标宋_GBK" w:hAnsi="黑体" w:eastAsia="方正小标宋_GBK" w:cs="黑体"/>
          <w:b/>
          <w:bCs/>
          <w:sz w:val="52"/>
          <w:szCs w:val="52"/>
          <w:lang w:val="zh-CN"/>
        </w:rPr>
        <w:t>《</w:t>
      </w:r>
      <w:r>
        <w:rPr>
          <w:rFonts w:hint="eastAsia" w:ascii="方正小标宋_GBK" w:hAnsi="黑体" w:eastAsia="方正小标宋_GBK" w:cs="黑体"/>
          <w:b/>
          <w:bCs/>
          <w:sz w:val="52"/>
          <w:szCs w:val="52"/>
          <w:lang w:val="en-US" w:eastAsia="zh-CN"/>
        </w:rPr>
        <w:t>输变电工程环保水保监理导则</w:t>
      </w:r>
      <w:r>
        <w:rPr>
          <w:rFonts w:hint="eastAsia" w:ascii="方正小标宋_GBK" w:hAnsi="黑体" w:eastAsia="方正小标宋_GBK" w:cs="黑体"/>
          <w:b/>
          <w:bCs/>
          <w:sz w:val="52"/>
          <w:szCs w:val="52"/>
          <w:lang w:val="zh-CN"/>
        </w:rPr>
        <w:t>》</w:t>
      </w:r>
    </w:p>
    <w:p w14:paraId="3BD412C8">
      <w:pPr>
        <w:autoSpaceDE w:val="0"/>
        <w:autoSpaceDN w:val="0"/>
        <w:adjustRightInd w:val="0"/>
        <w:spacing w:line="360" w:lineRule="auto"/>
        <w:jc w:val="center"/>
        <w:rPr>
          <w:rFonts w:ascii="方正小标宋_GBK" w:hAnsi="黑体" w:eastAsia="方正小标宋_GBK" w:cs="黑体"/>
          <w:b/>
          <w:bCs/>
          <w:sz w:val="44"/>
          <w:szCs w:val="44"/>
          <w:lang w:val="zh-CN"/>
        </w:rPr>
      </w:pPr>
    </w:p>
    <w:p w14:paraId="4A0FD22E">
      <w:pPr>
        <w:autoSpaceDE w:val="0"/>
        <w:autoSpaceDN w:val="0"/>
        <w:adjustRightInd w:val="0"/>
        <w:spacing w:line="360" w:lineRule="auto"/>
        <w:jc w:val="center"/>
        <w:rPr>
          <w:rFonts w:ascii="方正小标宋_GBK" w:hAnsi="黑体" w:eastAsia="方正小标宋_GBK" w:cs="黑体"/>
          <w:b/>
          <w:bCs/>
          <w:sz w:val="52"/>
          <w:szCs w:val="52"/>
          <w:lang w:val="zh-CN"/>
        </w:rPr>
      </w:pPr>
      <w:bookmarkStart w:id="0" w:name="_Toc30323"/>
      <w:r>
        <w:rPr>
          <w:rFonts w:hint="eastAsia" w:ascii="方正小标宋_GBK" w:hAnsi="黑体" w:eastAsia="方正小标宋_GBK" w:cs="黑体"/>
          <w:b/>
          <w:bCs/>
          <w:sz w:val="52"/>
          <w:szCs w:val="52"/>
          <w:lang w:val="zh-CN"/>
        </w:rPr>
        <w:t>标准</w:t>
      </w:r>
      <w:bookmarkEnd w:id="0"/>
      <w:r>
        <w:rPr>
          <w:rFonts w:hint="eastAsia" w:ascii="方正小标宋_GBK" w:hAnsi="黑体" w:eastAsia="方正小标宋_GBK" w:cs="黑体"/>
          <w:b/>
          <w:bCs/>
          <w:sz w:val="52"/>
          <w:szCs w:val="52"/>
          <w:lang w:val="zh-CN"/>
        </w:rPr>
        <w:t>编制说明</w:t>
      </w:r>
    </w:p>
    <w:p w14:paraId="31DA64C7">
      <w:pPr>
        <w:pStyle w:val="4"/>
        <w:rPr>
          <w:lang w:val="zh-CN"/>
        </w:rPr>
      </w:pPr>
    </w:p>
    <w:p w14:paraId="3564F9DD">
      <w:pPr>
        <w:rPr>
          <w:lang w:val="zh-CN"/>
        </w:rPr>
      </w:pPr>
    </w:p>
    <w:p w14:paraId="7EB243CF">
      <w:pPr>
        <w:pStyle w:val="4"/>
        <w:rPr>
          <w:lang w:val="zh-CN"/>
        </w:rPr>
      </w:pPr>
    </w:p>
    <w:p w14:paraId="781B0875">
      <w:pPr>
        <w:rPr>
          <w:lang w:val="zh-CN"/>
        </w:rPr>
      </w:pPr>
    </w:p>
    <w:p w14:paraId="2F9E9216">
      <w:pPr>
        <w:pStyle w:val="4"/>
        <w:rPr>
          <w:lang w:val="zh-CN"/>
        </w:rPr>
      </w:pPr>
    </w:p>
    <w:p w14:paraId="33BB3951">
      <w:pPr>
        <w:rPr>
          <w:lang w:val="zh-CN"/>
        </w:rPr>
      </w:pPr>
    </w:p>
    <w:p w14:paraId="45AE79A9">
      <w:pPr>
        <w:pStyle w:val="4"/>
        <w:rPr>
          <w:lang w:val="zh-CN"/>
        </w:rPr>
      </w:pPr>
    </w:p>
    <w:p w14:paraId="203C37B4">
      <w:pPr>
        <w:rPr>
          <w:lang w:val="zh-CN"/>
        </w:rPr>
      </w:pPr>
    </w:p>
    <w:p w14:paraId="61F89F76">
      <w:pPr>
        <w:pStyle w:val="4"/>
        <w:rPr>
          <w:lang w:val="zh-CN"/>
        </w:rPr>
      </w:pPr>
    </w:p>
    <w:p w14:paraId="5C896436">
      <w:pPr>
        <w:rPr>
          <w:sz w:val="22"/>
          <w:szCs w:val="24"/>
          <w:lang w:val="zh-CN"/>
        </w:rPr>
      </w:pPr>
    </w:p>
    <w:p w14:paraId="38560AAF">
      <w:pPr>
        <w:pStyle w:val="8"/>
        <w:spacing w:before="0" w:beforeAutospacing="0" w:after="0" w:afterAutospacing="0"/>
        <w:jc w:val="center"/>
        <w:textAlignment w:val="baseline"/>
        <w:rPr>
          <w:rFonts w:ascii="方正黑体_GBK" w:hAnsi="Times New Roman" w:eastAsia="方正黑体_GBK" w:cs="Times New Roman"/>
          <w:sz w:val="36"/>
          <w:szCs w:val="36"/>
          <w:lang w:val="zh-CN"/>
        </w:rPr>
      </w:pPr>
    </w:p>
    <w:p w14:paraId="1A385006">
      <w:pPr>
        <w:pStyle w:val="8"/>
        <w:spacing w:before="0" w:beforeAutospacing="0" w:after="0" w:afterAutospacing="0"/>
        <w:jc w:val="center"/>
        <w:textAlignment w:val="baseline"/>
        <w:rPr>
          <w:rFonts w:ascii="方正黑体_GBK" w:hAnsi="Times New Roman" w:eastAsia="方正黑体_GBK" w:cs="Times New Roman"/>
          <w:sz w:val="36"/>
          <w:szCs w:val="36"/>
          <w:lang w:val="zh-CN"/>
        </w:rPr>
      </w:pPr>
      <w:r>
        <w:rPr>
          <w:rFonts w:hint="eastAsia" w:ascii="方正黑体_GBK" w:hAnsi="Times New Roman" w:eastAsia="方正黑体_GBK" w:cs="Times New Roman"/>
          <w:sz w:val="36"/>
          <w:szCs w:val="36"/>
          <w:lang w:val="zh-CN"/>
        </w:rPr>
        <w:t>20</w:t>
      </w:r>
      <w:r>
        <w:rPr>
          <w:rFonts w:hint="eastAsia" w:ascii="方正黑体_GBK" w:hAnsi="Times New Roman" w:eastAsia="方正黑体_GBK" w:cs="Times New Roman"/>
          <w:sz w:val="36"/>
          <w:szCs w:val="36"/>
        </w:rPr>
        <w:t>2</w:t>
      </w:r>
      <w:r>
        <w:rPr>
          <w:rFonts w:hint="eastAsia" w:ascii="方正黑体_GBK" w:hAnsi="Times New Roman" w:eastAsia="方正黑体_GBK" w:cs="Times New Roman"/>
          <w:sz w:val="36"/>
          <w:szCs w:val="36"/>
          <w:lang w:val="en-US" w:eastAsia="zh-CN"/>
        </w:rPr>
        <w:t>5</w:t>
      </w:r>
      <w:r>
        <w:rPr>
          <w:rFonts w:hint="eastAsia" w:ascii="方正黑体_GBK" w:hAnsi="Times New Roman" w:eastAsia="方正黑体_GBK"/>
          <w:sz w:val="36"/>
          <w:szCs w:val="36"/>
          <w:lang w:val="zh-CN"/>
        </w:rPr>
        <w:t>年</w:t>
      </w:r>
      <w:r>
        <w:rPr>
          <w:rFonts w:hint="eastAsia" w:ascii="方正黑体_GBK" w:hAnsi="Times New Roman" w:eastAsia="方正黑体_GBK" w:cs="Times New Roman"/>
          <w:sz w:val="36"/>
          <w:szCs w:val="36"/>
          <w:lang w:val="en-US" w:eastAsia="zh-CN"/>
        </w:rPr>
        <w:t>10</w:t>
      </w:r>
      <w:r>
        <w:rPr>
          <w:rFonts w:hint="eastAsia" w:ascii="方正黑体_GBK" w:hAnsi="Times New Roman" w:eastAsia="方正黑体_GBK"/>
          <w:sz w:val="36"/>
          <w:szCs w:val="36"/>
          <w:lang w:val="zh-CN"/>
        </w:rPr>
        <w:t>月</w:t>
      </w:r>
    </w:p>
    <w:p w14:paraId="027F66C6">
      <w:pPr>
        <w:pStyle w:val="4"/>
        <w:rPr>
          <w:lang w:val="zh-CN"/>
        </w:rPr>
        <w:sectPr>
          <w:footerReference r:id="rId3" w:type="default"/>
          <w:pgSz w:w="11906" w:h="16838"/>
          <w:pgMar w:top="1440" w:right="1800" w:bottom="1440" w:left="1800" w:header="851" w:footer="992" w:gutter="0"/>
          <w:cols w:space="425" w:num="1"/>
          <w:docGrid w:type="lines" w:linePitch="312" w:charSpace="0"/>
        </w:sectPr>
      </w:pPr>
    </w:p>
    <w:sdt>
      <w:sdtPr>
        <w:rPr>
          <w:rFonts w:ascii="Calibri" w:hAnsi="Calibri" w:eastAsia="宋体" w:cs="Times New Roman"/>
          <w:color w:val="auto"/>
          <w:kern w:val="2"/>
          <w:sz w:val="21"/>
          <w:szCs w:val="22"/>
          <w:lang w:val="zh-CN"/>
        </w:rPr>
        <w:id w:val="-1962715068"/>
        <w:docPartObj>
          <w:docPartGallery w:val="Table of Contents"/>
          <w:docPartUnique/>
        </w:docPartObj>
      </w:sdtPr>
      <w:sdtEndPr>
        <w:rPr>
          <w:rFonts w:ascii="Calibri" w:hAnsi="Calibri" w:eastAsia="宋体" w:cs="Times New Roman"/>
          <w:b/>
          <w:bCs/>
          <w:color w:val="auto"/>
          <w:kern w:val="2"/>
          <w:sz w:val="21"/>
          <w:szCs w:val="22"/>
          <w:lang w:val="zh-CN"/>
        </w:rPr>
      </w:sdtEndPr>
      <w:sdtContent>
        <w:p w14:paraId="5D0E6CE3">
          <w:pPr>
            <w:pStyle w:val="12"/>
            <w:jc w:val="center"/>
            <w:rPr>
              <w:rFonts w:ascii="方正小标宋_GBK" w:eastAsia="方正小标宋_GBK"/>
              <w:color w:val="000000" w:themeColor="text1"/>
              <w14:textFill>
                <w14:solidFill>
                  <w14:schemeClr w14:val="tx1"/>
                </w14:solidFill>
              </w14:textFill>
            </w:rPr>
          </w:pPr>
          <w:r>
            <w:rPr>
              <w:rFonts w:hint="eastAsia" w:ascii="方正小标宋_GBK" w:eastAsia="方正小标宋_GBK"/>
              <w:color w:val="000000" w:themeColor="text1"/>
              <w:lang w:val="zh-CN"/>
              <w14:textFill>
                <w14:solidFill>
                  <w14:schemeClr w14:val="tx1"/>
                </w14:solidFill>
              </w14:textFill>
            </w:rPr>
            <w:t>目录</w:t>
          </w:r>
        </w:p>
        <w:p w14:paraId="435C392D">
          <w:pPr>
            <w:pStyle w:val="6"/>
            <w:tabs>
              <w:tab w:val="left" w:pos="420"/>
            </w:tabs>
            <w:rPr>
              <w:rFonts w:hint="eastAsia" w:ascii="方正仿宋_GBK" w:eastAsia="方正仿宋_GBK" w:hAnsiTheme="minorHAnsi" w:cstheme="minorBidi"/>
              <w:sz w:val="22"/>
              <w14:ligatures w14:val="standardContextual"/>
            </w:rPr>
          </w:pPr>
          <w:r>
            <w:rPr>
              <w:rFonts w:hint="eastAsia" w:ascii="方正仿宋_GBK" w:eastAsia="方正仿宋_GBK"/>
              <w:sz w:val="32"/>
              <w:szCs w:val="40"/>
            </w:rPr>
            <w:fldChar w:fldCharType="begin"/>
          </w:r>
          <w:r>
            <w:rPr>
              <w:rFonts w:hint="eastAsia" w:ascii="方正仿宋_GBK" w:eastAsia="方正仿宋_GBK"/>
              <w:sz w:val="32"/>
              <w:szCs w:val="40"/>
            </w:rPr>
            <w:instrText xml:space="preserve"> TOC \o "1-3" \h \z \u </w:instrText>
          </w:r>
          <w:r>
            <w:rPr>
              <w:rFonts w:hint="eastAsia" w:ascii="方正仿宋_GBK" w:eastAsia="方正仿宋_GBK"/>
              <w:sz w:val="32"/>
              <w:szCs w:val="40"/>
            </w:rPr>
            <w:fldChar w:fldCharType="separate"/>
          </w:r>
          <w:r>
            <w:fldChar w:fldCharType="begin"/>
          </w:r>
          <w:r>
            <w:instrText xml:space="preserve"> HYPERLINK \l "_Toc179902666" </w:instrText>
          </w:r>
          <w:r>
            <w:fldChar w:fldCharType="separate"/>
          </w:r>
          <w:r>
            <w:rPr>
              <w:rStyle w:val="11"/>
              <w:rFonts w:hint="eastAsia" w:ascii="方正仿宋_GBK" w:hAnsi="黑体" w:eastAsia="方正仿宋_GBK"/>
              <w:sz w:val="22"/>
              <w:szCs w:val="28"/>
            </w:rPr>
            <w:t>1</w:t>
          </w:r>
          <w:r>
            <w:rPr>
              <w:rFonts w:hint="eastAsia" w:ascii="方正仿宋_GBK" w:eastAsia="方正仿宋_GBK" w:hAnsiTheme="minorHAnsi" w:cstheme="minorBidi"/>
              <w:sz w:val="22"/>
              <w14:ligatures w14:val="standardContextual"/>
            </w:rPr>
            <w:tab/>
          </w:r>
          <w:r>
            <w:rPr>
              <w:rStyle w:val="11"/>
              <w:rFonts w:hint="eastAsia" w:ascii="方正仿宋_GBK" w:hAnsi="黑体" w:eastAsia="方正仿宋_GBK"/>
              <w:sz w:val="22"/>
              <w:szCs w:val="28"/>
            </w:rPr>
            <w:t>工作简况</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_Toc179902666 \h </w:instrText>
          </w:r>
          <w:r>
            <w:rPr>
              <w:rFonts w:hint="eastAsia" w:ascii="方正仿宋_GBK" w:eastAsia="方正仿宋_GBK"/>
              <w:sz w:val="22"/>
              <w:szCs w:val="28"/>
            </w:rPr>
            <w:fldChar w:fldCharType="separate"/>
          </w:r>
          <w:r>
            <w:rPr>
              <w:rFonts w:hint="eastAsia" w:ascii="方正仿宋_GBK" w:eastAsia="方正仿宋_GBK"/>
              <w:sz w:val="22"/>
              <w:szCs w:val="28"/>
            </w:rPr>
            <w:t>1</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0C6B8094">
          <w:pPr>
            <w:pStyle w:val="7"/>
            <w:tabs>
              <w:tab w:val="left" w:pos="1050"/>
              <w:tab w:val="right" w:leader="dot" w:pos="8296"/>
            </w:tabs>
            <w:rPr>
              <w:rFonts w:hint="eastAsia" w:ascii="方正仿宋_GBK" w:eastAsia="方正仿宋_GBK" w:hAnsiTheme="minorHAnsi" w:cstheme="minorBidi"/>
              <w:sz w:val="22"/>
              <w14:ligatures w14:val="standardContextual"/>
            </w:rPr>
          </w:pPr>
          <w:r>
            <w:fldChar w:fldCharType="begin"/>
          </w:r>
          <w:r>
            <w:instrText xml:space="preserve"> HYPERLINK \l "_Toc179902667" </w:instrText>
          </w:r>
          <w:r>
            <w:fldChar w:fldCharType="separate"/>
          </w:r>
          <w:r>
            <w:rPr>
              <w:rStyle w:val="11"/>
              <w:rFonts w:hint="eastAsia" w:ascii="方正仿宋_GBK" w:hAnsi="楷体_GB2312" w:eastAsia="方正仿宋_GBK" w:cs="宋体"/>
              <w:sz w:val="22"/>
              <w:szCs w:val="28"/>
            </w:rPr>
            <w:t>1.1</w:t>
          </w:r>
          <w:r>
            <w:rPr>
              <w:rFonts w:hint="eastAsia" w:ascii="方正仿宋_GBK" w:eastAsia="方正仿宋_GBK" w:hAnsiTheme="minorHAnsi" w:cstheme="minorBidi"/>
              <w:sz w:val="22"/>
              <w14:ligatures w14:val="standardContextual"/>
            </w:rPr>
            <w:tab/>
          </w:r>
          <w:r>
            <w:rPr>
              <w:rStyle w:val="11"/>
              <w:rFonts w:hint="eastAsia" w:ascii="方正仿宋_GBK" w:hAnsi="楷体_GB2312" w:eastAsia="方正仿宋_GBK" w:cs="宋体"/>
              <w:sz w:val="22"/>
              <w:szCs w:val="28"/>
            </w:rPr>
            <w:t>任务来源</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_Toc179902667 \h </w:instrText>
          </w:r>
          <w:r>
            <w:rPr>
              <w:rFonts w:hint="eastAsia" w:ascii="方正仿宋_GBK" w:eastAsia="方正仿宋_GBK"/>
              <w:sz w:val="22"/>
              <w:szCs w:val="28"/>
            </w:rPr>
            <w:fldChar w:fldCharType="separate"/>
          </w:r>
          <w:r>
            <w:rPr>
              <w:rFonts w:hint="eastAsia" w:ascii="方正仿宋_GBK" w:eastAsia="方正仿宋_GBK"/>
              <w:sz w:val="22"/>
              <w:szCs w:val="28"/>
            </w:rPr>
            <w:t>1</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522FEB68">
          <w:pPr>
            <w:pStyle w:val="7"/>
            <w:tabs>
              <w:tab w:val="left" w:pos="1050"/>
              <w:tab w:val="right" w:leader="dot" w:pos="8296"/>
            </w:tabs>
            <w:rPr>
              <w:rFonts w:hint="eastAsia" w:ascii="方正仿宋_GBK" w:eastAsia="方正仿宋_GBK" w:hAnsiTheme="minorHAnsi" w:cstheme="minorBidi"/>
              <w:sz w:val="22"/>
              <w14:ligatures w14:val="standardContextual"/>
            </w:rPr>
          </w:pPr>
          <w:r>
            <w:fldChar w:fldCharType="begin"/>
          </w:r>
          <w:r>
            <w:instrText xml:space="preserve"> HYPERLINK \l "_Toc179902668" </w:instrText>
          </w:r>
          <w:r>
            <w:fldChar w:fldCharType="separate"/>
          </w:r>
          <w:r>
            <w:rPr>
              <w:rStyle w:val="11"/>
              <w:rFonts w:hint="eastAsia" w:ascii="方正仿宋_GBK" w:hAnsi="楷体_GB2312" w:eastAsia="方正仿宋_GBK" w:cs="宋体"/>
              <w:sz w:val="22"/>
              <w:szCs w:val="28"/>
            </w:rPr>
            <w:t>1.2</w:t>
          </w:r>
          <w:r>
            <w:rPr>
              <w:rFonts w:hint="eastAsia" w:ascii="方正仿宋_GBK" w:eastAsia="方正仿宋_GBK" w:hAnsiTheme="minorHAnsi" w:cstheme="minorBidi"/>
              <w:sz w:val="22"/>
              <w14:ligatures w14:val="standardContextual"/>
            </w:rPr>
            <w:tab/>
          </w:r>
          <w:r>
            <w:rPr>
              <w:rStyle w:val="11"/>
              <w:rFonts w:hint="eastAsia" w:ascii="方正仿宋_GBK" w:hAnsi="楷体_GB2312" w:eastAsia="方正仿宋_GBK" w:cs="宋体"/>
              <w:sz w:val="22"/>
              <w:szCs w:val="28"/>
            </w:rPr>
            <w:t>编制必要性</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_Toc179902668 \h </w:instrText>
          </w:r>
          <w:r>
            <w:rPr>
              <w:rFonts w:hint="eastAsia" w:ascii="方正仿宋_GBK" w:eastAsia="方正仿宋_GBK"/>
              <w:sz w:val="22"/>
              <w:szCs w:val="28"/>
            </w:rPr>
            <w:fldChar w:fldCharType="separate"/>
          </w:r>
          <w:r>
            <w:rPr>
              <w:rFonts w:hint="eastAsia" w:ascii="方正仿宋_GBK" w:eastAsia="方正仿宋_GBK"/>
              <w:sz w:val="22"/>
              <w:szCs w:val="28"/>
            </w:rPr>
            <w:t>1</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6A51C562">
          <w:pPr>
            <w:pStyle w:val="7"/>
            <w:tabs>
              <w:tab w:val="left" w:pos="1050"/>
              <w:tab w:val="right" w:leader="dot" w:pos="8296"/>
            </w:tabs>
            <w:rPr>
              <w:rFonts w:hint="eastAsia" w:ascii="方正仿宋_GBK" w:eastAsia="方正仿宋_GBK" w:hAnsiTheme="minorHAnsi" w:cstheme="minorBidi"/>
              <w:sz w:val="22"/>
              <w14:ligatures w14:val="standardContextual"/>
            </w:rPr>
          </w:pPr>
          <w:r>
            <w:fldChar w:fldCharType="begin"/>
          </w:r>
          <w:r>
            <w:instrText xml:space="preserve"> HYPERLINK \l "_Toc179902669" </w:instrText>
          </w:r>
          <w:r>
            <w:fldChar w:fldCharType="separate"/>
          </w:r>
          <w:r>
            <w:rPr>
              <w:rStyle w:val="11"/>
              <w:rFonts w:hint="eastAsia" w:ascii="方正仿宋_GBK" w:hAnsi="楷体_GB2312" w:eastAsia="方正仿宋_GBK" w:cs="宋体"/>
              <w:sz w:val="22"/>
              <w:szCs w:val="28"/>
            </w:rPr>
            <w:t>1.3</w:t>
          </w:r>
          <w:r>
            <w:rPr>
              <w:rFonts w:hint="eastAsia" w:ascii="方正仿宋_GBK" w:eastAsia="方正仿宋_GBK" w:hAnsiTheme="minorHAnsi" w:cstheme="minorBidi"/>
              <w:sz w:val="22"/>
              <w14:ligatures w14:val="standardContextual"/>
            </w:rPr>
            <w:tab/>
          </w:r>
          <w:r>
            <w:rPr>
              <w:rStyle w:val="11"/>
              <w:rFonts w:hint="eastAsia" w:ascii="方正仿宋_GBK" w:hAnsi="楷体_GB2312" w:eastAsia="方正仿宋_GBK" w:cs="宋体"/>
              <w:sz w:val="22"/>
              <w:szCs w:val="28"/>
            </w:rPr>
            <w:t>编制单位</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_Toc179902669 \h </w:instrText>
          </w:r>
          <w:r>
            <w:rPr>
              <w:rFonts w:hint="eastAsia" w:ascii="方正仿宋_GBK" w:eastAsia="方正仿宋_GBK"/>
              <w:sz w:val="22"/>
              <w:szCs w:val="28"/>
            </w:rPr>
            <w:fldChar w:fldCharType="separate"/>
          </w:r>
          <w:r>
            <w:rPr>
              <w:rFonts w:hint="eastAsia" w:ascii="方正仿宋_GBK" w:eastAsia="方正仿宋_GBK"/>
              <w:sz w:val="22"/>
              <w:szCs w:val="28"/>
            </w:rPr>
            <w:t>2</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72A17D3F">
          <w:pPr>
            <w:pStyle w:val="7"/>
            <w:tabs>
              <w:tab w:val="left" w:pos="1050"/>
              <w:tab w:val="right" w:leader="dot" w:pos="8296"/>
            </w:tabs>
            <w:rPr>
              <w:rFonts w:hint="eastAsia" w:ascii="方正仿宋_GBK" w:eastAsia="方正仿宋_GBK" w:hAnsiTheme="minorHAnsi" w:cstheme="minorBidi"/>
              <w:sz w:val="22"/>
              <w14:ligatures w14:val="standardContextual"/>
            </w:rPr>
          </w:pPr>
          <w:r>
            <w:fldChar w:fldCharType="begin"/>
          </w:r>
          <w:r>
            <w:instrText xml:space="preserve"> HYPERLINK \l "_Toc179902670" </w:instrText>
          </w:r>
          <w:r>
            <w:fldChar w:fldCharType="separate"/>
          </w:r>
          <w:r>
            <w:rPr>
              <w:rStyle w:val="11"/>
              <w:rFonts w:hint="eastAsia" w:ascii="方正仿宋_GBK" w:hAnsi="楷体_GB2312" w:eastAsia="方正仿宋_GBK" w:cs="宋体"/>
              <w:sz w:val="22"/>
              <w:szCs w:val="28"/>
            </w:rPr>
            <w:t>1.4</w:t>
          </w:r>
          <w:r>
            <w:rPr>
              <w:rFonts w:hint="eastAsia" w:ascii="方正仿宋_GBK" w:eastAsia="方正仿宋_GBK" w:hAnsiTheme="minorHAnsi" w:cstheme="minorBidi"/>
              <w:sz w:val="22"/>
              <w14:ligatures w14:val="standardContextual"/>
            </w:rPr>
            <w:tab/>
          </w:r>
          <w:r>
            <w:rPr>
              <w:rStyle w:val="11"/>
              <w:rFonts w:hint="eastAsia" w:ascii="方正仿宋_GBK" w:hAnsi="楷体_GB2312" w:eastAsia="方正仿宋_GBK" w:cs="宋体"/>
              <w:sz w:val="22"/>
              <w:szCs w:val="28"/>
            </w:rPr>
            <w:t>主要工作过程</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_Toc179902670 \h </w:instrText>
          </w:r>
          <w:r>
            <w:rPr>
              <w:rFonts w:hint="eastAsia" w:ascii="方正仿宋_GBK" w:eastAsia="方正仿宋_GBK"/>
              <w:sz w:val="22"/>
              <w:szCs w:val="28"/>
            </w:rPr>
            <w:fldChar w:fldCharType="separate"/>
          </w:r>
          <w:r>
            <w:rPr>
              <w:rFonts w:hint="eastAsia" w:ascii="方正仿宋_GBK" w:eastAsia="方正仿宋_GBK"/>
              <w:sz w:val="22"/>
              <w:szCs w:val="28"/>
            </w:rPr>
            <w:t>2</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5AB9160C">
          <w:pPr>
            <w:pStyle w:val="7"/>
            <w:tabs>
              <w:tab w:val="left" w:pos="1050"/>
              <w:tab w:val="right" w:leader="dot" w:pos="8296"/>
            </w:tabs>
            <w:rPr>
              <w:rFonts w:hint="eastAsia" w:ascii="方正仿宋_GBK" w:eastAsia="方正仿宋_GBK" w:hAnsiTheme="minorHAnsi" w:cstheme="minorBidi"/>
              <w:sz w:val="22"/>
              <w14:ligatures w14:val="standardContextual"/>
            </w:rPr>
          </w:pPr>
          <w:r>
            <w:fldChar w:fldCharType="begin"/>
          </w:r>
          <w:r>
            <w:instrText xml:space="preserve"> HYPERLINK \l "_Toc179902671" </w:instrText>
          </w:r>
          <w:r>
            <w:fldChar w:fldCharType="separate"/>
          </w:r>
          <w:r>
            <w:rPr>
              <w:rStyle w:val="11"/>
              <w:rFonts w:hint="eastAsia" w:ascii="方正仿宋_GBK" w:hAnsi="楷体_GB2312" w:eastAsia="方正仿宋_GBK" w:cs="宋体"/>
              <w:sz w:val="22"/>
              <w:szCs w:val="28"/>
            </w:rPr>
            <w:t>1.5</w:t>
          </w:r>
          <w:r>
            <w:rPr>
              <w:rFonts w:hint="eastAsia" w:ascii="方正仿宋_GBK" w:eastAsia="方正仿宋_GBK" w:hAnsiTheme="minorHAnsi" w:cstheme="minorBidi"/>
              <w:sz w:val="22"/>
              <w14:ligatures w14:val="standardContextual"/>
            </w:rPr>
            <w:tab/>
          </w:r>
          <w:r>
            <w:rPr>
              <w:rStyle w:val="11"/>
              <w:rFonts w:hint="eastAsia" w:ascii="方正仿宋_GBK" w:hAnsi="楷体_GB2312" w:eastAsia="方正仿宋_GBK" w:cs="宋体"/>
              <w:sz w:val="22"/>
              <w:szCs w:val="28"/>
            </w:rPr>
            <w:t>主要起草人</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_Toc179902671 \h </w:instrText>
          </w:r>
          <w:r>
            <w:rPr>
              <w:rFonts w:hint="eastAsia" w:ascii="方正仿宋_GBK" w:eastAsia="方正仿宋_GBK"/>
              <w:sz w:val="22"/>
              <w:szCs w:val="28"/>
            </w:rPr>
            <w:fldChar w:fldCharType="separate"/>
          </w:r>
          <w:r>
            <w:rPr>
              <w:rFonts w:hint="eastAsia" w:ascii="方正仿宋_GBK" w:eastAsia="方正仿宋_GBK"/>
              <w:sz w:val="22"/>
              <w:szCs w:val="28"/>
            </w:rPr>
            <w:t>3</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42DC3A44">
          <w:pPr>
            <w:pStyle w:val="6"/>
            <w:tabs>
              <w:tab w:val="left" w:pos="420"/>
            </w:tabs>
            <w:rPr>
              <w:rFonts w:hint="eastAsia" w:ascii="方正仿宋_GBK" w:eastAsia="方正仿宋_GBK" w:hAnsiTheme="minorHAnsi" w:cstheme="minorBidi"/>
              <w:sz w:val="22"/>
              <w14:ligatures w14:val="standardContextual"/>
            </w:rPr>
          </w:pPr>
          <w:r>
            <w:fldChar w:fldCharType="begin"/>
          </w:r>
          <w:r>
            <w:instrText xml:space="preserve"> HYPERLINK \l "_Toc179902672" </w:instrText>
          </w:r>
          <w:r>
            <w:fldChar w:fldCharType="separate"/>
          </w:r>
          <w:r>
            <w:rPr>
              <w:rStyle w:val="11"/>
              <w:rFonts w:hint="eastAsia" w:ascii="方正仿宋_GBK" w:hAnsi="黑体" w:eastAsia="方正仿宋_GBK"/>
              <w:sz w:val="22"/>
              <w:szCs w:val="28"/>
            </w:rPr>
            <w:t>2</w:t>
          </w:r>
          <w:r>
            <w:rPr>
              <w:rFonts w:hint="eastAsia" w:ascii="方正仿宋_GBK" w:eastAsia="方正仿宋_GBK" w:hAnsiTheme="minorHAnsi" w:cstheme="minorBidi"/>
              <w:sz w:val="22"/>
              <w14:ligatures w14:val="standardContextual"/>
            </w:rPr>
            <w:tab/>
          </w:r>
          <w:r>
            <w:rPr>
              <w:rStyle w:val="11"/>
              <w:rFonts w:hint="eastAsia" w:ascii="方正仿宋_GBK" w:hAnsi="黑体" w:eastAsia="方正仿宋_GBK"/>
              <w:sz w:val="22"/>
              <w:szCs w:val="28"/>
            </w:rPr>
            <w:t>编制原则和主要内容</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_Toc179902672 \h </w:instrText>
          </w:r>
          <w:r>
            <w:rPr>
              <w:rFonts w:hint="eastAsia" w:ascii="方正仿宋_GBK" w:eastAsia="方正仿宋_GBK"/>
              <w:sz w:val="22"/>
              <w:szCs w:val="28"/>
            </w:rPr>
            <w:fldChar w:fldCharType="separate"/>
          </w:r>
          <w:r>
            <w:rPr>
              <w:rFonts w:hint="eastAsia" w:ascii="方正仿宋_GBK" w:eastAsia="方正仿宋_GBK"/>
              <w:sz w:val="22"/>
              <w:szCs w:val="28"/>
            </w:rPr>
            <w:t>3</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2F7F3E89">
          <w:pPr>
            <w:pStyle w:val="7"/>
            <w:tabs>
              <w:tab w:val="right" w:leader="dot" w:pos="8296"/>
            </w:tabs>
            <w:rPr>
              <w:rFonts w:hint="eastAsia" w:ascii="方正仿宋_GBK" w:eastAsia="方正仿宋_GBK" w:hAnsiTheme="minorHAnsi" w:cstheme="minorBidi"/>
              <w:sz w:val="22"/>
              <w14:ligatures w14:val="standardContextual"/>
            </w:rPr>
          </w:pPr>
          <w:r>
            <w:fldChar w:fldCharType="begin"/>
          </w:r>
          <w:r>
            <w:instrText xml:space="preserve"> HYPERLINK \l "_Toc179902673" </w:instrText>
          </w:r>
          <w:r>
            <w:fldChar w:fldCharType="separate"/>
          </w:r>
          <w:r>
            <w:rPr>
              <w:rStyle w:val="11"/>
              <w:rFonts w:hint="eastAsia" w:ascii="方正仿宋_GBK" w:hAnsi="楷体_GB2312" w:eastAsia="方正仿宋_GBK" w:cs="宋体"/>
              <w:sz w:val="22"/>
              <w:szCs w:val="28"/>
            </w:rPr>
            <w:t>2.1 编制原则</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_Toc179902673 \h </w:instrText>
          </w:r>
          <w:r>
            <w:rPr>
              <w:rFonts w:hint="eastAsia" w:ascii="方正仿宋_GBK" w:eastAsia="方正仿宋_GBK"/>
              <w:sz w:val="22"/>
              <w:szCs w:val="28"/>
            </w:rPr>
            <w:fldChar w:fldCharType="separate"/>
          </w:r>
          <w:r>
            <w:rPr>
              <w:rFonts w:hint="eastAsia" w:ascii="方正仿宋_GBK" w:eastAsia="方正仿宋_GBK"/>
              <w:sz w:val="22"/>
              <w:szCs w:val="28"/>
            </w:rPr>
            <w:t>3</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1F449F1B">
          <w:pPr>
            <w:pStyle w:val="7"/>
            <w:tabs>
              <w:tab w:val="right" w:leader="dot" w:pos="8296"/>
            </w:tabs>
            <w:rPr>
              <w:rFonts w:hint="eastAsia" w:ascii="方正仿宋_GBK" w:eastAsia="方正仿宋_GBK" w:hAnsiTheme="minorHAnsi" w:cstheme="minorBidi"/>
              <w:sz w:val="22"/>
              <w14:ligatures w14:val="standardContextual"/>
            </w:rPr>
          </w:pPr>
          <w:r>
            <w:fldChar w:fldCharType="begin"/>
          </w:r>
          <w:r>
            <w:instrText xml:space="preserve"> HYPERLINK \l "_Toc179902674" </w:instrText>
          </w:r>
          <w:r>
            <w:fldChar w:fldCharType="separate"/>
          </w:r>
          <w:r>
            <w:rPr>
              <w:rStyle w:val="11"/>
              <w:rFonts w:hint="eastAsia" w:ascii="方正仿宋_GBK" w:hAnsi="楷体_GB2312" w:eastAsia="方正仿宋_GBK" w:cs="宋体"/>
              <w:sz w:val="22"/>
              <w:szCs w:val="28"/>
            </w:rPr>
            <w:t>2.2 编制依据</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_Toc179902674 \h </w:instrText>
          </w:r>
          <w:r>
            <w:rPr>
              <w:rFonts w:hint="eastAsia" w:ascii="方正仿宋_GBK" w:eastAsia="方正仿宋_GBK"/>
              <w:sz w:val="22"/>
              <w:szCs w:val="28"/>
            </w:rPr>
            <w:fldChar w:fldCharType="separate"/>
          </w:r>
          <w:r>
            <w:rPr>
              <w:rFonts w:hint="eastAsia" w:ascii="方正仿宋_GBK" w:eastAsia="方正仿宋_GBK"/>
              <w:sz w:val="22"/>
              <w:szCs w:val="28"/>
            </w:rPr>
            <w:t>4</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5A18254E">
          <w:pPr>
            <w:pStyle w:val="7"/>
            <w:tabs>
              <w:tab w:val="right" w:leader="dot" w:pos="8296"/>
            </w:tabs>
            <w:rPr>
              <w:rFonts w:hint="eastAsia" w:ascii="方正仿宋_GBK" w:eastAsia="方正仿宋_GBK" w:hAnsiTheme="minorHAnsi" w:cstheme="minorBidi"/>
              <w:sz w:val="22"/>
              <w14:ligatures w14:val="standardContextual"/>
            </w:rPr>
          </w:pPr>
          <w:r>
            <w:fldChar w:fldCharType="begin"/>
          </w:r>
          <w:r>
            <w:instrText xml:space="preserve"> HYPERLINK \l "_Toc179902675" </w:instrText>
          </w:r>
          <w:r>
            <w:fldChar w:fldCharType="separate"/>
          </w:r>
          <w:r>
            <w:rPr>
              <w:rStyle w:val="11"/>
              <w:rFonts w:hint="eastAsia" w:ascii="方正仿宋_GBK" w:hAnsi="楷体_GB2312" w:eastAsia="方正仿宋_GBK" w:cs="宋体"/>
              <w:sz w:val="22"/>
              <w:szCs w:val="28"/>
            </w:rPr>
            <w:t>2.3 主要内容</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_Toc179902675 \h </w:instrText>
          </w:r>
          <w:r>
            <w:rPr>
              <w:rFonts w:hint="eastAsia" w:ascii="方正仿宋_GBK" w:eastAsia="方正仿宋_GBK"/>
              <w:sz w:val="22"/>
              <w:szCs w:val="28"/>
            </w:rPr>
            <w:fldChar w:fldCharType="separate"/>
          </w:r>
          <w:r>
            <w:rPr>
              <w:rFonts w:hint="eastAsia" w:ascii="方正仿宋_GBK" w:eastAsia="方正仿宋_GBK"/>
              <w:sz w:val="22"/>
              <w:szCs w:val="28"/>
            </w:rPr>
            <w:t>4</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71CA8623">
          <w:pPr>
            <w:pStyle w:val="6"/>
            <w:tabs>
              <w:tab w:val="left" w:pos="420"/>
            </w:tabs>
            <w:rPr>
              <w:rFonts w:hint="eastAsia" w:ascii="方正仿宋_GBK" w:eastAsia="方正仿宋_GBK" w:hAnsiTheme="minorHAnsi" w:cstheme="minorBidi"/>
              <w:sz w:val="22"/>
              <w14:ligatures w14:val="standardContextual"/>
            </w:rPr>
          </w:pPr>
          <w:r>
            <w:fldChar w:fldCharType="begin"/>
          </w:r>
          <w:r>
            <w:instrText xml:space="preserve"> HYPERLINK \l "_Toc179902676" </w:instrText>
          </w:r>
          <w:r>
            <w:fldChar w:fldCharType="separate"/>
          </w:r>
          <w:r>
            <w:rPr>
              <w:rStyle w:val="11"/>
              <w:rFonts w:hint="eastAsia" w:ascii="方正仿宋_GBK" w:hAnsi="黑体" w:eastAsia="方正仿宋_GBK"/>
              <w:sz w:val="22"/>
              <w:szCs w:val="28"/>
            </w:rPr>
            <w:t>3</w:t>
          </w:r>
          <w:r>
            <w:rPr>
              <w:rFonts w:hint="eastAsia" w:ascii="方正仿宋_GBK" w:eastAsia="方正仿宋_GBK" w:hAnsiTheme="minorHAnsi" w:cstheme="minorBidi"/>
              <w:sz w:val="22"/>
              <w14:ligatures w14:val="standardContextual"/>
            </w:rPr>
            <w:tab/>
          </w:r>
          <w:r>
            <w:rPr>
              <w:rStyle w:val="11"/>
              <w:rFonts w:hint="eastAsia" w:ascii="方正仿宋_GBK" w:hAnsi="黑体" w:eastAsia="方正仿宋_GBK"/>
              <w:sz w:val="22"/>
              <w:szCs w:val="28"/>
            </w:rPr>
            <w:t>预期达到的效果</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_Toc179902676 \h </w:instrText>
          </w:r>
          <w:r>
            <w:rPr>
              <w:rFonts w:hint="eastAsia" w:ascii="方正仿宋_GBK" w:eastAsia="方正仿宋_GBK"/>
              <w:sz w:val="22"/>
              <w:szCs w:val="28"/>
            </w:rPr>
            <w:fldChar w:fldCharType="separate"/>
          </w:r>
          <w:r>
            <w:rPr>
              <w:rFonts w:hint="eastAsia" w:ascii="方正仿宋_GBK" w:eastAsia="方正仿宋_GBK"/>
              <w:sz w:val="22"/>
              <w:szCs w:val="28"/>
            </w:rPr>
            <w:t>5</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3D414B96">
          <w:pPr>
            <w:pStyle w:val="6"/>
            <w:tabs>
              <w:tab w:val="left" w:pos="420"/>
            </w:tabs>
            <w:rPr>
              <w:rFonts w:hint="eastAsia" w:ascii="方正仿宋_GBK" w:eastAsia="方正仿宋_GBK" w:hAnsiTheme="minorHAnsi" w:cstheme="minorBidi"/>
              <w:sz w:val="22"/>
              <w14:ligatures w14:val="standardContextual"/>
            </w:rPr>
          </w:pPr>
          <w:r>
            <w:fldChar w:fldCharType="begin"/>
          </w:r>
          <w:r>
            <w:instrText xml:space="preserve"> HYPERLINK \l "_Toc179902677" </w:instrText>
          </w:r>
          <w:r>
            <w:fldChar w:fldCharType="separate"/>
          </w:r>
          <w:r>
            <w:rPr>
              <w:rStyle w:val="11"/>
              <w:rFonts w:hint="eastAsia" w:ascii="方正仿宋_GBK" w:hAnsi="黑体" w:eastAsia="方正仿宋_GBK"/>
              <w:sz w:val="22"/>
              <w:szCs w:val="28"/>
            </w:rPr>
            <w:t>4</w:t>
          </w:r>
          <w:r>
            <w:rPr>
              <w:rFonts w:hint="eastAsia" w:ascii="方正仿宋_GBK" w:eastAsia="方正仿宋_GBK" w:hAnsiTheme="minorHAnsi" w:cstheme="minorBidi"/>
              <w:sz w:val="22"/>
              <w14:ligatures w14:val="standardContextual"/>
            </w:rPr>
            <w:tab/>
          </w:r>
          <w:r>
            <w:rPr>
              <w:rStyle w:val="11"/>
              <w:rFonts w:hint="eastAsia" w:ascii="方正仿宋_GBK" w:hAnsi="黑体" w:eastAsia="方正仿宋_GBK"/>
              <w:sz w:val="22"/>
              <w:szCs w:val="28"/>
            </w:rPr>
            <w:t>与同类标准对比情况</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_Toc179902677 \h </w:instrText>
          </w:r>
          <w:r>
            <w:rPr>
              <w:rFonts w:hint="eastAsia" w:ascii="方正仿宋_GBK" w:eastAsia="方正仿宋_GBK"/>
              <w:sz w:val="22"/>
              <w:szCs w:val="28"/>
            </w:rPr>
            <w:fldChar w:fldCharType="separate"/>
          </w:r>
          <w:r>
            <w:rPr>
              <w:rFonts w:hint="eastAsia" w:ascii="方正仿宋_GBK" w:eastAsia="方正仿宋_GBK"/>
              <w:sz w:val="22"/>
              <w:szCs w:val="28"/>
            </w:rPr>
            <w:t>5</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1F3B6361">
          <w:pPr>
            <w:pStyle w:val="6"/>
            <w:tabs>
              <w:tab w:val="left" w:pos="420"/>
            </w:tabs>
            <w:rPr>
              <w:rFonts w:hint="eastAsia" w:ascii="方正仿宋_GBK" w:eastAsia="方正仿宋_GBK" w:hAnsiTheme="minorHAnsi" w:cstheme="minorBidi"/>
              <w:sz w:val="22"/>
              <w14:ligatures w14:val="standardContextual"/>
            </w:rPr>
          </w:pPr>
          <w:r>
            <w:fldChar w:fldCharType="begin"/>
          </w:r>
          <w:r>
            <w:instrText xml:space="preserve"> HYPERLINK \l "_Toc179902678" </w:instrText>
          </w:r>
          <w:r>
            <w:fldChar w:fldCharType="separate"/>
          </w:r>
          <w:r>
            <w:rPr>
              <w:rStyle w:val="11"/>
              <w:rFonts w:hint="eastAsia" w:ascii="方正仿宋_GBK" w:hAnsi="黑体" w:eastAsia="方正仿宋_GBK"/>
              <w:sz w:val="22"/>
              <w:szCs w:val="28"/>
            </w:rPr>
            <w:t>5</w:t>
          </w:r>
          <w:r>
            <w:rPr>
              <w:rFonts w:hint="eastAsia" w:ascii="方正仿宋_GBK" w:eastAsia="方正仿宋_GBK" w:hAnsiTheme="minorHAnsi" w:cstheme="minorBidi"/>
              <w:sz w:val="22"/>
              <w14:ligatures w14:val="standardContextual"/>
            </w:rPr>
            <w:tab/>
          </w:r>
          <w:r>
            <w:rPr>
              <w:rStyle w:val="11"/>
              <w:rFonts w:hint="eastAsia" w:ascii="方正仿宋_GBK" w:hAnsi="黑体" w:eastAsia="方正仿宋_GBK"/>
              <w:sz w:val="22"/>
              <w:szCs w:val="28"/>
            </w:rPr>
            <w:t>与现行法律、法规、政策及相关标准的协调性</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_Toc179902678 \h </w:instrText>
          </w:r>
          <w:r>
            <w:rPr>
              <w:rFonts w:hint="eastAsia" w:ascii="方正仿宋_GBK" w:eastAsia="方正仿宋_GBK"/>
              <w:sz w:val="22"/>
              <w:szCs w:val="28"/>
            </w:rPr>
            <w:fldChar w:fldCharType="separate"/>
          </w:r>
          <w:r>
            <w:rPr>
              <w:rFonts w:hint="eastAsia" w:ascii="方正仿宋_GBK" w:eastAsia="方正仿宋_GBK"/>
              <w:sz w:val="22"/>
              <w:szCs w:val="28"/>
            </w:rPr>
            <w:t>6</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60969AD4">
          <w:pPr>
            <w:pStyle w:val="6"/>
            <w:tabs>
              <w:tab w:val="left" w:pos="420"/>
            </w:tabs>
            <w:rPr>
              <w:rFonts w:hint="eastAsia" w:ascii="方正仿宋_GBK" w:eastAsia="方正仿宋_GBK" w:hAnsiTheme="minorHAnsi" w:cstheme="minorBidi"/>
              <w:sz w:val="22"/>
              <w14:ligatures w14:val="standardContextual"/>
            </w:rPr>
          </w:pPr>
          <w:r>
            <w:fldChar w:fldCharType="begin"/>
          </w:r>
          <w:r>
            <w:instrText xml:space="preserve"> HYPERLINK \l "_Toc179902679" </w:instrText>
          </w:r>
          <w:r>
            <w:fldChar w:fldCharType="separate"/>
          </w:r>
          <w:r>
            <w:rPr>
              <w:rStyle w:val="11"/>
              <w:rFonts w:hint="eastAsia" w:ascii="方正仿宋_GBK" w:hAnsi="黑体" w:eastAsia="方正仿宋_GBK"/>
              <w:sz w:val="22"/>
              <w:szCs w:val="28"/>
            </w:rPr>
            <w:t>6</w:t>
          </w:r>
          <w:r>
            <w:rPr>
              <w:rFonts w:hint="eastAsia" w:ascii="方正仿宋_GBK" w:eastAsia="方正仿宋_GBK" w:hAnsiTheme="minorHAnsi" w:cstheme="minorBidi"/>
              <w:sz w:val="22"/>
              <w14:ligatures w14:val="standardContextual"/>
            </w:rPr>
            <w:tab/>
          </w:r>
          <w:r>
            <w:rPr>
              <w:rStyle w:val="11"/>
              <w:rFonts w:hint="eastAsia" w:ascii="方正仿宋_GBK" w:hAnsi="黑体" w:eastAsia="方正仿宋_GBK"/>
              <w:sz w:val="22"/>
              <w:szCs w:val="28"/>
            </w:rPr>
            <w:t>重大分歧意见处理情况</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_Toc179902679 \h </w:instrText>
          </w:r>
          <w:r>
            <w:rPr>
              <w:rFonts w:hint="eastAsia" w:ascii="方正仿宋_GBK" w:eastAsia="方正仿宋_GBK"/>
              <w:sz w:val="22"/>
              <w:szCs w:val="28"/>
            </w:rPr>
            <w:fldChar w:fldCharType="separate"/>
          </w:r>
          <w:r>
            <w:rPr>
              <w:rFonts w:hint="eastAsia" w:ascii="方正仿宋_GBK" w:eastAsia="方正仿宋_GBK"/>
              <w:sz w:val="22"/>
              <w:szCs w:val="28"/>
            </w:rPr>
            <w:t>6</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7255B1A1">
          <w:pPr>
            <w:pStyle w:val="6"/>
            <w:tabs>
              <w:tab w:val="left" w:pos="420"/>
            </w:tabs>
            <w:rPr>
              <w:rFonts w:hint="eastAsia" w:ascii="方正仿宋_GBK" w:eastAsia="方正仿宋_GBK" w:hAnsiTheme="minorHAnsi" w:cstheme="minorBidi"/>
              <w:sz w:val="22"/>
              <w14:ligatures w14:val="standardContextual"/>
            </w:rPr>
          </w:pPr>
          <w:r>
            <w:fldChar w:fldCharType="begin"/>
          </w:r>
          <w:r>
            <w:instrText xml:space="preserve"> HYPERLINK \l "_Toc179902680" </w:instrText>
          </w:r>
          <w:r>
            <w:fldChar w:fldCharType="separate"/>
          </w:r>
          <w:r>
            <w:rPr>
              <w:rStyle w:val="11"/>
              <w:rFonts w:hint="eastAsia" w:ascii="方正仿宋_GBK" w:hAnsi="黑体" w:eastAsia="方正仿宋_GBK"/>
              <w:sz w:val="22"/>
              <w:szCs w:val="28"/>
            </w:rPr>
            <w:t>7</w:t>
          </w:r>
          <w:r>
            <w:rPr>
              <w:rFonts w:hint="eastAsia" w:ascii="方正仿宋_GBK" w:eastAsia="方正仿宋_GBK" w:hAnsiTheme="minorHAnsi" w:cstheme="minorBidi"/>
              <w:sz w:val="22"/>
              <w14:ligatures w14:val="standardContextual"/>
            </w:rPr>
            <w:tab/>
          </w:r>
          <w:r>
            <w:rPr>
              <w:rStyle w:val="11"/>
              <w:rFonts w:hint="eastAsia" w:ascii="方正仿宋_GBK" w:hAnsi="黑体" w:eastAsia="方正仿宋_GBK"/>
              <w:sz w:val="22"/>
              <w:szCs w:val="28"/>
            </w:rPr>
            <w:t>标准涉及专利处置情况</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_Toc179902680 \h </w:instrText>
          </w:r>
          <w:r>
            <w:rPr>
              <w:rFonts w:hint="eastAsia" w:ascii="方正仿宋_GBK" w:eastAsia="方正仿宋_GBK"/>
              <w:sz w:val="22"/>
              <w:szCs w:val="28"/>
            </w:rPr>
            <w:fldChar w:fldCharType="separate"/>
          </w:r>
          <w:r>
            <w:rPr>
              <w:rFonts w:hint="eastAsia" w:ascii="方正仿宋_GBK" w:eastAsia="方正仿宋_GBK"/>
              <w:sz w:val="22"/>
              <w:szCs w:val="28"/>
            </w:rPr>
            <w:t>6</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54EB4E38">
          <w:pPr>
            <w:pStyle w:val="6"/>
            <w:tabs>
              <w:tab w:val="left" w:pos="420"/>
            </w:tabs>
            <w:rPr>
              <w:rFonts w:hint="eastAsia" w:ascii="方正仿宋_GBK" w:eastAsia="方正仿宋_GBK" w:hAnsiTheme="minorHAnsi" w:cstheme="minorBidi"/>
              <w:sz w:val="22"/>
              <w14:ligatures w14:val="standardContextual"/>
            </w:rPr>
          </w:pPr>
          <w:r>
            <w:fldChar w:fldCharType="begin"/>
          </w:r>
          <w:r>
            <w:instrText xml:space="preserve"> HYPERLINK \l "_Toc179902681" </w:instrText>
          </w:r>
          <w:r>
            <w:fldChar w:fldCharType="separate"/>
          </w:r>
          <w:r>
            <w:rPr>
              <w:rStyle w:val="11"/>
              <w:rFonts w:hint="eastAsia" w:ascii="方正仿宋_GBK" w:hAnsi="黑体" w:eastAsia="方正仿宋_GBK"/>
              <w:sz w:val="22"/>
              <w:szCs w:val="28"/>
            </w:rPr>
            <w:t>8</w:t>
          </w:r>
          <w:r>
            <w:rPr>
              <w:rFonts w:hint="eastAsia" w:ascii="方正仿宋_GBK" w:eastAsia="方正仿宋_GBK" w:hAnsiTheme="minorHAnsi" w:cstheme="minorBidi"/>
              <w:sz w:val="22"/>
              <w14:ligatures w14:val="standardContextual"/>
            </w:rPr>
            <w:tab/>
          </w:r>
          <w:r>
            <w:rPr>
              <w:rStyle w:val="11"/>
              <w:rFonts w:hint="eastAsia" w:ascii="方正仿宋_GBK" w:hAnsi="黑体" w:eastAsia="方正仿宋_GBK"/>
              <w:sz w:val="22"/>
              <w:szCs w:val="28"/>
            </w:rPr>
            <w:t>贯彻规范的要求和措施建议</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_Toc179902681 \h </w:instrText>
          </w:r>
          <w:r>
            <w:rPr>
              <w:rFonts w:hint="eastAsia" w:ascii="方正仿宋_GBK" w:eastAsia="方正仿宋_GBK"/>
              <w:sz w:val="22"/>
              <w:szCs w:val="28"/>
            </w:rPr>
            <w:fldChar w:fldCharType="separate"/>
          </w:r>
          <w:r>
            <w:rPr>
              <w:rFonts w:hint="eastAsia" w:ascii="方正仿宋_GBK" w:eastAsia="方正仿宋_GBK"/>
              <w:sz w:val="22"/>
              <w:szCs w:val="28"/>
            </w:rPr>
            <w:t>6</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63EF4607">
          <w:pPr>
            <w:pStyle w:val="6"/>
            <w:tabs>
              <w:tab w:val="left" w:pos="420"/>
            </w:tabs>
            <w:rPr>
              <w:rFonts w:hint="eastAsia" w:ascii="方正仿宋_GBK" w:eastAsia="方正仿宋_GBK" w:hAnsiTheme="minorHAnsi" w:cstheme="minorBidi"/>
              <w:sz w:val="22"/>
              <w14:ligatures w14:val="standardContextual"/>
            </w:rPr>
          </w:pPr>
          <w:r>
            <w:fldChar w:fldCharType="begin"/>
          </w:r>
          <w:r>
            <w:instrText xml:space="preserve"> HYPERLINK \l "_Toc179902682" </w:instrText>
          </w:r>
          <w:r>
            <w:fldChar w:fldCharType="separate"/>
          </w:r>
          <w:r>
            <w:rPr>
              <w:rStyle w:val="11"/>
              <w:rFonts w:hint="eastAsia" w:ascii="方正仿宋_GBK" w:hAnsi="黑体" w:eastAsia="方正仿宋_GBK"/>
              <w:sz w:val="22"/>
              <w:szCs w:val="28"/>
            </w:rPr>
            <w:t>9</w:t>
          </w:r>
          <w:r>
            <w:rPr>
              <w:rFonts w:hint="eastAsia" w:ascii="方正仿宋_GBK" w:eastAsia="方正仿宋_GBK" w:hAnsiTheme="minorHAnsi" w:cstheme="minorBidi"/>
              <w:sz w:val="22"/>
              <w14:ligatures w14:val="standardContextual"/>
            </w:rPr>
            <w:tab/>
          </w:r>
          <w:r>
            <w:rPr>
              <w:rStyle w:val="11"/>
              <w:rFonts w:hint="eastAsia" w:ascii="方正仿宋_GBK" w:hAnsi="黑体" w:eastAsia="方正仿宋_GBK"/>
              <w:sz w:val="22"/>
              <w:szCs w:val="28"/>
            </w:rPr>
            <w:t>代替或废止现行有关标准的建议</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_Toc179902682 \h </w:instrText>
          </w:r>
          <w:r>
            <w:rPr>
              <w:rFonts w:hint="eastAsia" w:ascii="方正仿宋_GBK" w:eastAsia="方正仿宋_GBK"/>
              <w:sz w:val="22"/>
              <w:szCs w:val="28"/>
            </w:rPr>
            <w:fldChar w:fldCharType="separate"/>
          </w:r>
          <w:r>
            <w:rPr>
              <w:rFonts w:hint="eastAsia" w:ascii="方正仿宋_GBK" w:eastAsia="方正仿宋_GBK"/>
              <w:sz w:val="22"/>
              <w:szCs w:val="28"/>
            </w:rPr>
            <w:t>6</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64C1C22C">
          <w:pPr>
            <w:pStyle w:val="6"/>
            <w:tabs>
              <w:tab w:val="left" w:pos="630"/>
            </w:tabs>
            <w:rPr>
              <w:rFonts w:asciiTheme="minorHAnsi" w:hAnsiTheme="minorHAnsi" w:eastAsiaTheme="minorEastAsia" w:cstheme="minorBidi"/>
              <w:szCs w:val="22"/>
              <w14:ligatures w14:val="standardContextual"/>
            </w:rPr>
          </w:pPr>
          <w:r>
            <w:fldChar w:fldCharType="begin"/>
          </w:r>
          <w:r>
            <w:instrText xml:space="preserve"> HYPERLINK \l "_Toc179902683" </w:instrText>
          </w:r>
          <w:r>
            <w:fldChar w:fldCharType="separate"/>
          </w:r>
          <w:r>
            <w:rPr>
              <w:rStyle w:val="11"/>
              <w:rFonts w:hint="eastAsia" w:ascii="方正仿宋_GBK" w:hAnsi="黑体" w:eastAsia="方正仿宋_GBK"/>
              <w:sz w:val="22"/>
              <w:szCs w:val="28"/>
            </w:rPr>
            <w:t>10</w:t>
          </w:r>
          <w:r>
            <w:rPr>
              <w:rFonts w:hint="eastAsia" w:ascii="方正仿宋_GBK" w:eastAsia="方正仿宋_GBK" w:hAnsiTheme="minorHAnsi" w:cstheme="minorBidi"/>
              <w:sz w:val="22"/>
              <w14:ligatures w14:val="standardContextual"/>
            </w:rPr>
            <w:tab/>
          </w:r>
          <w:r>
            <w:rPr>
              <w:rStyle w:val="11"/>
              <w:rFonts w:hint="eastAsia" w:ascii="方正仿宋_GBK" w:hAnsi="黑体" w:eastAsia="方正仿宋_GBK"/>
              <w:sz w:val="22"/>
              <w:szCs w:val="28"/>
            </w:rPr>
            <w:t>其他应予说明的事项</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_Toc179902683 \h </w:instrText>
          </w:r>
          <w:r>
            <w:rPr>
              <w:rFonts w:hint="eastAsia" w:ascii="方正仿宋_GBK" w:eastAsia="方正仿宋_GBK"/>
              <w:sz w:val="22"/>
              <w:szCs w:val="28"/>
            </w:rPr>
            <w:fldChar w:fldCharType="separate"/>
          </w:r>
          <w:r>
            <w:rPr>
              <w:rFonts w:hint="eastAsia" w:ascii="方正仿宋_GBK" w:eastAsia="方正仿宋_GBK"/>
              <w:sz w:val="22"/>
              <w:szCs w:val="28"/>
            </w:rPr>
            <w:t>6</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5419C0F0">
          <w:r>
            <w:rPr>
              <w:rFonts w:hint="eastAsia" w:ascii="方正仿宋_GBK" w:eastAsia="方正仿宋_GBK"/>
              <w:sz w:val="32"/>
              <w:szCs w:val="36"/>
              <w:lang w:val="zh-CN"/>
            </w:rPr>
            <w:fldChar w:fldCharType="end"/>
          </w:r>
        </w:p>
      </w:sdtContent>
    </w:sdt>
    <w:p w14:paraId="5812A878"/>
    <w:p w14:paraId="7C07EB83">
      <w:pPr>
        <w:tabs>
          <w:tab w:val="left" w:pos="2769"/>
        </w:tabs>
      </w:pPr>
      <w:r>
        <w:tab/>
      </w:r>
    </w:p>
    <w:p w14:paraId="3A1357E7">
      <w:pPr>
        <w:tabs>
          <w:tab w:val="left" w:pos="2769"/>
        </w:tabs>
        <w:sectPr>
          <w:pgSz w:w="11906" w:h="16838"/>
          <w:pgMar w:top="1440" w:right="1800" w:bottom="1440" w:left="1800" w:header="851" w:footer="992" w:gutter="0"/>
          <w:cols w:space="425" w:num="1"/>
          <w:docGrid w:type="lines" w:linePitch="312" w:charSpace="0"/>
        </w:sectPr>
      </w:pPr>
      <w:r>
        <w:tab/>
      </w:r>
    </w:p>
    <w:p w14:paraId="4C0AF8A1">
      <w:pPr>
        <w:jc w:val="center"/>
        <w:rPr>
          <w:rFonts w:ascii="方正小标宋_GBK" w:hAnsi="方正小标宋_GBK" w:eastAsia="方正小标宋_GBK"/>
          <w:bCs/>
          <w:sz w:val="32"/>
          <w:szCs w:val="32"/>
        </w:rPr>
      </w:pPr>
      <w:r>
        <w:rPr>
          <w:rFonts w:hint="eastAsia" w:ascii="方正小标宋_GBK" w:hAnsi="方正小标宋_GBK" w:eastAsia="方正小标宋_GBK"/>
          <w:bCs/>
          <w:sz w:val="32"/>
          <w:szCs w:val="32"/>
        </w:rPr>
        <w:t>《</w:t>
      </w:r>
      <w:r>
        <w:rPr>
          <w:rFonts w:hint="eastAsia" w:ascii="方正小标宋_GBK" w:hAnsi="方正小标宋_GBK" w:eastAsia="方正小标宋_GBK"/>
          <w:bCs/>
          <w:sz w:val="32"/>
          <w:szCs w:val="32"/>
          <w:lang w:val="en-US" w:eastAsia="zh-CN"/>
        </w:rPr>
        <w:t>输变电工程环保水保监理导则</w:t>
      </w:r>
      <w:r>
        <w:rPr>
          <w:rFonts w:hint="eastAsia" w:ascii="方正小标宋_GBK" w:hAnsi="方正小标宋_GBK" w:eastAsia="方正小标宋_GBK"/>
          <w:bCs/>
          <w:sz w:val="32"/>
          <w:szCs w:val="32"/>
        </w:rPr>
        <w:t>》</w:t>
      </w:r>
    </w:p>
    <w:p w14:paraId="3037D19C">
      <w:pPr>
        <w:jc w:val="center"/>
        <w:rPr>
          <w:rFonts w:ascii="方正小标宋_GBK" w:hAnsi="方正小标宋_GBK" w:eastAsia="方正小标宋_GBK"/>
          <w:bCs/>
          <w:sz w:val="32"/>
          <w:szCs w:val="32"/>
        </w:rPr>
      </w:pPr>
      <w:r>
        <w:rPr>
          <w:rFonts w:hint="eastAsia" w:ascii="方正小标宋_GBK" w:hAnsi="方正小标宋_GBK" w:eastAsia="方正小标宋_GBK"/>
          <w:bCs/>
          <w:sz w:val="32"/>
          <w:szCs w:val="32"/>
        </w:rPr>
        <w:t>标准编制说明</w:t>
      </w:r>
    </w:p>
    <w:p w14:paraId="6C70A3B8">
      <w:pPr>
        <w:pStyle w:val="13"/>
        <w:numPr>
          <w:ilvl w:val="0"/>
          <w:numId w:val="1"/>
        </w:numPr>
        <w:tabs>
          <w:tab w:val="left" w:pos="840"/>
        </w:tabs>
        <w:adjustRightInd w:val="0"/>
        <w:spacing w:line="360" w:lineRule="auto"/>
        <w:ind w:firstLineChars="0"/>
        <w:outlineLvl w:val="0"/>
        <w:rPr>
          <w:rFonts w:ascii="黑体" w:hAnsi="黑体" w:eastAsia="黑体"/>
          <w:b/>
          <w:sz w:val="28"/>
          <w:szCs w:val="28"/>
        </w:rPr>
      </w:pPr>
      <w:bookmarkStart w:id="1" w:name="_Toc179902666"/>
      <w:r>
        <w:rPr>
          <w:rFonts w:hint="eastAsia" w:ascii="黑体" w:hAnsi="黑体" w:eastAsia="黑体"/>
          <w:b/>
          <w:sz w:val="28"/>
          <w:szCs w:val="28"/>
        </w:rPr>
        <w:t>工作简况</w:t>
      </w:r>
      <w:bookmarkEnd w:id="1"/>
    </w:p>
    <w:p w14:paraId="2E8D6A73">
      <w:pPr>
        <w:pStyle w:val="13"/>
        <w:numPr>
          <w:ilvl w:val="1"/>
          <w:numId w:val="1"/>
        </w:numPr>
        <w:autoSpaceDE w:val="0"/>
        <w:autoSpaceDN w:val="0"/>
        <w:adjustRightInd w:val="0"/>
        <w:spacing w:line="360" w:lineRule="auto"/>
        <w:ind w:firstLineChars="0"/>
        <w:outlineLvl w:val="1"/>
        <w:rPr>
          <w:rFonts w:ascii="方正楷体_GBK" w:hAnsi="楷体_GB2312" w:eastAsia="方正楷体_GBK" w:cs="宋体"/>
          <w:b/>
          <w:bCs/>
          <w:sz w:val="24"/>
          <w:szCs w:val="24"/>
        </w:rPr>
      </w:pPr>
      <w:bookmarkStart w:id="2" w:name="_Toc179902667"/>
      <w:r>
        <w:rPr>
          <w:rFonts w:hint="eastAsia" w:ascii="方正楷体_GBK" w:hAnsi="楷体_GB2312" w:eastAsia="方正楷体_GBK" w:cs="宋体"/>
          <w:b/>
          <w:bCs/>
          <w:sz w:val="24"/>
          <w:szCs w:val="24"/>
        </w:rPr>
        <w:t>任务来源</w:t>
      </w:r>
      <w:bookmarkEnd w:id="2"/>
    </w:p>
    <w:p w14:paraId="784B13C6">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根据中国电力建设企业协会《关于印发2025年第一批中国电力建设企业协会团体标准制定计划的通知》（中电建协〔202</w:t>
      </w:r>
      <w:r>
        <w:rPr>
          <w:rFonts w:hint="eastAsia" w:ascii="仿宋_GB2312" w:hAnsi="Times New Roman" w:eastAsia="仿宋_GB2312" w:cs="宋体"/>
          <w:sz w:val="24"/>
          <w:szCs w:val="24"/>
          <w:lang w:val="en-US" w:eastAsia="zh-CN"/>
        </w:rPr>
        <w:t>5</w:t>
      </w:r>
      <w:r>
        <w:rPr>
          <w:rFonts w:hint="eastAsia" w:ascii="仿宋_GB2312" w:hAnsi="Times New Roman" w:eastAsia="仿宋_GB2312" w:cs="宋体"/>
          <w:sz w:val="24"/>
          <w:szCs w:val="24"/>
        </w:rPr>
        <w:t>〕1</w:t>
      </w:r>
      <w:r>
        <w:rPr>
          <w:rFonts w:hint="eastAsia" w:ascii="仿宋_GB2312" w:hAnsi="Times New Roman" w:eastAsia="仿宋_GB2312" w:cs="宋体"/>
          <w:sz w:val="24"/>
          <w:szCs w:val="24"/>
          <w:lang w:val="en-US" w:eastAsia="zh-CN"/>
        </w:rPr>
        <w:t>3</w:t>
      </w:r>
      <w:r>
        <w:rPr>
          <w:rFonts w:hint="eastAsia" w:ascii="仿宋_GB2312" w:hAnsi="Times New Roman" w:eastAsia="仿宋_GB2312" w:cs="宋体"/>
          <w:sz w:val="24"/>
          <w:szCs w:val="24"/>
        </w:rPr>
        <w:t>5号）的工作安排，《</w:t>
      </w:r>
      <w:r>
        <w:rPr>
          <w:rFonts w:hint="eastAsia" w:ascii="仿宋_GB2312" w:hAnsi="Times New Roman" w:eastAsia="仿宋_GB2312" w:cs="宋体"/>
          <w:sz w:val="24"/>
          <w:szCs w:val="24"/>
          <w:lang w:val="en-US" w:eastAsia="zh-CN"/>
        </w:rPr>
        <w:t>输变电工程环保水保监理导则</w:t>
      </w:r>
      <w:r>
        <w:rPr>
          <w:rFonts w:hint="eastAsia" w:ascii="仿宋_GB2312" w:hAnsi="Times New Roman" w:eastAsia="仿宋_GB2312" w:cs="宋体"/>
          <w:sz w:val="24"/>
          <w:szCs w:val="24"/>
        </w:rPr>
        <w:t>》的制定任务由中国电力建设企业协会标准化管理委员会负责管辖，</w:t>
      </w:r>
      <w:r>
        <w:rPr>
          <w:rFonts w:hint="eastAsia" w:ascii="仿宋_GB2312" w:hAnsi="Times New Roman" w:eastAsia="仿宋_GB2312" w:cs="宋体"/>
          <w:sz w:val="24"/>
          <w:szCs w:val="24"/>
          <w:lang w:val="en-US" w:eastAsia="zh-CN"/>
        </w:rPr>
        <w:t>浙江电力建设工程咨询有限公司</w:t>
      </w:r>
      <w:r>
        <w:rPr>
          <w:rFonts w:hint="eastAsia" w:ascii="仿宋_GB2312" w:hAnsi="Times New Roman" w:eastAsia="仿宋_GB2312" w:cs="宋体"/>
          <w:sz w:val="24"/>
          <w:szCs w:val="24"/>
        </w:rPr>
        <w:t>等</w:t>
      </w:r>
      <w:r>
        <w:rPr>
          <w:rFonts w:hint="eastAsia" w:ascii="仿宋_GB2312" w:hAnsi="Times New Roman" w:eastAsia="仿宋_GB2312" w:cs="宋体"/>
          <w:sz w:val="24"/>
          <w:szCs w:val="24"/>
          <w:lang w:val="en-US" w:eastAsia="zh-CN"/>
        </w:rPr>
        <w:t>8</w:t>
      </w:r>
      <w:r>
        <w:rPr>
          <w:rFonts w:hint="eastAsia" w:ascii="仿宋_GB2312" w:hAnsi="Times New Roman" w:eastAsia="仿宋_GB2312" w:cs="宋体"/>
          <w:sz w:val="24"/>
          <w:szCs w:val="24"/>
        </w:rPr>
        <w:t>家单位组织完成编制。</w:t>
      </w:r>
    </w:p>
    <w:p w14:paraId="49DFC76C">
      <w:pPr>
        <w:pStyle w:val="13"/>
        <w:numPr>
          <w:ilvl w:val="1"/>
          <w:numId w:val="1"/>
        </w:numPr>
        <w:autoSpaceDE w:val="0"/>
        <w:autoSpaceDN w:val="0"/>
        <w:adjustRightInd w:val="0"/>
        <w:spacing w:line="360" w:lineRule="auto"/>
        <w:ind w:firstLineChars="0"/>
        <w:outlineLvl w:val="1"/>
        <w:rPr>
          <w:rFonts w:ascii="方正楷体_GBK" w:hAnsi="楷体_GB2312" w:eastAsia="方正楷体_GBK" w:cs="宋体"/>
          <w:b/>
          <w:bCs/>
          <w:sz w:val="24"/>
          <w:szCs w:val="24"/>
        </w:rPr>
      </w:pPr>
      <w:bookmarkStart w:id="3" w:name="_Toc179902668"/>
      <w:r>
        <w:rPr>
          <w:rFonts w:hint="eastAsia" w:ascii="方正楷体_GBK" w:hAnsi="楷体_GB2312" w:eastAsia="方正楷体_GBK" w:cs="宋体"/>
          <w:b/>
          <w:bCs/>
          <w:sz w:val="24"/>
          <w:szCs w:val="24"/>
        </w:rPr>
        <w:t>编制必要性</w:t>
      </w:r>
      <w:bookmarkEnd w:id="3"/>
    </w:p>
    <w:p w14:paraId="50CF58D9">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w:t>
      </w:r>
      <w:r>
        <w:rPr>
          <w:rFonts w:hint="eastAsia" w:ascii="仿宋_GB2312" w:hAnsi="Times New Roman" w:eastAsia="仿宋_GB2312" w:cs="宋体"/>
          <w:sz w:val="24"/>
          <w:szCs w:val="24"/>
          <w:lang w:val="en-US" w:eastAsia="zh-CN"/>
        </w:rPr>
        <w:t>1</w:t>
      </w:r>
      <w:r>
        <w:rPr>
          <w:rFonts w:hint="eastAsia" w:ascii="仿宋_GB2312" w:hAnsi="Times New Roman" w:eastAsia="仿宋_GB2312" w:cs="宋体"/>
          <w:sz w:val="24"/>
          <w:szCs w:val="24"/>
        </w:rPr>
        <w:t>）实现</w:t>
      </w:r>
      <w:r>
        <w:rPr>
          <w:rFonts w:ascii="仿宋_GB2312" w:hAnsi="Times New Roman" w:eastAsia="仿宋_GB2312" w:cs="宋体"/>
          <w:sz w:val="24"/>
          <w:szCs w:val="24"/>
        </w:rPr>
        <w:t>“</w:t>
      </w:r>
      <w:r>
        <w:rPr>
          <w:rFonts w:hint="eastAsia" w:ascii="仿宋_GB2312" w:hAnsi="Times New Roman" w:eastAsia="仿宋_GB2312" w:cs="宋体"/>
          <w:sz w:val="24"/>
          <w:szCs w:val="24"/>
        </w:rPr>
        <w:t>碳达峰</w:t>
      </w:r>
      <w:r>
        <w:rPr>
          <w:rFonts w:ascii="仿宋_GB2312" w:hAnsi="Times New Roman" w:eastAsia="仿宋_GB2312" w:cs="宋体"/>
          <w:sz w:val="24"/>
          <w:szCs w:val="24"/>
        </w:rPr>
        <w:t>、</w:t>
      </w:r>
      <w:r>
        <w:rPr>
          <w:rFonts w:hint="eastAsia" w:ascii="仿宋_GB2312" w:hAnsi="Times New Roman" w:eastAsia="仿宋_GB2312" w:cs="宋体"/>
          <w:sz w:val="24"/>
          <w:szCs w:val="24"/>
        </w:rPr>
        <w:t>碳</w:t>
      </w:r>
      <w:r>
        <w:rPr>
          <w:rFonts w:ascii="仿宋_GB2312" w:hAnsi="Times New Roman" w:eastAsia="仿宋_GB2312" w:cs="宋体"/>
          <w:sz w:val="24"/>
          <w:szCs w:val="24"/>
        </w:rPr>
        <w:t>中</w:t>
      </w:r>
      <w:r>
        <w:rPr>
          <w:rFonts w:hint="eastAsia" w:ascii="仿宋_GB2312" w:hAnsi="Times New Roman" w:eastAsia="仿宋_GB2312" w:cs="宋体"/>
          <w:sz w:val="24"/>
          <w:szCs w:val="24"/>
        </w:rPr>
        <w:t>和</w:t>
      </w:r>
      <w:r>
        <w:rPr>
          <w:rFonts w:ascii="仿宋_GB2312" w:hAnsi="Times New Roman" w:eastAsia="仿宋_GB2312" w:cs="宋体"/>
          <w:sz w:val="24"/>
          <w:szCs w:val="24"/>
        </w:rPr>
        <w:t>”</w:t>
      </w:r>
      <w:r>
        <w:rPr>
          <w:rFonts w:hint="eastAsia" w:ascii="仿宋_GB2312" w:hAnsi="Times New Roman" w:eastAsia="仿宋_GB2312" w:cs="宋体"/>
          <w:sz w:val="24"/>
          <w:szCs w:val="24"/>
        </w:rPr>
        <w:t>目标</w:t>
      </w:r>
      <w:r>
        <w:rPr>
          <w:rFonts w:ascii="仿宋_GB2312" w:hAnsi="Times New Roman" w:eastAsia="仿宋_GB2312" w:cs="宋体"/>
          <w:sz w:val="24"/>
          <w:szCs w:val="24"/>
        </w:rPr>
        <w:t>的需要</w:t>
      </w:r>
    </w:p>
    <w:p w14:paraId="1C77F4A0">
      <w:pPr>
        <w:autoSpaceDE w:val="0"/>
        <w:autoSpaceDN w:val="0"/>
        <w:adjustRightInd w:val="0"/>
        <w:spacing w:line="360" w:lineRule="auto"/>
        <w:ind w:firstLine="480" w:firstLineChars="200"/>
        <w:rPr>
          <w:rFonts w:hint="eastAsia" w:ascii="仿宋_GB2312" w:hAnsi="Times New Roman" w:eastAsia="仿宋_GB2312" w:cs="宋体"/>
          <w:sz w:val="24"/>
          <w:szCs w:val="24"/>
        </w:rPr>
      </w:pPr>
      <w:r>
        <w:rPr>
          <w:rFonts w:hint="eastAsia" w:ascii="仿宋_GB2312" w:hAnsi="Times New Roman" w:eastAsia="仿宋_GB2312" w:cs="宋体"/>
          <w:sz w:val="24"/>
          <w:szCs w:val="24"/>
        </w:rPr>
        <w:t>贯彻落实党的</w:t>
      </w:r>
      <w:r>
        <w:rPr>
          <w:rFonts w:hint="eastAsia" w:ascii="仿宋_GB2312" w:hAnsi="Times New Roman" w:eastAsia="仿宋_GB2312" w:cs="宋体"/>
          <w:sz w:val="24"/>
          <w:szCs w:val="24"/>
          <w:lang w:val="en-US" w:eastAsia="zh-CN"/>
        </w:rPr>
        <w:t>二十届三中全会</w:t>
      </w:r>
      <w:r>
        <w:rPr>
          <w:rFonts w:hint="eastAsia" w:ascii="仿宋_GB2312" w:hAnsi="Times New Roman" w:eastAsia="仿宋_GB2312" w:cs="宋体"/>
          <w:sz w:val="24"/>
          <w:szCs w:val="24"/>
        </w:rPr>
        <w:t>精神，响应国家能源局《新型电力系统发展蓝皮书》要求，需要通过开展环水保监理工作支撑建设新型电力系统和新型能源体系构建。中共中央、国务院联合印发《关于完整准确全面贯彻新发展理念做好碳达峰碳中和工作的意见》提出要实施工程建设全过程绿色建造，</w:t>
      </w:r>
      <w:r>
        <w:rPr>
          <w:rFonts w:hint="eastAsia" w:ascii="仿宋_GB2312" w:hAnsi="Times New Roman" w:eastAsia="仿宋_GB2312" w:cs="宋体"/>
          <w:sz w:val="24"/>
          <w:szCs w:val="24"/>
          <w:lang w:val="en-US" w:eastAsia="zh-CN"/>
        </w:rPr>
        <w:t>而</w:t>
      </w:r>
      <w:r>
        <w:rPr>
          <w:rFonts w:hint="eastAsia" w:ascii="仿宋_GB2312" w:hAnsi="Times New Roman" w:eastAsia="仿宋_GB2312" w:cs="宋体"/>
          <w:sz w:val="24"/>
          <w:szCs w:val="24"/>
        </w:rPr>
        <w:t>环水保监理工作是实现绿色建造的重要抓手，通过全过程监督和管理，确保输变电工程各阶段符合环保要求，助力“双碳”目标的实现。</w:t>
      </w:r>
      <w:r>
        <w:rPr>
          <w:rFonts w:hint="eastAsia" w:ascii="仿宋_GB2312" w:hAnsi="Times New Roman" w:eastAsia="仿宋_GB2312" w:cs="宋体"/>
          <w:sz w:val="24"/>
          <w:szCs w:val="24"/>
          <w:lang w:val="en-US" w:eastAsia="zh-CN"/>
        </w:rPr>
        <w:t>结合</w:t>
      </w:r>
      <w:r>
        <w:rPr>
          <w:rFonts w:hint="eastAsia" w:ascii="仿宋_GB2312" w:hAnsi="Times New Roman" w:eastAsia="仿宋_GB2312" w:cs="宋体"/>
          <w:sz w:val="24"/>
          <w:szCs w:val="24"/>
        </w:rPr>
        <w:t>国务院办公厅《关于促进建筑业持续健康发展的意见》（国办发〔2017〕19号）推动建筑业绿色发展和转型升级，推广绿色建造方式</w:t>
      </w:r>
      <w:r>
        <w:rPr>
          <w:rFonts w:hint="eastAsia" w:ascii="仿宋_GB2312" w:hAnsi="Times New Roman" w:eastAsia="仿宋_GB2312" w:cs="宋体"/>
          <w:sz w:val="24"/>
          <w:szCs w:val="24"/>
          <w:lang w:val="en-US" w:eastAsia="zh-CN"/>
        </w:rPr>
        <w:t>的要求</w:t>
      </w:r>
      <w:r>
        <w:rPr>
          <w:rFonts w:hint="eastAsia" w:ascii="仿宋_GB2312" w:hAnsi="Times New Roman" w:eastAsia="仿宋_GB2312" w:cs="宋体"/>
          <w:sz w:val="24"/>
          <w:szCs w:val="24"/>
        </w:rPr>
        <w:t>。</w:t>
      </w:r>
      <w:r>
        <w:rPr>
          <w:rFonts w:hint="eastAsia" w:ascii="仿宋_GB2312" w:hAnsi="Times New Roman" w:eastAsia="仿宋_GB2312" w:cs="宋体"/>
          <w:sz w:val="24"/>
          <w:szCs w:val="24"/>
          <w:lang w:val="en-US" w:eastAsia="zh-CN"/>
        </w:rPr>
        <w:t>进一步明确</w:t>
      </w:r>
      <w:r>
        <w:rPr>
          <w:rFonts w:hint="eastAsia" w:ascii="仿宋_GB2312" w:hAnsi="Times New Roman" w:eastAsia="仿宋_GB2312" w:cs="宋体"/>
          <w:sz w:val="24"/>
          <w:szCs w:val="24"/>
        </w:rPr>
        <w:t>输变电工程环</w:t>
      </w:r>
      <w:r>
        <w:rPr>
          <w:rFonts w:hint="eastAsia" w:ascii="仿宋_GB2312" w:hAnsi="Times New Roman" w:eastAsia="仿宋_GB2312" w:cs="宋体"/>
          <w:sz w:val="24"/>
          <w:szCs w:val="24"/>
          <w:lang w:val="en-US" w:eastAsia="zh-CN"/>
        </w:rPr>
        <w:t>保</w:t>
      </w:r>
      <w:r>
        <w:rPr>
          <w:rFonts w:hint="eastAsia" w:ascii="仿宋_GB2312" w:hAnsi="Times New Roman" w:eastAsia="仿宋_GB2312" w:cs="宋体"/>
          <w:sz w:val="24"/>
          <w:szCs w:val="24"/>
        </w:rPr>
        <w:t>水保监理工作</w:t>
      </w:r>
      <w:r>
        <w:rPr>
          <w:rFonts w:hint="eastAsia" w:ascii="仿宋_GB2312" w:hAnsi="Times New Roman" w:eastAsia="仿宋_GB2312" w:cs="宋体"/>
          <w:sz w:val="24"/>
          <w:szCs w:val="24"/>
          <w:lang w:val="en-US" w:eastAsia="zh-CN"/>
        </w:rPr>
        <w:t>内容和管理要求。</w:t>
      </w:r>
    </w:p>
    <w:p w14:paraId="1D4730A4">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w:t>
      </w:r>
      <w:r>
        <w:rPr>
          <w:rFonts w:hint="eastAsia" w:ascii="仿宋_GB2312" w:hAnsi="Times New Roman" w:eastAsia="仿宋_GB2312" w:cs="宋体"/>
          <w:sz w:val="24"/>
          <w:szCs w:val="24"/>
          <w:lang w:val="en-US" w:eastAsia="zh-CN"/>
        </w:rPr>
        <w:t>2</w:t>
      </w:r>
      <w:r>
        <w:rPr>
          <w:rFonts w:hint="eastAsia" w:ascii="仿宋_GB2312" w:hAnsi="Times New Roman" w:eastAsia="仿宋_GB2312" w:cs="宋体"/>
          <w:sz w:val="24"/>
          <w:szCs w:val="24"/>
        </w:rPr>
        <w:t>）推进</w:t>
      </w:r>
      <w:r>
        <w:rPr>
          <w:rFonts w:ascii="仿宋_GB2312" w:hAnsi="Times New Roman" w:eastAsia="仿宋_GB2312" w:cs="宋体"/>
          <w:sz w:val="24"/>
          <w:szCs w:val="24"/>
        </w:rPr>
        <w:t>输变电工程</w:t>
      </w:r>
      <w:r>
        <w:rPr>
          <w:rFonts w:hint="eastAsia" w:ascii="仿宋_GB2312" w:hAnsi="Times New Roman" w:eastAsia="仿宋_GB2312" w:cs="宋体"/>
          <w:sz w:val="24"/>
          <w:szCs w:val="24"/>
        </w:rPr>
        <w:t>标准体系</w:t>
      </w:r>
      <w:r>
        <w:rPr>
          <w:rFonts w:ascii="仿宋_GB2312" w:hAnsi="Times New Roman" w:eastAsia="仿宋_GB2312" w:cs="宋体"/>
          <w:sz w:val="24"/>
          <w:szCs w:val="24"/>
        </w:rPr>
        <w:t>建设的需要</w:t>
      </w:r>
    </w:p>
    <w:p w14:paraId="7E9A633C">
      <w:pPr>
        <w:autoSpaceDE w:val="0"/>
        <w:autoSpaceDN w:val="0"/>
        <w:adjustRightInd w:val="0"/>
        <w:spacing w:line="360" w:lineRule="auto"/>
        <w:ind w:firstLine="480" w:firstLineChars="200"/>
        <w:rPr>
          <w:rFonts w:hint="eastAsia" w:ascii="仿宋_GB2312" w:hAnsi="Times New Roman" w:eastAsia="仿宋_GB2312" w:cs="宋体"/>
          <w:sz w:val="24"/>
          <w:szCs w:val="24"/>
          <w:lang w:val="en-US" w:eastAsia="zh-CN"/>
        </w:rPr>
      </w:pPr>
      <w:r>
        <w:rPr>
          <w:rFonts w:hint="eastAsia" w:ascii="仿宋_GB2312" w:hAnsi="Times New Roman" w:eastAsia="仿宋_GB2312" w:cs="宋体"/>
          <w:sz w:val="24"/>
          <w:szCs w:val="24"/>
        </w:rPr>
        <w:t>关于</w:t>
      </w:r>
      <w:r>
        <w:rPr>
          <w:rFonts w:hint="eastAsia" w:ascii="仿宋_GB2312" w:hAnsi="Times New Roman" w:eastAsia="仿宋_GB2312" w:cs="宋体"/>
          <w:sz w:val="24"/>
          <w:szCs w:val="24"/>
          <w:lang w:val="en-US" w:eastAsia="zh-CN"/>
        </w:rPr>
        <w:t>输变电工程环保水保监理标准</w:t>
      </w:r>
      <w:r>
        <w:rPr>
          <w:rFonts w:hint="eastAsia" w:ascii="仿宋_GB2312" w:hAnsi="Times New Roman" w:eastAsia="仿宋_GB2312" w:cs="宋体"/>
          <w:sz w:val="24"/>
          <w:szCs w:val="24"/>
        </w:rPr>
        <w:t>，</w:t>
      </w:r>
      <w:r>
        <w:rPr>
          <w:rFonts w:hint="eastAsia" w:ascii="仿宋_GB2312" w:hAnsi="Times New Roman" w:eastAsia="仿宋_GB2312" w:cs="宋体"/>
          <w:sz w:val="24"/>
          <w:szCs w:val="24"/>
          <w:lang w:val="en-US" w:eastAsia="zh-CN"/>
        </w:rPr>
        <w:t>目前国内相关标准主要有Q/GDW 11970.4-2023《输变电工程水土保持技术规程第4部分：水土保持监理》、DL/T 5391-2017《输变电工程环境监理规范》、NB/T 10507-2021《输变电工程环境保护监理规程》等标准。Q/GDW 11970.4-2023《输变电工程水土保持技术规程第4部分：水土保持监理》为国网公司水土保持企业标准</w:t>
      </w:r>
      <w:r>
        <w:rPr>
          <w:rFonts w:hint="eastAsia" w:ascii="仿宋_GB2312" w:hAnsi="Times New Roman" w:eastAsia="仿宋_GB2312" w:cs="宋体"/>
          <w:sz w:val="24"/>
          <w:szCs w:val="24"/>
        </w:rPr>
        <w:t>，涵盖了水保监理</w:t>
      </w:r>
      <w:r>
        <w:rPr>
          <w:rFonts w:hint="eastAsia" w:ascii="仿宋_GB2312" w:hAnsi="Times New Roman" w:eastAsia="仿宋_GB2312" w:cs="宋体"/>
          <w:sz w:val="24"/>
          <w:szCs w:val="24"/>
          <w:lang w:val="en-US" w:eastAsia="zh-CN"/>
        </w:rPr>
        <w:t>机构和工作程序</w:t>
      </w:r>
      <w:r>
        <w:rPr>
          <w:rFonts w:hint="eastAsia" w:ascii="仿宋_GB2312" w:hAnsi="Times New Roman" w:eastAsia="仿宋_GB2312" w:cs="宋体"/>
          <w:sz w:val="24"/>
          <w:szCs w:val="24"/>
        </w:rPr>
        <w:t>要求</w:t>
      </w:r>
      <w:r>
        <w:rPr>
          <w:rFonts w:hint="eastAsia" w:ascii="仿宋_GB2312" w:hAnsi="Times New Roman" w:eastAsia="仿宋_GB2312" w:cs="宋体"/>
          <w:sz w:val="24"/>
          <w:szCs w:val="24"/>
          <w:lang w:eastAsia="zh-CN"/>
        </w:rPr>
        <w:t>，</w:t>
      </w:r>
      <w:r>
        <w:rPr>
          <w:rFonts w:hint="eastAsia" w:ascii="仿宋_GB2312" w:hAnsi="Times New Roman" w:eastAsia="仿宋_GB2312" w:cs="宋体"/>
          <w:sz w:val="24"/>
          <w:szCs w:val="24"/>
          <w:lang w:val="en-US" w:eastAsia="zh-CN"/>
        </w:rPr>
        <w:t>未明确环保监理的内容和要求</w:t>
      </w:r>
      <w:r>
        <w:rPr>
          <w:rFonts w:hint="eastAsia" w:ascii="仿宋_GB2312" w:hAnsi="Times New Roman" w:eastAsia="仿宋_GB2312" w:cs="宋体"/>
          <w:sz w:val="24"/>
          <w:szCs w:val="24"/>
        </w:rPr>
        <w:t>。</w:t>
      </w:r>
      <w:r>
        <w:rPr>
          <w:rFonts w:hint="eastAsia" w:ascii="仿宋_GB2312" w:hAnsi="Times New Roman" w:eastAsia="仿宋_GB2312" w:cs="宋体"/>
          <w:sz w:val="24"/>
          <w:szCs w:val="24"/>
          <w:lang w:val="en-US" w:eastAsia="zh-CN"/>
        </w:rPr>
        <w:t>DL/T 5391-2017《输变电工程环境监理规范》</w:t>
      </w:r>
      <w:r>
        <w:rPr>
          <w:rFonts w:hint="eastAsia" w:ascii="仿宋_GB2312" w:hAnsi="Times New Roman" w:eastAsia="仿宋_GB2312" w:cs="宋体"/>
          <w:sz w:val="24"/>
          <w:szCs w:val="24"/>
        </w:rPr>
        <w:t>针对输变电工程环境监理的专门规范，详细规定了环境监理的职责、工作内容和程序</w:t>
      </w:r>
      <w:r>
        <w:rPr>
          <w:rFonts w:hint="eastAsia" w:ascii="仿宋_GB2312" w:hAnsi="Times New Roman" w:eastAsia="仿宋_GB2312" w:cs="宋体"/>
          <w:sz w:val="24"/>
          <w:szCs w:val="24"/>
          <w:lang w:eastAsia="zh-CN"/>
        </w:rPr>
        <w:t>，</w:t>
      </w:r>
      <w:r>
        <w:rPr>
          <w:rFonts w:hint="eastAsia" w:ascii="仿宋_GB2312" w:hAnsi="Times New Roman" w:eastAsia="仿宋_GB2312" w:cs="宋体"/>
          <w:sz w:val="24"/>
          <w:szCs w:val="24"/>
          <w:lang w:val="en-US" w:eastAsia="zh-CN"/>
        </w:rPr>
        <w:t>未明确水土保持部分的内容和要求。NB/T 10507-2021《输变电工程环境保护监理规程》</w:t>
      </w:r>
      <w:r>
        <w:rPr>
          <w:rFonts w:hint="eastAsia" w:ascii="仿宋_GB2312" w:hAnsi="Times New Roman" w:eastAsia="仿宋_GB2312" w:cs="宋体"/>
          <w:sz w:val="24"/>
          <w:szCs w:val="24"/>
        </w:rPr>
        <w:t>针对输变电工程的环境保护监理工作，明确了监理的范围、内容和要求</w:t>
      </w:r>
      <w:r>
        <w:rPr>
          <w:rFonts w:hint="eastAsia" w:ascii="仿宋_GB2312" w:hAnsi="Times New Roman" w:eastAsia="仿宋_GB2312" w:cs="宋体"/>
          <w:sz w:val="24"/>
          <w:szCs w:val="24"/>
          <w:lang w:eastAsia="zh-CN"/>
        </w:rPr>
        <w:t>，</w:t>
      </w:r>
      <w:r>
        <w:rPr>
          <w:rFonts w:hint="eastAsia" w:ascii="仿宋_GB2312" w:hAnsi="Times New Roman" w:eastAsia="仿宋_GB2312" w:cs="宋体"/>
          <w:sz w:val="24"/>
          <w:szCs w:val="24"/>
          <w:lang w:val="en-US" w:eastAsia="zh-CN"/>
        </w:rPr>
        <w:t>未明确水土保持部分的内容和要求。</w:t>
      </w:r>
    </w:p>
    <w:p w14:paraId="7D1B62DB">
      <w:pPr>
        <w:autoSpaceDE w:val="0"/>
        <w:autoSpaceDN w:val="0"/>
        <w:adjustRightInd w:val="0"/>
        <w:spacing w:line="360" w:lineRule="auto"/>
        <w:ind w:firstLine="480" w:firstLineChars="200"/>
        <w:rPr>
          <w:rFonts w:hint="eastAsia" w:ascii="仿宋_GB2312" w:hAnsi="Times New Roman" w:eastAsia="仿宋_GB2312" w:cs="宋体"/>
          <w:sz w:val="24"/>
          <w:szCs w:val="24"/>
        </w:rPr>
      </w:pPr>
      <w:r>
        <w:rPr>
          <w:rFonts w:hint="eastAsia" w:ascii="仿宋_GB2312" w:hAnsi="Times New Roman" w:eastAsia="仿宋_GB2312" w:cs="宋体"/>
          <w:sz w:val="24"/>
          <w:szCs w:val="24"/>
          <w:lang w:val="en-US" w:eastAsia="zh-CN"/>
        </w:rPr>
        <w:t>浙江电力建设工程咨询有限公司</w:t>
      </w:r>
      <w:r>
        <w:rPr>
          <w:rFonts w:hint="eastAsia" w:ascii="仿宋_GB2312" w:hAnsi="Times New Roman" w:eastAsia="仿宋_GB2312" w:cs="宋体"/>
          <w:sz w:val="24"/>
          <w:szCs w:val="24"/>
        </w:rPr>
        <w:t>根据上述背景，为进一步推进输变电工程</w:t>
      </w:r>
      <w:r>
        <w:rPr>
          <w:rFonts w:hint="eastAsia" w:ascii="仿宋_GB2312" w:hAnsi="Times New Roman" w:eastAsia="仿宋_GB2312" w:cs="宋体"/>
          <w:sz w:val="24"/>
          <w:szCs w:val="24"/>
          <w:lang w:val="en-US" w:eastAsia="zh-CN"/>
        </w:rPr>
        <w:t>环保水保监理</w:t>
      </w:r>
      <w:r>
        <w:rPr>
          <w:rFonts w:hint="eastAsia" w:ascii="仿宋_GB2312" w:hAnsi="Times New Roman" w:eastAsia="仿宋_GB2312" w:cs="宋体"/>
          <w:sz w:val="24"/>
          <w:szCs w:val="24"/>
        </w:rPr>
        <w:t>导则标准化开展，适应新建、扩建、改建的</w:t>
      </w:r>
      <w:r>
        <w:rPr>
          <w:rFonts w:hint="eastAsia" w:ascii="仿宋_GB2312" w:hAnsi="Times New Roman" w:eastAsia="仿宋_GB2312" w:cs="宋体"/>
          <w:sz w:val="24"/>
          <w:szCs w:val="24"/>
          <w:lang w:val="en-US" w:eastAsia="zh-CN"/>
        </w:rPr>
        <w:t>35kV及以上</w:t>
      </w:r>
      <w:r>
        <w:rPr>
          <w:rFonts w:hint="eastAsia" w:ascii="仿宋_GB2312" w:hAnsi="Times New Roman" w:eastAsia="仿宋_GB2312" w:cs="宋体"/>
          <w:sz w:val="24"/>
          <w:szCs w:val="24"/>
        </w:rPr>
        <w:t>输变电工程</w:t>
      </w:r>
      <w:r>
        <w:rPr>
          <w:rFonts w:hint="eastAsia" w:ascii="仿宋_GB2312" w:hAnsi="Times New Roman" w:eastAsia="仿宋_GB2312" w:cs="宋体"/>
          <w:sz w:val="24"/>
          <w:szCs w:val="24"/>
          <w:lang w:val="en-US" w:eastAsia="zh-CN"/>
        </w:rPr>
        <w:t>环境监理和水土保持监理工作</w:t>
      </w:r>
      <w:r>
        <w:rPr>
          <w:rFonts w:hint="eastAsia" w:ascii="仿宋_GB2312" w:hAnsi="Times New Roman" w:eastAsia="仿宋_GB2312" w:cs="宋体"/>
          <w:sz w:val="24"/>
          <w:szCs w:val="24"/>
        </w:rPr>
        <w:t>，组织开展本标准编制工作并向中国电力建设企业协会提出申请。</w:t>
      </w:r>
    </w:p>
    <w:p w14:paraId="74BCC60E">
      <w:pPr>
        <w:pStyle w:val="13"/>
        <w:numPr>
          <w:ilvl w:val="1"/>
          <w:numId w:val="1"/>
        </w:numPr>
        <w:autoSpaceDE w:val="0"/>
        <w:autoSpaceDN w:val="0"/>
        <w:adjustRightInd w:val="0"/>
        <w:spacing w:line="360" w:lineRule="auto"/>
        <w:ind w:firstLineChars="0"/>
        <w:outlineLvl w:val="1"/>
        <w:rPr>
          <w:rFonts w:hint="eastAsia" w:ascii="仿宋_GB2312" w:hAnsi="Times New Roman" w:eastAsia="仿宋_GB2312" w:cs="宋体"/>
          <w:sz w:val="24"/>
          <w:szCs w:val="24"/>
          <w:lang w:eastAsia="zh-CN"/>
        </w:rPr>
      </w:pPr>
      <w:bookmarkStart w:id="4" w:name="_Toc179902669"/>
      <w:r>
        <w:rPr>
          <w:rFonts w:hint="eastAsia" w:ascii="方正楷体_GBK" w:hAnsi="楷体_GB2312" w:eastAsia="方正楷体_GBK" w:cs="宋体"/>
          <w:b/>
          <w:bCs/>
          <w:sz w:val="24"/>
          <w:szCs w:val="24"/>
        </w:rPr>
        <w:t>编制单位</w:t>
      </w:r>
      <w:bookmarkEnd w:id="4"/>
    </w:p>
    <w:p w14:paraId="679C9400">
      <w:pPr>
        <w:autoSpaceDE w:val="0"/>
        <w:autoSpaceDN w:val="0"/>
        <w:adjustRightInd w:val="0"/>
        <w:spacing w:line="360" w:lineRule="auto"/>
        <w:ind w:firstLine="480" w:firstLineChars="200"/>
        <w:rPr>
          <w:rFonts w:hint="eastAsia" w:ascii="仿宋_GB2312" w:hAnsi="Times New Roman" w:eastAsia="仿宋_GB2312" w:cs="宋体"/>
          <w:sz w:val="24"/>
          <w:szCs w:val="24"/>
          <w:lang w:val="en-US" w:eastAsia="zh-CN"/>
        </w:rPr>
      </w:pPr>
      <w:bookmarkStart w:id="5" w:name="_Toc179902670"/>
      <w:r>
        <w:rPr>
          <w:rFonts w:hint="eastAsia" w:ascii="仿宋_GB2312" w:hAnsi="Times New Roman" w:eastAsia="仿宋_GB2312" w:cs="宋体"/>
          <w:sz w:val="24"/>
          <w:szCs w:val="24"/>
          <w:lang w:val="en-US" w:eastAsia="zh-CN"/>
        </w:rPr>
        <w:t>浙江电力建设工程咨询有限公司</w:t>
      </w:r>
    </w:p>
    <w:p w14:paraId="0838FC72">
      <w:pPr>
        <w:autoSpaceDE w:val="0"/>
        <w:autoSpaceDN w:val="0"/>
        <w:adjustRightInd w:val="0"/>
        <w:spacing w:line="360" w:lineRule="auto"/>
        <w:ind w:firstLine="480" w:firstLineChars="200"/>
        <w:rPr>
          <w:rFonts w:hint="eastAsia" w:ascii="仿宋_GB2312" w:hAnsi="Times New Roman" w:eastAsia="仿宋_GB2312" w:cs="宋体"/>
          <w:sz w:val="24"/>
          <w:szCs w:val="24"/>
          <w:lang w:val="en-US" w:eastAsia="zh-CN"/>
        </w:rPr>
      </w:pPr>
      <w:r>
        <w:rPr>
          <w:rFonts w:hint="eastAsia" w:ascii="仿宋_GB2312" w:hAnsi="Times New Roman" w:eastAsia="仿宋_GB2312" w:cs="宋体"/>
          <w:sz w:val="24"/>
          <w:szCs w:val="24"/>
        </w:rPr>
        <w:t>广东创成建设监理咨询有限</w:t>
      </w:r>
      <w:r>
        <w:rPr>
          <w:rFonts w:hint="eastAsia" w:ascii="仿宋_GB2312" w:hAnsi="Times New Roman" w:eastAsia="仿宋_GB2312" w:cs="宋体"/>
          <w:sz w:val="24"/>
          <w:szCs w:val="24"/>
          <w:lang w:val="en-US" w:eastAsia="zh-CN"/>
        </w:rPr>
        <w:t>公司</w:t>
      </w:r>
    </w:p>
    <w:p w14:paraId="2C9E1C03">
      <w:pPr>
        <w:autoSpaceDE w:val="0"/>
        <w:autoSpaceDN w:val="0"/>
        <w:adjustRightInd w:val="0"/>
        <w:spacing w:line="360" w:lineRule="auto"/>
        <w:ind w:firstLine="480" w:firstLineChars="200"/>
        <w:rPr>
          <w:rFonts w:hint="default" w:ascii="仿宋_GB2312" w:hAnsi="Times New Roman" w:eastAsia="仿宋_GB2312" w:cs="宋体"/>
          <w:sz w:val="24"/>
          <w:szCs w:val="24"/>
          <w:lang w:val="en-US" w:eastAsia="zh-CN"/>
        </w:rPr>
      </w:pPr>
      <w:r>
        <w:rPr>
          <w:rFonts w:hint="eastAsia" w:ascii="仿宋_GB2312" w:hAnsi="Times New Roman" w:eastAsia="仿宋_GB2312" w:cs="宋体"/>
          <w:sz w:val="24"/>
          <w:szCs w:val="24"/>
          <w:lang w:val="en-US" w:eastAsia="zh-CN"/>
        </w:rPr>
        <w:t>辽宁电力建设监理有限公司</w:t>
      </w:r>
    </w:p>
    <w:p w14:paraId="766B8E77">
      <w:pPr>
        <w:autoSpaceDE w:val="0"/>
        <w:autoSpaceDN w:val="0"/>
        <w:adjustRightInd w:val="0"/>
        <w:spacing w:line="360" w:lineRule="auto"/>
        <w:ind w:firstLine="480" w:firstLineChars="200"/>
        <w:rPr>
          <w:rFonts w:hint="eastAsia" w:ascii="仿宋_GB2312" w:hAnsi="Times New Roman" w:eastAsia="仿宋_GB2312" w:cs="宋体"/>
          <w:sz w:val="24"/>
          <w:szCs w:val="24"/>
          <w:lang w:val="en-US" w:eastAsia="zh-CN"/>
        </w:rPr>
      </w:pPr>
      <w:r>
        <w:rPr>
          <w:rFonts w:hint="default" w:ascii="仿宋_GB2312" w:hAnsi="Times New Roman" w:eastAsia="仿宋_GB2312" w:cs="宋体"/>
          <w:sz w:val="24"/>
          <w:szCs w:val="24"/>
          <w:lang w:val="en-US" w:eastAsia="zh-CN"/>
        </w:rPr>
        <w:t>贵州电力建设监理咨询有限责任公司</w:t>
      </w:r>
    </w:p>
    <w:p w14:paraId="676C3985">
      <w:pPr>
        <w:autoSpaceDE w:val="0"/>
        <w:autoSpaceDN w:val="0"/>
        <w:adjustRightInd w:val="0"/>
        <w:spacing w:line="360" w:lineRule="auto"/>
        <w:ind w:firstLine="480" w:firstLineChars="200"/>
        <w:rPr>
          <w:rFonts w:hint="default" w:ascii="仿宋_GB2312" w:hAnsi="Times New Roman" w:eastAsia="仿宋_GB2312" w:cs="宋体"/>
          <w:sz w:val="24"/>
          <w:szCs w:val="24"/>
          <w:lang w:val="en-US" w:eastAsia="zh-CN"/>
        </w:rPr>
      </w:pPr>
      <w:r>
        <w:rPr>
          <w:rFonts w:hint="eastAsia" w:ascii="仿宋_GB2312" w:hAnsi="Times New Roman" w:eastAsia="仿宋_GB2312" w:cs="宋体"/>
          <w:sz w:val="24"/>
          <w:szCs w:val="24"/>
          <w:lang w:val="en-US" w:eastAsia="zh-CN"/>
        </w:rPr>
        <w:t>国网山西经研院</w:t>
      </w:r>
    </w:p>
    <w:p w14:paraId="572BA72E">
      <w:pPr>
        <w:autoSpaceDE w:val="0"/>
        <w:autoSpaceDN w:val="0"/>
        <w:adjustRightInd w:val="0"/>
        <w:spacing w:line="360" w:lineRule="auto"/>
        <w:ind w:firstLine="480" w:firstLineChars="200"/>
        <w:rPr>
          <w:rFonts w:hint="default" w:ascii="仿宋_GB2312" w:hAnsi="Times New Roman" w:eastAsia="仿宋_GB2312" w:cs="宋体"/>
          <w:sz w:val="24"/>
          <w:szCs w:val="24"/>
          <w:lang w:val="en-US"/>
        </w:rPr>
      </w:pPr>
      <w:r>
        <w:rPr>
          <w:rFonts w:hint="eastAsia" w:ascii="仿宋_GB2312" w:hAnsi="Times New Roman" w:eastAsia="仿宋_GB2312" w:cs="宋体"/>
          <w:sz w:val="24"/>
          <w:szCs w:val="24"/>
          <w:lang w:val="en-US" w:eastAsia="zh-CN"/>
        </w:rPr>
        <w:t>湖南电力工程咨询有限公司</w:t>
      </w:r>
    </w:p>
    <w:p w14:paraId="1641F9FB">
      <w:pPr>
        <w:autoSpaceDE w:val="0"/>
        <w:autoSpaceDN w:val="0"/>
        <w:adjustRightInd w:val="0"/>
        <w:spacing w:line="360" w:lineRule="auto"/>
        <w:ind w:firstLine="480" w:firstLineChars="200"/>
        <w:rPr>
          <w:rFonts w:hint="eastAsia" w:ascii="仿宋_GB2312" w:hAnsi="Times New Roman" w:eastAsia="仿宋_GB2312" w:cs="宋体"/>
          <w:sz w:val="24"/>
          <w:szCs w:val="24"/>
          <w:lang w:val="en-US" w:eastAsia="zh-CN"/>
        </w:rPr>
      </w:pPr>
      <w:r>
        <w:rPr>
          <w:rFonts w:hint="eastAsia" w:ascii="仿宋_GB2312" w:hAnsi="Times New Roman" w:eastAsia="仿宋_GB2312" w:cs="宋体"/>
          <w:sz w:val="24"/>
          <w:szCs w:val="24"/>
          <w:lang w:val="en-US" w:eastAsia="zh-CN"/>
        </w:rPr>
        <w:t>浙江中水东方建设工程咨询有限公司</w:t>
      </w:r>
    </w:p>
    <w:p w14:paraId="7868EAAD">
      <w:pPr>
        <w:autoSpaceDE w:val="0"/>
        <w:autoSpaceDN w:val="0"/>
        <w:adjustRightInd w:val="0"/>
        <w:spacing w:line="360" w:lineRule="auto"/>
        <w:ind w:firstLine="480" w:firstLineChars="200"/>
        <w:rPr>
          <w:rFonts w:hint="eastAsia" w:ascii="仿宋_GB2312" w:hAnsi="Times New Roman" w:eastAsia="仿宋_GB2312" w:cs="宋体"/>
          <w:sz w:val="24"/>
          <w:szCs w:val="24"/>
          <w:lang w:val="en-US" w:eastAsia="zh-CN"/>
        </w:rPr>
      </w:pPr>
      <w:r>
        <w:rPr>
          <w:rFonts w:hint="eastAsia" w:ascii="仿宋_GB2312" w:hAnsi="Times New Roman" w:eastAsia="仿宋_GB2312" w:cs="宋体"/>
          <w:sz w:val="24"/>
          <w:szCs w:val="24"/>
          <w:lang w:val="en-US" w:eastAsia="zh-CN"/>
        </w:rPr>
        <w:t>浙江省送变电工程有限公司</w:t>
      </w:r>
    </w:p>
    <w:p w14:paraId="1FE2ABD3">
      <w:pPr>
        <w:pStyle w:val="13"/>
        <w:numPr>
          <w:ilvl w:val="1"/>
          <w:numId w:val="1"/>
        </w:numPr>
        <w:autoSpaceDE w:val="0"/>
        <w:autoSpaceDN w:val="0"/>
        <w:adjustRightInd w:val="0"/>
        <w:spacing w:line="360" w:lineRule="auto"/>
        <w:ind w:firstLineChars="0"/>
        <w:outlineLvl w:val="1"/>
        <w:rPr>
          <w:rFonts w:ascii="方正楷体_GBK" w:hAnsi="楷体_GB2312" w:eastAsia="方正楷体_GBK" w:cs="宋体"/>
          <w:b/>
          <w:bCs/>
          <w:sz w:val="24"/>
          <w:szCs w:val="24"/>
        </w:rPr>
      </w:pPr>
      <w:r>
        <w:rPr>
          <w:rFonts w:hint="eastAsia" w:ascii="方正楷体_GBK" w:hAnsi="楷体_GB2312" w:eastAsia="方正楷体_GBK" w:cs="宋体"/>
          <w:b/>
          <w:bCs/>
          <w:sz w:val="24"/>
          <w:szCs w:val="24"/>
        </w:rPr>
        <w:t>主要工作过程</w:t>
      </w:r>
      <w:bookmarkEnd w:id="5"/>
    </w:p>
    <w:p w14:paraId="37EE857E">
      <w:pPr>
        <w:autoSpaceDE w:val="0"/>
        <w:autoSpaceDN w:val="0"/>
        <w:adjustRightInd w:val="0"/>
        <w:spacing w:line="360" w:lineRule="auto"/>
        <w:ind w:firstLine="480" w:firstLineChars="200"/>
        <w:rPr>
          <w:rFonts w:hint="eastAsia" w:ascii="仿宋_GB2312" w:hAnsi="Times New Roman" w:eastAsia="仿宋_GB2312" w:cs="宋体"/>
          <w:sz w:val="24"/>
          <w:szCs w:val="24"/>
          <w:lang w:eastAsia="zh-CN"/>
        </w:rPr>
      </w:pPr>
      <w:r>
        <w:rPr>
          <w:rFonts w:hint="eastAsia" w:ascii="仿宋_GB2312" w:hAnsi="Times New Roman" w:eastAsia="仿宋_GB2312" w:cs="宋体"/>
          <w:sz w:val="24"/>
          <w:szCs w:val="24"/>
        </w:rPr>
        <w:t>202</w:t>
      </w:r>
      <w:r>
        <w:rPr>
          <w:rFonts w:hint="eastAsia" w:ascii="仿宋_GB2312" w:hAnsi="Times New Roman" w:eastAsia="仿宋_GB2312" w:cs="宋体"/>
          <w:sz w:val="24"/>
          <w:szCs w:val="24"/>
          <w:lang w:val="en-US" w:eastAsia="zh-CN"/>
        </w:rPr>
        <w:t>5</w:t>
      </w:r>
      <w:r>
        <w:rPr>
          <w:rFonts w:hint="eastAsia" w:ascii="仿宋_GB2312" w:hAnsi="Times New Roman" w:eastAsia="仿宋_GB2312" w:cs="宋体"/>
          <w:sz w:val="24"/>
          <w:szCs w:val="24"/>
        </w:rPr>
        <w:t>年</w:t>
      </w:r>
      <w:r>
        <w:rPr>
          <w:rFonts w:hint="eastAsia" w:ascii="仿宋_GB2312" w:hAnsi="Times New Roman" w:eastAsia="仿宋_GB2312" w:cs="宋体"/>
          <w:sz w:val="24"/>
          <w:szCs w:val="24"/>
          <w:lang w:val="en-US" w:eastAsia="zh-CN"/>
        </w:rPr>
        <w:t>7</w:t>
      </w:r>
      <w:r>
        <w:rPr>
          <w:rFonts w:hint="eastAsia" w:ascii="仿宋_GB2312" w:hAnsi="Times New Roman" w:eastAsia="仿宋_GB2312" w:cs="宋体"/>
          <w:sz w:val="24"/>
          <w:szCs w:val="24"/>
        </w:rPr>
        <w:t>月</w:t>
      </w:r>
      <w:r>
        <w:rPr>
          <w:rFonts w:hint="eastAsia" w:ascii="仿宋_GB2312" w:hAnsi="Times New Roman" w:eastAsia="仿宋_GB2312" w:cs="宋体"/>
          <w:sz w:val="24"/>
          <w:szCs w:val="24"/>
          <w:lang w:val="en-US" w:eastAsia="zh-CN"/>
        </w:rPr>
        <w:t>21</w:t>
      </w:r>
      <w:r>
        <w:rPr>
          <w:rFonts w:hint="eastAsia" w:ascii="仿宋_GB2312" w:hAnsi="Times New Roman" w:eastAsia="仿宋_GB2312" w:cs="宋体"/>
          <w:sz w:val="24"/>
          <w:szCs w:val="24"/>
        </w:rPr>
        <w:t>日，</w:t>
      </w:r>
      <w:r>
        <w:rPr>
          <w:rFonts w:hint="eastAsia" w:ascii="仿宋_GB2312" w:hAnsi="Times New Roman" w:eastAsia="仿宋_GB2312" w:cs="宋体"/>
          <w:sz w:val="24"/>
          <w:szCs w:val="24"/>
          <w:lang w:val="en-US" w:eastAsia="zh-CN"/>
        </w:rPr>
        <w:t>浙江电力建设工程咨询有限公司</w:t>
      </w:r>
      <w:r>
        <w:rPr>
          <w:rFonts w:hint="eastAsia" w:ascii="仿宋_GB2312" w:hAnsi="Times New Roman" w:eastAsia="仿宋_GB2312" w:cs="宋体"/>
          <w:sz w:val="24"/>
          <w:szCs w:val="24"/>
        </w:rPr>
        <w:t>联系了输变电工程</w:t>
      </w:r>
      <w:r>
        <w:rPr>
          <w:rFonts w:hint="eastAsia" w:ascii="仿宋_GB2312" w:hAnsi="Times New Roman" w:eastAsia="仿宋_GB2312" w:cs="宋体"/>
          <w:sz w:val="24"/>
          <w:szCs w:val="24"/>
          <w:lang w:val="en-US" w:eastAsia="zh-CN"/>
        </w:rPr>
        <w:t>环保水保监理</w:t>
      </w:r>
      <w:r>
        <w:rPr>
          <w:rFonts w:hint="eastAsia" w:ascii="仿宋_GB2312" w:hAnsi="Times New Roman" w:eastAsia="仿宋_GB2312" w:cs="宋体"/>
          <w:sz w:val="24"/>
          <w:szCs w:val="24"/>
        </w:rPr>
        <w:t>相关工作经验丰富的咨询单位、施工单位、</w:t>
      </w:r>
      <w:r>
        <w:rPr>
          <w:rFonts w:hint="eastAsia" w:ascii="仿宋_GB2312" w:hAnsi="Times New Roman" w:eastAsia="仿宋_GB2312" w:cs="宋体"/>
          <w:sz w:val="24"/>
          <w:szCs w:val="24"/>
          <w:lang w:val="en-US" w:eastAsia="zh-CN"/>
        </w:rPr>
        <w:t>经研院</w:t>
      </w:r>
      <w:r>
        <w:rPr>
          <w:rFonts w:hint="eastAsia" w:ascii="仿宋_GB2312" w:hAnsi="Times New Roman" w:eastAsia="仿宋_GB2312" w:cs="宋体"/>
          <w:sz w:val="24"/>
          <w:szCs w:val="24"/>
        </w:rPr>
        <w:t>等，涵盖国家电网、南方电网</w:t>
      </w:r>
      <w:r>
        <w:rPr>
          <w:rFonts w:hint="eastAsia" w:ascii="仿宋_GB2312" w:hAnsi="Times New Roman" w:eastAsia="仿宋_GB2312" w:cs="宋体"/>
          <w:sz w:val="24"/>
          <w:szCs w:val="24"/>
          <w:lang w:val="en-US" w:eastAsia="zh-CN"/>
        </w:rPr>
        <w:t>两</w:t>
      </w:r>
      <w:r>
        <w:rPr>
          <w:rFonts w:hint="eastAsia" w:ascii="仿宋_GB2312" w:hAnsi="Times New Roman" w:eastAsia="仿宋_GB2312" w:cs="宋体"/>
          <w:sz w:val="24"/>
          <w:szCs w:val="24"/>
        </w:rPr>
        <w:t>大电网，成立标准编制工作组。参编单位包括单位：广东创成建设监理咨询有限</w:t>
      </w:r>
      <w:r>
        <w:rPr>
          <w:rFonts w:hint="eastAsia" w:ascii="仿宋_GB2312" w:hAnsi="Times New Roman" w:eastAsia="仿宋_GB2312" w:cs="宋体"/>
          <w:sz w:val="24"/>
          <w:szCs w:val="24"/>
          <w:lang w:val="en-US" w:eastAsia="zh-CN"/>
        </w:rPr>
        <w:t>公司、辽宁电力建设监理有限公司、</w:t>
      </w:r>
      <w:r>
        <w:rPr>
          <w:rFonts w:hint="default" w:ascii="仿宋_GB2312" w:hAnsi="Times New Roman" w:eastAsia="仿宋_GB2312" w:cs="宋体"/>
          <w:sz w:val="24"/>
          <w:szCs w:val="24"/>
          <w:lang w:val="en-US" w:eastAsia="zh-CN"/>
        </w:rPr>
        <w:t>贵州电力建设监理咨询有限责任公司</w:t>
      </w:r>
      <w:r>
        <w:rPr>
          <w:rFonts w:hint="eastAsia" w:ascii="仿宋_GB2312" w:hAnsi="Times New Roman" w:eastAsia="仿宋_GB2312" w:cs="宋体"/>
          <w:sz w:val="24"/>
          <w:szCs w:val="24"/>
          <w:lang w:val="en-US" w:eastAsia="zh-CN"/>
        </w:rPr>
        <w:t>、国网山西经研院、湖南电力工程咨询有限公司、浙江中水东方建设工程咨询有限公司、浙江省送变电工程有限公司</w:t>
      </w:r>
      <w:r>
        <w:rPr>
          <w:rFonts w:hint="eastAsia" w:ascii="仿宋_GB2312" w:hAnsi="Times New Roman" w:eastAsia="仿宋_GB2312" w:cs="宋体"/>
          <w:sz w:val="24"/>
          <w:szCs w:val="24"/>
          <w:lang w:eastAsia="zh-CN"/>
        </w:rPr>
        <w:t>。</w:t>
      </w:r>
    </w:p>
    <w:p w14:paraId="60124C6F">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202</w:t>
      </w:r>
      <w:r>
        <w:rPr>
          <w:rFonts w:hint="eastAsia" w:ascii="仿宋_GB2312" w:hAnsi="Times New Roman" w:eastAsia="仿宋_GB2312" w:cs="宋体"/>
          <w:sz w:val="24"/>
          <w:szCs w:val="24"/>
          <w:lang w:val="en-US" w:eastAsia="zh-CN"/>
        </w:rPr>
        <w:t>5</w:t>
      </w:r>
      <w:r>
        <w:rPr>
          <w:rFonts w:hint="eastAsia" w:ascii="仿宋_GB2312" w:hAnsi="Times New Roman" w:eastAsia="仿宋_GB2312" w:cs="宋体"/>
          <w:sz w:val="24"/>
          <w:szCs w:val="24"/>
        </w:rPr>
        <w:t>年</w:t>
      </w:r>
      <w:r>
        <w:rPr>
          <w:rFonts w:hint="eastAsia" w:ascii="仿宋_GB2312" w:hAnsi="Times New Roman" w:eastAsia="仿宋_GB2312" w:cs="宋体"/>
          <w:sz w:val="24"/>
          <w:szCs w:val="24"/>
          <w:lang w:val="en-US" w:eastAsia="zh-CN"/>
        </w:rPr>
        <w:t>7</w:t>
      </w:r>
      <w:r>
        <w:rPr>
          <w:rFonts w:hint="eastAsia" w:ascii="仿宋_GB2312" w:hAnsi="Times New Roman" w:eastAsia="仿宋_GB2312" w:cs="宋体"/>
          <w:sz w:val="24"/>
          <w:szCs w:val="24"/>
        </w:rPr>
        <w:t>月</w:t>
      </w:r>
      <w:r>
        <w:rPr>
          <w:rFonts w:hint="eastAsia" w:ascii="仿宋_GB2312" w:hAnsi="Times New Roman" w:eastAsia="仿宋_GB2312" w:cs="宋体"/>
          <w:sz w:val="24"/>
          <w:szCs w:val="24"/>
          <w:lang w:val="en-US" w:eastAsia="zh-CN"/>
        </w:rPr>
        <w:t>29</w:t>
      </w:r>
      <w:r>
        <w:rPr>
          <w:rFonts w:hint="eastAsia" w:ascii="仿宋_GB2312" w:hAnsi="Times New Roman" w:eastAsia="仿宋_GB2312" w:cs="宋体"/>
          <w:sz w:val="24"/>
          <w:szCs w:val="24"/>
        </w:rPr>
        <w:t>日，标准编制工作组在</w:t>
      </w:r>
      <w:r>
        <w:rPr>
          <w:rFonts w:hint="eastAsia" w:ascii="仿宋_GB2312" w:hAnsi="Times New Roman" w:eastAsia="仿宋_GB2312" w:cs="宋体"/>
          <w:sz w:val="24"/>
          <w:szCs w:val="24"/>
          <w:lang w:val="en-US" w:eastAsia="zh-CN"/>
        </w:rPr>
        <w:t>线上</w:t>
      </w:r>
      <w:r>
        <w:rPr>
          <w:rFonts w:hint="eastAsia" w:ascii="仿宋_GB2312" w:hAnsi="Times New Roman" w:eastAsia="仿宋_GB2312" w:cs="宋体"/>
          <w:sz w:val="24"/>
          <w:szCs w:val="24"/>
        </w:rPr>
        <w:t>组织召开了标准编制</w:t>
      </w:r>
      <w:r>
        <w:rPr>
          <w:rFonts w:hint="eastAsia" w:ascii="仿宋_GB2312" w:hAnsi="Times New Roman" w:eastAsia="仿宋_GB2312" w:cs="宋体"/>
          <w:sz w:val="24"/>
          <w:szCs w:val="24"/>
          <w:lang w:val="en-US" w:eastAsia="zh-CN"/>
        </w:rPr>
        <w:t>启动</w:t>
      </w:r>
      <w:r>
        <w:rPr>
          <w:rFonts w:hint="eastAsia" w:ascii="仿宋_GB2312" w:hAnsi="Times New Roman" w:eastAsia="仿宋_GB2312" w:cs="宋体"/>
          <w:sz w:val="24"/>
          <w:szCs w:val="24"/>
        </w:rPr>
        <w:t>会，统一确定了标准名称，对初稿主要内容进行讨论，确认标准按照《标准化工作导则第1部分:标准化文件的结构和起草规则》</w:t>
      </w:r>
      <w:r>
        <w:rPr>
          <w:rFonts w:hint="eastAsia" w:ascii="仿宋_GB2312" w:hAnsi="Times New Roman" w:eastAsia="仿宋_GB2312" w:cs="宋体"/>
          <w:sz w:val="24"/>
          <w:szCs w:val="24"/>
          <w:lang w:eastAsia="zh-CN"/>
        </w:rPr>
        <w:t>（</w:t>
      </w:r>
      <w:r>
        <w:rPr>
          <w:rFonts w:hint="eastAsia" w:ascii="仿宋_GB2312" w:hAnsi="Times New Roman" w:eastAsia="仿宋_GB2312" w:cs="宋体"/>
          <w:sz w:val="24"/>
          <w:szCs w:val="24"/>
        </w:rPr>
        <w:t>GB/T1.1-2020</w:t>
      </w:r>
      <w:r>
        <w:rPr>
          <w:rFonts w:hint="eastAsia" w:ascii="仿宋_GB2312" w:hAnsi="Times New Roman" w:eastAsia="仿宋_GB2312" w:cs="宋体"/>
          <w:sz w:val="24"/>
          <w:szCs w:val="24"/>
          <w:lang w:eastAsia="zh-CN"/>
        </w:rPr>
        <w:t>）</w:t>
      </w:r>
      <w:r>
        <w:rPr>
          <w:rFonts w:hint="eastAsia" w:ascii="仿宋_GB2312" w:hAnsi="Times New Roman" w:eastAsia="仿宋_GB2312" w:cs="宋体"/>
          <w:sz w:val="24"/>
          <w:szCs w:val="24"/>
        </w:rPr>
        <w:t>和《标准编写规则》</w:t>
      </w:r>
      <w:r>
        <w:rPr>
          <w:rFonts w:hint="eastAsia" w:ascii="仿宋_GB2312" w:hAnsi="Times New Roman" w:eastAsia="仿宋_GB2312" w:cs="宋体"/>
          <w:sz w:val="24"/>
          <w:szCs w:val="24"/>
          <w:lang w:eastAsia="zh-CN"/>
        </w:rPr>
        <w:t>（</w:t>
      </w:r>
      <w:r>
        <w:rPr>
          <w:rFonts w:hint="eastAsia" w:ascii="仿宋_GB2312" w:hAnsi="Times New Roman" w:eastAsia="仿宋_GB2312" w:cs="宋体"/>
          <w:sz w:val="24"/>
          <w:szCs w:val="24"/>
        </w:rPr>
        <w:t>GB/T20001</w:t>
      </w:r>
      <w:r>
        <w:rPr>
          <w:rFonts w:hint="eastAsia" w:ascii="仿宋_GB2312" w:hAnsi="Times New Roman" w:eastAsia="仿宋_GB2312" w:cs="宋体"/>
          <w:sz w:val="24"/>
          <w:szCs w:val="24"/>
          <w:lang w:eastAsia="zh-CN"/>
        </w:rPr>
        <w:t>）</w:t>
      </w:r>
      <w:r>
        <w:rPr>
          <w:rFonts w:hint="eastAsia" w:ascii="仿宋_GB2312" w:hAnsi="Times New Roman" w:eastAsia="仿宋_GB2312" w:cs="宋体"/>
          <w:sz w:val="24"/>
          <w:szCs w:val="24"/>
        </w:rPr>
        <w:t>的规定格式编写，明确了标准大纲、编制分工及后续编写工作计划。</w:t>
      </w:r>
    </w:p>
    <w:p w14:paraId="5C3756A0">
      <w:pPr>
        <w:autoSpaceDE w:val="0"/>
        <w:autoSpaceDN w:val="0"/>
        <w:adjustRightInd w:val="0"/>
        <w:spacing w:line="360" w:lineRule="auto"/>
        <w:ind w:firstLine="480" w:firstLineChars="200"/>
        <w:rPr>
          <w:rFonts w:hint="eastAsia" w:ascii="仿宋_GB2312" w:hAnsi="Times New Roman" w:eastAsia="仿宋_GB2312" w:cs="宋体"/>
          <w:sz w:val="24"/>
          <w:szCs w:val="24"/>
        </w:rPr>
      </w:pPr>
      <w:r>
        <w:rPr>
          <w:rFonts w:hint="eastAsia" w:ascii="仿宋_GB2312" w:hAnsi="Times New Roman" w:eastAsia="仿宋_GB2312" w:cs="宋体"/>
          <w:sz w:val="24"/>
          <w:szCs w:val="24"/>
        </w:rPr>
        <w:t>2</w:t>
      </w:r>
      <w:r>
        <w:rPr>
          <w:rFonts w:ascii="仿宋_GB2312" w:hAnsi="Times New Roman" w:eastAsia="仿宋_GB2312" w:cs="宋体"/>
          <w:sz w:val="24"/>
          <w:szCs w:val="24"/>
        </w:rPr>
        <w:t>02</w:t>
      </w:r>
      <w:r>
        <w:rPr>
          <w:rFonts w:hint="eastAsia" w:ascii="仿宋_GB2312" w:hAnsi="Times New Roman" w:eastAsia="仿宋_GB2312" w:cs="宋体"/>
          <w:sz w:val="24"/>
          <w:szCs w:val="24"/>
          <w:lang w:val="en-US" w:eastAsia="zh-CN"/>
        </w:rPr>
        <w:t>5</w:t>
      </w:r>
      <w:r>
        <w:rPr>
          <w:rFonts w:hint="eastAsia" w:ascii="仿宋_GB2312" w:hAnsi="Times New Roman" w:eastAsia="仿宋_GB2312" w:cs="宋体"/>
          <w:sz w:val="24"/>
          <w:szCs w:val="24"/>
        </w:rPr>
        <w:t>年</w:t>
      </w:r>
      <w:r>
        <w:rPr>
          <w:rFonts w:hint="eastAsia" w:ascii="仿宋_GB2312" w:hAnsi="Times New Roman" w:eastAsia="仿宋_GB2312" w:cs="宋体"/>
          <w:sz w:val="24"/>
          <w:szCs w:val="24"/>
          <w:lang w:val="en-US" w:eastAsia="zh-CN"/>
        </w:rPr>
        <w:t>9</w:t>
      </w:r>
      <w:r>
        <w:rPr>
          <w:rFonts w:hint="eastAsia" w:ascii="仿宋_GB2312" w:hAnsi="Times New Roman" w:eastAsia="仿宋_GB2312" w:cs="宋体"/>
          <w:sz w:val="24"/>
          <w:szCs w:val="24"/>
        </w:rPr>
        <w:t>月2</w:t>
      </w:r>
      <w:r>
        <w:rPr>
          <w:rFonts w:hint="eastAsia" w:ascii="仿宋_GB2312" w:hAnsi="Times New Roman" w:eastAsia="仿宋_GB2312" w:cs="宋体"/>
          <w:sz w:val="24"/>
          <w:szCs w:val="24"/>
          <w:lang w:val="en-US" w:eastAsia="zh-CN"/>
        </w:rPr>
        <w:t>3</w:t>
      </w:r>
      <w:r>
        <w:rPr>
          <w:rFonts w:hint="eastAsia" w:ascii="仿宋_GB2312" w:hAnsi="Times New Roman" w:eastAsia="仿宋_GB2312" w:cs="宋体"/>
          <w:sz w:val="24"/>
          <w:szCs w:val="24"/>
        </w:rPr>
        <w:t>日-</w:t>
      </w:r>
      <w:r>
        <w:rPr>
          <w:rFonts w:ascii="仿宋_GB2312" w:hAnsi="Times New Roman" w:eastAsia="仿宋_GB2312" w:cs="宋体"/>
          <w:sz w:val="24"/>
          <w:szCs w:val="24"/>
        </w:rPr>
        <w:t>2</w:t>
      </w:r>
      <w:r>
        <w:rPr>
          <w:rFonts w:hint="eastAsia" w:ascii="仿宋_GB2312" w:hAnsi="Times New Roman" w:eastAsia="仿宋_GB2312" w:cs="宋体"/>
          <w:sz w:val="24"/>
          <w:szCs w:val="24"/>
          <w:lang w:val="en-US" w:eastAsia="zh-CN"/>
        </w:rPr>
        <w:t>4</w:t>
      </w:r>
      <w:r>
        <w:rPr>
          <w:rFonts w:hint="eastAsia" w:ascii="仿宋_GB2312" w:hAnsi="Times New Roman" w:eastAsia="仿宋_GB2312" w:cs="宋体"/>
          <w:sz w:val="24"/>
          <w:szCs w:val="24"/>
        </w:rPr>
        <w:t>日，中国电力建设企业协会在</w:t>
      </w:r>
      <w:r>
        <w:rPr>
          <w:rFonts w:hint="eastAsia" w:ascii="仿宋_GB2312" w:hAnsi="Times New Roman" w:eastAsia="仿宋_GB2312" w:cs="宋体"/>
          <w:sz w:val="24"/>
          <w:szCs w:val="24"/>
          <w:lang w:val="en-US" w:eastAsia="zh-CN"/>
        </w:rPr>
        <w:t>湖南长沙</w:t>
      </w:r>
      <w:r>
        <w:rPr>
          <w:rFonts w:hint="eastAsia" w:ascii="仿宋_GB2312" w:hAnsi="Times New Roman" w:eastAsia="仿宋_GB2312" w:cs="宋体"/>
          <w:sz w:val="24"/>
          <w:szCs w:val="24"/>
        </w:rPr>
        <w:t>召开了</w:t>
      </w:r>
      <w:r>
        <w:rPr>
          <w:rFonts w:hint="eastAsia" w:ascii="仿宋_GB2312" w:hAnsi="Times New Roman" w:eastAsia="仿宋_GB2312" w:cs="宋体"/>
          <w:sz w:val="24"/>
          <w:szCs w:val="24"/>
          <w:lang w:val="en-US" w:eastAsia="zh-CN"/>
        </w:rPr>
        <w:t>初稿集中讨论会</w:t>
      </w:r>
      <w:r>
        <w:rPr>
          <w:rFonts w:hint="eastAsia" w:ascii="仿宋_GB2312" w:hAnsi="Times New Roman" w:eastAsia="仿宋_GB2312" w:cs="宋体"/>
          <w:sz w:val="24"/>
          <w:szCs w:val="24"/>
        </w:rPr>
        <w:t>，邀请相关单位专家参会标准编制工作组组织参编单位根据标准大纲及分工，对初稿进行修改完善，汇总形成征求意见稿。</w:t>
      </w:r>
    </w:p>
    <w:p w14:paraId="084E10A4">
      <w:pPr>
        <w:autoSpaceDE w:val="0"/>
        <w:autoSpaceDN w:val="0"/>
        <w:adjustRightInd w:val="0"/>
        <w:spacing w:line="360" w:lineRule="auto"/>
        <w:ind w:firstLine="480" w:firstLineChars="200"/>
        <w:rPr>
          <w:rFonts w:ascii="仿宋_GB2312" w:hAnsi="Times New Roman" w:eastAsia="仿宋_GB2312" w:cs="宋体"/>
          <w:sz w:val="24"/>
          <w:szCs w:val="24"/>
        </w:rPr>
      </w:pPr>
      <w:r>
        <w:rPr>
          <w:rFonts w:ascii="仿宋_GB2312" w:hAnsi="Times New Roman" w:eastAsia="仿宋_GB2312" w:cs="宋体"/>
          <w:sz w:val="24"/>
          <w:szCs w:val="24"/>
        </w:rPr>
        <w:t>202</w:t>
      </w:r>
      <w:r>
        <w:rPr>
          <w:rFonts w:hint="eastAsia" w:ascii="仿宋_GB2312" w:hAnsi="Times New Roman" w:eastAsia="仿宋_GB2312" w:cs="宋体"/>
          <w:sz w:val="24"/>
          <w:szCs w:val="24"/>
          <w:lang w:val="en-US" w:eastAsia="zh-CN"/>
        </w:rPr>
        <w:t>5</w:t>
      </w:r>
      <w:r>
        <w:rPr>
          <w:rFonts w:ascii="仿宋_GB2312" w:hAnsi="Times New Roman" w:eastAsia="仿宋_GB2312" w:cs="宋体"/>
          <w:sz w:val="24"/>
          <w:szCs w:val="24"/>
        </w:rPr>
        <w:t>年1</w:t>
      </w:r>
      <w:r>
        <w:rPr>
          <w:rFonts w:hint="eastAsia" w:ascii="仿宋_GB2312" w:hAnsi="Times New Roman" w:eastAsia="仿宋_GB2312" w:cs="宋体"/>
          <w:sz w:val="24"/>
          <w:szCs w:val="24"/>
          <w:lang w:val="en-US" w:eastAsia="zh-CN"/>
        </w:rPr>
        <w:t>0</w:t>
      </w:r>
      <w:r>
        <w:rPr>
          <w:rFonts w:ascii="仿宋_GB2312" w:hAnsi="Times New Roman" w:eastAsia="仿宋_GB2312" w:cs="宋体"/>
          <w:sz w:val="24"/>
          <w:szCs w:val="24"/>
        </w:rPr>
        <w:t>月</w:t>
      </w:r>
      <w:r>
        <w:rPr>
          <w:rFonts w:hint="eastAsia" w:ascii="仿宋_GB2312" w:hAnsi="Times New Roman" w:eastAsia="仿宋_GB2312" w:cs="宋体"/>
          <w:sz w:val="24"/>
          <w:szCs w:val="24"/>
          <w:lang w:val="en-US" w:eastAsia="zh-CN"/>
        </w:rPr>
        <w:t>1</w:t>
      </w:r>
      <w:r>
        <w:rPr>
          <w:rFonts w:hint="eastAsia" w:ascii="仿宋_GB2312" w:hAnsi="Times New Roman" w:eastAsia="仿宋_GB2312" w:cs="宋体"/>
          <w:sz w:val="24"/>
          <w:szCs w:val="24"/>
        </w:rPr>
        <w:t>4日至</w:t>
      </w:r>
      <w:r>
        <w:rPr>
          <w:rFonts w:hint="eastAsia" w:ascii="仿宋_GB2312" w:hAnsi="Times New Roman" w:eastAsia="仿宋_GB2312" w:cs="宋体"/>
          <w:sz w:val="24"/>
          <w:szCs w:val="24"/>
          <w:lang w:val="en-US" w:eastAsia="zh-CN"/>
        </w:rPr>
        <w:t>1</w:t>
      </w:r>
      <w:r>
        <w:rPr>
          <w:rFonts w:hint="eastAsia" w:ascii="仿宋_GB2312" w:hAnsi="Times New Roman" w:eastAsia="仿宋_GB2312" w:cs="宋体"/>
          <w:sz w:val="24"/>
          <w:szCs w:val="24"/>
        </w:rPr>
        <w:t>5日，中国电力建设企业协会在</w:t>
      </w:r>
      <w:r>
        <w:rPr>
          <w:rFonts w:hint="eastAsia" w:ascii="仿宋_GB2312" w:hAnsi="Times New Roman" w:eastAsia="仿宋_GB2312" w:cs="宋体"/>
          <w:sz w:val="24"/>
          <w:szCs w:val="24"/>
          <w:lang w:val="en-US" w:eastAsia="zh-CN"/>
        </w:rPr>
        <w:t>河北石家庄</w:t>
      </w:r>
      <w:r>
        <w:rPr>
          <w:rFonts w:hint="eastAsia" w:ascii="仿宋_GB2312" w:hAnsi="Times New Roman" w:eastAsia="仿宋_GB2312" w:cs="宋体"/>
          <w:sz w:val="24"/>
          <w:szCs w:val="24"/>
        </w:rPr>
        <w:t>召开了征求意见稿定稿会，邀请相关单位专家参会，会上对标准逐条进行讨论，确定最终版征求意见稿。</w:t>
      </w:r>
    </w:p>
    <w:p w14:paraId="4D107502">
      <w:pPr>
        <w:pStyle w:val="13"/>
        <w:numPr>
          <w:ilvl w:val="1"/>
          <w:numId w:val="1"/>
        </w:numPr>
        <w:autoSpaceDE w:val="0"/>
        <w:autoSpaceDN w:val="0"/>
        <w:adjustRightInd w:val="0"/>
        <w:spacing w:line="360" w:lineRule="auto"/>
        <w:ind w:firstLineChars="0"/>
        <w:outlineLvl w:val="1"/>
        <w:rPr>
          <w:rFonts w:ascii="方正楷体_GBK" w:hAnsi="楷体_GB2312" w:eastAsia="方正楷体_GBK" w:cs="宋体"/>
          <w:b/>
          <w:bCs/>
          <w:sz w:val="24"/>
          <w:szCs w:val="24"/>
        </w:rPr>
      </w:pPr>
      <w:bookmarkStart w:id="6" w:name="_Toc179902671"/>
      <w:r>
        <w:rPr>
          <w:rFonts w:hint="eastAsia" w:ascii="方正楷体_GBK" w:hAnsi="楷体_GB2312" w:eastAsia="方正楷体_GBK" w:cs="宋体"/>
          <w:b/>
          <w:bCs/>
          <w:sz w:val="24"/>
          <w:szCs w:val="24"/>
        </w:rPr>
        <w:t>主要起草人</w:t>
      </w:r>
      <w:bookmarkEnd w:id="6"/>
    </w:p>
    <w:p w14:paraId="7712C93C">
      <w:pPr>
        <w:pStyle w:val="13"/>
        <w:numPr>
          <w:ilvl w:val="0"/>
          <w:numId w:val="0"/>
        </w:numPr>
        <w:autoSpaceDE w:val="0"/>
        <w:autoSpaceDN w:val="0"/>
        <w:adjustRightInd w:val="0"/>
        <w:spacing w:line="360" w:lineRule="auto"/>
        <w:ind w:left="482" w:leftChars="0"/>
        <w:outlineLvl w:val="1"/>
        <w:rPr>
          <w:rFonts w:hint="default" w:ascii="方正楷体_GBK" w:hAnsi="楷体_GB2312" w:eastAsia="方正楷体_GBK" w:cs="宋体"/>
          <w:b/>
          <w:bCs/>
          <w:sz w:val="24"/>
          <w:szCs w:val="24"/>
          <w:highlight w:val="yellow"/>
          <w:lang w:val="en-US" w:eastAsia="zh-CN"/>
        </w:rPr>
      </w:pPr>
      <w:r>
        <w:rPr>
          <w:rFonts w:hint="eastAsia" w:ascii="方正楷体_GBK" w:hAnsi="楷体_GB2312" w:eastAsia="方正楷体_GBK" w:cs="宋体"/>
          <w:b/>
          <w:bCs/>
          <w:sz w:val="24"/>
          <w:szCs w:val="24"/>
          <w:highlight w:val="yellow"/>
          <w:lang w:val="en-US" w:eastAsia="zh-CN"/>
        </w:rPr>
        <w:t xml:space="preserve">  </w:t>
      </w:r>
    </w:p>
    <w:p w14:paraId="579C9195">
      <w:pPr>
        <w:pStyle w:val="13"/>
        <w:numPr>
          <w:ilvl w:val="0"/>
          <w:numId w:val="1"/>
        </w:numPr>
        <w:tabs>
          <w:tab w:val="left" w:pos="840"/>
        </w:tabs>
        <w:adjustRightInd w:val="0"/>
        <w:spacing w:line="360" w:lineRule="auto"/>
        <w:ind w:firstLineChars="0"/>
        <w:outlineLvl w:val="0"/>
        <w:rPr>
          <w:rFonts w:ascii="黑体" w:hAnsi="黑体" w:eastAsia="黑体"/>
          <w:b/>
          <w:sz w:val="28"/>
          <w:szCs w:val="28"/>
        </w:rPr>
      </w:pPr>
      <w:bookmarkStart w:id="7" w:name="_Toc179902672"/>
      <w:r>
        <w:rPr>
          <w:rFonts w:hint="eastAsia" w:ascii="黑体" w:hAnsi="黑体" w:eastAsia="黑体"/>
          <w:b/>
          <w:sz w:val="28"/>
          <w:szCs w:val="28"/>
        </w:rPr>
        <w:t>编制原则和主要内容</w:t>
      </w:r>
      <w:bookmarkEnd w:id="7"/>
    </w:p>
    <w:p w14:paraId="0C300BEA">
      <w:pPr>
        <w:autoSpaceDE w:val="0"/>
        <w:autoSpaceDN w:val="0"/>
        <w:adjustRightInd w:val="0"/>
        <w:spacing w:line="360" w:lineRule="auto"/>
        <w:ind w:firstLine="420"/>
        <w:outlineLvl w:val="1"/>
        <w:rPr>
          <w:rFonts w:ascii="方正楷体_GBK" w:hAnsi="楷体_GB2312" w:eastAsia="方正楷体_GBK" w:cs="宋体"/>
          <w:b/>
          <w:bCs/>
          <w:sz w:val="24"/>
          <w:szCs w:val="24"/>
        </w:rPr>
      </w:pPr>
      <w:bookmarkStart w:id="8" w:name="_Toc179902673"/>
      <w:r>
        <w:rPr>
          <w:rFonts w:hint="eastAsia" w:ascii="方正楷体_GBK" w:hAnsi="楷体_GB2312" w:eastAsia="方正楷体_GBK" w:cs="宋体"/>
          <w:b/>
          <w:bCs/>
          <w:sz w:val="24"/>
          <w:szCs w:val="24"/>
        </w:rPr>
        <w:t>2.1 编制原则</w:t>
      </w:r>
      <w:bookmarkEnd w:id="8"/>
    </w:p>
    <w:p w14:paraId="63C2E244">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本次编制的总体原则是结合当前输变电工程</w:t>
      </w:r>
      <w:r>
        <w:rPr>
          <w:rFonts w:hint="eastAsia" w:ascii="仿宋_GB2312" w:hAnsi="Times New Roman" w:eastAsia="仿宋_GB2312" w:cs="宋体"/>
          <w:sz w:val="24"/>
          <w:szCs w:val="24"/>
          <w:lang w:val="en-US" w:eastAsia="zh-CN"/>
        </w:rPr>
        <w:t>环保水保监理</w:t>
      </w:r>
      <w:r>
        <w:rPr>
          <w:rFonts w:hint="eastAsia" w:ascii="仿宋_GB2312" w:hAnsi="Times New Roman" w:eastAsia="仿宋_GB2312" w:cs="宋体"/>
          <w:sz w:val="24"/>
          <w:szCs w:val="24"/>
        </w:rPr>
        <w:t>现状，指导</w:t>
      </w:r>
      <w:r>
        <w:rPr>
          <w:rFonts w:hint="eastAsia" w:ascii="仿宋_GB2312" w:hAnsi="Times New Roman" w:eastAsia="仿宋_GB2312" w:cs="宋体"/>
          <w:sz w:val="24"/>
          <w:szCs w:val="24"/>
          <w:lang w:val="en-US" w:eastAsia="zh-CN"/>
        </w:rPr>
        <w:t>监理</w:t>
      </w:r>
      <w:r>
        <w:rPr>
          <w:rFonts w:hint="eastAsia" w:ascii="仿宋_GB2312" w:hAnsi="Times New Roman" w:eastAsia="仿宋_GB2312" w:cs="宋体"/>
          <w:sz w:val="24"/>
          <w:szCs w:val="24"/>
        </w:rPr>
        <w:t>企业水平提升，满足建设行业技术发展需求，具备引领行业发展的作用，具体包括：</w:t>
      </w:r>
    </w:p>
    <w:p w14:paraId="2B1A67A7">
      <w:pPr>
        <w:autoSpaceDE w:val="0"/>
        <w:autoSpaceDN w:val="0"/>
        <w:adjustRightInd w:val="0"/>
        <w:spacing w:line="360" w:lineRule="auto"/>
        <w:ind w:firstLine="480" w:firstLineChars="200"/>
        <w:rPr>
          <w:rFonts w:hint="eastAsia" w:ascii="仿宋_GB2312" w:hAnsi="Times New Roman" w:eastAsia="仿宋_GB2312" w:cs="宋体"/>
          <w:sz w:val="24"/>
          <w:szCs w:val="24"/>
        </w:rPr>
      </w:pPr>
      <w:bookmarkStart w:id="9" w:name="_Toc179902674"/>
      <w:r>
        <w:rPr>
          <w:rFonts w:hint="eastAsia" w:ascii="仿宋_GB2312" w:hAnsi="Times New Roman" w:eastAsia="仿宋_GB2312" w:cs="宋体"/>
          <w:sz w:val="24"/>
          <w:szCs w:val="24"/>
          <w:lang w:eastAsia="zh-CN"/>
        </w:rPr>
        <w:t>（</w:t>
      </w:r>
      <w:r>
        <w:rPr>
          <w:rFonts w:hint="eastAsia" w:ascii="仿宋_GB2312" w:hAnsi="Times New Roman" w:eastAsia="仿宋_GB2312" w:cs="宋体"/>
          <w:sz w:val="24"/>
          <w:szCs w:val="24"/>
          <w:lang w:val="en-US" w:eastAsia="zh-CN"/>
        </w:rPr>
        <w:t>1</w:t>
      </w:r>
      <w:r>
        <w:rPr>
          <w:rFonts w:hint="eastAsia" w:ascii="仿宋_GB2312" w:hAnsi="Times New Roman" w:eastAsia="仿宋_GB2312" w:cs="宋体"/>
          <w:sz w:val="24"/>
          <w:szCs w:val="24"/>
          <w:lang w:eastAsia="zh-CN"/>
        </w:rPr>
        <w:t>）</w:t>
      </w:r>
      <w:r>
        <w:rPr>
          <w:rFonts w:hint="eastAsia" w:ascii="仿宋_GB2312" w:hAnsi="Times New Roman" w:eastAsia="仿宋_GB2312" w:cs="宋体"/>
          <w:sz w:val="24"/>
          <w:szCs w:val="24"/>
        </w:rPr>
        <w:t>贯彻执行现行</w:t>
      </w:r>
      <w:r>
        <w:rPr>
          <w:rFonts w:hint="eastAsia" w:ascii="仿宋_GB2312" w:hAnsi="Times New Roman" w:eastAsia="仿宋_GB2312" w:cs="宋体"/>
          <w:sz w:val="24"/>
          <w:szCs w:val="24"/>
          <w:lang w:val="en-US" w:eastAsia="zh-CN"/>
        </w:rPr>
        <w:t>相关</w:t>
      </w:r>
      <w:r>
        <w:rPr>
          <w:rFonts w:hint="eastAsia" w:ascii="仿宋_GB2312" w:hAnsi="Times New Roman" w:eastAsia="仿宋_GB2312" w:cs="宋体"/>
          <w:sz w:val="24"/>
          <w:szCs w:val="24"/>
        </w:rPr>
        <w:t>国家</w:t>
      </w:r>
      <w:r>
        <w:rPr>
          <w:rFonts w:hint="eastAsia" w:ascii="仿宋_GB2312" w:hAnsi="Times New Roman" w:eastAsia="仿宋_GB2312" w:cs="宋体"/>
          <w:sz w:val="24"/>
          <w:szCs w:val="24"/>
          <w:lang w:val="en-US" w:eastAsia="zh-CN"/>
        </w:rPr>
        <w:t>政策、</w:t>
      </w:r>
      <w:r>
        <w:rPr>
          <w:rFonts w:hint="eastAsia" w:ascii="仿宋_GB2312" w:hAnsi="Times New Roman" w:eastAsia="仿宋_GB2312" w:cs="宋体"/>
          <w:sz w:val="24"/>
          <w:szCs w:val="24"/>
        </w:rPr>
        <w:t>法律法规、标准。</w:t>
      </w:r>
    </w:p>
    <w:p w14:paraId="00B96233">
      <w:pPr>
        <w:autoSpaceDE w:val="0"/>
        <w:autoSpaceDN w:val="0"/>
        <w:adjustRightInd w:val="0"/>
        <w:spacing w:line="360" w:lineRule="auto"/>
        <w:ind w:firstLine="480" w:firstLineChars="200"/>
        <w:rPr>
          <w:rFonts w:hint="eastAsia" w:ascii="仿宋_GB2312" w:hAnsi="Times New Roman" w:eastAsia="仿宋_GB2312" w:cs="宋体"/>
          <w:sz w:val="24"/>
          <w:szCs w:val="24"/>
          <w:lang w:eastAsia="zh-CN"/>
        </w:rPr>
      </w:pPr>
      <w:r>
        <w:rPr>
          <w:rFonts w:hint="eastAsia" w:ascii="仿宋_GB2312" w:hAnsi="Times New Roman" w:eastAsia="仿宋_GB2312" w:cs="宋体"/>
          <w:sz w:val="24"/>
          <w:szCs w:val="24"/>
          <w:lang w:eastAsia="zh-CN"/>
        </w:rPr>
        <w:t>（</w:t>
      </w:r>
      <w:r>
        <w:rPr>
          <w:rFonts w:hint="eastAsia" w:ascii="仿宋_GB2312" w:hAnsi="Times New Roman" w:eastAsia="仿宋_GB2312" w:cs="宋体"/>
          <w:sz w:val="24"/>
          <w:szCs w:val="24"/>
          <w:lang w:val="en-US" w:eastAsia="zh-CN"/>
        </w:rPr>
        <w:t>2</w:t>
      </w:r>
      <w:r>
        <w:rPr>
          <w:rFonts w:hint="eastAsia" w:ascii="仿宋_GB2312" w:hAnsi="Times New Roman" w:eastAsia="仿宋_GB2312" w:cs="宋体"/>
          <w:sz w:val="24"/>
          <w:szCs w:val="24"/>
          <w:lang w:eastAsia="zh-CN"/>
        </w:rPr>
        <w:t>）</w:t>
      </w:r>
      <w:r>
        <w:rPr>
          <w:rFonts w:hint="eastAsia" w:ascii="仿宋_GB2312" w:hAnsi="Times New Roman" w:eastAsia="仿宋_GB2312" w:cs="宋体"/>
          <w:sz w:val="24"/>
          <w:szCs w:val="24"/>
        </w:rPr>
        <w:t>输变电工程环保水保监理导则应满足监理工作的基本要求，应有利于提升现场监理履职能力，适用于新建、扩建、改建的输变电工程</w:t>
      </w:r>
      <w:r>
        <w:rPr>
          <w:rFonts w:hint="eastAsia" w:ascii="仿宋_GB2312" w:hAnsi="Times New Roman" w:eastAsia="仿宋_GB2312" w:cs="宋体"/>
          <w:sz w:val="24"/>
          <w:szCs w:val="24"/>
          <w:lang w:val="en-US" w:eastAsia="zh-CN"/>
        </w:rPr>
        <w:t>环水保监理</w:t>
      </w:r>
      <w:r>
        <w:rPr>
          <w:rFonts w:hint="eastAsia" w:ascii="仿宋_GB2312" w:hAnsi="Times New Roman" w:eastAsia="仿宋_GB2312" w:cs="宋体"/>
          <w:sz w:val="24"/>
          <w:szCs w:val="24"/>
        </w:rPr>
        <w:t>服务。</w:t>
      </w:r>
    </w:p>
    <w:p w14:paraId="4ABBAB10">
      <w:pPr>
        <w:autoSpaceDE w:val="0"/>
        <w:autoSpaceDN w:val="0"/>
        <w:adjustRightInd w:val="0"/>
        <w:spacing w:line="360" w:lineRule="auto"/>
        <w:ind w:firstLine="480" w:firstLineChars="200"/>
        <w:rPr>
          <w:rFonts w:hint="eastAsia" w:ascii="仿宋_GB2312" w:hAnsi="Times New Roman" w:eastAsia="仿宋_GB2312" w:cs="宋体"/>
          <w:sz w:val="24"/>
          <w:szCs w:val="24"/>
          <w:lang w:val="en-US" w:eastAsia="zh-CN"/>
        </w:rPr>
      </w:pPr>
      <w:r>
        <w:rPr>
          <w:rFonts w:hint="eastAsia" w:ascii="仿宋_GB2312" w:hAnsi="Times New Roman" w:eastAsia="仿宋_GB2312" w:cs="宋体"/>
          <w:sz w:val="24"/>
          <w:szCs w:val="24"/>
          <w:lang w:val="en-US" w:eastAsia="zh-CN"/>
        </w:rPr>
        <w:t>（3）</w:t>
      </w:r>
      <w:r>
        <w:rPr>
          <w:rFonts w:hint="eastAsia" w:ascii="仿宋_GB2312" w:hAnsi="Times New Roman" w:eastAsia="仿宋_GB2312" w:cs="宋体"/>
          <w:sz w:val="24"/>
          <w:szCs w:val="24"/>
        </w:rPr>
        <w:t>响应中共中央、国务院联合印发《关于完整准确全面贯彻新发展理念做好碳达峰碳中和工作的意见》</w:t>
      </w:r>
      <w:r>
        <w:rPr>
          <w:rFonts w:hint="eastAsia" w:ascii="仿宋_GB2312" w:hAnsi="Times New Roman" w:eastAsia="仿宋_GB2312" w:cs="宋体"/>
          <w:sz w:val="24"/>
          <w:szCs w:val="24"/>
          <w:lang w:val="en-US" w:eastAsia="zh-CN"/>
        </w:rPr>
        <w:t>以及</w:t>
      </w:r>
      <w:r>
        <w:rPr>
          <w:rFonts w:hint="eastAsia" w:ascii="仿宋_GB2312" w:hAnsi="Times New Roman" w:eastAsia="仿宋_GB2312" w:cs="宋体"/>
          <w:sz w:val="24"/>
          <w:szCs w:val="24"/>
        </w:rPr>
        <w:t>国家能源局《新型电力系统发展蓝皮书》要求</w:t>
      </w:r>
      <w:r>
        <w:rPr>
          <w:rFonts w:hint="eastAsia" w:ascii="仿宋_GB2312" w:hAnsi="Times New Roman" w:eastAsia="仿宋_GB2312" w:cs="宋体"/>
          <w:sz w:val="24"/>
          <w:szCs w:val="24"/>
          <w:lang w:eastAsia="zh-CN"/>
        </w:rPr>
        <w:t>，</w:t>
      </w:r>
      <w:r>
        <w:rPr>
          <w:rFonts w:hint="eastAsia" w:ascii="仿宋_GB2312" w:hAnsi="Times New Roman" w:eastAsia="仿宋_GB2312" w:cs="宋体"/>
          <w:sz w:val="24"/>
          <w:szCs w:val="24"/>
          <w:lang w:val="en-US" w:eastAsia="zh-CN"/>
        </w:rPr>
        <w:t>推进</w:t>
      </w:r>
      <w:r>
        <w:rPr>
          <w:rFonts w:hint="eastAsia" w:ascii="仿宋_GB2312" w:hAnsi="Times New Roman" w:eastAsia="仿宋_GB2312" w:cs="宋体"/>
          <w:sz w:val="24"/>
          <w:szCs w:val="24"/>
        </w:rPr>
        <w:t>工程建设全过程绿色建造</w:t>
      </w:r>
      <w:r>
        <w:rPr>
          <w:rFonts w:hint="eastAsia" w:ascii="仿宋_GB2312" w:hAnsi="Times New Roman" w:eastAsia="仿宋_GB2312" w:cs="宋体"/>
          <w:sz w:val="24"/>
          <w:szCs w:val="24"/>
          <w:lang w:val="en-US" w:eastAsia="zh-CN"/>
        </w:rPr>
        <w:t>。</w:t>
      </w:r>
    </w:p>
    <w:p w14:paraId="7F2C2E30">
      <w:pPr>
        <w:autoSpaceDE w:val="0"/>
        <w:autoSpaceDN w:val="0"/>
        <w:adjustRightInd w:val="0"/>
        <w:spacing w:line="360" w:lineRule="auto"/>
        <w:ind w:firstLine="480" w:firstLineChars="200"/>
        <w:rPr>
          <w:rFonts w:hint="eastAsia" w:ascii="仿宋_GB2312" w:hAnsi="Times New Roman" w:eastAsia="仿宋_GB2312" w:cs="宋体"/>
          <w:sz w:val="24"/>
          <w:szCs w:val="24"/>
          <w:lang w:eastAsia="zh-CN"/>
        </w:rPr>
      </w:pPr>
      <w:r>
        <w:rPr>
          <w:rFonts w:hint="eastAsia" w:ascii="仿宋_GB2312" w:hAnsi="Times New Roman" w:eastAsia="仿宋_GB2312" w:cs="宋体"/>
          <w:sz w:val="24"/>
          <w:szCs w:val="24"/>
          <w:lang w:val="en-US" w:eastAsia="zh-CN"/>
        </w:rPr>
        <w:t>（4）标准应通过全过程监督和管理，确保输变电工程各阶段符合环保和水保要求，助力“双碳”目标的实现。</w:t>
      </w:r>
    </w:p>
    <w:p w14:paraId="31F1D0EE">
      <w:pPr>
        <w:autoSpaceDE w:val="0"/>
        <w:autoSpaceDN w:val="0"/>
        <w:adjustRightInd w:val="0"/>
        <w:spacing w:line="360" w:lineRule="auto"/>
        <w:ind w:firstLine="480" w:firstLineChars="200"/>
        <w:rPr>
          <w:rFonts w:hint="eastAsia" w:ascii="仿宋_GB2312" w:hAnsi="Times New Roman" w:eastAsia="仿宋_GB2312" w:cs="宋体"/>
          <w:sz w:val="24"/>
          <w:szCs w:val="24"/>
        </w:rPr>
      </w:pPr>
      <w:r>
        <w:rPr>
          <w:rFonts w:hint="eastAsia" w:ascii="仿宋_GB2312" w:hAnsi="Times New Roman" w:eastAsia="仿宋_GB2312" w:cs="宋体"/>
          <w:sz w:val="24"/>
          <w:szCs w:val="24"/>
          <w:lang w:val="en-US" w:eastAsia="zh-CN"/>
        </w:rPr>
        <w:t>（5）标准应</w:t>
      </w:r>
      <w:r>
        <w:rPr>
          <w:rFonts w:hint="eastAsia" w:ascii="仿宋_GB2312" w:hAnsi="Times New Roman" w:eastAsia="仿宋_GB2312" w:cs="宋体"/>
          <w:sz w:val="24"/>
          <w:szCs w:val="24"/>
        </w:rPr>
        <w:t>易用、好用</w:t>
      </w:r>
      <w:r>
        <w:rPr>
          <w:rFonts w:hint="eastAsia" w:ascii="仿宋_GB2312" w:hAnsi="Times New Roman" w:eastAsia="仿宋_GB2312" w:cs="宋体"/>
          <w:sz w:val="24"/>
          <w:szCs w:val="24"/>
          <w:lang w:eastAsia="zh-CN"/>
        </w:rPr>
        <w:t>，</w:t>
      </w:r>
      <w:r>
        <w:rPr>
          <w:rFonts w:hint="eastAsia" w:ascii="仿宋_GB2312" w:hAnsi="Times New Roman" w:eastAsia="仿宋_GB2312" w:cs="宋体"/>
          <w:sz w:val="24"/>
          <w:szCs w:val="24"/>
          <w:lang w:val="en-US" w:eastAsia="zh-CN"/>
        </w:rPr>
        <w:t>起到引领作用</w:t>
      </w:r>
      <w:r>
        <w:rPr>
          <w:rFonts w:hint="eastAsia" w:ascii="仿宋_GB2312" w:hAnsi="Times New Roman" w:eastAsia="仿宋_GB2312" w:cs="宋体"/>
          <w:sz w:val="24"/>
          <w:szCs w:val="24"/>
        </w:rPr>
        <w:t>。</w:t>
      </w:r>
    </w:p>
    <w:p w14:paraId="00946A2C">
      <w:pPr>
        <w:autoSpaceDE w:val="0"/>
        <w:autoSpaceDN w:val="0"/>
        <w:adjustRightInd w:val="0"/>
        <w:spacing w:line="360" w:lineRule="auto"/>
        <w:ind w:firstLine="480" w:firstLineChars="200"/>
        <w:rPr>
          <w:rFonts w:ascii="宋体" w:hAnsi="宋体"/>
          <w:b/>
          <w:sz w:val="28"/>
          <w:szCs w:val="36"/>
        </w:rPr>
      </w:pPr>
      <w:r>
        <w:rPr>
          <w:rFonts w:hint="eastAsia" w:ascii="仿宋_GB2312" w:hAnsi="Times New Roman" w:eastAsia="仿宋_GB2312" w:cs="宋体"/>
          <w:sz w:val="24"/>
          <w:szCs w:val="24"/>
          <w:lang w:val="en-US" w:eastAsia="zh-CN"/>
        </w:rPr>
        <w:t>（6）</w:t>
      </w:r>
      <w:r>
        <w:rPr>
          <w:rFonts w:hint="eastAsia" w:ascii="仿宋_GB2312" w:hAnsi="Times New Roman" w:eastAsia="仿宋_GB2312" w:cs="宋体"/>
          <w:sz w:val="24"/>
          <w:szCs w:val="24"/>
        </w:rPr>
        <w:t>符合《标准化工作导则第1部分:标准化文件的结构和起草规则》</w:t>
      </w:r>
      <w:r>
        <w:rPr>
          <w:rFonts w:hint="eastAsia" w:ascii="仿宋_GB2312" w:hAnsi="Times New Roman" w:eastAsia="仿宋_GB2312" w:cs="宋体"/>
          <w:sz w:val="24"/>
          <w:szCs w:val="24"/>
          <w:lang w:eastAsia="zh-CN"/>
        </w:rPr>
        <w:t>（</w:t>
      </w:r>
      <w:r>
        <w:rPr>
          <w:rFonts w:hint="eastAsia" w:ascii="仿宋_GB2312" w:hAnsi="Times New Roman" w:eastAsia="仿宋_GB2312" w:cs="宋体"/>
          <w:sz w:val="24"/>
          <w:szCs w:val="24"/>
        </w:rPr>
        <w:t>GB/T1.1-2020</w:t>
      </w:r>
      <w:r>
        <w:rPr>
          <w:rFonts w:hint="eastAsia" w:ascii="仿宋_GB2312" w:hAnsi="Times New Roman" w:eastAsia="仿宋_GB2312" w:cs="宋体"/>
          <w:sz w:val="24"/>
          <w:szCs w:val="24"/>
          <w:lang w:eastAsia="zh-CN"/>
        </w:rPr>
        <w:t>）</w:t>
      </w:r>
      <w:r>
        <w:rPr>
          <w:rFonts w:hint="eastAsia" w:ascii="仿宋_GB2312" w:hAnsi="Times New Roman" w:eastAsia="仿宋_GB2312" w:cs="宋体"/>
          <w:sz w:val="24"/>
          <w:szCs w:val="24"/>
        </w:rPr>
        <w:t>和《标准编写规则》</w:t>
      </w:r>
      <w:r>
        <w:rPr>
          <w:rFonts w:hint="eastAsia" w:ascii="仿宋_GB2312" w:hAnsi="Times New Roman" w:eastAsia="仿宋_GB2312" w:cs="宋体"/>
          <w:sz w:val="24"/>
          <w:szCs w:val="24"/>
          <w:lang w:eastAsia="zh-CN"/>
        </w:rPr>
        <w:t>（</w:t>
      </w:r>
      <w:r>
        <w:rPr>
          <w:rFonts w:hint="eastAsia" w:ascii="仿宋_GB2312" w:hAnsi="Times New Roman" w:eastAsia="仿宋_GB2312" w:cs="宋体"/>
          <w:sz w:val="24"/>
          <w:szCs w:val="24"/>
        </w:rPr>
        <w:t>GB/T20001</w:t>
      </w:r>
      <w:r>
        <w:rPr>
          <w:rFonts w:hint="eastAsia" w:ascii="仿宋_GB2312" w:hAnsi="Times New Roman" w:eastAsia="仿宋_GB2312" w:cs="宋体"/>
          <w:sz w:val="24"/>
          <w:szCs w:val="24"/>
          <w:lang w:eastAsia="zh-CN"/>
        </w:rPr>
        <w:t>）</w:t>
      </w:r>
      <w:r>
        <w:rPr>
          <w:rFonts w:hint="eastAsia" w:ascii="仿宋_GB2312" w:hAnsi="Times New Roman" w:eastAsia="仿宋_GB2312" w:cs="宋体"/>
          <w:sz w:val="24"/>
          <w:szCs w:val="24"/>
        </w:rPr>
        <w:t>要求。</w:t>
      </w:r>
    </w:p>
    <w:p w14:paraId="4C8F0A50">
      <w:pPr>
        <w:autoSpaceDE w:val="0"/>
        <w:autoSpaceDN w:val="0"/>
        <w:adjustRightInd w:val="0"/>
        <w:spacing w:line="360" w:lineRule="auto"/>
        <w:ind w:firstLine="420"/>
        <w:outlineLvl w:val="1"/>
        <w:rPr>
          <w:rFonts w:ascii="方正楷体_GBK" w:hAnsi="楷体_GB2312" w:eastAsia="方正楷体_GBK" w:cs="宋体"/>
          <w:b/>
          <w:bCs/>
          <w:sz w:val="24"/>
          <w:szCs w:val="24"/>
        </w:rPr>
      </w:pPr>
      <w:r>
        <w:rPr>
          <w:rFonts w:hint="eastAsia" w:ascii="方正楷体_GBK" w:hAnsi="楷体_GB2312" w:eastAsia="方正楷体_GBK" w:cs="宋体"/>
          <w:b/>
          <w:bCs/>
          <w:sz w:val="24"/>
          <w:szCs w:val="24"/>
        </w:rPr>
        <w:t>2.2 编制依据</w:t>
      </w:r>
      <w:bookmarkEnd w:id="9"/>
    </w:p>
    <w:p w14:paraId="53D3B32E">
      <w:pPr>
        <w:autoSpaceDE w:val="0"/>
        <w:autoSpaceDN w:val="0"/>
        <w:adjustRightInd w:val="0"/>
        <w:spacing w:line="360" w:lineRule="auto"/>
        <w:ind w:firstLine="480" w:firstLineChars="200"/>
        <w:rPr>
          <w:rFonts w:hint="eastAsia" w:ascii="仿宋_GB2312" w:hAnsi="Times New Roman" w:eastAsia="仿宋_GB2312" w:cs="宋体"/>
          <w:sz w:val="24"/>
          <w:szCs w:val="24"/>
        </w:rPr>
      </w:pPr>
      <w:r>
        <w:rPr>
          <w:rFonts w:hint="eastAsia" w:ascii="仿宋_GB2312" w:hAnsi="Times New Roman" w:eastAsia="仿宋_GB2312" w:cs="宋体"/>
          <w:sz w:val="24"/>
          <w:szCs w:val="24"/>
        </w:rPr>
        <w:t>本标准参照现行国家有关电力建设的法律、法规、管理标准、技术标准、电力行业有关标准和相关行业标准。主要有：</w:t>
      </w:r>
    </w:p>
    <w:p w14:paraId="395152D8">
      <w:pPr>
        <w:autoSpaceDE w:val="0"/>
        <w:autoSpaceDN w:val="0"/>
        <w:adjustRightInd w:val="0"/>
        <w:spacing w:line="360" w:lineRule="auto"/>
        <w:ind w:firstLine="480" w:firstLineChars="200"/>
        <w:rPr>
          <w:rFonts w:hint="eastAsia" w:ascii="仿宋_GB2312" w:hAnsi="Times New Roman" w:eastAsia="仿宋_GB2312" w:cs="宋体"/>
          <w:sz w:val="24"/>
          <w:szCs w:val="24"/>
        </w:rPr>
      </w:pPr>
      <w:bookmarkStart w:id="10" w:name="_Toc179902675"/>
      <w:r>
        <w:rPr>
          <w:rFonts w:hint="eastAsia" w:ascii="仿宋_GB2312" w:hAnsi="Times New Roman" w:eastAsia="仿宋_GB2312" w:cs="宋体"/>
          <w:sz w:val="24"/>
          <w:szCs w:val="24"/>
          <w:lang w:val="en-US" w:eastAsia="zh-CN"/>
        </w:rPr>
        <w:t>（1）《输变电工程环境监理规范》（DL/T 2272-2021）</w:t>
      </w:r>
    </w:p>
    <w:p w14:paraId="48749EA6">
      <w:pPr>
        <w:autoSpaceDE w:val="0"/>
        <w:autoSpaceDN w:val="0"/>
        <w:adjustRightInd w:val="0"/>
        <w:spacing w:line="360" w:lineRule="auto"/>
        <w:ind w:firstLine="480" w:firstLineChars="200"/>
        <w:rPr>
          <w:rFonts w:hint="default" w:ascii="仿宋_GB2312" w:hAnsi="Times New Roman" w:eastAsia="仿宋_GB2312" w:cs="宋体"/>
          <w:sz w:val="24"/>
          <w:szCs w:val="24"/>
          <w:lang w:val="en-US" w:eastAsia="zh-CN"/>
        </w:rPr>
      </w:pPr>
      <w:r>
        <w:rPr>
          <w:rFonts w:hint="eastAsia" w:ascii="仿宋_GB2312" w:hAnsi="Times New Roman" w:eastAsia="仿宋_GB2312" w:cs="宋体"/>
          <w:sz w:val="24"/>
          <w:szCs w:val="24"/>
          <w:lang w:val="en-US" w:eastAsia="zh-CN"/>
        </w:rPr>
        <w:t>（2）《水电工程环境监理规范》（NB/T 35063-2015）</w:t>
      </w:r>
    </w:p>
    <w:p w14:paraId="0CE9B0C0">
      <w:pPr>
        <w:autoSpaceDE w:val="0"/>
        <w:autoSpaceDN w:val="0"/>
        <w:adjustRightInd w:val="0"/>
        <w:spacing w:line="360" w:lineRule="auto"/>
        <w:ind w:firstLine="480" w:firstLineChars="200"/>
        <w:rPr>
          <w:rFonts w:hint="eastAsia" w:ascii="仿宋_GB2312" w:hAnsi="Times New Roman" w:eastAsia="仿宋_GB2312" w:cs="宋体"/>
          <w:sz w:val="24"/>
          <w:szCs w:val="24"/>
          <w:lang w:val="en-US" w:eastAsia="zh-CN"/>
        </w:rPr>
      </w:pPr>
      <w:r>
        <w:rPr>
          <w:rFonts w:hint="eastAsia" w:ascii="仿宋_GB2312" w:hAnsi="Times New Roman" w:eastAsia="仿宋_GB2312" w:cs="宋体"/>
          <w:sz w:val="24"/>
          <w:szCs w:val="24"/>
          <w:lang w:val="en-US" w:eastAsia="zh-CN"/>
        </w:rPr>
        <w:t>（3）</w:t>
      </w:r>
      <w:r>
        <w:rPr>
          <w:rFonts w:hint="eastAsia" w:ascii="仿宋_GB2312" w:hAnsi="Times New Roman" w:eastAsia="仿宋_GB2312" w:cs="宋体"/>
          <w:sz w:val="24"/>
          <w:szCs w:val="24"/>
          <w:lang w:eastAsia="zh-CN"/>
        </w:rPr>
        <w:t>《建设项目竣工环境保护验收技术规范：输变电》（HJ 705-2020）</w:t>
      </w:r>
      <w:r>
        <w:rPr>
          <w:rFonts w:hint="eastAsia" w:ascii="仿宋_GB2312" w:hAnsi="Times New Roman" w:eastAsia="仿宋_GB2312" w:cs="宋体"/>
          <w:sz w:val="24"/>
          <w:szCs w:val="24"/>
          <w:lang w:val="en-US" w:eastAsia="zh-CN"/>
        </w:rPr>
        <w:t xml:space="preserve">     </w:t>
      </w:r>
    </w:p>
    <w:p w14:paraId="447DBC0F">
      <w:pPr>
        <w:autoSpaceDE w:val="0"/>
        <w:autoSpaceDN w:val="0"/>
        <w:adjustRightInd w:val="0"/>
        <w:spacing w:line="360" w:lineRule="auto"/>
        <w:ind w:firstLine="480" w:firstLineChars="200"/>
        <w:rPr>
          <w:rFonts w:hint="eastAsia" w:ascii="仿宋_GB2312" w:hAnsi="Times New Roman" w:eastAsia="仿宋_GB2312" w:cs="宋体"/>
          <w:sz w:val="24"/>
          <w:szCs w:val="24"/>
          <w:lang w:val="en-US" w:eastAsia="zh-CN"/>
        </w:rPr>
      </w:pPr>
      <w:r>
        <w:rPr>
          <w:rFonts w:hint="eastAsia" w:ascii="仿宋_GB2312" w:hAnsi="Times New Roman" w:eastAsia="仿宋_GB2312" w:cs="宋体"/>
          <w:sz w:val="24"/>
          <w:szCs w:val="24"/>
          <w:lang w:val="en-US" w:eastAsia="zh-CN"/>
        </w:rPr>
        <w:t>（4）</w:t>
      </w:r>
      <w:r>
        <w:rPr>
          <w:rFonts w:hint="eastAsia" w:ascii="仿宋_GB2312" w:hAnsi="Times New Roman" w:eastAsia="仿宋_GB2312" w:cs="宋体"/>
          <w:sz w:val="24"/>
          <w:szCs w:val="24"/>
          <w:lang w:eastAsia="zh-CN"/>
        </w:rPr>
        <w:t>《</w:t>
      </w:r>
      <w:r>
        <w:rPr>
          <w:rFonts w:hint="eastAsia" w:ascii="仿宋_GB2312" w:hAnsi="Times New Roman" w:eastAsia="仿宋_GB2312" w:cs="宋体"/>
          <w:sz w:val="24"/>
          <w:szCs w:val="24"/>
          <w:lang w:val="en-US" w:eastAsia="zh-CN"/>
        </w:rPr>
        <w:t>水电工程环境保护设施验收规程》（NB/T 10229-2019）</w:t>
      </w:r>
    </w:p>
    <w:p w14:paraId="428E19DD">
      <w:pPr>
        <w:autoSpaceDE w:val="0"/>
        <w:autoSpaceDN w:val="0"/>
        <w:adjustRightInd w:val="0"/>
        <w:spacing w:line="360" w:lineRule="auto"/>
        <w:ind w:firstLine="480" w:firstLineChars="200"/>
        <w:rPr>
          <w:rFonts w:hint="eastAsia" w:ascii="仿宋_GB2312" w:hAnsi="Times New Roman" w:eastAsia="仿宋_GB2312" w:cs="宋体"/>
          <w:sz w:val="24"/>
          <w:szCs w:val="24"/>
          <w:lang w:val="en-US" w:eastAsia="zh-CN"/>
        </w:rPr>
      </w:pPr>
      <w:r>
        <w:rPr>
          <w:rFonts w:hint="eastAsia" w:ascii="仿宋_GB2312" w:hAnsi="Times New Roman" w:eastAsia="仿宋_GB2312" w:cs="宋体"/>
          <w:sz w:val="24"/>
          <w:szCs w:val="24"/>
          <w:lang w:val="en-US" w:eastAsia="zh-CN"/>
        </w:rPr>
        <w:t>（5）《水电工程竣工环境保护验收技术规程》（NB/T 11181-2023）</w:t>
      </w:r>
    </w:p>
    <w:p w14:paraId="424D94FB">
      <w:pPr>
        <w:autoSpaceDE w:val="0"/>
        <w:autoSpaceDN w:val="0"/>
        <w:adjustRightInd w:val="0"/>
        <w:spacing w:line="360" w:lineRule="auto"/>
        <w:ind w:firstLine="480" w:firstLineChars="200"/>
        <w:rPr>
          <w:rFonts w:hint="eastAsia" w:ascii="仿宋_GB2312" w:hAnsi="Times New Roman" w:eastAsia="仿宋_GB2312" w:cs="宋体"/>
          <w:sz w:val="24"/>
          <w:szCs w:val="24"/>
          <w:lang w:val="en-US" w:eastAsia="zh-CN"/>
        </w:rPr>
      </w:pPr>
      <w:r>
        <w:rPr>
          <w:rFonts w:hint="eastAsia" w:ascii="仿宋_GB2312" w:hAnsi="Times New Roman" w:eastAsia="仿宋_GB2312" w:cs="宋体"/>
          <w:sz w:val="24"/>
          <w:szCs w:val="24"/>
          <w:lang w:val="en-US" w:eastAsia="zh-CN"/>
        </w:rPr>
        <w:t>（6）《输变电建设项目环境保护技术要求》（HJ 1113-2020）</w:t>
      </w:r>
    </w:p>
    <w:p w14:paraId="37381FC9">
      <w:pPr>
        <w:autoSpaceDE w:val="0"/>
        <w:autoSpaceDN w:val="0"/>
        <w:adjustRightInd w:val="0"/>
        <w:spacing w:line="360" w:lineRule="auto"/>
        <w:ind w:firstLine="480" w:firstLineChars="200"/>
        <w:rPr>
          <w:rFonts w:hint="default" w:ascii="仿宋_GB2312" w:hAnsi="Times New Roman" w:eastAsia="仿宋_GB2312" w:cs="宋体"/>
          <w:sz w:val="24"/>
          <w:szCs w:val="24"/>
          <w:lang w:val="en-US" w:eastAsia="zh-CN"/>
        </w:rPr>
      </w:pPr>
      <w:r>
        <w:rPr>
          <w:rFonts w:hint="eastAsia" w:ascii="仿宋_GB2312" w:hAnsi="Times New Roman" w:eastAsia="仿宋_GB2312" w:cs="宋体"/>
          <w:sz w:val="24"/>
          <w:szCs w:val="24"/>
          <w:lang w:val="en-US" w:eastAsia="zh-CN"/>
        </w:rPr>
        <w:t>（7）《水电工程环境保护技术监督导则》（DL/T 2759-2024）</w:t>
      </w:r>
    </w:p>
    <w:p w14:paraId="4FDB5BE4">
      <w:pPr>
        <w:autoSpaceDE w:val="0"/>
        <w:autoSpaceDN w:val="0"/>
        <w:adjustRightInd w:val="0"/>
        <w:spacing w:line="360" w:lineRule="auto"/>
        <w:ind w:firstLine="480" w:firstLineChars="200"/>
        <w:rPr>
          <w:rFonts w:hint="eastAsia" w:ascii="仿宋_GB2312" w:hAnsi="Times New Roman" w:eastAsia="仿宋_GB2312" w:cs="宋体"/>
          <w:sz w:val="24"/>
          <w:szCs w:val="24"/>
          <w:lang w:eastAsia="zh-CN"/>
        </w:rPr>
      </w:pPr>
      <w:r>
        <w:rPr>
          <w:rFonts w:hint="eastAsia" w:ascii="仿宋_GB2312" w:hAnsi="Times New Roman" w:eastAsia="仿宋_GB2312" w:cs="宋体"/>
          <w:sz w:val="24"/>
          <w:szCs w:val="24"/>
          <w:lang w:val="en-US" w:eastAsia="zh-CN"/>
        </w:rPr>
        <w:t>（8）</w:t>
      </w:r>
      <w:r>
        <w:rPr>
          <w:rFonts w:hint="eastAsia" w:ascii="仿宋_GB2312" w:hAnsi="Times New Roman" w:eastAsia="仿宋_GB2312" w:cs="宋体"/>
          <w:sz w:val="24"/>
          <w:szCs w:val="24"/>
          <w:lang w:eastAsia="zh-CN"/>
        </w:rPr>
        <w:t>《架空输电线路水土保持设施质量验收规程》（DL</w:t>
      </w:r>
      <w:r>
        <w:rPr>
          <w:rFonts w:hint="eastAsia" w:ascii="仿宋_GB2312" w:hAnsi="Times New Roman" w:eastAsia="仿宋_GB2312" w:cs="宋体"/>
          <w:sz w:val="24"/>
          <w:szCs w:val="24"/>
          <w:lang w:val="en-US" w:eastAsia="zh-CN"/>
        </w:rPr>
        <w:t>/</w:t>
      </w:r>
      <w:r>
        <w:rPr>
          <w:rFonts w:hint="eastAsia" w:ascii="仿宋_GB2312" w:hAnsi="Times New Roman" w:eastAsia="仿宋_GB2312" w:cs="宋体"/>
          <w:sz w:val="24"/>
          <w:szCs w:val="24"/>
          <w:lang w:eastAsia="zh-CN"/>
        </w:rPr>
        <w:t>T 5857-2022）</w:t>
      </w:r>
    </w:p>
    <w:p w14:paraId="7CD3A93A">
      <w:pPr>
        <w:autoSpaceDE w:val="0"/>
        <w:autoSpaceDN w:val="0"/>
        <w:adjustRightInd w:val="0"/>
        <w:spacing w:line="360" w:lineRule="auto"/>
        <w:ind w:firstLine="480" w:firstLineChars="200"/>
        <w:rPr>
          <w:rFonts w:hint="eastAsia" w:ascii="仿宋_GB2312" w:hAnsi="Times New Roman" w:eastAsia="仿宋_GB2312" w:cs="宋体"/>
          <w:sz w:val="24"/>
          <w:szCs w:val="24"/>
          <w:lang w:val="en-US" w:eastAsia="zh-CN"/>
        </w:rPr>
      </w:pPr>
      <w:r>
        <w:rPr>
          <w:rFonts w:hint="eastAsia" w:ascii="仿宋_GB2312" w:hAnsi="Times New Roman" w:eastAsia="仿宋_GB2312" w:cs="宋体"/>
          <w:sz w:val="24"/>
          <w:szCs w:val="24"/>
          <w:lang w:val="en-US" w:eastAsia="zh-CN"/>
        </w:rPr>
        <w:t>（9）《水电工程水土保持监理规范》（NB/T 11098-2023）</w:t>
      </w:r>
    </w:p>
    <w:p w14:paraId="32D16BEA">
      <w:pPr>
        <w:autoSpaceDE w:val="0"/>
        <w:autoSpaceDN w:val="0"/>
        <w:adjustRightInd w:val="0"/>
        <w:spacing w:line="360" w:lineRule="auto"/>
        <w:ind w:firstLine="480" w:firstLineChars="200"/>
        <w:rPr>
          <w:rFonts w:hint="eastAsia" w:ascii="仿宋_GB2312" w:hAnsi="Times New Roman" w:eastAsia="仿宋_GB2312" w:cs="宋体"/>
          <w:sz w:val="24"/>
          <w:szCs w:val="24"/>
          <w:lang w:val="en-US" w:eastAsia="zh-CN"/>
        </w:rPr>
      </w:pPr>
      <w:r>
        <w:rPr>
          <w:rFonts w:hint="eastAsia" w:ascii="仿宋_GB2312" w:hAnsi="Times New Roman" w:eastAsia="仿宋_GB2312" w:cs="宋体"/>
          <w:sz w:val="24"/>
          <w:szCs w:val="24"/>
          <w:lang w:val="en-US" w:eastAsia="zh-CN"/>
        </w:rPr>
        <w:t>（10）《水土保持工程施工监理规范》（SL 523-2011）</w:t>
      </w:r>
    </w:p>
    <w:p w14:paraId="08AA17D0">
      <w:pPr>
        <w:autoSpaceDE w:val="0"/>
        <w:autoSpaceDN w:val="0"/>
        <w:adjustRightInd w:val="0"/>
        <w:spacing w:line="360" w:lineRule="auto"/>
        <w:ind w:firstLine="480" w:firstLineChars="200"/>
        <w:rPr>
          <w:rFonts w:hint="eastAsia" w:ascii="仿宋_GB2312" w:hAnsi="Times New Roman" w:eastAsia="仿宋_GB2312" w:cs="宋体"/>
          <w:sz w:val="24"/>
          <w:szCs w:val="24"/>
          <w:lang w:val="en-US" w:eastAsia="zh-CN"/>
        </w:rPr>
      </w:pPr>
      <w:r>
        <w:rPr>
          <w:rFonts w:hint="eastAsia" w:ascii="仿宋_GB2312" w:hAnsi="Times New Roman" w:eastAsia="仿宋_GB2312" w:cs="宋体"/>
          <w:sz w:val="24"/>
          <w:szCs w:val="24"/>
          <w:lang w:val="en-US" w:eastAsia="zh-CN"/>
        </w:rPr>
        <w:t>（11）《输变电工程水土保持技术规程第4部分：水土保持监理》（Q/GDW 11970.4-2023）</w:t>
      </w:r>
    </w:p>
    <w:p w14:paraId="4789D153">
      <w:pPr>
        <w:autoSpaceDE w:val="0"/>
        <w:autoSpaceDN w:val="0"/>
        <w:adjustRightInd w:val="0"/>
        <w:spacing w:line="360" w:lineRule="auto"/>
        <w:ind w:firstLine="480" w:firstLineChars="200"/>
        <w:rPr>
          <w:rFonts w:hint="eastAsia" w:ascii="仿宋_GB2312" w:hAnsi="Times New Roman" w:eastAsia="仿宋_GB2312" w:cs="宋体"/>
          <w:sz w:val="24"/>
          <w:szCs w:val="24"/>
          <w:lang w:val="en-US" w:eastAsia="zh-CN"/>
        </w:rPr>
      </w:pPr>
      <w:r>
        <w:rPr>
          <w:rFonts w:hint="eastAsia" w:ascii="仿宋_GB2312" w:hAnsi="Times New Roman" w:eastAsia="仿宋_GB2312" w:cs="宋体"/>
          <w:sz w:val="24"/>
          <w:szCs w:val="24"/>
          <w:lang w:val="en-US" w:eastAsia="zh-CN"/>
        </w:rPr>
        <w:t>（12）</w:t>
      </w:r>
      <w:r>
        <w:rPr>
          <w:rFonts w:hint="eastAsia" w:ascii="仿宋_GB2312" w:hAnsi="Times New Roman" w:eastAsia="仿宋_GB2312" w:cs="宋体"/>
          <w:sz w:val="24"/>
          <w:szCs w:val="24"/>
          <w:lang w:eastAsia="zh-CN"/>
        </w:rPr>
        <w:t>《</w:t>
      </w:r>
      <w:r>
        <w:rPr>
          <w:rFonts w:hint="eastAsia" w:ascii="仿宋_GB2312" w:hAnsi="Times New Roman" w:eastAsia="仿宋_GB2312" w:cs="宋体"/>
          <w:sz w:val="24"/>
          <w:szCs w:val="24"/>
          <w:lang w:val="en-US" w:eastAsia="zh-CN"/>
        </w:rPr>
        <w:t>输变电项目水土保持技术规范》（SL 640-2013）</w:t>
      </w:r>
    </w:p>
    <w:p w14:paraId="147B06A2">
      <w:pPr>
        <w:autoSpaceDE w:val="0"/>
        <w:autoSpaceDN w:val="0"/>
        <w:adjustRightInd w:val="0"/>
        <w:spacing w:line="360" w:lineRule="auto"/>
        <w:ind w:firstLine="480" w:firstLineChars="200"/>
        <w:rPr>
          <w:rFonts w:hint="eastAsia" w:ascii="仿宋_GB2312" w:hAnsi="Times New Roman" w:eastAsia="仿宋_GB2312" w:cs="宋体"/>
          <w:sz w:val="24"/>
          <w:szCs w:val="24"/>
          <w:lang w:val="en-US" w:eastAsia="zh-CN"/>
        </w:rPr>
      </w:pPr>
      <w:r>
        <w:rPr>
          <w:rFonts w:hint="eastAsia" w:ascii="仿宋_GB2312" w:hAnsi="Times New Roman" w:eastAsia="仿宋_GB2312" w:cs="宋体"/>
          <w:sz w:val="24"/>
          <w:szCs w:val="24"/>
          <w:lang w:val="en-US" w:eastAsia="zh-CN"/>
        </w:rPr>
        <w:t>（13）《水电建设项目水土保持技术规范》（NB/T 10509-2021）</w:t>
      </w:r>
    </w:p>
    <w:p w14:paraId="2A806124">
      <w:pPr>
        <w:autoSpaceDE w:val="0"/>
        <w:autoSpaceDN w:val="0"/>
        <w:adjustRightInd w:val="0"/>
        <w:spacing w:line="360" w:lineRule="auto"/>
        <w:ind w:firstLine="480" w:firstLineChars="200"/>
        <w:rPr>
          <w:rFonts w:hint="eastAsia" w:ascii="仿宋_GB2312" w:hAnsi="Times New Roman" w:eastAsia="仿宋_GB2312" w:cs="宋体"/>
          <w:sz w:val="24"/>
          <w:szCs w:val="24"/>
          <w:lang w:val="en-US" w:eastAsia="zh-CN"/>
        </w:rPr>
      </w:pPr>
      <w:r>
        <w:rPr>
          <w:rFonts w:hint="eastAsia" w:ascii="仿宋_GB2312" w:hAnsi="Times New Roman" w:eastAsia="仿宋_GB2312" w:cs="宋体"/>
          <w:sz w:val="24"/>
          <w:szCs w:val="24"/>
          <w:lang w:val="en-US" w:eastAsia="zh-CN"/>
        </w:rPr>
        <w:t>（14）《水电工程水土保持设施验收规程》（NB/T 35119-2018）</w:t>
      </w:r>
    </w:p>
    <w:p w14:paraId="3F6813A1">
      <w:pPr>
        <w:autoSpaceDE w:val="0"/>
        <w:autoSpaceDN w:val="0"/>
        <w:adjustRightInd w:val="0"/>
        <w:spacing w:line="360" w:lineRule="auto"/>
        <w:ind w:firstLine="480" w:firstLineChars="200"/>
        <w:rPr>
          <w:rFonts w:hint="default" w:ascii="仿宋_GB2312" w:hAnsi="Times New Roman" w:eastAsia="仿宋_GB2312" w:cs="宋体"/>
          <w:sz w:val="24"/>
          <w:szCs w:val="24"/>
          <w:lang w:val="en-US" w:eastAsia="zh-CN"/>
        </w:rPr>
      </w:pPr>
      <w:r>
        <w:rPr>
          <w:rFonts w:hint="eastAsia" w:ascii="仿宋_GB2312" w:hAnsi="Times New Roman" w:eastAsia="仿宋_GB2312" w:cs="宋体"/>
          <w:sz w:val="24"/>
          <w:szCs w:val="24"/>
          <w:lang w:val="en-US" w:eastAsia="zh-CN"/>
        </w:rPr>
        <w:t>（15）《架空输电线路水土保持设施质量检验及评定规程》（Q/GDW 11971-2019）</w:t>
      </w:r>
    </w:p>
    <w:p w14:paraId="636343A9">
      <w:pPr>
        <w:autoSpaceDE w:val="0"/>
        <w:autoSpaceDN w:val="0"/>
        <w:adjustRightInd w:val="0"/>
        <w:spacing w:line="360" w:lineRule="auto"/>
        <w:ind w:firstLine="480" w:firstLineChars="200"/>
        <w:rPr>
          <w:rFonts w:hint="eastAsia" w:ascii="仿宋_GB2312" w:hAnsi="Times New Roman" w:eastAsia="仿宋_GB2312" w:cs="宋体"/>
          <w:sz w:val="24"/>
          <w:szCs w:val="24"/>
          <w:lang w:val="en-US" w:eastAsia="zh-CN"/>
        </w:rPr>
      </w:pPr>
      <w:r>
        <w:rPr>
          <w:rFonts w:hint="eastAsia" w:ascii="仿宋_GB2312" w:hAnsi="Times New Roman" w:eastAsia="仿宋_GB2312" w:cs="宋体"/>
          <w:sz w:val="24"/>
          <w:szCs w:val="24"/>
          <w:lang w:val="en-US" w:eastAsia="zh-CN"/>
        </w:rPr>
        <w:t>（16）</w:t>
      </w:r>
      <w:r>
        <w:rPr>
          <w:rFonts w:hint="eastAsia" w:ascii="仿宋_GB2312" w:hAnsi="Times New Roman" w:eastAsia="仿宋_GB2312" w:cs="宋体"/>
          <w:sz w:val="24"/>
          <w:szCs w:val="24"/>
          <w:lang w:eastAsia="zh-CN"/>
        </w:rPr>
        <w:t>《</w:t>
      </w:r>
      <w:r>
        <w:rPr>
          <w:rFonts w:hint="eastAsia" w:ascii="仿宋_GB2312" w:hAnsi="Times New Roman" w:eastAsia="仿宋_GB2312" w:cs="宋体"/>
          <w:sz w:val="24"/>
          <w:szCs w:val="24"/>
          <w:lang w:val="en-US" w:eastAsia="zh-CN"/>
        </w:rPr>
        <w:t>抽水蓄能电站水土保持技术规范》（NB/T 11416-2023）</w:t>
      </w:r>
    </w:p>
    <w:p w14:paraId="5C87049F">
      <w:pPr>
        <w:autoSpaceDE w:val="0"/>
        <w:autoSpaceDN w:val="0"/>
        <w:adjustRightInd w:val="0"/>
        <w:spacing w:line="360" w:lineRule="auto"/>
        <w:ind w:firstLine="480" w:firstLineChars="200"/>
        <w:rPr>
          <w:rFonts w:hint="default" w:ascii="仿宋_GB2312" w:hAnsi="Times New Roman" w:eastAsia="仿宋_GB2312" w:cs="宋体"/>
          <w:sz w:val="24"/>
          <w:szCs w:val="24"/>
          <w:lang w:val="en-US" w:eastAsia="zh-CN"/>
        </w:rPr>
      </w:pPr>
      <w:r>
        <w:rPr>
          <w:rFonts w:hint="eastAsia" w:ascii="仿宋_GB2312" w:hAnsi="Times New Roman" w:eastAsia="仿宋_GB2312" w:cs="宋体"/>
          <w:sz w:val="24"/>
          <w:szCs w:val="24"/>
          <w:lang w:val="en-US" w:eastAsia="zh-CN"/>
        </w:rPr>
        <w:t>（17）《输变电工程水土保持技术规程第7部分：水土保持设施质量检验及评定》（Q/GDW 11970.8-2023）</w:t>
      </w:r>
    </w:p>
    <w:p w14:paraId="053022B1">
      <w:pPr>
        <w:autoSpaceDE w:val="0"/>
        <w:autoSpaceDN w:val="0"/>
        <w:adjustRightInd w:val="0"/>
        <w:spacing w:line="360" w:lineRule="auto"/>
        <w:ind w:firstLine="480" w:firstLineChars="200"/>
        <w:rPr>
          <w:rFonts w:hint="default" w:ascii="仿宋_GB2312" w:hAnsi="Times New Roman" w:eastAsia="仿宋_GB2312" w:cs="宋体"/>
          <w:sz w:val="24"/>
          <w:szCs w:val="24"/>
          <w:lang w:val="en-US" w:eastAsia="zh-CN"/>
        </w:rPr>
      </w:pPr>
      <w:r>
        <w:rPr>
          <w:rFonts w:hint="eastAsia" w:ascii="仿宋_GB2312" w:hAnsi="Times New Roman" w:eastAsia="仿宋_GB2312" w:cs="宋体"/>
          <w:sz w:val="24"/>
          <w:szCs w:val="24"/>
          <w:lang w:val="en-US" w:eastAsia="zh-CN"/>
        </w:rPr>
        <w:t>（18）《输变电工程水土保持技术规程第8部分：水土保持设施验收》（Q/GDW 11970.8-2023）</w:t>
      </w:r>
    </w:p>
    <w:p w14:paraId="77CF1E3C">
      <w:pPr>
        <w:autoSpaceDE w:val="0"/>
        <w:autoSpaceDN w:val="0"/>
        <w:adjustRightInd w:val="0"/>
        <w:spacing w:line="360" w:lineRule="auto"/>
        <w:ind w:firstLine="480" w:firstLineChars="200"/>
        <w:rPr>
          <w:rFonts w:hint="eastAsia" w:ascii="仿宋_GB2312" w:hAnsi="Times New Roman" w:eastAsia="仿宋_GB2312" w:cs="宋体"/>
          <w:sz w:val="24"/>
          <w:szCs w:val="24"/>
          <w:lang w:eastAsia="zh-CN"/>
        </w:rPr>
      </w:pPr>
      <w:r>
        <w:rPr>
          <w:rFonts w:hint="eastAsia" w:ascii="仿宋_GB2312" w:hAnsi="Times New Roman" w:eastAsia="仿宋_GB2312" w:cs="宋体"/>
          <w:sz w:val="24"/>
          <w:szCs w:val="24"/>
          <w:lang w:val="en-US" w:eastAsia="zh-CN"/>
        </w:rPr>
        <w:t>（19）</w:t>
      </w:r>
      <w:r>
        <w:rPr>
          <w:rFonts w:hint="eastAsia" w:ascii="仿宋_GB2312" w:hAnsi="Times New Roman" w:eastAsia="仿宋_GB2312" w:cs="宋体"/>
          <w:sz w:val="24"/>
          <w:szCs w:val="24"/>
        </w:rPr>
        <w:t>《</w:t>
      </w:r>
      <w:r>
        <w:rPr>
          <w:rFonts w:hint="eastAsia" w:ascii="仿宋_GB2312" w:hAnsi="Times New Roman" w:eastAsia="仿宋_GB2312" w:cs="宋体"/>
          <w:sz w:val="24"/>
          <w:szCs w:val="24"/>
          <w:lang w:val="en-US" w:eastAsia="zh-CN"/>
        </w:rPr>
        <w:t>电网建设项目监理项目部环境保护和水土保持标准化管理手册.线路工程分册：2023版</w:t>
      </w:r>
      <w:r>
        <w:rPr>
          <w:rFonts w:hint="eastAsia" w:ascii="仿宋_GB2312" w:hAnsi="Times New Roman" w:eastAsia="仿宋_GB2312" w:cs="宋体"/>
          <w:sz w:val="24"/>
          <w:szCs w:val="24"/>
        </w:rPr>
        <w:t>》</w:t>
      </w:r>
      <w:r>
        <w:rPr>
          <w:rFonts w:hint="eastAsia" w:ascii="仿宋_GB2312" w:hAnsi="Times New Roman" w:eastAsia="仿宋_GB2312" w:cs="宋体"/>
          <w:sz w:val="24"/>
          <w:szCs w:val="24"/>
          <w:lang w:eastAsia="zh-CN"/>
        </w:rPr>
        <w:t>（</w:t>
      </w:r>
      <w:r>
        <w:rPr>
          <w:rFonts w:hint="eastAsia" w:ascii="仿宋_GB2312" w:hAnsi="Times New Roman" w:eastAsia="仿宋_GB2312" w:cs="宋体"/>
          <w:sz w:val="24"/>
          <w:szCs w:val="24"/>
          <w:lang w:val="en-US" w:eastAsia="zh-CN"/>
        </w:rPr>
        <w:t>ISBN978-7-5198-8316-4</w:t>
      </w:r>
      <w:r>
        <w:rPr>
          <w:rFonts w:hint="eastAsia" w:ascii="仿宋_GB2312" w:hAnsi="Times New Roman" w:eastAsia="仿宋_GB2312" w:cs="宋体"/>
          <w:sz w:val="24"/>
          <w:szCs w:val="24"/>
          <w:lang w:eastAsia="zh-CN"/>
        </w:rPr>
        <w:t>）</w:t>
      </w:r>
    </w:p>
    <w:p w14:paraId="651A3715">
      <w:pPr>
        <w:autoSpaceDE w:val="0"/>
        <w:autoSpaceDN w:val="0"/>
        <w:adjustRightInd w:val="0"/>
        <w:spacing w:line="360" w:lineRule="auto"/>
        <w:ind w:firstLine="480" w:firstLineChars="200"/>
        <w:rPr>
          <w:rFonts w:hint="eastAsia" w:ascii="仿宋_GB2312" w:hAnsi="Times New Roman" w:eastAsia="仿宋_GB2312" w:cs="宋体"/>
          <w:sz w:val="24"/>
          <w:szCs w:val="24"/>
          <w:lang w:val="en-US" w:eastAsia="zh-CN"/>
        </w:rPr>
      </w:pPr>
      <w:r>
        <w:rPr>
          <w:rFonts w:hint="eastAsia" w:ascii="仿宋_GB2312" w:hAnsi="Times New Roman" w:eastAsia="仿宋_GB2312" w:cs="宋体"/>
          <w:sz w:val="24"/>
          <w:szCs w:val="24"/>
          <w:lang w:val="en-US" w:eastAsia="zh-CN"/>
        </w:rPr>
        <w:t>（20）</w:t>
      </w:r>
      <w:r>
        <w:rPr>
          <w:rFonts w:hint="eastAsia" w:ascii="仿宋_GB2312" w:hAnsi="Times New Roman" w:eastAsia="仿宋_GB2312" w:cs="宋体"/>
          <w:sz w:val="24"/>
          <w:szCs w:val="24"/>
        </w:rPr>
        <w:t>《</w:t>
      </w:r>
      <w:r>
        <w:rPr>
          <w:rFonts w:hint="eastAsia" w:ascii="仿宋_GB2312" w:hAnsi="Times New Roman" w:eastAsia="仿宋_GB2312" w:cs="宋体"/>
          <w:sz w:val="24"/>
          <w:szCs w:val="24"/>
          <w:lang w:val="en-US" w:eastAsia="zh-CN"/>
        </w:rPr>
        <w:t>电网建设项目监理项目部环境保护和水土保持标准化管理手册.变电工程分册：2023版</w:t>
      </w:r>
      <w:r>
        <w:rPr>
          <w:rFonts w:hint="eastAsia" w:ascii="仿宋_GB2312" w:hAnsi="Times New Roman" w:eastAsia="仿宋_GB2312" w:cs="宋体"/>
          <w:sz w:val="24"/>
          <w:szCs w:val="24"/>
        </w:rPr>
        <w:t>》</w:t>
      </w:r>
      <w:r>
        <w:rPr>
          <w:rFonts w:hint="eastAsia" w:ascii="仿宋_GB2312" w:hAnsi="Times New Roman" w:eastAsia="仿宋_GB2312" w:cs="宋体"/>
          <w:sz w:val="24"/>
          <w:szCs w:val="24"/>
          <w:lang w:eastAsia="zh-CN"/>
        </w:rPr>
        <w:t>（</w:t>
      </w:r>
      <w:r>
        <w:rPr>
          <w:rFonts w:hint="eastAsia" w:ascii="仿宋_GB2312" w:hAnsi="Times New Roman" w:eastAsia="仿宋_GB2312" w:cs="宋体"/>
          <w:sz w:val="24"/>
          <w:szCs w:val="24"/>
          <w:lang w:val="en-US" w:eastAsia="zh-CN"/>
        </w:rPr>
        <w:t>ISBN978-7-5198-8377-5</w:t>
      </w:r>
      <w:r>
        <w:rPr>
          <w:rFonts w:hint="eastAsia" w:ascii="仿宋_GB2312" w:hAnsi="Times New Roman" w:eastAsia="仿宋_GB2312" w:cs="宋体"/>
          <w:sz w:val="24"/>
          <w:szCs w:val="24"/>
          <w:lang w:eastAsia="zh-CN"/>
        </w:rPr>
        <w:t>）</w:t>
      </w:r>
    </w:p>
    <w:p w14:paraId="77B116FE">
      <w:pPr>
        <w:autoSpaceDE w:val="0"/>
        <w:autoSpaceDN w:val="0"/>
        <w:adjustRightInd w:val="0"/>
        <w:spacing w:line="360" w:lineRule="auto"/>
        <w:ind w:firstLine="420"/>
        <w:outlineLvl w:val="1"/>
        <w:rPr>
          <w:rFonts w:ascii="方正楷体_GBK" w:hAnsi="楷体_GB2312" w:eastAsia="方正楷体_GBK" w:cs="宋体"/>
          <w:b/>
          <w:bCs/>
          <w:sz w:val="24"/>
          <w:szCs w:val="24"/>
        </w:rPr>
      </w:pPr>
      <w:r>
        <w:rPr>
          <w:rFonts w:hint="eastAsia" w:ascii="方正楷体_GBK" w:hAnsi="楷体_GB2312" w:eastAsia="方正楷体_GBK" w:cs="宋体"/>
          <w:b/>
          <w:bCs/>
          <w:sz w:val="24"/>
          <w:szCs w:val="24"/>
        </w:rPr>
        <w:t>2.3 主要内容</w:t>
      </w:r>
      <w:bookmarkEnd w:id="10"/>
    </w:p>
    <w:p w14:paraId="39678F49">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本标准《</w:t>
      </w:r>
      <w:r>
        <w:rPr>
          <w:rFonts w:hint="eastAsia" w:ascii="仿宋_GB2312" w:hAnsi="Times New Roman" w:eastAsia="仿宋_GB2312" w:cs="宋体"/>
          <w:sz w:val="24"/>
          <w:szCs w:val="24"/>
          <w:lang w:val="en-US" w:eastAsia="zh-CN"/>
        </w:rPr>
        <w:t>输变电工程环保水保监理导则</w:t>
      </w:r>
      <w:r>
        <w:rPr>
          <w:rFonts w:hint="eastAsia" w:ascii="仿宋_GB2312" w:hAnsi="Times New Roman" w:eastAsia="仿宋_GB2312" w:cs="宋体"/>
          <w:sz w:val="24"/>
          <w:szCs w:val="24"/>
        </w:rPr>
        <w:t>》共</w:t>
      </w:r>
      <w:r>
        <w:rPr>
          <w:rFonts w:hint="eastAsia" w:ascii="仿宋_GB2312" w:hAnsi="Times New Roman" w:eastAsia="仿宋_GB2312" w:cs="宋体"/>
          <w:sz w:val="24"/>
          <w:szCs w:val="24"/>
          <w:lang w:val="en-US" w:eastAsia="zh-CN"/>
        </w:rPr>
        <w:t>8</w:t>
      </w:r>
      <w:r>
        <w:rPr>
          <w:rFonts w:hint="eastAsia" w:ascii="仿宋_GB2312" w:hAnsi="Times New Roman" w:eastAsia="仿宋_GB2312" w:cs="宋体"/>
          <w:sz w:val="24"/>
          <w:szCs w:val="24"/>
        </w:rPr>
        <w:t>章，主</w:t>
      </w:r>
      <w:r>
        <w:rPr>
          <w:rFonts w:ascii="仿宋_GB2312" w:hAnsi="Times New Roman" w:eastAsia="仿宋_GB2312" w:cs="宋体"/>
          <w:sz w:val="24"/>
          <w:szCs w:val="24"/>
        </w:rPr>
        <w:t>要内容包括：</w:t>
      </w:r>
      <w:r>
        <w:rPr>
          <w:rFonts w:hint="eastAsia" w:ascii="仿宋_GB2312" w:hAnsi="Times New Roman" w:eastAsia="仿宋_GB2312" w:cs="宋体"/>
          <w:sz w:val="24"/>
          <w:szCs w:val="24"/>
          <w:lang w:val="en-US" w:eastAsia="zh-CN"/>
        </w:rPr>
        <w:t>总则（第一章）</w:t>
      </w:r>
      <w:r>
        <w:rPr>
          <w:rFonts w:hint="eastAsia" w:ascii="仿宋_GB2312" w:hAnsi="Times New Roman" w:eastAsia="仿宋_GB2312" w:cs="宋体"/>
          <w:sz w:val="24"/>
          <w:szCs w:val="24"/>
        </w:rPr>
        <w:t>；规范性引用文件</w:t>
      </w:r>
      <w:r>
        <w:rPr>
          <w:rFonts w:hint="eastAsia" w:ascii="仿宋_GB2312" w:hAnsi="Times New Roman" w:eastAsia="仿宋_GB2312" w:cs="宋体"/>
          <w:sz w:val="24"/>
          <w:szCs w:val="24"/>
          <w:lang w:val="en-US" w:eastAsia="zh-CN"/>
        </w:rPr>
        <w:t>（第二章）</w:t>
      </w:r>
      <w:r>
        <w:rPr>
          <w:rFonts w:hint="eastAsia" w:ascii="仿宋_GB2312" w:hAnsi="Times New Roman" w:eastAsia="仿宋_GB2312" w:cs="宋体"/>
          <w:sz w:val="24"/>
          <w:szCs w:val="24"/>
        </w:rPr>
        <w:t>；术语和定义</w:t>
      </w:r>
      <w:r>
        <w:rPr>
          <w:rFonts w:hint="eastAsia" w:ascii="仿宋_GB2312" w:hAnsi="Times New Roman" w:eastAsia="仿宋_GB2312" w:cs="宋体"/>
          <w:sz w:val="24"/>
          <w:szCs w:val="24"/>
          <w:lang w:val="en-US" w:eastAsia="zh-CN"/>
        </w:rPr>
        <w:t>（第三章）</w:t>
      </w:r>
      <w:r>
        <w:rPr>
          <w:rFonts w:hint="eastAsia" w:ascii="仿宋_GB2312" w:hAnsi="Times New Roman" w:eastAsia="仿宋_GB2312" w:cs="宋体"/>
          <w:sz w:val="24"/>
          <w:szCs w:val="24"/>
        </w:rPr>
        <w:t>；</w:t>
      </w:r>
      <w:r>
        <w:rPr>
          <w:rFonts w:hint="eastAsia" w:ascii="仿宋_GB2312" w:hAnsi="Times New Roman" w:eastAsia="仿宋_GB2312" w:cs="宋体"/>
          <w:sz w:val="24"/>
          <w:szCs w:val="24"/>
          <w:lang w:val="en-US" w:eastAsia="zh-CN"/>
        </w:rPr>
        <w:t>基本规定（第四章）；项目监理机构设置、职责及设施（第五章）；环境保护监理工作内容（第六章）；水土保持监理工作内容（第七章）；文件资料管理工作（第八章）。</w:t>
      </w:r>
    </w:p>
    <w:p w14:paraId="47293BBE">
      <w:pPr>
        <w:pStyle w:val="13"/>
        <w:numPr>
          <w:ilvl w:val="0"/>
          <w:numId w:val="1"/>
        </w:numPr>
        <w:tabs>
          <w:tab w:val="left" w:pos="840"/>
        </w:tabs>
        <w:adjustRightInd w:val="0"/>
        <w:spacing w:line="360" w:lineRule="auto"/>
        <w:ind w:firstLineChars="0"/>
        <w:outlineLvl w:val="0"/>
        <w:rPr>
          <w:rFonts w:ascii="黑体" w:hAnsi="黑体" w:eastAsia="黑体"/>
          <w:b/>
          <w:sz w:val="28"/>
          <w:szCs w:val="28"/>
        </w:rPr>
      </w:pPr>
      <w:bookmarkStart w:id="11" w:name="_Toc179902676"/>
      <w:r>
        <w:rPr>
          <w:rFonts w:hint="eastAsia" w:ascii="黑体" w:hAnsi="黑体" w:eastAsia="黑体"/>
          <w:b/>
          <w:sz w:val="28"/>
          <w:szCs w:val="28"/>
        </w:rPr>
        <w:t>预期达到的效果</w:t>
      </w:r>
      <w:bookmarkEnd w:id="11"/>
    </w:p>
    <w:p w14:paraId="3750E947">
      <w:pPr>
        <w:autoSpaceDE w:val="0"/>
        <w:autoSpaceDN w:val="0"/>
        <w:adjustRightInd w:val="0"/>
        <w:spacing w:line="360" w:lineRule="auto"/>
        <w:ind w:firstLine="480" w:firstLineChars="200"/>
        <w:rPr>
          <w:rFonts w:hint="eastAsia" w:ascii="仿宋_GB2312" w:hAnsi="Times New Roman" w:eastAsia="仿宋_GB2312" w:cs="宋体"/>
          <w:sz w:val="24"/>
          <w:szCs w:val="24"/>
        </w:rPr>
      </w:pPr>
      <w:r>
        <w:rPr>
          <w:rFonts w:hint="eastAsia" w:ascii="仿宋_GB2312" w:hAnsi="Times New Roman" w:eastAsia="仿宋_GB2312" w:cs="宋体"/>
          <w:sz w:val="24"/>
          <w:szCs w:val="24"/>
        </w:rPr>
        <w:t>本标准发布实施后，将满足“双碳”目标、新型电力系统建设等行业发展转型趋势下，我国输变电工程</w:t>
      </w:r>
      <w:r>
        <w:rPr>
          <w:rFonts w:hint="eastAsia" w:ascii="仿宋_GB2312" w:hAnsi="Times New Roman" w:eastAsia="仿宋_GB2312" w:cs="宋体"/>
          <w:sz w:val="24"/>
          <w:szCs w:val="24"/>
          <w:lang w:val="en-US" w:eastAsia="zh-CN"/>
        </w:rPr>
        <w:t>环保水保监理</w:t>
      </w:r>
      <w:r>
        <w:rPr>
          <w:rFonts w:hint="eastAsia" w:ascii="仿宋_GB2312" w:hAnsi="Times New Roman" w:eastAsia="仿宋_GB2312" w:cs="宋体"/>
          <w:sz w:val="24"/>
          <w:szCs w:val="24"/>
        </w:rPr>
        <w:t>技术发展需求，推动建筑业绿色发展和转型升级，推广绿色建造方式</w:t>
      </w:r>
      <w:r>
        <w:rPr>
          <w:rFonts w:hint="eastAsia" w:ascii="仿宋_GB2312" w:hAnsi="Times New Roman" w:eastAsia="仿宋_GB2312" w:cs="宋体"/>
          <w:sz w:val="24"/>
          <w:szCs w:val="24"/>
          <w:lang w:val="en-US" w:eastAsia="zh-CN"/>
        </w:rPr>
        <w:t>的要求</w:t>
      </w:r>
      <w:r>
        <w:rPr>
          <w:rFonts w:hint="eastAsia" w:ascii="仿宋_GB2312" w:hAnsi="Times New Roman" w:eastAsia="仿宋_GB2312" w:cs="宋体"/>
          <w:sz w:val="24"/>
          <w:szCs w:val="24"/>
        </w:rPr>
        <w:t>。</w:t>
      </w:r>
    </w:p>
    <w:p w14:paraId="6879EC5D">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lang w:val="en-US" w:eastAsia="zh-CN"/>
        </w:rPr>
        <w:t>本标准将明确输变电工程环水保监理工作的工作内容和管理要求，适用于新建、扩建、改建的输变电工程环水保监理服务。进一步明确输变电工程环水保监理工作内容和管理要求，为输变电工程监理单位开展输变电工程环水保监理工作提供工作指南。</w:t>
      </w:r>
    </w:p>
    <w:p w14:paraId="690E3999">
      <w:pPr>
        <w:pStyle w:val="13"/>
        <w:numPr>
          <w:ilvl w:val="0"/>
          <w:numId w:val="1"/>
        </w:numPr>
        <w:tabs>
          <w:tab w:val="left" w:pos="840"/>
        </w:tabs>
        <w:adjustRightInd w:val="0"/>
        <w:spacing w:line="360" w:lineRule="auto"/>
        <w:ind w:firstLineChars="0"/>
        <w:outlineLvl w:val="0"/>
        <w:rPr>
          <w:rFonts w:ascii="黑体" w:hAnsi="黑体" w:eastAsia="黑体"/>
          <w:b/>
          <w:sz w:val="28"/>
          <w:szCs w:val="28"/>
        </w:rPr>
      </w:pPr>
      <w:bookmarkStart w:id="12" w:name="_Toc179902677"/>
      <w:r>
        <w:rPr>
          <w:rFonts w:hint="eastAsia" w:ascii="黑体" w:hAnsi="黑体" w:eastAsia="黑体"/>
          <w:b/>
          <w:sz w:val="28"/>
          <w:szCs w:val="28"/>
        </w:rPr>
        <w:t>与同类标准对比情况</w:t>
      </w:r>
      <w:bookmarkEnd w:id="12"/>
    </w:p>
    <w:p w14:paraId="47780FB9">
      <w:pPr>
        <w:autoSpaceDE w:val="0"/>
        <w:autoSpaceDN w:val="0"/>
        <w:adjustRightInd w:val="0"/>
        <w:spacing w:line="360" w:lineRule="auto"/>
        <w:ind w:firstLine="480" w:firstLineChars="200"/>
        <w:rPr>
          <w:rFonts w:hint="eastAsia" w:ascii="仿宋_GB2312" w:hAnsi="Times New Roman" w:eastAsia="仿宋_GB2312" w:cs="宋体"/>
          <w:sz w:val="24"/>
          <w:szCs w:val="24"/>
          <w:lang w:val="en-US" w:eastAsia="zh-CN"/>
        </w:rPr>
      </w:pPr>
      <w:r>
        <w:rPr>
          <w:rFonts w:hint="eastAsia" w:ascii="仿宋_GB2312" w:hAnsi="Times New Roman" w:eastAsia="仿宋_GB2312" w:cs="宋体"/>
          <w:sz w:val="24"/>
          <w:szCs w:val="24"/>
          <w:lang w:val="en-US" w:eastAsia="zh-CN"/>
        </w:rPr>
        <w:t>目前国内相关标准主要有Q/GDW 11970.4-2023《输变电工程水土保持技术规程第4部分：水土保持监理》、DL/T 5391-2017《输变电工程环境监理规范》、NB/T 10507-2021《输变电工程环境保护监理规程》等标准。</w:t>
      </w:r>
    </w:p>
    <w:p w14:paraId="199CEB8A">
      <w:pPr>
        <w:autoSpaceDE w:val="0"/>
        <w:autoSpaceDN w:val="0"/>
        <w:adjustRightInd w:val="0"/>
        <w:spacing w:line="360" w:lineRule="auto"/>
        <w:ind w:firstLine="480" w:firstLineChars="200"/>
        <w:rPr>
          <w:rFonts w:hint="eastAsia" w:ascii="仿宋_GB2312" w:hAnsi="Times New Roman" w:eastAsia="仿宋_GB2312" w:cs="宋体"/>
          <w:sz w:val="24"/>
          <w:szCs w:val="24"/>
        </w:rPr>
      </w:pPr>
      <w:r>
        <w:rPr>
          <w:rFonts w:hint="eastAsia" w:ascii="仿宋_GB2312" w:hAnsi="Times New Roman" w:eastAsia="仿宋_GB2312" w:cs="宋体"/>
          <w:sz w:val="24"/>
          <w:szCs w:val="24"/>
          <w:lang w:val="en-US" w:eastAsia="zh-CN"/>
        </w:rPr>
        <w:t>Q/GDW 11970.4-2023《输变电工程水土保持技术规程第4部分：水土保持监理》为国网公司水土保持企业标准</w:t>
      </w:r>
      <w:r>
        <w:rPr>
          <w:rFonts w:hint="eastAsia" w:ascii="仿宋_GB2312" w:hAnsi="Times New Roman" w:eastAsia="仿宋_GB2312" w:cs="宋体"/>
          <w:sz w:val="24"/>
          <w:szCs w:val="24"/>
        </w:rPr>
        <w:t>，涵盖了水保监理</w:t>
      </w:r>
      <w:r>
        <w:rPr>
          <w:rFonts w:hint="eastAsia" w:ascii="仿宋_GB2312" w:hAnsi="Times New Roman" w:eastAsia="仿宋_GB2312" w:cs="宋体"/>
          <w:sz w:val="24"/>
          <w:szCs w:val="24"/>
          <w:lang w:val="en-US" w:eastAsia="zh-CN"/>
        </w:rPr>
        <w:t>机构和工作程序</w:t>
      </w:r>
      <w:r>
        <w:rPr>
          <w:rFonts w:hint="eastAsia" w:ascii="仿宋_GB2312" w:hAnsi="Times New Roman" w:eastAsia="仿宋_GB2312" w:cs="宋体"/>
          <w:sz w:val="24"/>
          <w:szCs w:val="24"/>
        </w:rPr>
        <w:t>要求</w:t>
      </w:r>
      <w:r>
        <w:rPr>
          <w:rFonts w:hint="eastAsia" w:ascii="仿宋_GB2312" w:hAnsi="Times New Roman" w:eastAsia="仿宋_GB2312" w:cs="宋体"/>
          <w:sz w:val="24"/>
          <w:szCs w:val="24"/>
          <w:lang w:eastAsia="zh-CN"/>
        </w:rPr>
        <w:t>，</w:t>
      </w:r>
      <w:r>
        <w:rPr>
          <w:rFonts w:hint="eastAsia" w:ascii="仿宋_GB2312" w:hAnsi="Times New Roman" w:eastAsia="仿宋_GB2312" w:cs="宋体"/>
          <w:sz w:val="24"/>
          <w:szCs w:val="24"/>
          <w:lang w:val="en-US" w:eastAsia="zh-CN"/>
        </w:rPr>
        <w:t>未明确环保监理的内容和要求</w:t>
      </w:r>
      <w:r>
        <w:rPr>
          <w:rFonts w:hint="eastAsia" w:ascii="仿宋_GB2312" w:hAnsi="Times New Roman" w:eastAsia="仿宋_GB2312" w:cs="宋体"/>
          <w:sz w:val="24"/>
          <w:szCs w:val="24"/>
        </w:rPr>
        <w:t>。</w:t>
      </w:r>
      <w:r>
        <w:rPr>
          <w:rFonts w:hint="eastAsia" w:ascii="仿宋_GB2312" w:hAnsi="Times New Roman" w:eastAsia="仿宋_GB2312" w:cs="宋体"/>
          <w:sz w:val="24"/>
          <w:szCs w:val="24"/>
          <w:lang w:val="en-US" w:eastAsia="zh-CN"/>
        </w:rPr>
        <w:t>DL/T 5391-2017《输变电工程环境监理规范》</w:t>
      </w:r>
      <w:r>
        <w:rPr>
          <w:rFonts w:hint="eastAsia" w:ascii="仿宋_GB2312" w:hAnsi="Times New Roman" w:eastAsia="仿宋_GB2312" w:cs="宋体"/>
          <w:sz w:val="24"/>
          <w:szCs w:val="24"/>
        </w:rPr>
        <w:t>针对输变电工程环境监理的专门规范，详细规定了环境监理的职责、工作内容和程序</w:t>
      </w:r>
      <w:r>
        <w:rPr>
          <w:rFonts w:hint="eastAsia" w:ascii="仿宋_GB2312" w:hAnsi="Times New Roman" w:eastAsia="仿宋_GB2312" w:cs="宋体"/>
          <w:sz w:val="24"/>
          <w:szCs w:val="24"/>
          <w:lang w:eastAsia="zh-CN"/>
        </w:rPr>
        <w:t>，</w:t>
      </w:r>
      <w:r>
        <w:rPr>
          <w:rFonts w:hint="eastAsia" w:ascii="仿宋_GB2312" w:hAnsi="Times New Roman" w:eastAsia="仿宋_GB2312" w:cs="宋体"/>
          <w:sz w:val="24"/>
          <w:szCs w:val="24"/>
          <w:lang w:val="en-US" w:eastAsia="zh-CN"/>
        </w:rPr>
        <w:t>未明确水土保持部分的内容和要求。NB/T 10507-2021《输变电工程环境保护监理规程》</w:t>
      </w:r>
      <w:r>
        <w:rPr>
          <w:rFonts w:hint="eastAsia" w:ascii="仿宋_GB2312" w:hAnsi="Times New Roman" w:eastAsia="仿宋_GB2312" w:cs="宋体"/>
          <w:sz w:val="24"/>
          <w:szCs w:val="24"/>
        </w:rPr>
        <w:t>针对输变电工程的环境保护监理工作，明确了监理的范围、内容和要求</w:t>
      </w:r>
      <w:r>
        <w:rPr>
          <w:rFonts w:hint="eastAsia" w:ascii="仿宋_GB2312" w:hAnsi="Times New Roman" w:eastAsia="仿宋_GB2312" w:cs="宋体"/>
          <w:sz w:val="24"/>
          <w:szCs w:val="24"/>
          <w:lang w:eastAsia="zh-CN"/>
        </w:rPr>
        <w:t>，</w:t>
      </w:r>
      <w:r>
        <w:rPr>
          <w:rFonts w:hint="eastAsia" w:ascii="仿宋_GB2312" w:hAnsi="Times New Roman" w:eastAsia="仿宋_GB2312" w:cs="宋体"/>
          <w:sz w:val="24"/>
          <w:szCs w:val="24"/>
          <w:lang w:val="en-US" w:eastAsia="zh-CN"/>
        </w:rPr>
        <w:t>未明确水土保持部分的内容和要求。</w:t>
      </w:r>
    </w:p>
    <w:p w14:paraId="7E3E42DD">
      <w:pPr>
        <w:pStyle w:val="13"/>
        <w:numPr>
          <w:ilvl w:val="0"/>
          <w:numId w:val="1"/>
        </w:numPr>
        <w:tabs>
          <w:tab w:val="left" w:pos="840"/>
        </w:tabs>
        <w:adjustRightInd w:val="0"/>
        <w:spacing w:line="360" w:lineRule="auto"/>
        <w:ind w:firstLineChars="0"/>
        <w:outlineLvl w:val="0"/>
        <w:rPr>
          <w:rFonts w:ascii="黑体" w:hAnsi="黑体" w:eastAsia="黑体"/>
          <w:b/>
          <w:sz w:val="28"/>
          <w:szCs w:val="28"/>
        </w:rPr>
      </w:pPr>
      <w:bookmarkStart w:id="13" w:name="_Toc179902678"/>
      <w:r>
        <w:rPr>
          <w:rFonts w:hint="eastAsia" w:ascii="黑体" w:hAnsi="黑体" w:eastAsia="黑体"/>
          <w:b/>
          <w:sz w:val="28"/>
          <w:szCs w:val="28"/>
        </w:rPr>
        <w:t>与现行法律、法规、政策及相关标准的协调性</w:t>
      </w:r>
      <w:bookmarkEnd w:id="13"/>
    </w:p>
    <w:p w14:paraId="286DB9CD">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本标准编制过程中结合“双碳”目标、绿色建造、智能建造等最新形势和国内输变电工程</w:t>
      </w:r>
      <w:r>
        <w:rPr>
          <w:rFonts w:hint="eastAsia" w:ascii="仿宋_GB2312" w:hAnsi="Times New Roman" w:eastAsia="仿宋_GB2312" w:cs="宋体"/>
          <w:sz w:val="24"/>
          <w:szCs w:val="24"/>
          <w:lang w:val="en-US" w:eastAsia="zh-CN"/>
        </w:rPr>
        <w:t>环保水保监理</w:t>
      </w:r>
      <w:r>
        <w:rPr>
          <w:rFonts w:hint="eastAsia" w:ascii="仿宋_GB2312" w:hAnsi="Times New Roman" w:eastAsia="仿宋_GB2312" w:cs="宋体"/>
          <w:sz w:val="24"/>
          <w:szCs w:val="24"/>
        </w:rPr>
        <w:t>管理发展需求等内容，充分考虑了与国家现行有效法律法规之间的协调，所有技术条款均严格遵守国家法律法规和政策的要求。</w:t>
      </w:r>
    </w:p>
    <w:p w14:paraId="5D0984C0">
      <w:pPr>
        <w:autoSpaceDE w:val="0"/>
        <w:autoSpaceDN w:val="0"/>
        <w:adjustRightInd w:val="0"/>
        <w:spacing w:line="360" w:lineRule="auto"/>
        <w:ind w:firstLine="480" w:firstLineChars="200"/>
        <w:rPr>
          <w:rFonts w:hint="eastAsia" w:ascii="仿宋_GB2312" w:hAnsi="Times New Roman" w:eastAsia="仿宋_GB2312" w:cs="宋体"/>
          <w:sz w:val="24"/>
          <w:szCs w:val="24"/>
        </w:rPr>
      </w:pPr>
      <w:r>
        <w:rPr>
          <w:rFonts w:hint="eastAsia" w:ascii="仿宋_GB2312" w:hAnsi="Times New Roman" w:eastAsia="仿宋_GB2312" w:cs="宋体"/>
          <w:sz w:val="24"/>
          <w:szCs w:val="24"/>
        </w:rPr>
        <w:t>执行过程中，除执行本标准的要求外，必须遵守国家现行法律、法规、政策及有关标准的规定。</w:t>
      </w:r>
    </w:p>
    <w:p w14:paraId="1B5BDAA3">
      <w:pPr>
        <w:pStyle w:val="13"/>
        <w:numPr>
          <w:ilvl w:val="0"/>
          <w:numId w:val="1"/>
        </w:numPr>
        <w:tabs>
          <w:tab w:val="left" w:pos="840"/>
        </w:tabs>
        <w:adjustRightInd w:val="0"/>
        <w:spacing w:line="360" w:lineRule="auto"/>
        <w:ind w:firstLineChars="0"/>
        <w:outlineLvl w:val="0"/>
        <w:rPr>
          <w:rFonts w:ascii="黑体" w:hAnsi="黑体" w:eastAsia="黑体"/>
          <w:b/>
          <w:sz w:val="28"/>
          <w:szCs w:val="28"/>
        </w:rPr>
      </w:pPr>
      <w:bookmarkStart w:id="14" w:name="_Toc179902679"/>
      <w:r>
        <w:rPr>
          <w:rFonts w:hint="eastAsia" w:ascii="黑体" w:hAnsi="黑体" w:eastAsia="黑体"/>
          <w:b/>
          <w:sz w:val="28"/>
          <w:szCs w:val="28"/>
        </w:rPr>
        <w:t>重大分歧意见处理情况</w:t>
      </w:r>
      <w:bookmarkEnd w:id="14"/>
    </w:p>
    <w:p w14:paraId="46A5FE41">
      <w:pPr>
        <w:autoSpaceDE w:val="0"/>
        <w:autoSpaceDN w:val="0"/>
        <w:adjustRightInd w:val="0"/>
        <w:spacing w:line="360" w:lineRule="auto"/>
        <w:ind w:firstLine="480" w:firstLineChars="200"/>
        <w:rPr>
          <w:rFonts w:hint="eastAsia" w:ascii="仿宋_GB2312" w:hAnsi="Times New Roman" w:eastAsia="仿宋_GB2312" w:cs="宋体"/>
          <w:sz w:val="24"/>
          <w:szCs w:val="24"/>
        </w:rPr>
      </w:pPr>
      <w:r>
        <w:rPr>
          <w:rFonts w:hint="eastAsia" w:ascii="仿宋_GB2312" w:hAnsi="Times New Roman" w:eastAsia="仿宋_GB2312" w:cs="宋体"/>
          <w:sz w:val="24"/>
          <w:szCs w:val="24"/>
        </w:rPr>
        <w:t>本标准编制过程中，未出现重大分歧意见。</w:t>
      </w:r>
    </w:p>
    <w:p w14:paraId="6AAA9DAA">
      <w:pPr>
        <w:pStyle w:val="13"/>
        <w:numPr>
          <w:ilvl w:val="0"/>
          <w:numId w:val="1"/>
        </w:numPr>
        <w:tabs>
          <w:tab w:val="left" w:pos="840"/>
        </w:tabs>
        <w:adjustRightInd w:val="0"/>
        <w:spacing w:line="360" w:lineRule="auto"/>
        <w:ind w:firstLineChars="0"/>
        <w:outlineLvl w:val="0"/>
        <w:rPr>
          <w:rFonts w:ascii="黑体" w:hAnsi="黑体" w:eastAsia="黑体"/>
          <w:b/>
          <w:sz w:val="28"/>
          <w:szCs w:val="28"/>
        </w:rPr>
      </w:pPr>
      <w:bookmarkStart w:id="15" w:name="_Toc179902680"/>
      <w:r>
        <w:rPr>
          <w:rFonts w:hint="eastAsia" w:ascii="黑体" w:hAnsi="黑体" w:eastAsia="黑体"/>
          <w:b/>
          <w:sz w:val="28"/>
          <w:szCs w:val="28"/>
        </w:rPr>
        <w:t>标准涉及专利处置情况</w:t>
      </w:r>
      <w:bookmarkEnd w:id="15"/>
    </w:p>
    <w:p w14:paraId="4133B52B">
      <w:pPr>
        <w:autoSpaceDE w:val="0"/>
        <w:autoSpaceDN w:val="0"/>
        <w:adjustRightInd w:val="0"/>
        <w:spacing w:line="360" w:lineRule="auto"/>
        <w:ind w:firstLine="480" w:firstLineChars="200"/>
        <w:rPr>
          <w:rFonts w:hint="eastAsia" w:ascii="仿宋_GB2312" w:hAnsi="Times New Roman" w:eastAsia="仿宋_GB2312" w:cs="宋体"/>
          <w:sz w:val="24"/>
          <w:szCs w:val="24"/>
        </w:rPr>
      </w:pPr>
      <w:r>
        <w:rPr>
          <w:rFonts w:hint="eastAsia" w:ascii="仿宋_GB2312" w:hAnsi="Times New Roman" w:eastAsia="仿宋_GB2312" w:cs="宋体"/>
          <w:sz w:val="24"/>
          <w:szCs w:val="24"/>
        </w:rPr>
        <w:t>本标准不涉及专利处置情况。</w:t>
      </w:r>
    </w:p>
    <w:p w14:paraId="527D41D7">
      <w:pPr>
        <w:pStyle w:val="13"/>
        <w:numPr>
          <w:ilvl w:val="0"/>
          <w:numId w:val="1"/>
        </w:numPr>
        <w:tabs>
          <w:tab w:val="left" w:pos="840"/>
        </w:tabs>
        <w:adjustRightInd w:val="0"/>
        <w:spacing w:line="360" w:lineRule="auto"/>
        <w:ind w:firstLineChars="0"/>
        <w:outlineLvl w:val="0"/>
        <w:rPr>
          <w:rFonts w:ascii="黑体" w:hAnsi="黑体" w:eastAsia="黑体"/>
          <w:b/>
          <w:sz w:val="28"/>
          <w:szCs w:val="28"/>
        </w:rPr>
      </w:pPr>
      <w:bookmarkStart w:id="16" w:name="_Toc179902681"/>
      <w:r>
        <w:rPr>
          <w:rFonts w:hint="eastAsia" w:ascii="黑体" w:hAnsi="黑体" w:eastAsia="黑体"/>
          <w:b/>
          <w:sz w:val="28"/>
          <w:szCs w:val="28"/>
        </w:rPr>
        <w:t>贯彻规范的要求和措施建议</w:t>
      </w:r>
      <w:bookmarkEnd w:id="16"/>
    </w:p>
    <w:p w14:paraId="2A838E5C">
      <w:pPr>
        <w:autoSpaceDE w:val="0"/>
        <w:autoSpaceDN w:val="0"/>
        <w:adjustRightInd w:val="0"/>
        <w:spacing w:line="360" w:lineRule="auto"/>
        <w:ind w:firstLine="480" w:firstLineChars="200"/>
        <w:rPr>
          <w:rFonts w:hint="eastAsia" w:ascii="仿宋_GB2312" w:hAnsi="Times New Roman" w:eastAsia="仿宋_GB2312" w:cs="宋体"/>
          <w:sz w:val="24"/>
          <w:szCs w:val="24"/>
        </w:rPr>
      </w:pPr>
      <w:r>
        <w:rPr>
          <w:rFonts w:hint="eastAsia" w:ascii="仿宋_GB2312" w:hAnsi="Times New Roman" w:eastAsia="仿宋_GB2312" w:cs="宋体"/>
          <w:sz w:val="24"/>
          <w:szCs w:val="24"/>
        </w:rPr>
        <w:t>本标准适用于新建、扩建、改建的输变电工程</w:t>
      </w:r>
      <w:r>
        <w:rPr>
          <w:rFonts w:hint="eastAsia" w:ascii="仿宋_GB2312" w:hAnsi="Times New Roman" w:eastAsia="仿宋_GB2312" w:cs="宋体"/>
          <w:sz w:val="24"/>
          <w:szCs w:val="24"/>
          <w:lang w:val="en-US" w:eastAsia="zh-CN"/>
        </w:rPr>
        <w:t>环保水保监理</w:t>
      </w:r>
      <w:r>
        <w:rPr>
          <w:rFonts w:hint="eastAsia" w:ascii="仿宋_GB2312" w:hAnsi="Times New Roman" w:eastAsia="仿宋_GB2312" w:cs="宋体"/>
          <w:sz w:val="24"/>
          <w:szCs w:val="24"/>
        </w:rPr>
        <w:t>服务。</w:t>
      </w:r>
    </w:p>
    <w:p w14:paraId="5B0BA7CA">
      <w:pPr>
        <w:autoSpaceDE w:val="0"/>
        <w:autoSpaceDN w:val="0"/>
        <w:adjustRightInd w:val="0"/>
        <w:spacing w:line="360" w:lineRule="auto"/>
        <w:ind w:firstLine="480" w:firstLineChars="200"/>
        <w:jc w:val="both"/>
        <w:rPr>
          <w:rFonts w:hint="eastAsia" w:ascii="仿宋_GB2312" w:hAnsi="Times New Roman" w:eastAsia="仿宋_GB2312" w:cs="宋体"/>
          <w:sz w:val="24"/>
          <w:szCs w:val="24"/>
        </w:rPr>
      </w:pPr>
      <w:r>
        <w:rPr>
          <w:rFonts w:hint="eastAsia" w:ascii="仿宋_GB2312" w:hAnsi="Times New Roman" w:eastAsia="仿宋_GB2312" w:cs="宋体"/>
          <w:sz w:val="24"/>
          <w:szCs w:val="24"/>
        </w:rPr>
        <w:t>本标准的制定和应用能够为全过程工程咨询单位开展输变电工程</w:t>
      </w:r>
      <w:r>
        <w:rPr>
          <w:rFonts w:hint="eastAsia" w:ascii="仿宋_GB2312" w:hAnsi="Times New Roman" w:eastAsia="仿宋_GB2312" w:cs="宋体"/>
          <w:sz w:val="24"/>
          <w:szCs w:val="24"/>
          <w:lang w:val="en-US" w:eastAsia="zh-CN"/>
        </w:rPr>
        <w:t>环保水保监理</w:t>
      </w:r>
      <w:r>
        <w:rPr>
          <w:rFonts w:hint="eastAsia" w:ascii="仿宋_GB2312" w:hAnsi="Times New Roman" w:eastAsia="仿宋_GB2312" w:cs="宋体"/>
          <w:sz w:val="24"/>
          <w:szCs w:val="24"/>
        </w:rPr>
        <w:t>服务提供工作指南，</w:t>
      </w:r>
      <w:r>
        <w:rPr>
          <w:rFonts w:hint="eastAsia" w:ascii="仿宋_GB2312" w:hAnsi="Times New Roman" w:eastAsia="仿宋_GB2312" w:cs="宋体"/>
          <w:sz w:val="24"/>
          <w:szCs w:val="24"/>
          <w:lang w:val="en-US" w:eastAsia="zh-CN"/>
        </w:rPr>
        <w:t>进一步明确</w:t>
      </w:r>
      <w:r>
        <w:rPr>
          <w:rFonts w:hint="eastAsia" w:ascii="仿宋_GB2312" w:hAnsi="Times New Roman" w:eastAsia="仿宋_GB2312" w:cs="宋体"/>
          <w:sz w:val="24"/>
          <w:szCs w:val="24"/>
        </w:rPr>
        <w:t>输变电工程环水保监理工作</w:t>
      </w:r>
      <w:r>
        <w:rPr>
          <w:rFonts w:hint="eastAsia" w:ascii="仿宋_GB2312" w:hAnsi="Times New Roman" w:eastAsia="仿宋_GB2312" w:cs="宋体"/>
          <w:sz w:val="24"/>
          <w:szCs w:val="24"/>
          <w:lang w:val="en-US" w:eastAsia="zh-CN"/>
        </w:rPr>
        <w:t>内容和管理要求</w:t>
      </w:r>
      <w:r>
        <w:rPr>
          <w:rFonts w:hint="eastAsia" w:ascii="仿宋_GB2312" w:hAnsi="Times New Roman" w:eastAsia="仿宋_GB2312" w:cs="宋体"/>
          <w:sz w:val="24"/>
          <w:szCs w:val="24"/>
        </w:rPr>
        <w:t>，为</w:t>
      </w:r>
      <w:r>
        <w:rPr>
          <w:rFonts w:hint="eastAsia" w:ascii="仿宋_GB2312" w:hAnsi="Times New Roman" w:eastAsia="仿宋_GB2312" w:cs="宋体"/>
          <w:sz w:val="24"/>
          <w:szCs w:val="24"/>
          <w:lang w:val="en-US" w:eastAsia="zh-CN"/>
        </w:rPr>
        <w:t>输变电工程监理单位</w:t>
      </w:r>
      <w:r>
        <w:rPr>
          <w:rFonts w:hint="eastAsia" w:ascii="仿宋_GB2312" w:hAnsi="Times New Roman" w:eastAsia="仿宋_GB2312" w:cs="宋体"/>
          <w:sz w:val="24"/>
          <w:szCs w:val="24"/>
        </w:rPr>
        <w:t>开展输变电工程</w:t>
      </w:r>
      <w:r>
        <w:rPr>
          <w:rFonts w:hint="eastAsia" w:ascii="仿宋_GB2312" w:hAnsi="Times New Roman" w:eastAsia="仿宋_GB2312" w:cs="宋体"/>
          <w:sz w:val="24"/>
          <w:szCs w:val="24"/>
          <w:lang w:val="en-US" w:eastAsia="zh-CN"/>
        </w:rPr>
        <w:t>环水保监理工作</w:t>
      </w:r>
      <w:r>
        <w:rPr>
          <w:rFonts w:hint="eastAsia" w:ascii="仿宋_GB2312" w:hAnsi="Times New Roman" w:eastAsia="仿宋_GB2312" w:cs="宋体"/>
          <w:sz w:val="24"/>
          <w:szCs w:val="24"/>
        </w:rPr>
        <w:t>提供工作指南，建议能够尽快批准发布本标准，并通过组织集中宣讲会等形式进一步贯彻标准要求。</w:t>
      </w:r>
    </w:p>
    <w:p w14:paraId="55567127">
      <w:pPr>
        <w:autoSpaceDE w:val="0"/>
        <w:autoSpaceDN w:val="0"/>
        <w:adjustRightInd w:val="0"/>
        <w:spacing w:line="360" w:lineRule="auto"/>
        <w:ind w:firstLine="480" w:firstLineChars="200"/>
        <w:rPr>
          <w:rFonts w:hint="eastAsia" w:ascii="仿宋_GB2312" w:hAnsi="Times New Roman" w:eastAsia="仿宋_GB2312" w:cs="宋体"/>
          <w:sz w:val="24"/>
          <w:szCs w:val="24"/>
        </w:rPr>
      </w:pPr>
      <w:r>
        <w:rPr>
          <w:rFonts w:hint="eastAsia" w:ascii="仿宋_GB2312" w:hAnsi="Times New Roman" w:eastAsia="仿宋_GB2312" w:cs="宋体"/>
          <w:sz w:val="24"/>
          <w:szCs w:val="24"/>
        </w:rPr>
        <w:t>本标准不设立强制性条文。</w:t>
      </w:r>
    </w:p>
    <w:p w14:paraId="6C486F91">
      <w:pPr>
        <w:pStyle w:val="13"/>
        <w:numPr>
          <w:ilvl w:val="0"/>
          <w:numId w:val="1"/>
        </w:numPr>
        <w:tabs>
          <w:tab w:val="left" w:pos="840"/>
        </w:tabs>
        <w:adjustRightInd w:val="0"/>
        <w:spacing w:line="360" w:lineRule="auto"/>
        <w:ind w:firstLineChars="0"/>
        <w:outlineLvl w:val="0"/>
        <w:rPr>
          <w:rFonts w:ascii="黑体" w:hAnsi="黑体" w:eastAsia="黑体"/>
          <w:b/>
          <w:sz w:val="28"/>
          <w:szCs w:val="28"/>
        </w:rPr>
      </w:pPr>
      <w:bookmarkStart w:id="17" w:name="_Toc179902682"/>
      <w:r>
        <w:rPr>
          <w:rFonts w:hint="eastAsia" w:ascii="黑体" w:hAnsi="黑体" w:eastAsia="黑体"/>
          <w:b/>
          <w:sz w:val="28"/>
          <w:szCs w:val="28"/>
        </w:rPr>
        <w:t>代替或废止现行有关标准的建议</w:t>
      </w:r>
      <w:bookmarkEnd w:id="17"/>
    </w:p>
    <w:p w14:paraId="0652A46A">
      <w:pPr>
        <w:autoSpaceDE w:val="0"/>
        <w:autoSpaceDN w:val="0"/>
        <w:adjustRightInd w:val="0"/>
        <w:spacing w:line="360" w:lineRule="auto"/>
        <w:ind w:firstLine="480" w:firstLineChars="200"/>
        <w:rPr>
          <w:rFonts w:hint="eastAsia" w:ascii="仿宋_GB2312" w:hAnsi="Times New Roman" w:eastAsia="仿宋_GB2312" w:cs="宋体"/>
          <w:sz w:val="24"/>
          <w:szCs w:val="24"/>
        </w:rPr>
      </w:pPr>
      <w:r>
        <w:rPr>
          <w:rFonts w:hint="eastAsia" w:ascii="仿宋_GB2312" w:hAnsi="Times New Roman" w:eastAsia="仿宋_GB2312" w:cs="宋体"/>
          <w:sz w:val="24"/>
          <w:szCs w:val="24"/>
        </w:rPr>
        <w:t>本标准不涉及代替或废止现行有关标准的情况。</w:t>
      </w:r>
    </w:p>
    <w:p w14:paraId="4A043DEF">
      <w:pPr>
        <w:pStyle w:val="13"/>
        <w:numPr>
          <w:ilvl w:val="0"/>
          <w:numId w:val="1"/>
        </w:numPr>
        <w:tabs>
          <w:tab w:val="left" w:pos="840"/>
        </w:tabs>
        <w:adjustRightInd w:val="0"/>
        <w:spacing w:line="360" w:lineRule="auto"/>
        <w:ind w:firstLineChars="0"/>
        <w:outlineLvl w:val="0"/>
        <w:rPr>
          <w:rFonts w:hint="eastAsia" w:ascii="黑体" w:hAnsi="黑体" w:eastAsia="黑体"/>
          <w:b/>
          <w:sz w:val="28"/>
          <w:szCs w:val="28"/>
        </w:rPr>
      </w:pPr>
      <w:bookmarkStart w:id="18" w:name="_Toc179902683"/>
      <w:r>
        <w:rPr>
          <w:rFonts w:hint="eastAsia" w:ascii="黑体" w:hAnsi="黑体" w:eastAsia="黑体"/>
          <w:b/>
          <w:sz w:val="28"/>
          <w:szCs w:val="28"/>
        </w:rPr>
        <w:t>其他应予说明的事项</w:t>
      </w:r>
      <w:bookmarkEnd w:id="18"/>
    </w:p>
    <w:p w14:paraId="4C35584A">
      <w:pPr>
        <w:autoSpaceDE w:val="0"/>
        <w:autoSpaceDN w:val="0"/>
        <w:adjustRightInd w:val="0"/>
        <w:spacing w:line="360" w:lineRule="auto"/>
        <w:ind w:firstLine="480" w:firstLineChars="200"/>
        <w:rPr>
          <w:rFonts w:ascii="黑体" w:hAnsi="黑体" w:eastAsia="黑体"/>
          <w:b/>
          <w:sz w:val="28"/>
          <w:szCs w:val="28"/>
        </w:rPr>
      </w:pPr>
      <w:r>
        <w:rPr>
          <w:rFonts w:hint="eastAsia" w:ascii="仿宋_GB2312" w:hAnsi="Times New Roman" w:eastAsia="仿宋_GB2312" w:cs="宋体"/>
          <w:sz w:val="24"/>
          <w:szCs w:val="24"/>
        </w:rPr>
        <w:t>本标准是202</w:t>
      </w:r>
      <w:r>
        <w:rPr>
          <w:rFonts w:hint="eastAsia" w:ascii="仿宋_GB2312" w:hAnsi="Times New Roman" w:eastAsia="仿宋_GB2312" w:cs="宋体"/>
          <w:sz w:val="24"/>
          <w:szCs w:val="24"/>
          <w:lang w:val="en-US" w:eastAsia="zh-CN"/>
        </w:rPr>
        <w:t>5</w:t>
      </w:r>
      <w:r>
        <w:rPr>
          <w:rFonts w:hint="eastAsia" w:ascii="仿宋_GB2312" w:hAnsi="Times New Roman" w:eastAsia="仿宋_GB2312" w:cs="宋体"/>
          <w:sz w:val="24"/>
          <w:szCs w:val="24"/>
        </w:rPr>
        <w:t>年第一批立项的中国电力建设企业协会标准。</w:t>
      </w:r>
    </w:p>
    <w:p w14:paraId="2D97CB60">
      <w:bookmarkStart w:id="19" w:name="_GoBack"/>
      <w:bookmarkEnd w:id="19"/>
    </w:p>
    <w:sectPr>
      <w:footerReference r:id="rId4" w:type="default"/>
      <w:pgSz w:w="11906" w:h="16838"/>
      <w:pgMar w:top="1440" w:right="1797" w:bottom="1191"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楷体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319EA">
    <w:pPr>
      <w:pStyle w:val="5"/>
      <w:jc w:val="center"/>
    </w:pPr>
  </w:p>
  <w:p w14:paraId="068A48C1">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223212"/>
      <w:docPartObj>
        <w:docPartGallery w:val="autotext"/>
      </w:docPartObj>
    </w:sdtPr>
    <w:sdtContent>
      <w:p w14:paraId="22F42D8B">
        <w:pPr>
          <w:pStyle w:val="5"/>
          <w:jc w:val="center"/>
        </w:pPr>
        <w:r>
          <w:fldChar w:fldCharType="begin"/>
        </w:r>
        <w:r>
          <w:instrText xml:space="preserve">PAGE   \* MERGEFORMAT</w:instrText>
        </w:r>
        <w:r>
          <w:fldChar w:fldCharType="separate"/>
        </w:r>
        <w:r>
          <w:rPr>
            <w:lang w:val="zh-CN"/>
          </w:rPr>
          <w:t>7</w:t>
        </w:r>
        <w:r>
          <w:fldChar w:fldCharType="end"/>
        </w:r>
      </w:p>
    </w:sdtContent>
  </w:sdt>
  <w:p w14:paraId="67D205F2">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4D79C5"/>
    <w:multiLevelType w:val="multilevel"/>
    <w:tmpl w:val="5A4D79C5"/>
    <w:lvl w:ilvl="0" w:tentative="0">
      <w:start w:val="1"/>
      <w:numFmt w:val="decimal"/>
      <w:lvlText w:val="%1"/>
      <w:lvlJc w:val="left"/>
      <w:pPr>
        <w:ind w:left="424" w:hanging="424"/>
      </w:pPr>
      <w:rPr>
        <w:rFonts w:hint="default"/>
      </w:rPr>
    </w:lvl>
    <w:lvl w:ilvl="1" w:tentative="0">
      <w:start w:val="1"/>
      <w:numFmt w:val="decimal"/>
      <w:lvlText w:val="%1.%2"/>
      <w:lvlJc w:val="left"/>
      <w:pPr>
        <w:ind w:left="1202" w:hanging="720"/>
      </w:pPr>
      <w:rPr>
        <w:rFonts w:hint="default"/>
      </w:rPr>
    </w:lvl>
    <w:lvl w:ilvl="2" w:tentative="0">
      <w:start w:val="1"/>
      <w:numFmt w:val="decimal"/>
      <w:lvlText w:val="%1.%2.%3"/>
      <w:lvlJc w:val="left"/>
      <w:pPr>
        <w:ind w:left="2044" w:hanging="1080"/>
      </w:pPr>
      <w:rPr>
        <w:rFonts w:hint="default"/>
      </w:rPr>
    </w:lvl>
    <w:lvl w:ilvl="3" w:tentative="0">
      <w:start w:val="1"/>
      <w:numFmt w:val="decimal"/>
      <w:lvlText w:val="%1.%2.%3.%4"/>
      <w:lvlJc w:val="left"/>
      <w:pPr>
        <w:ind w:left="2526" w:hanging="1080"/>
      </w:pPr>
      <w:rPr>
        <w:rFonts w:hint="default"/>
      </w:rPr>
    </w:lvl>
    <w:lvl w:ilvl="4" w:tentative="0">
      <w:start w:val="1"/>
      <w:numFmt w:val="decimal"/>
      <w:lvlText w:val="%1.%2.%3.%4.%5"/>
      <w:lvlJc w:val="left"/>
      <w:pPr>
        <w:ind w:left="3368" w:hanging="1440"/>
      </w:pPr>
      <w:rPr>
        <w:rFonts w:hint="default"/>
      </w:rPr>
    </w:lvl>
    <w:lvl w:ilvl="5" w:tentative="0">
      <w:start w:val="1"/>
      <w:numFmt w:val="decimal"/>
      <w:lvlText w:val="%1.%2.%3.%4.%5.%6"/>
      <w:lvlJc w:val="left"/>
      <w:pPr>
        <w:ind w:left="4210" w:hanging="1800"/>
      </w:pPr>
      <w:rPr>
        <w:rFonts w:hint="default"/>
      </w:rPr>
    </w:lvl>
    <w:lvl w:ilvl="6" w:tentative="0">
      <w:start w:val="1"/>
      <w:numFmt w:val="decimal"/>
      <w:lvlText w:val="%1.%2.%3.%4.%5.%6.%7"/>
      <w:lvlJc w:val="left"/>
      <w:pPr>
        <w:ind w:left="5052" w:hanging="2160"/>
      </w:pPr>
      <w:rPr>
        <w:rFonts w:hint="default"/>
      </w:rPr>
    </w:lvl>
    <w:lvl w:ilvl="7" w:tentative="0">
      <w:start w:val="1"/>
      <w:numFmt w:val="decimal"/>
      <w:lvlText w:val="%1.%2.%3.%4.%5.%6.%7.%8"/>
      <w:lvlJc w:val="left"/>
      <w:pPr>
        <w:ind w:left="5534" w:hanging="2160"/>
      </w:pPr>
      <w:rPr>
        <w:rFonts w:hint="default"/>
      </w:rPr>
    </w:lvl>
    <w:lvl w:ilvl="8" w:tentative="0">
      <w:start w:val="1"/>
      <w:numFmt w:val="decimal"/>
      <w:lvlText w:val="%1.%2.%3.%4.%5.%6.%7.%8.%9"/>
      <w:lvlJc w:val="left"/>
      <w:pPr>
        <w:ind w:left="6376" w:hanging="25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0361CD"/>
    <w:rsid w:val="470361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tabs>
        <w:tab w:val="left" w:pos="-945"/>
      </w:tabs>
    </w:pPr>
    <w:rPr>
      <w:rFonts w:ascii="宋体" w:hAnsi="Courier New"/>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toc 1"/>
    <w:basedOn w:val="1"/>
    <w:next w:val="1"/>
    <w:qFormat/>
    <w:uiPriority w:val="39"/>
    <w:pPr>
      <w:tabs>
        <w:tab w:val="right" w:leader="dot" w:pos="9402"/>
      </w:tabs>
      <w:spacing w:line="240" w:lineRule="atLeast"/>
      <w:jc w:val="center"/>
    </w:pPr>
    <w:rPr>
      <w:rFonts w:ascii="Times New Roman" w:hAnsi="Times New Roman"/>
      <w:szCs w:val="24"/>
    </w:rPr>
  </w:style>
  <w:style w:type="paragraph" w:styleId="7">
    <w:name w:val="toc 2"/>
    <w:basedOn w:val="1"/>
    <w:next w:val="1"/>
    <w:qFormat/>
    <w:uiPriority w:val="39"/>
    <w:pPr>
      <w:spacing w:line="240" w:lineRule="atLeast"/>
      <w:ind w:left="420" w:leftChars="200"/>
    </w:pPr>
    <w:rPr>
      <w:rFonts w:ascii="Times New Roman" w:hAnsi="Times New Roman"/>
      <w:szCs w:val="24"/>
    </w:rPr>
  </w:style>
  <w:style w:type="paragraph" w:styleId="8">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character" w:styleId="11">
    <w:name w:val="Hyperlink"/>
    <w:qFormat/>
    <w:uiPriority w:val="99"/>
    <w:rPr>
      <w:rFonts w:ascii="Times New Roman" w:hAnsi="Times New Roman" w:eastAsia="宋体"/>
      <w:color w:val="auto"/>
      <w:spacing w:val="0"/>
      <w:w w:val="100"/>
      <w:position w:val="0"/>
      <w:sz w:val="21"/>
      <w:u w:val="none"/>
      <w:vertAlign w:val="baseline"/>
    </w:rPr>
  </w:style>
  <w:style w:type="paragraph" w:customStyle="1" w:styleId="12">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54A1" w:themeColor="accent1" w:themeShade="BF"/>
      <w:kern w:val="0"/>
      <w:sz w:val="32"/>
      <w:szCs w:val="32"/>
    </w:rPr>
  </w:style>
  <w:style w:type="paragraph" w:styleId="1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2025-10-30T06:02:00Z</dcterms:created>
  <dc:creator>涛哥</dc:creator>
  <cp:lastModifiedBy>涛哥</cp:lastModifiedBy>
  <dcterms:modified xsi:type="dcterms:W3CDTF">2025-10-30T06:03:15Z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3F4F13CC9076493C909A516416A3D474_11</vt:lpwstr>
  </property>
  <property fmtid="{D5CDD505-2E9C-101B-9397-08002B2CF9AE}" pid="4" name="KSOTemplateDocerSaveRecord">
    <vt:lpwstr>eyJoZGlkIjoiYWNmNjg0MWQ2ZTI1ZDY0MjU4ZWEwNTI3YjI3NTQ3ZmUiLCJ1c2VySWQiOiIxMjEwMTI1MDE1In0=</vt:lpwstr>
  </property>
</Properties>
</file>