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33430">
      <w:pPr>
        <w:jc w:val="left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附件6</w:t>
      </w:r>
      <w:bookmarkStart w:id="19" w:name="_GoBack"/>
      <w:bookmarkEnd w:id="19"/>
    </w:p>
    <w:p w14:paraId="67D331D8">
      <w:pPr>
        <w:jc w:val="center"/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zh-CN"/>
        </w:rPr>
      </w:pPr>
    </w:p>
    <w:p w14:paraId="06B7BC8F">
      <w:pPr>
        <w:jc w:val="center"/>
        <w:rPr>
          <w:rFonts w:ascii="方正小标宋_GBK" w:hAnsi="黑体" w:eastAsia="方正小标宋_GBK" w:cs="黑体"/>
          <w:b/>
          <w:bCs/>
          <w:color w:val="auto"/>
          <w:sz w:val="52"/>
          <w:szCs w:val="52"/>
          <w:lang w:val="zh-CN"/>
        </w:rPr>
      </w:pPr>
      <w:r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zh-CN"/>
        </w:rPr>
        <w:t>《</w:t>
      </w:r>
      <w:r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zh-CN" w:eastAsia="zh-CN"/>
        </w:rPr>
        <w:t>架空</w:t>
      </w:r>
      <w:r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en-US" w:eastAsia="zh-CN"/>
        </w:rPr>
        <w:t>输</w:t>
      </w:r>
      <w:r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zh-CN" w:eastAsia="zh-CN"/>
        </w:rPr>
        <w:t>电线路工程无人机辅助监理指南</w:t>
      </w:r>
      <w:r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zh-CN"/>
        </w:rPr>
        <w:t>》</w:t>
      </w:r>
    </w:p>
    <w:p w14:paraId="7D28B2A6">
      <w:pPr>
        <w:autoSpaceDE w:val="0"/>
        <w:autoSpaceDN w:val="0"/>
        <w:adjustRightInd w:val="0"/>
        <w:spacing w:line="360" w:lineRule="auto"/>
        <w:jc w:val="center"/>
        <w:rPr>
          <w:rFonts w:ascii="方正小标宋_GBK" w:hAnsi="黑体" w:eastAsia="方正小标宋_GBK" w:cs="黑体"/>
          <w:b/>
          <w:bCs/>
          <w:color w:val="auto"/>
          <w:sz w:val="44"/>
          <w:szCs w:val="44"/>
          <w:lang w:val="zh-CN"/>
        </w:rPr>
      </w:pPr>
    </w:p>
    <w:p w14:paraId="72E37D0C">
      <w:pPr>
        <w:pStyle w:val="12"/>
        <w:rPr>
          <w:color w:val="auto"/>
          <w:lang w:val="zh-CN"/>
        </w:rPr>
      </w:pPr>
    </w:p>
    <w:p w14:paraId="5BC421F2">
      <w:pPr>
        <w:autoSpaceDE w:val="0"/>
        <w:autoSpaceDN w:val="0"/>
        <w:adjustRightInd w:val="0"/>
        <w:spacing w:line="360" w:lineRule="auto"/>
        <w:jc w:val="center"/>
        <w:rPr>
          <w:rFonts w:ascii="方正小标宋_GBK" w:hAnsi="黑体" w:eastAsia="方正小标宋_GBK" w:cs="黑体"/>
          <w:b/>
          <w:bCs/>
          <w:color w:val="auto"/>
          <w:sz w:val="52"/>
          <w:szCs w:val="52"/>
          <w:lang w:val="zh-CN"/>
        </w:rPr>
      </w:pPr>
      <w:bookmarkStart w:id="0" w:name="_Toc30323"/>
      <w:r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zh-CN"/>
        </w:rPr>
        <w:t>标准</w:t>
      </w:r>
      <w:bookmarkEnd w:id="0"/>
      <w:r>
        <w:rPr>
          <w:rFonts w:hint="eastAsia" w:ascii="方正小标宋_GBK" w:hAnsi="黑体" w:eastAsia="方正小标宋_GBK" w:cs="黑体"/>
          <w:b/>
          <w:bCs/>
          <w:color w:val="auto"/>
          <w:sz w:val="52"/>
          <w:szCs w:val="52"/>
          <w:lang w:val="zh-CN"/>
        </w:rPr>
        <w:t>编制说明</w:t>
      </w:r>
    </w:p>
    <w:p w14:paraId="4F4E5B77">
      <w:pPr>
        <w:pStyle w:val="4"/>
        <w:rPr>
          <w:color w:val="auto"/>
          <w:lang w:val="zh-CN"/>
        </w:rPr>
      </w:pPr>
    </w:p>
    <w:p w14:paraId="341CC3EB">
      <w:pPr>
        <w:rPr>
          <w:color w:val="auto"/>
          <w:lang w:val="zh-CN"/>
        </w:rPr>
      </w:pPr>
    </w:p>
    <w:p w14:paraId="68711B83">
      <w:pPr>
        <w:pStyle w:val="4"/>
        <w:rPr>
          <w:color w:val="auto"/>
          <w:lang w:val="zh-CN"/>
        </w:rPr>
      </w:pPr>
    </w:p>
    <w:p w14:paraId="65890031">
      <w:pPr>
        <w:rPr>
          <w:color w:val="auto"/>
          <w:lang w:val="zh-CN"/>
        </w:rPr>
      </w:pPr>
    </w:p>
    <w:p w14:paraId="58EE8731">
      <w:pPr>
        <w:pStyle w:val="4"/>
        <w:rPr>
          <w:color w:val="auto"/>
          <w:lang w:val="zh-CN"/>
        </w:rPr>
      </w:pPr>
    </w:p>
    <w:p w14:paraId="6195C554">
      <w:pPr>
        <w:rPr>
          <w:color w:val="auto"/>
          <w:lang w:val="zh-CN"/>
        </w:rPr>
      </w:pPr>
    </w:p>
    <w:p w14:paraId="04D2F5E8">
      <w:pPr>
        <w:rPr>
          <w:color w:val="auto"/>
          <w:sz w:val="22"/>
          <w:szCs w:val="24"/>
          <w:lang w:val="zh-CN"/>
        </w:rPr>
      </w:pPr>
    </w:p>
    <w:p w14:paraId="39FD439D">
      <w:pPr>
        <w:pStyle w:val="8"/>
        <w:spacing w:before="0" w:beforeAutospacing="0" w:after="0" w:afterAutospacing="0"/>
        <w:jc w:val="center"/>
        <w:textAlignment w:val="baseline"/>
        <w:rPr>
          <w:rFonts w:ascii="方正黑体_GBK" w:hAnsi="Times New Roman" w:eastAsia="方正黑体_GBK" w:cs="Times New Roman"/>
          <w:color w:val="auto"/>
          <w:sz w:val="36"/>
          <w:szCs w:val="36"/>
          <w:lang w:val="zh-CN"/>
        </w:rPr>
      </w:pPr>
    </w:p>
    <w:p w14:paraId="179954B8">
      <w:pPr>
        <w:pStyle w:val="8"/>
        <w:spacing w:before="0" w:beforeAutospacing="0" w:after="0" w:afterAutospacing="0"/>
        <w:jc w:val="center"/>
        <w:textAlignment w:val="baseline"/>
        <w:rPr>
          <w:rFonts w:ascii="方正黑体_GBK" w:hAnsi="Times New Roman" w:eastAsia="方正黑体_GBK" w:cs="Times New Roman"/>
          <w:color w:val="auto"/>
          <w:sz w:val="36"/>
          <w:szCs w:val="36"/>
          <w:lang w:val="zh-CN"/>
        </w:rPr>
      </w:pPr>
      <w:r>
        <w:rPr>
          <w:rFonts w:hint="eastAsia" w:ascii="方正黑体_GBK" w:hAnsi="Times New Roman" w:eastAsia="方正黑体_GBK" w:cs="Times New Roman"/>
          <w:color w:val="auto"/>
          <w:sz w:val="36"/>
          <w:szCs w:val="36"/>
          <w:lang w:val="zh-CN"/>
        </w:rPr>
        <w:t>20</w:t>
      </w:r>
      <w:r>
        <w:rPr>
          <w:rFonts w:hint="eastAsia" w:ascii="方正黑体_GBK" w:hAnsi="Times New Roman" w:eastAsia="方正黑体_GBK" w:cs="Times New Roman"/>
          <w:color w:val="auto"/>
          <w:sz w:val="36"/>
          <w:szCs w:val="36"/>
        </w:rPr>
        <w:t>2</w:t>
      </w:r>
      <w:r>
        <w:rPr>
          <w:rFonts w:hint="eastAsia" w:ascii="方正黑体_GBK" w:hAnsi="Times New Roman" w:eastAsia="方正黑体_GBK" w:cs="Times New Roman"/>
          <w:color w:val="auto"/>
          <w:sz w:val="36"/>
          <w:szCs w:val="36"/>
          <w:lang w:val="en-US" w:eastAsia="zh-CN"/>
        </w:rPr>
        <w:t>5</w:t>
      </w:r>
      <w:r>
        <w:rPr>
          <w:rFonts w:hint="eastAsia" w:ascii="方正黑体_GBK" w:hAnsi="Times New Roman" w:eastAsia="方正黑体_GBK"/>
          <w:color w:val="auto"/>
          <w:sz w:val="36"/>
          <w:szCs w:val="36"/>
          <w:lang w:val="zh-CN"/>
        </w:rPr>
        <w:t>年</w:t>
      </w:r>
      <w:r>
        <w:rPr>
          <w:rFonts w:hint="eastAsia" w:ascii="方正黑体_GBK" w:hAnsi="Times New Roman" w:eastAsia="方正黑体_GBK"/>
          <w:color w:val="auto"/>
          <w:sz w:val="36"/>
          <w:szCs w:val="36"/>
          <w:lang w:val="en-US" w:eastAsia="zh-CN"/>
        </w:rPr>
        <w:t>10</w:t>
      </w:r>
      <w:r>
        <w:rPr>
          <w:rFonts w:hint="eastAsia" w:ascii="方正黑体_GBK" w:hAnsi="Times New Roman" w:eastAsia="方正黑体_GBK"/>
          <w:color w:val="auto"/>
          <w:sz w:val="36"/>
          <w:szCs w:val="36"/>
          <w:lang w:val="zh-CN"/>
        </w:rPr>
        <w:t>月</w:t>
      </w:r>
    </w:p>
    <w:p w14:paraId="1B44189C">
      <w:pPr>
        <w:pStyle w:val="4"/>
        <w:rPr>
          <w:color w:val="auto"/>
          <w:lang w:val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Calibri" w:hAnsi="Calibri" w:eastAsia="宋体" w:cs="Times New Roman"/>
          <w:color w:val="auto"/>
          <w:kern w:val="2"/>
          <w:sz w:val="21"/>
          <w:szCs w:val="22"/>
          <w:lang w:val="zh-CN"/>
        </w:rPr>
        <w:id w:val="-1962715068"/>
        <w:docPartObj>
          <w:docPartGallery w:val="Table of Contents"/>
          <w:docPartUnique/>
        </w:docPartObj>
      </w:sdtPr>
      <w:sdtEndPr>
        <w:rPr>
          <w:rFonts w:ascii="Calibri" w:hAnsi="Calibri" w:eastAsia="宋体" w:cs="Times New Roman"/>
          <w:b/>
          <w:bCs/>
          <w:color w:val="auto"/>
          <w:kern w:val="2"/>
          <w:sz w:val="21"/>
          <w:szCs w:val="22"/>
          <w:lang w:val="zh-CN"/>
        </w:rPr>
      </w:sdtEndPr>
      <w:sdtContent>
        <w:p w14:paraId="74E2B75D">
          <w:pPr>
            <w:pStyle w:val="13"/>
            <w:jc w:val="center"/>
            <w:rPr>
              <w:rFonts w:ascii="方正小标宋_GBK" w:eastAsia="方正小标宋_GBK"/>
              <w:color w:val="auto"/>
            </w:rPr>
          </w:pPr>
          <w:r>
            <w:rPr>
              <w:rFonts w:hint="eastAsia" w:ascii="方正小标宋_GBK" w:eastAsia="方正小标宋_GBK"/>
              <w:color w:val="auto"/>
              <w:lang w:val="zh-CN"/>
            </w:rPr>
            <w:t>目录</w:t>
          </w:r>
        </w:p>
        <w:p w14:paraId="5356AD64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rFonts w:hint="eastAsia" w:ascii="方正仿宋_GBK" w:eastAsia="方正仿宋_GBK"/>
              <w:color w:val="auto"/>
              <w:sz w:val="32"/>
              <w:szCs w:val="40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32"/>
              <w:szCs w:val="40"/>
            </w:rPr>
            <w:instrText xml:space="preserve"> TOC \o "1-3" \h \z \u </w:instrText>
          </w:r>
          <w:r>
            <w:rPr>
              <w:rFonts w:hint="eastAsia" w:ascii="方正仿宋_GBK" w:eastAsia="方正仿宋_GBK"/>
              <w:color w:val="auto"/>
              <w:sz w:val="32"/>
              <w:szCs w:val="40"/>
            </w:rPr>
            <w:fldChar w:fldCharType="separate"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"_Toc179902666"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1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工作简况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_Toc179902666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1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43C4FF4D">
          <w:pPr>
            <w:pStyle w:val="7"/>
            <w:tabs>
              <w:tab w:val="left" w:pos="1050"/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"_Toc179902667"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1.1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任务来源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_Toc179902667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1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09019B80">
          <w:pPr>
            <w:pStyle w:val="7"/>
            <w:tabs>
              <w:tab w:val="left" w:pos="1050"/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"_Toc179902668"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1.2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编制必要性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_Toc179902668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1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2F79245F">
          <w:pPr>
            <w:pStyle w:val="7"/>
            <w:tabs>
              <w:tab w:val="left" w:pos="1050"/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"_Toc179902669"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1.3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编制单位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_Toc179902669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2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184489C9">
          <w:pPr>
            <w:pStyle w:val="7"/>
            <w:tabs>
              <w:tab w:val="left" w:pos="1050"/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"_Toc179902670"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1.4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主要工作过程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_Toc179902670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2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1098D3F3">
          <w:pPr>
            <w:pStyle w:val="7"/>
            <w:tabs>
              <w:tab w:val="left" w:pos="1050"/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"_Toc179902671"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1.5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主要起草人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_Toc179902671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3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16A29D21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"_Toc179902672"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2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编制原则和主要内容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_Toc179902672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4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6BD56434">
          <w:pPr>
            <w:pStyle w:val="7"/>
            <w:tabs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"_Toc179902673"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2.1 编制原则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_Toc179902673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4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1D3530DC">
          <w:pPr>
            <w:pStyle w:val="7"/>
            <w:tabs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"_Toc179902674"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2.2 编制依据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_Toc179902674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4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326221AD">
          <w:pPr>
            <w:pStyle w:val="7"/>
            <w:tabs>
              <w:tab w:val="right" w:leader="dot" w:pos="8296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"_Toc179902675"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楷体_GB2312" w:eastAsia="方正仿宋_GBK" w:cs="宋体"/>
              <w:color w:val="auto"/>
              <w:sz w:val="22"/>
              <w:szCs w:val="28"/>
            </w:rPr>
            <w:t>2.3 主要内容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_Toc179902675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5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159A75AC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"_Toc179902676"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3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预期达到的效果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_Toc179902676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5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059763CC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"_Toc179902677"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4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与同类标准对比情况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_Toc179902677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5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2C76A672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"_Toc179902678"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5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与现行法律、法规、政策及相关标准的协调性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_Toc179902678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6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31A88DE7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"_Toc179902679"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6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重大分歧意见处理情况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_Toc179902679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6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23276492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"_Toc179902680"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7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标准涉及专利处置情况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_Toc179902680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6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1C5DE9B7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"_Toc179902681"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8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贯彻规范的要求和措施建议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_Toc179902681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6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43612DA7">
          <w:pPr>
            <w:pStyle w:val="6"/>
            <w:tabs>
              <w:tab w:val="left" w:pos="420"/>
            </w:tabs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"_Toc179902682"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9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代替或废止现行有关标准的建议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_Toc179902682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6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576B7EBE">
          <w:pPr>
            <w:pStyle w:val="6"/>
            <w:tabs>
              <w:tab w:val="left" w:pos="630"/>
            </w:tabs>
            <w:rPr>
              <w:rFonts w:asciiTheme="minorHAnsi" w:hAnsiTheme="minorHAnsi" w:eastAsiaTheme="minorEastAsia" w:cstheme="minorBidi"/>
              <w:color w:val="auto"/>
              <w:szCs w:val="22"/>
              <w14:ligatures w14:val="standardContextual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"_Toc179902683" </w:instrText>
          </w:r>
          <w:r>
            <w:rPr>
              <w:color w:val="auto"/>
            </w:rPr>
            <w:fldChar w:fldCharType="separate"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10</w:t>
          </w:r>
          <w:r>
            <w:rPr>
              <w:rFonts w:hint="eastAsia" w:ascii="方正仿宋_GBK" w:eastAsia="方正仿宋_GBK" w:hAnsiTheme="minorHAnsi" w:cstheme="minorBidi"/>
              <w:color w:val="auto"/>
              <w:sz w:val="22"/>
              <w14:ligatures w14:val="standardContextual"/>
            </w:rPr>
            <w:tab/>
          </w:r>
          <w:r>
            <w:rPr>
              <w:rStyle w:val="11"/>
              <w:rFonts w:hint="eastAsia" w:ascii="方正仿宋_GBK" w:hAnsi="黑体" w:eastAsia="方正仿宋_GBK"/>
              <w:color w:val="auto"/>
              <w:sz w:val="22"/>
              <w:szCs w:val="28"/>
            </w:rPr>
            <w:t>其他应予说明的事项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ab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begin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instrText xml:space="preserve"> PAGEREF _Toc179902683 \h </w:instrTex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separate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t>6</w:t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  <w:r>
            <w:rPr>
              <w:rFonts w:hint="eastAsia" w:ascii="方正仿宋_GBK" w:eastAsia="方正仿宋_GBK"/>
              <w:color w:val="auto"/>
              <w:sz w:val="22"/>
              <w:szCs w:val="28"/>
            </w:rPr>
            <w:fldChar w:fldCharType="end"/>
          </w:r>
        </w:p>
        <w:p w14:paraId="2E6F8195">
          <w:pPr>
            <w:rPr>
              <w:color w:val="auto"/>
            </w:rPr>
          </w:pPr>
          <w:r>
            <w:rPr>
              <w:rFonts w:hint="eastAsia" w:ascii="方正仿宋_GBK" w:eastAsia="方正仿宋_GBK"/>
              <w:color w:val="auto"/>
              <w:sz w:val="32"/>
              <w:szCs w:val="36"/>
              <w:lang w:val="zh-CN"/>
            </w:rPr>
            <w:fldChar w:fldCharType="end"/>
          </w:r>
        </w:p>
      </w:sdtContent>
    </w:sdt>
    <w:p w14:paraId="548A0963">
      <w:pPr>
        <w:rPr>
          <w:color w:val="auto"/>
        </w:rPr>
      </w:pPr>
    </w:p>
    <w:p w14:paraId="0C90A957">
      <w:pPr>
        <w:tabs>
          <w:tab w:val="left" w:pos="2769"/>
        </w:tabs>
        <w:rPr>
          <w:color w:val="auto"/>
        </w:rPr>
      </w:pPr>
      <w:r>
        <w:rPr>
          <w:color w:val="auto"/>
        </w:rPr>
        <w:tab/>
      </w:r>
    </w:p>
    <w:p w14:paraId="3801C103">
      <w:pPr>
        <w:tabs>
          <w:tab w:val="left" w:pos="2769"/>
        </w:tabs>
        <w:rPr>
          <w:color w:val="auto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color w:val="auto"/>
        </w:rPr>
        <w:tab/>
      </w:r>
    </w:p>
    <w:p w14:paraId="7FA0F26B">
      <w:pPr>
        <w:jc w:val="center"/>
        <w:rPr>
          <w:rFonts w:ascii="方正小标宋_GBK" w:hAnsi="方正小标宋_GBK" w:eastAsia="方正小标宋_GBK"/>
          <w:bCs/>
          <w:color w:val="auto"/>
          <w:sz w:val="32"/>
          <w:szCs w:val="32"/>
        </w:rPr>
      </w:pPr>
      <w:r>
        <w:rPr>
          <w:rFonts w:hint="eastAsia" w:ascii="方正小标宋_GBK" w:hAnsi="方正小标宋_GBK" w:eastAsia="方正小标宋_GBK"/>
          <w:bCs/>
          <w:color w:val="auto"/>
          <w:sz w:val="32"/>
          <w:szCs w:val="32"/>
        </w:rPr>
        <w:t>《</w:t>
      </w:r>
      <w:r>
        <w:rPr>
          <w:rFonts w:hint="eastAsia" w:ascii="方正小标宋_GBK" w:hAnsi="方正小标宋_GBK" w:eastAsia="方正小标宋_GBK"/>
          <w:bCs/>
          <w:color w:val="auto"/>
          <w:sz w:val="32"/>
          <w:szCs w:val="32"/>
          <w:lang w:val="en-US" w:eastAsia="zh-CN"/>
        </w:rPr>
        <w:t>架空送电线路工程无人机辅助监理指南</w:t>
      </w:r>
      <w:r>
        <w:rPr>
          <w:rFonts w:hint="eastAsia" w:ascii="方正小标宋_GBK" w:hAnsi="方正小标宋_GBK" w:eastAsia="方正小标宋_GBK"/>
          <w:bCs/>
          <w:color w:val="auto"/>
          <w:sz w:val="32"/>
          <w:szCs w:val="32"/>
        </w:rPr>
        <w:t>》</w:t>
      </w:r>
    </w:p>
    <w:p w14:paraId="31B6217E">
      <w:pPr>
        <w:jc w:val="center"/>
        <w:rPr>
          <w:rFonts w:ascii="方正小标宋_GBK" w:hAnsi="方正小标宋_GBK" w:eastAsia="方正小标宋_GBK"/>
          <w:bCs/>
          <w:color w:val="auto"/>
          <w:sz w:val="32"/>
          <w:szCs w:val="32"/>
        </w:rPr>
      </w:pPr>
      <w:r>
        <w:rPr>
          <w:rFonts w:hint="eastAsia" w:ascii="方正小标宋_GBK" w:hAnsi="方正小标宋_GBK" w:eastAsia="方正小标宋_GBK"/>
          <w:bCs/>
          <w:color w:val="auto"/>
          <w:sz w:val="32"/>
          <w:szCs w:val="32"/>
        </w:rPr>
        <w:t>标准编制说明</w:t>
      </w:r>
    </w:p>
    <w:p w14:paraId="01D110E1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ascii="黑体" w:hAnsi="黑体" w:eastAsia="黑体"/>
          <w:b/>
          <w:color w:val="auto"/>
          <w:sz w:val="28"/>
          <w:szCs w:val="28"/>
        </w:rPr>
      </w:pPr>
      <w:bookmarkStart w:id="1" w:name="_Toc179902666"/>
      <w:r>
        <w:rPr>
          <w:rFonts w:hint="eastAsia" w:ascii="黑体" w:hAnsi="黑体" w:eastAsia="黑体"/>
          <w:b/>
          <w:color w:val="auto"/>
          <w:sz w:val="28"/>
          <w:szCs w:val="28"/>
        </w:rPr>
        <w:t>工作简况</w:t>
      </w:r>
      <w:bookmarkEnd w:id="1"/>
    </w:p>
    <w:p w14:paraId="2B451F6A">
      <w:pPr>
        <w:pStyle w:val="14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  <w:bookmarkStart w:id="2" w:name="_Toc179902667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  <w:t>任务来源</w:t>
      </w:r>
      <w:bookmarkEnd w:id="2"/>
    </w:p>
    <w:p w14:paraId="4C94536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根据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《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中国电力建设企业协会标准管理办法（试行）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（中电建协〔202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〕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200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号）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《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中国电力建设企业协会团体标准化文件管理办法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（中电建协〔202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〕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635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号）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等文件精神，结合无人机辅助监理在本行业应用及发展前景，经甘肃电通电力工程设计咨询有限公司</w:t>
      </w:r>
      <w:r>
        <w:rPr>
          <w:rFonts w:hint="eastAsia" w:ascii="仿宋_GB2312" w:eastAsia="仿宋_GB2312"/>
          <w:color w:val="auto"/>
          <w:szCs w:val="21"/>
          <w:lang w:val="en-US" w:eastAsia="zh-CN"/>
        </w:rPr>
        <w:t>2025年3月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提出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《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架空输电线路工程无人机辅助监理指南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立项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申请。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中国电力建设企业协会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于2025年6月下发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《关于印发202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年第一批中国电力建设企业协会标准制定计划的通知》（中电建协〔202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〕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  <w:lang w:val="en-US" w:eastAsia="zh-CN"/>
        </w:rPr>
        <w:t>131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highlight w:val="none"/>
        </w:rPr>
        <w:t>号）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通知通过立项申请。</w:t>
      </w:r>
    </w:p>
    <w:p w14:paraId="00566B85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《</w:t>
      </w:r>
      <w:bookmarkStart w:id="3" w:name="OLE_LINK1"/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架空输电线路工程无人机辅助监理指南</w:t>
      </w:r>
      <w:bookmarkEnd w:id="3"/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》的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编制工作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由中国电力建设企业协会标准化管理委员会负责管辖，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由甘肃电通电力工程设计咨询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有限公司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负责主编、共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1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家单位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参与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完成编制。</w:t>
      </w:r>
    </w:p>
    <w:p w14:paraId="1ED0B6CB">
      <w:pPr>
        <w:pStyle w:val="14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outlineLvl w:val="1"/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</w:pPr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  <w:lang w:val="en-US" w:eastAsia="zh-CN"/>
        </w:rPr>
        <w:t>制定背景</w:t>
      </w:r>
    </w:p>
    <w:p w14:paraId="0376D6A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随着经济和科学技术的不断发展，近年来无人机智能化设备在工程管理中的应用范围越来越广泛，因此为适应当前监理行业的发展需求，增加无人机的应用，将有效降低安全风险，提高监理管理手段，提升监理管理效率。</w:t>
      </w:r>
    </w:p>
    <w:p w14:paraId="668F46D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在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电力建设监理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行业面临的一个重要问题是无法全面监控和检查工程的各个细节。传统的监理方式主要依赖人工巡视和现场勘测，这种方式存在人力投入大、成本高、效率低的问题。而无人机技术的引入，能够实现对电力工程的高效监测和检查。通过搭载摄像头和传感器的无人机，可以对电力工程现场进行实时拍摄和数据收集，将这些数据传输至监控中心进行处理和分析，从而提高监理的精度和效率。</w:t>
      </w:r>
    </w:p>
    <w:p w14:paraId="22AF55F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其次，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电力建设监理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行业的工作环境复杂，存在一定的安全风险。传统的监理工作常常需要监理人员进入危险的环境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如深山区、高海拔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。而无人机可以代替人工进行危险环境下的巡视和检查，避免了监理人员的安全风险。无人机的机动性和灵活性使其能够轻松进入到狭小而复杂的空间中，如电力塔和输电线路等。此外，无人机还能够携带传感器进行大气质量、环境温度等监测，为电力工程的安全评估提供更为全面的数据。</w:t>
      </w:r>
    </w:p>
    <w:p w14:paraId="100BAEA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甘肃电通电力工程设计咨询有限公司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根据上述背景，为进一步推进输电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线路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工程全过程工程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无人机辅助监理指南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开展，适应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输电线路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建设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过程中监理工作开展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和技术的应用，组织开展本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编制工作并向中国电力建设企业协会提出申请。</w:t>
      </w:r>
    </w:p>
    <w:p w14:paraId="73E8B869">
      <w:pPr>
        <w:pStyle w:val="14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  <w:bookmarkStart w:id="4" w:name="_Toc179902669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  <w:t>编制单位</w:t>
      </w:r>
      <w:bookmarkEnd w:id="4"/>
    </w:p>
    <w:p w14:paraId="375AA1D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甘肃电通电力工程设计咨询有限公司</w:t>
      </w:r>
    </w:p>
    <w:p w14:paraId="31B0FA2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广东诚誉工程咨询监理有限公司</w:t>
      </w:r>
    </w:p>
    <w:p w14:paraId="00BC1AC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广东律诚工程咨询有限公司</w:t>
      </w:r>
    </w:p>
    <w:p w14:paraId="6A2AA7D5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江苏兴力工程管理有限公司</w:t>
      </w:r>
    </w:p>
    <w:p w14:paraId="66EE1EA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海南电网有限责任公司建设分公司</w:t>
      </w:r>
    </w:p>
    <w:p w14:paraId="59BA584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福建省电力建设工程咨询有限公司</w:t>
      </w:r>
    </w:p>
    <w:p w14:paraId="0D838D07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宁夏重信建设工程监理有限公司</w:t>
      </w:r>
    </w:p>
    <w:p w14:paraId="51724AFE">
      <w:pPr>
        <w:pStyle w:val="2"/>
        <w:ind w:firstLine="480" w:firstLineChars="200"/>
        <w:rPr>
          <w:color w:val="auto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辽宁电力建设监理有限公司</w:t>
      </w:r>
    </w:p>
    <w:p w14:paraId="62CE4EC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金昌科茂电力设计咨询有限公司</w:t>
      </w:r>
    </w:p>
    <w:p w14:paraId="0308BE4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定西昌源电力设计咨询有限公司</w:t>
      </w:r>
    </w:p>
    <w:p w14:paraId="67129E67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兰州倚能电力设计咨询有限公司</w:t>
      </w:r>
    </w:p>
    <w:p w14:paraId="238BD1C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甘肃诺鑫工程监理咨询有限公司</w:t>
      </w:r>
    </w:p>
    <w:p w14:paraId="1B844B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甘肃九煜项目管理咨询有限公司</w:t>
      </w:r>
    </w:p>
    <w:p w14:paraId="4529AF01">
      <w:pPr>
        <w:pStyle w:val="14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  <w:bookmarkStart w:id="5" w:name="_Toc179902670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  <w:t>主要工作过程</w:t>
      </w:r>
      <w:bookmarkEnd w:id="5"/>
    </w:p>
    <w:p w14:paraId="2B9CA2B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年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月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12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日，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甘肃电通电力工程设计咨询有限公司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联系了输电工程全过程工程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无人机应用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相关工作经验丰富的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单位、建设单位等，涵盖国家电网、南方电网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两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大电网，成立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编制工作组。参编单位包括咨询单位：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甘肃电通电力工程设计咨询有限公司</w:t>
      </w:r>
    </w:p>
    <w:p w14:paraId="4EAC897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广东诚誉工程咨询监理有限公司、广东律诚工程咨询有限公司、江苏兴力工程管理有限公司、海南电网有限责任公司建设分公司、福建省电力建设工程咨询有限公司、宁夏重信建设工程监理有限公司、辽宁电力建设监理有限公司、金昌科茂电力设计咨询有限公司、定西昌源电力设计咨询有限公司、兰州倚能电力设计咨询有限公司、甘肃诺鑫工程监理咨询有限公司、甘肃九煜项目管理咨询有限公司。</w:t>
      </w:r>
    </w:p>
    <w:p w14:paraId="09F95DD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年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月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20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日，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编制工作组在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湖南衡阳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组织召开了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编制讨论会，针对国内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输电线路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建设监理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最新发展趋势进行交流讨论分析，经过整理初步形成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编制的方向、范围、框架、提纲及初稿，完成启动会准备工作。</w:t>
      </w:r>
    </w:p>
    <w:p w14:paraId="31E043B0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年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月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23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日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-25日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，中国电力建设企业协会在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长沙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组织召开《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架空送电线路工程无人机辅助监理指南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》标准初稿讨论会，统一确定了标准名称，对初稿主要内容进行讨论，确认标准按照GBT20001.7-2017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《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标准编写规则 第7部分：指南标准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的规定格式编写，明确了标准大纲、编制分工及后续编写工作计划。</w:t>
      </w:r>
    </w:p>
    <w:p w14:paraId="4D9C8FAF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2</w:t>
      </w:r>
      <w:r>
        <w:rPr>
          <w:rFonts w:ascii="仿宋_GB2312" w:hAnsi="Times New Roman" w:eastAsia="仿宋_GB2312" w:cs="宋体"/>
          <w:color w:val="auto"/>
          <w:sz w:val="24"/>
          <w:szCs w:val="24"/>
        </w:rPr>
        <w:t>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年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月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15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日-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16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日，中国电力建设企业协会在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石家庄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召开了征求意见稿定稿会，邀请相关单位专家参会，会上对标准逐条进行讨论，确定最终版征求意见稿。</w:t>
      </w:r>
    </w:p>
    <w:p w14:paraId="2966B97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仿宋_GB2312" w:hAnsi="Times New Roman" w:eastAsia="仿宋_GB2312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u w:val="none"/>
          <w:lang w:val="en-US" w:eastAsia="zh-CN"/>
        </w:rPr>
        <w:t>2025年10月18日，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标准编制工作组组织参编单位根据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定稿会意见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，通过网络视频会议形式组织开展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修订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讨论会，对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讨论稿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进行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二次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修改完善，形成征求意见稿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定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稿。</w:t>
      </w:r>
    </w:p>
    <w:p w14:paraId="03D8DCFC">
      <w:pPr>
        <w:pStyle w:val="14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  <w:bookmarkStart w:id="6" w:name="_Toc179902671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  <w:t>主要起草人</w:t>
      </w:r>
      <w:bookmarkEnd w:id="6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  <w:lang w:val="en-US" w:eastAsia="zh-CN"/>
        </w:rPr>
        <w:t xml:space="preserve"> </w:t>
      </w:r>
    </w:p>
    <w:p w14:paraId="3BF88650">
      <w:pPr>
        <w:pStyle w:val="14"/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82" w:leftChars="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</w:p>
    <w:p w14:paraId="18310F81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ascii="黑体" w:hAnsi="黑体" w:eastAsia="黑体"/>
          <w:b/>
          <w:color w:val="auto"/>
          <w:sz w:val="28"/>
          <w:szCs w:val="28"/>
        </w:rPr>
      </w:pPr>
      <w:bookmarkStart w:id="7" w:name="_Toc179902672"/>
      <w:r>
        <w:rPr>
          <w:rFonts w:hint="eastAsia" w:ascii="黑体" w:hAnsi="黑体" w:eastAsia="黑体"/>
          <w:b/>
          <w:color w:val="auto"/>
          <w:sz w:val="28"/>
          <w:szCs w:val="28"/>
        </w:rPr>
        <w:t>编制原则和主要内容</w:t>
      </w:r>
      <w:bookmarkEnd w:id="7"/>
    </w:p>
    <w:p w14:paraId="7BA937B3">
      <w:pPr>
        <w:autoSpaceDE w:val="0"/>
        <w:autoSpaceDN w:val="0"/>
        <w:adjustRightInd w:val="0"/>
        <w:spacing w:line="360" w:lineRule="auto"/>
        <w:ind w:firstLine="42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  <w:bookmarkStart w:id="8" w:name="_Toc179902673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  <w:t>2.1 编制原则</w:t>
      </w:r>
      <w:bookmarkEnd w:id="8"/>
    </w:p>
    <w:p w14:paraId="0116BCCE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本次编制的总体原则是结合当前输变电工程全过程工程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建设监理工作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现状，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提升监理工作水平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，满足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电力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建设行业技术发展需求，具备引领行业发展的作用，具体包括：</w:t>
      </w:r>
    </w:p>
    <w:p w14:paraId="6E86E6FB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（1）广泛调查深入研究，认真总结实践经验，严格遵守国家标准和法律法规，在广泛征求意见的基础上，综合考虑当前工程实践和按满足未来发展趋势的要求编制本标准，应具有前瞻性、先进性；</w:t>
      </w:r>
    </w:p>
    <w:p w14:paraId="31052FA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（2）本标准的要求与其他电力行业标准相协调；</w:t>
      </w:r>
    </w:p>
    <w:p w14:paraId="34C7AB9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（</w:t>
      </w:r>
      <w:r>
        <w:rPr>
          <w:rFonts w:ascii="仿宋_GB2312" w:hAnsi="Times New Roman" w:eastAsia="仿宋_GB2312" w:cs="宋体"/>
          <w:color w:val="auto"/>
          <w:sz w:val="24"/>
          <w:szCs w:val="24"/>
        </w:rPr>
        <w:t>3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）标准的内容必须能够适应发展需要，条款规定要明确、清晰无歧义，满足规范化、通用化的要求，以确保可操作性；</w:t>
      </w:r>
    </w:p>
    <w:p w14:paraId="25F6CF1F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（</w:t>
      </w:r>
      <w:r>
        <w:rPr>
          <w:rFonts w:ascii="仿宋_GB2312" w:hAnsi="Times New Roman" w:eastAsia="仿宋_GB2312" w:cs="宋体"/>
          <w:color w:val="auto"/>
          <w:sz w:val="24"/>
          <w:szCs w:val="24"/>
        </w:rPr>
        <w:t>4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）按照GBT20001.7-2017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《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标准编写规则 第7部分：指南标准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eastAsia="zh-CN"/>
        </w:rPr>
        <w:t>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的规定编写。</w:t>
      </w:r>
    </w:p>
    <w:p w14:paraId="5A770272">
      <w:pPr>
        <w:autoSpaceDE w:val="0"/>
        <w:autoSpaceDN w:val="0"/>
        <w:adjustRightInd w:val="0"/>
        <w:spacing w:line="360" w:lineRule="auto"/>
        <w:ind w:firstLine="42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  <w:bookmarkStart w:id="9" w:name="_Toc179902674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  <w:t>2.2 编制依据</w:t>
      </w:r>
      <w:bookmarkEnd w:id="9"/>
    </w:p>
    <w:p w14:paraId="13439166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本标准参照现行国家有关电力建设的法律、法规、管理标准、技术标准、电力行业有关标准和相关行业标准。主要有：</w:t>
      </w:r>
    </w:p>
    <w:p w14:paraId="6095E717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《中华人民共和国民用航空法》—2021年4月29日修订版</w:t>
      </w:r>
    </w:p>
    <w:p w14:paraId="1A37FAC9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《无人驾驶航空器飞行管理暂行条例》—2024年1月1日</w:t>
      </w:r>
    </w:p>
    <w:p w14:paraId="607DE546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《通用航空飞行管制条例》—2003年5月1日</w:t>
      </w:r>
    </w:p>
    <w:p w14:paraId="07A3F06B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《民用航空器驾驶员合格审定规则》—2024年8月1日</w:t>
      </w:r>
    </w:p>
    <w:p w14:paraId="57286020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 xml:space="preserve"> MD-TM-2016-004《民用无人驾驶航空器系统空中交通管理办法》 </w:t>
      </w:r>
    </w:p>
    <w:p w14:paraId="35B4D3A1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 xml:space="preserve"> AC-61-FS《民用无人机驾驶航空器系统驾驶员管理暂行规定》</w:t>
      </w:r>
    </w:p>
    <w:p w14:paraId="02853209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 xml:space="preserve"> AC91-FS《轻小型无人机运行规定》</w:t>
      </w:r>
    </w:p>
    <w:p w14:paraId="5AA5FC50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 xml:space="preserve"> AP-45-AA《民用无人驾驶航空器实名制登记管理规定》</w:t>
      </w:r>
    </w:p>
    <w:p w14:paraId="522AECEF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GB/T50319《建设工程监理规范》</w:t>
      </w:r>
    </w:p>
    <w:p w14:paraId="4C6B7FDC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GB50233《110kV～850kV架空输电线路施工及验收规范》</w:t>
      </w:r>
    </w:p>
    <w:p w14:paraId="581F9AE5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DL/T5434《电力建设工程监理规范》</w:t>
      </w:r>
    </w:p>
    <w:p w14:paraId="73935407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DL/T5106《跨越电力线路架线施工规程》</w:t>
      </w:r>
    </w:p>
    <w:p w14:paraId="40481F3A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DL5319《架空输电线路大跨越工程施工及验收规范》</w:t>
      </w:r>
    </w:p>
    <w:p w14:paraId="7E7895D9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DL/T5168《110kV～850kV架空输电线路施工质量检验及评定规程》</w:t>
      </w:r>
    </w:p>
    <w:p w14:paraId="128CDF23"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442" w:firstLineChars="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DL/T5868《110kV及以上架空输电线路施工及验收规范》</w:t>
      </w:r>
    </w:p>
    <w:p w14:paraId="6EC79E3C">
      <w:pPr>
        <w:autoSpaceDE w:val="0"/>
        <w:autoSpaceDN w:val="0"/>
        <w:adjustRightInd w:val="0"/>
        <w:spacing w:line="360" w:lineRule="auto"/>
        <w:ind w:firstLine="420"/>
        <w:outlineLvl w:val="1"/>
        <w:rPr>
          <w:rFonts w:ascii="方正楷体_GBK" w:hAnsi="楷体_GB2312" w:eastAsia="方正楷体_GBK" w:cs="宋体"/>
          <w:b/>
          <w:bCs/>
          <w:color w:val="auto"/>
          <w:sz w:val="24"/>
          <w:szCs w:val="24"/>
        </w:rPr>
      </w:pPr>
      <w:bookmarkStart w:id="10" w:name="_Toc179902675"/>
      <w:r>
        <w:rPr>
          <w:rFonts w:hint="eastAsia" w:ascii="方正楷体_GBK" w:hAnsi="楷体_GB2312" w:eastAsia="方正楷体_GBK" w:cs="宋体"/>
          <w:b/>
          <w:bCs/>
          <w:color w:val="auto"/>
          <w:sz w:val="24"/>
          <w:szCs w:val="24"/>
        </w:rPr>
        <w:t>2.3 主要内容</w:t>
      </w:r>
      <w:bookmarkEnd w:id="10"/>
    </w:p>
    <w:p w14:paraId="0B25160B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本标准《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架空送电线路工程无人机辅助监理指南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》共1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章和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个附录，主</w:t>
      </w:r>
      <w:r>
        <w:rPr>
          <w:rFonts w:ascii="仿宋_GB2312" w:hAnsi="Times New Roman" w:eastAsia="仿宋_GB2312" w:cs="宋体"/>
          <w:color w:val="auto"/>
          <w:sz w:val="24"/>
          <w:szCs w:val="24"/>
        </w:rPr>
        <w:t>要内容包括：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范围；规范性引用文件；术语和定义；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一般要求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无人机选型要求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无人机驾驶员要求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环境要求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勘查阶段无人机辅助监理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设计阶段无人机辅助监理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施工阶段无人机辅助监理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验收阶段无人机辅助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监理；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文件资料整理；附录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等。</w:t>
      </w:r>
    </w:p>
    <w:p w14:paraId="31C22E6D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 w:cs="Times New Roman"/>
          <w:b/>
          <w:color w:val="auto"/>
          <w:sz w:val="28"/>
          <w:szCs w:val="28"/>
        </w:rPr>
      </w:pPr>
      <w:bookmarkStart w:id="11" w:name="_Toc179902676"/>
      <w:r>
        <w:rPr>
          <w:rFonts w:hint="eastAsia" w:ascii="黑体" w:hAnsi="黑体" w:eastAsia="黑体" w:cs="Times New Roman"/>
          <w:b/>
          <w:color w:val="auto"/>
          <w:sz w:val="28"/>
          <w:szCs w:val="28"/>
        </w:rPr>
        <w:t>预期达到的效果</w:t>
      </w:r>
      <w:bookmarkEnd w:id="11"/>
    </w:p>
    <w:p w14:paraId="15BF175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本标准发布实施后，将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能有效提升监理的安全管理水平和验收质量，从根本上减少监理安全质量管理工作的实际难度和负担，提高工作效率、压降安全风险。</w:t>
      </w:r>
    </w:p>
    <w:p w14:paraId="0F9FF88D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将无人机引入到电网建设施工现场监理管理中，利用无人机机身小巧、高空作业、智能化的特点，能在一定程度上提高工人们的安全意识，规范施工操作行为。既可节省人力，又能减少现场监理人员投入，提高监管效率，同时，无人机也拓展了人力可监管的范围，使得监理工作做到更加细致全面，助力监理数字化精细化监理管理模式转变，奋力向数字化监理企业迈进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。</w:t>
      </w:r>
    </w:p>
    <w:p w14:paraId="3221FA06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 w:cs="Times New Roman"/>
          <w:b/>
          <w:color w:val="auto"/>
          <w:sz w:val="28"/>
          <w:szCs w:val="28"/>
        </w:rPr>
      </w:pPr>
      <w:bookmarkStart w:id="12" w:name="_Toc179902677"/>
      <w:r>
        <w:rPr>
          <w:rFonts w:hint="eastAsia" w:ascii="黑体" w:hAnsi="黑体" w:eastAsia="黑体" w:cs="Times New Roman"/>
          <w:b/>
          <w:color w:val="auto"/>
          <w:sz w:val="28"/>
          <w:szCs w:val="28"/>
        </w:rPr>
        <w:t>与同类标准对比情况</w:t>
      </w:r>
      <w:bookmarkEnd w:id="12"/>
    </w:p>
    <w:p w14:paraId="4CA3F0B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未有以国内、行业标准为基础的起草情况。</w:t>
      </w:r>
    </w:p>
    <w:p w14:paraId="1DA3E8C4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 w:cs="Times New Roman"/>
          <w:b/>
          <w:color w:val="auto"/>
          <w:sz w:val="28"/>
          <w:szCs w:val="28"/>
        </w:rPr>
      </w:pPr>
      <w:bookmarkStart w:id="13" w:name="_Toc179902678"/>
      <w:r>
        <w:rPr>
          <w:rFonts w:hint="eastAsia" w:ascii="黑体" w:hAnsi="黑体" w:eastAsia="黑体" w:cs="Times New Roman"/>
          <w:b/>
          <w:color w:val="auto"/>
          <w:sz w:val="28"/>
          <w:szCs w:val="28"/>
        </w:rPr>
        <w:t>与现行法律、法规、政策及相关标准的协调性</w:t>
      </w:r>
      <w:bookmarkEnd w:id="13"/>
    </w:p>
    <w:p w14:paraId="53DFF01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bookmarkStart w:id="14" w:name="_Toc179902679"/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未有以国际、国内标准为基础的起草情况。</w:t>
      </w:r>
    </w:p>
    <w:p w14:paraId="2549C0ED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 w:cs="Times New Roman"/>
          <w:b/>
          <w:color w:val="auto"/>
          <w:sz w:val="28"/>
          <w:szCs w:val="28"/>
        </w:rPr>
      </w:pPr>
      <w:r>
        <w:rPr>
          <w:rFonts w:hint="eastAsia" w:ascii="黑体" w:hAnsi="黑体" w:eastAsia="黑体" w:cs="Times New Roman"/>
          <w:b/>
          <w:color w:val="auto"/>
          <w:sz w:val="28"/>
          <w:szCs w:val="28"/>
        </w:rPr>
        <w:t>重大分歧意见处理情况</w:t>
      </w:r>
      <w:bookmarkEnd w:id="14"/>
    </w:p>
    <w:p w14:paraId="20D5D01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本标准编制过程中，未出现重大分歧意见。</w:t>
      </w:r>
    </w:p>
    <w:p w14:paraId="1135C988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 w:cs="Times New Roman"/>
          <w:b/>
          <w:color w:val="auto"/>
          <w:sz w:val="28"/>
          <w:szCs w:val="28"/>
        </w:rPr>
      </w:pPr>
      <w:bookmarkStart w:id="15" w:name="_Toc179902680"/>
      <w:r>
        <w:rPr>
          <w:rFonts w:hint="eastAsia" w:ascii="黑体" w:hAnsi="黑体" w:eastAsia="黑体" w:cs="Times New Roman"/>
          <w:b/>
          <w:color w:val="auto"/>
          <w:sz w:val="28"/>
          <w:szCs w:val="28"/>
        </w:rPr>
        <w:t>标准涉及专利处置情况</w:t>
      </w:r>
      <w:bookmarkEnd w:id="15"/>
    </w:p>
    <w:p w14:paraId="3C5FAF4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本标准不涉及专利处置情况。</w:t>
      </w:r>
    </w:p>
    <w:p w14:paraId="6DC50C6E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 w:cs="Times New Roman"/>
          <w:b/>
          <w:color w:val="auto"/>
          <w:sz w:val="28"/>
          <w:szCs w:val="28"/>
        </w:rPr>
      </w:pPr>
      <w:bookmarkStart w:id="16" w:name="_Toc179902681"/>
      <w:r>
        <w:rPr>
          <w:rFonts w:hint="eastAsia" w:ascii="黑体" w:hAnsi="黑体" w:eastAsia="黑体" w:cs="Times New Roman"/>
          <w:b/>
          <w:color w:val="auto"/>
          <w:sz w:val="28"/>
          <w:szCs w:val="28"/>
        </w:rPr>
        <w:t>贯彻规范的要求和措施建议</w:t>
      </w:r>
      <w:bookmarkEnd w:id="16"/>
    </w:p>
    <w:p w14:paraId="5B803BBC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本标准适用于新建、扩建、改建的输电工程全过程工程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监理工作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。</w:t>
      </w:r>
    </w:p>
    <w:p w14:paraId="411050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</w:t>
      </w:r>
      <w:r>
        <w:rPr>
          <w:rFonts w:ascii="仿宋_GB2312" w:hAnsi="Times New Roman" w:eastAsia="仿宋_GB2312" w:cs="宋体"/>
          <w:color w:val="auto"/>
          <w:sz w:val="24"/>
          <w:szCs w:val="24"/>
        </w:rPr>
        <w:t>的制定和应用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能够为全过程工程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开展输电工程全过程工程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无人机辅助监理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提供工作指南，进一步提升输电工程全过程工程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监理工作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质量，建议能够</w:t>
      </w:r>
      <w:r>
        <w:rPr>
          <w:rFonts w:ascii="仿宋_GB2312" w:hAnsi="Times New Roman" w:eastAsia="仿宋_GB2312" w:cs="宋体"/>
          <w:color w:val="auto"/>
          <w:sz w:val="24"/>
          <w:szCs w:val="24"/>
        </w:rPr>
        <w:t>尽快批准发布本标准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，并通过组织集中宣讲会等形式进一步贯彻标准要求。</w:t>
      </w:r>
    </w:p>
    <w:p w14:paraId="3BA3378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本标准不设立强制性条文。</w:t>
      </w:r>
    </w:p>
    <w:p w14:paraId="051723FB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 w:cs="Times New Roman"/>
          <w:b/>
          <w:color w:val="auto"/>
          <w:sz w:val="28"/>
          <w:szCs w:val="28"/>
        </w:rPr>
      </w:pPr>
      <w:bookmarkStart w:id="17" w:name="_Toc179902682"/>
      <w:r>
        <w:rPr>
          <w:rFonts w:hint="eastAsia" w:ascii="黑体" w:hAnsi="黑体" w:eastAsia="黑体" w:cs="Times New Roman"/>
          <w:b/>
          <w:color w:val="auto"/>
          <w:sz w:val="28"/>
          <w:szCs w:val="28"/>
        </w:rPr>
        <w:t>代替或废止现行有关标准的建议</w:t>
      </w:r>
      <w:bookmarkEnd w:id="17"/>
    </w:p>
    <w:p w14:paraId="2B268B1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_GB2312" w:hAnsi="Times New Roman" w:eastAsia="仿宋_GB2312" w:cs="宋体"/>
          <w:color w:val="auto"/>
          <w:sz w:val="24"/>
          <w:szCs w:val="24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本标准不涉及代替或废止现行有关标准的情况。</w:t>
      </w:r>
    </w:p>
    <w:p w14:paraId="09AED7FA">
      <w:pPr>
        <w:pStyle w:val="14"/>
        <w:numPr>
          <w:ilvl w:val="0"/>
          <w:numId w:val="1"/>
        </w:numPr>
        <w:tabs>
          <w:tab w:val="left" w:pos="840"/>
        </w:tabs>
        <w:adjustRightInd w:val="0"/>
        <w:spacing w:line="360" w:lineRule="auto"/>
        <w:ind w:firstLineChars="0"/>
        <w:outlineLvl w:val="0"/>
        <w:rPr>
          <w:rFonts w:hint="eastAsia" w:ascii="黑体" w:hAnsi="黑体" w:eastAsia="黑体"/>
          <w:b/>
          <w:color w:val="auto"/>
          <w:sz w:val="28"/>
          <w:szCs w:val="28"/>
        </w:rPr>
      </w:pPr>
      <w:bookmarkStart w:id="18" w:name="_Toc179902683"/>
      <w:r>
        <w:rPr>
          <w:rFonts w:hint="eastAsia" w:ascii="黑体" w:hAnsi="黑体" w:eastAsia="黑体"/>
          <w:b/>
          <w:color w:val="auto"/>
          <w:sz w:val="28"/>
          <w:szCs w:val="28"/>
        </w:rPr>
        <w:t>其他应予说明的事项</w:t>
      </w:r>
      <w:bookmarkEnd w:id="18"/>
    </w:p>
    <w:p w14:paraId="75F7B2C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黑体" w:hAnsi="黑体" w:eastAsia="黑体"/>
          <w:b/>
          <w:color w:val="auto"/>
          <w:sz w:val="28"/>
          <w:szCs w:val="28"/>
        </w:rPr>
      </w:pP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本标准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属于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202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Times New Roman" w:eastAsia="仿宋_GB2312" w:cs="宋体"/>
          <w:color w:val="auto"/>
          <w:sz w:val="24"/>
          <w:szCs w:val="24"/>
        </w:rPr>
        <w:t>年第一批立项的中国电力建设企业协会标准。</w:t>
      </w:r>
    </w:p>
    <w:p w14:paraId="0B8BC250"/>
    <w:sectPr>
      <w:footerReference r:id="rId4" w:type="default"/>
      <w:pgSz w:w="11906" w:h="16838"/>
      <w:pgMar w:top="1440" w:right="1797" w:bottom="1191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72E38">
    <w:pPr>
      <w:pStyle w:val="5"/>
      <w:jc w:val="center"/>
    </w:pPr>
  </w:p>
  <w:p w14:paraId="45E5D24A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223212"/>
      <w:docPartObj>
        <w:docPartGallery w:val="autotext"/>
      </w:docPartObj>
    </w:sdtPr>
    <w:sdtContent>
      <w:p w14:paraId="15223485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21E2F4C2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310DFC"/>
    <w:multiLevelType w:val="multilevel"/>
    <w:tmpl w:val="33310DFC"/>
    <w:lvl w:ilvl="0" w:tentative="0">
      <w:start w:val="1"/>
      <w:numFmt w:val="decimal"/>
      <w:lvlText w:val="（%1）"/>
      <w:lvlJc w:val="left"/>
      <w:pPr>
        <w:ind w:left="92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">
    <w:nsid w:val="5A4D79C5"/>
    <w:multiLevelType w:val="multilevel"/>
    <w:tmpl w:val="5A4D79C5"/>
    <w:lvl w:ilvl="0" w:tentative="0">
      <w:start w:val="1"/>
      <w:numFmt w:val="decimal"/>
      <w:lvlText w:val="%1"/>
      <w:lvlJc w:val="left"/>
      <w:pPr>
        <w:ind w:left="424" w:hanging="424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202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044" w:hanging="108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526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368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210" w:hanging="18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052" w:hanging="216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5534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6376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F3122"/>
    <w:rsid w:val="22B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43"/>
      <w:ind w:left="120"/>
    </w:pPr>
    <w:rPr>
      <w:rFonts w:ascii="宋体" w:hAnsi="宋体" w:cstheme="minorBidi"/>
      <w:sz w:val="32"/>
      <w:szCs w:val="32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9402"/>
      </w:tabs>
      <w:spacing w:line="240" w:lineRule="atLeast"/>
      <w:jc w:val="center"/>
    </w:pPr>
    <w:rPr>
      <w:rFonts w:ascii="Times New Roman" w:hAnsi="Times New Roman"/>
      <w:szCs w:val="24"/>
    </w:rPr>
  </w:style>
  <w:style w:type="paragraph" w:styleId="7">
    <w:name w:val="toc 2"/>
    <w:basedOn w:val="1"/>
    <w:next w:val="1"/>
    <w:qFormat/>
    <w:uiPriority w:val="39"/>
    <w:pPr>
      <w:spacing w:line="240" w:lineRule="atLeast"/>
      <w:ind w:left="420" w:leftChars="200"/>
    </w:pPr>
    <w:rPr>
      <w:rFonts w:ascii="Times New Roman" w:hAnsi="Times New Roman"/>
      <w:szCs w:val="24"/>
    </w:rPr>
  </w:style>
  <w:style w:type="paragraph" w:styleId="8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Hyperlink"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12">
    <w:name w:val="Fließtext"/>
    <w:basedOn w:val="1"/>
    <w:qFormat/>
    <w:uiPriority w:val="0"/>
    <w:pPr>
      <w:overflowPunct w:val="0"/>
      <w:autoSpaceDE w:val="0"/>
      <w:autoSpaceDN w:val="0"/>
    </w:pPr>
    <w:rPr>
      <w:kern w:val="28"/>
    </w:rPr>
  </w:style>
  <w:style w:type="paragraph" w:customStyle="1" w:styleId="13">
    <w:name w:val="TOC Heading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2025-10-30T06:05:00Z</dcterms:created>
  <dc:creator>涛哥</dc:creator>
  <cp:lastModifiedBy>涛哥</cp:lastModifiedBy>
  <dcterms:modified xsi:type="dcterms:W3CDTF">2025-10-30T06:06:20Z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BC997240D85745B4A367B0A4F5C18FE0_11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