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5D94A">
      <w:pPr>
        <w:rPr>
          <w:rFonts w:hint="eastAsia" w:ascii="黑体" w:hAnsi="黑体" w:eastAsia="黑体" w:cs="黑体"/>
          <w:b/>
          <w:bCs/>
          <w:sz w:val="52"/>
          <w:szCs w:val="52"/>
          <w:lang w:val="zh-CN"/>
        </w:rPr>
      </w:pPr>
      <w:bookmarkStart w:id="28" w:name="_GoBack"/>
      <w:bookmarkEnd w:id="28"/>
      <w:r>
        <w:rPr>
          <w:rFonts w:hint="eastAsia" w:ascii="黑体" w:hAnsi="黑体" w:eastAsia="黑体" w:cs="黑体"/>
          <w:sz w:val="32"/>
          <w:szCs w:val="32"/>
        </w:rPr>
        <w:t>附件2</w:t>
      </w:r>
    </w:p>
    <w:p w14:paraId="38FB2CF2">
      <w:pPr>
        <w:spacing w:before="240" w:after="120"/>
        <w:jc w:val="center"/>
        <w:rPr>
          <w:rFonts w:hint="eastAsia" w:ascii="方正小标宋简体" w:hAnsi="方正小标宋简体" w:eastAsia="方正小标宋简体" w:cs="方正小标宋简体"/>
          <w:color w:val="000000"/>
          <w:kern w:val="0"/>
          <w:sz w:val="44"/>
          <w:szCs w:val="44"/>
        </w:rPr>
      </w:pPr>
    </w:p>
    <w:p w14:paraId="46C47580">
      <w:pPr>
        <w:spacing w:before="240" w:after="120"/>
        <w:jc w:val="center"/>
        <w:rPr>
          <w:rFonts w:hint="eastAsia" w:ascii="方正小标宋简体" w:hAnsi="方正小标宋简体" w:eastAsia="方正小标宋简体" w:cs="方正小标宋简体"/>
          <w:color w:val="000000"/>
          <w:kern w:val="0"/>
          <w:sz w:val="44"/>
          <w:szCs w:val="44"/>
        </w:rPr>
      </w:pPr>
    </w:p>
    <w:p w14:paraId="1DF4F01D">
      <w:pPr>
        <w:spacing w:before="240" w:after="120"/>
        <w:jc w:val="center"/>
        <w:rPr>
          <w:rFonts w:hint="eastAsia" w:ascii="方正小标宋简体" w:hAnsi="方正小标宋简体" w:eastAsia="方正小标宋简体" w:cs="方正小标宋简体"/>
          <w:color w:val="000000"/>
          <w:kern w:val="0"/>
          <w:sz w:val="44"/>
          <w:szCs w:val="44"/>
        </w:rPr>
      </w:pPr>
    </w:p>
    <w:p w14:paraId="3FB4A1CF">
      <w:pPr>
        <w:spacing w:before="240" w:after="120"/>
        <w:rPr>
          <w:rFonts w:hint="eastAsia" w:ascii="方正小标宋简体" w:hAnsi="方正小标宋简体" w:eastAsia="方正小标宋简体" w:cs="方正小标宋简体"/>
          <w:color w:val="000000"/>
          <w:kern w:val="0"/>
          <w:sz w:val="44"/>
          <w:szCs w:val="44"/>
        </w:rPr>
      </w:pPr>
      <w:bookmarkStart w:id="0" w:name="OLE_LINK1"/>
      <w:r>
        <w:rPr>
          <w:rFonts w:ascii="方正小标宋简体" w:hAnsi="方正小标宋简体" w:eastAsia="方正小标宋简体" w:cs="方正小标宋简体"/>
          <w:color w:val="000000"/>
          <w:kern w:val="0"/>
          <w:sz w:val="44"/>
          <w:szCs w:val="44"/>
        </w:rPr>
        <w:t>《</w:t>
      </w:r>
      <w:r>
        <w:rPr>
          <w:rFonts w:hint="eastAsia" w:ascii="方正小标宋简体" w:hAnsi="方正小标宋简体" w:eastAsia="方正小标宋简体" w:cs="方正小标宋简体"/>
          <w:color w:val="000000"/>
          <w:kern w:val="0"/>
          <w:sz w:val="44"/>
          <w:szCs w:val="44"/>
        </w:rPr>
        <w:t>低压厂用电系统继电保护整定计算导则</w:t>
      </w:r>
      <w:r>
        <w:rPr>
          <w:rFonts w:ascii="方正小标宋简体" w:hAnsi="方正小标宋简体" w:eastAsia="方正小标宋简体" w:cs="方正小标宋简体"/>
          <w:color w:val="000000"/>
          <w:kern w:val="0"/>
          <w:sz w:val="44"/>
          <w:szCs w:val="44"/>
        </w:rPr>
        <w:t>》</w:t>
      </w:r>
    </w:p>
    <w:p w14:paraId="7B0FC594">
      <w:pPr>
        <w:spacing w:before="240" w:after="120"/>
        <w:jc w:val="center"/>
        <w:rPr>
          <w:rFonts w:hint="eastAsia"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编制说明</w:t>
      </w:r>
    </w:p>
    <w:p w14:paraId="30F8DEAD">
      <w:pPr>
        <w:rPr>
          <w:sz w:val="22"/>
          <w:szCs w:val="24"/>
          <w:lang w:val="zh-CN"/>
        </w:rPr>
      </w:pPr>
    </w:p>
    <w:p w14:paraId="568363D8">
      <w:pPr>
        <w:pStyle w:val="11"/>
        <w:spacing w:before="0" w:beforeAutospacing="0" w:after="0" w:afterAutospacing="0"/>
        <w:jc w:val="center"/>
        <w:textAlignment w:val="baseline"/>
        <w:rPr>
          <w:rFonts w:ascii="方正黑体_GBK" w:hAnsi="Times New Roman" w:eastAsia="方正黑体_GBK" w:cs="Times New Roman"/>
          <w:sz w:val="36"/>
          <w:szCs w:val="36"/>
          <w:lang w:val="zh-CN"/>
        </w:rPr>
      </w:pPr>
    </w:p>
    <w:p w14:paraId="7D1E03F6">
      <w:pPr>
        <w:pStyle w:val="11"/>
        <w:spacing w:before="0" w:beforeAutospacing="0" w:after="0" w:afterAutospacing="0"/>
        <w:jc w:val="center"/>
        <w:textAlignment w:val="baseline"/>
        <w:rPr>
          <w:rFonts w:hint="eastAsia"/>
          <w:lang w:val="zh-CN"/>
        </w:rPr>
      </w:pPr>
      <w:r>
        <w:rPr>
          <w:lang w:val="zh-CN"/>
        </w:rPr>
        <w:br w:type="page"/>
      </w:r>
    </w:p>
    <w:p w14:paraId="1AC4B76B">
      <w:pPr>
        <w:spacing w:before="380" w:after="140" w:line="288" w:lineRule="auto"/>
        <w:jc w:val="left"/>
        <w:outlineLvl w:val="0"/>
        <w:rPr>
          <w:rFonts w:ascii="Arial" w:hAnsi="Arial" w:eastAsia="等线" w:cs="Arial"/>
          <w:b/>
          <w:kern w:val="0"/>
          <w:sz w:val="36"/>
        </w:rPr>
      </w:pPr>
      <w:bookmarkStart w:id="1" w:name="_Toc29779"/>
      <w:r>
        <w:rPr>
          <w:rFonts w:hint="eastAsia" w:ascii="Arial" w:hAnsi="Arial" w:eastAsia="等线" w:cs="Arial"/>
          <w:b/>
          <w:kern w:val="0"/>
          <w:sz w:val="36"/>
        </w:rPr>
        <w:t>一、工作简况</w:t>
      </w:r>
      <w:bookmarkEnd w:id="1"/>
    </w:p>
    <w:p w14:paraId="07BD474F">
      <w:pPr>
        <w:spacing w:before="320" w:after="120" w:line="288" w:lineRule="auto"/>
        <w:jc w:val="left"/>
        <w:rPr>
          <w:rFonts w:ascii="Arial" w:hAnsi="Arial" w:eastAsia="等线" w:cs="Arial"/>
          <w:b/>
          <w:kern w:val="0"/>
          <w:sz w:val="32"/>
        </w:rPr>
      </w:pPr>
      <w:bookmarkStart w:id="2" w:name="_Toc7708"/>
      <w:r>
        <w:rPr>
          <w:rFonts w:hint="eastAsia" w:ascii="Arial" w:hAnsi="Arial" w:eastAsia="等线" w:cs="Arial"/>
          <w:b/>
          <w:kern w:val="0"/>
          <w:sz w:val="32"/>
        </w:rPr>
        <w:t>（一）任务来源</w:t>
      </w:r>
      <w:bookmarkEnd w:id="2"/>
    </w:p>
    <w:p w14:paraId="03656776">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ascii="方正仿宋_GBK" w:hAnsi="方正仿宋_GBK" w:eastAsia="方正仿宋_GBK" w:cs="方正仿宋_GBK"/>
          <w:sz w:val="24"/>
          <w:szCs w:val="24"/>
        </w:rPr>
        <w:t>本标准根据中国电力建设企业协会《关于印发2025年第一批中国电力建设企业协会团体标准制定计划的通知》（中电建协〔2025〕131号）安排立项，由中国电力建设企业协会标准化管理委员会</w:t>
      </w:r>
      <w:r>
        <w:rPr>
          <w:rFonts w:hint="eastAsia" w:ascii="方正仿宋_GBK" w:hAnsi="方正仿宋_GBK" w:eastAsia="方正仿宋_GBK" w:cs="方正仿宋_GBK"/>
          <w:sz w:val="24"/>
          <w:szCs w:val="24"/>
        </w:rPr>
        <w:t>负责管辖</w:t>
      </w:r>
      <w:r>
        <w:rPr>
          <w:rFonts w:ascii="方正仿宋_GBK" w:hAnsi="方正仿宋_GBK" w:eastAsia="方正仿宋_GBK" w:cs="方正仿宋_GBK"/>
          <w:sz w:val="24"/>
          <w:szCs w:val="24"/>
        </w:rPr>
        <w:t>，</w:t>
      </w:r>
      <w:bookmarkStart w:id="3" w:name="OLE_LINK4"/>
      <w:r>
        <w:rPr>
          <w:rFonts w:hint="eastAsia" w:ascii="方正仿宋_GBK" w:hAnsi="方正仿宋_GBK" w:eastAsia="方正仿宋_GBK" w:cs="方正仿宋_GBK"/>
          <w:sz w:val="24"/>
          <w:szCs w:val="24"/>
        </w:rPr>
        <w:t>上海电力建设启动调整试验所有限公司</w:t>
      </w:r>
      <w:bookmarkEnd w:id="3"/>
      <w:r>
        <w:rPr>
          <w:rFonts w:ascii="方正仿宋_GBK" w:hAnsi="方正仿宋_GBK" w:eastAsia="方正仿宋_GBK" w:cs="方正仿宋_GBK"/>
          <w:sz w:val="24"/>
          <w:szCs w:val="24"/>
        </w:rPr>
        <w:t>牵头，联合设计、施工、监理、调试、业主等单位共同编制完成</w:t>
      </w:r>
      <w:r>
        <w:rPr>
          <w:rFonts w:hint="eastAsia" w:ascii="方正仿宋_GBK" w:hAnsi="方正仿宋_GBK" w:eastAsia="方正仿宋_GBK" w:cs="方正仿宋_GBK"/>
          <w:sz w:val="24"/>
          <w:szCs w:val="24"/>
        </w:rPr>
        <w:t>。</w:t>
      </w:r>
    </w:p>
    <w:p w14:paraId="643ED176">
      <w:pPr>
        <w:spacing w:before="320" w:after="120" w:line="288" w:lineRule="auto"/>
        <w:jc w:val="left"/>
        <w:rPr>
          <w:rFonts w:ascii="Arial" w:hAnsi="Arial" w:eastAsia="等线" w:cs="Arial"/>
          <w:b/>
          <w:kern w:val="0"/>
          <w:sz w:val="32"/>
        </w:rPr>
      </w:pPr>
      <w:bookmarkStart w:id="4" w:name="_Toc5008"/>
      <w:r>
        <w:rPr>
          <w:rFonts w:hint="eastAsia" w:ascii="Arial" w:hAnsi="Arial" w:eastAsia="等线" w:cs="Arial"/>
          <w:b/>
          <w:kern w:val="0"/>
          <w:sz w:val="32"/>
        </w:rPr>
        <w:t>（二）</w:t>
      </w:r>
      <w:bookmarkEnd w:id="4"/>
      <w:r>
        <w:rPr>
          <w:rFonts w:hint="eastAsia" w:ascii="Arial" w:hAnsi="Arial" w:eastAsia="等线" w:cs="Arial"/>
          <w:b/>
          <w:kern w:val="0"/>
          <w:sz w:val="32"/>
        </w:rPr>
        <w:t>制定背景</w:t>
      </w:r>
    </w:p>
    <w:p w14:paraId="345EE56A">
      <w:pPr>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随着工业领域电气化程度持续提升，低压厂用电系统作为企业生产的核心动力支撑，其供电可靠性与设备安全性直接影响生产连续性及人员安全。然而，当前低压厂用电系统继电保护整定计算缺乏系统性、规范化的技术标准。</w:t>
      </w:r>
    </w:p>
    <w:p w14:paraId="52B1394C">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为有效解决存在的问题，规范低压厂用电系统继电保护整定计算工作，保障电力供应的安全可靠，提升运行管理水平，亟需制定一部专门的《低压厂用电系统继电保护整定计算导则》。本规范的制定将填补该领域空白，为低压厂用电系统继电保护整定工作提供技术标准及指导原则，对提升低压厂用电系统的安全可靠性、适应新型电力系统的发展需求等方面具有重要意义。</w:t>
      </w:r>
    </w:p>
    <w:p w14:paraId="1611FD27">
      <w:pPr>
        <w:spacing w:before="320" w:after="120" w:line="288" w:lineRule="auto"/>
        <w:jc w:val="left"/>
        <w:rPr>
          <w:rFonts w:ascii="Arial" w:hAnsi="Arial" w:eastAsia="等线" w:cs="Arial"/>
          <w:b/>
          <w:kern w:val="0"/>
          <w:sz w:val="32"/>
        </w:rPr>
      </w:pPr>
      <w:bookmarkStart w:id="5" w:name="_Toc223"/>
      <w:r>
        <w:rPr>
          <w:rFonts w:hint="eastAsia" w:ascii="Arial" w:hAnsi="Arial" w:eastAsia="等线" w:cs="Arial"/>
          <w:b/>
          <w:kern w:val="0"/>
          <w:sz w:val="32"/>
        </w:rPr>
        <w:t>（三）起草过程</w:t>
      </w:r>
      <w:bookmarkEnd w:id="5"/>
    </w:p>
    <w:p w14:paraId="551EFC2C">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文件由中电建协标委会组织，主编单位由上海电力建设启动调整试验所有限公司牵头，参编单位内蒙古能源发电投资集团有限公司电力工程技术研究院、沈阳工程学院、上海漕泾第二发电有限公司、中国能源建设集团华南电力试验研究院有限公司、辽宁东科电力有限公司共6家单位联合编制完成。</w:t>
      </w:r>
    </w:p>
    <w:p w14:paraId="1443C363">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2025年8月19-20日，</w:t>
      </w:r>
      <w:r>
        <w:rPr>
          <w:rFonts w:ascii="方正仿宋_GBK" w:hAnsi="方正仿宋_GBK" w:eastAsia="方正仿宋_GBK" w:cs="方正仿宋_GBK"/>
          <w:sz w:val="24"/>
          <w:szCs w:val="24"/>
        </w:rPr>
        <w:t>中国电力建设企业协会在衡阳组织召开标准启动会，主编单位会同各参编单位进行了初步沟通，明确了标准编制的必要性和基本方向。</w:t>
      </w:r>
    </w:p>
    <w:p w14:paraId="06AB6A09">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2025年9月22-24日，中国电力建设企业协会在长沙组织召开了标准初稿讨论会，</w:t>
      </w:r>
      <w:r>
        <w:rPr>
          <w:rFonts w:ascii="方正仿宋_GBK" w:hAnsi="方正仿宋_GBK" w:eastAsia="方正仿宋_GBK" w:cs="方正仿宋_GBK"/>
          <w:sz w:val="24"/>
          <w:szCs w:val="24"/>
        </w:rPr>
        <w:t>集中学习了《中国电力建设企业协会团体标准编制要求》和《团体标准的审查和编写规则》</w:t>
      </w:r>
      <w:r>
        <w:rPr>
          <w:rFonts w:hint="eastAsia" w:ascii="方正仿宋_GBK" w:hAnsi="方正仿宋_GBK" w:eastAsia="方正仿宋_GBK" w:cs="方正仿宋_GBK"/>
          <w:sz w:val="24"/>
          <w:szCs w:val="24"/>
        </w:rPr>
        <w:t>，</w:t>
      </w:r>
      <w:r>
        <w:rPr>
          <w:rFonts w:ascii="方正仿宋_GBK" w:hAnsi="方正仿宋_GBK" w:eastAsia="方正仿宋_GBK" w:cs="方正仿宋_GBK"/>
          <w:sz w:val="24"/>
          <w:szCs w:val="24"/>
        </w:rPr>
        <w:t>确定了标准大纲、编制分工及进度计划。</w:t>
      </w:r>
    </w:p>
    <w:p w14:paraId="42F52B68">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2025年12月17日-19日， 中国电力建设企业协会在河南洛阳组织召开了初稿讨论会，邀请相关单位专家参会，会上对标准逐条进行讨论，形成标准修改稿。</w:t>
      </w:r>
    </w:p>
    <w:p w14:paraId="144B802C">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2026年1月，线上召开标准征求意见稿讨论会，邀请行业专家、参编单位代表参会，对标准征求意见稿进行全面审查，会后根据专家意见完成修改，形成征求意见稿</w:t>
      </w:r>
      <w:r>
        <w:rPr>
          <w:rFonts w:ascii="方正仿宋_GBK" w:hAnsi="方正仿宋_GBK" w:eastAsia="方正仿宋_GBK" w:cs="方正仿宋_GBK"/>
          <w:sz w:val="24"/>
          <w:szCs w:val="24"/>
        </w:rPr>
        <w:t>。</w:t>
      </w:r>
    </w:p>
    <w:p w14:paraId="0E0A889C">
      <w:pPr>
        <w:spacing w:before="380" w:after="140" w:line="288" w:lineRule="auto"/>
        <w:jc w:val="left"/>
        <w:outlineLvl w:val="0"/>
        <w:rPr>
          <w:rFonts w:ascii="Arial" w:hAnsi="Arial" w:eastAsia="等线" w:cs="Arial"/>
          <w:b/>
          <w:kern w:val="0"/>
          <w:sz w:val="36"/>
        </w:rPr>
      </w:pPr>
      <w:bookmarkStart w:id="6" w:name="heading_4"/>
      <w:bookmarkStart w:id="7" w:name="_Toc20468"/>
      <w:r>
        <w:rPr>
          <w:rFonts w:ascii="Arial" w:hAnsi="Arial" w:eastAsia="等线" w:cs="Arial"/>
          <w:b/>
          <w:kern w:val="0"/>
          <w:sz w:val="36"/>
        </w:rPr>
        <w:t>二、标准编制原则、主要内容及其确定依据</w:t>
      </w:r>
      <w:bookmarkEnd w:id="6"/>
    </w:p>
    <w:bookmarkEnd w:id="7"/>
    <w:p w14:paraId="63D1E217">
      <w:pPr>
        <w:spacing w:before="320" w:after="120" w:line="288" w:lineRule="auto"/>
        <w:jc w:val="left"/>
        <w:rPr>
          <w:rFonts w:ascii="Arial" w:hAnsi="Arial" w:eastAsia="等线" w:cs="Arial"/>
          <w:b/>
          <w:kern w:val="0"/>
          <w:sz w:val="32"/>
        </w:rPr>
      </w:pPr>
      <w:bookmarkStart w:id="8" w:name="heading_5"/>
      <w:r>
        <w:rPr>
          <w:rFonts w:ascii="Arial" w:hAnsi="Arial" w:eastAsia="等线" w:cs="Arial"/>
          <w:b/>
          <w:kern w:val="0"/>
          <w:sz w:val="32"/>
        </w:rPr>
        <w:t>（一）标准编制原则</w:t>
      </w:r>
      <w:bookmarkEnd w:id="8"/>
    </w:p>
    <w:p w14:paraId="24B2EDFB">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t>.</w:t>
      </w:r>
      <w:r>
        <w:rPr>
          <w:rFonts w:ascii="方正仿宋_GBK" w:hAnsi="方正仿宋_GBK" w:eastAsia="方正仿宋_GBK" w:cs="方正仿宋_GBK"/>
          <w:sz w:val="24"/>
          <w:szCs w:val="24"/>
        </w:rPr>
        <w:t xml:space="preserve"> 符合相关规定要求。本标准编制严格遵守《中国电力建设企业协会标准管理办法（试行）》，编写格式执行GB/T 1.1-2020《标准化工作导则 第1部分：标准化文件的结构和起草规则》。</w:t>
      </w:r>
    </w:p>
    <w:p w14:paraId="6E3D8B8F">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ascii="方正仿宋_GBK" w:hAnsi="方正仿宋_GBK" w:eastAsia="方正仿宋_GBK" w:cs="方正仿宋_GBK"/>
          <w:sz w:val="24"/>
          <w:szCs w:val="24"/>
        </w:rPr>
        <w:t>2.</w:t>
      </w:r>
      <w:r>
        <w:rPr>
          <w:rFonts w:hint="eastAsia" w:ascii="方正仿宋_GBK" w:hAnsi="方正仿宋_GBK" w:eastAsia="方正仿宋_GBK" w:cs="方正仿宋_GBK"/>
          <w:sz w:val="24"/>
          <w:szCs w:val="24"/>
        </w:rPr>
        <w:t xml:space="preserve"> </w:t>
      </w:r>
      <w:r>
        <w:rPr>
          <w:rFonts w:ascii="方正仿宋_GBK" w:hAnsi="方正仿宋_GBK" w:eastAsia="方正仿宋_GBK" w:cs="方正仿宋_GBK"/>
          <w:sz w:val="24"/>
          <w:szCs w:val="24"/>
        </w:rPr>
        <w:t>注重与国家法律法规和相关标准的协调性，与</w:t>
      </w:r>
      <w:bookmarkStart w:id="9" w:name="OLE_LINK32"/>
      <w:r>
        <w:rPr>
          <w:rFonts w:ascii="方正仿宋_GBK" w:hAnsi="方正仿宋_GBK" w:eastAsia="方正仿宋_GBK" w:cs="方正仿宋_GBK"/>
          <w:sz w:val="24"/>
          <w:szCs w:val="24"/>
        </w:rPr>
        <w:t>《</w:t>
      </w:r>
      <w:r>
        <w:rPr>
          <w:rFonts w:hint="eastAsia" w:ascii="方正仿宋_GBK" w:hAnsi="方正仿宋_GBK" w:eastAsia="方正仿宋_GBK" w:cs="方正仿宋_GBK"/>
          <w:sz w:val="24"/>
          <w:szCs w:val="24"/>
        </w:rPr>
        <w:t>继电保护和安全自动装置技术规程</w:t>
      </w:r>
      <w:r>
        <w:rPr>
          <w:rFonts w:ascii="方正仿宋_GBK" w:hAnsi="方正仿宋_GBK" w:eastAsia="方正仿宋_GBK" w:cs="方正仿宋_GBK"/>
          <w:sz w:val="24"/>
          <w:szCs w:val="24"/>
        </w:rPr>
        <w:t>》GB/T 14285</w:t>
      </w:r>
      <w:bookmarkEnd w:id="9"/>
      <w:r>
        <w:rPr>
          <w:rFonts w:ascii="方正仿宋_GBK" w:hAnsi="方正仿宋_GBK" w:eastAsia="方正仿宋_GBK" w:cs="方正仿宋_GBK"/>
          <w:sz w:val="24"/>
          <w:szCs w:val="24"/>
        </w:rPr>
        <w:t>、</w:t>
      </w:r>
      <w:bookmarkStart w:id="10" w:name="OLE_LINK33"/>
      <w:r>
        <w:rPr>
          <w:rFonts w:ascii="方正仿宋_GBK" w:hAnsi="方正仿宋_GBK" w:eastAsia="方正仿宋_GBK" w:cs="方正仿宋_GBK"/>
          <w:sz w:val="24"/>
          <w:szCs w:val="24"/>
        </w:rPr>
        <w:t>《</w:t>
      </w:r>
      <w:r>
        <w:rPr>
          <w:rFonts w:hint="eastAsia" w:ascii="方正仿宋_GBK" w:hAnsi="方正仿宋_GBK" w:eastAsia="方正仿宋_GBK" w:cs="方正仿宋_GBK"/>
          <w:sz w:val="24"/>
          <w:szCs w:val="24"/>
        </w:rPr>
        <w:t>厂用电继电保护整定计算导则</w:t>
      </w:r>
      <w:r>
        <w:rPr>
          <w:rFonts w:ascii="方正仿宋_GBK" w:hAnsi="方正仿宋_GBK" w:eastAsia="方正仿宋_GBK" w:cs="方正仿宋_GBK"/>
          <w:sz w:val="24"/>
          <w:szCs w:val="24"/>
        </w:rPr>
        <w:t>》</w:t>
      </w:r>
      <w:r>
        <w:rPr>
          <w:rFonts w:hint="eastAsia" w:ascii="方正仿宋_GBK" w:hAnsi="方正仿宋_GBK" w:eastAsia="方正仿宋_GBK" w:cs="方正仿宋_GBK"/>
          <w:sz w:val="24"/>
          <w:szCs w:val="24"/>
        </w:rPr>
        <w:t>DL/T 1502</w:t>
      </w:r>
      <w:bookmarkEnd w:id="10"/>
      <w:r>
        <w:rPr>
          <w:rFonts w:ascii="方正仿宋_GBK" w:hAnsi="方正仿宋_GBK" w:eastAsia="方正仿宋_GBK" w:cs="方正仿宋_GBK"/>
          <w:sz w:val="24"/>
          <w:szCs w:val="24"/>
        </w:rPr>
        <w:t>等相关现行标准协调配套</w:t>
      </w:r>
      <w:r>
        <w:rPr>
          <w:rFonts w:hint="eastAsia" w:ascii="方正仿宋_GBK" w:hAnsi="方正仿宋_GBK" w:eastAsia="方正仿宋_GBK" w:cs="方正仿宋_GBK"/>
          <w:sz w:val="24"/>
          <w:szCs w:val="24"/>
        </w:rPr>
        <w:t>，</w:t>
      </w:r>
      <w:r>
        <w:rPr>
          <w:rFonts w:ascii="方正仿宋_GBK" w:hAnsi="方正仿宋_GBK" w:eastAsia="方正仿宋_GBK" w:cs="方正仿宋_GBK"/>
          <w:sz w:val="24"/>
          <w:szCs w:val="24"/>
        </w:rPr>
        <w:t>避免重复与矛盾</w:t>
      </w:r>
      <w:r>
        <w:rPr>
          <w:rFonts w:hint="eastAsia" w:ascii="方正仿宋_GBK" w:hAnsi="方正仿宋_GBK" w:eastAsia="方正仿宋_GBK" w:cs="方正仿宋_GBK"/>
          <w:sz w:val="24"/>
          <w:szCs w:val="24"/>
        </w:rPr>
        <w:t>，</w:t>
      </w:r>
      <w:r>
        <w:rPr>
          <w:rFonts w:ascii="方正仿宋_GBK" w:hAnsi="方正仿宋_GBK" w:eastAsia="方正仿宋_GBK" w:cs="方正仿宋_GBK"/>
          <w:sz w:val="24"/>
          <w:szCs w:val="24"/>
        </w:rPr>
        <w:t>确保标准发布实施的可操作性。</w:t>
      </w:r>
    </w:p>
    <w:p w14:paraId="6653EC84">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w:t>
      </w:r>
      <w:r>
        <w:rPr>
          <w:rFonts w:ascii="方正仿宋_GBK" w:hAnsi="方正仿宋_GBK" w:eastAsia="方正仿宋_GBK" w:cs="方正仿宋_GBK"/>
          <w:sz w:val="24"/>
          <w:szCs w:val="24"/>
        </w:rPr>
        <w:t>.</w:t>
      </w:r>
      <w:r>
        <w:rPr>
          <w:rFonts w:hint="eastAsia" w:ascii="方正仿宋_GBK" w:hAnsi="方正仿宋_GBK" w:eastAsia="方正仿宋_GBK" w:cs="方正仿宋_GBK"/>
          <w:sz w:val="24"/>
          <w:szCs w:val="24"/>
        </w:rPr>
        <w:t xml:space="preserve"> 充分借鉴国内外低压厂用电系统继电保护领域的先进技术成果、工程实践经验和行业发展趋势，结合新型电力系统建设背景下新能源接入、负荷特性变化等新要求，规范内容适度超前，体现技术进步方向，为行业技术升级和质量提升提供指导。</w:t>
      </w:r>
    </w:p>
    <w:p w14:paraId="63366279">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r>
        <w:rPr>
          <w:rFonts w:ascii="方正仿宋_GBK" w:hAnsi="方正仿宋_GBK" w:eastAsia="方正仿宋_GBK" w:cs="方正仿宋_GBK"/>
          <w:sz w:val="24"/>
          <w:szCs w:val="24"/>
        </w:rPr>
        <w:t>.</w:t>
      </w:r>
      <w:r>
        <w:rPr>
          <w:rFonts w:hint="eastAsia" w:ascii="方正仿宋_GBK" w:hAnsi="方正仿宋_GBK" w:eastAsia="方正仿宋_GBK" w:cs="方正仿宋_GBK"/>
          <w:sz w:val="24"/>
          <w:szCs w:val="24"/>
        </w:rPr>
        <w:t xml:space="preserve"> </w:t>
      </w:r>
      <w:r>
        <w:rPr>
          <w:rFonts w:ascii="方正仿宋_GBK" w:hAnsi="方正仿宋_GBK" w:eastAsia="方正仿宋_GBK" w:cs="方正仿宋_GBK"/>
          <w:sz w:val="24"/>
          <w:szCs w:val="24"/>
        </w:rPr>
        <w:t>紧</w:t>
      </w:r>
      <w:r>
        <w:rPr>
          <w:rFonts w:hint="eastAsia" w:ascii="方正仿宋_GBK" w:hAnsi="方正仿宋_GBK" w:eastAsia="方正仿宋_GBK" w:cs="方正仿宋_GBK"/>
          <w:sz w:val="24"/>
          <w:szCs w:val="24"/>
        </w:rPr>
        <w:t>紧密围绕低压厂用电系统的特殊性（如接线形式多样、负荷类型复杂、短路电流水平受运行方式影响显著等），针对电动机保护、馈线保护、变压器保护、接地保护等关键环节，细化整定计算方法、参数选取原则和配合逻辑，确保导则内容具体、明确，具有可操作性和现场指导性。</w:t>
      </w:r>
    </w:p>
    <w:p w14:paraId="3CA580DC">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 民主协同编制。充分发扬民主，广泛征求行业主管部门、科研院所、建设单位、施工单位、运维单位等多方意见，协调各参编单位达成共识，确保标准内容全面、公正、权威。</w:t>
      </w:r>
    </w:p>
    <w:p w14:paraId="0F96C3B6">
      <w:pPr>
        <w:spacing w:before="320" w:after="120" w:line="288" w:lineRule="auto"/>
        <w:jc w:val="left"/>
        <w:rPr>
          <w:rFonts w:ascii="Arial" w:hAnsi="Arial" w:eastAsia="等线" w:cs="Arial"/>
          <w:b/>
          <w:kern w:val="0"/>
          <w:sz w:val="32"/>
        </w:rPr>
      </w:pPr>
      <w:bookmarkStart w:id="11" w:name="heading_6"/>
      <w:r>
        <w:rPr>
          <w:rFonts w:ascii="Arial" w:hAnsi="Arial" w:eastAsia="等线" w:cs="Arial"/>
          <w:b/>
          <w:kern w:val="0"/>
          <w:sz w:val="32"/>
        </w:rPr>
        <w:t>（二）标准主要内容</w:t>
      </w:r>
      <w:bookmarkEnd w:id="11"/>
    </w:p>
    <w:p w14:paraId="11B99D44">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ascii="方正仿宋_GBK" w:hAnsi="方正仿宋_GBK" w:eastAsia="方正仿宋_GBK" w:cs="方正仿宋_GBK"/>
          <w:sz w:val="24"/>
          <w:szCs w:val="24"/>
        </w:rPr>
        <w:t>本规范共分为</w:t>
      </w:r>
      <w:r>
        <w:rPr>
          <w:rFonts w:hint="eastAsia" w:ascii="方正仿宋_GBK" w:hAnsi="方正仿宋_GBK" w:eastAsia="方正仿宋_GBK" w:cs="方正仿宋_GBK"/>
          <w:sz w:val="24"/>
          <w:szCs w:val="24"/>
        </w:rPr>
        <w:t>8</w:t>
      </w:r>
      <w:r>
        <w:rPr>
          <w:rFonts w:ascii="方正仿宋_GBK" w:hAnsi="方正仿宋_GBK" w:eastAsia="方正仿宋_GBK" w:cs="方正仿宋_GBK"/>
          <w:sz w:val="24"/>
          <w:szCs w:val="24"/>
        </w:rPr>
        <w:t>章和</w:t>
      </w:r>
      <w:r>
        <w:rPr>
          <w:rFonts w:hint="eastAsia" w:ascii="方正仿宋_GBK" w:hAnsi="方正仿宋_GBK" w:eastAsia="方正仿宋_GBK" w:cs="方正仿宋_GBK"/>
          <w:sz w:val="24"/>
          <w:szCs w:val="24"/>
        </w:rPr>
        <w:t>相关</w:t>
      </w:r>
      <w:r>
        <w:rPr>
          <w:rFonts w:ascii="方正仿宋_GBK" w:hAnsi="方正仿宋_GBK" w:eastAsia="方正仿宋_GBK" w:cs="方正仿宋_GBK"/>
          <w:sz w:val="24"/>
          <w:szCs w:val="24"/>
        </w:rPr>
        <w:t>附录，系统</w:t>
      </w:r>
      <w:r>
        <w:rPr>
          <w:rFonts w:hint="eastAsia" w:ascii="方正仿宋_GBK" w:hAnsi="方正仿宋_GBK" w:eastAsia="方正仿宋_GBK" w:cs="方正仿宋_GBK"/>
          <w:sz w:val="24"/>
          <w:szCs w:val="24"/>
        </w:rPr>
        <w:t>介绍了低压厂用电系统继电保护整定计算方法</w:t>
      </w:r>
      <w:r>
        <w:rPr>
          <w:rFonts w:ascii="方正仿宋_GBK" w:hAnsi="方正仿宋_GBK" w:eastAsia="方正仿宋_GBK" w:cs="方正仿宋_GBK"/>
          <w:sz w:val="24"/>
          <w:szCs w:val="24"/>
        </w:rPr>
        <w:t>。</w:t>
      </w:r>
      <w:r>
        <w:rPr>
          <w:rFonts w:hint="eastAsia" w:ascii="方正仿宋_GBK" w:hAnsi="方正仿宋_GBK" w:eastAsia="方正仿宋_GBK" w:cs="方正仿宋_GBK"/>
          <w:sz w:val="24"/>
          <w:szCs w:val="24"/>
        </w:rPr>
        <w:t>核心内容包括：</w:t>
      </w:r>
    </w:p>
    <w:p w14:paraId="18D2FB91">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第1-3章：范围、规范性引用文件、术语和定义。</w:t>
      </w:r>
    </w:p>
    <w:p w14:paraId="7109B68D">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第4章：基本规定。明确了本标准的基本原则、通用要求。</w:t>
      </w:r>
    </w:p>
    <w:p w14:paraId="1CAD2700">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第5章：低压配电系统保护整定计算。介绍了</w:t>
      </w:r>
      <w:bookmarkStart w:id="12" w:name="OLE_LINK34"/>
      <w:r>
        <w:rPr>
          <w:rFonts w:hint="eastAsia" w:ascii="方正仿宋_GBK" w:hAnsi="方正仿宋_GBK" w:eastAsia="方正仿宋_GBK" w:cs="方正仿宋_GBK"/>
          <w:sz w:val="24"/>
          <w:szCs w:val="24"/>
        </w:rPr>
        <w:t>低压配电系统</w:t>
      </w:r>
      <w:bookmarkEnd w:id="12"/>
      <w:r>
        <w:rPr>
          <w:rFonts w:hint="eastAsia" w:ascii="方正仿宋_GBK" w:hAnsi="方正仿宋_GBK" w:eastAsia="方正仿宋_GBK" w:cs="方正仿宋_GBK"/>
          <w:sz w:val="24"/>
          <w:szCs w:val="24"/>
        </w:rPr>
        <w:t>相关保护的整定计算方法。</w:t>
      </w:r>
    </w:p>
    <w:p w14:paraId="39BDF481">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第6章：低压电动机保护整定计算。</w:t>
      </w:r>
      <w:bookmarkStart w:id="13" w:name="OLE_LINK36"/>
      <w:r>
        <w:rPr>
          <w:rFonts w:hint="eastAsia" w:ascii="方正仿宋_GBK" w:hAnsi="方正仿宋_GBK" w:eastAsia="方正仿宋_GBK" w:cs="方正仿宋_GBK"/>
          <w:sz w:val="24"/>
          <w:szCs w:val="24"/>
        </w:rPr>
        <w:t>介绍了</w:t>
      </w:r>
      <w:bookmarkEnd w:id="13"/>
      <w:r>
        <w:rPr>
          <w:rFonts w:hint="eastAsia" w:ascii="方正仿宋_GBK" w:hAnsi="方正仿宋_GBK" w:eastAsia="方正仿宋_GBK" w:cs="方正仿宋_GBK"/>
          <w:sz w:val="24"/>
          <w:szCs w:val="24"/>
        </w:rPr>
        <w:t>低压电动机相关保护的整定计算方法。</w:t>
      </w:r>
    </w:p>
    <w:p w14:paraId="4759D9F8">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第7章：备用电源切换</w:t>
      </w:r>
      <w:r>
        <w:rPr>
          <w:rFonts w:ascii="方正仿宋_GBK" w:hAnsi="方正仿宋_GBK" w:eastAsia="方正仿宋_GBK" w:cs="方正仿宋_GBK"/>
          <w:sz w:val="24"/>
          <w:szCs w:val="24"/>
        </w:rPr>
        <w:t>装置</w:t>
      </w:r>
      <w:r>
        <w:rPr>
          <w:rFonts w:hint="eastAsia" w:ascii="方正仿宋_GBK" w:hAnsi="方正仿宋_GBK" w:eastAsia="方正仿宋_GBK" w:cs="方正仿宋_GBK"/>
          <w:sz w:val="24"/>
          <w:szCs w:val="24"/>
        </w:rPr>
        <w:t>整定计算。</w:t>
      </w:r>
      <w:bookmarkStart w:id="14" w:name="OLE_LINK38"/>
      <w:r>
        <w:rPr>
          <w:rFonts w:hint="eastAsia" w:ascii="方正仿宋_GBK" w:hAnsi="方正仿宋_GBK" w:eastAsia="方正仿宋_GBK" w:cs="方正仿宋_GBK"/>
          <w:sz w:val="24"/>
          <w:szCs w:val="24"/>
        </w:rPr>
        <w:t>介绍了</w:t>
      </w:r>
      <w:bookmarkEnd w:id="14"/>
      <w:r>
        <w:rPr>
          <w:rFonts w:hint="eastAsia" w:ascii="方正仿宋_GBK" w:hAnsi="方正仿宋_GBK" w:eastAsia="方正仿宋_GBK" w:cs="方正仿宋_GBK"/>
          <w:sz w:val="24"/>
          <w:szCs w:val="24"/>
        </w:rPr>
        <w:t>备用电源切换</w:t>
      </w:r>
      <w:r>
        <w:rPr>
          <w:rFonts w:ascii="方正仿宋_GBK" w:hAnsi="方正仿宋_GBK" w:eastAsia="方正仿宋_GBK" w:cs="方正仿宋_GBK"/>
          <w:sz w:val="24"/>
          <w:szCs w:val="24"/>
        </w:rPr>
        <w:t>装置</w:t>
      </w:r>
      <w:r>
        <w:rPr>
          <w:rFonts w:hint="eastAsia" w:ascii="方正仿宋_GBK" w:hAnsi="方正仿宋_GBK" w:eastAsia="方正仿宋_GBK" w:cs="方正仿宋_GBK"/>
          <w:sz w:val="24"/>
          <w:szCs w:val="24"/>
        </w:rPr>
        <w:t>相关功能定值计算方法。</w:t>
      </w:r>
    </w:p>
    <w:p w14:paraId="3479A948">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第8章：</w:t>
      </w:r>
      <w:bookmarkStart w:id="15" w:name="OLE_LINK39"/>
      <w:r>
        <w:rPr>
          <w:rFonts w:hint="eastAsia" w:ascii="方正仿宋_GBK" w:hAnsi="方正仿宋_GBK" w:eastAsia="方正仿宋_GBK" w:cs="方正仿宋_GBK"/>
          <w:sz w:val="24"/>
          <w:szCs w:val="24"/>
        </w:rPr>
        <w:t>低压新能源接入系统保护</w:t>
      </w:r>
      <w:bookmarkEnd w:id="15"/>
      <w:r>
        <w:rPr>
          <w:rFonts w:hint="eastAsia" w:ascii="方正仿宋_GBK" w:hAnsi="方正仿宋_GBK" w:eastAsia="方正仿宋_GBK" w:cs="方正仿宋_GBK"/>
          <w:sz w:val="24"/>
          <w:szCs w:val="24"/>
        </w:rPr>
        <w:t>整定原则。介绍了低压新能源接入系统保护整定计算的适用范围和整定原则。</w:t>
      </w:r>
    </w:p>
    <w:p w14:paraId="0A4AC3D9">
      <w:pPr>
        <w:spacing w:before="320" w:after="120" w:line="288" w:lineRule="auto"/>
        <w:jc w:val="left"/>
        <w:rPr>
          <w:rFonts w:ascii="Arial" w:hAnsi="Arial" w:eastAsia="等线" w:cs="Arial"/>
          <w:b/>
          <w:kern w:val="0"/>
          <w:sz w:val="32"/>
        </w:rPr>
      </w:pPr>
      <w:bookmarkStart w:id="16" w:name="heading_7"/>
      <w:r>
        <w:rPr>
          <w:rFonts w:ascii="Arial" w:hAnsi="Arial" w:eastAsia="等线" w:cs="Arial"/>
          <w:b/>
          <w:kern w:val="0"/>
          <w:sz w:val="32"/>
        </w:rPr>
        <w:t>（三）标准主要内容确定依据</w:t>
      </w:r>
      <w:bookmarkEnd w:id="16"/>
    </w:p>
    <w:p w14:paraId="726CD661">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本标准参照技术类标准，主要内容按照GB/T 1.1-2020《标准化工作导则 第1部分：标准化文件的结构和起草规则》的规定起草。</w:t>
      </w:r>
    </w:p>
    <w:p w14:paraId="59CD201B">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 xml:space="preserve">核心内容确定主要依据以下几方面：一是国家相关法律法规要求；二是现有相关标准体系，充分借鉴《继电保护和安全自动装置技术规程》GB/T 14285-2023和《厂用电继电保护整定计算导则》DL/T 1502-2016等标准的先进理念与技术要求；三是行业专家与企业反馈意见，结合工程实际需求优化评价维度与指标，确保标准的科学性与可操作性。 </w:t>
      </w:r>
    </w:p>
    <w:p w14:paraId="4442CAFF">
      <w:pPr>
        <w:spacing w:before="380" w:after="140" w:line="288" w:lineRule="auto"/>
        <w:jc w:val="left"/>
        <w:outlineLvl w:val="0"/>
        <w:rPr>
          <w:rFonts w:ascii="Arial" w:hAnsi="Arial" w:eastAsia="等线" w:cs="Arial"/>
          <w:b/>
          <w:kern w:val="0"/>
          <w:sz w:val="36"/>
        </w:rPr>
      </w:pPr>
      <w:bookmarkStart w:id="17" w:name="heading_8"/>
      <w:r>
        <w:rPr>
          <w:rFonts w:ascii="Arial" w:hAnsi="Arial" w:eastAsia="等线" w:cs="Arial"/>
          <w:b/>
          <w:kern w:val="0"/>
          <w:sz w:val="36"/>
        </w:rPr>
        <w:t>三、试验验证的分析、综述报告，技术经济论证，预期的经济效益、社会效益和生态效益</w:t>
      </w:r>
      <w:bookmarkEnd w:id="17"/>
    </w:p>
    <w:p w14:paraId="7157341E">
      <w:pPr>
        <w:spacing w:before="320" w:after="120" w:line="288" w:lineRule="auto"/>
        <w:jc w:val="left"/>
        <w:rPr>
          <w:rFonts w:ascii="Arial" w:hAnsi="Arial" w:eastAsia="等线" w:cs="Arial"/>
          <w:b/>
          <w:kern w:val="0"/>
          <w:sz w:val="32"/>
        </w:rPr>
      </w:pPr>
      <w:r>
        <w:rPr>
          <w:rFonts w:hint="eastAsia" w:ascii="Arial" w:hAnsi="Arial" w:eastAsia="等线" w:cs="Arial"/>
          <w:b/>
          <w:kern w:val="0"/>
          <w:sz w:val="32"/>
        </w:rPr>
        <w:t>（一）试验验证分析与综述</w:t>
      </w:r>
    </w:p>
    <w:p w14:paraId="397766B3">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编制过程中，编制工作组选取国内不同地域、不同建设规模的发电厂项目开展试点验证，针对低压厂用电系统配电环节、电动机保护环节、备用电源切换环节及低压新能源接入环节的继电保护整定计算工作开展全流程对标验证。通过将本标准的整定计算原则、方法、参数要求与试点项目现场实际整定工作、设备运行工况、故障处置场景深度结合，验证整定计算维度的全面性、公式系数的合理性、定值选取的实操性及不同接地系统、不同新能源接入场景下整定规则的适配性。</w:t>
      </w:r>
    </w:p>
    <w:p w14:paraId="34ABA7FC">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试点验证结果表明：本标准提出的贴合低压厂用电系统运行特性，遵循继电保护可靠性、选择性、灵敏性、速动性的核心整定原则，能够精准契电站低压厂用电系统安全稳定运行的核心需求；各章节整定计算要求覆盖了低压厂用电系统设计、调试、运行全流程关键环节，可有效规范现场整定计算工作，识别并规避传统整定中存在的上下级配合困难、灵敏度不足、定值与设备特性不匹配等问题；整定计算方法科学规范，定量计算与实操注意事项相结合的表述方式，能够为设计、科研、调试、运行等单位提供清晰明确的技术依据。针对试点中发现的部分厂家设备脱扣器保护参数范围差异、低压短路电流场景灵敏度校验等个别问题，编制工作组已对相关整定要求、校验方法及解决方案进行优化完善，进一步提升了标准与现场实际应用的贴合度。</w:t>
      </w:r>
    </w:p>
    <w:p w14:paraId="385848E9">
      <w:pPr>
        <w:spacing w:before="320" w:after="120" w:line="288" w:lineRule="auto"/>
        <w:jc w:val="left"/>
        <w:rPr>
          <w:rFonts w:ascii="Arial" w:hAnsi="Arial" w:eastAsia="等线" w:cs="Arial"/>
          <w:b/>
          <w:kern w:val="0"/>
          <w:sz w:val="32"/>
        </w:rPr>
      </w:pPr>
      <w:r>
        <w:rPr>
          <w:rFonts w:hint="eastAsia" w:ascii="Arial" w:hAnsi="Arial" w:eastAsia="等线" w:cs="Arial"/>
          <w:b/>
          <w:kern w:val="0"/>
          <w:sz w:val="32"/>
        </w:rPr>
        <w:t>（二）技术经济论证</w:t>
      </w:r>
    </w:p>
    <w:p w14:paraId="2DF1EEBC">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技术层面，本标准作为首次发布的低压厂用电系统继电保护整定计算电力行业标准，填补了该领域专项标准的空白，构建了系统全面、逻辑清晰的低压厂用电系统继电保护整定计算体系，明确了配电、电动机、备用电源切换、低压新能源接入等各环节的整定计算方法、参数范围、灵敏度要求及实操规范，能够引导工程设计、设备调试、现场运行单位统一整定计算标准，提升低压厂用电系统继电保护整定的专业性与精准性，推动厂用电系统保护装置实现精准动作、分级配合，保障厂用电系统的安全稳定运行。</w:t>
      </w:r>
    </w:p>
    <w:p w14:paraId="6B92B72C">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经济层面，标准的实施可统一低压厂用电系统继电保护整定计算的技术依据，减少不同单位因整定原则不统一导致的反复核算、定值调整等问题，提高整定计算工作效率，降低设计、调试、运维各环节的技术沟通与整改成本。通过规范整定计算流程，优化保护定值选取，能够有效避免因整定不当引发的保护误动、拒动问题，减少设备故障、系统停电造成的经济损失，降低厂用电系统全寿命周期的运维检修成本，提升电厂整体运行的经济效益。</w:t>
      </w:r>
    </w:p>
    <w:p w14:paraId="4B7B065E">
      <w:pPr>
        <w:spacing w:before="320" w:after="120" w:line="288" w:lineRule="auto"/>
        <w:jc w:val="left"/>
        <w:rPr>
          <w:rFonts w:ascii="Arial" w:hAnsi="Arial" w:eastAsia="等线" w:cs="Arial"/>
          <w:b/>
          <w:kern w:val="0"/>
          <w:sz w:val="32"/>
        </w:rPr>
      </w:pPr>
      <w:bookmarkStart w:id="18" w:name="_Toc13419"/>
      <w:r>
        <w:rPr>
          <w:rFonts w:hint="eastAsia" w:ascii="Arial" w:hAnsi="Arial" w:eastAsia="等线" w:cs="Arial"/>
          <w:b/>
          <w:kern w:val="0"/>
          <w:sz w:val="32"/>
        </w:rPr>
        <w:t>（三）预期</w:t>
      </w:r>
      <w:bookmarkEnd w:id="18"/>
      <w:r>
        <w:rPr>
          <w:rFonts w:hint="eastAsia" w:ascii="Arial" w:hAnsi="Arial" w:eastAsia="等线" w:cs="Arial"/>
          <w:b/>
          <w:kern w:val="0"/>
          <w:sz w:val="32"/>
        </w:rPr>
        <w:t>效益</w:t>
      </w:r>
    </w:p>
    <w:p w14:paraId="53A3A468">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bookmarkStart w:id="19" w:name="_Toc28218"/>
      <w:r>
        <w:rPr>
          <w:rFonts w:hint="eastAsia" w:ascii="方正仿宋_GBK" w:hAnsi="方正仿宋_GBK" w:eastAsia="方正仿宋_GBK" w:cs="方正仿宋_GBK"/>
          <w:sz w:val="24"/>
          <w:szCs w:val="24"/>
        </w:rPr>
        <w:t>1. 社会效益：本标准的实施将统一低压厂用电系统继电保护整定计算的行业技术规范，填补该领域专项标准的空白，推动火、水电厂及新能源配套电站低压厂用电系统整定计算工作的标准化、常态化开展，从技术源头提升厂用电系统继电保护动作的精准性与可靠性，筑牢发电厂设备安全运行和电力系统能源保供的基层防线。</w:t>
      </w:r>
    </w:p>
    <w:p w14:paraId="0482BC70">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 生态效益：本标准将绿色节能理念融入低压厂用电系统继电保护整定全流程，通过精准的保护定值整定与分级配合，有效避免因保护误动、拒动引发的设备故障和系统停电，减少设备非正常停运带来的能源损耗与污染物排放。针对低压新能源接入场景制定专属整定原则，保障光伏、储能等清洁能源在厂用电系统的安全高效接入与消纳，提升清洁能源在厂用电侧的利用比例，推动发电厂能源消费结构优化。</w:t>
      </w:r>
    </w:p>
    <w:p w14:paraId="289185B5">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 经济效益：对发电厂、电力工程建设与调试单位而言，标准的实施可统一整定计算依据，减少因整定原则不统一导致的反复核算、定值调整、设备故障整改等工作，大幅提升设计、调试、运维各环节工作效率，降低技术沟通与工程整改成本；同时，精准的保护整定能有效避免因保护不当引发的设备损坏、系统停电等事故，减少设备维修更换费用和停电造成的生产损失，提升企业运营效益与市场竞争力。</w:t>
      </w:r>
    </w:p>
    <w:bookmarkEnd w:id="19"/>
    <w:p w14:paraId="6D8C0E76">
      <w:pPr>
        <w:spacing w:before="380" w:after="140" w:line="288" w:lineRule="auto"/>
        <w:jc w:val="left"/>
        <w:outlineLvl w:val="0"/>
      </w:pPr>
      <w:bookmarkStart w:id="20" w:name="heading_12"/>
      <w:r>
        <w:rPr>
          <w:rFonts w:ascii="Arial" w:hAnsi="Arial" w:eastAsia="等线" w:cs="Arial"/>
          <w:b/>
          <w:sz w:val="36"/>
        </w:rPr>
        <w:t>四、与国际、国内同类标准技术内容的对比情况</w:t>
      </w:r>
      <w:bookmarkEnd w:id="20"/>
    </w:p>
    <w:p w14:paraId="4CAF21CF">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在国际上，如IEEE、IEC等组织制定了一系列与电力系统继电保护相关的标准，这些标准多侧重于通用的继电保护原理、性能要求和测试方法等方面，缺乏专门针对低压厂用电系统继电保护整定计算的细致规范。在国内，虽然有《继电保护和安全自动装置技术规程》GB/T 14285、《</w:t>
      </w:r>
      <w:bookmarkStart w:id="21" w:name="OLE_LINK40"/>
      <w:r>
        <w:rPr>
          <w:rFonts w:hint="eastAsia" w:ascii="方正仿宋_GBK" w:hAnsi="方正仿宋_GBK" w:eastAsia="方正仿宋_GBK" w:cs="方正仿宋_GBK"/>
          <w:sz w:val="24"/>
          <w:szCs w:val="24"/>
        </w:rPr>
        <w:t>厂用电继电保护整定计算导则</w:t>
      </w:r>
      <w:bookmarkEnd w:id="21"/>
      <w:r>
        <w:rPr>
          <w:rFonts w:hint="eastAsia" w:ascii="方正仿宋_GBK" w:hAnsi="方正仿宋_GBK" w:eastAsia="方正仿宋_GBK" w:cs="方正仿宋_GBK"/>
          <w:sz w:val="24"/>
          <w:szCs w:val="24"/>
        </w:rPr>
        <w:t>》DL/T 1502等标准，但前两者主要面向整个电力系统，对于低压厂用电系统的特殊性考虑不足；后者虽针对厂用电系统，但更多侧重于高压厂用电部分，对低压厂用电系统的继电保护整定计算缺乏深入、全面的指导。</w:t>
      </w:r>
    </w:p>
    <w:p w14:paraId="5FF089C9">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导则作为国内首部专门针对低压厂用电系统继电保护整定计算的技术标准，在继承现有高压系统整定计算原则的基础上，结合低压系统的技术特点，构建了一套完整、可操作的整定计算体系。其专业性、针对性和实用性将显著提升低压厂用电系统的保护可靠性，为设计、运维单位提供权威技术依据。</w:t>
      </w:r>
    </w:p>
    <w:p w14:paraId="3F11E8B9">
      <w:pPr>
        <w:spacing w:before="380" w:after="140" w:line="288" w:lineRule="auto"/>
        <w:jc w:val="left"/>
        <w:outlineLvl w:val="0"/>
        <w:rPr>
          <w:rFonts w:ascii="Arial" w:hAnsi="Arial" w:eastAsia="等线" w:cs="Arial"/>
          <w:b/>
          <w:sz w:val="36"/>
        </w:rPr>
      </w:pPr>
      <w:bookmarkStart w:id="22" w:name="heading_13"/>
      <w:r>
        <w:rPr>
          <w:rFonts w:ascii="Arial" w:hAnsi="Arial" w:eastAsia="等线" w:cs="Arial"/>
          <w:b/>
          <w:sz w:val="36"/>
        </w:rPr>
        <w:t>五、以国际、国内标准为基础的起草情况，以及是否合规引用或者采用相关标准，并说明未采用相关标准的原因</w:t>
      </w:r>
      <w:bookmarkEnd w:id="22"/>
    </w:p>
    <w:p w14:paraId="331B26EC">
      <w:pPr>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本标准在起草过程中，以国内现行电力领域国家标准、行业标准为核心基础，充分衔接低压厂用电系统继电保护整定计算相关技术规范，精准吸收 GB/T 14285-2023《继电保护和安全自动装置技术规程》、DL/T 1502-2016《厂用电继电保护整定计算导则》等核心标准的整定原则、技术要求及校验规范，确保本标准与国内现有电力标准体系高度协调、衔接连贯，符合低压厂用电系统继电保护整定计算的行业技术发展现状与实际应用需求。</w:t>
      </w:r>
    </w:p>
    <w:p w14:paraId="33B0F3AB">
      <w:pPr>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本标准严格合规引用上述相关国内标准，引用方式完全遵循 GB/T 1.1-2020《标准化工作导则 第 1 部分：标准化文件的结构和起草规则》的规定：对注日期的引用文件，仅标注日期对应的版本适用于本标准；对不注日期的引用文件，其最新版本（包括所有的修改单）适用于本标准，保证了引用标准的规范性、有效性和适用性。</w:t>
      </w:r>
    </w:p>
    <w:p w14:paraId="5BA20EF9">
      <w:pPr>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对于国际相关标准，本编制工作组虽开展了全面的研究与分析，但未直接采用，核心原因如下：一是适用场景与技术体系差异显著，国际相关低压配电保护整定标准多基于欧美国家电力系统网架结构、厂用电系统配置及设备技术参数编制，与我国火力、水力发电厂低压厂用电系统的层级设计、设备选型、运行工况存在较大区别，难以直接适配我国电厂的实际应用场景。</w:t>
      </w:r>
    </w:p>
    <w:p w14:paraId="0ABDD2D8">
      <w:pPr>
        <w:spacing w:before="380" w:after="140" w:line="288" w:lineRule="auto"/>
        <w:jc w:val="left"/>
        <w:outlineLvl w:val="0"/>
      </w:pPr>
      <w:bookmarkStart w:id="23" w:name="heading_14"/>
      <w:r>
        <w:rPr>
          <w:rFonts w:ascii="Arial" w:hAnsi="Arial" w:eastAsia="等线" w:cs="Arial"/>
          <w:b/>
          <w:sz w:val="36"/>
        </w:rPr>
        <w:t>六、与现行法律法规、强制性标准及其他标准的关系</w:t>
      </w:r>
      <w:bookmarkEnd w:id="23"/>
    </w:p>
    <w:p w14:paraId="51631B4D">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本导则严格遵循《中华人民共和国安全生产法》《中华人民共和国电力法》等国家法律及《电力安全事故应急处置和调查处理条例》等行政法规要求，并与《低压配电设计规范》（GB 50054）、《继电保护和安全自动装置技术规程》（GB/T 14285）、《厂用电继电保护整定计算导则》（DL/T 1502）等现行标准在技术原则、实施逻辑上保持高度协调。其内容作为现有标准体系在低压厂用电领域的深化和补充，与相关规范共同构成完整的继电保护技术标准框架，确保标准的技术一致性、逻辑连贯性和应用层次性。</w:t>
      </w:r>
    </w:p>
    <w:p w14:paraId="00DF6A13">
      <w:pPr>
        <w:spacing w:before="380" w:after="140" w:line="288" w:lineRule="auto"/>
        <w:jc w:val="left"/>
        <w:outlineLvl w:val="0"/>
      </w:pPr>
      <w:bookmarkStart w:id="24" w:name="heading_15"/>
      <w:r>
        <w:rPr>
          <w:rFonts w:ascii="Arial" w:hAnsi="Arial" w:eastAsia="等线" w:cs="Arial"/>
          <w:b/>
          <w:sz w:val="36"/>
        </w:rPr>
        <w:t>七、重大分歧意见的处理经过和依据</w:t>
      </w:r>
      <w:bookmarkEnd w:id="24"/>
    </w:p>
    <w:p w14:paraId="49539D68">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ascii="方正仿宋_GBK" w:hAnsi="方正仿宋_GBK" w:eastAsia="方正仿宋_GBK" w:cs="方正仿宋_GBK"/>
          <w:sz w:val="24"/>
          <w:szCs w:val="24"/>
        </w:rPr>
        <w:t>在本规范编制过程的各次讨论会中，编制组内部对主要技术原则和框架认识一致。对于部分具体技术指标和验收方法的细节，通过充分讨论、协商，并参考相关标准和工程实例，均已达成共识。无重大分歧意见需要特别说明。</w:t>
      </w:r>
    </w:p>
    <w:p w14:paraId="7798C65A">
      <w:pPr>
        <w:spacing w:before="380" w:after="140" w:line="288" w:lineRule="auto"/>
        <w:jc w:val="left"/>
        <w:outlineLvl w:val="0"/>
      </w:pPr>
      <w:bookmarkStart w:id="25" w:name="heading_16"/>
      <w:r>
        <w:rPr>
          <w:rFonts w:ascii="Arial" w:hAnsi="Arial" w:eastAsia="等线" w:cs="Arial"/>
          <w:b/>
          <w:sz w:val="36"/>
        </w:rPr>
        <w:t>八、涉及专利的有关说明</w:t>
      </w:r>
      <w:bookmarkEnd w:id="25"/>
    </w:p>
    <w:p w14:paraId="1C7F8913">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ascii="方正仿宋_GBK" w:hAnsi="方正仿宋_GBK" w:eastAsia="方正仿宋_GBK" w:cs="方正仿宋_GBK"/>
          <w:sz w:val="24"/>
          <w:szCs w:val="24"/>
        </w:rPr>
        <w:t>经编制组核查，本规范内容不涉及已知的专利技术。</w:t>
      </w:r>
    </w:p>
    <w:p w14:paraId="46F7ABB9">
      <w:pPr>
        <w:spacing w:before="380" w:after="140" w:line="288" w:lineRule="auto"/>
        <w:jc w:val="left"/>
        <w:outlineLvl w:val="0"/>
      </w:pPr>
      <w:bookmarkStart w:id="26" w:name="heading_17"/>
      <w:r>
        <w:rPr>
          <w:rFonts w:ascii="Arial" w:hAnsi="Arial" w:eastAsia="等线" w:cs="Arial"/>
          <w:b/>
          <w:sz w:val="36"/>
        </w:rPr>
        <w:t>九、实施标准的要求，以及组织措施、技术措施、过渡期和实施日期等措施建议</w:t>
      </w:r>
      <w:bookmarkEnd w:id="26"/>
    </w:p>
    <w:p w14:paraId="4B80DEA0">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ascii="方正仿宋_GBK" w:hAnsi="方正仿宋_GBK" w:eastAsia="方正仿宋_GBK" w:cs="方正仿宋_GBK"/>
          <w:sz w:val="24"/>
          <w:szCs w:val="24"/>
        </w:rPr>
        <w:t>建议由中国电力建设企业协会组织标准的宣贯培训，面向建设、设计、施工、监理、调试及运维单位，对关键条款和验收方法进行详细说明</w:t>
      </w:r>
      <w:r>
        <w:rPr>
          <w:rFonts w:hint="eastAsia" w:ascii="方正仿宋_GBK" w:hAnsi="方正仿宋_GBK" w:eastAsia="方正仿宋_GBK" w:cs="方正仿宋_GBK"/>
          <w:sz w:val="24"/>
          <w:szCs w:val="24"/>
        </w:rPr>
        <w:t>，</w:t>
      </w:r>
      <w:r>
        <w:rPr>
          <w:rFonts w:ascii="方正仿宋_GBK" w:hAnsi="方正仿宋_GBK" w:eastAsia="方正仿宋_GBK" w:cs="方正仿宋_GBK"/>
          <w:sz w:val="24"/>
          <w:szCs w:val="24"/>
        </w:rPr>
        <w:t>确保各相关方准确理解和使用本规范。鼓励</w:t>
      </w:r>
      <w:r>
        <w:rPr>
          <w:rFonts w:hint="eastAsia" w:ascii="方正仿宋_GBK" w:hAnsi="方正仿宋_GBK" w:eastAsia="方正仿宋_GBK" w:cs="方正仿宋_GBK"/>
          <w:sz w:val="24"/>
          <w:szCs w:val="24"/>
        </w:rPr>
        <w:t>会员单位</w:t>
      </w:r>
      <w:r>
        <w:rPr>
          <w:rFonts w:ascii="方正仿宋_GBK" w:hAnsi="方正仿宋_GBK" w:eastAsia="方正仿宋_GBK" w:cs="方正仿宋_GBK"/>
          <w:sz w:val="24"/>
          <w:szCs w:val="24"/>
        </w:rPr>
        <w:t>在项目</w:t>
      </w:r>
      <w:r>
        <w:rPr>
          <w:rFonts w:hint="eastAsia" w:ascii="方正仿宋_GBK" w:hAnsi="方正仿宋_GBK" w:eastAsia="方正仿宋_GBK" w:cs="方正仿宋_GBK"/>
          <w:sz w:val="24"/>
          <w:szCs w:val="24"/>
        </w:rPr>
        <w:t>建设</w:t>
      </w:r>
      <w:r>
        <w:rPr>
          <w:rFonts w:ascii="方正仿宋_GBK" w:hAnsi="方正仿宋_GBK" w:eastAsia="方正仿宋_GBK" w:cs="方正仿宋_GBK"/>
          <w:sz w:val="24"/>
          <w:szCs w:val="24"/>
        </w:rPr>
        <w:t>中应用本规范，总结经验，持续优化。建议本标准批准发布后，设置不少于3个月的过渡期，便于各单位熟悉和准备。</w:t>
      </w:r>
    </w:p>
    <w:p w14:paraId="3C9653E5">
      <w:pPr>
        <w:spacing w:before="380" w:after="140" w:line="288" w:lineRule="auto"/>
        <w:jc w:val="left"/>
        <w:outlineLvl w:val="0"/>
      </w:pPr>
      <w:bookmarkStart w:id="27" w:name="heading_18"/>
      <w:r>
        <w:rPr>
          <w:rFonts w:ascii="Arial" w:hAnsi="Arial" w:eastAsia="等线" w:cs="Arial"/>
          <w:b/>
          <w:sz w:val="36"/>
        </w:rPr>
        <w:t>十、其他应当说明的事项</w:t>
      </w:r>
      <w:bookmarkEnd w:id="27"/>
    </w:p>
    <w:p w14:paraId="36CE0BAC">
      <w:pPr>
        <w:autoSpaceDE w:val="0"/>
        <w:autoSpaceDN w:val="0"/>
        <w:adjustRightInd w:val="0"/>
        <w:spacing w:line="360" w:lineRule="auto"/>
        <w:ind w:firstLine="480" w:firstLineChars="200"/>
        <w:rPr>
          <w:rFonts w:hint="eastAsia" w:ascii="方正仿宋_GBK" w:hAnsi="方正仿宋_GBK" w:eastAsia="方正仿宋_GBK" w:cs="方正仿宋_GBK"/>
          <w:sz w:val="24"/>
          <w:szCs w:val="24"/>
        </w:rPr>
      </w:pPr>
      <w:r>
        <w:rPr>
          <w:rFonts w:ascii="方正仿宋_GBK" w:hAnsi="方正仿宋_GBK" w:eastAsia="方正仿宋_GBK" w:cs="方正仿宋_GBK"/>
          <w:sz w:val="24"/>
          <w:szCs w:val="24"/>
        </w:rPr>
        <w:t>本规范是2025年第一批立项的中国电力建设企业协会团体标准。本规范的制定旨在适应</w:t>
      </w:r>
      <w:r>
        <w:rPr>
          <w:rFonts w:hint="eastAsia" w:ascii="方正仿宋_GBK" w:hAnsi="方正仿宋_GBK" w:eastAsia="方正仿宋_GBK" w:cs="方正仿宋_GBK"/>
          <w:sz w:val="24"/>
          <w:szCs w:val="24"/>
        </w:rPr>
        <w:t>新型电力系统</w:t>
      </w:r>
      <w:r>
        <w:rPr>
          <w:rFonts w:ascii="方正仿宋_GBK" w:hAnsi="方正仿宋_GBK" w:eastAsia="方正仿宋_GBK" w:cs="方正仿宋_GBK"/>
          <w:sz w:val="24"/>
          <w:szCs w:val="24"/>
        </w:rPr>
        <w:t>发展的</w:t>
      </w:r>
      <w:r>
        <w:rPr>
          <w:rFonts w:hint="eastAsia" w:ascii="方正仿宋_GBK" w:hAnsi="方正仿宋_GBK" w:eastAsia="方正仿宋_GBK" w:cs="方正仿宋_GBK"/>
          <w:sz w:val="24"/>
          <w:szCs w:val="24"/>
        </w:rPr>
        <w:t>需要</w:t>
      </w:r>
      <w:r>
        <w:rPr>
          <w:rFonts w:ascii="方正仿宋_GBK" w:hAnsi="方正仿宋_GBK" w:eastAsia="方正仿宋_GBK" w:cs="方正仿宋_GBK"/>
          <w:sz w:val="24"/>
          <w:szCs w:val="24"/>
        </w:rPr>
        <w:t>，规范</w:t>
      </w:r>
      <w:r>
        <w:rPr>
          <w:rFonts w:hint="eastAsia" w:ascii="方正仿宋_GBK" w:hAnsi="方正仿宋_GBK" w:eastAsia="方正仿宋_GBK" w:cs="方正仿宋_GBK"/>
          <w:sz w:val="24"/>
          <w:szCs w:val="24"/>
        </w:rPr>
        <w:t>工程建设质量管理</w:t>
      </w:r>
      <w:r>
        <w:rPr>
          <w:rFonts w:ascii="方正仿宋_GBK" w:hAnsi="方正仿宋_GBK" w:eastAsia="方正仿宋_GBK" w:cs="方正仿宋_GBK"/>
          <w:sz w:val="24"/>
          <w:szCs w:val="24"/>
        </w:rPr>
        <w:t>行为，提升工程质量。建议批准发布后，在实践中不断完善。</w:t>
      </w:r>
      <w:bookmarkEnd w:id="0"/>
    </w:p>
    <w:sectPr>
      <w:footerReference r:id="rId3" w:type="default"/>
      <w:pgSz w:w="11906" w:h="16838"/>
      <w:pgMar w:top="1440" w:right="1797" w:bottom="1191"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82016" w:usb3="00000000" w:csb0="00040001" w:csb1="00000000"/>
  </w:font>
  <w:font w:name="KSOFD8A2803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223212"/>
    </w:sdtPr>
    <w:sdtContent>
      <w:p w14:paraId="3E5D82DC">
        <w:pPr>
          <w:pStyle w:val="7"/>
          <w:jc w:val="center"/>
        </w:pPr>
        <w:r>
          <w:fldChar w:fldCharType="begin"/>
        </w:r>
        <w:r>
          <w:instrText xml:space="preserve">PAGE   \* MERGEFORMAT</w:instrText>
        </w:r>
        <w:r>
          <w:fldChar w:fldCharType="separate"/>
        </w:r>
        <w:r>
          <w:rPr>
            <w:lang w:val="zh-CN"/>
          </w:rPr>
          <w:t>4</w:t>
        </w:r>
        <w:r>
          <w:fldChar w:fldCharType="end"/>
        </w:r>
      </w:p>
    </w:sdtContent>
  </w:sdt>
  <w:p w14:paraId="24721966">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trackedChanges"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013"/>
    <w:rsid w:val="00000AE6"/>
    <w:rsid w:val="00020492"/>
    <w:rsid w:val="00023893"/>
    <w:rsid w:val="00024D98"/>
    <w:rsid w:val="00044269"/>
    <w:rsid w:val="0004459D"/>
    <w:rsid w:val="00057BA3"/>
    <w:rsid w:val="0006530F"/>
    <w:rsid w:val="00074955"/>
    <w:rsid w:val="00086901"/>
    <w:rsid w:val="00091D0F"/>
    <w:rsid w:val="00097897"/>
    <w:rsid w:val="00097DAF"/>
    <w:rsid w:val="000C32EC"/>
    <w:rsid w:val="000D324C"/>
    <w:rsid w:val="000E2618"/>
    <w:rsid w:val="000F2142"/>
    <w:rsid w:val="000F7F48"/>
    <w:rsid w:val="00100153"/>
    <w:rsid w:val="00112F64"/>
    <w:rsid w:val="00116337"/>
    <w:rsid w:val="00117281"/>
    <w:rsid w:val="00117D88"/>
    <w:rsid w:val="00121713"/>
    <w:rsid w:val="0012219B"/>
    <w:rsid w:val="0013750A"/>
    <w:rsid w:val="00145F7C"/>
    <w:rsid w:val="00146DDD"/>
    <w:rsid w:val="001668B0"/>
    <w:rsid w:val="00180FE7"/>
    <w:rsid w:val="00185834"/>
    <w:rsid w:val="0018651D"/>
    <w:rsid w:val="00186BB2"/>
    <w:rsid w:val="00186CAA"/>
    <w:rsid w:val="00192D36"/>
    <w:rsid w:val="0019642B"/>
    <w:rsid w:val="00196676"/>
    <w:rsid w:val="001A441C"/>
    <w:rsid w:val="001C2027"/>
    <w:rsid w:val="001C4FA5"/>
    <w:rsid w:val="001D7E5E"/>
    <w:rsid w:val="001E2BFB"/>
    <w:rsid w:val="001E2CBE"/>
    <w:rsid w:val="001F02D0"/>
    <w:rsid w:val="001F1E2B"/>
    <w:rsid w:val="00206485"/>
    <w:rsid w:val="002119A1"/>
    <w:rsid w:val="00213FE0"/>
    <w:rsid w:val="00230819"/>
    <w:rsid w:val="00246FF2"/>
    <w:rsid w:val="0025153B"/>
    <w:rsid w:val="00253EF1"/>
    <w:rsid w:val="00256185"/>
    <w:rsid w:val="002671F5"/>
    <w:rsid w:val="00282B17"/>
    <w:rsid w:val="002937CE"/>
    <w:rsid w:val="002B0FA5"/>
    <w:rsid w:val="002B3A32"/>
    <w:rsid w:val="002D085F"/>
    <w:rsid w:val="002E79B5"/>
    <w:rsid w:val="002F1A14"/>
    <w:rsid w:val="002F4022"/>
    <w:rsid w:val="00305191"/>
    <w:rsid w:val="00325CC6"/>
    <w:rsid w:val="003268B1"/>
    <w:rsid w:val="00334C3F"/>
    <w:rsid w:val="00335438"/>
    <w:rsid w:val="00335454"/>
    <w:rsid w:val="00340265"/>
    <w:rsid w:val="00343ECA"/>
    <w:rsid w:val="00353224"/>
    <w:rsid w:val="0035355A"/>
    <w:rsid w:val="0036010B"/>
    <w:rsid w:val="00363517"/>
    <w:rsid w:val="00372ED4"/>
    <w:rsid w:val="00380384"/>
    <w:rsid w:val="003833B1"/>
    <w:rsid w:val="0039506C"/>
    <w:rsid w:val="003A68D8"/>
    <w:rsid w:val="003B01A5"/>
    <w:rsid w:val="003B089A"/>
    <w:rsid w:val="003B10A1"/>
    <w:rsid w:val="003B789A"/>
    <w:rsid w:val="003C09A1"/>
    <w:rsid w:val="003D1260"/>
    <w:rsid w:val="003E2ED1"/>
    <w:rsid w:val="003E74AF"/>
    <w:rsid w:val="004039A0"/>
    <w:rsid w:val="004056D5"/>
    <w:rsid w:val="004120FD"/>
    <w:rsid w:val="00412F86"/>
    <w:rsid w:val="00415F1B"/>
    <w:rsid w:val="00424AA8"/>
    <w:rsid w:val="00426E72"/>
    <w:rsid w:val="00427977"/>
    <w:rsid w:val="004369ED"/>
    <w:rsid w:val="004410E2"/>
    <w:rsid w:val="004633EB"/>
    <w:rsid w:val="00464C40"/>
    <w:rsid w:val="00467E0D"/>
    <w:rsid w:val="004811DD"/>
    <w:rsid w:val="00490592"/>
    <w:rsid w:val="00492ED8"/>
    <w:rsid w:val="004A0959"/>
    <w:rsid w:val="004A25E0"/>
    <w:rsid w:val="004A4123"/>
    <w:rsid w:val="004A4A42"/>
    <w:rsid w:val="004B3D02"/>
    <w:rsid w:val="004C5D03"/>
    <w:rsid w:val="004D3E5F"/>
    <w:rsid w:val="004F2E76"/>
    <w:rsid w:val="004F3C7E"/>
    <w:rsid w:val="004F55EF"/>
    <w:rsid w:val="0051132F"/>
    <w:rsid w:val="00515DA6"/>
    <w:rsid w:val="005206A0"/>
    <w:rsid w:val="005226AB"/>
    <w:rsid w:val="005228C6"/>
    <w:rsid w:val="00526013"/>
    <w:rsid w:val="0053090A"/>
    <w:rsid w:val="005322FD"/>
    <w:rsid w:val="005421BA"/>
    <w:rsid w:val="00544642"/>
    <w:rsid w:val="005477B7"/>
    <w:rsid w:val="00572504"/>
    <w:rsid w:val="00573DFE"/>
    <w:rsid w:val="00574B87"/>
    <w:rsid w:val="00577168"/>
    <w:rsid w:val="00577280"/>
    <w:rsid w:val="00577ABF"/>
    <w:rsid w:val="00587462"/>
    <w:rsid w:val="00596742"/>
    <w:rsid w:val="005A0F94"/>
    <w:rsid w:val="005B188D"/>
    <w:rsid w:val="005B189E"/>
    <w:rsid w:val="005C2B31"/>
    <w:rsid w:val="005D4DA3"/>
    <w:rsid w:val="005D50A2"/>
    <w:rsid w:val="005E0488"/>
    <w:rsid w:val="005E0CB0"/>
    <w:rsid w:val="005E21D7"/>
    <w:rsid w:val="005E3FF6"/>
    <w:rsid w:val="005F337B"/>
    <w:rsid w:val="00607D03"/>
    <w:rsid w:val="00625DC7"/>
    <w:rsid w:val="006267DC"/>
    <w:rsid w:val="0063564C"/>
    <w:rsid w:val="00644FC0"/>
    <w:rsid w:val="0067347D"/>
    <w:rsid w:val="00676CBE"/>
    <w:rsid w:val="006800B5"/>
    <w:rsid w:val="00681A08"/>
    <w:rsid w:val="00690768"/>
    <w:rsid w:val="006A6DFD"/>
    <w:rsid w:val="006B0404"/>
    <w:rsid w:val="006C09A6"/>
    <w:rsid w:val="006D084F"/>
    <w:rsid w:val="006D28BD"/>
    <w:rsid w:val="006E1121"/>
    <w:rsid w:val="006E1739"/>
    <w:rsid w:val="006E30FD"/>
    <w:rsid w:val="006F25FC"/>
    <w:rsid w:val="00704B0A"/>
    <w:rsid w:val="0070702E"/>
    <w:rsid w:val="00710CA5"/>
    <w:rsid w:val="00716187"/>
    <w:rsid w:val="007164D5"/>
    <w:rsid w:val="00725C7E"/>
    <w:rsid w:val="00730FD7"/>
    <w:rsid w:val="00733A8E"/>
    <w:rsid w:val="00735C7A"/>
    <w:rsid w:val="007659F3"/>
    <w:rsid w:val="00767A36"/>
    <w:rsid w:val="007717BA"/>
    <w:rsid w:val="00777E0A"/>
    <w:rsid w:val="0078094D"/>
    <w:rsid w:val="007873CD"/>
    <w:rsid w:val="007C0CFB"/>
    <w:rsid w:val="007C460A"/>
    <w:rsid w:val="007D4271"/>
    <w:rsid w:val="007D5844"/>
    <w:rsid w:val="007D669B"/>
    <w:rsid w:val="007E38C5"/>
    <w:rsid w:val="007E3ADE"/>
    <w:rsid w:val="008111EB"/>
    <w:rsid w:val="00821E2D"/>
    <w:rsid w:val="008359C8"/>
    <w:rsid w:val="00841F31"/>
    <w:rsid w:val="008509BD"/>
    <w:rsid w:val="008664E9"/>
    <w:rsid w:val="00895E78"/>
    <w:rsid w:val="008A3B54"/>
    <w:rsid w:val="008B0AD3"/>
    <w:rsid w:val="008B5248"/>
    <w:rsid w:val="008C4E35"/>
    <w:rsid w:val="008D0DA7"/>
    <w:rsid w:val="008D237A"/>
    <w:rsid w:val="008D260F"/>
    <w:rsid w:val="008D2D8C"/>
    <w:rsid w:val="008D5AB5"/>
    <w:rsid w:val="008E3C6E"/>
    <w:rsid w:val="008E64EB"/>
    <w:rsid w:val="009057DF"/>
    <w:rsid w:val="00921751"/>
    <w:rsid w:val="00936916"/>
    <w:rsid w:val="0093696F"/>
    <w:rsid w:val="00940AC0"/>
    <w:rsid w:val="00944970"/>
    <w:rsid w:val="00951CB7"/>
    <w:rsid w:val="00952BF6"/>
    <w:rsid w:val="009534DC"/>
    <w:rsid w:val="00953A07"/>
    <w:rsid w:val="00962C69"/>
    <w:rsid w:val="00964007"/>
    <w:rsid w:val="0096619A"/>
    <w:rsid w:val="0097146A"/>
    <w:rsid w:val="00971722"/>
    <w:rsid w:val="0097564D"/>
    <w:rsid w:val="00992D4A"/>
    <w:rsid w:val="00997568"/>
    <w:rsid w:val="009A161F"/>
    <w:rsid w:val="009B0391"/>
    <w:rsid w:val="009B215B"/>
    <w:rsid w:val="009B6821"/>
    <w:rsid w:val="009C43A2"/>
    <w:rsid w:val="009C62CA"/>
    <w:rsid w:val="009E675F"/>
    <w:rsid w:val="00A03EB1"/>
    <w:rsid w:val="00A04EE7"/>
    <w:rsid w:val="00A07390"/>
    <w:rsid w:val="00A144AD"/>
    <w:rsid w:val="00A152D9"/>
    <w:rsid w:val="00A1602B"/>
    <w:rsid w:val="00A232CF"/>
    <w:rsid w:val="00A33A83"/>
    <w:rsid w:val="00A347F9"/>
    <w:rsid w:val="00A41C49"/>
    <w:rsid w:val="00A421B8"/>
    <w:rsid w:val="00A45489"/>
    <w:rsid w:val="00A539B0"/>
    <w:rsid w:val="00A61290"/>
    <w:rsid w:val="00A64474"/>
    <w:rsid w:val="00A76D53"/>
    <w:rsid w:val="00A81822"/>
    <w:rsid w:val="00A8361C"/>
    <w:rsid w:val="00A97674"/>
    <w:rsid w:val="00A97FEB"/>
    <w:rsid w:val="00AA2650"/>
    <w:rsid w:val="00AA64C3"/>
    <w:rsid w:val="00AA701B"/>
    <w:rsid w:val="00AA731F"/>
    <w:rsid w:val="00AB2094"/>
    <w:rsid w:val="00AC0955"/>
    <w:rsid w:val="00AD3436"/>
    <w:rsid w:val="00AF32B4"/>
    <w:rsid w:val="00AF510C"/>
    <w:rsid w:val="00AF674E"/>
    <w:rsid w:val="00AF7CD3"/>
    <w:rsid w:val="00B12300"/>
    <w:rsid w:val="00B15281"/>
    <w:rsid w:val="00B16299"/>
    <w:rsid w:val="00B17614"/>
    <w:rsid w:val="00B23A3F"/>
    <w:rsid w:val="00B247E3"/>
    <w:rsid w:val="00B35BF4"/>
    <w:rsid w:val="00B446CF"/>
    <w:rsid w:val="00B51DC3"/>
    <w:rsid w:val="00B5328F"/>
    <w:rsid w:val="00B53E6F"/>
    <w:rsid w:val="00B63826"/>
    <w:rsid w:val="00B80F96"/>
    <w:rsid w:val="00B82EB3"/>
    <w:rsid w:val="00B93FD7"/>
    <w:rsid w:val="00B96C36"/>
    <w:rsid w:val="00BA08A0"/>
    <w:rsid w:val="00BA1B38"/>
    <w:rsid w:val="00BA613C"/>
    <w:rsid w:val="00BB6B01"/>
    <w:rsid w:val="00BC7AEB"/>
    <w:rsid w:val="00BD2339"/>
    <w:rsid w:val="00BE5336"/>
    <w:rsid w:val="00BF11EA"/>
    <w:rsid w:val="00C30F8A"/>
    <w:rsid w:val="00C34943"/>
    <w:rsid w:val="00C34A5E"/>
    <w:rsid w:val="00C35867"/>
    <w:rsid w:val="00C5146E"/>
    <w:rsid w:val="00C53A4C"/>
    <w:rsid w:val="00C60471"/>
    <w:rsid w:val="00C63DE3"/>
    <w:rsid w:val="00C65155"/>
    <w:rsid w:val="00C672D5"/>
    <w:rsid w:val="00C72C54"/>
    <w:rsid w:val="00C807DE"/>
    <w:rsid w:val="00C81808"/>
    <w:rsid w:val="00C82E20"/>
    <w:rsid w:val="00C83DA7"/>
    <w:rsid w:val="00CA013F"/>
    <w:rsid w:val="00CA5468"/>
    <w:rsid w:val="00CA7310"/>
    <w:rsid w:val="00CB438F"/>
    <w:rsid w:val="00CB78AB"/>
    <w:rsid w:val="00CC2A18"/>
    <w:rsid w:val="00CC42E3"/>
    <w:rsid w:val="00CE406E"/>
    <w:rsid w:val="00CF2A5D"/>
    <w:rsid w:val="00D06519"/>
    <w:rsid w:val="00D17C1B"/>
    <w:rsid w:val="00D27AD2"/>
    <w:rsid w:val="00D30D51"/>
    <w:rsid w:val="00D43018"/>
    <w:rsid w:val="00D47C06"/>
    <w:rsid w:val="00D50305"/>
    <w:rsid w:val="00D5237E"/>
    <w:rsid w:val="00D56487"/>
    <w:rsid w:val="00D7581E"/>
    <w:rsid w:val="00D77EA4"/>
    <w:rsid w:val="00D80E56"/>
    <w:rsid w:val="00D84CAE"/>
    <w:rsid w:val="00D84CD3"/>
    <w:rsid w:val="00D87471"/>
    <w:rsid w:val="00D977D2"/>
    <w:rsid w:val="00DA7E6B"/>
    <w:rsid w:val="00DB1A00"/>
    <w:rsid w:val="00DB2631"/>
    <w:rsid w:val="00DB6148"/>
    <w:rsid w:val="00DC1E57"/>
    <w:rsid w:val="00DC67AE"/>
    <w:rsid w:val="00DE2A1F"/>
    <w:rsid w:val="00DE43D5"/>
    <w:rsid w:val="00DF570A"/>
    <w:rsid w:val="00E01C56"/>
    <w:rsid w:val="00E1670B"/>
    <w:rsid w:val="00E21284"/>
    <w:rsid w:val="00E23347"/>
    <w:rsid w:val="00E2386C"/>
    <w:rsid w:val="00E257E3"/>
    <w:rsid w:val="00E3561B"/>
    <w:rsid w:val="00E52484"/>
    <w:rsid w:val="00E5625B"/>
    <w:rsid w:val="00E61BDF"/>
    <w:rsid w:val="00E73F8C"/>
    <w:rsid w:val="00E80F87"/>
    <w:rsid w:val="00E82D14"/>
    <w:rsid w:val="00E83186"/>
    <w:rsid w:val="00E92357"/>
    <w:rsid w:val="00E934AB"/>
    <w:rsid w:val="00EA6080"/>
    <w:rsid w:val="00EB3272"/>
    <w:rsid w:val="00EB6FDC"/>
    <w:rsid w:val="00EC6A0A"/>
    <w:rsid w:val="00EE2288"/>
    <w:rsid w:val="00EE2417"/>
    <w:rsid w:val="00EE5EE1"/>
    <w:rsid w:val="00F0299F"/>
    <w:rsid w:val="00F21E34"/>
    <w:rsid w:val="00F24B66"/>
    <w:rsid w:val="00F3377C"/>
    <w:rsid w:val="00F340F7"/>
    <w:rsid w:val="00F36AE1"/>
    <w:rsid w:val="00F375B6"/>
    <w:rsid w:val="00F37ACC"/>
    <w:rsid w:val="00F51009"/>
    <w:rsid w:val="00F51879"/>
    <w:rsid w:val="00F53EB8"/>
    <w:rsid w:val="00F549A8"/>
    <w:rsid w:val="00F613CD"/>
    <w:rsid w:val="00F77377"/>
    <w:rsid w:val="00F87512"/>
    <w:rsid w:val="00F915A1"/>
    <w:rsid w:val="00FA5693"/>
    <w:rsid w:val="00FB1BD2"/>
    <w:rsid w:val="00FC20B3"/>
    <w:rsid w:val="00FC21FF"/>
    <w:rsid w:val="00FC2AFC"/>
    <w:rsid w:val="00FC50D7"/>
    <w:rsid w:val="00FD167A"/>
    <w:rsid w:val="00FD3A7D"/>
    <w:rsid w:val="00FD55D8"/>
    <w:rsid w:val="00FD6ADF"/>
    <w:rsid w:val="00FF267B"/>
    <w:rsid w:val="02E206D8"/>
    <w:rsid w:val="03010494"/>
    <w:rsid w:val="04C74740"/>
    <w:rsid w:val="077154AB"/>
    <w:rsid w:val="0EB03F8E"/>
    <w:rsid w:val="14A971A6"/>
    <w:rsid w:val="158D0E46"/>
    <w:rsid w:val="19F67CCD"/>
    <w:rsid w:val="1ADA77D5"/>
    <w:rsid w:val="1C1A5B3B"/>
    <w:rsid w:val="1C7D31DB"/>
    <w:rsid w:val="20F876CC"/>
    <w:rsid w:val="280F031E"/>
    <w:rsid w:val="28893937"/>
    <w:rsid w:val="2C7F728B"/>
    <w:rsid w:val="2CC82C80"/>
    <w:rsid w:val="2D310A0B"/>
    <w:rsid w:val="2E460579"/>
    <w:rsid w:val="2F424350"/>
    <w:rsid w:val="319C528E"/>
    <w:rsid w:val="356C2617"/>
    <w:rsid w:val="3B1654FE"/>
    <w:rsid w:val="3B4D73FA"/>
    <w:rsid w:val="3DEE4511"/>
    <w:rsid w:val="3F6B2091"/>
    <w:rsid w:val="41115E7E"/>
    <w:rsid w:val="439675E4"/>
    <w:rsid w:val="47F86401"/>
    <w:rsid w:val="4A803C6D"/>
    <w:rsid w:val="4D607A39"/>
    <w:rsid w:val="4F1A477E"/>
    <w:rsid w:val="4F6A6B96"/>
    <w:rsid w:val="569024A4"/>
    <w:rsid w:val="571B06CB"/>
    <w:rsid w:val="5B9303FE"/>
    <w:rsid w:val="5F191856"/>
    <w:rsid w:val="60DF60FA"/>
    <w:rsid w:val="61A66D2D"/>
    <w:rsid w:val="635C60A7"/>
    <w:rsid w:val="64B5407E"/>
    <w:rsid w:val="6507080A"/>
    <w:rsid w:val="65546448"/>
    <w:rsid w:val="684F3C7A"/>
    <w:rsid w:val="687F15A9"/>
    <w:rsid w:val="68F62348"/>
    <w:rsid w:val="6A260536"/>
    <w:rsid w:val="6A3767C2"/>
    <w:rsid w:val="6B91360F"/>
    <w:rsid w:val="6DA00AD4"/>
    <w:rsid w:val="6ED75A3E"/>
    <w:rsid w:val="781F28CB"/>
    <w:rsid w:val="793906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0"/>
    <w:qFormat/>
    <w:locked/>
    <w:uiPriority w:val="0"/>
    <w:pPr>
      <w:keepNext/>
      <w:keepLines/>
      <w:spacing w:before="340" w:after="330" w:line="578" w:lineRule="auto"/>
      <w:outlineLvl w:val="0"/>
    </w:pPr>
    <w:rPr>
      <w:b/>
      <w:bCs/>
      <w:kern w:val="44"/>
      <w:sz w:val="44"/>
      <w:szCs w:val="44"/>
    </w:rPr>
  </w:style>
  <w:style w:type="paragraph" w:styleId="2">
    <w:name w:val="heading 2"/>
    <w:basedOn w:val="1"/>
    <w:next w:val="1"/>
    <w:unhideWhenUsed/>
    <w:qFormat/>
    <w:locked/>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link w:val="21"/>
    <w:qFormat/>
    <w:uiPriority w:val="1"/>
    <w:pPr>
      <w:spacing w:before="43"/>
      <w:ind w:left="120"/>
    </w:pPr>
    <w:rPr>
      <w:rFonts w:ascii="宋体" w:hAnsi="宋体" w:cstheme="minorBidi"/>
      <w:sz w:val="32"/>
      <w:szCs w:val="32"/>
    </w:rPr>
  </w:style>
  <w:style w:type="paragraph" w:styleId="6">
    <w:name w:val="Date"/>
    <w:basedOn w:val="1"/>
    <w:next w:val="1"/>
    <w:link w:val="24"/>
    <w:semiHidden/>
    <w:unhideWhenUsed/>
    <w:qFormat/>
    <w:uiPriority w:val="99"/>
    <w:pPr>
      <w:ind w:left="100" w:leftChars="2500"/>
    </w:p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locked/>
    <w:uiPriority w:val="39"/>
    <w:pPr>
      <w:tabs>
        <w:tab w:val="right" w:leader="dot" w:pos="9402"/>
      </w:tabs>
      <w:spacing w:line="240" w:lineRule="atLeast"/>
      <w:jc w:val="center"/>
    </w:pPr>
    <w:rPr>
      <w:rFonts w:ascii="Times New Roman" w:hAnsi="Times New Roman"/>
      <w:szCs w:val="24"/>
    </w:rPr>
  </w:style>
  <w:style w:type="paragraph" w:styleId="10">
    <w:name w:val="toc 2"/>
    <w:basedOn w:val="1"/>
    <w:next w:val="1"/>
    <w:qFormat/>
    <w:locked/>
    <w:uiPriority w:val="39"/>
    <w:pPr>
      <w:spacing w:line="240" w:lineRule="atLeast"/>
      <w:ind w:left="420" w:leftChars="200"/>
    </w:pPr>
    <w:rPr>
      <w:rFonts w:ascii="Times New Roman" w:hAnsi="Times New Roman"/>
      <w:szCs w:val="24"/>
    </w:rPr>
  </w:style>
  <w:style w:type="paragraph" w:styleId="11">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14">
    <w:name w:val="Hyperlink"/>
    <w:qFormat/>
    <w:uiPriority w:val="99"/>
    <w:rPr>
      <w:rFonts w:ascii="Times New Roman" w:hAnsi="Times New Roman" w:eastAsia="宋体"/>
      <w:color w:val="auto"/>
      <w:spacing w:val="0"/>
      <w:w w:val="100"/>
      <w:position w:val="0"/>
      <w:sz w:val="21"/>
      <w:u w:val="none"/>
      <w:vertAlign w:val="baseline"/>
    </w:rPr>
  </w:style>
  <w:style w:type="character" w:customStyle="1" w:styleId="15">
    <w:name w:val="页眉 字符"/>
    <w:basedOn w:val="13"/>
    <w:link w:val="8"/>
    <w:semiHidden/>
    <w:qFormat/>
    <w:locked/>
    <w:uiPriority w:val="99"/>
    <w:rPr>
      <w:rFonts w:cs="Times New Roman"/>
      <w:sz w:val="18"/>
      <w:szCs w:val="18"/>
    </w:rPr>
  </w:style>
  <w:style w:type="character" w:customStyle="1" w:styleId="16">
    <w:name w:val="页脚 字符"/>
    <w:basedOn w:val="13"/>
    <w:link w:val="7"/>
    <w:qFormat/>
    <w:locked/>
    <w:uiPriority w:val="99"/>
    <w:rPr>
      <w:rFonts w:cs="Times New Roman"/>
      <w:sz w:val="18"/>
      <w:szCs w:val="18"/>
    </w:rPr>
  </w:style>
  <w:style w:type="paragraph" w:styleId="17">
    <w:name w:val="List Paragraph"/>
    <w:basedOn w:val="1"/>
    <w:qFormat/>
    <w:uiPriority w:val="99"/>
    <w:pPr>
      <w:ind w:firstLine="420" w:firstLineChars="200"/>
    </w:pPr>
  </w:style>
  <w:style w:type="paragraph" w:customStyle="1" w:styleId="18">
    <w:name w:val="1级标题"/>
    <w:basedOn w:val="3"/>
    <w:link w:val="19"/>
    <w:qFormat/>
    <w:uiPriority w:val="0"/>
    <w:pPr>
      <w:snapToGrid w:val="0"/>
      <w:spacing w:before="0" w:beforeLines="50" w:after="0" w:afterLines="100" w:line="360" w:lineRule="auto"/>
      <w:jc w:val="center"/>
    </w:pPr>
    <w:rPr>
      <w:rFonts w:ascii="黑体" w:hAnsi="黑体" w:eastAsia="黑体"/>
      <w:sz w:val="28"/>
      <w:szCs w:val="28"/>
    </w:rPr>
  </w:style>
  <w:style w:type="character" w:customStyle="1" w:styleId="19">
    <w:name w:val="1级标题 Char"/>
    <w:link w:val="18"/>
    <w:qFormat/>
    <w:uiPriority w:val="0"/>
    <w:rPr>
      <w:rFonts w:ascii="黑体" w:hAnsi="黑体" w:eastAsia="黑体"/>
      <w:b/>
      <w:bCs/>
      <w:kern w:val="44"/>
      <w:sz w:val="28"/>
      <w:szCs w:val="28"/>
    </w:rPr>
  </w:style>
  <w:style w:type="character" w:customStyle="1" w:styleId="20">
    <w:name w:val="标题 1 字符"/>
    <w:basedOn w:val="13"/>
    <w:link w:val="3"/>
    <w:qFormat/>
    <w:uiPriority w:val="0"/>
    <w:rPr>
      <w:b/>
      <w:bCs/>
      <w:kern w:val="44"/>
      <w:sz w:val="44"/>
      <w:szCs w:val="44"/>
    </w:rPr>
  </w:style>
  <w:style w:type="character" w:customStyle="1" w:styleId="21">
    <w:name w:val="正文文本 字符"/>
    <w:basedOn w:val="13"/>
    <w:link w:val="5"/>
    <w:qFormat/>
    <w:uiPriority w:val="1"/>
    <w:rPr>
      <w:rFonts w:ascii="宋体" w:hAnsi="宋体" w:cstheme="minorBidi"/>
      <w:kern w:val="2"/>
      <w:sz w:val="32"/>
      <w:szCs w:val="32"/>
    </w:rPr>
  </w:style>
  <w:style w:type="paragraph" w:customStyle="1" w:styleId="22">
    <w:name w:val="修订1"/>
    <w:hidden/>
    <w:semiHidden/>
    <w:qFormat/>
    <w:uiPriority w:val="99"/>
    <w:rPr>
      <w:rFonts w:ascii="Calibri" w:hAnsi="Calibri" w:eastAsia="宋体" w:cs="Times New Roman"/>
      <w:kern w:val="2"/>
      <w:sz w:val="21"/>
      <w:szCs w:val="22"/>
      <w:lang w:val="en-US" w:eastAsia="zh-CN" w:bidi="ar-SA"/>
    </w:rPr>
  </w:style>
  <w:style w:type="paragraph" w:customStyle="1" w:styleId="23">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4">
    <w:name w:val="日期 字符"/>
    <w:basedOn w:val="13"/>
    <w:link w:val="6"/>
    <w:semiHidden/>
    <w:qFormat/>
    <w:uiPriority w:val="99"/>
    <w:rPr>
      <w:rFonts w:ascii="Calibri" w:hAnsi="Calibr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67495-4DD4-4456-B17E-0D5040A67ECD}">
  <ds:schemaRefs/>
</ds:datastoreItem>
</file>

<file path=docProps/app.xml><?xml version="1.0" encoding="utf-8"?>
<Properties xmlns="http://schemas.openxmlformats.org/officeDocument/2006/extended-properties" xmlns:vt="http://schemas.openxmlformats.org/officeDocument/2006/docPropsVTypes">
  <Template>Normal</Template>
  <Pages>10</Pages>
  <Words>4961</Words>
  <Characters>5131</Characters>
  <Lines>154</Lines>
  <Paragraphs>209</Paragraphs>
  <TotalTime>339</TotalTime>
  <ScaleCrop>false</ScaleCrop>
  <LinksUpToDate>false</LinksUpToDate>
  <CharactersWithSpaces>5162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2026-03-07T02:08:00Z</dcterms:created>
  <dc:creator>os</dc:creator>
  <cp:lastModifiedBy>汪广涛</cp:lastModifiedBy>
  <cp:lastPrinted>2024-03-04T06:17:00Z</cp:lastPrinted>
  <dcterms:modified xsi:type="dcterms:W3CDTF">2026-03-23T00:45:45Z</dcterms:modified>
  <dc:title>火力发电厂热力设备及管道保温防腐施工技术规范</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09190809A0B74045838E3290D4374115_13</vt:lpwstr>
  </property>
  <property fmtid="{D5CDD505-2E9C-101B-9397-08002B2CF9AE}" pid="4" name="KSOTemplateDocerSaveRecord">
    <vt:lpwstr>eyJoZGlkIjoiMjdkNjAwMjc0ZGRhMTE2ODAzODAwNTI2NDI1NzczZmUiLCJ1c2VySWQiOiIxMjEwMTI1MDE1In0=</vt:lpwstr>
  </property>
</Properties>
</file>