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188B9">
      <w:pPr>
        <w:jc w:val="left"/>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rPr>
        <w:t>附件</w:t>
      </w:r>
      <w:r>
        <w:rPr>
          <w:rFonts w:hint="eastAsia" w:ascii="黑体" w:hAnsi="黑体" w:eastAsia="黑体" w:cs="黑体"/>
          <w:sz w:val="32"/>
          <w:szCs w:val="32"/>
          <w:lang w:val="en-US" w:eastAsia="zh-CN"/>
        </w:rPr>
        <w:t>10</w:t>
      </w:r>
    </w:p>
    <w:p w14:paraId="5896C180">
      <w:pPr>
        <w:jc w:val="center"/>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中国电力建设企业协会团体标准</w:t>
      </w:r>
    </w:p>
    <w:p w14:paraId="670A9716">
      <w:pPr>
        <w:jc w:val="center"/>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w:t>
      </w:r>
      <w:r>
        <w:rPr>
          <w:rFonts w:hint="default" w:ascii="Times New Roman" w:hAnsi="Times New Roman" w:eastAsia="方正小标宋_GBK" w:cs="Times New Roman"/>
          <w:sz w:val="36"/>
          <w:szCs w:val="36"/>
          <w:lang w:eastAsia="zh-CN"/>
        </w:rPr>
        <w:t>抽水蓄能电站地下工程蓝牙定位系统技术规范</w:t>
      </w:r>
      <w:r>
        <w:rPr>
          <w:rFonts w:hint="default" w:ascii="Times New Roman" w:hAnsi="Times New Roman" w:eastAsia="方正小标宋_GBK" w:cs="Times New Roman"/>
          <w:sz w:val="36"/>
          <w:szCs w:val="36"/>
        </w:rPr>
        <w:t>》</w:t>
      </w:r>
    </w:p>
    <w:p w14:paraId="2A8A305C">
      <w:pPr>
        <w:jc w:val="center"/>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编制说明</w:t>
      </w:r>
    </w:p>
    <w:p w14:paraId="126DF046">
      <w:pPr>
        <w:numPr>
          <w:ilvl w:val="0"/>
          <w:numId w:val="1"/>
        </w:num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工作简况</w:t>
      </w:r>
    </w:p>
    <w:p w14:paraId="53D5844C">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为贯彻落实《关于印发 2025 年第一批中国电力建设企业协会团体标准制定计划的通知》（中电建协〔2025〕131 号）文件精神，提升抽水蓄能电站工程建设安全风险管控的标准化、数字化、智能化水平，防范化解工程建设重大安全风险，实现安全生产管理与数字化技术深度融合，中国电力建设企业协会统筹组织相关电力企业和行业专家，开展抽水蓄能电站工程安全风险管控体系化、数字化建设相关课题研究工作。</w:t>
      </w:r>
    </w:p>
    <w:p w14:paraId="1460A636">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南网储能公司工程建设管理分公司</w:t>
      </w:r>
      <w:r>
        <w:rPr>
          <w:rFonts w:hint="default" w:ascii="Times New Roman" w:hAnsi="Times New Roman" w:eastAsia="仿宋_GB2312" w:cs="Times New Roman"/>
          <w:sz w:val="32"/>
          <w:szCs w:val="32"/>
          <w:lang w:eastAsia="zh-CN"/>
        </w:rPr>
        <w:t>、水电水利规划设计总院有限公司</w:t>
      </w:r>
      <w:r>
        <w:rPr>
          <w:rFonts w:hint="default" w:ascii="Times New Roman" w:hAnsi="Times New Roman" w:eastAsia="仿宋_GB2312" w:cs="Times New Roman"/>
          <w:sz w:val="32"/>
          <w:szCs w:val="32"/>
        </w:rPr>
        <w:t>主动作为，充分发挥行业平台与引领作用，系统梳理了抽水蓄能电站工程全生命周期安全管理痛点难点，广泛征集并遴选出涵盖地下洞室施工、高边坡开挖、大型起重吊装、机组调试运行等关键领域的优秀安全管控实践案例，总结提炼了作业风险辨识、分级管控、闭环治理的成熟经验，为行业安全风险管控标准化建设奠定了坚实的实践基础。</w:t>
      </w:r>
    </w:p>
    <w:p w14:paraId="385BE92B">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基于前期积累的丰富实践成果，并结合抽水蓄能电站工程建设特点及安全风险管控数字化、智能化发展需求，协会统筹行业优势资源，组织中国水电六局南方公司、中国电建集团中南勘测设计研究院有限公司、中国能源建设集团广东省电力设计研究院等单位共同开展《抽水蓄能电站工程作业风险数据库构建和应用导则》的编制工作。</w:t>
      </w:r>
    </w:p>
    <w:p w14:paraId="3162A538">
      <w:pPr>
        <w:numPr>
          <w:ilvl w:val="255"/>
          <w:numId w:val="0"/>
        </w:num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本标准于2025年</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月向中国电力建设企业协会提出立项申请，并于</w:t>
      </w:r>
      <w:r>
        <w:rPr>
          <w:rFonts w:hint="default"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rPr>
        <w:t>月份进行评审立项；2025年</w:t>
      </w:r>
      <w:r>
        <w:rPr>
          <w:rFonts w:hint="default" w:ascii="Times New Roman" w:hAnsi="Times New Roman"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rPr>
        <w:t>月征集标准编制单位；2025年</w:t>
      </w:r>
      <w:r>
        <w:rPr>
          <w:rFonts w:hint="default"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月召开编制启动会</w:t>
      </w:r>
      <w:r>
        <w:rPr>
          <w:rFonts w:hint="default" w:ascii="Times New Roman" w:hAnsi="Times New Roman" w:eastAsia="仿宋_GB2312" w:cs="Times New Roman"/>
          <w:sz w:val="32"/>
          <w:szCs w:val="32"/>
          <w:highlight w:val="none"/>
          <w:lang w:val="en-US" w:eastAsia="zh-CN"/>
        </w:rPr>
        <w:t>暨</w:t>
      </w:r>
      <w:r>
        <w:rPr>
          <w:rFonts w:hint="default" w:ascii="Times New Roman" w:hAnsi="Times New Roman" w:eastAsia="仿宋_GB2312" w:cs="Times New Roman"/>
          <w:sz w:val="32"/>
          <w:szCs w:val="32"/>
          <w:highlight w:val="none"/>
        </w:rPr>
        <w:t>初稿讨论会，确定标准主要内容及编制节点安排；202</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月召开征求意见稿讨论会，形成征求意见稿及安排下一步工作。</w:t>
      </w:r>
    </w:p>
    <w:p w14:paraId="30691C14">
      <w:pPr>
        <w:numPr>
          <w:ilvl w:val="0"/>
          <w:numId w:val="1"/>
        </w:num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团体标准编制原则、主要内容及其确定依据</w:t>
      </w:r>
    </w:p>
    <w:p w14:paraId="562DCBF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本标准按GB/T 1.1-2020《标准化工作导则 第1部分：标准的结构和编写规则》给出的规则编写。</w:t>
      </w:r>
    </w:p>
    <w:p w14:paraId="7A496CC0">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本文件规定了抽水蓄能电站地下工程蓝牙定位系统的总体要求、系统架构、技术参数与性能要求、系统功能要求、数据与网络安全、安装调试、验收、运行维护等内容。</w:t>
      </w:r>
    </w:p>
    <w:p w14:paraId="08541978">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本文件适用于抽水蓄能电站地下工程蓝牙定位系统的建设、应用和维护。</w:t>
      </w:r>
    </w:p>
    <w:p w14:paraId="4EB1F9A9">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标准框架如下： </w:t>
      </w:r>
    </w:p>
    <w:p w14:paraId="2FEE65AD">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前言</w:t>
      </w:r>
    </w:p>
    <w:p w14:paraId="640A2423">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 范围</w:t>
      </w:r>
    </w:p>
    <w:p w14:paraId="4B325160">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 规范性引用文件</w:t>
      </w:r>
    </w:p>
    <w:p w14:paraId="08E4D9C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 术语和定义</w:t>
      </w:r>
    </w:p>
    <w:p w14:paraId="1FA4DAAA">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 总体要求</w:t>
      </w:r>
    </w:p>
    <w:p w14:paraId="269DA5F6">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系统架构</w:t>
      </w:r>
    </w:p>
    <w:p w14:paraId="44807115">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 xml:space="preserve"> 技术参数与性能要求</w:t>
      </w:r>
    </w:p>
    <w:p w14:paraId="07550F51">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 系统功能要求</w:t>
      </w:r>
    </w:p>
    <w:p w14:paraId="77F95D9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 数据与网络安全</w:t>
      </w:r>
    </w:p>
    <w:p w14:paraId="3B1539C5">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 安装调试</w:t>
      </w:r>
    </w:p>
    <w:p w14:paraId="3B31AC9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 验收</w:t>
      </w:r>
    </w:p>
    <w:p w14:paraId="356C84B8">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 运行维护</w:t>
      </w:r>
    </w:p>
    <w:p w14:paraId="46252429">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录</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A（规范性）典型应用场景示例</w:t>
      </w:r>
    </w:p>
    <w:p w14:paraId="07E947E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录</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B（规范性）系统参数</w:t>
      </w:r>
    </w:p>
    <w:p w14:paraId="5B0DF0E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录</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C（规范性）典型配置方案</w:t>
      </w:r>
    </w:p>
    <w:p w14:paraId="25BFA1DD">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附  录  </w:t>
      </w:r>
      <w:r>
        <w:rPr>
          <w:rFonts w:hint="default" w:ascii="Times New Roman" w:hAnsi="Times New Roman" w:eastAsia="仿宋_GB2312" w:cs="Times New Roman"/>
          <w:sz w:val="32"/>
          <w:szCs w:val="32"/>
          <w:lang w:val="en-US" w:eastAsia="zh-CN"/>
        </w:rPr>
        <w:t>D</w:t>
      </w:r>
      <w:r>
        <w:rPr>
          <w:rFonts w:hint="default" w:ascii="Times New Roman" w:hAnsi="Times New Roman" w:eastAsia="仿宋_GB2312" w:cs="Times New Roman"/>
          <w:sz w:val="32"/>
          <w:szCs w:val="32"/>
        </w:rPr>
        <w:t>（规范性）验收测试</w:t>
      </w:r>
    </w:p>
    <w:p w14:paraId="4FC4981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　录　E（规范性）系统维护</w:t>
      </w:r>
    </w:p>
    <w:p w14:paraId="2E9CB685">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3.试验验证的分析、综述报告，技术经济论证，预期的经济效益、社会效益和生态效益</w:t>
      </w:r>
    </w:p>
    <w:p w14:paraId="3D3C7B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标准在编制过程中，充分借鉴了行业内已实施的抽水蓄能电站及其他地下工程蓝牙定位技术应用示范项目和相关技术成果，并结合典型抽水蓄能电站地下厂房、交通洞、施工支洞、电缆廊道等核心工程场景，开展了多工况下的适用性分析与现场验证。通过综合比对不同地质条件、不同施工阶段的应用案例，本规范所提出的技术参数、系统架构与管理要求具备充分的可行性和实用性，能够有效指导抽水蓄能电站地下工程蓝牙定位系统的规划、建设、应用与全生命周期运维。</w:t>
      </w:r>
    </w:p>
    <w:p w14:paraId="6F3CA42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从技术经济性看，本规范的实施有助于推动抽水蓄能地下工程蓝牙定位系统的标准化、模块化建设，统一设备接口与数据格式，避免各项目重复定制开发与资源浪费，初步估算可降低项目蓝牙定位系统建设成本约 10%—20%，同时大幅缩短系统部署与调试周期。</w:t>
      </w:r>
    </w:p>
    <w:p w14:paraId="14189A9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效益方面，预期可实现以下多方面提升：经济效益上，通过人员、机具、车辆的自动化定位与考勤统计，替代传统人工点名与台账记录，可降低现场管理人力成本；通过精准的区域管控与异常报警，提前防范安全风险，减少安全事故损失；通过应急情况下快速掌握地下人员分布与数量，大幅提升应急救援效率，缩短事故处置与复工时间；通过施工机具全流程定位管理，优化机具调度，提高设备利用率。社会效益上，填补了我国抽水蓄能电站地下工程蓝牙定位技术应用的行业标准空白，统一了系统建设与运维的技术要求，规范了行业应用秩序；推动数字化智能化技术在抽水蓄能工程安全管理领域的深度应用，提升地下工程本质安全水平与精细化管控能力；带动相关技术装备的标准化研发与产业化发展，促进电力建设行业数字化转型与专业人才培养。生态效益上，依托蓝牙定位系统实现非接触式、自动化的现场管控，减少现场人工巡查频次与人员流动，降低施工过程中的能源消耗与碳排放；通过精准的作业区域划分与人员管控，减少施工活动对地下围岩与生态环境的不必要扰动，助力绿色施工与“双碳”目标实现。</w:t>
      </w:r>
    </w:p>
    <w:p w14:paraId="4D12D55F">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4.与国际、国外、国内同类标准技术内容的对比情况，或者与测试的样品、样机的有关数据对比情况</w:t>
      </w:r>
    </w:p>
    <w:p w14:paraId="3BB83F5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目前在北美、英国、北欧和澳大利亚等国家和地区，地下工程（矿山、隧道、水电工程）蓝牙定位技术已实现规模化应用，相关技术标准与数字化管理模式较为成熟。20 世纪末 - 2010 年左右，地下工程人员定位技术处于起步阶段，初步实现了人员出入登记、基本位置追踪等基础功能，主要采用 RFID 等传统定位技术；2010 年后，随着蓝牙低功耗技术的快速发展，蓝牙定位凭借部署便捷、成本适中、抗金属遮挡能力强、续航时间长等优势，逐步成为地下工程人员与机具定位的主流技术之一，欧美发达国家已形成相对完善的产品技术规范与工程应用指南。</w:t>
      </w:r>
    </w:p>
    <w:p w14:paraId="5BA1E6F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当前，我国抽水蓄能电站地下工程蓝牙定位技术已在多个在建和已投运项目中得到应用，但行业内尚未形成统一的技术标准，各项目蓝牙定位系统建设水平参差不齐。存在设备选型不规范、核心技术参数不统一、系统接口不兼容、数据无法互联互通、管理要求不一致等问题，导致系统重复建设、运维成本高、数据价值难以充分发挥，无法有效支撑地下工程安全管控与应急救援的标准化、智能化需求。亟需系统总结行业内先进的技术应用成果与工程实践经验，固化提炼为统一的《抽水蓄能电站地下工程蓝牙定位系统技术规范》，规范行业建设与应用行为，提升抽水蓄能地下工程整体安全管控水平。</w:t>
      </w:r>
    </w:p>
    <w:p w14:paraId="66907B2C">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5.以国际、国内标准为基础的起草情况，以及是否合规引用或者采用相关标准，并说明未采用相关标准的原因</w:t>
      </w:r>
    </w:p>
    <w:p w14:paraId="583CBC60">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本标准主要引用文件：</w:t>
      </w:r>
    </w:p>
    <w:p w14:paraId="00E3306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4208-2017外壳防护等级（IP代码）</w:t>
      </w:r>
    </w:p>
    <w:p w14:paraId="778A0FB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17626.2—2018电磁兼容试验和测量技术静电放电抗扰度试验</w:t>
      </w:r>
    </w:p>
    <w:p w14:paraId="4CF7E4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17626.3—2016电磁兼容试验和测量技术射频电磁场辐射抗扰度试验</w:t>
      </w:r>
    </w:p>
    <w:p w14:paraId="04DA65C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17626.4—2018电磁兼容试验和测量技术电快速瞬变脉冲群抗扰度试验</w:t>
      </w:r>
    </w:p>
    <w:p w14:paraId="27A08EC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17626.5—2019电磁兼容试验和测量技术浪涌（冲击）抗扰度试验</w:t>
      </w:r>
    </w:p>
    <w:p w14:paraId="3F4CDDD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17626.8—2018电磁兼容试验和测量技术工频磁场抗扰度试验</w:t>
      </w:r>
    </w:p>
    <w:p w14:paraId="55A8D5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17626.11—2018电磁兼容试验和测量技术电压暂降、短时中断和电压变化的抗扰度试验</w:t>
      </w:r>
    </w:p>
    <w:p w14:paraId="0C8D0DB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22239 信息安全技术 网络安全等级保护基本要求</w:t>
      </w:r>
    </w:p>
    <w:p w14:paraId="1CB1747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GB31241便携式电子产品用锂离子电池和电池组安全技术规范</w:t>
      </w:r>
    </w:p>
    <w:p w14:paraId="7213A1B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GM/T0056-2018信息安全技术网络安全等级保护实施指南</w:t>
      </w:r>
    </w:p>
    <w:p w14:paraId="76D879B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Bluetooth Specification Version 4.2 蓝牙技术标准4.2</w:t>
      </w:r>
    </w:p>
    <w:p w14:paraId="0D1AC05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Bluetooth Specification Version 5.1 蓝牙技术标准5.1</w:t>
      </w:r>
    </w:p>
    <w:p w14:paraId="516DA8E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Bluetooth Specification Version 6.2 蓝牙技术标准6</w:t>
      </w:r>
      <w:r>
        <w:rPr>
          <w:rFonts w:hint="default" w:ascii="Times New Roman" w:hAnsi="Times New Roman" w:eastAsia="仿宋_GB2312" w:cs="Times New Roman"/>
          <w:sz w:val="32"/>
          <w:szCs w:val="32"/>
          <w:lang w:val="en-US" w:eastAsia="zh-CN"/>
        </w:rPr>
        <w:t>.2</w:t>
      </w:r>
    </w:p>
    <w:p w14:paraId="4FD222C5">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6.与有关法律、行政法规及相关标准的关系</w:t>
      </w:r>
    </w:p>
    <w:p w14:paraId="07DB884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适应抽水蓄能电站工程建设高质量发展需要，规范抽水蓄能电站地下工程蓝牙定位系统的规划、建设、应用与全生命周期运维管理工作，本标准在制定过程中严格贯彻国家有关法律、法规和电力建设行业相关方针、政策要求，充分考虑与现行地下工程安全管理、电力工程数字化、物联网技术应用、数据安全等相关国家标准、行业标准的协调性。</w:t>
      </w:r>
    </w:p>
    <w:p w14:paraId="37D6187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编制目的，本标准认真总结、提炼国内抽水蓄能电站及矿山、轨道交通、常规水电等其他地下工程蓝牙定位技术应用的优秀、成熟案例经验，借鉴同类地下工程人员定位相关技术标准与管理规范。与同类标准相比，本标准更贴合抽水蓄能电站地下工程多洞室、多作业面、环境复杂恶劣（粉尘大、湿度高、爆破振动频繁、金属遮挡多）的建设实际，针对性强且具有较强的可操作性，能够为行业提供统一、规范的技术指引。</w:t>
      </w:r>
    </w:p>
    <w:p w14:paraId="4B8CCCF6">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7.重大分歧意见的处理经过和依据</w:t>
      </w:r>
    </w:p>
    <w:p w14:paraId="611EAAA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无。</w:t>
      </w:r>
    </w:p>
    <w:p w14:paraId="739FDAB2">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8.涉及专利的有关说明</w:t>
      </w:r>
    </w:p>
    <w:p w14:paraId="1EC8F925">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无。</w:t>
      </w:r>
    </w:p>
    <w:p w14:paraId="5695DCFE">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9.实施团体标准的要求，以及组织措施、技术措施、过渡期和实施日期的建议等措施建议</w:t>
      </w:r>
    </w:p>
    <w:p w14:paraId="293D39E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w:t>
      </w:r>
      <w:r>
        <w:rPr>
          <w:rFonts w:hint="default" w:ascii="Times New Roman" w:hAnsi="Times New Roman" w:eastAsia="仿宋_GB2312" w:cs="Times New Roman"/>
          <w:sz w:val="32"/>
          <w:szCs w:val="32"/>
          <w:lang w:val="en-US" w:eastAsia="zh-CN"/>
        </w:rPr>
        <w:t>标准</w:t>
      </w:r>
      <w:r>
        <w:rPr>
          <w:rFonts w:hint="default" w:ascii="Times New Roman" w:hAnsi="Times New Roman" w:eastAsia="仿宋_GB2312" w:cs="Times New Roman"/>
          <w:sz w:val="32"/>
          <w:szCs w:val="32"/>
        </w:rPr>
        <w:t>适用于新建、扩建及改建抽水蓄能电站地下工程（含地下厂房、交通洞、通风洞、施工支洞、电缆廊道、排水廊道等）蓝牙定位系统的规划、设计、建设、验收、运行与维护管理。其他类似地下水电工程、隧道工程的蓝牙定位系统建设可参照执行。</w:t>
      </w:r>
    </w:p>
    <w:p w14:paraId="63B154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正式颁布后，建议中国电力建设企业协会组织电力建设行业各相关单位开展宣贯培训，确保建设单位、设计单位、施工单位、监理单位及运维单位的相关从业人员能够正确领会本标准的核心技术要求与管理规定。协会可在后续电力建设工程安全检查、数字化建设成果评审、行业优秀工程评选等工作中，将本标准的执行情况作为重要参考依据，推动标准的落地实施与推广应用。</w:t>
      </w:r>
    </w:p>
    <w:p w14:paraId="2A28F6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希望本标准发布实施后，各相关单位能严格贯彻执行各项要求。同时，各单位应加强对标准执行过程中反馈意见的收集与整理，及时报送中国电力建设企业协会。待未来抽水蓄能地下工程定位技术、数字化管理模式进一步发展，协会将适时组织对本标准进行修订与完善，持续提升标准的适用性与先进性。</w:t>
      </w:r>
    </w:p>
    <w:p w14:paraId="4E4BDFB4">
      <w:pPr>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10.其他应当说明的事项</w:t>
      </w:r>
      <w:r>
        <w:rPr>
          <w:rFonts w:hint="default" w:ascii="Times New Roman" w:hAnsi="Times New Roman" w:eastAsia="仿宋_GB2312" w:cs="Times New Roman"/>
          <w:sz w:val="32"/>
          <w:szCs w:val="32"/>
        </w:rPr>
        <w:t>（包括标准名称、主要内容、主编单位、参编单位及主要起草人等发生变更或存在无法克服困难需撤销申请情况，标准征求意见情况，报批阶段应补充专家审查会情况。）</w:t>
      </w:r>
    </w:p>
    <w:p w14:paraId="5A8CEBA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40C39BF-F6EB-4270-A85B-A07AFC9F233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embedRegular r:id="rId2" w:fontKey="{7A2755A8-22A4-4A29-86AE-1DA7EC3036F4}"/>
  </w:font>
  <w:font w:name="仿宋_GB2312">
    <w:panose1 w:val="02010609030101010101"/>
    <w:charset w:val="86"/>
    <w:family w:val="modern"/>
    <w:pitch w:val="default"/>
    <w:sig w:usb0="00000001" w:usb1="080E0000" w:usb2="00000000" w:usb3="00000000" w:csb0="00040000" w:csb1="00000000"/>
    <w:embedRegular r:id="rId3" w:fontKey="{86C4960B-5D18-4604-9B8B-F6CF89271316}"/>
  </w:font>
  <w:font w:name="WPSEMBED2">
    <w:panose1 w:val="03000509000000000000"/>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6F5106"/>
    <w:multiLevelType w:val="singleLevel"/>
    <w:tmpl w:val="E26F510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jMTdkYjc2MWFkYWZjMjgzNWU2Y2UwY2E3OWRiODAifQ=="/>
  </w:docVars>
  <w:rsids>
    <w:rsidRoot w:val="4E115480"/>
    <w:rsid w:val="000069D7"/>
    <w:rsid w:val="001A54A8"/>
    <w:rsid w:val="002D2929"/>
    <w:rsid w:val="003B1A5D"/>
    <w:rsid w:val="003E222E"/>
    <w:rsid w:val="003F52FD"/>
    <w:rsid w:val="004B2645"/>
    <w:rsid w:val="00505A9F"/>
    <w:rsid w:val="005468B7"/>
    <w:rsid w:val="0060723C"/>
    <w:rsid w:val="00634B5D"/>
    <w:rsid w:val="006B4844"/>
    <w:rsid w:val="00702EBC"/>
    <w:rsid w:val="00760722"/>
    <w:rsid w:val="008A1279"/>
    <w:rsid w:val="00935788"/>
    <w:rsid w:val="009576EF"/>
    <w:rsid w:val="009650E5"/>
    <w:rsid w:val="00A01A07"/>
    <w:rsid w:val="00AC4623"/>
    <w:rsid w:val="00B07DA8"/>
    <w:rsid w:val="00BB15B4"/>
    <w:rsid w:val="00CA5AD7"/>
    <w:rsid w:val="00CE501A"/>
    <w:rsid w:val="00D4778B"/>
    <w:rsid w:val="00E56993"/>
    <w:rsid w:val="00E67FB7"/>
    <w:rsid w:val="00F54690"/>
    <w:rsid w:val="00F9002A"/>
    <w:rsid w:val="00F918CA"/>
    <w:rsid w:val="00FC3709"/>
    <w:rsid w:val="016025FC"/>
    <w:rsid w:val="01B841E6"/>
    <w:rsid w:val="02766859"/>
    <w:rsid w:val="04142E23"/>
    <w:rsid w:val="07041C7C"/>
    <w:rsid w:val="071F0864"/>
    <w:rsid w:val="08FD6983"/>
    <w:rsid w:val="094E3682"/>
    <w:rsid w:val="0955045F"/>
    <w:rsid w:val="0BC65752"/>
    <w:rsid w:val="0CEE6D0E"/>
    <w:rsid w:val="0D8713A0"/>
    <w:rsid w:val="0E3B4358"/>
    <w:rsid w:val="0F5A3229"/>
    <w:rsid w:val="0FBF0E36"/>
    <w:rsid w:val="0FF26B15"/>
    <w:rsid w:val="0FFF7484"/>
    <w:rsid w:val="120E7E53"/>
    <w:rsid w:val="12260CF8"/>
    <w:rsid w:val="13D80718"/>
    <w:rsid w:val="142D3CA5"/>
    <w:rsid w:val="14D07641"/>
    <w:rsid w:val="14D26F15"/>
    <w:rsid w:val="15075231"/>
    <w:rsid w:val="1573694A"/>
    <w:rsid w:val="15916DD0"/>
    <w:rsid w:val="15993A76"/>
    <w:rsid w:val="16E16D46"/>
    <w:rsid w:val="17575DF8"/>
    <w:rsid w:val="1896773C"/>
    <w:rsid w:val="18B35F28"/>
    <w:rsid w:val="193463F1"/>
    <w:rsid w:val="1A93205A"/>
    <w:rsid w:val="1C163B8C"/>
    <w:rsid w:val="1E256308"/>
    <w:rsid w:val="1EE47F71"/>
    <w:rsid w:val="1FCC231E"/>
    <w:rsid w:val="200C3C23"/>
    <w:rsid w:val="204607B7"/>
    <w:rsid w:val="213571AA"/>
    <w:rsid w:val="2164183D"/>
    <w:rsid w:val="230E380E"/>
    <w:rsid w:val="23654DD1"/>
    <w:rsid w:val="23957A8C"/>
    <w:rsid w:val="23B720F8"/>
    <w:rsid w:val="23C12F77"/>
    <w:rsid w:val="2403362A"/>
    <w:rsid w:val="260B672B"/>
    <w:rsid w:val="26B648E9"/>
    <w:rsid w:val="27D36DD5"/>
    <w:rsid w:val="2835183D"/>
    <w:rsid w:val="28B430AA"/>
    <w:rsid w:val="294D2BB7"/>
    <w:rsid w:val="297A3E18"/>
    <w:rsid w:val="2A3224D8"/>
    <w:rsid w:val="2A41271B"/>
    <w:rsid w:val="2A4D0323"/>
    <w:rsid w:val="2BB86A0D"/>
    <w:rsid w:val="2BC058C2"/>
    <w:rsid w:val="2C0927B9"/>
    <w:rsid w:val="2CE101E6"/>
    <w:rsid w:val="2E156399"/>
    <w:rsid w:val="2EE6563F"/>
    <w:rsid w:val="2FB15D2D"/>
    <w:rsid w:val="30110DE2"/>
    <w:rsid w:val="30F46739"/>
    <w:rsid w:val="3126266B"/>
    <w:rsid w:val="31B9528D"/>
    <w:rsid w:val="31D10829"/>
    <w:rsid w:val="32316565"/>
    <w:rsid w:val="32586854"/>
    <w:rsid w:val="326A47D9"/>
    <w:rsid w:val="326C2300"/>
    <w:rsid w:val="32D63C1D"/>
    <w:rsid w:val="33022C64"/>
    <w:rsid w:val="339A10EE"/>
    <w:rsid w:val="37531CE0"/>
    <w:rsid w:val="37D03331"/>
    <w:rsid w:val="38595180"/>
    <w:rsid w:val="385B709E"/>
    <w:rsid w:val="39160DB7"/>
    <w:rsid w:val="394C69E7"/>
    <w:rsid w:val="3D127F47"/>
    <w:rsid w:val="3DBF3A9D"/>
    <w:rsid w:val="3E171CB9"/>
    <w:rsid w:val="3E965F19"/>
    <w:rsid w:val="3F676329"/>
    <w:rsid w:val="3FA24034"/>
    <w:rsid w:val="3FDB17EE"/>
    <w:rsid w:val="41412BA9"/>
    <w:rsid w:val="41727207"/>
    <w:rsid w:val="433D6BDD"/>
    <w:rsid w:val="43AA0EDA"/>
    <w:rsid w:val="45E958C2"/>
    <w:rsid w:val="46625A9C"/>
    <w:rsid w:val="471E726A"/>
    <w:rsid w:val="48142DC6"/>
    <w:rsid w:val="48CE11C6"/>
    <w:rsid w:val="48F873C3"/>
    <w:rsid w:val="495E03EC"/>
    <w:rsid w:val="4A140E14"/>
    <w:rsid w:val="4A1B043B"/>
    <w:rsid w:val="4A282B58"/>
    <w:rsid w:val="4A83494B"/>
    <w:rsid w:val="4B4340EE"/>
    <w:rsid w:val="4B555BCF"/>
    <w:rsid w:val="4BC66D8F"/>
    <w:rsid w:val="4CDB0356"/>
    <w:rsid w:val="4DB12E65"/>
    <w:rsid w:val="4E115480"/>
    <w:rsid w:val="4E7B76FB"/>
    <w:rsid w:val="4ED25642"/>
    <w:rsid w:val="4F416B96"/>
    <w:rsid w:val="4FEC63D6"/>
    <w:rsid w:val="50A3118B"/>
    <w:rsid w:val="50B769E4"/>
    <w:rsid w:val="50C51101"/>
    <w:rsid w:val="50E61077"/>
    <w:rsid w:val="516A3A56"/>
    <w:rsid w:val="52974D1F"/>
    <w:rsid w:val="52A80CDA"/>
    <w:rsid w:val="535B75CD"/>
    <w:rsid w:val="53F73CC7"/>
    <w:rsid w:val="544B4013"/>
    <w:rsid w:val="544B7BAF"/>
    <w:rsid w:val="55AD6B1D"/>
    <w:rsid w:val="561072C2"/>
    <w:rsid w:val="56A65531"/>
    <w:rsid w:val="56B440F1"/>
    <w:rsid w:val="56D848CE"/>
    <w:rsid w:val="57805D82"/>
    <w:rsid w:val="58044C05"/>
    <w:rsid w:val="58615BB3"/>
    <w:rsid w:val="58E97957"/>
    <w:rsid w:val="58F72073"/>
    <w:rsid w:val="590B3D71"/>
    <w:rsid w:val="5921524A"/>
    <w:rsid w:val="596D2336"/>
    <w:rsid w:val="5A4968FF"/>
    <w:rsid w:val="5AA004E9"/>
    <w:rsid w:val="5B841BB9"/>
    <w:rsid w:val="5E6F08FE"/>
    <w:rsid w:val="5E6F4DA2"/>
    <w:rsid w:val="5E9B16F3"/>
    <w:rsid w:val="5EAB402C"/>
    <w:rsid w:val="5EE543DC"/>
    <w:rsid w:val="5FEB66AA"/>
    <w:rsid w:val="60275934"/>
    <w:rsid w:val="60716BAF"/>
    <w:rsid w:val="60D96503"/>
    <w:rsid w:val="61774699"/>
    <w:rsid w:val="620036D7"/>
    <w:rsid w:val="62C05BCC"/>
    <w:rsid w:val="634467FD"/>
    <w:rsid w:val="63A4104A"/>
    <w:rsid w:val="63AE1EC8"/>
    <w:rsid w:val="63FE2D80"/>
    <w:rsid w:val="64713622"/>
    <w:rsid w:val="64C5396E"/>
    <w:rsid w:val="657E1D96"/>
    <w:rsid w:val="661204ED"/>
    <w:rsid w:val="66F70DFE"/>
    <w:rsid w:val="67087B42"/>
    <w:rsid w:val="67AD0D27"/>
    <w:rsid w:val="67D0240D"/>
    <w:rsid w:val="690F71C7"/>
    <w:rsid w:val="69EC72A7"/>
    <w:rsid w:val="6A113E14"/>
    <w:rsid w:val="6A714E92"/>
    <w:rsid w:val="6AFE4BC5"/>
    <w:rsid w:val="6B297183"/>
    <w:rsid w:val="6C9205D9"/>
    <w:rsid w:val="6D0A4613"/>
    <w:rsid w:val="6D5B09CB"/>
    <w:rsid w:val="6D761CA9"/>
    <w:rsid w:val="6D9E2FAE"/>
    <w:rsid w:val="6E5B49FB"/>
    <w:rsid w:val="6EF56BFD"/>
    <w:rsid w:val="6F1654F2"/>
    <w:rsid w:val="6F6E431D"/>
    <w:rsid w:val="6F8710DE"/>
    <w:rsid w:val="6FBB7E47"/>
    <w:rsid w:val="72DF3E4C"/>
    <w:rsid w:val="75BA46FD"/>
    <w:rsid w:val="779C40BA"/>
    <w:rsid w:val="782A5B6A"/>
    <w:rsid w:val="78A3770E"/>
    <w:rsid w:val="78D87374"/>
    <w:rsid w:val="79101DAE"/>
    <w:rsid w:val="79E41D48"/>
    <w:rsid w:val="7A9750AD"/>
    <w:rsid w:val="7AD85D51"/>
    <w:rsid w:val="7BD5403F"/>
    <w:rsid w:val="7CD673E6"/>
    <w:rsid w:val="7D943A85"/>
    <w:rsid w:val="7DAC5273"/>
    <w:rsid w:val="7EF40C80"/>
    <w:rsid w:val="7FB34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semiHidden/>
    <w:unhideWhenUsed/>
    <w:qFormat/>
    <w:uiPriority w:val="0"/>
    <w:pPr>
      <w:keepNext/>
      <w:keepLines/>
      <w:spacing w:before="120" w:after="120"/>
      <w:outlineLvl w:val="1"/>
    </w:pPr>
    <w:rPr>
      <w:rFonts w:ascii="Arial" w:hAnsi="Arial" w:eastAsia="仿宋"/>
      <w:b/>
      <w:sz w:val="28"/>
    </w:rPr>
  </w:style>
  <w:style w:type="paragraph" w:styleId="4">
    <w:name w:val="heading 3"/>
    <w:basedOn w:val="1"/>
    <w:next w:val="1"/>
    <w:semiHidden/>
    <w:unhideWhenUsed/>
    <w:qFormat/>
    <w:uiPriority w:val="0"/>
    <w:pPr>
      <w:keepNext/>
      <w:keepLines/>
      <w:spacing w:before="260" w:after="260" w:line="413" w:lineRule="auto"/>
      <w:outlineLvl w:val="2"/>
    </w:pPr>
    <w:rPr>
      <w:rFonts w:cs="宋体"/>
      <w:b/>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99"/>
  </w:style>
  <w:style w:type="paragraph" w:styleId="6">
    <w:name w:val="Intense Quote"/>
    <w:next w:val="1"/>
    <w:qFormat/>
    <w:uiPriority w:val="0"/>
    <w:pPr>
      <w:wordWrap w:val="0"/>
      <w:spacing w:before="360" w:after="360"/>
      <w:ind w:left="950" w:right="950"/>
      <w:jc w:val="center"/>
    </w:pPr>
    <w:rPr>
      <w:rFonts w:ascii="宋体" w:hAnsi="宋体" w:eastAsia="Times New Roman" w:cs="Times New Roman"/>
      <w:i/>
      <w:sz w:val="21"/>
      <w:lang w:val="en-US" w:eastAsia="zh-CN" w:bidi="ar-SA"/>
    </w:rPr>
  </w:style>
  <w:style w:type="paragraph" w:styleId="7">
    <w:name w:val="toc 3"/>
    <w:basedOn w:val="1"/>
    <w:next w:val="1"/>
    <w:qFormat/>
    <w:uiPriority w:val="0"/>
    <w:pPr>
      <w:ind w:left="840" w:leftChars="400"/>
    </w:pPr>
  </w:style>
  <w:style w:type="paragraph" w:styleId="8">
    <w:name w:val="footer"/>
    <w:basedOn w:val="1"/>
    <w:link w:val="28"/>
    <w:qFormat/>
    <w:uiPriority w:val="0"/>
    <w:pPr>
      <w:tabs>
        <w:tab w:val="center" w:pos="4153"/>
        <w:tab w:val="right" w:pos="8306"/>
      </w:tabs>
      <w:snapToGrid w:val="0"/>
      <w:jc w:val="left"/>
    </w:pPr>
    <w:rPr>
      <w:sz w:val="18"/>
      <w:szCs w:val="18"/>
    </w:rPr>
  </w:style>
  <w:style w:type="paragraph" w:styleId="9">
    <w:name w:val="header"/>
    <w:basedOn w:val="1"/>
    <w:link w:val="27"/>
    <w:qFormat/>
    <w:uiPriority w:val="0"/>
    <w:pPr>
      <w:tabs>
        <w:tab w:val="center" w:pos="4153"/>
        <w:tab w:val="right" w:pos="8306"/>
      </w:tabs>
      <w:snapToGrid w:val="0"/>
      <w:jc w:val="center"/>
    </w:pPr>
    <w:rPr>
      <w:sz w:val="18"/>
      <w:szCs w:val="18"/>
    </w:rPr>
  </w:style>
  <w:style w:type="paragraph" w:styleId="10">
    <w:name w:val="Title"/>
    <w:basedOn w:val="1"/>
    <w:qFormat/>
    <w:uiPriority w:val="0"/>
    <w:pPr>
      <w:spacing w:before="240" w:after="60"/>
      <w:jc w:val="center"/>
      <w:outlineLvl w:val="0"/>
    </w:pPr>
    <w:rPr>
      <w:rFonts w:ascii="Arial" w:hAnsi="Arial"/>
      <w:b/>
      <w:sz w:val="32"/>
    </w:rPr>
  </w:style>
  <w:style w:type="paragraph" w:customStyle="1" w:styleId="13">
    <w:name w:val="标题1"/>
    <w:basedOn w:val="2"/>
    <w:qFormat/>
    <w:uiPriority w:val="0"/>
    <w:rPr>
      <w:rFonts w:hint="eastAsia" w:ascii="黑体" w:hAnsi="黑体" w:eastAsia="黑体" w:cs="黑体"/>
      <w:kern w:val="2"/>
      <w:sz w:val="32"/>
      <w:szCs w:val="32"/>
    </w:rPr>
  </w:style>
  <w:style w:type="paragraph" w:customStyle="1" w:styleId="14">
    <w:name w:val="2标题"/>
    <w:basedOn w:val="10"/>
    <w:qFormat/>
    <w:uiPriority w:val="0"/>
    <w:pPr>
      <w:keepNext/>
      <w:keepLines/>
      <w:spacing w:after="240" w:line="500" w:lineRule="exact"/>
      <w:outlineLvl w:val="1"/>
    </w:pPr>
    <w:rPr>
      <w:rFonts w:hint="eastAsia" w:ascii="仿宋" w:hAnsi="仿宋" w:eastAsia="仿宋" w:cs="Arial"/>
      <w:bCs/>
      <w:color w:val="FF0000"/>
      <w:kern w:val="0"/>
      <w:szCs w:val="32"/>
    </w:rPr>
  </w:style>
  <w:style w:type="paragraph" w:customStyle="1" w:styleId="15">
    <w:name w:val="3标题"/>
    <w:basedOn w:val="10"/>
    <w:qFormat/>
    <w:uiPriority w:val="0"/>
    <w:pPr>
      <w:adjustRightInd w:val="0"/>
      <w:snapToGrid w:val="0"/>
      <w:spacing w:line="360" w:lineRule="auto"/>
      <w:ind w:firstLine="560" w:firstLineChars="200"/>
      <w:jc w:val="left"/>
      <w:outlineLvl w:val="2"/>
    </w:pPr>
    <w:rPr>
      <w:rFonts w:hint="eastAsia" w:ascii="仿宋" w:hAnsi="仿宋" w:eastAsia="仿宋" w:cs="楷体"/>
      <w:bCs/>
      <w:kern w:val="0"/>
      <w:szCs w:val="32"/>
    </w:rPr>
  </w:style>
  <w:style w:type="paragraph" w:customStyle="1" w:styleId="16">
    <w:name w:val="正文表格表头"/>
    <w:basedOn w:val="1"/>
    <w:qFormat/>
    <w:uiPriority w:val="0"/>
    <w:pPr>
      <w:snapToGrid w:val="0"/>
      <w:jc w:val="center"/>
    </w:pPr>
    <w:rPr>
      <w:rFonts w:hint="eastAsia" w:ascii="仿宋" w:hAnsi="仿宋" w:eastAsia="仿宋" w:cs="仿宋"/>
      <w:b/>
      <w:bCs/>
      <w:color w:val="000000" w:themeColor="text1"/>
      <w:kern w:val="0"/>
      <w:szCs w:val="21"/>
      <w14:textFill>
        <w14:solidFill>
          <w14:schemeClr w14:val="tx1"/>
        </w14:solidFill>
      </w14:textFill>
    </w:rPr>
  </w:style>
  <w:style w:type="paragraph" w:customStyle="1" w:styleId="17">
    <w:name w:val="正文表格"/>
    <w:basedOn w:val="1"/>
    <w:qFormat/>
    <w:uiPriority w:val="0"/>
    <w:pPr>
      <w:snapToGrid w:val="0"/>
      <w:jc w:val="left"/>
    </w:pPr>
    <w:rPr>
      <w:rFonts w:hint="eastAsia" w:ascii="仿宋" w:hAnsi="仿宋" w:eastAsia="仿宋" w:cs="仿宋"/>
      <w:szCs w:val="21"/>
    </w:rPr>
  </w:style>
  <w:style w:type="paragraph" w:customStyle="1" w:styleId="18">
    <w:name w:val="样式1"/>
    <w:basedOn w:val="1"/>
    <w:next w:val="1"/>
    <w:qFormat/>
    <w:uiPriority w:val="0"/>
    <w:pPr>
      <w:keepNext/>
      <w:keepLines/>
      <w:ind w:firstLine="482"/>
      <w:outlineLvl w:val="2"/>
    </w:pPr>
    <w:rPr>
      <w:rFonts w:eastAsia="仿宋"/>
      <w:b/>
      <w:sz w:val="28"/>
    </w:rPr>
  </w:style>
  <w:style w:type="paragraph" w:customStyle="1" w:styleId="19">
    <w:name w:val="三（三）标题"/>
    <w:basedOn w:val="1"/>
    <w:next w:val="1"/>
    <w:qFormat/>
    <w:uiPriority w:val="0"/>
    <w:pPr>
      <w:keepNext/>
      <w:keepLines/>
      <w:ind w:firstLine="482"/>
      <w:outlineLvl w:val="2"/>
    </w:pPr>
    <w:rPr>
      <w:rFonts w:eastAsia="仿宋"/>
      <w:b/>
      <w:sz w:val="28"/>
    </w:rPr>
  </w:style>
  <w:style w:type="paragraph" w:customStyle="1" w:styleId="20">
    <w:name w:val="表格3"/>
    <w:basedOn w:val="1"/>
    <w:qFormat/>
    <w:uiPriority w:val="0"/>
    <w:pPr>
      <w:keepNext/>
      <w:keepLines/>
      <w:snapToGrid w:val="0"/>
      <w:outlineLvl w:val="2"/>
    </w:pPr>
    <w:rPr>
      <w:rFonts w:hint="eastAsia" w:ascii="微软雅黑" w:hAnsi="微软雅黑" w:eastAsia="微软雅黑" w:cs="微软雅黑"/>
      <w:sz w:val="28"/>
      <w:szCs w:val="28"/>
    </w:rPr>
  </w:style>
  <w:style w:type="paragraph" w:customStyle="1" w:styleId="21">
    <w:name w:val="表格1"/>
    <w:basedOn w:val="1"/>
    <w:qFormat/>
    <w:uiPriority w:val="0"/>
    <w:pPr>
      <w:keepNext/>
      <w:keepLines/>
      <w:outlineLvl w:val="2"/>
    </w:pPr>
    <w:rPr>
      <w:rFonts w:hint="eastAsia" w:ascii="黑体" w:hAnsi="黑体" w:eastAsia="黑体" w:cs="黑体"/>
      <w:b/>
      <w:bCs/>
      <w:sz w:val="32"/>
      <w:szCs w:val="32"/>
    </w:rPr>
  </w:style>
  <w:style w:type="paragraph" w:customStyle="1" w:styleId="22">
    <w:name w:val="表格2"/>
    <w:basedOn w:val="1"/>
    <w:qFormat/>
    <w:uiPriority w:val="0"/>
    <w:pPr>
      <w:keepNext/>
      <w:keepLines/>
      <w:outlineLvl w:val="2"/>
    </w:pPr>
    <w:rPr>
      <w:rFonts w:hint="eastAsia" w:ascii="宋体" w:hAnsi="宋体" w:eastAsia="宋体" w:cs="Times New Roman"/>
      <w:b/>
      <w:bCs/>
      <w:sz w:val="32"/>
      <w:szCs w:val="32"/>
    </w:rPr>
  </w:style>
  <w:style w:type="paragraph" w:customStyle="1" w:styleId="23">
    <w:name w:val="表正文"/>
    <w:basedOn w:val="1"/>
    <w:qFormat/>
    <w:uiPriority w:val="0"/>
    <w:pPr>
      <w:snapToGrid w:val="0"/>
      <w:jc w:val="left"/>
    </w:pPr>
    <w:rPr>
      <w:rFonts w:hint="eastAsia" w:ascii="仿宋" w:hAnsi="仿宋" w:eastAsia="宋体" w:cs="仿宋"/>
      <w:sz w:val="24"/>
      <w:szCs w:val="21"/>
    </w:rPr>
  </w:style>
  <w:style w:type="paragraph" w:customStyle="1" w:styleId="24">
    <w:name w:val="1.1.1"/>
    <w:basedOn w:val="7"/>
    <w:qFormat/>
    <w:uiPriority w:val="0"/>
    <w:pPr>
      <w:widowControl/>
      <w:ind w:firstLine="640" w:firstLineChars="200"/>
      <w:jc w:val="left"/>
    </w:pPr>
    <w:rPr>
      <w:rFonts w:hint="eastAsia" w:ascii="仿宋" w:hAnsi="仿宋" w:eastAsia="仿宋" w:cs="仿宋"/>
      <w:color w:val="191919"/>
      <w:kern w:val="0"/>
      <w:sz w:val="32"/>
      <w:szCs w:val="32"/>
      <w:shd w:val="clear" w:color="auto" w:fill="FFFFFF"/>
    </w:rPr>
  </w:style>
  <w:style w:type="paragraph" w:customStyle="1" w:styleId="25">
    <w:name w:val="标题一"/>
    <w:basedOn w:val="1"/>
    <w:qFormat/>
    <w:uiPriority w:val="0"/>
    <w:pPr>
      <w:jc w:val="left"/>
      <w:outlineLvl w:val="0"/>
    </w:pPr>
    <w:rPr>
      <w:rFonts w:ascii="黑体" w:hAnsi="黑体" w:eastAsia="黑体" w:cs="黑体"/>
      <w:sz w:val="32"/>
      <w:szCs w:val="32"/>
    </w:rPr>
  </w:style>
  <w:style w:type="paragraph" w:styleId="26">
    <w:name w:val="List Paragraph"/>
    <w:basedOn w:val="1"/>
    <w:unhideWhenUsed/>
    <w:qFormat/>
    <w:uiPriority w:val="99"/>
    <w:pPr>
      <w:ind w:firstLine="420" w:firstLineChars="200"/>
    </w:pPr>
  </w:style>
  <w:style w:type="character" w:customStyle="1" w:styleId="27">
    <w:name w:val="页眉 字符"/>
    <w:basedOn w:val="12"/>
    <w:link w:val="9"/>
    <w:qFormat/>
    <w:uiPriority w:val="0"/>
    <w:rPr>
      <w:kern w:val="2"/>
      <w:sz w:val="18"/>
      <w:szCs w:val="18"/>
    </w:rPr>
  </w:style>
  <w:style w:type="character" w:customStyle="1" w:styleId="28">
    <w:name w:val="页脚 字符"/>
    <w:basedOn w:val="12"/>
    <w:link w:val="8"/>
    <w:qFormat/>
    <w:uiPriority w:val="0"/>
    <w:rPr>
      <w:kern w:val="2"/>
      <w:sz w:val="18"/>
      <w:szCs w:val="18"/>
    </w:rPr>
  </w:style>
  <w:style w:type="paragraph" w:customStyle="1" w:styleId="29">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3584</Words>
  <Characters>3854</Characters>
  <Lines>110</Lines>
  <Paragraphs>78</Paragraphs>
  <TotalTime>4</TotalTime>
  <ScaleCrop>false</ScaleCrop>
  <LinksUpToDate>false</LinksUpToDate>
  <CharactersWithSpaces>3919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2026-01-08T03:46:00Z</dcterms:created>
  <dc:creator>会员部</dc:creator>
  <cp:lastModifiedBy>汪广涛</cp:lastModifiedBy>
  <dcterms:modified xsi:type="dcterms:W3CDTF">2026-04-27T02:09:22Z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8E710626F78449D1B174D18F3628D80E_13</vt:lpwstr>
  </property>
  <property fmtid="{D5CDD505-2E9C-101B-9397-08002B2CF9AE}" pid="4" name="KSOTemplateDocerSaveRecord">
    <vt:lpwstr>eyJoZGlkIjoiMjdkNjAwMjc0ZGRhMTE2ODAzODAwNTI2NDI1NzczZmUiLCJ1c2VySWQiOiIxMjEwMTI1MDE1In0=</vt:lpwstr>
  </property>
</Properties>
</file>