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7188B9">
      <w:pPr>
        <w:jc w:val="left"/>
        <w:rPr>
          <w:rFonts w:hint="default" w:ascii="黑体" w:hAnsi="黑体" w:eastAsia="黑体" w:cs="黑体"/>
          <w:sz w:val="32"/>
          <w:szCs w:val="32"/>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14</w:t>
      </w:r>
      <w:bookmarkStart w:id="0" w:name="_GoBack"/>
      <w:bookmarkEnd w:id="0"/>
    </w:p>
    <w:p w14:paraId="5896C180">
      <w:pPr>
        <w:jc w:val="center"/>
        <w:rPr>
          <w:rFonts w:hint="eastAsia"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中国电力建设企业协会团体标准</w:t>
      </w:r>
    </w:p>
    <w:p w14:paraId="670A9716">
      <w:pPr>
        <w:jc w:val="center"/>
        <w:rPr>
          <w:rFonts w:hint="eastAsia" w:ascii="方正小标宋_GBK" w:hAnsi="方正小标宋_GBK" w:eastAsia="方正小标宋_GBK" w:cs="方正小标宋_GBK"/>
          <w:sz w:val="36"/>
          <w:szCs w:val="36"/>
          <w:lang w:val="en-US" w:eastAsia="zh-CN"/>
        </w:rPr>
      </w:pPr>
      <w:r>
        <w:rPr>
          <w:rFonts w:hint="eastAsia" w:ascii="宋体" w:hAnsi="宋体" w:eastAsia="宋体" w:cs="宋体"/>
          <w:sz w:val="36"/>
          <w:szCs w:val="36"/>
          <w:lang w:val="en-US" w:eastAsia="zh-CN"/>
        </w:rPr>
        <w:t>《</w:t>
      </w:r>
      <w:r>
        <w:rPr>
          <w:rFonts w:hint="eastAsia" w:ascii="方正小标宋_GBK" w:hAnsi="方正小标宋_GBK" w:eastAsia="方正小标宋_GBK" w:cs="方正小标宋_GBK"/>
          <w:sz w:val="36"/>
          <w:szCs w:val="36"/>
          <w:lang w:val="en-US" w:eastAsia="zh-CN"/>
        </w:rPr>
        <w:t>抽水蓄能电站工程作业风险数据库构建和应用导则》</w:t>
      </w:r>
    </w:p>
    <w:p w14:paraId="2A8A305C">
      <w:pPr>
        <w:jc w:val="center"/>
        <w:rPr>
          <w:rFonts w:hint="eastAsia"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编制说明</w:t>
      </w:r>
    </w:p>
    <w:p w14:paraId="126DF046">
      <w:pPr>
        <w:numPr>
          <w:ilvl w:val="0"/>
          <w:numId w:val="1"/>
        </w:num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工作简况</w:t>
      </w:r>
    </w:p>
    <w:p w14:paraId="2D939D7D">
      <w:pPr>
        <w:numPr>
          <w:ilvl w:val="255"/>
          <w:numId w:val="0"/>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为贯彻落实《关于印发 2025 年第一批中国电力建设企业协会团体标准制定计划的通知》（中电建协〔2025〕131 号）文件精神，提升抽水蓄能电站工程建设安全风险管控的标准化、数字化、智能化水平，防范化解工程建设重大安全风险，实现安全生产管理与数字化技术深度融合，中国电力建设企业协会统筹组织相关电力企业和行业专家，开展抽水蓄能电站工程安全风险管控体系化、数字化建设相关课题研究工作。</w:t>
      </w:r>
    </w:p>
    <w:p w14:paraId="48911DCD">
      <w:pPr>
        <w:numPr>
          <w:ilvl w:val="255"/>
          <w:numId w:val="0"/>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南网储能公司工程建设管理分公司、水电水利规划设计总院有限公司主动作为，充分发挥行业平台与引领作用，系统梳理了抽水蓄能电站工程全生命周期安全管理痛点难点，广泛征集并遴选出涵盖地下洞室施工、高边坡开挖、大型起重吊装、机组调试运行等关键领域的优秀安全管控实践案例，总结提炼了作业风险辨识、分级管控、闭环治理的成熟经验，为行业安全风险管控标准化建设奠定了坚实的实践基础。</w:t>
      </w:r>
    </w:p>
    <w:p w14:paraId="648CD260">
      <w:pPr>
        <w:numPr>
          <w:ilvl w:val="255"/>
          <w:numId w:val="0"/>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基于前期积累的丰富实践成果，并结合抽水蓄能电站工程建设特点及安全风险管控数字化、智能化发展需求，协会统筹行业优势资源，组织中国水电六局南方公司、中国电建集团中南勘测设计研究院有限公司、中国能源建设集团广东省电力设计研究院等单位共同开展《抽水蓄能电站工程作业风险数据库构建和应用导则》的编制工作。</w:t>
      </w:r>
    </w:p>
    <w:p w14:paraId="3162A538">
      <w:pPr>
        <w:numPr>
          <w:ilvl w:val="255"/>
          <w:numId w:val="0"/>
        </w:numPr>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本标准于2025年</w:t>
      </w: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rPr>
        <w:t>月向中国电力建设企业协会提出立项申请，并于</w:t>
      </w:r>
      <w:r>
        <w:rPr>
          <w:rFonts w:hint="eastAsia" w:ascii="仿宋_GB2312" w:hAnsi="仿宋_GB2312" w:eastAsia="仿宋_GB2312" w:cs="仿宋_GB2312"/>
          <w:sz w:val="32"/>
          <w:szCs w:val="32"/>
          <w:highlight w:val="none"/>
          <w:lang w:val="en-US" w:eastAsia="zh-CN"/>
        </w:rPr>
        <w:t>7</w:t>
      </w:r>
      <w:r>
        <w:rPr>
          <w:rFonts w:hint="eastAsia" w:ascii="仿宋_GB2312" w:hAnsi="仿宋_GB2312" w:eastAsia="仿宋_GB2312" w:cs="仿宋_GB2312"/>
          <w:sz w:val="32"/>
          <w:szCs w:val="32"/>
          <w:highlight w:val="none"/>
        </w:rPr>
        <w:t>月份进行评审立项；2025年</w:t>
      </w:r>
      <w:r>
        <w:rPr>
          <w:rFonts w:hint="eastAsia" w:ascii="仿宋_GB2312" w:hAnsi="仿宋_GB2312" w:eastAsia="仿宋_GB2312" w:cs="仿宋_GB2312"/>
          <w:sz w:val="32"/>
          <w:szCs w:val="32"/>
          <w:highlight w:val="none"/>
          <w:lang w:val="en-US" w:eastAsia="zh-CN"/>
        </w:rPr>
        <w:t>8</w:t>
      </w:r>
      <w:r>
        <w:rPr>
          <w:rFonts w:hint="eastAsia" w:ascii="仿宋_GB2312" w:hAnsi="仿宋_GB2312" w:eastAsia="仿宋_GB2312" w:cs="仿宋_GB2312"/>
          <w:sz w:val="32"/>
          <w:szCs w:val="32"/>
          <w:highlight w:val="none"/>
        </w:rPr>
        <w:t>月征集标准编制单位；2025年</w:t>
      </w:r>
      <w:r>
        <w:rPr>
          <w:rFonts w:hint="eastAsia" w:ascii="仿宋_GB2312" w:hAnsi="仿宋_GB2312" w:eastAsia="仿宋_GB2312" w:cs="仿宋_GB2312"/>
          <w:sz w:val="32"/>
          <w:szCs w:val="32"/>
          <w:highlight w:val="none"/>
          <w:lang w:val="en-US" w:eastAsia="zh-CN"/>
        </w:rPr>
        <w:t>9</w:t>
      </w:r>
      <w:r>
        <w:rPr>
          <w:rFonts w:hint="eastAsia" w:ascii="仿宋_GB2312" w:hAnsi="仿宋_GB2312" w:eastAsia="仿宋_GB2312" w:cs="仿宋_GB2312"/>
          <w:sz w:val="32"/>
          <w:szCs w:val="32"/>
          <w:highlight w:val="none"/>
        </w:rPr>
        <w:t>月召开编制启动会</w:t>
      </w:r>
      <w:r>
        <w:rPr>
          <w:rFonts w:hint="eastAsia" w:ascii="仿宋_GB2312" w:hAnsi="仿宋_GB2312" w:eastAsia="仿宋_GB2312" w:cs="仿宋_GB2312"/>
          <w:sz w:val="32"/>
          <w:szCs w:val="32"/>
          <w:highlight w:val="none"/>
          <w:lang w:val="en-US" w:eastAsia="zh-CN"/>
        </w:rPr>
        <w:t>暨</w:t>
      </w:r>
      <w:r>
        <w:rPr>
          <w:rFonts w:hint="eastAsia" w:ascii="仿宋_GB2312" w:hAnsi="仿宋_GB2312" w:eastAsia="仿宋_GB2312" w:cs="仿宋_GB2312"/>
          <w:sz w:val="32"/>
          <w:szCs w:val="32"/>
          <w:highlight w:val="none"/>
        </w:rPr>
        <w:t>初稿讨论会，确定标准主要内容及编制节点安排；202</w:t>
      </w: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rPr>
        <w:t>年</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月召开征求意见稿讨论会，形成征求意见稿及安排下一步工作。</w:t>
      </w:r>
    </w:p>
    <w:p w14:paraId="30691C14">
      <w:pPr>
        <w:numPr>
          <w:ilvl w:val="0"/>
          <w:numId w:val="1"/>
        </w:num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团体标准编制原则、主要内容及其确定依据</w:t>
      </w:r>
    </w:p>
    <w:p w14:paraId="4B66F0B9">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本标准按GB/T 1.1-2020《标准化工作导则 第1部分：标准的结构和编写规则》给出的规则编写。</w:t>
      </w:r>
    </w:p>
    <w:p w14:paraId="1808358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本文件规定了抽水蓄能电站工程作业风险数据库模型设计、作业风险数据库构建流程、作业风险数据库管理系统、作业风险数据库应用等要求。</w:t>
      </w:r>
    </w:p>
    <w:p w14:paraId="21C96D39">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本文件适用于抽水蓄能电站工程作业风险数据库的构建与应用，也可作为常规水电站工程作业风险数据库构建的参考。</w:t>
      </w:r>
    </w:p>
    <w:p w14:paraId="4EB1F9A9">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标准框架如下： </w:t>
      </w:r>
    </w:p>
    <w:p w14:paraId="2FEE65AD">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前言</w:t>
      </w:r>
    </w:p>
    <w:p w14:paraId="640A242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 范围</w:t>
      </w:r>
    </w:p>
    <w:p w14:paraId="4B32516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 规范性引用文件</w:t>
      </w:r>
    </w:p>
    <w:p w14:paraId="08E4D9C2">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 术语和定义</w:t>
      </w:r>
    </w:p>
    <w:p w14:paraId="269DA5F6">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 xml:space="preserve"> 总体要求</w:t>
      </w:r>
    </w:p>
    <w:p w14:paraId="67F19A53">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 作业风险数据库模型设计</w:t>
      </w:r>
    </w:p>
    <w:p w14:paraId="44807115">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 作业风险数据库构建流程</w:t>
      </w:r>
    </w:p>
    <w:p w14:paraId="77F95D92">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 作业风险数据库管理系统</w:t>
      </w:r>
    </w:p>
    <w:p w14:paraId="3165CA1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 xml:space="preserve"> 作业风险数据库应用</w:t>
      </w:r>
    </w:p>
    <w:p w14:paraId="501990D8">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附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录</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A（资料性）作业风险数据库应用示例</w:t>
      </w:r>
    </w:p>
    <w:p w14:paraId="4B4E46B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录</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B（资料性）施工作业风险数据库示例</w:t>
      </w:r>
    </w:p>
    <w:p w14:paraId="1212A35D">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  录  C（资料性）施工安全风险分级管控策略</w:t>
      </w:r>
    </w:p>
    <w:p w14:paraId="2E9CB685">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3.试验验证的分析、综述报告，技术经济论证，预期的经济效益、社会效益和生态效益</w:t>
      </w:r>
    </w:p>
    <w:p w14:paraId="0048BC5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标准在编制过程中，充分借鉴了行业内已实施的抽水蓄能电站安全管控示范项目和作业风险数字化管理相关技术成果，并结合地下厂房施工、高边坡开挖、大型起重吊装、机组调试等典型抽水蓄能电站工程高风险场景进行了适用性分析与验证。通过综合比对现有实践案例，本导则所提出的作业风险数据库模型设计、构建流程、分级管控及数智化应用等技术与管理要求具备可行性和实用性，能够有效指导抽水蓄能电站工程作业风险数据库的规划、构建、管理与全流程应用。</w:t>
      </w:r>
    </w:p>
    <w:p w14:paraId="4A3B0BA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从技术经济性看，导则的实施有助于推动抽水蓄能电站作业风险管控的标准化、体系化、数字化建设，避免各项目重复开展全流程风险辨识与数据库搭建工作，初步估算可降低项目安全风险管控体系建设成本约10%—20%。</w:t>
      </w:r>
    </w:p>
    <w:p w14:paraId="4D47555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在效益方面，预期可实现以下多方面提升：经济效益上，通过作业风险的标准化辨识、分级管控与闭环治理，提升安全管理效率，减少安全事故造成的直接与间接经济损失，降低安全管理人力投入，缩短因安全隐患整改导致的工期延误；社会效益上，填补抽水蓄能行业作业风险数据库建设的标准空白，提升电力建设行业安全风险管控的规范化、智能化水平，推动安全管理模式升级与专业安全管理人才培养；生态效益上，依托风险数据库的数智化应用，强化施工过程中水土保持、生态保护、环水保相关风险的提前辨识与精准管控，减少工程建设对周边生态环境的扰动，促进绿色施工，助力“双碳”目标实现。</w:t>
      </w:r>
    </w:p>
    <w:p w14:paraId="4D12D55F">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4.与国际、国外、国内同类标准技术内容的对比情况，或者与测试的样品、样机的有关数据对比情况</w:t>
      </w:r>
    </w:p>
    <w:p w14:paraId="5B89126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目前在北美、英国、北欧和澳大利亚等抽水蓄能发展较早的国家和地区，工程建设作业风险数字化管控体系已较为成熟，相关标准不仅覆盖了风险辨识与分级管控的核心流程，还普遍实现了风险数据库与项目管理系统的深度融合，数字化、智能化的风险管控模式已广泛应用于工程建设全流程。20 世纪末至2020年前后，国际抽水蓄能电站工程作业风险管控整体处于数字化起步与深化发展阶段。这一时期在风险台账电子化、基础风险辨识工具和隐患排查系统应用的基础上，逐步推广BIM、物联网、在线监测等数字化技术，推动风险评估由定性向定量转变，初步实现了工程建设期与运行期关键风险的信息化、动态化管控，构建起覆盖全生命周期的数字化安全管理雏形。</w:t>
      </w:r>
    </w:p>
    <w:p w14:paraId="36459C2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当前，我国抽水蓄能电站工程建设正处于高速发展期，工程规模大、施工周期长、高风险作业多、施工环境复杂，但行业内尚未形成统一的作业风险数据库建设与应用标准，各基建项目风险辨识维度不统一、管控流程不规范、数据资源无法跨项目共享复用，不同企业、不同项目的作业风险管控水平参差不齐。亟需系统总结各抽水蓄能建设企业作业风险数字化管控的先进实践成果，固化提炼为行业统一的《抽水蓄能电站工程作业风险数据库构建和应用导则》，为全行业作业风险的标准化、数字化、智能化管控提供技术依据。</w:t>
      </w:r>
    </w:p>
    <w:p w14:paraId="66907B2C">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5.以国际、国内标准为基础的起草情况，以及是否合规引用或者采用相关标准，并说明未采用相关标准的原因</w:t>
      </w:r>
    </w:p>
    <w:p w14:paraId="583CBC60">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本标准主要引用文件：</w:t>
      </w:r>
    </w:p>
    <w:p w14:paraId="1CD09D4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GB 6441  生产安全事故分类与编码</w:t>
      </w:r>
    </w:p>
    <w:p w14:paraId="6A64EA7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GB/T 23694  风险管理 术语</w:t>
      </w:r>
    </w:p>
    <w:p w14:paraId="2A1E030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GB/T 27921  风险管理 风险评估技术</w:t>
      </w:r>
    </w:p>
    <w:p w14:paraId="2379468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DL/T 5113  水电水利基本建设工程单元工程质量等级评定标准</w:t>
      </w:r>
    </w:p>
    <w:p w14:paraId="10339D2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DL/T 5274  水电水利工程施工重大危险源辩识及评价导则</w:t>
      </w:r>
    </w:p>
    <w:p w14:paraId="66D1DF5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SL/T 843  水利水电工程危险源辨识与风险评价导则</w:t>
      </w:r>
    </w:p>
    <w:p w14:paraId="31BF26F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T/COSHA 004  危险源辨识、风险评价和控制措施策划指南</w:t>
      </w:r>
    </w:p>
    <w:p w14:paraId="4FD222C5">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6.与有关法律、行政法规及相关标准的关系</w:t>
      </w:r>
    </w:p>
    <w:p w14:paraId="50487BA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了适应抽水蓄能电站工程建设高速发展及安全风险管控升级的需要，规范抽水蓄能电站工程作业风险数据库的构建、管理与应用工作，本导则在制定过程中严格贯彻国家有关安全生产、工程建设的法律、法规和方针、政策要求，充分考虑与水电水利工程安全管理、风险评估、数字化建设等相关标准的协调性。按编制目的，认真总结、提炼国内抽水蓄能电站工程作业风险数字化管控、智慧安全管理的优秀、成熟案例经验，借鉴水电、火电、新能源等其他电力建设行业及地方工程建设风险数据库建设与应用的相关标准和先进经验。</w:t>
      </w:r>
    </w:p>
    <w:p w14:paraId="7580FB1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与同类标准相比，本导则更贴合抽水蓄能电站工程地下洞室多、高风险作业密集、施工环境复杂的行业特点，更符合电力建设行业抽水蓄能工程安全风险管控的实际需求，且具有较强的可操作性和推广性。</w:t>
      </w:r>
    </w:p>
    <w:p w14:paraId="4B8CCCF6">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7.重大分歧意见的处理经过和依据</w:t>
      </w:r>
    </w:p>
    <w:p w14:paraId="611EAAA2">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p w14:paraId="739FDAB2">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8.涉及专利的有关说明</w:t>
      </w:r>
    </w:p>
    <w:p w14:paraId="1EC8F925">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p w14:paraId="5695DCFE">
      <w:pP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9.实施团体标准的要求，以及组织措施、技术措施、过渡期和实施日期的建议等措施建议</w:t>
      </w:r>
    </w:p>
    <w:p w14:paraId="534B7DB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抽水蓄能电站工程作业风险数据库构建和应用导则》正式颁布后，建议中国电力建设企业协会组织电力建设行业各相关单位开展分层分级的宣贯培训，确保安全管理、工程建设、监理咨询等相关从业人员能够正确领会导则中关于作业风险数据库模型设计、构建流程、分级管控及数智化应用的核心要求。同时，将导则要求融入后续电力建设工程安全专项检查、行业安全管控优秀成果评选、标准化示范项目申报等工作中，作为检查、评审的重要依据，切实保障导则的全面推广与有效执行。</w:t>
      </w:r>
    </w:p>
    <w:p w14:paraId="1242219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w:t>
      </w:r>
      <w:r>
        <w:rPr>
          <w:rFonts w:hint="eastAsia" w:ascii="仿宋_GB2312" w:hAnsi="仿宋_GB2312" w:eastAsia="仿宋_GB2312" w:cs="仿宋_GB2312"/>
          <w:sz w:val="32"/>
          <w:szCs w:val="32"/>
          <w:lang w:val="en-US" w:eastAsia="zh-CN"/>
        </w:rPr>
        <w:t>标准</w:t>
      </w:r>
      <w:r>
        <w:rPr>
          <w:rFonts w:hint="eastAsia" w:ascii="仿宋_GB2312" w:hAnsi="仿宋_GB2312" w:eastAsia="仿宋_GB2312" w:cs="仿宋_GB2312"/>
          <w:sz w:val="32"/>
          <w:szCs w:val="32"/>
        </w:rPr>
        <w:t>适用于新建、扩建及改建的抽水蓄能电站工程作业风险数据库的构建、管理与全流程应用，常规水电站工程作业风险数据库的建设可参照执行。希望本导则发布实施后，各业主单位、施工单位、监理单位及科研、咨询单位能严格贯彻执行各项要求。同时，加强对导则执行过程中各类反馈意见和实践问题的收集整理，待今后抽水蓄能电站安全管控技术、数字化管理手段进一步发展完善时，适时对本导则进行修订与更新。</w:t>
      </w:r>
    </w:p>
    <w:p w14:paraId="4E4BDFB4">
      <w:pPr>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10.其他应当说明的事项</w:t>
      </w:r>
      <w:r>
        <w:rPr>
          <w:rFonts w:hint="eastAsia" w:ascii="仿宋_GB2312" w:hAnsi="仿宋_GB2312" w:eastAsia="仿宋_GB2312" w:cs="仿宋_GB2312"/>
          <w:sz w:val="32"/>
          <w:szCs w:val="32"/>
        </w:rPr>
        <w:t>（包括标准名称、主要内容、主编单位、参编单位及主要起草人等发生变更或存在无法克服困难需撤销申请情况，标准征求意见情况，报批阶段应补充专家审查会情况。）</w:t>
      </w:r>
    </w:p>
    <w:p w14:paraId="5ADF76BF">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无。</w:t>
      </w:r>
    </w:p>
    <w:p w14:paraId="073E9916">
      <w:pPr>
        <w:ind w:firstLine="640" w:firstLineChars="200"/>
        <w:rPr>
          <w:rFonts w:hint="eastAsia" w:ascii="仿宋_GB2312" w:hAnsi="仿宋_GB2312" w:eastAsia="仿宋_GB2312" w:cs="仿宋_GB2312"/>
          <w:sz w:val="32"/>
          <w:szCs w:val="32"/>
        </w:rPr>
      </w:pPr>
    </w:p>
    <w:p w14:paraId="2270FB00">
      <w:pPr>
        <w:ind w:firstLine="640" w:firstLineChars="200"/>
        <w:rPr>
          <w:rFonts w:hint="eastAsia" w:ascii="仿宋_GB2312" w:hAnsi="仿宋_GB2312" w:eastAsia="仿宋_GB2312" w:cs="仿宋_GB2312"/>
          <w:sz w:val="32"/>
          <w:szCs w:val="32"/>
        </w:rPr>
      </w:pPr>
    </w:p>
    <w:p w14:paraId="132D4F3F">
      <w:pPr>
        <w:widowControl/>
        <w:jc w:val="center"/>
        <w:rPr>
          <w:rFonts w:hint="eastAsia" w:ascii="宋体" w:hAnsi="宋体" w:eastAsia="宋体" w:cs="宋体"/>
          <w:color w:val="000000"/>
          <w:kern w:val="0"/>
          <w:sz w:val="24"/>
        </w:rPr>
      </w:pPr>
      <w:r>
        <w:rPr>
          <w:rFonts w:ascii="宋体" w:hAnsi="宋体" w:eastAsia="宋体" w:cs="宋体"/>
          <w:kern w:val="0"/>
          <w:sz w:val="24"/>
        </w:rPr>
        <w:t>________________________________</w:t>
      </w:r>
    </w:p>
    <w:p w14:paraId="4BF4C45D">
      <w:pPr>
        <w:ind w:firstLine="640" w:firstLineChars="200"/>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F0F2F5E-90C1-4DED-AAFA-B7A2DE96418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方正小标宋_GBK">
    <w:panose1 w:val="03000509000000000000"/>
    <w:charset w:val="86"/>
    <w:family w:val="script"/>
    <w:pitch w:val="default"/>
    <w:sig w:usb0="00000001" w:usb1="080E0000" w:usb2="00000000" w:usb3="00000000" w:csb0="00040000" w:csb1="00000000"/>
    <w:embedRegular r:id="rId2" w:fontKey="{23CB3B74-9FF1-4E93-9AD5-BDD00EF49AC9}"/>
  </w:font>
  <w:font w:name="仿宋_GB2312">
    <w:panose1 w:val="02010609030101010101"/>
    <w:charset w:val="86"/>
    <w:family w:val="modern"/>
    <w:pitch w:val="default"/>
    <w:sig w:usb0="00000001" w:usb1="080E0000" w:usb2="00000000" w:usb3="00000000" w:csb0="00040000" w:csb1="00000000"/>
    <w:embedRegular r:id="rId3" w:fontKey="{870CC6FB-0F6F-45EE-99D5-4D7705325745}"/>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6F5106"/>
    <w:multiLevelType w:val="singleLevel"/>
    <w:tmpl w:val="E26F5106"/>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NjMTdkYjc2MWFkYWZjMjgzNWU2Y2UwY2E3OWRiODAifQ=="/>
  </w:docVars>
  <w:rsids>
    <w:rsidRoot w:val="4E115480"/>
    <w:rsid w:val="000069D7"/>
    <w:rsid w:val="001A54A8"/>
    <w:rsid w:val="002D2929"/>
    <w:rsid w:val="003B1A5D"/>
    <w:rsid w:val="003E222E"/>
    <w:rsid w:val="003F52FD"/>
    <w:rsid w:val="004B2645"/>
    <w:rsid w:val="00505A9F"/>
    <w:rsid w:val="005468B7"/>
    <w:rsid w:val="0060723C"/>
    <w:rsid w:val="00634B5D"/>
    <w:rsid w:val="006B4844"/>
    <w:rsid w:val="00702EBC"/>
    <w:rsid w:val="00760722"/>
    <w:rsid w:val="008A1279"/>
    <w:rsid w:val="00935788"/>
    <w:rsid w:val="009576EF"/>
    <w:rsid w:val="009650E5"/>
    <w:rsid w:val="00A01A07"/>
    <w:rsid w:val="00AC4623"/>
    <w:rsid w:val="00B07DA8"/>
    <w:rsid w:val="00BB15B4"/>
    <w:rsid w:val="00CA5AD7"/>
    <w:rsid w:val="00CE501A"/>
    <w:rsid w:val="00D4778B"/>
    <w:rsid w:val="00E56993"/>
    <w:rsid w:val="00E67FB7"/>
    <w:rsid w:val="00F54690"/>
    <w:rsid w:val="00F9002A"/>
    <w:rsid w:val="00F918CA"/>
    <w:rsid w:val="00FC3709"/>
    <w:rsid w:val="016025FC"/>
    <w:rsid w:val="01B841E6"/>
    <w:rsid w:val="02766859"/>
    <w:rsid w:val="04142E23"/>
    <w:rsid w:val="07041C7C"/>
    <w:rsid w:val="071F0864"/>
    <w:rsid w:val="08FD6983"/>
    <w:rsid w:val="094E3682"/>
    <w:rsid w:val="0955045F"/>
    <w:rsid w:val="0BC65752"/>
    <w:rsid w:val="0CEE6D0E"/>
    <w:rsid w:val="0D8713A0"/>
    <w:rsid w:val="0F5A3229"/>
    <w:rsid w:val="0FBF0E36"/>
    <w:rsid w:val="0FF26B15"/>
    <w:rsid w:val="0FFF7484"/>
    <w:rsid w:val="120E7E53"/>
    <w:rsid w:val="12260CF8"/>
    <w:rsid w:val="13D80718"/>
    <w:rsid w:val="142D3CA5"/>
    <w:rsid w:val="14D07641"/>
    <w:rsid w:val="14D26F15"/>
    <w:rsid w:val="15075231"/>
    <w:rsid w:val="1573694A"/>
    <w:rsid w:val="15916DD0"/>
    <w:rsid w:val="15993A76"/>
    <w:rsid w:val="17575DF8"/>
    <w:rsid w:val="18B35F28"/>
    <w:rsid w:val="193463F1"/>
    <w:rsid w:val="1C163B8C"/>
    <w:rsid w:val="1E256308"/>
    <w:rsid w:val="1EE47F71"/>
    <w:rsid w:val="1FCC231E"/>
    <w:rsid w:val="200C3C23"/>
    <w:rsid w:val="204607B7"/>
    <w:rsid w:val="213571AA"/>
    <w:rsid w:val="2164183D"/>
    <w:rsid w:val="230E380E"/>
    <w:rsid w:val="23957A8C"/>
    <w:rsid w:val="23B720F8"/>
    <w:rsid w:val="23C12F77"/>
    <w:rsid w:val="2403362A"/>
    <w:rsid w:val="260B672B"/>
    <w:rsid w:val="26B648E9"/>
    <w:rsid w:val="27D36DD5"/>
    <w:rsid w:val="2835183D"/>
    <w:rsid w:val="28B430AA"/>
    <w:rsid w:val="294D2BB7"/>
    <w:rsid w:val="297A3E18"/>
    <w:rsid w:val="2A3224D8"/>
    <w:rsid w:val="2A41271B"/>
    <w:rsid w:val="2A4D0323"/>
    <w:rsid w:val="2BB86A0D"/>
    <w:rsid w:val="2BC058C2"/>
    <w:rsid w:val="2C0927B9"/>
    <w:rsid w:val="2CE101E6"/>
    <w:rsid w:val="2DAB7889"/>
    <w:rsid w:val="2E156399"/>
    <w:rsid w:val="2EE6563F"/>
    <w:rsid w:val="30110DE2"/>
    <w:rsid w:val="30F46739"/>
    <w:rsid w:val="3126266B"/>
    <w:rsid w:val="31B9528D"/>
    <w:rsid w:val="31D10829"/>
    <w:rsid w:val="32316565"/>
    <w:rsid w:val="32586854"/>
    <w:rsid w:val="326A47D9"/>
    <w:rsid w:val="326C2300"/>
    <w:rsid w:val="32D63C1D"/>
    <w:rsid w:val="33022C64"/>
    <w:rsid w:val="338641A8"/>
    <w:rsid w:val="339A10EE"/>
    <w:rsid w:val="37531CE0"/>
    <w:rsid w:val="37D03331"/>
    <w:rsid w:val="38595180"/>
    <w:rsid w:val="385B709E"/>
    <w:rsid w:val="39160DB7"/>
    <w:rsid w:val="394C69E7"/>
    <w:rsid w:val="3AAC7069"/>
    <w:rsid w:val="3D127F47"/>
    <w:rsid w:val="3DBF3A9D"/>
    <w:rsid w:val="3E171CB9"/>
    <w:rsid w:val="3E965F19"/>
    <w:rsid w:val="3F676329"/>
    <w:rsid w:val="3FA24034"/>
    <w:rsid w:val="41412BA9"/>
    <w:rsid w:val="41727207"/>
    <w:rsid w:val="433D6BDD"/>
    <w:rsid w:val="43AA0EDA"/>
    <w:rsid w:val="44580C98"/>
    <w:rsid w:val="45E958C2"/>
    <w:rsid w:val="46625A9C"/>
    <w:rsid w:val="48142DC6"/>
    <w:rsid w:val="48CE11C6"/>
    <w:rsid w:val="48F873C3"/>
    <w:rsid w:val="495E03EC"/>
    <w:rsid w:val="4A140E14"/>
    <w:rsid w:val="4A1B043B"/>
    <w:rsid w:val="4A282B58"/>
    <w:rsid w:val="4A83494B"/>
    <w:rsid w:val="4B4340EE"/>
    <w:rsid w:val="4B555BCF"/>
    <w:rsid w:val="4BC66D8F"/>
    <w:rsid w:val="4CDB0356"/>
    <w:rsid w:val="4DB12E65"/>
    <w:rsid w:val="4E115480"/>
    <w:rsid w:val="4E7B76FB"/>
    <w:rsid w:val="4ED25642"/>
    <w:rsid w:val="4F416B96"/>
    <w:rsid w:val="4FEC63D6"/>
    <w:rsid w:val="50A3118B"/>
    <w:rsid w:val="50B769E4"/>
    <w:rsid w:val="50C51101"/>
    <w:rsid w:val="50E61077"/>
    <w:rsid w:val="516A3A56"/>
    <w:rsid w:val="52974D1F"/>
    <w:rsid w:val="52A80CDA"/>
    <w:rsid w:val="535B75CD"/>
    <w:rsid w:val="53F73CC7"/>
    <w:rsid w:val="544B4013"/>
    <w:rsid w:val="544B7BAF"/>
    <w:rsid w:val="55AD6B1D"/>
    <w:rsid w:val="561072C2"/>
    <w:rsid w:val="56A65531"/>
    <w:rsid w:val="56B440F1"/>
    <w:rsid w:val="56D848CE"/>
    <w:rsid w:val="57805D82"/>
    <w:rsid w:val="58044C05"/>
    <w:rsid w:val="58615BB3"/>
    <w:rsid w:val="58E97957"/>
    <w:rsid w:val="58F72073"/>
    <w:rsid w:val="590B3D71"/>
    <w:rsid w:val="5921524A"/>
    <w:rsid w:val="596D2336"/>
    <w:rsid w:val="5A4968FF"/>
    <w:rsid w:val="5AA004E9"/>
    <w:rsid w:val="5B841BB9"/>
    <w:rsid w:val="5C974203"/>
    <w:rsid w:val="5E6F08FE"/>
    <w:rsid w:val="5E6F4DA2"/>
    <w:rsid w:val="5E9B16F3"/>
    <w:rsid w:val="5EAB402C"/>
    <w:rsid w:val="5EE543DC"/>
    <w:rsid w:val="5FEB66AA"/>
    <w:rsid w:val="60275934"/>
    <w:rsid w:val="60716BAF"/>
    <w:rsid w:val="60D96503"/>
    <w:rsid w:val="61774699"/>
    <w:rsid w:val="620036D7"/>
    <w:rsid w:val="62C05BCC"/>
    <w:rsid w:val="634467FD"/>
    <w:rsid w:val="63A4104A"/>
    <w:rsid w:val="63AE1EC8"/>
    <w:rsid w:val="63FE2D80"/>
    <w:rsid w:val="64713622"/>
    <w:rsid w:val="64C5396E"/>
    <w:rsid w:val="657E1D96"/>
    <w:rsid w:val="661204ED"/>
    <w:rsid w:val="66F70DFE"/>
    <w:rsid w:val="67087B42"/>
    <w:rsid w:val="67AD0D27"/>
    <w:rsid w:val="67D0240D"/>
    <w:rsid w:val="690F71C7"/>
    <w:rsid w:val="69EC72A7"/>
    <w:rsid w:val="6A113E14"/>
    <w:rsid w:val="6A714E92"/>
    <w:rsid w:val="6AFE4BC5"/>
    <w:rsid w:val="6B297183"/>
    <w:rsid w:val="6C9205D9"/>
    <w:rsid w:val="6D0A4613"/>
    <w:rsid w:val="6D5B09CB"/>
    <w:rsid w:val="6D761CA9"/>
    <w:rsid w:val="6D9E2FAE"/>
    <w:rsid w:val="6E5B49FB"/>
    <w:rsid w:val="6EF56BFD"/>
    <w:rsid w:val="6F1654F2"/>
    <w:rsid w:val="6F6E431D"/>
    <w:rsid w:val="6FBB7E47"/>
    <w:rsid w:val="74615573"/>
    <w:rsid w:val="75BA46FD"/>
    <w:rsid w:val="779C40BA"/>
    <w:rsid w:val="78A3770E"/>
    <w:rsid w:val="78D87374"/>
    <w:rsid w:val="79101DAE"/>
    <w:rsid w:val="79E41D48"/>
    <w:rsid w:val="7A9750AD"/>
    <w:rsid w:val="7AD85D51"/>
    <w:rsid w:val="7BD5403F"/>
    <w:rsid w:val="7CD673E6"/>
    <w:rsid w:val="7D943A85"/>
    <w:rsid w:val="7DAC5273"/>
    <w:rsid w:val="7EF40C80"/>
    <w:rsid w:val="7F9F4578"/>
    <w:rsid w:val="7FB34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semiHidden/>
    <w:unhideWhenUsed/>
    <w:qFormat/>
    <w:uiPriority w:val="0"/>
    <w:pPr>
      <w:keepNext/>
      <w:keepLines/>
      <w:spacing w:before="120" w:after="120"/>
      <w:outlineLvl w:val="1"/>
    </w:pPr>
    <w:rPr>
      <w:rFonts w:ascii="Arial" w:hAnsi="Arial" w:eastAsia="仿宋"/>
      <w:b/>
      <w:sz w:val="28"/>
    </w:rPr>
  </w:style>
  <w:style w:type="paragraph" w:styleId="4">
    <w:name w:val="heading 3"/>
    <w:basedOn w:val="1"/>
    <w:next w:val="1"/>
    <w:semiHidden/>
    <w:unhideWhenUsed/>
    <w:qFormat/>
    <w:uiPriority w:val="0"/>
    <w:pPr>
      <w:keepNext/>
      <w:keepLines/>
      <w:spacing w:before="260" w:after="260" w:line="413" w:lineRule="auto"/>
      <w:outlineLvl w:val="2"/>
    </w:pPr>
    <w:rPr>
      <w:rFonts w:cs="宋体"/>
      <w:b/>
      <w:sz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Body Text"/>
    <w:basedOn w:val="1"/>
    <w:next w:val="6"/>
    <w:qFormat/>
    <w:uiPriority w:val="99"/>
  </w:style>
  <w:style w:type="paragraph" w:styleId="6">
    <w:name w:val="Intense Quote"/>
    <w:next w:val="1"/>
    <w:qFormat/>
    <w:uiPriority w:val="0"/>
    <w:pPr>
      <w:wordWrap w:val="0"/>
      <w:spacing w:before="360" w:after="360"/>
      <w:ind w:left="950" w:right="950"/>
      <w:jc w:val="center"/>
    </w:pPr>
    <w:rPr>
      <w:rFonts w:ascii="宋体" w:hAnsi="宋体" w:eastAsia="Times New Roman" w:cs="Times New Roman"/>
      <w:i/>
      <w:sz w:val="21"/>
      <w:lang w:val="en-US" w:eastAsia="zh-CN" w:bidi="ar-SA"/>
    </w:rPr>
  </w:style>
  <w:style w:type="paragraph" w:styleId="7">
    <w:name w:val="toc 3"/>
    <w:basedOn w:val="1"/>
    <w:next w:val="1"/>
    <w:qFormat/>
    <w:uiPriority w:val="0"/>
    <w:pPr>
      <w:ind w:left="840" w:leftChars="400"/>
    </w:pPr>
  </w:style>
  <w:style w:type="paragraph" w:styleId="8">
    <w:name w:val="footer"/>
    <w:basedOn w:val="1"/>
    <w:link w:val="28"/>
    <w:qFormat/>
    <w:uiPriority w:val="0"/>
    <w:pPr>
      <w:tabs>
        <w:tab w:val="center" w:pos="4153"/>
        <w:tab w:val="right" w:pos="8306"/>
      </w:tabs>
      <w:snapToGrid w:val="0"/>
      <w:jc w:val="left"/>
    </w:pPr>
    <w:rPr>
      <w:sz w:val="18"/>
      <w:szCs w:val="18"/>
    </w:rPr>
  </w:style>
  <w:style w:type="paragraph" w:styleId="9">
    <w:name w:val="header"/>
    <w:basedOn w:val="1"/>
    <w:link w:val="27"/>
    <w:qFormat/>
    <w:uiPriority w:val="0"/>
    <w:pPr>
      <w:tabs>
        <w:tab w:val="center" w:pos="4153"/>
        <w:tab w:val="right" w:pos="8306"/>
      </w:tabs>
      <w:snapToGrid w:val="0"/>
      <w:jc w:val="center"/>
    </w:pPr>
    <w:rPr>
      <w:sz w:val="18"/>
      <w:szCs w:val="18"/>
    </w:rPr>
  </w:style>
  <w:style w:type="paragraph" w:styleId="10">
    <w:name w:val="Title"/>
    <w:basedOn w:val="1"/>
    <w:qFormat/>
    <w:uiPriority w:val="0"/>
    <w:pPr>
      <w:spacing w:before="240" w:after="60"/>
      <w:jc w:val="center"/>
      <w:outlineLvl w:val="0"/>
    </w:pPr>
    <w:rPr>
      <w:rFonts w:ascii="Arial" w:hAnsi="Arial"/>
      <w:b/>
      <w:sz w:val="32"/>
    </w:rPr>
  </w:style>
  <w:style w:type="paragraph" w:customStyle="1" w:styleId="13">
    <w:name w:val="标题1"/>
    <w:basedOn w:val="2"/>
    <w:qFormat/>
    <w:uiPriority w:val="0"/>
    <w:rPr>
      <w:rFonts w:hint="eastAsia" w:ascii="黑体" w:hAnsi="黑体" w:eastAsia="黑体" w:cs="黑体"/>
      <w:kern w:val="2"/>
      <w:sz w:val="32"/>
      <w:szCs w:val="32"/>
    </w:rPr>
  </w:style>
  <w:style w:type="paragraph" w:customStyle="1" w:styleId="14">
    <w:name w:val="2标题"/>
    <w:basedOn w:val="10"/>
    <w:qFormat/>
    <w:uiPriority w:val="0"/>
    <w:pPr>
      <w:keepNext/>
      <w:keepLines/>
      <w:spacing w:after="240" w:line="500" w:lineRule="exact"/>
      <w:outlineLvl w:val="1"/>
    </w:pPr>
    <w:rPr>
      <w:rFonts w:hint="eastAsia" w:ascii="仿宋" w:hAnsi="仿宋" w:eastAsia="仿宋" w:cs="Arial"/>
      <w:bCs/>
      <w:color w:val="FF0000"/>
      <w:kern w:val="0"/>
      <w:szCs w:val="32"/>
    </w:rPr>
  </w:style>
  <w:style w:type="paragraph" w:customStyle="1" w:styleId="15">
    <w:name w:val="3标题"/>
    <w:basedOn w:val="10"/>
    <w:qFormat/>
    <w:uiPriority w:val="0"/>
    <w:pPr>
      <w:adjustRightInd w:val="0"/>
      <w:snapToGrid w:val="0"/>
      <w:spacing w:line="360" w:lineRule="auto"/>
      <w:ind w:firstLine="560" w:firstLineChars="200"/>
      <w:jc w:val="left"/>
      <w:outlineLvl w:val="2"/>
    </w:pPr>
    <w:rPr>
      <w:rFonts w:hint="eastAsia" w:ascii="仿宋" w:hAnsi="仿宋" w:eastAsia="仿宋" w:cs="楷体"/>
      <w:bCs/>
      <w:kern w:val="0"/>
      <w:szCs w:val="32"/>
    </w:rPr>
  </w:style>
  <w:style w:type="paragraph" w:customStyle="1" w:styleId="16">
    <w:name w:val="正文表格表头"/>
    <w:basedOn w:val="1"/>
    <w:qFormat/>
    <w:uiPriority w:val="0"/>
    <w:pPr>
      <w:snapToGrid w:val="0"/>
      <w:jc w:val="center"/>
    </w:pPr>
    <w:rPr>
      <w:rFonts w:hint="eastAsia" w:ascii="仿宋" w:hAnsi="仿宋" w:eastAsia="仿宋" w:cs="仿宋"/>
      <w:b/>
      <w:bCs/>
      <w:color w:val="000000" w:themeColor="text1"/>
      <w:kern w:val="0"/>
      <w:szCs w:val="21"/>
      <w14:textFill>
        <w14:solidFill>
          <w14:schemeClr w14:val="tx1"/>
        </w14:solidFill>
      </w14:textFill>
    </w:rPr>
  </w:style>
  <w:style w:type="paragraph" w:customStyle="1" w:styleId="17">
    <w:name w:val="正文表格"/>
    <w:basedOn w:val="1"/>
    <w:qFormat/>
    <w:uiPriority w:val="0"/>
    <w:pPr>
      <w:snapToGrid w:val="0"/>
      <w:jc w:val="left"/>
    </w:pPr>
    <w:rPr>
      <w:rFonts w:hint="eastAsia" w:ascii="仿宋" w:hAnsi="仿宋" w:eastAsia="仿宋" w:cs="仿宋"/>
      <w:szCs w:val="21"/>
    </w:rPr>
  </w:style>
  <w:style w:type="paragraph" w:customStyle="1" w:styleId="18">
    <w:name w:val="样式1"/>
    <w:basedOn w:val="1"/>
    <w:next w:val="1"/>
    <w:qFormat/>
    <w:uiPriority w:val="0"/>
    <w:pPr>
      <w:keepNext/>
      <w:keepLines/>
      <w:ind w:firstLine="482"/>
      <w:outlineLvl w:val="2"/>
    </w:pPr>
    <w:rPr>
      <w:rFonts w:eastAsia="仿宋"/>
      <w:b/>
      <w:sz w:val="28"/>
    </w:rPr>
  </w:style>
  <w:style w:type="paragraph" w:customStyle="1" w:styleId="19">
    <w:name w:val="三（三）标题"/>
    <w:basedOn w:val="1"/>
    <w:next w:val="1"/>
    <w:qFormat/>
    <w:uiPriority w:val="0"/>
    <w:pPr>
      <w:keepNext/>
      <w:keepLines/>
      <w:ind w:firstLine="482"/>
      <w:outlineLvl w:val="2"/>
    </w:pPr>
    <w:rPr>
      <w:rFonts w:eastAsia="仿宋"/>
      <w:b/>
      <w:sz w:val="28"/>
    </w:rPr>
  </w:style>
  <w:style w:type="paragraph" w:customStyle="1" w:styleId="20">
    <w:name w:val="表格3"/>
    <w:basedOn w:val="1"/>
    <w:qFormat/>
    <w:uiPriority w:val="0"/>
    <w:pPr>
      <w:keepNext/>
      <w:keepLines/>
      <w:snapToGrid w:val="0"/>
      <w:outlineLvl w:val="2"/>
    </w:pPr>
    <w:rPr>
      <w:rFonts w:hint="eastAsia" w:ascii="微软雅黑" w:hAnsi="微软雅黑" w:eastAsia="微软雅黑" w:cs="微软雅黑"/>
      <w:sz w:val="28"/>
      <w:szCs w:val="28"/>
    </w:rPr>
  </w:style>
  <w:style w:type="paragraph" w:customStyle="1" w:styleId="21">
    <w:name w:val="表格1"/>
    <w:basedOn w:val="1"/>
    <w:qFormat/>
    <w:uiPriority w:val="0"/>
    <w:pPr>
      <w:keepNext/>
      <w:keepLines/>
      <w:outlineLvl w:val="2"/>
    </w:pPr>
    <w:rPr>
      <w:rFonts w:hint="eastAsia" w:ascii="黑体" w:hAnsi="黑体" w:eastAsia="黑体" w:cs="黑体"/>
      <w:b/>
      <w:bCs/>
      <w:sz w:val="32"/>
      <w:szCs w:val="32"/>
    </w:rPr>
  </w:style>
  <w:style w:type="paragraph" w:customStyle="1" w:styleId="22">
    <w:name w:val="表格2"/>
    <w:basedOn w:val="1"/>
    <w:qFormat/>
    <w:uiPriority w:val="0"/>
    <w:pPr>
      <w:keepNext/>
      <w:keepLines/>
      <w:outlineLvl w:val="2"/>
    </w:pPr>
    <w:rPr>
      <w:rFonts w:hint="eastAsia" w:ascii="宋体" w:hAnsi="宋体" w:eastAsia="宋体" w:cs="Times New Roman"/>
      <w:b/>
      <w:bCs/>
      <w:sz w:val="32"/>
      <w:szCs w:val="32"/>
    </w:rPr>
  </w:style>
  <w:style w:type="paragraph" w:customStyle="1" w:styleId="23">
    <w:name w:val="表正文"/>
    <w:basedOn w:val="1"/>
    <w:qFormat/>
    <w:uiPriority w:val="0"/>
    <w:pPr>
      <w:snapToGrid w:val="0"/>
      <w:jc w:val="left"/>
    </w:pPr>
    <w:rPr>
      <w:rFonts w:hint="eastAsia" w:ascii="仿宋" w:hAnsi="仿宋" w:eastAsia="宋体" w:cs="仿宋"/>
      <w:sz w:val="24"/>
      <w:szCs w:val="21"/>
    </w:rPr>
  </w:style>
  <w:style w:type="paragraph" w:customStyle="1" w:styleId="24">
    <w:name w:val="1.1.1"/>
    <w:basedOn w:val="7"/>
    <w:qFormat/>
    <w:uiPriority w:val="0"/>
    <w:pPr>
      <w:widowControl/>
      <w:ind w:firstLine="640" w:firstLineChars="200"/>
      <w:jc w:val="left"/>
    </w:pPr>
    <w:rPr>
      <w:rFonts w:hint="eastAsia" w:ascii="仿宋" w:hAnsi="仿宋" w:eastAsia="仿宋" w:cs="仿宋"/>
      <w:color w:val="191919"/>
      <w:kern w:val="0"/>
      <w:sz w:val="32"/>
      <w:szCs w:val="32"/>
      <w:shd w:val="clear" w:color="auto" w:fill="FFFFFF"/>
    </w:rPr>
  </w:style>
  <w:style w:type="paragraph" w:customStyle="1" w:styleId="25">
    <w:name w:val="标题一"/>
    <w:basedOn w:val="1"/>
    <w:qFormat/>
    <w:uiPriority w:val="0"/>
    <w:pPr>
      <w:jc w:val="left"/>
      <w:outlineLvl w:val="0"/>
    </w:pPr>
    <w:rPr>
      <w:rFonts w:ascii="黑体" w:hAnsi="黑体" w:eastAsia="黑体" w:cs="黑体"/>
      <w:sz w:val="32"/>
      <w:szCs w:val="32"/>
    </w:rPr>
  </w:style>
  <w:style w:type="paragraph" w:styleId="26">
    <w:name w:val="List Paragraph"/>
    <w:basedOn w:val="1"/>
    <w:unhideWhenUsed/>
    <w:qFormat/>
    <w:uiPriority w:val="99"/>
    <w:pPr>
      <w:ind w:firstLine="420" w:firstLineChars="200"/>
    </w:pPr>
  </w:style>
  <w:style w:type="character" w:customStyle="1" w:styleId="27">
    <w:name w:val="页眉 字符"/>
    <w:basedOn w:val="12"/>
    <w:link w:val="9"/>
    <w:qFormat/>
    <w:uiPriority w:val="0"/>
    <w:rPr>
      <w:kern w:val="2"/>
      <w:sz w:val="18"/>
      <w:szCs w:val="18"/>
    </w:rPr>
  </w:style>
  <w:style w:type="character" w:customStyle="1" w:styleId="28">
    <w:name w:val="页脚 字符"/>
    <w:basedOn w:val="12"/>
    <w:link w:val="8"/>
    <w:qFormat/>
    <w:uiPriority w:val="0"/>
    <w:rPr>
      <w:kern w:val="2"/>
      <w:sz w:val="18"/>
      <w:szCs w:val="18"/>
    </w:rPr>
  </w:style>
  <w:style w:type="paragraph" w:customStyle="1" w:styleId="29">
    <w:name w:val="Revision"/>
    <w:hidden/>
    <w:unhideWhenUsed/>
    <w:qFormat/>
    <w:uiPriority w:val="99"/>
    <w:rPr>
      <w:rFonts w:asciiTheme="minorHAnsi" w:hAnsiTheme="minorHAnsi" w:eastAsiaTheme="minorEastAsia" w:cstheme="minorBidi"/>
      <w:kern w:val="2"/>
      <w:sz w:val="21"/>
      <w:szCs w:val="24"/>
      <w:lang w:val="en-US" w:eastAsia="zh-CN" w:bidi="ar-SA"/>
    </w:rPr>
  </w:style>
  <w:style w:type="paragraph" w:customStyle="1" w:styleId="30">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31">
    <w:name w:val="21bc9c4b-6a32-43e5-beaa-fd2d792c5735"/>
    <w:basedOn w:val="2"/>
    <w:next w:val="32"/>
    <w:qFormat/>
    <w:uiPriority w:val="0"/>
    <w:pPr>
      <w:adjustRightInd w:val="0"/>
      <w:spacing w:line="288" w:lineRule="auto"/>
      <w:jc w:val="left"/>
    </w:pPr>
    <w:rPr>
      <w:rFonts w:hint="eastAsia" w:ascii="微软雅黑" w:hAnsi="微软雅黑" w:eastAsia="微软雅黑" w:cs="微软雅黑"/>
      <w:color w:val="000000"/>
      <w:sz w:val="32"/>
    </w:rPr>
  </w:style>
  <w:style w:type="paragraph" w:customStyle="1" w:styleId="32">
    <w:name w:val="acbfdd8b-e11b-4d36-88ff-6049b138f862"/>
    <w:basedOn w:val="1"/>
    <w:qFormat/>
    <w:uiPriority w:val="0"/>
    <w:pPr>
      <w:adjustRightInd w:val="0"/>
      <w:spacing w:line="288" w:lineRule="auto"/>
      <w:jc w:val="left"/>
    </w:pPr>
    <w:rPr>
      <w:rFonts w:hint="eastAsia" w:ascii="微软雅黑" w:hAnsi="微软雅黑" w:eastAsia="微软雅黑" w:cs="微软雅黑"/>
      <w:color w:val="000000"/>
      <w:sz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3245</Words>
  <Characters>3368</Characters>
  <Lines>110</Lines>
  <Paragraphs>78</Paragraphs>
  <TotalTime>15</TotalTime>
  <ScaleCrop>false</ScaleCrop>
  <LinksUpToDate>false</LinksUpToDate>
  <CharactersWithSpaces>3418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2026-01-08T03:46:00Z</dcterms:created>
  <dc:creator>会员部</dc:creator>
  <cp:lastModifiedBy>王嵩</cp:lastModifiedBy>
  <dcterms:modified xsi:type="dcterms:W3CDTF">2026-04-23T08:12:27Z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3E99F66FC9444CC6A207FCB005BA2145_13</vt:lpwstr>
  </property>
  <property fmtid="{D5CDD505-2E9C-101B-9397-08002B2CF9AE}" pid="4" name="KSOTemplateDocerSaveRecord">
    <vt:lpwstr>eyJoZGlkIjoiNDYyNGFiOWVjNmUyNDJkMjQ4ZjU3YWM4YTY1MmJjYzMiLCJ1c2VySWQiOiIxNTgwMzA1OTc1In0=</vt:lpwstr>
  </property>
</Properties>
</file>