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188B9">
      <w:pPr>
        <w:jc w:val="left"/>
        <w:rPr>
          <w:rFonts w:hint="eastAsia" w:ascii="黑体" w:hAnsi="黑体" w:eastAsia="黑体" w:cs="黑体"/>
          <w:sz w:val="32"/>
          <w:szCs w:val="32"/>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bookmarkStart w:id="0" w:name="_GoBack"/>
      <w:bookmarkEnd w:id="0"/>
      <w:r>
        <w:rPr>
          <w:rFonts w:hint="eastAsia" w:ascii="黑体" w:hAnsi="黑体" w:eastAsia="黑体" w:cs="黑体"/>
          <w:sz w:val="32"/>
          <w:szCs w:val="32"/>
        </w:rPr>
        <w:t>2</w:t>
      </w:r>
    </w:p>
    <w:p w14:paraId="5896C180">
      <w:pPr>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中国电力建设企业协会团体标准</w:t>
      </w:r>
    </w:p>
    <w:p w14:paraId="670A9716">
      <w:pPr>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w:t>
      </w:r>
      <w:r>
        <w:rPr>
          <w:rFonts w:hint="eastAsia" w:ascii="方正小标宋_GBK" w:hAnsi="方正小标宋_GBK" w:eastAsia="方正小标宋_GBK" w:cs="方正小标宋_GBK"/>
          <w:sz w:val="36"/>
          <w:szCs w:val="36"/>
          <w:lang w:eastAsia="zh-CN"/>
        </w:rPr>
        <w:t>抽水蓄能电站工程无人机安全巡查应用技术导则</w:t>
      </w:r>
      <w:r>
        <w:rPr>
          <w:rFonts w:hint="eastAsia" w:ascii="方正小标宋_GBK" w:hAnsi="方正小标宋_GBK" w:eastAsia="方正小标宋_GBK" w:cs="方正小标宋_GBK"/>
          <w:sz w:val="36"/>
          <w:szCs w:val="36"/>
        </w:rPr>
        <w:t>》</w:t>
      </w:r>
    </w:p>
    <w:p w14:paraId="2A8A305C">
      <w:pPr>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编制说明</w:t>
      </w:r>
    </w:p>
    <w:p w14:paraId="126DF046">
      <w:pPr>
        <w:numPr>
          <w:ilvl w:val="0"/>
          <w:numId w:val="1"/>
        </w:num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工作简况</w:t>
      </w:r>
    </w:p>
    <w:p w14:paraId="2CD1BF81">
      <w:pPr>
        <w:numPr>
          <w:ilvl w:val="255"/>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关于印发2025年第一批中国电力建设企业协会团体标准制定计划的通知》（中电建协〔2025〕131号）文件精神，适应电力建设行业管理和会员单位对标准的需求，推动电力工程建设无人机安全巡查作业标准化、规范化发展。中国电力建设企业协会标准化管理委员会按照《中国电力建设企业协会标准管理办法（试行）》的立项程序，组织相关电力企业和专家开展 2025 年第一批团体标准制定工作。</w:t>
      </w:r>
    </w:p>
    <w:p w14:paraId="13C04C27">
      <w:pPr>
        <w:numPr>
          <w:ilvl w:val="255"/>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南网储能公司工程建设管理分公司、水电水利规划设计总院有限公司主动作为，充分发挥行业平台与引领作用，系统梳理了近年来电力工程无人机安全巡查的技术应用成果与实践经验，广泛调研了行业内抽水蓄能电站工程无人机巡查的应用现状与存在问题，征集了会员单位的标准需求与技术建议，为行业无人机安全巡查标准化体系建设奠定了坚实的实践基础。</w:t>
      </w:r>
    </w:p>
    <w:p w14:paraId="03FE4D4F">
      <w:pPr>
        <w:numPr>
          <w:ilvl w:val="255"/>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于前期积累的丰富实践成果，并结合抽水蓄能电站工程地形地质复杂、作业面分散、高边坡与地下洞室密布、库区及输电线路覆盖范围广、传统人工巡查效率低风险高的特点及智能化发展需求，协会统筹行业优势资源，组织中国水电六局南方公司、中国电建集团中南勘测设计研究院有限公司、中国能源建设集团广东省电力设计研究院等单位共同开展《抽水蓄能电站工程无人机安全巡查应用技术导则》的编制工作。</w:t>
      </w:r>
    </w:p>
    <w:p w14:paraId="3162A538">
      <w:pPr>
        <w:numPr>
          <w:ilvl w:val="255"/>
          <w:numId w:val="0"/>
        </w:num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本标准于2025年</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月向中国电力建设企业协会提出立项申请，并于</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rPr>
        <w:t>月份进行评审立项；2025年</w:t>
      </w: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rPr>
        <w:t>月征集标准编制单位；2025年</w:t>
      </w: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rPr>
        <w:t>月召开编制启动会</w:t>
      </w:r>
      <w:r>
        <w:rPr>
          <w:rFonts w:hint="eastAsia" w:ascii="仿宋_GB2312" w:hAnsi="仿宋_GB2312" w:eastAsia="仿宋_GB2312" w:cs="仿宋_GB2312"/>
          <w:sz w:val="32"/>
          <w:szCs w:val="32"/>
          <w:highlight w:val="none"/>
          <w:lang w:val="en-US" w:eastAsia="zh-CN"/>
        </w:rPr>
        <w:t>暨</w:t>
      </w:r>
      <w:r>
        <w:rPr>
          <w:rFonts w:hint="eastAsia" w:ascii="仿宋_GB2312" w:hAnsi="仿宋_GB2312" w:eastAsia="仿宋_GB2312" w:cs="仿宋_GB2312"/>
          <w:sz w:val="32"/>
          <w:szCs w:val="32"/>
          <w:highlight w:val="none"/>
        </w:rPr>
        <w:t>初稿讨论会，确定标准主要内容及编制节点安排；2026年3月召开征求意见稿讨论会，形成征求意见稿及安排下一步工作。</w:t>
      </w:r>
    </w:p>
    <w:p w14:paraId="30691C14">
      <w:pPr>
        <w:numPr>
          <w:ilvl w:val="0"/>
          <w:numId w:val="1"/>
        </w:num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团体标准编制原则、主要内容及其确定依据</w:t>
      </w:r>
    </w:p>
    <w:p w14:paraId="4B66F0B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本标准按GB/T 1.1-2020《标准化工作导则 第1部分：标准的结构和编写规则》给出的规则编写。</w:t>
      </w:r>
    </w:p>
    <w:p w14:paraId="7E2A58E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本文件规定了抽水蓄能电站工程无人机安全巡查作业、巡查策略、巡查项目、数据管理与分析、运维与安全管理的要求。</w:t>
      </w:r>
    </w:p>
    <w:p w14:paraId="40FB97A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本文件适用于抽水蓄能电站工程地面无人机安全巡查作业。</w:t>
      </w:r>
    </w:p>
    <w:p w14:paraId="4EB1F9A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标准框架如下：</w:t>
      </w:r>
    </w:p>
    <w:p w14:paraId="2FEE65A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前言</w:t>
      </w:r>
    </w:p>
    <w:p w14:paraId="640A242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范围</w:t>
      </w:r>
    </w:p>
    <w:p w14:paraId="4B32516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规范性引用文件</w:t>
      </w:r>
    </w:p>
    <w:p w14:paraId="08E4D9C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术语和定义</w:t>
      </w:r>
    </w:p>
    <w:p w14:paraId="269DA5F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技术</w:t>
      </w:r>
      <w:r>
        <w:rPr>
          <w:rFonts w:hint="eastAsia" w:ascii="仿宋_GB2312" w:hAnsi="仿宋_GB2312" w:eastAsia="仿宋_GB2312" w:cs="仿宋_GB2312"/>
          <w:sz w:val="32"/>
          <w:szCs w:val="32"/>
        </w:rPr>
        <w:t>要求</w:t>
      </w:r>
    </w:p>
    <w:p w14:paraId="67F19A5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 xml:space="preserve"> 巡查作业要求</w:t>
      </w:r>
    </w:p>
    <w:p w14:paraId="4480711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 xml:space="preserve"> 巡查策略</w:t>
      </w:r>
    </w:p>
    <w:p w14:paraId="77F95D9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 xml:space="preserve"> 巡查项目</w:t>
      </w:r>
    </w:p>
    <w:p w14:paraId="3165CA1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 xml:space="preserve"> 数据管理与分析</w:t>
      </w:r>
    </w:p>
    <w:p w14:paraId="3B31AC9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 xml:space="preserve"> 运维与安全管理</w:t>
      </w:r>
    </w:p>
    <w:p w14:paraId="725B8B2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录</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A（规范性）无人机选型及参数配置</w:t>
      </w:r>
    </w:p>
    <w:p w14:paraId="7D472D2B">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附  录  B</w:t>
      </w:r>
      <w:r>
        <w:rPr>
          <w:rFonts w:hint="eastAsia" w:ascii="仿宋_GB2312" w:hAnsi="仿宋_GB2312" w:eastAsia="仿宋_GB2312" w:cs="仿宋_GB2312"/>
          <w:sz w:val="32"/>
          <w:szCs w:val="32"/>
          <w:lang w:val="en-US" w:eastAsia="zh-CN"/>
        </w:rPr>
        <w:t>（规范性）无人机安全巡查报表格式</w:t>
      </w:r>
    </w:p>
    <w:p w14:paraId="047B509C">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  录  C（规范性）无人机机巢典型配置要求</w:t>
      </w:r>
    </w:p>
    <w:p w14:paraId="147964F1">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  录  D（资料性）任务设备参数及适用场景</w:t>
      </w:r>
    </w:p>
    <w:p w14:paraId="0E91F5EF">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  录  E（资料性）各阶段巡查项目清单</w:t>
      </w:r>
    </w:p>
    <w:p w14:paraId="686A57BD">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  录  F（规范性）隐患分级判定标准</w:t>
      </w:r>
    </w:p>
    <w:p w14:paraId="211A1E55">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  录  G（规范性）抽蓄工程无人机巡查智能分析算法规范</w:t>
      </w:r>
    </w:p>
    <w:p w14:paraId="2E9CB685">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3.试验验证的分析、综述报告，技术经济论证，预期的经济效益、社会效益和生态效益</w:t>
      </w:r>
    </w:p>
    <w:p w14:paraId="0535A76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标准在编制过程中，充分借鉴了行业内已实施的电力工程无人机安全巡查示范项目和相关技术成果，并结合典型抽水蓄能电站工程场景（涵盖上下水库大坝、高边坡、地下洞室、库区、输电线路及施工附属区域），针对工程建设全阶段（项目前期、工程准备、主体施工、项目收尾）开展了适用性分析与现场验证。通过综合比对不同规模、不同地形条件下的应用案例，本导则所提出的无人机系统配置、巡查策略、数据管理、智能分析及安全管控要求具备充分的可行性和实用性，能够有效指导抽水蓄能电站工程无人机安全巡查的全流程标准化作业。</w:t>
      </w:r>
    </w:p>
    <w:p w14:paraId="4C2E2826">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从技术经济性看，本导则的实施有助于推动抽水蓄能电站无人机安全巡查作业的标准化、流程化与模块化，统一设备选型、作业流程和数据标准，避免重复开发系统与重复购置设备，减少资源浪费，初步估算可降低工程安全巡查综合成本约 20%—30%。</w:t>
      </w:r>
    </w:p>
    <w:p w14:paraId="465212C2">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在效益方面，预期可实现以下多方面提升：经济效益上，通过安全巡查全过程数字化管控，大幅提升巡查覆盖度与作业效率，缩短隐患发现与处置周期，降低安全事故发生概率及潜在损失；同时替代高边坡、地下洞室、库区等高危区域的人工巡查，减少高危作业人力投入，实现隐患全流程闭环追溯管理。社会效益上，填补抽水蓄能行业无人机安全巡查技术标准空白，提升电力建设行业安全管控智能化水平，推动无人机技术在电力工程领域的规模化、规范化应用，培养兼具电力安全管理与无人机操作技能的复合型专业人才，助力新型电力系统基础设施安全稳定建设。生态效益上，无人机非接触式巡查可大幅减少人员进入生态敏感区域的频次，降低施工活动对周边自然生态的扰动；同时精准识别水土保持、生态修复隐患，强化施工过程中的环境保护管控，促进绿色施工，助力“双碳”目标实现。</w:t>
      </w:r>
    </w:p>
    <w:p w14:paraId="4D12D55F">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4.与国际、国外、国内同类标准技术内容的对比情况，或者与测试的样品、样机的有关数据对比情况</w:t>
      </w:r>
    </w:p>
    <w:p w14:paraId="08D9CF9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前在北美、英国、北欧和澳大利亚等国家和地区，建设工程无人机安全巡查标准体系已较为成熟，不仅实现了无人机设备与多源感知技术的规模化应用，更将数字化巡查管理、智能隐患分析、全流程闭环管控模式普遍融入工程建设全生命周期。20 世纪末 - 2010 年左右，工程领域无人机安全巡查处于起步阶段，仅初步实现了高空偏远区域的影像采集与人工判读，完成了基础设备的试点引入与应用探索。</w:t>
      </w:r>
    </w:p>
    <w:p w14:paraId="7E4EA2A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前，我国抽水蓄能电站工程行业对无人机安全巡查缺乏统一的技术标准，各基建项目无人机巡查应用水平参差不齐，在设备选型配置、作业流程规范、数据采集标准、隐患分级判定、安全管控要求等方面存在较大差异，导致巡查质量难以保障、数据无法互通共享、隐患处置闭环不畅，制约了无人机技术在抽水蓄能工程安全管控中的规模化、规范化推广应用。亟需系统总结行业内无人机安全巡查的先进技术成果与实践经验，固化提炼形成抽水蓄能电站工程无人机安全巡查统一技术导则，为行业应用提供标准化指导。</w:t>
      </w:r>
    </w:p>
    <w:p w14:paraId="66907B2C">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5.以国际、国内标准为基础的起草情况，以及是否合规引用或者采用相关标准，并说明未采用相关标准的原因</w:t>
      </w:r>
    </w:p>
    <w:p w14:paraId="583CBC6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本标准主要引用文件：</w:t>
      </w:r>
    </w:p>
    <w:p w14:paraId="48F60A4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 46750  民用无人驾驶航空器系统运行识别规范</w:t>
      </w:r>
    </w:p>
    <w:p w14:paraId="00CB4CB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34070  无人机系统通用要求</w:t>
      </w:r>
    </w:p>
    <w:p w14:paraId="5475E72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38152  无人驾驶航空器系统术语</w:t>
      </w:r>
    </w:p>
    <w:p w14:paraId="0514046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38930  民用轻小型无人机系统抗风性要求及试验方法</w:t>
      </w:r>
    </w:p>
    <w:p w14:paraId="27A5173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39586  电力机器人术语</w:t>
      </w:r>
    </w:p>
    <w:p w14:paraId="524E198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43570  民用无人驾驶航空器系统身份识别 总体要求</w:t>
      </w:r>
    </w:p>
    <w:p w14:paraId="5A20926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DL/T 5370  水电水利工程施工通用安全技术规程</w:t>
      </w:r>
    </w:p>
    <w:p w14:paraId="6087B1D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NB/T 10510  水电工程水土保持生态修复技术规范</w:t>
      </w:r>
    </w:p>
    <w:p w14:paraId="4FD222C5">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6.与有关法律、行政法规及相关标准的关系</w:t>
      </w:r>
    </w:p>
    <w:p w14:paraId="57437AB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为了适应</w:t>
      </w:r>
      <w:r>
        <w:rPr>
          <w:rFonts w:hint="eastAsia" w:ascii="仿宋_GB2312" w:hAnsi="仿宋_GB2312" w:eastAsia="仿宋_GB2312" w:cs="仿宋_GB2312"/>
          <w:sz w:val="32"/>
          <w:szCs w:val="32"/>
          <w:lang w:val="en-US" w:eastAsia="zh-CN"/>
        </w:rPr>
        <w:t>光伏发电建设</w:t>
      </w:r>
      <w:r>
        <w:rPr>
          <w:rFonts w:hint="eastAsia" w:ascii="仿宋_GB2312" w:hAnsi="仿宋_GB2312" w:eastAsia="仿宋_GB2312" w:cs="仿宋_GB2312"/>
          <w:sz w:val="32"/>
          <w:szCs w:val="32"/>
        </w:rPr>
        <w:t>工程发展需要，规范</w:t>
      </w:r>
      <w:r>
        <w:rPr>
          <w:rFonts w:hint="eastAsia" w:ascii="仿宋_GB2312" w:hAnsi="仿宋_GB2312" w:eastAsia="仿宋_GB2312" w:cs="仿宋_GB2312"/>
          <w:sz w:val="32"/>
          <w:szCs w:val="32"/>
          <w:lang w:val="en-US" w:eastAsia="zh-CN"/>
        </w:rPr>
        <w:t>光伏发电建设</w:t>
      </w:r>
      <w:r>
        <w:rPr>
          <w:rFonts w:hint="eastAsia" w:ascii="仿宋_GB2312" w:hAnsi="仿宋_GB2312" w:eastAsia="仿宋_GB2312" w:cs="仿宋_GB2312"/>
          <w:sz w:val="32"/>
          <w:szCs w:val="32"/>
        </w:rPr>
        <w:t>工程智慧工地构建工作，本标准在制定过程中严格贯彻国家有关法律、法规和方针、政策要求，充分考虑与相关标准的协调性，按编制目的，认真总结、提炼</w:t>
      </w:r>
      <w:r>
        <w:rPr>
          <w:rFonts w:hint="eastAsia" w:ascii="仿宋_GB2312" w:hAnsi="仿宋_GB2312" w:eastAsia="仿宋_GB2312" w:cs="仿宋_GB2312"/>
          <w:sz w:val="32"/>
          <w:szCs w:val="32"/>
          <w:lang w:val="en-US" w:eastAsia="zh-CN"/>
        </w:rPr>
        <w:t>光伏发电建设</w:t>
      </w:r>
      <w:r>
        <w:rPr>
          <w:rFonts w:hint="eastAsia" w:ascii="仿宋_GB2312" w:hAnsi="仿宋_GB2312" w:eastAsia="仿宋_GB2312" w:cs="仿宋_GB2312"/>
          <w:sz w:val="32"/>
          <w:szCs w:val="32"/>
        </w:rPr>
        <w:t>工程智慧工地建设优秀、成熟案例经验，借鉴其它行业及地方智慧工地技术标准，与同类标准比较，更符合电力建设行业</w:t>
      </w:r>
      <w:r>
        <w:rPr>
          <w:rFonts w:hint="eastAsia" w:ascii="仿宋_GB2312" w:hAnsi="仿宋_GB2312" w:eastAsia="仿宋_GB2312" w:cs="仿宋_GB2312"/>
          <w:sz w:val="32"/>
          <w:szCs w:val="32"/>
          <w:lang w:val="en-US" w:eastAsia="zh-CN"/>
        </w:rPr>
        <w:t>光伏发电</w:t>
      </w:r>
      <w:r>
        <w:rPr>
          <w:rFonts w:hint="eastAsia" w:ascii="仿宋_GB2312" w:hAnsi="仿宋_GB2312" w:eastAsia="仿宋_GB2312" w:cs="仿宋_GB2312"/>
          <w:sz w:val="32"/>
          <w:szCs w:val="32"/>
        </w:rPr>
        <w:t>工程智慧工地建设实际，且具有较强的可操作性。</w:t>
      </w:r>
    </w:p>
    <w:p w14:paraId="4B8CCCF6">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7.重大分歧意见的处理经过和依据</w:t>
      </w:r>
    </w:p>
    <w:p w14:paraId="611EAAA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739FDAB2">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8.涉及专利的有关说明</w:t>
      </w:r>
    </w:p>
    <w:p w14:paraId="1EC8F92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5695DCFE">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9.实施团体标准的要求，以及组织措施、技术措施、过渡期和实施日期的建议等措施建议</w:t>
      </w:r>
    </w:p>
    <w:p w14:paraId="6FD7CCF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适应抽水蓄能电站工程建设发展需要，规范抽水蓄能电站工程无人机安全巡查作业与管理工作，本导则在制定过程中严格贯彻国家有关法律、法规和方针、政策要求，充分考虑与民用无人机运行、电力工程施工安全、水电水利工程建设等相关标准的协调性。按编制目的，认真总结、提炼国内抽水蓄能电站工程无人机安全巡查的优秀、成熟实践案例经验，借鉴输变电、风电等其他电力工程领域无人机巡查技术标准，以及测绘、应急等行业无人机应用相关规范。</w:t>
      </w:r>
    </w:p>
    <w:p w14:paraId="59F0916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同类通用标准比较，本导则更贴合电力建设行业抽水蓄能电站工程地形复杂、高边坡与地下洞室密布、库区覆盖范围广的建设实际，针对性明确了全建设阶段的巡查要求、设备配置标准、智能分析规范及安全管控细则，且具有较强的可操作性。</w:t>
      </w:r>
    </w:p>
    <w:p w14:paraId="4E4BDFB4">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10.其他应当说明的事项</w:t>
      </w:r>
      <w:r>
        <w:rPr>
          <w:rFonts w:hint="eastAsia" w:ascii="仿宋_GB2312" w:hAnsi="仿宋_GB2312" w:eastAsia="仿宋_GB2312" w:cs="仿宋_GB2312"/>
          <w:sz w:val="32"/>
          <w:szCs w:val="32"/>
        </w:rPr>
        <w:t>（包括标准名称、主要内容、主编单位、参编单位及主要起草人等发生变更或存在无法克服困难需撤销申请情况，标准征求意见情况，报批阶段应补充专家审查会情况。）</w:t>
      </w:r>
    </w:p>
    <w:p w14:paraId="231D004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827D96-23D7-44E9-8392-5A136E65EFA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embedRegular r:id="rId2" w:fontKey="{F92431A9-6C12-47A1-8E22-CC4BD466DC8E}"/>
  </w:font>
  <w:font w:name="仿宋_GB2312">
    <w:panose1 w:val="02010609030101010101"/>
    <w:charset w:val="86"/>
    <w:family w:val="modern"/>
    <w:pitch w:val="default"/>
    <w:sig w:usb0="00000001" w:usb1="080E0000" w:usb2="00000000" w:usb3="00000000" w:csb0="00040000" w:csb1="00000000"/>
    <w:embedRegular r:id="rId3" w:fontKey="{1F51C13F-9D10-494A-ACB5-76032D83B16D}"/>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6F5106"/>
    <w:multiLevelType w:val="singleLevel"/>
    <w:tmpl w:val="E26F510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jMTdkYjc2MWFkYWZjMjgzNWU2Y2UwY2E3OWRiODAifQ=="/>
  </w:docVars>
  <w:rsids>
    <w:rsidRoot w:val="4E115480"/>
    <w:rsid w:val="000069D7"/>
    <w:rsid w:val="001A54A8"/>
    <w:rsid w:val="002D2929"/>
    <w:rsid w:val="003B1A5D"/>
    <w:rsid w:val="003E222E"/>
    <w:rsid w:val="003F52FD"/>
    <w:rsid w:val="004B2645"/>
    <w:rsid w:val="00505A9F"/>
    <w:rsid w:val="005468B7"/>
    <w:rsid w:val="0060723C"/>
    <w:rsid w:val="00634B5D"/>
    <w:rsid w:val="006B4844"/>
    <w:rsid w:val="00702EBC"/>
    <w:rsid w:val="00760722"/>
    <w:rsid w:val="008A1279"/>
    <w:rsid w:val="00935788"/>
    <w:rsid w:val="009576EF"/>
    <w:rsid w:val="009650E5"/>
    <w:rsid w:val="00A01A07"/>
    <w:rsid w:val="00AC4623"/>
    <w:rsid w:val="00B07DA8"/>
    <w:rsid w:val="00BB15B4"/>
    <w:rsid w:val="00CA5AD7"/>
    <w:rsid w:val="00CE501A"/>
    <w:rsid w:val="00D4778B"/>
    <w:rsid w:val="00E56993"/>
    <w:rsid w:val="00E67FB7"/>
    <w:rsid w:val="00F54690"/>
    <w:rsid w:val="00F9002A"/>
    <w:rsid w:val="00F918CA"/>
    <w:rsid w:val="00FC3709"/>
    <w:rsid w:val="016025FC"/>
    <w:rsid w:val="01B841E6"/>
    <w:rsid w:val="02766859"/>
    <w:rsid w:val="04142E23"/>
    <w:rsid w:val="0632649E"/>
    <w:rsid w:val="07041C7C"/>
    <w:rsid w:val="071F0864"/>
    <w:rsid w:val="08FD6983"/>
    <w:rsid w:val="094E3682"/>
    <w:rsid w:val="0955045F"/>
    <w:rsid w:val="0BC65752"/>
    <w:rsid w:val="0CEE6D0E"/>
    <w:rsid w:val="0D8713A0"/>
    <w:rsid w:val="0F5A3229"/>
    <w:rsid w:val="0FBF0E36"/>
    <w:rsid w:val="0FF26B15"/>
    <w:rsid w:val="0FFF7484"/>
    <w:rsid w:val="120E7E53"/>
    <w:rsid w:val="12260CF8"/>
    <w:rsid w:val="13D80718"/>
    <w:rsid w:val="142D3CA5"/>
    <w:rsid w:val="14D07641"/>
    <w:rsid w:val="14D26F15"/>
    <w:rsid w:val="15075231"/>
    <w:rsid w:val="1573694A"/>
    <w:rsid w:val="15916DD0"/>
    <w:rsid w:val="15993A76"/>
    <w:rsid w:val="17575DF8"/>
    <w:rsid w:val="18B35F28"/>
    <w:rsid w:val="193463F1"/>
    <w:rsid w:val="19E25E4D"/>
    <w:rsid w:val="1C163B8C"/>
    <w:rsid w:val="1E256308"/>
    <w:rsid w:val="1EE47F71"/>
    <w:rsid w:val="1FCC231E"/>
    <w:rsid w:val="200C3C23"/>
    <w:rsid w:val="204607B7"/>
    <w:rsid w:val="213571AA"/>
    <w:rsid w:val="2164183D"/>
    <w:rsid w:val="230E380E"/>
    <w:rsid w:val="23957A8C"/>
    <w:rsid w:val="23B720F8"/>
    <w:rsid w:val="23C12F77"/>
    <w:rsid w:val="2403362A"/>
    <w:rsid w:val="260B672B"/>
    <w:rsid w:val="26B648E9"/>
    <w:rsid w:val="26C329A6"/>
    <w:rsid w:val="27BF23DC"/>
    <w:rsid w:val="27D36DD5"/>
    <w:rsid w:val="2835183D"/>
    <w:rsid w:val="28B430AA"/>
    <w:rsid w:val="294D2BB7"/>
    <w:rsid w:val="297A3E18"/>
    <w:rsid w:val="2A3224D8"/>
    <w:rsid w:val="2A41271B"/>
    <w:rsid w:val="2A4D0323"/>
    <w:rsid w:val="2BB86A0D"/>
    <w:rsid w:val="2BC058C2"/>
    <w:rsid w:val="2C0927B9"/>
    <w:rsid w:val="2CE101E6"/>
    <w:rsid w:val="2E156399"/>
    <w:rsid w:val="2EE6563F"/>
    <w:rsid w:val="30110DE2"/>
    <w:rsid w:val="30F46739"/>
    <w:rsid w:val="3126266B"/>
    <w:rsid w:val="31B9528D"/>
    <w:rsid w:val="31D10829"/>
    <w:rsid w:val="32316565"/>
    <w:rsid w:val="32586854"/>
    <w:rsid w:val="326A47D9"/>
    <w:rsid w:val="326C2300"/>
    <w:rsid w:val="32D63C1D"/>
    <w:rsid w:val="33022C64"/>
    <w:rsid w:val="339A10EE"/>
    <w:rsid w:val="37531CE0"/>
    <w:rsid w:val="37D03331"/>
    <w:rsid w:val="38595180"/>
    <w:rsid w:val="385B709E"/>
    <w:rsid w:val="39160DB7"/>
    <w:rsid w:val="394C69E7"/>
    <w:rsid w:val="3D127F47"/>
    <w:rsid w:val="3DBF3A9D"/>
    <w:rsid w:val="3E171CB9"/>
    <w:rsid w:val="3E965F19"/>
    <w:rsid w:val="3F676329"/>
    <w:rsid w:val="3FA24034"/>
    <w:rsid w:val="3FE91433"/>
    <w:rsid w:val="41412BA9"/>
    <w:rsid w:val="41727207"/>
    <w:rsid w:val="42C35F6C"/>
    <w:rsid w:val="433D6BDD"/>
    <w:rsid w:val="43AA0EDA"/>
    <w:rsid w:val="45E958C2"/>
    <w:rsid w:val="46625A9C"/>
    <w:rsid w:val="47406EC1"/>
    <w:rsid w:val="48142DC6"/>
    <w:rsid w:val="48CE11C6"/>
    <w:rsid w:val="48F873C3"/>
    <w:rsid w:val="495E03EC"/>
    <w:rsid w:val="4A140E14"/>
    <w:rsid w:val="4A1B043B"/>
    <w:rsid w:val="4A282B58"/>
    <w:rsid w:val="4A83494B"/>
    <w:rsid w:val="4B4340EE"/>
    <w:rsid w:val="4B555BCF"/>
    <w:rsid w:val="4BC66D8F"/>
    <w:rsid w:val="4CDB0356"/>
    <w:rsid w:val="4DB12E65"/>
    <w:rsid w:val="4E115480"/>
    <w:rsid w:val="4E7B76FB"/>
    <w:rsid w:val="4ED25642"/>
    <w:rsid w:val="4F416B96"/>
    <w:rsid w:val="4FEC63D6"/>
    <w:rsid w:val="50A3118B"/>
    <w:rsid w:val="50B769E4"/>
    <w:rsid w:val="50C51101"/>
    <w:rsid w:val="50E61077"/>
    <w:rsid w:val="516A3A56"/>
    <w:rsid w:val="51E116FA"/>
    <w:rsid w:val="52974D1F"/>
    <w:rsid w:val="52A80CDA"/>
    <w:rsid w:val="535B75CD"/>
    <w:rsid w:val="53F73CC7"/>
    <w:rsid w:val="544B4013"/>
    <w:rsid w:val="544B7BAF"/>
    <w:rsid w:val="55AD6B1D"/>
    <w:rsid w:val="561072C2"/>
    <w:rsid w:val="56A65531"/>
    <w:rsid w:val="56B440F1"/>
    <w:rsid w:val="56D848CE"/>
    <w:rsid w:val="57805D82"/>
    <w:rsid w:val="58044C05"/>
    <w:rsid w:val="58615BB3"/>
    <w:rsid w:val="58E97957"/>
    <w:rsid w:val="58F72073"/>
    <w:rsid w:val="590B3D71"/>
    <w:rsid w:val="5921524A"/>
    <w:rsid w:val="596D2336"/>
    <w:rsid w:val="5A4968FF"/>
    <w:rsid w:val="5AA004E9"/>
    <w:rsid w:val="5B841BB9"/>
    <w:rsid w:val="5E6F08FE"/>
    <w:rsid w:val="5E6F4DA2"/>
    <w:rsid w:val="5E9B16F3"/>
    <w:rsid w:val="5EAB402C"/>
    <w:rsid w:val="5EE412EC"/>
    <w:rsid w:val="5EE543DC"/>
    <w:rsid w:val="5FEB66AA"/>
    <w:rsid w:val="60275934"/>
    <w:rsid w:val="60716BAF"/>
    <w:rsid w:val="60D96503"/>
    <w:rsid w:val="61774699"/>
    <w:rsid w:val="620036D7"/>
    <w:rsid w:val="62C05BCC"/>
    <w:rsid w:val="634467FD"/>
    <w:rsid w:val="63A4104A"/>
    <w:rsid w:val="63AE1EC8"/>
    <w:rsid w:val="63FE2D80"/>
    <w:rsid w:val="64713622"/>
    <w:rsid w:val="64C5396E"/>
    <w:rsid w:val="654209B8"/>
    <w:rsid w:val="657E1D96"/>
    <w:rsid w:val="661204ED"/>
    <w:rsid w:val="66F70DFE"/>
    <w:rsid w:val="67087B42"/>
    <w:rsid w:val="67AD0D27"/>
    <w:rsid w:val="67D0240D"/>
    <w:rsid w:val="690F71C7"/>
    <w:rsid w:val="69EC72A7"/>
    <w:rsid w:val="6A113E14"/>
    <w:rsid w:val="6A714E92"/>
    <w:rsid w:val="6AFE4BC5"/>
    <w:rsid w:val="6B297183"/>
    <w:rsid w:val="6C9205D9"/>
    <w:rsid w:val="6D0A4613"/>
    <w:rsid w:val="6D5B09CB"/>
    <w:rsid w:val="6D761CA9"/>
    <w:rsid w:val="6D9E2FAE"/>
    <w:rsid w:val="6E5B49FB"/>
    <w:rsid w:val="6EF56BFD"/>
    <w:rsid w:val="6F1654F2"/>
    <w:rsid w:val="6F6E431D"/>
    <w:rsid w:val="6FBB7E47"/>
    <w:rsid w:val="75BA46FD"/>
    <w:rsid w:val="76DA5057"/>
    <w:rsid w:val="779C40BA"/>
    <w:rsid w:val="78A3770E"/>
    <w:rsid w:val="78D87374"/>
    <w:rsid w:val="79101DAE"/>
    <w:rsid w:val="796C21B2"/>
    <w:rsid w:val="79E41D48"/>
    <w:rsid w:val="7A9750AD"/>
    <w:rsid w:val="7AD85D51"/>
    <w:rsid w:val="7BD5403F"/>
    <w:rsid w:val="7CD673E6"/>
    <w:rsid w:val="7D943A85"/>
    <w:rsid w:val="7DAC5273"/>
    <w:rsid w:val="7EF40C80"/>
    <w:rsid w:val="7FB34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semiHidden/>
    <w:unhideWhenUsed/>
    <w:qFormat/>
    <w:uiPriority w:val="0"/>
    <w:pPr>
      <w:keepNext/>
      <w:keepLines/>
      <w:spacing w:before="120" w:after="120"/>
      <w:outlineLvl w:val="1"/>
    </w:pPr>
    <w:rPr>
      <w:rFonts w:ascii="Arial" w:hAnsi="Arial" w:eastAsia="仿宋"/>
      <w:b/>
      <w:sz w:val="28"/>
    </w:rPr>
  </w:style>
  <w:style w:type="paragraph" w:styleId="4">
    <w:name w:val="heading 3"/>
    <w:basedOn w:val="1"/>
    <w:next w:val="1"/>
    <w:semiHidden/>
    <w:unhideWhenUsed/>
    <w:qFormat/>
    <w:uiPriority w:val="0"/>
    <w:pPr>
      <w:keepNext/>
      <w:keepLines/>
      <w:spacing w:before="260" w:after="260" w:line="413" w:lineRule="auto"/>
      <w:outlineLvl w:val="2"/>
    </w:pPr>
    <w:rPr>
      <w:rFonts w:cs="宋体"/>
      <w:b/>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99"/>
  </w:style>
  <w:style w:type="paragraph" w:styleId="6">
    <w:name w:val="Intense Quote"/>
    <w:next w:val="1"/>
    <w:qFormat/>
    <w:uiPriority w:val="0"/>
    <w:pPr>
      <w:wordWrap w:val="0"/>
      <w:spacing w:before="360" w:after="360"/>
      <w:ind w:left="950" w:right="950"/>
      <w:jc w:val="center"/>
    </w:pPr>
    <w:rPr>
      <w:rFonts w:ascii="宋体" w:hAnsi="宋体" w:eastAsia="Times New Roman" w:cs="Times New Roman"/>
      <w:i/>
      <w:sz w:val="21"/>
      <w:lang w:val="en-US" w:eastAsia="zh-CN" w:bidi="ar-SA"/>
    </w:rPr>
  </w:style>
  <w:style w:type="paragraph" w:styleId="7">
    <w:name w:val="toc 3"/>
    <w:basedOn w:val="1"/>
    <w:next w:val="1"/>
    <w:qFormat/>
    <w:uiPriority w:val="0"/>
    <w:pPr>
      <w:ind w:left="840" w:leftChars="400"/>
    </w:pPr>
  </w:style>
  <w:style w:type="paragraph" w:styleId="8">
    <w:name w:val="footer"/>
    <w:basedOn w:val="1"/>
    <w:link w:val="28"/>
    <w:qFormat/>
    <w:uiPriority w:val="0"/>
    <w:pPr>
      <w:tabs>
        <w:tab w:val="center" w:pos="4153"/>
        <w:tab w:val="right" w:pos="8306"/>
      </w:tabs>
      <w:snapToGrid w:val="0"/>
      <w:jc w:val="left"/>
    </w:pPr>
    <w:rPr>
      <w:sz w:val="18"/>
      <w:szCs w:val="18"/>
    </w:rPr>
  </w:style>
  <w:style w:type="paragraph" w:styleId="9">
    <w:name w:val="header"/>
    <w:basedOn w:val="1"/>
    <w:link w:val="27"/>
    <w:qFormat/>
    <w:uiPriority w:val="0"/>
    <w:pPr>
      <w:tabs>
        <w:tab w:val="center" w:pos="4153"/>
        <w:tab w:val="right" w:pos="8306"/>
      </w:tabs>
      <w:snapToGrid w:val="0"/>
      <w:jc w:val="center"/>
    </w:pPr>
    <w:rPr>
      <w:sz w:val="18"/>
      <w:szCs w:val="18"/>
    </w:rPr>
  </w:style>
  <w:style w:type="paragraph" w:styleId="10">
    <w:name w:val="Title"/>
    <w:basedOn w:val="1"/>
    <w:qFormat/>
    <w:uiPriority w:val="0"/>
    <w:pPr>
      <w:spacing w:before="240" w:after="60"/>
      <w:jc w:val="center"/>
      <w:outlineLvl w:val="0"/>
    </w:pPr>
    <w:rPr>
      <w:rFonts w:ascii="Arial" w:hAnsi="Arial"/>
      <w:b/>
      <w:sz w:val="32"/>
    </w:rPr>
  </w:style>
  <w:style w:type="paragraph" w:customStyle="1" w:styleId="13">
    <w:name w:val="标题1"/>
    <w:basedOn w:val="2"/>
    <w:qFormat/>
    <w:uiPriority w:val="0"/>
    <w:rPr>
      <w:rFonts w:hint="eastAsia" w:ascii="黑体" w:hAnsi="黑体" w:eastAsia="黑体" w:cs="黑体"/>
      <w:kern w:val="2"/>
      <w:sz w:val="32"/>
      <w:szCs w:val="32"/>
    </w:rPr>
  </w:style>
  <w:style w:type="paragraph" w:customStyle="1" w:styleId="14">
    <w:name w:val="2标题"/>
    <w:basedOn w:val="10"/>
    <w:qFormat/>
    <w:uiPriority w:val="0"/>
    <w:pPr>
      <w:keepNext/>
      <w:keepLines/>
      <w:spacing w:after="240" w:line="500" w:lineRule="exact"/>
      <w:outlineLvl w:val="1"/>
    </w:pPr>
    <w:rPr>
      <w:rFonts w:hint="eastAsia" w:ascii="仿宋" w:hAnsi="仿宋" w:eastAsia="仿宋" w:cs="Arial"/>
      <w:bCs/>
      <w:color w:val="FF0000"/>
      <w:kern w:val="0"/>
      <w:szCs w:val="32"/>
    </w:rPr>
  </w:style>
  <w:style w:type="paragraph" w:customStyle="1" w:styleId="15">
    <w:name w:val="3标题"/>
    <w:basedOn w:val="10"/>
    <w:qFormat/>
    <w:uiPriority w:val="0"/>
    <w:pPr>
      <w:adjustRightInd w:val="0"/>
      <w:snapToGrid w:val="0"/>
      <w:spacing w:line="360" w:lineRule="auto"/>
      <w:ind w:firstLine="560" w:firstLineChars="200"/>
      <w:jc w:val="left"/>
      <w:outlineLvl w:val="2"/>
    </w:pPr>
    <w:rPr>
      <w:rFonts w:hint="eastAsia" w:ascii="仿宋" w:hAnsi="仿宋" w:eastAsia="仿宋" w:cs="楷体"/>
      <w:bCs/>
      <w:kern w:val="0"/>
      <w:szCs w:val="32"/>
    </w:rPr>
  </w:style>
  <w:style w:type="paragraph" w:customStyle="1" w:styleId="16">
    <w:name w:val="正文表格表头"/>
    <w:basedOn w:val="1"/>
    <w:qFormat/>
    <w:uiPriority w:val="0"/>
    <w:pPr>
      <w:snapToGrid w:val="0"/>
      <w:jc w:val="center"/>
    </w:pPr>
    <w:rPr>
      <w:rFonts w:hint="eastAsia" w:ascii="仿宋" w:hAnsi="仿宋" w:eastAsia="仿宋" w:cs="仿宋"/>
      <w:b/>
      <w:bCs/>
      <w:color w:val="000000" w:themeColor="text1"/>
      <w:kern w:val="0"/>
      <w:szCs w:val="21"/>
      <w14:textFill>
        <w14:solidFill>
          <w14:schemeClr w14:val="tx1"/>
        </w14:solidFill>
      </w14:textFill>
    </w:rPr>
  </w:style>
  <w:style w:type="paragraph" w:customStyle="1" w:styleId="17">
    <w:name w:val="正文表格"/>
    <w:basedOn w:val="1"/>
    <w:qFormat/>
    <w:uiPriority w:val="0"/>
    <w:pPr>
      <w:snapToGrid w:val="0"/>
      <w:jc w:val="left"/>
    </w:pPr>
    <w:rPr>
      <w:rFonts w:hint="eastAsia" w:ascii="仿宋" w:hAnsi="仿宋" w:eastAsia="仿宋" w:cs="仿宋"/>
      <w:szCs w:val="21"/>
    </w:rPr>
  </w:style>
  <w:style w:type="paragraph" w:customStyle="1" w:styleId="18">
    <w:name w:val="样式1"/>
    <w:basedOn w:val="1"/>
    <w:next w:val="1"/>
    <w:qFormat/>
    <w:uiPriority w:val="0"/>
    <w:pPr>
      <w:keepNext/>
      <w:keepLines/>
      <w:ind w:firstLine="482"/>
      <w:outlineLvl w:val="2"/>
    </w:pPr>
    <w:rPr>
      <w:rFonts w:eastAsia="仿宋"/>
      <w:b/>
      <w:sz w:val="28"/>
    </w:rPr>
  </w:style>
  <w:style w:type="paragraph" w:customStyle="1" w:styleId="19">
    <w:name w:val="三（三）标题"/>
    <w:basedOn w:val="1"/>
    <w:next w:val="1"/>
    <w:qFormat/>
    <w:uiPriority w:val="0"/>
    <w:pPr>
      <w:keepNext/>
      <w:keepLines/>
      <w:ind w:firstLine="482"/>
      <w:outlineLvl w:val="2"/>
    </w:pPr>
    <w:rPr>
      <w:rFonts w:eastAsia="仿宋"/>
      <w:b/>
      <w:sz w:val="28"/>
    </w:rPr>
  </w:style>
  <w:style w:type="paragraph" w:customStyle="1" w:styleId="20">
    <w:name w:val="表格3"/>
    <w:basedOn w:val="1"/>
    <w:qFormat/>
    <w:uiPriority w:val="0"/>
    <w:pPr>
      <w:keepNext/>
      <w:keepLines/>
      <w:snapToGrid w:val="0"/>
      <w:outlineLvl w:val="2"/>
    </w:pPr>
    <w:rPr>
      <w:rFonts w:hint="eastAsia" w:ascii="微软雅黑" w:hAnsi="微软雅黑" w:eastAsia="微软雅黑" w:cs="微软雅黑"/>
      <w:sz w:val="28"/>
      <w:szCs w:val="28"/>
    </w:rPr>
  </w:style>
  <w:style w:type="paragraph" w:customStyle="1" w:styleId="21">
    <w:name w:val="表格1"/>
    <w:basedOn w:val="1"/>
    <w:qFormat/>
    <w:uiPriority w:val="0"/>
    <w:pPr>
      <w:keepNext/>
      <w:keepLines/>
      <w:outlineLvl w:val="2"/>
    </w:pPr>
    <w:rPr>
      <w:rFonts w:hint="eastAsia" w:ascii="黑体" w:hAnsi="黑体" w:eastAsia="黑体" w:cs="黑体"/>
      <w:b/>
      <w:bCs/>
      <w:sz w:val="32"/>
      <w:szCs w:val="32"/>
    </w:rPr>
  </w:style>
  <w:style w:type="paragraph" w:customStyle="1" w:styleId="22">
    <w:name w:val="表格2"/>
    <w:basedOn w:val="1"/>
    <w:qFormat/>
    <w:uiPriority w:val="0"/>
    <w:pPr>
      <w:keepNext/>
      <w:keepLines/>
      <w:outlineLvl w:val="2"/>
    </w:pPr>
    <w:rPr>
      <w:rFonts w:hint="eastAsia" w:ascii="宋体" w:hAnsi="宋体" w:eastAsia="宋体" w:cs="Times New Roman"/>
      <w:b/>
      <w:bCs/>
      <w:sz w:val="32"/>
      <w:szCs w:val="32"/>
    </w:rPr>
  </w:style>
  <w:style w:type="paragraph" w:customStyle="1" w:styleId="23">
    <w:name w:val="表正文"/>
    <w:basedOn w:val="1"/>
    <w:qFormat/>
    <w:uiPriority w:val="0"/>
    <w:pPr>
      <w:snapToGrid w:val="0"/>
      <w:jc w:val="left"/>
    </w:pPr>
    <w:rPr>
      <w:rFonts w:hint="eastAsia" w:ascii="仿宋" w:hAnsi="仿宋" w:eastAsia="宋体" w:cs="仿宋"/>
      <w:sz w:val="24"/>
      <w:szCs w:val="21"/>
    </w:rPr>
  </w:style>
  <w:style w:type="paragraph" w:customStyle="1" w:styleId="24">
    <w:name w:val="1.1.1"/>
    <w:basedOn w:val="7"/>
    <w:qFormat/>
    <w:uiPriority w:val="0"/>
    <w:pPr>
      <w:widowControl/>
      <w:ind w:firstLine="640" w:firstLineChars="200"/>
      <w:jc w:val="left"/>
    </w:pPr>
    <w:rPr>
      <w:rFonts w:hint="eastAsia" w:ascii="仿宋" w:hAnsi="仿宋" w:eastAsia="仿宋" w:cs="仿宋"/>
      <w:color w:val="191919"/>
      <w:kern w:val="0"/>
      <w:sz w:val="32"/>
      <w:szCs w:val="32"/>
      <w:shd w:val="clear" w:color="auto" w:fill="FFFFFF"/>
    </w:rPr>
  </w:style>
  <w:style w:type="paragraph" w:customStyle="1" w:styleId="25">
    <w:name w:val="标题一"/>
    <w:basedOn w:val="1"/>
    <w:qFormat/>
    <w:uiPriority w:val="0"/>
    <w:pPr>
      <w:jc w:val="left"/>
      <w:outlineLvl w:val="0"/>
    </w:pPr>
    <w:rPr>
      <w:rFonts w:ascii="黑体" w:hAnsi="黑体" w:eastAsia="黑体" w:cs="黑体"/>
      <w:sz w:val="32"/>
      <w:szCs w:val="32"/>
    </w:rPr>
  </w:style>
  <w:style w:type="paragraph" w:styleId="26">
    <w:name w:val="List Paragraph"/>
    <w:basedOn w:val="1"/>
    <w:unhideWhenUsed/>
    <w:qFormat/>
    <w:uiPriority w:val="99"/>
    <w:pPr>
      <w:ind w:firstLine="420" w:firstLineChars="200"/>
    </w:pPr>
  </w:style>
  <w:style w:type="character" w:customStyle="1" w:styleId="27">
    <w:name w:val="页眉 字符"/>
    <w:basedOn w:val="12"/>
    <w:link w:val="9"/>
    <w:qFormat/>
    <w:uiPriority w:val="0"/>
    <w:rPr>
      <w:kern w:val="2"/>
      <w:sz w:val="18"/>
      <w:szCs w:val="18"/>
    </w:rPr>
  </w:style>
  <w:style w:type="character" w:customStyle="1" w:styleId="28">
    <w:name w:val="页脚 字符"/>
    <w:basedOn w:val="12"/>
    <w:link w:val="8"/>
    <w:qFormat/>
    <w:uiPriority w:val="0"/>
    <w:rPr>
      <w:kern w:val="2"/>
      <w:sz w:val="18"/>
      <w:szCs w:val="18"/>
    </w:rPr>
  </w:style>
  <w:style w:type="paragraph" w:customStyle="1" w:styleId="29">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3065</Words>
  <Characters>3168</Characters>
  <Lines>110</Lines>
  <Paragraphs>78</Paragraphs>
  <TotalTime>0</TotalTime>
  <ScaleCrop>false</ScaleCrop>
  <LinksUpToDate>false</LinksUpToDate>
  <CharactersWithSpaces>3239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2026-01-08T03:46:00Z</dcterms:created>
  <dc:creator>会员部</dc:creator>
  <cp:lastModifiedBy>王嵩</cp:lastModifiedBy>
  <dcterms:modified xsi:type="dcterms:W3CDTF">2026-04-23T08:11:50Z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28710C3131B945BCA4637491438AC0A9_13</vt:lpwstr>
  </property>
  <property fmtid="{D5CDD505-2E9C-101B-9397-08002B2CF9AE}" pid="4" name="KSOTemplateDocerSaveRecord">
    <vt:lpwstr>eyJoZGlkIjoiNDYyNGFiOWVjNmUyNDJkMjQ4ZjU3YWM4YTY1MmJjYzMiLCJ1c2VySWQiOiIxNTgwMzA1OTc1In0=</vt:lpwstr>
  </property>
</Properties>
</file>