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1EE0F">
      <w:pPr>
        <w:widowControl/>
        <w:jc w:val="left"/>
        <w:rPr>
          <w:rFonts w:hint="default" w:eastAsia="黑体"/>
          <w:lang w:val="en-US" w:eastAsia="zh-CN"/>
        </w:rPr>
      </w:pPr>
      <w:r>
        <w:rPr>
          <w:rFonts w:hint="eastAsia" w:ascii="黑体" w:hAnsi="黑体" w:eastAsia="黑体" w:cs="黑体"/>
          <w:color w:val="000000"/>
          <w:kern w:val="0"/>
          <w:sz w:val="31"/>
          <w:szCs w:val="31"/>
          <w:lang w:bidi="ar"/>
        </w:rPr>
        <w:t xml:space="preserve">附件 </w:t>
      </w:r>
      <w:r>
        <w:rPr>
          <w:rFonts w:hint="eastAsia" w:ascii="黑体" w:hAnsi="黑体" w:eastAsia="黑体" w:cs="黑体"/>
          <w:color w:val="000000"/>
          <w:kern w:val="0"/>
          <w:sz w:val="31"/>
          <w:szCs w:val="31"/>
          <w:lang w:val="en-US" w:eastAsia="zh-CN" w:bidi="ar"/>
        </w:rPr>
        <w:t>16</w:t>
      </w:r>
      <w:bookmarkStart w:id="4" w:name="_GoBack"/>
      <w:bookmarkEnd w:id="4"/>
    </w:p>
    <w:p w14:paraId="294757CA">
      <w:pPr>
        <w:widowControl/>
        <w:jc w:val="center"/>
        <w:rPr>
          <w:rFonts w:ascii="方正小标宋简体" w:hAnsi="方正小标宋简体" w:eastAsia="方正小标宋简体" w:cs="方正小标宋简体"/>
          <w:color w:val="000000"/>
          <w:kern w:val="0"/>
          <w:sz w:val="44"/>
          <w:szCs w:val="44"/>
          <w:lang w:bidi="ar"/>
        </w:rPr>
      </w:pPr>
      <w:r>
        <w:rPr>
          <w:rFonts w:ascii="方正小标宋简体" w:hAnsi="方正小标宋简体" w:eastAsia="方正小标宋简体" w:cs="方正小标宋简体"/>
          <w:color w:val="000000"/>
          <w:kern w:val="0"/>
          <w:sz w:val="44"/>
          <w:szCs w:val="44"/>
          <w:lang w:bidi="ar"/>
        </w:rPr>
        <w:t>中国电力建设企业协会</w:t>
      </w:r>
      <w:r>
        <w:rPr>
          <w:rFonts w:hint="eastAsia" w:ascii="方正小标宋简体" w:hAnsi="方正小标宋简体" w:eastAsia="方正小标宋简体" w:cs="方正小标宋简体"/>
          <w:color w:val="000000"/>
          <w:kern w:val="0"/>
          <w:sz w:val="44"/>
          <w:szCs w:val="44"/>
          <w:lang w:bidi="ar"/>
        </w:rPr>
        <w:t>《抽水蓄能电站建设工程土石方平衡设计导则》</w:t>
      </w:r>
      <w:r>
        <w:rPr>
          <w:rFonts w:ascii="方正小标宋简体" w:hAnsi="方正小标宋简体" w:eastAsia="方正小标宋简体" w:cs="方正小标宋简体"/>
          <w:color w:val="000000"/>
          <w:kern w:val="0"/>
          <w:sz w:val="44"/>
          <w:szCs w:val="44"/>
          <w:lang w:bidi="ar"/>
        </w:rPr>
        <w:t>标准编制说明</w:t>
      </w:r>
    </w:p>
    <w:p w14:paraId="26830DCD">
      <w:pPr>
        <w:widowControl/>
        <w:jc w:val="center"/>
        <w:rPr>
          <w:rFonts w:ascii="方正小标宋简体" w:hAnsi="方正小标宋简体" w:eastAsia="方正小标宋简体" w:cs="方正小标宋简体"/>
          <w:color w:val="000000"/>
          <w:kern w:val="0"/>
          <w:sz w:val="44"/>
          <w:szCs w:val="44"/>
          <w:lang w:bidi="ar"/>
        </w:rPr>
      </w:pPr>
    </w:p>
    <w:p w14:paraId="64DF0861">
      <w:pPr>
        <w:widowControl/>
        <w:jc w:val="center"/>
        <w:rPr>
          <w:rFonts w:ascii="方正小标宋简体" w:hAnsi="方正小标宋简体" w:eastAsia="方正小标宋简体" w:cs="方正小标宋简体"/>
          <w:color w:val="000000"/>
          <w:kern w:val="0"/>
          <w:sz w:val="44"/>
          <w:szCs w:val="44"/>
          <w:lang w:bidi="ar"/>
        </w:rPr>
      </w:pPr>
    </w:p>
    <w:p w14:paraId="1A70B9D0">
      <w:pPr>
        <w:widowControl/>
        <w:jc w:val="center"/>
        <w:rPr>
          <w:rFonts w:ascii="方正小标宋简体" w:hAnsi="方正小标宋简体" w:eastAsia="方正小标宋简体" w:cs="方正小标宋简体"/>
          <w:color w:val="000000"/>
          <w:kern w:val="0"/>
          <w:sz w:val="44"/>
          <w:szCs w:val="44"/>
          <w:lang w:bidi="ar"/>
        </w:rPr>
      </w:pPr>
    </w:p>
    <w:p w14:paraId="0EEB6B91">
      <w:pPr>
        <w:widowControl/>
        <w:jc w:val="center"/>
        <w:rPr>
          <w:rFonts w:ascii="方正小标宋简体" w:hAnsi="方正小标宋简体" w:eastAsia="方正小标宋简体" w:cs="方正小标宋简体"/>
          <w:color w:val="000000"/>
          <w:kern w:val="0"/>
          <w:sz w:val="44"/>
          <w:szCs w:val="44"/>
          <w:lang w:bidi="ar"/>
        </w:rPr>
      </w:pPr>
    </w:p>
    <w:p w14:paraId="0A1994DD">
      <w:pPr>
        <w:widowControl/>
        <w:jc w:val="center"/>
        <w:rPr>
          <w:rFonts w:ascii="方正小标宋简体" w:hAnsi="方正小标宋简体" w:eastAsia="方正小标宋简体" w:cs="方正小标宋简体"/>
          <w:color w:val="000000"/>
          <w:kern w:val="0"/>
          <w:sz w:val="44"/>
          <w:szCs w:val="44"/>
          <w:lang w:bidi="ar"/>
        </w:rPr>
      </w:pPr>
    </w:p>
    <w:p w14:paraId="55A7AB6C">
      <w:pPr>
        <w:widowControl/>
        <w:jc w:val="center"/>
        <w:rPr>
          <w:rFonts w:ascii="方正小标宋简体" w:hAnsi="方正小标宋简体" w:eastAsia="方正小标宋简体" w:cs="方正小标宋简体"/>
          <w:color w:val="000000"/>
          <w:kern w:val="0"/>
          <w:sz w:val="44"/>
          <w:szCs w:val="44"/>
          <w:lang w:bidi="ar"/>
        </w:rPr>
      </w:pPr>
    </w:p>
    <w:p w14:paraId="528DD5F2">
      <w:pPr>
        <w:widowControl/>
        <w:jc w:val="center"/>
        <w:rPr>
          <w:rFonts w:ascii="方正小标宋简体" w:hAnsi="方正小标宋简体" w:eastAsia="方正小标宋简体" w:cs="方正小标宋简体"/>
          <w:color w:val="000000"/>
          <w:kern w:val="0"/>
          <w:sz w:val="44"/>
          <w:szCs w:val="44"/>
          <w:lang w:bidi="ar"/>
        </w:rPr>
      </w:pPr>
    </w:p>
    <w:p w14:paraId="18387A40">
      <w:pPr>
        <w:widowControl/>
        <w:jc w:val="center"/>
        <w:rPr>
          <w:rFonts w:ascii="方正小标宋简体" w:hAnsi="方正小标宋简体" w:eastAsia="方正小标宋简体" w:cs="方正小标宋简体"/>
          <w:color w:val="000000"/>
          <w:kern w:val="0"/>
          <w:sz w:val="44"/>
          <w:szCs w:val="44"/>
          <w:lang w:bidi="ar"/>
        </w:rPr>
      </w:pPr>
    </w:p>
    <w:p w14:paraId="3A64E6ED">
      <w:pPr>
        <w:widowControl/>
        <w:jc w:val="center"/>
        <w:rPr>
          <w:rFonts w:ascii="方正小标宋简体" w:hAnsi="方正小标宋简体" w:eastAsia="方正小标宋简体" w:cs="方正小标宋简体"/>
          <w:color w:val="000000"/>
          <w:kern w:val="0"/>
          <w:sz w:val="44"/>
          <w:szCs w:val="44"/>
          <w:lang w:bidi="ar"/>
        </w:rPr>
      </w:pPr>
    </w:p>
    <w:p w14:paraId="2BED423B">
      <w:pPr>
        <w:widowControl/>
        <w:jc w:val="center"/>
        <w:rPr>
          <w:rFonts w:ascii="方正小标宋简体" w:hAnsi="方正小标宋简体" w:eastAsia="方正小标宋简体" w:cs="方正小标宋简体"/>
          <w:color w:val="000000"/>
          <w:kern w:val="0"/>
          <w:sz w:val="44"/>
          <w:szCs w:val="44"/>
          <w:lang w:bidi="ar"/>
        </w:rPr>
      </w:pPr>
    </w:p>
    <w:p w14:paraId="00878F91">
      <w:pPr>
        <w:widowControl/>
        <w:jc w:val="center"/>
        <w:rPr>
          <w:rFonts w:ascii="方正小标宋简体" w:hAnsi="方正小标宋简体" w:eastAsia="方正小标宋简体" w:cs="方正小标宋简体"/>
          <w:color w:val="000000"/>
          <w:kern w:val="0"/>
          <w:sz w:val="44"/>
          <w:szCs w:val="44"/>
          <w:lang w:bidi="ar"/>
        </w:rPr>
      </w:pPr>
    </w:p>
    <w:p w14:paraId="75039661">
      <w:pPr>
        <w:widowControl/>
        <w:jc w:val="center"/>
        <w:rPr>
          <w:rFonts w:hint="eastAsia" w:ascii="方正小标宋简体" w:hAnsi="方正小标宋简体" w:eastAsia="方正小标宋简体" w:cs="方正小标宋简体"/>
          <w:color w:val="000000"/>
          <w:kern w:val="0"/>
          <w:sz w:val="44"/>
          <w:szCs w:val="44"/>
          <w:lang w:bidi="ar"/>
        </w:rPr>
      </w:pPr>
    </w:p>
    <w:p w14:paraId="728A534D">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一、工作简况</w:t>
      </w:r>
    </w:p>
    <w:p w14:paraId="4FA0038B">
      <w:pPr>
        <w:pStyle w:val="26"/>
        <w:numPr>
          <w:ilvl w:val="0"/>
          <w:numId w:val="3"/>
        </w:numPr>
        <w:adjustRightInd w:val="0"/>
        <w:snapToGrid w:val="0"/>
        <w:spacing w:line="560" w:lineRule="exact"/>
        <w:ind w:firstLine="562"/>
        <w:outlineLvl w:val="1"/>
        <w:rPr>
          <w:rFonts w:hint="eastAsia"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任务来源</w:t>
      </w:r>
    </w:p>
    <w:p w14:paraId="7C88D3EC">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中电建协相关团体标准制定计划安排，对抽水蓄能电站建设工程土石方平衡领域开展专项标准编制，立项为中国电力建设企业协会团体标准项目，旨在填补国内抽水蓄能电站建设工程土石方平衡设计专项标准的空白，规范抽水蓄能电站土石方平衡设计及专题报告编制，推动抽水蓄能电站建设工程设计标准化、规范化、绿色化发展，提升行业土石方平衡设计水平和工程建设质量。</w:t>
      </w:r>
    </w:p>
    <w:p w14:paraId="433982EE">
      <w:pPr>
        <w:pStyle w:val="26"/>
        <w:numPr>
          <w:ilvl w:val="0"/>
          <w:numId w:val="3"/>
        </w:numPr>
        <w:adjustRightInd w:val="0"/>
        <w:snapToGrid w:val="0"/>
        <w:spacing w:line="560" w:lineRule="exact"/>
        <w:ind w:firstLine="562"/>
        <w:outlineLvl w:val="1"/>
        <w:rPr>
          <w:rFonts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制定背景</w:t>
      </w:r>
    </w:p>
    <w:p w14:paraId="68A3737F">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随着新型电力系统建设加快推进，抽水蓄能电站进入规模化、高质量发展新阶段，工程建设呈现工程量大、地质条件复杂、料源种类多、挖填调配难度高、生态环保约束严等特点，对土石方平衡设计的科学性、经济性、合规性提出了更高要求。土石方平衡作为抽水蓄能电站工程设计与施工组织的核心内容，直接关系工程投资、建设工期、资源利用及生态保护效果。</w:t>
      </w:r>
    </w:p>
    <w:p w14:paraId="5ACDDE0F">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当前，抽水蓄能电站土石方平衡设计主要依托水电工程通用标准执行，尚未形成专门针对抽水蓄能电站特点的专项设计导则：一方面，不同项目、不同设计单位在料源规划、挖填平衡、调配优化、损耗计算、转存与弃渣等方面做法不一，缺乏统一、规范的技术路径；另一方面，现有标准多为原则性规定，对全流程分阶段设计、动态平衡等关键内容的系统性、操作性不足，难以完全适配抽水蓄能电站工程建设实际。</w:t>
      </w:r>
    </w:p>
    <w:p w14:paraId="4A1B1D1B">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现有国家、行业标准仅对部分水电及抽水蓄能电站工程设计、建筑材料勘察、料场开采等环节作出规定，如NB/T 10072《抽水蓄能电站设计规范》、NB/T 10235《水电工程天然建筑材料勘察规程》、NB/T 10238《水电工程料源选择与料场开采设计规范》等，未针对抽水蓄能电站建设工程土石方平衡全流程设计形成专项指导文件，对分阶段平衡计算、料源统筹规划、动态调配优化、转存场及弃渣场系统布置等方面的针对性和指导性不足。</w:t>
      </w:r>
    </w:p>
    <w:p w14:paraId="6231CE9D">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规范抽水蓄能电站建设工程土石方平衡设计工作，统一设计原则、技术要求与方法流程，提高设计质量与效率，实现料尽其用、降本增效、绿色环保，保障工程安全、经济、有序实施，特制定本《抽水蓄能电站建设工程土石方平衡设计导则》，为行业提供统一、可操作的技术依据。</w:t>
      </w:r>
    </w:p>
    <w:p w14:paraId="2D535D4B">
      <w:pPr>
        <w:pStyle w:val="26"/>
        <w:numPr>
          <w:ilvl w:val="0"/>
          <w:numId w:val="3"/>
        </w:numPr>
        <w:adjustRightInd w:val="0"/>
        <w:snapToGrid w:val="0"/>
        <w:spacing w:line="560" w:lineRule="exact"/>
        <w:ind w:firstLine="562"/>
        <w:outlineLvl w:val="1"/>
        <w:rPr>
          <w:rFonts w:hint="eastAsia"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起草过程</w:t>
      </w:r>
    </w:p>
    <w:p w14:paraId="1023BC2B">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本文件由中电建协标委会组织，国网新源控股有限公司抽水蓄能技术经济研究院、广东省水利电力勘测设计研究院股份有限公司、国网电力工程研究院有限公司、河海大学共4家单位编制完成。</w:t>
      </w:r>
    </w:p>
    <w:p w14:paraId="54476CD9">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2025年12月，在北京召开《抽水蓄能电站建设工程土石方平衡设计导则》初稿讨论会，主编单位、参编单位对标准编制大纲、标准初稿内容进行了研究和讨论，各参编单位研究讨论形成初稿修改方案，并在会后完成初稿修改完善。</w:t>
      </w:r>
    </w:p>
    <w:p w14:paraId="12937C28">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2026年4月，在北京召开《抽水蓄能电站建设工程土石方平衡设计导则》中电建协团体标准的征求意见稿定稿会，会上主编单位介绍了二稿讨论会提出的意见修改情况，主编单位、参编单位、以及该领域专家学者对本标准的征求意见稿进行讨论，并会后完成本标准的修改工作，形成征求意见稿。</w:t>
      </w:r>
    </w:p>
    <w:p w14:paraId="21DC52CE">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二、标准编制原则，主要内容及其确定依据</w:t>
      </w:r>
    </w:p>
    <w:p w14:paraId="50A1FA5F">
      <w:pPr>
        <w:pStyle w:val="26"/>
        <w:numPr>
          <w:ilvl w:val="0"/>
          <w:numId w:val="4"/>
        </w:numPr>
        <w:adjustRightInd w:val="0"/>
        <w:snapToGrid w:val="0"/>
        <w:spacing w:line="560" w:lineRule="exact"/>
        <w:ind w:firstLine="562"/>
        <w:outlineLvl w:val="1"/>
        <w:rPr>
          <w:rFonts w:hint="eastAsia"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标准编制原则</w:t>
      </w:r>
    </w:p>
    <w:p w14:paraId="3F678BE0">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（1）本标准的编制应满足《中国电力建设企业协会标准管理办法（试行）》的有关要求。</w:t>
      </w:r>
    </w:p>
    <w:p w14:paraId="26CADC7E">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（2）编写格式执行《标准化工作导则 第1部分：标准化文件的结构和起草规则》GB/T 1.1-2020 的有关规定；起草规则执行《标准起草规则 第5部分：规范标准》GB/T20001.5-2017的有关规定。</w:t>
      </w:r>
    </w:p>
    <w:p w14:paraId="663F0674">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（3）遵循规程编制的“四性”要求：技术上的先进性和科学性、与国家法律法规和相关标准的协调性、标准发布实施上的可操作性。</w:t>
      </w:r>
    </w:p>
    <w:p w14:paraId="1070BC8D">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充分考虑本标准编制的针对性、系统性和可操作性，立足抽水蓄能电站土石方量大、料源复杂、调配难度高、生态约束严的工程特点，明确土石方平衡设计的总体原则、依据与基本规定，构建覆盖料源规划、平衡计算、动态调配、转存及弃渣全流程设计体系，强化设计方法、计算要求与工程实践的深度融合，兼顾资源节约、环境友好、经济合理、料尽其用，体现标准的科学性、实用性和引领性。</w:t>
      </w:r>
    </w:p>
    <w:p w14:paraId="21971251">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（5）贯彻执行《中华人民共和国标准化法》、《团体标准管理规定》等法律、规定，做到格式规范，逻辑清晰，结构严紧、通俗易懂和简单明了。</w:t>
      </w:r>
    </w:p>
    <w:p w14:paraId="25D91164">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（6）充分发扬民主自由性，与各参编单位协调一致，共同商讨。充分梳理与现行相关国家标准之间的关系，避免重复与矛盾。部分标准高于国家、行业相关标准。</w:t>
      </w:r>
    </w:p>
    <w:p w14:paraId="4D36CB64">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（7）标准编写工作符合国标规定，内容完整、翔实具体，用词准确，规定清晰，不可模糊不清，无歧义无相互矛盾。</w:t>
      </w:r>
    </w:p>
    <w:p w14:paraId="0E0574F8">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明确分工协作、落实各自责任，严格控制编制进度计划、确保标准高质量编制。各编写单位汇聚了电力行业的众多专家学者，在抽水蓄能电站施工组织设计和土石方平衡计算领域均拥有丰富的实践经验与精湛的专业技术。</w:t>
      </w:r>
    </w:p>
    <w:p w14:paraId="231716E2">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（9）编制过程中邀请了抽水蓄能工程建设单位、设计单位、施工单位、监理单位的多位技术专家、项目负责人等，对标准编制工作予以指导和提出很多宝贵意见。</w:t>
      </w:r>
    </w:p>
    <w:p w14:paraId="3F94846A">
      <w:pPr>
        <w:pStyle w:val="26"/>
        <w:numPr>
          <w:ilvl w:val="0"/>
          <w:numId w:val="4"/>
        </w:numPr>
        <w:adjustRightInd w:val="0"/>
        <w:snapToGrid w:val="0"/>
        <w:spacing w:line="560" w:lineRule="exact"/>
        <w:ind w:firstLine="562"/>
        <w:outlineLvl w:val="1"/>
        <w:rPr>
          <w:rFonts w:hint="eastAsia"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标准主要内容</w:t>
      </w:r>
    </w:p>
    <w:p w14:paraId="59D4ECD7">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主要技术内容共8章及2个资料性附录，分别是范围（第1章）、规范性引用文件（第2章）、术语和定义（第3章）、总体原则与依据（第4章）、基本规定（第5章）、料源选择与规划（第6章）、土石方平衡计算（第7章）、转存场及弃渣规划（第8章），附录A为土石方平衡设计所需资料，附录B为设计需要量、规划开采量计算。</w:t>
      </w:r>
    </w:p>
    <w:p w14:paraId="5AB370BD">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第1章：本章对本文件的主要技术内容作出提要式说明。文件规定了什么，适用于什么等。</w:t>
      </w:r>
    </w:p>
    <w:p w14:paraId="58A0F1BD">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第2章：本章规定了本文件的规范性引用文件。引用了国家、电力和能源行业标准规范。</w:t>
      </w:r>
    </w:p>
    <w:p w14:paraId="30F9DEB2">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第3章：本章规定了应用于本文件的相关术语和定义。土石方平衡、扩库开挖、库底平整、工程开挖料、可利用料等。</w:t>
      </w:r>
    </w:p>
    <w:p w14:paraId="55992FDA">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4章：本章规定了抽水蓄能电站建设工程土石方平衡设计的总体原则和依据，提出资源节约、环境友好、统筹安排等总体原则，总体依据涵盖相关法律法规、审批文件、项目要求、工程自然及现状条件、各类试验成果和勘测设计专业成果。</w:t>
      </w:r>
    </w:p>
    <w:p w14:paraId="647C0618">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5章：本章明确了抽水蓄能电站土石方平衡设计的基本规定，要求设计符合相关标准及本导则，重视基础资料收集；需统筹料源、进度等，优化调配、减少弃渣和运输量；倡导信息化智能化手段，明确平衡实施层次、调配方法，要求设计预留裕度适配工程进度。</w:t>
      </w:r>
    </w:p>
    <w:p w14:paraId="1D71B74B">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6章：本章明确抽水蓄能电站土石方平衡设计的料源选择与开采规划要求。规定料源包括工程开挖料及各类料场开采料，需符合相关标准，优先利用工程开挖料；分别明确混凝土骨料、填筑石料、土料的选择标准及优先级，同时要求开采规划与施工进度协调，合理确定开采量、优化物料流向，提高有用料利用率。</w:t>
      </w:r>
    </w:p>
    <w:p w14:paraId="091A4C67">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7章：本章规定了土石方平衡计算的一般要求与动态平衡分析方法。明确计算应以设计工程量为基础，按预可研、可研、招标、施工详图四个阶段逐级深化、分阶段精细化计算；规范了各类料物需求量、损耗系数、折方系数等计算方法与取值要求。同时提出工程建设阶段应开展土石方动态平衡与分项平衡分析，通过数据监控、节点评估、精细化调配，实现挖填均衡、料物高效利用，保障施工质量与进度。</w:t>
      </w:r>
    </w:p>
    <w:p w14:paraId="4AB31DDD">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8章：本章规定了转存场及弃渣场的规划要求。明确选址与布置应遵循安全、经济、节约用地等原则，符合相关规范要求；分别对有用料、无用料及表土转存场提出规划要点，优先库内布置、就近堆存，提高回采利用率。弃渣规划强调优先利用开挖料、少设或不设渣场，明确库底平整等弃渣布置要求，确保施工期和运行期安全稳定。</w:t>
      </w:r>
    </w:p>
    <w:p w14:paraId="72F8DECC">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附录：附录A为土石方平衡设计所需资料，制定土石方平衡设计所需资料表，包含勘探资料、试验资料和设计资料；附录B为设计需要量、规划开采量计算，明确设计需要量、规划开采量的计算公式，为工程实践提供参考。</w:t>
      </w:r>
    </w:p>
    <w:p w14:paraId="4ED58938">
      <w:pPr>
        <w:pStyle w:val="26"/>
        <w:numPr>
          <w:ilvl w:val="0"/>
          <w:numId w:val="4"/>
        </w:numPr>
        <w:adjustRightInd w:val="0"/>
        <w:snapToGrid w:val="0"/>
        <w:spacing w:line="560" w:lineRule="exact"/>
        <w:ind w:firstLine="562"/>
        <w:outlineLvl w:val="1"/>
        <w:rPr>
          <w:rFonts w:hint="eastAsia" w:ascii="仿宋_GB2312" w:hAnsi="仿宋_GB2312" w:eastAsia="仿宋_GB2312" w:cs="仿宋_GB2312"/>
          <w:b/>
          <w:sz w:val="28"/>
          <w:szCs w:val="28"/>
          <w:lang w:bidi="ar"/>
        </w:rPr>
      </w:pPr>
      <w:r>
        <w:rPr>
          <w:rFonts w:hint="eastAsia" w:ascii="仿宋_GB2312" w:hAnsi="仿宋_GB2312" w:eastAsia="仿宋_GB2312" w:cs="仿宋_GB2312"/>
          <w:b/>
          <w:sz w:val="28"/>
          <w:szCs w:val="28"/>
          <w:lang w:bidi="ar"/>
        </w:rPr>
        <w:t>标准主要内容确定依据</w:t>
      </w:r>
    </w:p>
    <w:p w14:paraId="4D824D84">
      <w:pPr>
        <w:widowControl/>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根据本文件的编制目的及要标准化的对象，本文件属规范类标准，故主要内容按照 GB/T 1.1 2020《标准化工作导则 第1部分：标准化文件的结构和起草规则》的规定起草,并参照《标准起草规则 第5部分：规范标准》GB/T 0001.5-2017进行确定。</w:t>
      </w:r>
    </w:p>
    <w:p w14:paraId="418EAC4D">
      <w:pPr>
        <w:widowControl/>
        <w:adjustRightInd w:val="0"/>
        <w:snapToGrid w:val="0"/>
        <w:spacing w:line="560" w:lineRule="exact"/>
        <w:ind w:firstLine="560" w:firstLineChars="200"/>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三、试验验证的分析、综述报告，技术经济论证，预期的经济效益、社会效益和生态效益</w:t>
      </w:r>
    </w:p>
    <w:p w14:paraId="7383C4F3">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bookmarkStart w:id="0" w:name="heading_9"/>
      <w:r>
        <w:rPr>
          <w:rFonts w:hint="eastAsia" w:ascii="黑体" w:hAnsi="黑体" w:eastAsia="黑体" w:cs="黑体"/>
          <w:color w:val="000000"/>
          <w:kern w:val="0"/>
          <w:sz w:val="28"/>
          <w:szCs w:val="28"/>
          <w:lang w:bidi="ar"/>
        </w:rPr>
        <w:t>（一）试验验证分析</w:t>
      </w:r>
      <w:bookmarkEnd w:id="0"/>
    </w:p>
    <w:p w14:paraId="460997DB">
      <w:pPr>
        <w:spacing w:before="120" w:after="120" w:line="288" w:lineRule="auto"/>
        <w:ind w:firstLine="560" w:firstLineChars="200"/>
        <w:jc w:val="left"/>
      </w:pPr>
      <w:r>
        <w:rPr>
          <w:rFonts w:hint="eastAsia" w:ascii="仿宋_GB2312" w:hAnsi="仿宋_GB2312" w:eastAsia="仿宋_GB2312" w:cs="仿宋_GB2312"/>
          <w:sz w:val="28"/>
          <w:szCs w:val="28"/>
        </w:rPr>
        <w:t>本标准编制过程中，充分依托国内多个已建、在建抽水蓄能电站工程实践案例，涵盖多个不同工程场景，对抽水蓄能电站土石方平衡设计全流程进行了全面验证。从料源勘察精度、挖填量计算准确性、调配方案合理性及渣场适配性等方面，收集了大量工程实践数据和现场验证结果，结合相关标准要求，验证了本标准中提出的设计原则、计算方法、技术要求的科学性、合理性和可行性，确保标准内容贴合工程实际，能够有效指导抽水蓄能电站土石方平衡设计工作，保障设计质量。</w:t>
      </w:r>
    </w:p>
    <w:p w14:paraId="53FD350D">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bookmarkStart w:id="1" w:name="heading_10"/>
      <w:r>
        <w:rPr>
          <w:rFonts w:hint="eastAsia" w:ascii="黑体" w:hAnsi="黑体" w:eastAsia="黑体" w:cs="黑体"/>
          <w:color w:val="000000"/>
          <w:kern w:val="0"/>
          <w:sz w:val="28"/>
          <w:szCs w:val="28"/>
          <w:lang w:bidi="ar"/>
        </w:rPr>
        <w:t>（二）技术经济论证</w:t>
      </w:r>
      <w:bookmarkEnd w:id="1"/>
    </w:p>
    <w:p w14:paraId="1302BC56">
      <w:pPr>
        <w:spacing w:before="120" w:after="120" w:line="288"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的制定，推动抽水蓄能电站土石方平衡设计与工程实际需求精准适配，提升土石方设计的科学性、规范性和经济性，为工程建设提供可靠的技术支撑。从技术层面，构建了覆盖料源勘察、挖填计算、调配优化、渣场衔接的全流程设计体系，明确了各环节技术要求和设计方法，解决了现有设计中内容分散、针对性不足的问题，提升了土石方平衡设计的技术水平，保障工程设计质量和施工安全；从经济层面，通过标准化的设计优化，合理规划料源、优化调配路径，减少土石方外运、弃置及二次搬运量，降低运输和处置成本，提高天然建筑材料利用率，减少资源浪费，提升项目投资效益和行业整体经济效益。</w:t>
      </w:r>
    </w:p>
    <w:p w14:paraId="7086E42E">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bookmarkStart w:id="2" w:name="heading_11"/>
      <w:r>
        <w:rPr>
          <w:rFonts w:hint="eastAsia" w:ascii="黑体" w:hAnsi="黑体" w:eastAsia="黑体" w:cs="黑体"/>
          <w:color w:val="000000"/>
          <w:kern w:val="0"/>
          <w:sz w:val="28"/>
          <w:szCs w:val="28"/>
          <w:lang w:bidi="ar"/>
        </w:rPr>
        <w:t>（三）预期效益</w:t>
      </w:r>
      <w:bookmarkEnd w:id="2"/>
    </w:p>
    <w:p w14:paraId="336EDE38">
      <w:pPr>
        <w:spacing w:before="120" w:after="120" w:line="288"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社会效益：本标准的实施填补了国内抽水蓄能电站建设工程土石方平衡设计专项标准的空白，为行业提供统一的技术规范和设计依据，促进抽水蓄能电站土石方工程设计标准化、规范化、科学化发展。通过规范土石方平衡设计全流程，推动料源优化、挖填调配等先进设计理念和方法的推广应用，提升我国抽水蓄能电站建设的整体设计水平，为新型电力系统建设、抽水蓄能电站规模化发展提供坚实的设计技术支撑。</w:t>
      </w:r>
    </w:p>
    <w:p w14:paraId="08FA386E">
      <w:pPr>
        <w:spacing w:before="120" w:after="120" w:line="288"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济效益：通过标准化的土石方平衡设计，优化料源选择、挖填调配方案，减少土石方外运、弃置及二次搬运量，降低运输和弃渣处置成本；精准控制土石方损耗，提高天然建筑材料利用率，减少资源浪费；优化施工组织流程，避免因设计不合理导致的调配运距增加等问题，提升施工效率、缩短工程工期，加快抽水蓄能电站投产进度。</w:t>
      </w:r>
    </w:p>
    <w:p w14:paraId="3B6A49F5">
      <w:pPr>
        <w:spacing w:before="120" w:after="120" w:line="288"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生态效益：本标准突出绿色生态设计原则，衔接水土保持、渣场防护等相关标准，规范土石方开挖、堆放、调配及弃渣处置的设计要求。通过减少施工过程对周边地质地貌、表土的扰动，降低施工扬尘、水土流失、弃渣污染等生态影响，规范施工废弃物、弃土弃渣的处置流程；助力抽水蓄能电站建设与生态环境保护协调发展，实现绿色设计、绿色施工，推动水电工程生态化建设，践行绿色发展理念。</w:t>
      </w:r>
    </w:p>
    <w:p w14:paraId="037AE17C">
      <w:pPr>
        <w:widowControl/>
        <w:adjustRightInd w:val="0"/>
        <w:snapToGrid w:val="0"/>
        <w:spacing w:line="560" w:lineRule="exact"/>
        <w:ind w:firstLine="560" w:firstLineChars="200"/>
        <w:outlineLvl w:val="1"/>
        <w:rPr>
          <w:rFonts w:hint="eastAsia" w:ascii="仿宋_GB2312" w:hAnsi="仿宋_GB2312" w:eastAsia="仿宋_GB2312" w:cs="仿宋_GB2312"/>
          <w:sz w:val="28"/>
          <w:szCs w:val="28"/>
        </w:rPr>
      </w:pPr>
      <w:r>
        <w:rPr>
          <w:rFonts w:hint="eastAsia" w:ascii="黑体" w:hAnsi="黑体" w:eastAsia="黑体" w:cs="黑体"/>
          <w:color w:val="000000"/>
          <w:kern w:val="0"/>
          <w:sz w:val="28"/>
          <w:szCs w:val="28"/>
          <w:lang w:bidi="ar"/>
        </w:rPr>
        <w:t>四、与国际、国内同类标准技术内容的对比情况，或者与测试的样品、样机的有关数据对比情况</w:t>
      </w:r>
    </w:p>
    <w:p w14:paraId="0CD255D1">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目前，国际上尚无针对抽水蓄能电站建设工程土石方平衡设计的专项标准，相关标准主要集中在通用土石方工程施工、水土保持、工程建设等通用领域，仅对土石方工程的基础技术要求、安全规范作出原则性规定，未结合抽水蓄能电站“土石方量大、施工周期长、施工条件复杂”的核心特点，缺乏针对性和系统性的设计指导。</w:t>
      </w:r>
    </w:p>
    <w:p w14:paraId="754947BD">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国内现有标准中，NB/T 10072《抽水蓄能电站设计规范》仅简要提及土石方平衡的基本要求，未明确具体设计方法，NB/T 10238《水电工程料源选择与料场开采设计规范》和NB/T 35111《水电工程渣场设计规范》等标准仅聚焦料源选择、渣场设计等单一环节，未形成覆盖全流程的设计体系。</w:t>
      </w:r>
    </w:p>
    <w:p w14:paraId="537D3AEE">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与国内现有同类标准相比，本标准具有以下显著特点：一是针对性较强，专门聚焦抽水蓄能电站建设工程，充分结合其地质条件复杂、土石方挖填量大、料源多点分布的行业特性，针对性解决工程实际设计中的难点问题；二是系统性完整，构建了从料源勘察、挖填量计算、到调配方案设计、动态平衡的全流程设计体系，明确各环节技术要求和操作流程，可直接指导现场设计工作，提升土石方平衡设计的科学性、经济性和合规性。</w:t>
      </w:r>
    </w:p>
    <w:p w14:paraId="3F40E475">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未涉及测试样品、样机相关内容，主要通过梳理国内已建、在建抽水蓄能电站土石方工程设计案例，结合现有标准技术要求，进行对比优化和补充完善，确保标准内容贴合工程实际，与现有同类标准形成互补，填补了抽水蓄能电站建设工程土石方平衡设计专项标准的空白，对规范行业设计行为、提升工程设计质量具有重要指导意义。</w:t>
      </w:r>
    </w:p>
    <w:p w14:paraId="39786608">
      <w:pPr>
        <w:widowControl/>
        <w:adjustRightInd w:val="0"/>
        <w:snapToGrid w:val="0"/>
        <w:spacing w:line="560" w:lineRule="exact"/>
        <w:outlineLvl w:val="1"/>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五.以国际、国内标准为基础的起草情况，以及是否合规引用或者采用相关标准，并说明未采用相关标准的原因</w:t>
      </w:r>
    </w:p>
    <w:p w14:paraId="3A2FC5FA">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以国内现行的国家、能源行业水电及抽水蓄能相关标准为核心基础进行起草，合规引用了水土保持、抽水蓄能电站设计、天然建筑材料勘察、料源选择、施工组织、渣场设计、施工总布置等方面的相关标准，具体包括 GB 51018《水土保持工程设计规范》、NB/T 10072《抽水蓄能电站设计规范》、NB/T 10235《水电工程天然建筑材料勘察规程》、NB/T 10238《水电工程料源选择与料场开采设计规范》、NB/T 10491《水电工程施工组织设计规范》、NB/T 35111《水电工程渣场设计规范》、NB/T 35120《水电工程施工总布置设计规范》等，所有引用标准均为现行有效版本，确保本标准与国内现有水电、抽水蓄能工程设计标准体系相衔接、相协调，技术要求保持一致且相互补充。</w:t>
      </w:r>
    </w:p>
    <w:p w14:paraId="1CC6E81B">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于国际相关标准，因国内外抽水蓄能电站建设条件、地质地貌特征、土石方资源禀赋、生态环保要求及工程设计理念存在较大差异，国际上相关标准多针对其本土工程特点制定，难以适配我国抽水蓄能电站土石方平衡设计的实际需求和行业特点，故未采用国际相关标准。</w:t>
      </w:r>
    </w:p>
    <w:p w14:paraId="71EE12B2">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于国内部分非水电、非抽水蓄能领域的土石方工程相关标准，因其主要适用于建筑、市政等其他行业，针对性不足，与抽水蓄能电站土石方工程量大、料源复杂、调配难度高、生态约束严的核心特点不匹配，仅在通用设计原则、基础技术指标等方面进行参考借鉴，未直接采用，确保本标准内容紧密贴合抽水蓄能电站建设工程的行业特性和实际设计需求，提升标准的针对性和可操作性。</w:t>
      </w:r>
    </w:p>
    <w:p w14:paraId="6033A01A">
      <w:pPr>
        <w:widowControl/>
        <w:adjustRightInd w:val="0"/>
        <w:snapToGrid w:val="0"/>
        <w:spacing w:line="560" w:lineRule="exact"/>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六、与现行法律法规、强制性标准及其他标准的关系</w:t>
      </w:r>
    </w:p>
    <w:p w14:paraId="1D0B035C">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在编制过程中，严格遵守《中华人民共和国标准化法》《中华人民共和国安全生产法》《中华人民共和国环境保护法》《建设工程安全生产管理条例》《建设工程质量管理条例》等相关法律法规要求，确保标准内容合法合规。</w:t>
      </w:r>
    </w:p>
    <w:p w14:paraId="2BB9A50A">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在与强制性标准的衔接上，严格执行工程建设安全、质量、水土保持、环境保护等方面的国家强制性标准，确保本标准的技术要求不低于强制性标准的规定。</w:t>
      </w:r>
    </w:p>
    <w:p w14:paraId="334EF101">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在与其他相关标准的衔接上，充分借鉴并对接水电工程、抽水蓄能电站工程勘察设计、施工组织、建筑材料、渣场防护、水土保持等方面的现行行业标准，包括NB/T 10072《抽水蓄能电站设计规范》、NB/T 10235《水电工程天然建筑材料勘察规程》、NB/T 10238《水电工程料源选择与料场开采设计规范》、NB/T 10491《水电工程施工组织设计规范》、NB/T 35111《水电工程渣场设计规范》、NB/T 35120《水电工程施工总布置设计规范》等，沿用了行业内成熟的设计体系、技术指标和管理要求。同时结合抽水蓄能电站建设工程特点，对土石方平衡设计原则、料源规划、挖填调配等内容进行补充细化，实现与现有标准体系的有机衔接与协同互补。本标准既填补了抽水蓄能电站建设工程土石方平衡设计专项标准的空白，又与现行水电、抽水蓄能标准体系相协调，进一步完善了抽水蓄能电站工程设计标准体系。</w:t>
      </w:r>
    </w:p>
    <w:p w14:paraId="021A888D">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 xml:space="preserve">七、重大分歧意见的处理经过和依据 </w:t>
      </w:r>
    </w:p>
    <w:p w14:paraId="7D4A7814">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编制过程中，通过召开多次讨论会，广泛征求各参编单位、行业专家及相关单位的意见，对标准内容进行了充分的讨论和论证。编制过程中未出现重大分歧意见，对于部分细节问题的不同看法，经行业专家论证、各单位协商后达成共识，结合工程实践和行业发展需求进行了合理调整，确保标准内容科学、合理、贴合实际。</w:t>
      </w:r>
    </w:p>
    <w:p w14:paraId="18A618A6">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 xml:space="preserve">八、涉及专利的有关说明 </w:t>
      </w:r>
    </w:p>
    <w:p w14:paraId="0297E90E">
      <w:pPr>
        <w:widowControl/>
        <w:spacing w:line="560" w:lineRule="exact"/>
        <w:ind w:firstLine="560" w:firstLineChars="200"/>
        <w:rPr>
          <w:rFonts w:ascii="黑体" w:hAnsi="黑体" w:eastAsia="黑体" w:cs="黑体"/>
          <w:color w:val="000000"/>
          <w:kern w:val="0"/>
          <w:sz w:val="28"/>
          <w:szCs w:val="28"/>
          <w:lang w:bidi="ar"/>
        </w:rPr>
      </w:pPr>
      <w:r>
        <w:rPr>
          <w:rFonts w:hint="eastAsia" w:ascii="仿宋_GB2312" w:hAnsi="仿宋_GB2312" w:eastAsia="仿宋_GB2312" w:cs="仿宋_GB2312"/>
          <w:sz w:val="28"/>
          <w:szCs w:val="28"/>
        </w:rPr>
        <w:t>本标准编制过程中，编制工作组对标准内容涉及的专利进行了全面排查与识别。经核查，本标准的技术内容不涉及任何专利，不存在专利侵权风险。本标准的发布机构不承担识别专利的责任。</w:t>
      </w:r>
    </w:p>
    <w:p w14:paraId="12ADC17A">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九、</w:t>
      </w:r>
      <w:bookmarkStart w:id="3" w:name="OLE_LINK1"/>
      <w:r>
        <w:rPr>
          <w:rFonts w:hint="eastAsia" w:ascii="黑体" w:hAnsi="黑体" w:eastAsia="黑体" w:cs="黑体"/>
          <w:color w:val="000000"/>
          <w:kern w:val="0"/>
          <w:sz w:val="28"/>
          <w:szCs w:val="28"/>
          <w:lang w:bidi="ar"/>
        </w:rPr>
        <w:t>实施标准的要求，以及组织措施、技术措施、过渡期和实施日期等措施建议</w:t>
      </w:r>
      <w:bookmarkEnd w:id="3"/>
    </w:p>
    <w:p w14:paraId="2F51E203">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本标准为抽水蓄能电站建设工程土石方平衡设计使用的行业团体标准，适用于国内各类抽水蓄能电站的土石方设计管理工作。为确保标准顺利实施，提出以下建议：</w:t>
      </w:r>
    </w:p>
    <w:p w14:paraId="73650A9C">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组织措施：由中电建协牵头，组织开展标准的宣贯培训工作，通过线上线下相结合的方式，面向行业内各参建单位开展标准解读和培训。各参编单位发挥专业优势，带头执行本标准，并在工程实践中做好标准的推广应用，形成示范效应。建立标准实施反馈机制，由中电建协组织收集标准实施过程中的问题和意见，及时进行梳理和解答，持续优化完善标准内容。</w:t>
      </w:r>
    </w:p>
    <w:p w14:paraId="768C0FC7">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技术措施：各单位应结合本标准要求，完善企业内部抽水蓄能电站土石方平衡设计管理制度与工作流程，制定配套实施细则与设计模板，确保标准落地执行。加强土石方平衡设计专业人才培养，围绕料源规划、挖填平衡、调配优化、损耗补偿等核心内容开展设计人员专项培训，提升从业人员技术水平与方案编制质量，保障抽水蓄能电站土石方工程安全、经济、高效实施。</w:t>
      </w:r>
    </w:p>
    <w:p w14:paraId="64209B3E">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过渡期和实施日期建议：建议本标准发布后设置1个月的过渡期，供各相关单位做好标准实施的准备工作，包括完善管理制度、开展技术宣贯与人员培训、统一土石方平衡设计方法与流程等。建议正式实施日期为过渡期结束后的次月1日。</w:t>
      </w:r>
    </w:p>
    <w:p w14:paraId="203C2D4F">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（五）后续升级建议</w:t>
      </w:r>
    </w:p>
    <w:p w14:paraId="3C55DA7E">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具有较强的创新性与工程实用性，为抽水蓄能电站建设工程土石方平衡设计提供了系统性、规范化的技术依据。建议在标准实施后，及时跟踪应用情况、总结工程实践经验，结合抽水蓄能电站数字化设计、智能化建模、土石方动态调配等技术发展趋势，对本标准进行持续修订与优化完善；同时，积极推动本标准升级为行业标准乃至国家标准，进一步提升标准的适用性、引领力与权威性，为我国抽水蓄能电站高质量建设与规模化发展提供更加坚实的技术标准支撑。</w:t>
      </w:r>
    </w:p>
    <w:p w14:paraId="77EFE982">
      <w:pPr>
        <w:widowControl/>
        <w:adjustRightInd w:val="0"/>
        <w:snapToGrid w:val="0"/>
        <w:spacing w:line="560" w:lineRule="exact"/>
        <w:ind w:firstLine="560" w:firstLineChars="200"/>
        <w:outlineLvl w:val="1"/>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十、其他应当说明的事项。（包括标准名称、主要内容、主编单位、参编单位及主要起草人等发生变更或存在无法克服困难需撤销申请情况）</w:t>
      </w:r>
    </w:p>
    <w:p w14:paraId="0282460A">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本标准的附录A、附录B为资料性附录，为抽水蓄能电站土石方平衡设计所需资料和设计需要量、规划开采量计算提供参考，不具有强制性。</w:t>
      </w:r>
    </w:p>
    <w:p w14:paraId="0BF757B9">
      <w:pPr>
        <w:widowControl/>
        <w:spacing w:line="560" w:lineRule="exact"/>
        <w:ind w:firstLine="560" w:firstLineChars="200"/>
        <w:rPr>
          <w:rFonts w:hint="eastAsia" w:ascii="仿宋_GB2312" w:hAnsi="仿宋_GB2312" w:eastAsia="仿宋_GB2312" w:cs="仿宋_GB2312"/>
          <w:sz w:val="28"/>
          <w:szCs w:val="28"/>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C1780"/>
    <w:multiLevelType w:val="multilevel"/>
    <w:tmpl w:val="B93C1780"/>
    <w:lvl w:ilvl="0" w:tentative="0">
      <w:start w:val="1"/>
      <w:numFmt w:val="decimal"/>
      <w:suff w:val="nothing"/>
      <w:lvlText w:val="%1."/>
      <w:lvlJc w:val="left"/>
      <w:pPr>
        <w:tabs>
          <w:tab w:val="left" w:pos="0"/>
        </w:tabs>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D1B1E25"/>
    <w:multiLevelType w:val="multilevel"/>
    <w:tmpl w:val="3D1B1E25"/>
    <w:lvl w:ilvl="0" w:tentative="0">
      <w:start w:val="1"/>
      <w:numFmt w:val="decimal"/>
      <w:suff w:val="nothing"/>
      <w:lvlText w:val="%1."/>
      <w:lvlJc w:val="left"/>
      <w:pPr>
        <w:tabs>
          <w:tab w:val="left" w:pos="0"/>
        </w:tabs>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57D3FBC"/>
    <w:multiLevelType w:val="multilevel"/>
    <w:tmpl w:val="657D3FBC"/>
    <w:lvl w:ilvl="0" w:tentative="0">
      <w:start w:val="1"/>
      <w:numFmt w:val="upperLetter"/>
      <w:pStyle w:val="30"/>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9"/>
      <w:suff w:val="nothing"/>
      <w:lvlText w:val="%1%2.%3.%4　"/>
      <w:lvlJc w:val="left"/>
      <w:pPr>
        <w:ind w:left="0" w:firstLine="0"/>
      </w:pPr>
      <w:rPr>
        <w:rFonts w:hint="eastAsia" w:ascii="黑体" w:eastAsia="黑体"/>
        <w:b w:val="0"/>
        <w:i w:val="0"/>
        <w:color w:val="auto"/>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4NDU3MjNjNGQ2ZTlkMzNmYzgzMzg2NTRkYTQ0NzcifQ=="/>
  </w:docVars>
  <w:rsids>
    <w:rsidRoot w:val="04F211B1"/>
    <w:rsid w:val="00014E48"/>
    <w:rsid w:val="0004007D"/>
    <w:rsid w:val="00081D71"/>
    <w:rsid w:val="000B77C2"/>
    <w:rsid w:val="000C71F7"/>
    <w:rsid w:val="000E66B6"/>
    <w:rsid w:val="00101144"/>
    <w:rsid w:val="001160CD"/>
    <w:rsid w:val="00123A4C"/>
    <w:rsid w:val="001329DE"/>
    <w:rsid w:val="00164372"/>
    <w:rsid w:val="0016547C"/>
    <w:rsid w:val="00171FB1"/>
    <w:rsid w:val="001D2116"/>
    <w:rsid w:val="00227739"/>
    <w:rsid w:val="0029006C"/>
    <w:rsid w:val="002915C4"/>
    <w:rsid w:val="002E6A30"/>
    <w:rsid w:val="003767B7"/>
    <w:rsid w:val="003F35C9"/>
    <w:rsid w:val="00420598"/>
    <w:rsid w:val="0048674E"/>
    <w:rsid w:val="004D3452"/>
    <w:rsid w:val="00503FB4"/>
    <w:rsid w:val="00513D19"/>
    <w:rsid w:val="00517B57"/>
    <w:rsid w:val="005407B5"/>
    <w:rsid w:val="005804B5"/>
    <w:rsid w:val="005E294D"/>
    <w:rsid w:val="00634FCB"/>
    <w:rsid w:val="00674B41"/>
    <w:rsid w:val="006C703C"/>
    <w:rsid w:val="00715AF0"/>
    <w:rsid w:val="00761F4F"/>
    <w:rsid w:val="007A05C3"/>
    <w:rsid w:val="007C2108"/>
    <w:rsid w:val="007C2CE3"/>
    <w:rsid w:val="007F2E40"/>
    <w:rsid w:val="00814505"/>
    <w:rsid w:val="008221EB"/>
    <w:rsid w:val="008663B7"/>
    <w:rsid w:val="00885AB9"/>
    <w:rsid w:val="009026E2"/>
    <w:rsid w:val="0093480B"/>
    <w:rsid w:val="0097208A"/>
    <w:rsid w:val="0098555C"/>
    <w:rsid w:val="009857C2"/>
    <w:rsid w:val="009A2B3C"/>
    <w:rsid w:val="009F3C47"/>
    <w:rsid w:val="00A35C05"/>
    <w:rsid w:val="00A37258"/>
    <w:rsid w:val="00A462AA"/>
    <w:rsid w:val="00A847F5"/>
    <w:rsid w:val="00AD42A2"/>
    <w:rsid w:val="00BA7A00"/>
    <w:rsid w:val="00BC03C6"/>
    <w:rsid w:val="00BC1F79"/>
    <w:rsid w:val="00BE7FCC"/>
    <w:rsid w:val="00C17553"/>
    <w:rsid w:val="00C5167F"/>
    <w:rsid w:val="00C94C4E"/>
    <w:rsid w:val="00C9524F"/>
    <w:rsid w:val="00CA1CD0"/>
    <w:rsid w:val="00CC1457"/>
    <w:rsid w:val="00D61F68"/>
    <w:rsid w:val="00D83168"/>
    <w:rsid w:val="00D851C5"/>
    <w:rsid w:val="00DA3420"/>
    <w:rsid w:val="00DE7A35"/>
    <w:rsid w:val="00E10E26"/>
    <w:rsid w:val="00E10F00"/>
    <w:rsid w:val="00E24649"/>
    <w:rsid w:val="00E25DBD"/>
    <w:rsid w:val="00E45536"/>
    <w:rsid w:val="00E90FD2"/>
    <w:rsid w:val="00EA5463"/>
    <w:rsid w:val="00EE32B0"/>
    <w:rsid w:val="00F2736E"/>
    <w:rsid w:val="00F3221D"/>
    <w:rsid w:val="00F45128"/>
    <w:rsid w:val="00FB09E3"/>
    <w:rsid w:val="00FC2602"/>
    <w:rsid w:val="00FF408A"/>
    <w:rsid w:val="04F211B1"/>
    <w:rsid w:val="064378FF"/>
    <w:rsid w:val="078D1C71"/>
    <w:rsid w:val="092A7D63"/>
    <w:rsid w:val="0A670558"/>
    <w:rsid w:val="0E4137B5"/>
    <w:rsid w:val="0F636D55"/>
    <w:rsid w:val="10037A9C"/>
    <w:rsid w:val="11D05503"/>
    <w:rsid w:val="23C449C8"/>
    <w:rsid w:val="28DF3C8C"/>
    <w:rsid w:val="333348A1"/>
    <w:rsid w:val="33501C21"/>
    <w:rsid w:val="34CC7984"/>
    <w:rsid w:val="38A10793"/>
    <w:rsid w:val="38B44A00"/>
    <w:rsid w:val="39ED01CA"/>
    <w:rsid w:val="3ABD68ED"/>
    <w:rsid w:val="3C63257B"/>
    <w:rsid w:val="428656A9"/>
    <w:rsid w:val="42C94F17"/>
    <w:rsid w:val="4E233B70"/>
    <w:rsid w:val="547A7221"/>
    <w:rsid w:val="5BEFCA64"/>
    <w:rsid w:val="5DB42127"/>
    <w:rsid w:val="60DC6315"/>
    <w:rsid w:val="64F85084"/>
    <w:rsid w:val="66D71873"/>
    <w:rsid w:val="7439758C"/>
    <w:rsid w:val="7FFD1DDF"/>
    <w:rsid w:val="F27789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Calibri Light" w:hAnsi="Calibri Light" w:eastAsia="宋体" w:cs="Times New Roman"/>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Calibri Light" w:hAnsi="Calibri Light" w:eastAsia="宋体" w:cs="Times New Roman"/>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Calibri Light" w:hAnsi="Calibri Light" w:eastAsia="宋体" w:cs="Times New Roman"/>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Calibri Light" w:hAnsi="Calibri Light" w:eastAsia="宋体" w:cs="Times New Roman"/>
      <w:sz w:val="24"/>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10">
    <w:name w:val="footer"/>
    <w:basedOn w:val="1"/>
    <w:link w:val="24"/>
    <w:qFormat/>
    <w:uiPriority w:val="0"/>
    <w:pPr>
      <w:tabs>
        <w:tab w:val="center" w:pos="4153"/>
        <w:tab w:val="right" w:pos="8306"/>
      </w:tabs>
      <w:snapToGrid w:val="0"/>
      <w:jc w:val="left"/>
    </w:pPr>
    <w:rPr>
      <w:sz w:val="18"/>
      <w:szCs w:val="18"/>
    </w:rPr>
  </w:style>
  <w:style w:type="paragraph" w:styleId="11">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unhideWhenUs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rPr>
  </w:style>
  <w:style w:type="character" w:customStyle="1" w:styleId="16">
    <w:name w:val="标题 1 Char"/>
    <w:link w:val="2"/>
    <w:qFormat/>
    <w:uiPriority w:val="0"/>
    <w:rPr>
      <w:rFonts w:ascii="Calibri" w:hAnsi="Calibri" w:eastAsia="宋体" w:cs="Times New Roman"/>
      <w:b/>
      <w:bCs/>
      <w:kern w:val="44"/>
      <w:sz w:val="44"/>
      <w:szCs w:val="44"/>
    </w:rPr>
  </w:style>
  <w:style w:type="character" w:customStyle="1" w:styleId="17">
    <w:name w:val="标题 2 Char"/>
    <w:link w:val="3"/>
    <w:qFormat/>
    <w:uiPriority w:val="0"/>
    <w:rPr>
      <w:rFonts w:ascii="Calibri Light" w:hAnsi="Calibri Light" w:eastAsia="宋体" w:cs="Times New Roman"/>
      <w:b/>
      <w:bCs/>
      <w:kern w:val="2"/>
      <w:sz w:val="32"/>
      <w:szCs w:val="32"/>
    </w:rPr>
  </w:style>
  <w:style w:type="character" w:customStyle="1" w:styleId="18">
    <w:name w:val="标题 3 Char"/>
    <w:link w:val="4"/>
    <w:qFormat/>
    <w:uiPriority w:val="0"/>
    <w:rPr>
      <w:rFonts w:ascii="Calibri" w:hAnsi="Calibri" w:eastAsia="宋体" w:cs="Times New Roman"/>
      <w:b/>
      <w:bCs/>
      <w:kern w:val="2"/>
      <w:sz w:val="32"/>
      <w:szCs w:val="32"/>
    </w:rPr>
  </w:style>
  <w:style w:type="character" w:customStyle="1" w:styleId="19">
    <w:name w:val="标题 4 Char"/>
    <w:link w:val="5"/>
    <w:qFormat/>
    <w:uiPriority w:val="0"/>
    <w:rPr>
      <w:rFonts w:ascii="Calibri Light" w:hAnsi="Calibri Light" w:eastAsia="宋体" w:cs="Times New Roman"/>
      <w:b/>
      <w:bCs/>
      <w:kern w:val="2"/>
      <w:sz w:val="28"/>
      <w:szCs w:val="28"/>
    </w:rPr>
  </w:style>
  <w:style w:type="character" w:customStyle="1" w:styleId="20">
    <w:name w:val="标题 5 Char"/>
    <w:link w:val="6"/>
    <w:qFormat/>
    <w:uiPriority w:val="0"/>
    <w:rPr>
      <w:rFonts w:ascii="Calibri" w:hAnsi="Calibri" w:eastAsia="宋体" w:cs="Times New Roman"/>
      <w:b/>
      <w:bCs/>
      <w:kern w:val="2"/>
      <w:sz w:val="28"/>
      <w:szCs w:val="28"/>
    </w:rPr>
  </w:style>
  <w:style w:type="character" w:customStyle="1" w:styleId="21">
    <w:name w:val="标题 6 Char"/>
    <w:link w:val="7"/>
    <w:qFormat/>
    <w:uiPriority w:val="0"/>
    <w:rPr>
      <w:rFonts w:ascii="Calibri Light" w:hAnsi="Calibri Light" w:eastAsia="宋体" w:cs="Times New Roman"/>
      <w:b/>
      <w:bCs/>
      <w:kern w:val="2"/>
      <w:sz w:val="24"/>
      <w:szCs w:val="24"/>
    </w:rPr>
  </w:style>
  <w:style w:type="character" w:customStyle="1" w:styleId="22">
    <w:name w:val="标题 7 Char"/>
    <w:link w:val="8"/>
    <w:qFormat/>
    <w:uiPriority w:val="0"/>
    <w:rPr>
      <w:rFonts w:ascii="Calibri" w:hAnsi="Calibri" w:eastAsia="宋体" w:cs="Times New Roman"/>
      <w:b/>
      <w:bCs/>
      <w:kern w:val="2"/>
      <w:sz w:val="24"/>
      <w:szCs w:val="24"/>
    </w:rPr>
  </w:style>
  <w:style w:type="character" w:customStyle="1" w:styleId="23">
    <w:name w:val="标题 8 Char"/>
    <w:link w:val="9"/>
    <w:qFormat/>
    <w:uiPriority w:val="0"/>
    <w:rPr>
      <w:rFonts w:ascii="Calibri Light" w:hAnsi="Calibri Light" w:eastAsia="宋体" w:cs="Times New Roman"/>
      <w:kern w:val="2"/>
      <w:sz w:val="24"/>
      <w:szCs w:val="24"/>
    </w:rPr>
  </w:style>
  <w:style w:type="character" w:customStyle="1" w:styleId="24">
    <w:name w:val="页脚 Char"/>
    <w:link w:val="10"/>
    <w:qFormat/>
    <w:uiPriority w:val="0"/>
    <w:rPr>
      <w:rFonts w:ascii="Calibri" w:hAnsi="Calibri" w:eastAsia="宋体" w:cs="Times New Roman"/>
      <w:kern w:val="2"/>
      <w:sz w:val="18"/>
      <w:szCs w:val="18"/>
    </w:rPr>
  </w:style>
  <w:style w:type="character" w:customStyle="1" w:styleId="25">
    <w:name w:val="页眉 Char"/>
    <w:link w:val="11"/>
    <w:qFormat/>
    <w:uiPriority w:val="0"/>
    <w:rPr>
      <w:rFonts w:ascii="Calibri" w:hAnsi="Calibri" w:eastAsia="宋体" w:cs="Times New Roman"/>
      <w:kern w:val="2"/>
      <w:sz w:val="18"/>
      <w:szCs w:val="18"/>
    </w:rPr>
  </w:style>
  <w:style w:type="paragraph" w:styleId="26">
    <w:name w:val="List Paragraph"/>
    <w:basedOn w:val="1"/>
    <w:qFormat/>
    <w:uiPriority w:val="99"/>
    <w:pPr>
      <w:ind w:firstLine="420" w:firstLineChars="200"/>
    </w:pPr>
  </w:style>
  <w:style w:type="character" w:customStyle="1" w:styleId="27">
    <w:name w:val="标准文件_段 Char"/>
    <w:link w:val="28"/>
    <w:qFormat/>
    <w:uiPriority w:val="0"/>
    <w:rPr>
      <w:rFonts w:ascii="宋体"/>
      <w:sz w:val="21"/>
      <w:lang w:val="en-US" w:eastAsia="zh-CN" w:bidi="ar-SA"/>
    </w:rPr>
  </w:style>
  <w:style w:type="paragraph" w:customStyle="1" w:styleId="28">
    <w:name w:val="标准文件_段"/>
    <w:link w:val="2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标准文件_二级条标题"/>
    <w:next w:val="28"/>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30">
    <w:name w:val="标准文件_附录标识"/>
    <w:next w:val="28"/>
    <w:qFormat/>
    <w:uiPriority w:val="0"/>
    <w:pPr>
      <w:numPr>
        <w:ilvl w:val="0"/>
        <w:numId w:val="2"/>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31">
    <w:name w:val="报告正文"/>
    <w:basedOn w:val="32"/>
    <w:link w:val="33"/>
    <w:qFormat/>
    <w:uiPriority w:val="0"/>
    <w:pPr>
      <w:spacing w:line="560" w:lineRule="atLeast"/>
      <w:ind w:firstLine="200"/>
      <w:jc w:val="left"/>
    </w:pPr>
    <w:rPr>
      <w:rFonts w:ascii="仿宋" w:hAnsi="仿宋" w:eastAsia="仿宋" w:cs="仿宋"/>
      <w:sz w:val="28"/>
      <w:szCs w:val="28"/>
    </w:rPr>
  </w:style>
  <w:style w:type="paragraph" w:customStyle="1" w:styleId="32">
    <w:name w:val="0_缩进正文"/>
    <w:basedOn w:val="1"/>
    <w:qFormat/>
    <w:uiPriority w:val="0"/>
    <w:pPr>
      <w:adjustRightInd w:val="0"/>
      <w:snapToGrid w:val="0"/>
      <w:spacing w:line="520" w:lineRule="exact"/>
      <w:ind w:firstLine="480" w:firstLineChars="200"/>
    </w:pPr>
    <w:rPr>
      <w:rFonts w:ascii="仿宋_GB2312" w:hAnsi="宋体" w:eastAsia="仿宋_GB2312" w:cs="Times New Roman"/>
      <w:sz w:val="24"/>
      <w:szCs w:val="20"/>
    </w:rPr>
  </w:style>
  <w:style w:type="character" w:customStyle="1" w:styleId="33">
    <w:name w:val="报告正文 字符"/>
    <w:link w:val="31"/>
    <w:qFormat/>
    <w:locked/>
    <w:uiPriority w:val="0"/>
    <w:rPr>
      <w:rFonts w:ascii="仿宋" w:hAnsi="仿宋" w:eastAsia="仿宋" w:cs="仿宋"/>
      <w:kern w:val="2"/>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7108</Words>
  <Characters>7295</Characters>
  <Lines>52</Lines>
  <Paragraphs>14</Paragraphs>
  <TotalTime>0</TotalTime>
  <ScaleCrop>false</ScaleCrop>
  <LinksUpToDate>false</LinksUpToDate>
  <CharactersWithSpaces>7328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2026-04-16T03:06:00Z</dcterms:created>
  <dc:creator>王嵩</dc:creator>
  <cp:lastModifiedBy>王嵩</cp:lastModifiedBy>
  <dcterms:modified xsi:type="dcterms:W3CDTF">2026-04-23T08:12:54Z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01076D8CBCDF4CFBB59F1D83B8B7D52D_13</vt:lpwstr>
  </property>
  <property fmtid="{D5CDD505-2E9C-101B-9397-08002B2CF9AE}" pid="4" name="KSOTemplateDocerSaveRecord">
    <vt:lpwstr>eyJoZGlkIjoiNDYyNGFiOWVjNmUyNDJkMjQ4ZjU3YWM4YTY1MmJjYzMiLCJ1c2VySWQiOiIxNTgwMzA1OTc1In0=</vt:lpwstr>
  </property>
</Properties>
</file>