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10FD4">
      <w:pPr>
        <w:pStyle w:val="37"/>
        <w:framePr w:w="9639" w:h="624" w:hRule="exact" w:hSpace="181" w:vSpace="181" w:wrap="around" w:hAnchor="page" w:x="1279" w:y="3031"/>
        <w:rPr>
          <w:rFonts w:ascii="Times New Roman" w:eastAsia="黑体"/>
          <w:w w:val="110"/>
          <w:szCs w:val="52"/>
        </w:rPr>
      </w:pPr>
      <w:r>
        <w:rPr>
          <w:rFonts w:hint="eastAsia" w:ascii="Times New Roman" w:eastAsia="黑体"/>
          <w:w w:val="110"/>
          <w:szCs w:val="52"/>
        </w:rPr>
        <w:t>团体标准</w:t>
      </w:r>
    </w:p>
    <w:p w14:paraId="28E3574E">
      <w:pPr>
        <w:pBdr>
          <w:top w:val="none" w:sz="0" w:space="0"/>
          <w:left w:val="none" w:sz="0" w:space="0"/>
          <w:bottom w:val="none" w:sz="0" w:space="0"/>
          <w:right w:val="none" w:sz="0" w:space="0"/>
        </w:pBdr>
        <w:rPr>
          <w:rFonts w:ascii="Times New Roman" w:hAnsi="Times New Roman" w:eastAsia="黑体"/>
          <w:sz w:val="10"/>
          <w:szCs w:val="10"/>
        </w:rPr>
      </w:pPr>
      <w:bookmarkStart w:id="193" w:name="_GoBack"/>
      <w:bookmarkEnd w:id="193"/>
      <w:r>
        <w:rPr>
          <w:sz w:val="28"/>
        </w:rPr>
        <mc:AlternateContent>
          <mc:Choice Requires="wps">
            <w:drawing>
              <wp:anchor distT="0" distB="0" distL="114300" distR="114300" simplePos="0" relativeHeight="251664384" behindDoc="0" locked="0" layoutInCell="1" allowOverlap="1">
                <wp:simplePos x="0" y="0"/>
                <wp:positionH relativeFrom="column">
                  <wp:posOffset>-1388110</wp:posOffset>
                </wp:positionH>
                <wp:positionV relativeFrom="paragraph">
                  <wp:posOffset>-922020</wp:posOffset>
                </wp:positionV>
                <wp:extent cx="914400" cy="4705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6F5C9">
                            <w:pP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附件15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9.3pt;margin-top:-72.6pt;height:37.05pt;width:72pt;z-index:251664384;mso-width-relative:page;mso-height-relative:page;" filled="f" stroked="f" coordsize="21600,21600" o:gfxdata="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Bvr79wAAAANAQAADwAAAAAAAAABACAAAAAiAAAAZHJz&#10;L2Rvd25yZXYueG1sUEsBAhQAFAAAAAgAh07iQAPIUeo5AgAAZQQAAA4AAAAAAAAAAQAgAAAAKwEA&#10;AGRycy9lMm9Eb2MueG1sUEsFBgAAAAAGAAYAWQEAANYFAAAAAA==&#10;">
                <v:fill on="f" focussize="0,0"/>
                <v:stroke on="f" weight="0.5pt"/>
                <v:imagedata o:title=""/>
                <o:lock v:ext="edit" aspectratio="f"/>
                <v:textbox>
                  <w:txbxContent>
                    <w:p w14:paraId="25B6F5C9">
                      <w:pP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附件15</w:t>
                      </w:r>
                    </w:p>
                  </w:txbxContent>
                </v:textbox>
              </v:shape>
            </w:pict>
          </mc:Fallback>
        </mc:AlternateContent>
      </w:r>
      <w:r>
        <w:rPr>
          <w:rFonts w:ascii="Times New Roman" w:hAnsi="Times New Roman"/>
          <w:sz w:val="10"/>
        </w:rPr>
        <mc:AlternateContent>
          <mc:Choice Requires="wps">
            <w:drawing>
              <wp:anchor distT="0" distB="0" distL="114300" distR="114300" simplePos="0" relativeHeight="251661312" behindDoc="0" locked="0" layoutInCell="1" allowOverlap="1">
                <wp:simplePos x="0" y="0"/>
                <wp:positionH relativeFrom="column">
                  <wp:posOffset>-739775</wp:posOffset>
                </wp:positionH>
                <wp:positionV relativeFrom="paragraph">
                  <wp:posOffset>-725805</wp:posOffset>
                </wp:positionV>
                <wp:extent cx="975360" cy="498475"/>
                <wp:effectExtent l="0" t="0" r="0" b="0"/>
                <wp:wrapNone/>
                <wp:docPr id="2" name="文本框 2"/>
                <wp:cNvGraphicFramePr/>
                <a:graphic xmlns:a="http://schemas.openxmlformats.org/drawingml/2006/main">
                  <a:graphicData uri="http://schemas.microsoft.com/office/word/2010/wordprocessingShape">
                    <wps:wsp>
                      <wps:cNvSpPr txBox="1"/>
                      <wps:spPr>
                        <a:xfrm>
                          <a:off x="875665" y="513715"/>
                          <a:ext cx="975360" cy="498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AA81D6">
                            <w:pPr>
                              <w:rPr>
                                <w:rFonts w:ascii="Malgun Gothic" w:hAnsi="Malgun Gothic" w:eastAsia="方正公文小标宋" w:cs="Malgun Gothic"/>
                                <w:sz w:val="18"/>
                                <w:szCs w:val="18"/>
                              </w:rPr>
                            </w:pPr>
                            <w:r>
                              <w:rPr>
                                <w:rFonts w:hint="eastAsia" w:ascii="方正公文小标宋" w:hAnsi="方正公文小标宋" w:eastAsia="方正公文小标宋" w:cs="方正公文小标宋"/>
                                <w:b/>
                                <w:bCs/>
                                <w:sz w:val="18"/>
                                <w:szCs w:val="18"/>
                              </w:rPr>
                              <w:t xml:space="preserve">ICS  </w:t>
                            </w:r>
                            <w:r>
                              <w:rPr>
                                <w:rFonts w:hint="eastAsia" w:ascii="Malgun Gothic" w:hAnsi="Malgun Gothic" w:cs="Malgun Gothic"/>
                                <w:sz w:val="18"/>
                                <w:szCs w:val="18"/>
                              </w:rPr>
                              <w:t>27.140</w:t>
                            </w:r>
                          </w:p>
                          <w:p w14:paraId="64B5DD59">
                            <w:pPr>
                              <w:rPr>
                                <w:rFonts w:ascii="Malgun Gothic" w:hAnsi="Malgun Gothic" w:eastAsia="方正公文小标宋" w:cs="Malgun Gothic"/>
                                <w:sz w:val="18"/>
                                <w:szCs w:val="18"/>
                              </w:rPr>
                            </w:pPr>
                            <w:r>
                              <w:rPr>
                                <w:rFonts w:hint="eastAsia" w:ascii="方正公文小标宋" w:hAnsi="方正公文小标宋" w:eastAsia="方正公文小标宋" w:cs="方正公文小标宋"/>
                                <w:b/>
                                <w:bCs/>
                                <w:sz w:val="18"/>
                                <w:szCs w:val="18"/>
                              </w:rPr>
                              <w:t xml:space="preserve">CCS  </w:t>
                            </w:r>
                            <w:r>
                              <w:rPr>
                                <w:rFonts w:hint="eastAsia" w:ascii="宋体" w:hAnsi="宋体" w:eastAsia="宋体" w:cs="宋体"/>
                                <w:b/>
                                <w:bCs/>
                                <w:sz w:val="18"/>
                                <w:szCs w:val="18"/>
                              </w:rPr>
                              <w:t>P</w:t>
                            </w:r>
                            <w:r>
                              <w:rPr>
                                <w:rFonts w:hint="eastAsia" w:ascii="方正公文小标宋" w:hAnsi="方正公文小标宋" w:eastAsia="方正公文小标宋" w:cs="方正公文小标宋"/>
                                <w:b/>
                                <w:bCs/>
                                <w:sz w:val="18"/>
                                <w:szCs w:val="18"/>
                              </w:rPr>
                              <w:t xml:space="preserve">  </w:t>
                            </w:r>
                            <w:r>
                              <w:rPr>
                                <w:rFonts w:hint="eastAsia" w:ascii="Malgun Gothic" w:hAnsi="Malgun Gothic" w:cs="Malgun Gothic"/>
                                <w:sz w:val="18"/>
                                <w:szCs w:val="18"/>
                              </w:rPr>
                              <w:t>59</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8.25pt;margin-top:-57.15pt;height:39.25pt;width:76.8pt;z-index:251661312;mso-width-relative:page;mso-height-relative:page;" filled="f" stroked="f" coordsize="21600,21600" o:gfxdata="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r5rg73AAAAAwBAAAPAAAAAAAA&#10;AAEAIAAAACIAAABkcnMvZG93bnJldi54bWxQSwECFAAUAAAACACHTuJAUDBpvEcCAABvBAAADgAA&#10;AAAAAAABACAAAAArAQAAZHJzL2Uyb0RvYy54bWxQSwUGAAAAAAYABgBZAQAA5AUAAAAA&#10;">
                <v:fill on="f" focussize="0,0"/>
                <v:stroke on="f" weight="0.5pt"/>
                <v:imagedata o:title=""/>
                <o:lock v:ext="edit" aspectratio="f"/>
                <v:textbox>
                  <w:txbxContent>
                    <w:p w14:paraId="0CAA81D6">
                      <w:pPr>
                        <w:rPr>
                          <w:rFonts w:ascii="Malgun Gothic" w:hAnsi="Malgun Gothic" w:eastAsia="方正公文小标宋" w:cs="Malgun Gothic"/>
                          <w:sz w:val="18"/>
                          <w:szCs w:val="18"/>
                        </w:rPr>
                      </w:pPr>
                      <w:r>
                        <w:rPr>
                          <w:rFonts w:hint="eastAsia" w:ascii="方正公文小标宋" w:hAnsi="方正公文小标宋" w:eastAsia="方正公文小标宋" w:cs="方正公文小标宋"/>
                          <w:b/>
                          <w:bCs/>
                          <w:sz w:val="18"/>
                          <w:szCs w:val="18"/>
                        </w:rPr>
                        <w:t xml:space="preserve">ICS  </w:t>
                      </w:r>
                      <w:r>
                        <w:rPr>
                          <w:rFonts w:hint="eastAsia" w:ascii="Malgun Gothic" w:hAnsi="Malgun Gothic" w:cs="Malgun Gothic"/>
                          <w:sz w:val="18"/>
                          <w:szCs w:val="18"/>
                        </w:rPr>
                        <w:t>27.140</w:t>
                      </w:r>
                    </w:p>
                    <w:p w14:paraId="64B5DD59">
                      <w:pPr>
                        <w:rPr>
                          <w:rFonts w:ascii="Malgun Gothic" w:hAnsi="Malgun Gothic" w:eastAsia="方正公文小标宋" w:cs="Malgun Gothic"/>
                          <w:sz w:val="18"/>
                          <w:szCs w:val="18"/>
                        </w:rPr>
                      </w:pPr>
                      <w:r>
                        <w:rPr>
                          <w:rFonts w:hint="eastAsia" w:ascii="方正公文小标宋" w:hAnsi="方正公文小标宋" w:eastAsia="方正公文小标宋" w:cs="方正公文小标宋"/>
                          <w:b/>
                          <w:bCs/>
                          <w:sz w:val="18"/>
                          <w:szCs w:val="18"/>
                        </w:rPr>
                        <w:t xml:space="preserve">CCS  </w:t>
                      </w:r>
                      <w:r>
                        <w:rPr>
                          <w:rFonts w:hint="eastAsia" w:ascii="宋体" w:hAnsi="宋体" w:eastAsia="宋体" w:cs="宋体"/>
                          <w:b/>
                          <w:bCs/>
                          <w:sz w:val="18"/>
                          <w:szCs w:val="18"/>
                        </w:rPr>
                        <w:t>P</w:t>
                      </w:r>
                      <w:r>
                        <w:rPr>
                          <w:rFonts w:hint="eastAsia" w:ascii="方正公文小标宋" w:hAnsi="方正公文小标宋" w:eastAsia="方正公文小标宋" w:cs="方正公文小标宋"/>
                          <w:b/>
                          <w:bCs/>
                          <w:sz w:val="18"/>
                          <w:szCs w:val="18"/>
                        </w:rPr>
                        <w:t xml:space="preserve">  </w:t>
                      </w:r>
                      <w:r>
                        <w:rPr>
                          <w:rFonts w:hint="eastAsia" w:ascii="Malgun Gothic" w:hAnsi="Malgun Gothic" w:cs="Malgun Gothic"/>
                          <w:sz w:val="18"/>
                          <w:szCs w:val="18"/>
                        </w:rPr>
                        <w:t>59</w:t>
                      </w:r>
                    </w:p>
                  </w:txbxContent>
                </v:textbox>
              </v:shape>
            </w:pict>
          </mc:Fallback>
        </mc:AlternateContent>
      </w:r>
      <w:r>
        <w:rPr>
          <w:position w:val="-22"/>
        </w:rPr>
        <w:drawing>
          <wp:anchor distT="0" distB="0" distL="0" distR="0" simplePos="0" relativeHeight="251662336" behindDoc="1" locked="0" layoutInCell="1" allowOverlap="1">
            <wp:simplePos x="0" y="0"/>
            <wp:positionH relativeFrom="column">
              <wp:posOffset>-452755</wp:posOffset>
            </wp:positionH>
            <wp:positionV relativeFrom="paragraph">
              <wp:posOffset>-17145</wp:posOffset>
            </wp:positionV>
            <wp:extent cx="714375" cy="714375"/>
            <wp:effectExtent l="0" t="0" r="9525" b="9525"/>
            <wp:wrapThrough wrapText="bothSides">
              <wp:wrapPolygon>
                <wp:start x="0" y="0"/>
                <wp:lineTo x="0" y="21120"/>
                <wp:lineTo x="21120" y="21120"/>
                <wp:lineTo x="21120" y="0"/>
                <wp:lineTo x="0" y="0"/>
              </wp:wrapPolygon>
            </wp:wrapThrough>
            <wp:docPr id="7" name="IM 2"/>
            <wp:cNvGraphicFramePr/>
            <a:graphic xmlns:a="http://schemas.openxmlformats.org/drawingml/2006/main">
              <a:graphicData uri="http://schemas.openxmlformats.org/drawingml/2006/picture">
                <pic:pic xmlns:pic="http://schemas.openxmlformats.org/drawingml/2006/picture">
                  <pic:nvPicPr>
                    <pic:cNvPr id="7" name="IM 2"/>
                    <pic:cNvPicPr/>
                  </pic:nvPicPr>
                  <pic:blipFill>
                    <a:blip r:embed="rId6"/>
                    <a:stretch>
                      <a:fillRect/>
                    </a:stretch>
                  </pic:blipFill>
                  <pic:spPr>
                    <a:xfrm>
                      <a:off x="0" y="0"/>
                      <a:ext cx="714755" cy="714756"/>
                    </a:xfrm>
                    <a:prstGeom prst="rect">
                      <a:avLst/>
                    </a:prstGeom>
                  </pic:spPr>
                </pic:pic>
              </a:graphicData>
            </a:graphic>
          </wp:anchor>
        </w:drawing>
      </w:r>
    </w:p>
    <w:p w14:paraId="53F4B963">
      <w:pPr>
        <w:pStyle w:val="37"/>
        <w:framePr w:w="9639" w:h="6976" w:hRule="exact" w:hSpace="0" w:vSpace="0" w:wrap="around" w:hAnchor="page" w:y="6408"/>
        <w:jc w:val="center"/>
        <w:rPr>
          <w:rFonts w:ascii="Times New Roman" w:eastAsia="黑体"/>
          <w:b w:val="0"/>
          <w:bCs w:val="0"/>
          <w:w w:val="100"/>
        </w:rPr>
      </w:pPr>
    </w:p>
    <w:p w14:paraId="33D0F395">
      <w:pPr>
        <w:pStyle w:val="41"/>
        <w:framePr w:h="5785" w:hRule="exact" w:wrap="around" w:x="879" w:y="6613" w:anchorLock="1"/>
        <w:outlineLvl w:val="0"/>
        <w:rPr>
          <w:rFonts w:ascii="Times New Roman" w:hAnsi="Times New Roman"/>
          <w:spacing w:val="-20"/>
        </w:rPr>
      </w:pPr>
      <w:bookmarkStart w:id="0" w:name="_Toc227228950"/>
      <w:bookmarkStart w:id="1" w:name="_Toc227827628"/>
      <w:r>
        <w:rPr>
          <w:rFonts w:hint="eastAsia" w:ascii="Times New Roman" w:hAnsi="Times New Roman"/>
          <w:spacing w:val="-20"/>
        </w:rPr>
        <w:t>抽水蓄能电站建设工程土石方平衡设计导则</w:t>
      </w:r>
      <w:bookmarkEnd w:id="0"/>
      <w:bookmarkEnd w:id="1"/>
    </w:p>
    <w:p w14:paraId="0A260281">
      <w:pPr>
        <w:pStyle w:val="42"/>
        <w:framePr w:w="9639" w:h="5785" w:hRule="exact" w:wrap="around" w:vAnchor="page" w:hAnchor="page" w:x="879" w:y="6613" w:anchorLock="1"/>
        <w:textAlignment w:val="bottom"/>
        <w:rPr>
          <w:rFonts w:eastAsia="黑体"/>
          <w:b/>
          <w:bCs/>
          <w:szCs w:val="28"/>
        </w:rPr>
      </w:pPr>
    </w:p>
    <w:p w14:paraId="626D1596">
      <w:pPr>
        <w:pStyle w:val="42"/>
        <w:framePr w:w="9639" w:h="5785" w:hRule="exact" w:wrap="around" w:vAnchor="page" w:hAnchor="page" w:x="879" w:y="6613" w:anchorLock="1"/>
        <w:textAlignment w:val="bottom"/>
        <w:rPr>
          <w:rFonts w:eastAsia="黑体"/>
          <w:b/>
          <w:bCs/>
          <w:szCs w:val="28"/>
        </w:rPr>
      </w:pPr>
      <w:r>
        <w:rPr>
          <w:rFonts w:eastAsia="黑体"/>
          <w:b/>
          <w:bCs/>
          <w:szCs w:val="28"/>
        </w:rPr>
        <w:t>Design guide of earth-rock balance for pumped storage power station</w:t>
      </w:r>
    </w:p>
    <w:p w14:paraId="490956F4">
      <w:pPr>
        <w:framePr w:w="9639" w:h="5785" w:hRule="exact" w:wrap="around" w:vAnchor="page" w:hAnchor="page" w:x="879" w:y="6613" w:anchorLock="1"/>
        <w:spacing w:line="760" w:lineRule="exact"/>
        <w:ind w:left="-1418"/>
        <w:rPr>
          <w:rFonts w:ascii="Times New Roman" w:hAnsi="Times New Roman"/>
          <w:highlight w:val="yellow"/>
        </w:rPr>
      </w:pPr>
    </w:p>
    <w:p w14:paraId="71828CD2">
      <w:pPr>
        <w:pStyle w:val="42"/>
        <w:framePr w:w="9639" w:h="5785" w:hRule="exact" w:wrap="around" w:vAnchor="page" w:hAnchor="page" w:x="879" w:y="6613" w:anchorLock="1"/>
        <w:textAlignment w:val="bottom"/>
        <w:rPr>
          <w:rFonts w:eastAsia="黑体"/>
          <w:szCs w:val="28"/>
        </w:rPr>
      </w:pPr>
    </w:p>
    <w:p w14:paraId="681238AF">
      <w:pPr>
        <w:pStyle w:val="42"/>
        <w:framePr w:w="9639" w:h="5785" w:hRule="exact" w:wrap="around" w:vAnchor="page" w:hAnchor="page" w:x="879" w:y="6613" w:anchorLock="1"/>
        <w:spacing w:before="440" w:after="160"/>
        <w:textAlignment w:val="bottom"/>
        <w:rPr>
          <w:sz w:val="24"/>
          <w:szCs w:val="28"/>
        </w:rPr>
      </w:pPr>
    </w:p>
    <w:p w14:paraId="1ECAFCBE">
      <w:pPr>
        <w:pStyle w:val="42"/>
        <w:framePr w:w="9639" w:h="5785" w:hRule="exact" w:wrap="around" w:vAnchor="page" w:hAnchor="page" w:x="879" w:y="6613" w:anchorLock="1"/>
        <w:spacing w:before="180" w:line="240" w:lineRule="atLeast"/>
        <w:textAlignment w:val="bottom"/>
        <w:rPr>
          <w:sz w:val="21"/>
          <w:szCs w:val="28"/>
        </w:rPr>
      </w:pPr>
      <w:r>
        <w:rPr>
          <w:szCs w:val="28"/>
        </w:rPr>
        <w:fldChar w:fldCharType="begin">
          <w:ffData>
            <w:name w:val="CMPLSH_DATE"/>
            <w:enabled/>
            <w:calcOnExit w:val="0"/>
            <w:textInput/>
          </w:ffData>
        </w:fldChar>
      </w:r>
      <w:bookmarkStart w:id="2" w:name="CMPLSH_DATE"/>
      <w:r>
        <w:rPr>
          <w:szCs w:val="28"/>
        </w:rPr>
        <w:instrText xml:space="preserve"> FORMTEXT </w:instrText>
      </w:r>
      <w:r>
        <w:rPr>
          <w:szCs w:val="28"/>
        </w:rPr>
        <w:fldChar w:fldCharType="separate"/>
      </w:r>
      <w:r>
        <w:rPr>
          <w:rFonts w:hint="eastAsia"/>
          <w:szCs w:val="28"/>
        </w:rPr>
        <w:t>（征求意见稿）</w:t>
      </w:r>
      <w:r>
        <w:rPr>
          <w:szCs w:val="28"/>
        </w:rPr>
        <w:t>    </w:t>
      </w:r>
      <w:r>
        <w:rPr>
          <w:szCs w:val="28"/>
        </w:rPr>
        <w:fldChar w:fldCharType="end"/>
      </w:r>
      <w:bookmarkEnd w:id="2"/>
    </w:p>
    <w:p w14:paraId="6CD51E6D">
      <w:pPr>
        <w:pStyle w:val="42"/>
        <w:framePr w:w="9639" w:h="5785" w:hRule="exact" w:wrap="around" w:vAnchor="page" w:hAnchor="page" w:x="879" w:y="6613" w:anchorLock="1"/>
        <w:spacing w:before="954" w:beforeLines="300" w:after="95"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3" w:name="下拉2"/>
      <w:r>
        <w:rPr>
          <w:b/>
          <w:sz w:val="21"/>
          <w:szCs w:val="28"/>
        </w:rPr>
        <w:instrText xml:space="preserve"> FORMDROPDOWN </w:instrText>
      </w:r>
      <w:r>
        <w:rPr>
          <w:b/>
          <w:sz w:val="21"/>
          <w:szCs w:val="28"/>
        </w:rPr>
        <w:fldChar w:fldCharType="separate"/>
      </w:r>
      <w:r>
        <w:rPr>
          <w:b/>
          <w:sz w:val="21"/>
          <w:szCs w:val="28"/>
        </w:rPr>
        <w:fldChar w:fldCharType="end"/>
      </w:r>
      <w:bookmarkEnd w:id="3"/>
    </w:p>
    <w:p w14:paraId="7FA1111E">
      <w:pPr>
        <w:pStyle w:val="43"/>
        <w:framePr w:wrap="around" w:y="14176"/>
      </w:pPr>
      <w:r>
        <w:rPr>
          <w:rFonts w:hint="eastAsia"/>
          <w:b/>
          <w:bCs/>
        </w:rPr>
        <w:t>2026</w:t>
      </w:r>
      <w:r>
        <w:rPr>
          <w:b/>
          <w:bCs/>
        </w:rPr>
        <w:t xml:space="preserve"> - </w:t>
      </w:r>
      <w:r>
        <w:rPr>
          <w:rFonts w:hint="eastAsia"/>
          <w:b/>
          <w:bCs/>
        </w:rPr>
        <w:t>XX</w:t>
      </w:r>
      <w:r>
        <w:rPr>
          <w:b/>
          <w:bCs/>
        </w:rPr>
        <w:t xml:space="preserve"> - </w:t>
      </w:r>
      <w:r>
        <w:rPr>
          <w:rFonts w:hint="eastAsia"/>
          <w:b/>
          <w:bCs/>
        </w:rPr>
        <w:t>XX 发布</w:t>
      </w:r>
    </w:p>
    <w:p w14:paraId="055EE8D9">
      <w:pPr>
        <w:pStyle w:val="43"/>
        <w:framePr w:wrap="around" w:y="14176"/>
        <w:ind w:left="5250"/>
      </w:pPr>
      <w:r>
        <w:t xml:space="preserve"> - </w:t>
      </w:r>
      <w:r>
        <w:fldChar w:fldCharType="begin">
          <w:ffData>
            <w:name w:val="PLSH_DATE_M"/>
            <w:enabled/>
            <w:calcOnExit w:val="0"/>
            <w:textInput>
              <w:default w:val="XX"/>
              <w:maxLength w:val="2"/>
            </w:textInput>
          </w:ffData>
        </w:fldChar>
      </w:r>
      <w:bookmarkStart w:id="4" w:name="PLSH_DATE_M"/>
      <w:r>
        <w:instrText xml:space="preserve"> FORMTEXT </w:instrText>
      </w:r>
      <w:r>
        <w:fldChar w:fldCharType="separate"/>
      </w:r>
      <w:r>
        <w:t>XX</w:t>
      </w:r>
      <w:r>
        <w:fldChar w:fldCharType="end"/>
      </w:r>
      <w:bookmarkEnd w:id="4"/>
      <w:r>
        <w:t xml:space="preserve"> - </w:t>
      </w:r>
      <w:r>
        <w:fldChar w:fldCharType="begin">
          <w:ffData>
            <w:name w:val="PLSH_DATE_D"/>
            <w:enabled/>
            <w:calcOnExit w:val="0"/>
            <w:textInput>
              <w:default w:val="XX"/>
              <w:maxLength w:val="2"/>
            </w:textInput>
          </w:ffData>
        </w:fldChar>
      </w:r>
      <w:bookmarkStart w:id="5" w:name="PLSH_DATE_D"/>
      <w:r>
        <w:instrText xml:space="preserve"> FORMTEXT </w:instrText>
      </w:r>
      <w:r>
        <w:fldChar w:fldCharType="separate"/>
      </w:r>
      <w:r>
        <w:t>XX</w:t>
      </w:r>
      <w:r>
        <w:fldChar w:fldCharType="end"/>
      </w:r>
      <w:bookmarkEnd w:id="5"/>
      <w:r>
        <w:rPr>
          <w:rFonts w:hint="eastAsia"/>
        </w:rPr>
        <w:t>发布</w:t>
      </w:r>
    </w:p>
    <w:p w14:paraId="5E717BF0">
      <w:pPr>
        <w:pStyle w:val="44"/>
        <w:framePr w:wrap="around" w:y="14176"/>
        <w:rPr>
          <w:b/>
          <w:bCs/>
        </w:rPr>
      </w:pPr>
      <w:r>
        <w:rPr>
          <w:rFonts w:hint="eastAsia"/>
          <w:b/>
          <w:bCs/>
        </w:rPr>
        <w:t>20XX</w:t>
      </w:r>
      <w:r>
        <w:rPr>
          <w:b/>
          <w:bCs/>
        </w:rPr>
        <w:t xml:space="preserve"> - </w:t>
      </w:r>
      <w:r>
        <w:rPr>
          <w:rFonts w:hint="eastAsia"/>
          <w:b/>
          <w:bCs/>
        </w:rPr>
        <w:t>XX</w:t>
      </w:r>
      <w:r>
        <w:rPr>
          <w:b/>
          <w:bCs/>
        </w:rPr>
        <w:t xml:space="preserve"> - </w:t>
      </w:r>
      <w:r>
        <w:rPr>
          <w:rFonts w:hint="eastAsia"/>
          <w:b/>
          <w:bCs/>
        </w:rPr>
        <w:t>XX 实施</w:t>
      </w:r>
    </w:p>
    <w:p w14:paraId="12B2F5B0">
      <w:pPr>
        <w:pStyle w:val="45"/>
        <w:framePr w:h="1084" w:hRule="exact" w:hSpace="181" w:vSpace="181" w:wrap="around" w:vAnchor="page" w:hAnchor="page" w:x="2487" w:y="15227"/>
        <w:rPr>
          <w:rFonts w:ascii="Times New Roman"/>
          <w:b/>
          <w:bCs/>
          <w:w w:val="100"/>
          <w:sz w:val="28"/>
        </w:rPr>
      </w:pPr>
      <w:r>
        <w:rPr>
          <w:rFonts w:hint="eastAsia" w:ascii="Times New Roman"/>
          <w:b/>
          <w:bCs/>
          <w:w w:val="100"/>
          <w:sz w:val="28"/>
        </w:rPr>
        <w:t>中国电力建设企业协会         发 布</w:t>
      </w:r>
    </w:p>
    <w:p w14:paraId="23CE81D6">
      <w:pPr>
        <w:pStyle w:val="45"/>
        <w:framePr w:h="1084" w:hRule="exact" w:hSpace="181" w:vSpace="181" w:wrap="around" w:vAnchor="page" w:hAnchor="page" w:x="2487" w:y="15227"/>
        <w:rPr>
          <w:rStyle w:val="46"/>
          <w:rFonts w:ascii="Times New Roman"/>
        </w:rPr>
      </w:pPr>
    </w:p>
    <w:p w14:paraId="213A1C2A">
      <w:pPr>
        <w:pStyle w:val="45"/>
        <w:framePr w:h="1084" w:hRule="exact" w:hSpace="181" w:vSpace="181" w:wrap="around" w:vAnchor="page" w:hAnchor="page" w:x="2487" w:y="15227"/>
        <w:rPr>
          <w:rFonts w:ascii="Times New Roman"/>
        </w:rPr>
      </w:pPr>
    </w:p>
    <w:p w14:paraId="52B8BD30">
      <w:pPr>
        <w:pStyle w:val="13"/>
        <w:jc w:val="center"/>
        <w:rPr>
          <w:rFonts w:ascii="Times New Roman" w:hAnsi="Times New Roman" w:eastAsia="黑体"/>
          <w:sz w:val="28"/>
          <w:szCs w:val="28"/>
        </w:rPr>
      </w:pPr>
    </w:p>
    <w:p w14:paraId="353A5292">
      <w:pPr>
        <w:pStyle w:val="38"/>
        <w:framePr w:x="1339" w:y="4487"/>
        <w:ind w:firstLine="560"/>
        <w:rPr>
          <w:rFonts w:ascii="Times New Roman" w:eastAsia="方正小标宋_GBK" w:cs="方正小标宋_GBK"/>
        </w:rPr>
      </w:pPr>
      <w:r>
        <w:rPr>
          <w:rFonts w:hint="eastAsia" w:ascii="Times New Roman" w:eastAsia="方正小标宋_GBK" w:cs="方正小标宋_GBK"/>
        </w:rPr>
        <w:t>T/CEPCA 029-2024</w:t>
      </w:r>
    </w:p>
    <w:p w14:paraId="52D4C11B">
      <w:pPr>
        <w:pStyle w:val="40"/>
        <w:framePr w:x="1339" w:y="4487"/>
        <w:ind w:firstLine="420"/>
        <w:rPr>
          <w:rFonts w:ascii="Times New Roman"/>
        </w:rPr>
      </w:pPr>
    </w:p>
    <w:p w14:paraId="18EA25C2">
      <w:pPr>
        <w:pStyle w:val="40"/>
        <w:framePr w:x="1339" w:y="4487"/>
        <w:ind w:firstLine="420"/>
        <w:rPr>
          <w:rFonts w:ascii="Times New Roman"/>
        </w:rPr>
      </w:pPr>
    </w:p>
    <w:p w14:paraId="51C2C38F">
      <w:pPr>
        <w:pStyle w:val="17"/>
        <w:tabs>
          <w:tab w:val="right" w:leader="dot" w:pos="8302"/>
        </w:tabs>
        <w:jc w:val="center"/>
        <w:rPr>
          <w:rFonts w:ascii="Times New Roman" w:hAnsi="Times New Roman" w:cs="宋体"/>
          <w:b/>
          <w:sz w:val="32"/>
          <w:szCs w:val="32"/>
        </w:rPr>
        <w:sectPr>
          <w:pgSz w:w="11906" w:h="16838"/>
          <w:pgMar w:top="1440" w:right="1797" w:bottom="1440" w:left="1797" w:header="851" w:footer="850" w:gutter="0"/>
          <w:pgNumType w:fmt="upperRoman" w:start="0"/>
          <w:cols w:space="0" w:num="1"/>
          <w:docGrid w:type="lines" w:linePitch="318" w:charSpace="0"/>
        </w:sectPr>
      </w:pPr>
      <w:r>
        <w:rPr>
          <w:rFonts w:ascii="Times New Roman" w:hAnsi="Times New Roman" w:eastAsia="黑体"/>
          <w:sz w:val="10"/>
          <w:szCs w:val="10"/>
        </w:rPr>
        <mc:AlternateContent>
          <mc:Choice Requires="wps">
            <w:drawing>
              <wp:anchor distT="0" distB="0" distL="114300" distR="114300" simplePos="0" relativeHeight="251663360" behindDoc="0" locked="0" layoutInCell="1" allowOverlap="0">
                <wp:simplePos x="0" y="0"/>
                <wp:positionH relativeFrom="page">
                  <wp:posOffset>716915</wp:posOffset>
                </wp:positionH>
                <wp:positionV relativeFrom="page">
                  <wp:posOffset>3462655</wp:posOffset>
                </wp:positionV>
                <wp:extent cx="6120130" cy="0"/>
                <wp:effectExtent l="0" t="4445" r="0" b="508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6.45pt;margin-top:272.65pt;height:0pt;width:481.9pt;mso-position-horizontal-relative:page;mso-position-vertical-relative:page;z-index:251663360;mso-width-relative:page;mso-height-relative:page;" filled="f" stroked="t" coordsize="21600,21600" o:allowoverlap="f" o:gfxdata="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lWNKJdgAAAAM&#10;AQAADwAAAAAAAAABACAAAAAiAAAAZHJzL2Rvd25yZXYueG1sUEsBAhQAFAAAAAgAh07iQLlwlrDj&#10;AQAAqgMAAA4AAAAAAAAAAQAgAAAAJwEAAGRycy9lMm9Eb2MueG1sUEsFBgAAAAAGAAYAWQEAAHwF&#10;AAAAAA==&#10;">
                <v:fill on="f" focussize="0,0"/>
                <v:stroke color="#000000" joinstyle="round"/>
                <v:imagedata o:title=""/>
                <o:lock v:ext="edit" aspectratio="f"/>
              </v:line>
            </w:pict>
          </mc:Fallback>
        </mc:AlternateContent>
      </w:r>
      <w:r>
        <w:rPr>
          <w:rFonts w:ascii="Times New Roman" w:hAnsi="Times New Roman" w:eastAsia="黑体"/>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9481185</wp:posOffset>
                </wp:positionV>
                <wp:extent cx="612013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746.55pt;height:0pt;width:481.9pt;mso-position-horizontal-relative:page;mso-position-vertical-relative:page;z-index:251660288;mso-width-relative:page;mso-height-relative:page;" filled="f" stroked="t" coordsize="21600,21600" o:allowoverlap="f" o:gfxdata="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EZ9wfXAAAADgEA&#10;AA8AAAAAAAAAAQAgAAAAIgAAAGRycy9kb3ducmV2LnhtbFBLAQIUABQAAAAIAIdO4kBN1FcE4gEA&#10;AKoDAAAOAAAAAAAAAAEAIAAAACYBAABkcnMvZTJvRG9jLnhtbFBLBQYAAAAABgAGAFkBAAB6BQAA&#10;AAA=&#10;">
                <v:fill on="f" focussize="0,0"/>
                <v:stroke color="#000000" joinstyle="round"/>
                <v:imagedata o:title=""/>
                <o:lock v:ext="edit" aspectratio="f"/>
              </v:line>
            </w:pict>
          </mc:Fallback>
        </mc:AlternateContent>
      </w:r>
    </w:p>
    <w:sdt>
      <w:sdtPr>
        <w:rPr>
          <w:rFonts w:ascii="宋体" w:hAnsi="宋体" w:eastAsia="宋体"/>
        </w:rPr>
        <w:id w:val="147478782"/>
        <w:docPartObj>
          <w:docPartGallery w:val="Table of Contents"/>
          <w:docPartUnique/>
        </w:docPartObj>
      </w:sdtPr>
      <w:sdtEndPr>
        <w:rPr>
          <w:rFonts w:ascii="宋体" w:hAnsi="宋体" w:eastAsia="宋体"/>
        </w:rPr>
      </w:sdtEndPr>
      <w:sdtContent>
        <w:p w14:paraId="1FCAC2CF">
          <w:pPr>
            <w:jc w:val="center"/>
            <w:rPr>
              <w:rFonts w:eastAsia="宋体"/>
            </w:rPr>
          </w:pPr>
          <w:bookmarkStart w:id="6" w:name="_Toc28638"/>
          <w:r>
            <w:rPr>
              <w:rFonts w:hint="eastAsia" w:ascii="黑体" w:hAnsi="黑体" w:eastAsia="黑体" w:cs="黑体"/>
              <w:sz w:val="32"/>
              <w:szCs w:val="32"/>
            </w:rPr>
            <w:t>目 次</w:t>
          </w:r>
        </w:p>
        <w:p w14:paraId="2B078845">
          <w:pPr>
            <w:pStyle w:val="17"/>
            <w:tabs>
              <w:tab w:val="right" w:leader="dot" w:pos="9345"/>
            </w:tabs>
            <w:rPr>
              <w:rFonts w:ascii="宋体" w:hAnsi="宋体" w:eastAsia="宋体"/>
              <w:kern w:val="2"/>
            </w:rPr>
          </w:pPr>
          <w:r>
            <w:rPr>
              <w:rFonts w:ascii="宋体" w:hAnsi="宋体" w:eastAsia="宋体"/>
            </w:rPr>
            <w:fldChar w:fldCharType="begin"/>
          </w:r>
          <w:r>
            <w:rPr>
              <w:rFonts w:ascii="宋体" w:hAnsi="宋体" w:eastAsia="宋体"/>
            </w:rPr>
            <w:instrText xml:space="preserve">TOC \o "1-2" \h \u </w:instrText>
          </w:r>
          <w:r>
            <w:rPr>
              <w:rFonts w:ascii="宋体" w:hAnsi="宋体" w:eastAsia="宋体"/>
            </w:rPr>
            <w:fldChar w:fldCharType="separate"/>
          </w:r>
          <w:r>
            <w:fldChar w:fldCharType="begin"/>
          </w:r>
          <w:r>
            <w:instrText xml:space="preserve"> HYPERLINK \l "_Toc227827630" </w:instrText>
          </w:r>
          <w:r>
            <w:fldChar w:fldCharType="separate"/>
          </w:r>
          <w:r>
            <w:rPr>
              <w:rStyle w:val="28"/>
              <w:rFonts w:ascii="宋体" w:hAnsi="宋体" w:eastAsia="宋体"/>
            </w:rPr>
            <w:t>1</w:t>
          </w:r>
          <w:r>
            <w:rPr>
              <w:rStyle w:val="28"/>
              <w:rFonts w:hint="eastAsia" w:ascii="宋体" w:hAnsi="宋体" w:eastAsia="宋体"/>
            </w:rPr>
            <w:t xml:space="preserve"> 范围</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_Toc227827630 \h </w:instrText>
          </w:r>
          <w:r>
            <w:rPr>
              <w:rFonts w:ascii="宋体" w:hAnsi="宋体" w:eastAsia="宋体"/>
            </w:rPr>
            <w:fldChar w:fldCharType="separate"/>
          </w:r>
          <w:r>
            <w:rPr>
              <w:rFonts w:ascii="宋体" w:hAnsi="宋体" w:eastAsia="宋体"/>
            </w:rPr>
            <w:t>3</w:t>
          </w:r>
          <w:r>
            <w:rPr>
              <w:rFonts w:ascii="宋体" w:hAnsi="宋体" w:eastAsia="宋体"/>
            </w:rPr>
            <w:fldChar w:fldCharType="end"/>
          </w:r>
          <w:r>
            <w:rPr>
              <w:rFonts w:ascii="宋体" w:hAnsi="宋体" w:eastAsia="宋体"/>
            </w:rPr>
            <w:fldChar w:fldCharType="end"/>
          </w:r>
        </w:p>
        <w:p w14:paraId="0893B420">
          <w:pPr>
            <w:pStyle w:val="17"/>
            <w:tabs>
              <w:tab w:val="right" w:leader="dot" w:pos="9345"/>
            </w:tabs>
            <w:rPr>
              <w:rFonts w:ascii="宋体" w:hAnsi="宋体" w:eastAsia="宋体"/>
              <w:kern w:val="2"/>
            </w:rPr>
          </w:pPr>
          <w:r>
            <w:fldChar w:fldCharType="begin"/>
          </w:r>
          <w:r>
            <w:instrText xml:space="preserve"> HYPERLINK \l "_Toc227827631" </w:instrText>
          </w:r>
          <w:r>
            <w:fldChar w:fldCharType="separate"/>
          </w:r>
          <w:r>
            <w:rPr>
              <w:rStyle w:val="28"/>
              <w:rFonts w:ascii="宋体" w:hAnsi="宋体" w:eastAsia="宋体"/>
            </w:rPr>
            <w:t>2</w:t>
          </w:r>
          <w:r>
            <w:rPr>
              <w:rStyle w:val="28"/>
              <w:rFonts w:hint="eastAsia" w:ascii="宋体" w:hAnsi="宋体" w:eastAsia="宋体"/>
            </w:rPr>
            <w:t xml:space="preserve"> 规范性引用文件</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_Toc227827631 \h </w:instrText>
          </w:r>
          <w:r>
            <w:rPr>
              <w:rFonts w:ascii="宋体" w:hAnsi="宋体" w:eastAsia="宋体"/>
            </w:rPr>
            <w:fldChar w:fldCharType="separate"/>
          </w:r>
          <w:r>
            <w:rPr>
              <w:rFonts w:ascii="宋体" w:hAnsi="宋体" w:eastAsia="宋体"/>
            </w:rPr>
            <w:t>3</w:t>
          </w:r>
          <w:r>
            <w:rPr>
              <w:rFonts w:ascii="宋体" w:hAnsi="宋体" w:eastAsia="宋体"/>
            </w:rPr>
            <w:fldChar w:fldCharType="end"/>
          </w:r>
          <w:r>
            <w:rPr>
              <w:rFonts w:ascii="宋体" w:hAnsi="宋体" w:eastAsia="宋体"/>
            </w:rPr>
            <w:fldChar w:fldCharType="end"/>
          </w:r>
        </w:p>
        <w:p w14:paraId="56CF9758">
          <w:pPr>
            <w:pStyle w:val="17"/>
            <w:tabs>
              <w:tab w:val="right" w:leader="dot" w:pos="9345"/>
            </w:tabs>
            <w:rPr>
              <w:rFonts w:ascii="宋体" w:hAnsi="宋体" w:eastAsia="宋体"/>
              <w:kern w:val="2"/>
            </w:rPr>
          </w:pPr>
          <w:r>
            <w:fldChar w:fldCharType="begin"/>
          </w:r>
          <w:r>
            <w:instrText xml:space="preserve"> HYPERLINK \l "_Toc227827632" </w:instrText>
          </w:r>
          <w:r>
            <w:fldChar w:fldCharType="separate"/>
          </w:r>
          <w:r>
            <w:rPr>
              <w:rStyle w:val="28"/>
              <w:rFonts w:ascii="宋体" w:hAnsi="宋体" w:eastAsia="宋体"/>
            </w:rPr>
            <w:t>3</w:t>
          </w:r>
          <w:r>
            <w:rPr>
              <w:rStyle w:val="28"/>
              <w:rFonts w:hint="eastAsia" w:ascii="宋体" w:hAnsi="宋体" w:eastAsia="宋体"/>
            </w:rPr>
            <w:t xml:space="preserve"> 术语和定义</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_Toc227827632 \h </w:instrText>
          </w:r>
          <w:r>
            <w:rPr>
              <w:rFonts w:ascii="宋体" w:hAnsi="宋体" w:eastAsia="宋体"/>
            </w:rPr>
            <w:fldChar w:fldCharType="separate"/>
          </w:r>
          <w:r>
            <w:rPr>
              <w:rFonts w:ascii="宋体" w:hAnsi="宋体" w:eastAsia="宋体"/>
            </w:rPr>
            <w:t>3</w:t>
          </w:r>
          <w:r>
            <w:rPr>
              <w:rFonts w:ascii="宋体" w:hAnsi="宋体" w:eastAsia="宋体"/>
            </w:rPr>
            <w:fldChar w:fldCharType="end"/>
          </w:r>
          <w:r>
            <w:rPr>
              <w:rFonts w:ascii="宋体" w:hAnsi="宋体" w:eastAsia="宋体"/>
            </w:rPr>
            <w:fldChar w:fldCharType="end"/>
          </w:r>
        </w:p>
        <w:p w14:paraId="43E95817">
          <w:pPr>
            <w:pStyle w:val="17"/>
            <w:tabs>
              <w:tab w:val="right" w:leader="dot" w:pos="9345"/>
            </w:tabs>
            <w:rPr>
              <w:rFonts w:ascii="宋体" w:hAnsi="宋体" w:eastAsia="宋体"/>
              <w:kern w:val="2"/>
            </w:rPr>
          </w:pPr>
          <w:r>
            <w:fldChar w:fldCharType="begin"/>
          </w:r>
          <w:r>
            <w:instrText xml:space="preserve"> HYPERLINK \l "_Toc227827644" </w:instrText>
          </w:r>
          <w:r>
            <w:fldChar w:fldCharType="separate"/>
          </w:r>
          <w:r>
            <w:rPr>
              <w:rStyle w:val="28"/>
              <w:rFonts w:ascii="宋体" w:hAnsi="宋体" w:eastAsia="宋体"/>
            </w:rPr>
            <w:t>4</w:t>
          </w:r>
          <w:r>
            <w:rPr>
              <w:rStyle w:val="28"/>
              <w:rFonts w:hint="eastAsia" w:ascii="宋体" w:hAnsi="宋体" w:eastAsia="宋体"/>
            </w:rPr>
            <w:t xml:space="preserve"> 总体原则与依据</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_Toc227827644 \h </w:instrText>
          </w:r>
          <w:r>
            <w:rPr>
              <w:rFonts w:ascii="宋体" w:hAnsi="宋体" w:eastAsia="宋体"/>
            </w:rPr>
            <w:fldChar w:fldCharType="separate"/>
          </w:r>
          <w:r>
            <w:rPr>
              <w:rFonts w:ascii="宋体" w:hAnsi="宋体" w:eastAsia="宋体"/>
            </w:rPr>
            <w:t>4</w:t>
          </w:r>
          <w:r>
            <w:rPr>
              <w:rFonts w:ascii="宋体" w:hAnsi="宋体" w:eastAsia="宋体"/>
            </w:rPr>
            <w:fldChar w:fldCharType="end"/>
          </w:r>
          <w:r>
            <w:rPr>
              <w:rFonts w:ascii="宋体" w:hAnsi="宋体" w:eastAsia="宋体"/>
            </w:rPr>
            <w:fldChar w:fldCharType="end"/>
          </w:r>
        </w:p>
        <w:p w14:paraId="1D787E6E">
          <w:pPr>
            <w:pStyle w:val="17"/>
            <w:tabs>
              <w:tab w:val="right" w:leader="dot" w:pos="9345"/>
            </w:tabs>
            <w:rPr>
              <w:rFonts w:ascii="宋体" w:hAnsi="宋体" w:eastAsia="宋体"/>
              <w:kern w:val="2"/>
            </w:rPr>
          </w:pPr>
          <w:r>
            <w:fldChar w:fldCharType="begin"/>
          </w:r>
          <w:r>
            <w:instrText xml:space="preserve"> HYPERLINK \l "_Toc227827647" </w:instrText>
          </w:r>
          <w:r>
            <w:fldChar w:fldCharType="separate"/>
          </w:r>
          <w:r>
            <w:rPr>
              <w:rStyle w:val="28"/>
              <w:rFonts w:ascii="宋体" w:hAnsi="宋体" w:eastAsia="宋体"/>
            </w:rPr>
            <w:t>5</w:t>
          </w:r>
          <w:r>
            <w:rPr>
              <w:rStyle w:val="28"/>
              <w:rFonts w:hint="eastAsia" w:ascii="宋体" w:hAnsi="宋体" w:eastAsia="宋体"/>
            </w:rPr>
            <w:t xml:space="preserve"> 基本规定</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_Toc227827647 \h </w:instrText>
          </w:r>
          <w:r>
            <w:rPr>
              <w:rFonts w:ascii="宋体" w:hAnsi="宋体" w:eastAsia="宋体"/>
            </w:rPr>
            <w:fldChar w:fldCharType="separate"/>
          </w:r>
          <w:r>
            <w:rPr>
              <w:rFonts w:ascii="宋体" w:hAnsi="宋体" w:eastAsia="宋体"/>
            </w:rPr>
            <w:t>5</w:t>
          </w:r>
          <w:r>
            <w:rPr>
              <w:rFonts w:ascii="宋体" w:hAnsi="宋体" w:eastAsia="宋体"/>
            </w:rPr>
            <w:fldChar w:fldCharType="end"/>
          </w:r>
          <w:r>
            <w:rPr>
              <w:rFonts w:ascii="宋体" w:hAnsi="宋体" w:eastAsia="宋体"/>
            </w:rPr>
            <w:fldChar w:fldCharType="end"/>
          </w:r>
        </w:p>
        <w:p w14:paraId="1B3854E6">
          <w:pPr>
            <w:pStyle w:val="17"/>
            <w:tabs>
              <w:tab w:val="right" w:leader="dot" w:pos="9345"/>
            </w:tabs>
            <w:rPr>
              <w:rFonts w:ascii="宋体" w:hAnsi="宋体" w:eastAsia="宋体"/>
              <w:kern w:val="2"/>
            </w:rPr>
          </w:pPr>
          <w:r>
            <w:fldChar w:fldCharType="begin"/>
          </w:r>
          <w:r>
            <w:instrText xml:space="preserve"> HYPERLINK \l "_Toc227827658" </w:instrText>
          </w:r>
          <w:r>
            <w:fldChar w:fldCharType="separate"/>
          </w:r>
          <w:r>
            <w:rPr>
              <w:rStyle w:val="28"/>
              <w:rFonts w:ascii="宋体" w:hAnsi="宋体" w:eastAsia="宋体"/>
            </w:rPr>
            <w:t>6</w:t>
          </w:r>
          <w:r>
            <w:rPr>
              <w:rStyle w:val="28"/>
              <w:rFonts w:hint="eastAsia" w:ascii="宋体" w:hAnsi="宋体" w:eastAsia="宋体"/>
            </w:rPr>
            <w:t xml:space="preserve"> 土石方平衡规划</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_Toc227827658 \h </w:instrText>
          </w:r>
          <w:r>
            <w:rPr>
              <w:rFonts w:ascii="宋体" w:hAnsi="宋体" w:eastAsia="宋体"/>
            </w:rPr>
            <w:fldChar w:fldCharType="separate"/>
          </w:r>
          <w:r>
            <w:rPr>
              <w:rFonts w:ascii="宋体" w:hAnsi="宋体" w:eastAsia="宋体"/>
            </w:rPr>
            <w:t>5</w:t>
          </w:r>
          <w:r>
            <w:rPr>
              <w:rFonts w:ascii="宋体" w:hAnsi="宋体" w:eastAsia="宋体"/>
            </w:rPr>
            <w:fldChar w:fldCharType="end"/>
          </w:r>
          <w:r>
            <w:rPr>
              <w:rFonts w:ascii="宋体" w:hAnsi="宋体" w:eastAsia="宋体"/>
            </w:rPr>
            <w:fldChar w:fldCharType="end"/>
          </w:r>
        </w:p>
        <w:p w14:paraId="25CCFA30">
          <w:pPr>
            <w:pStyle w:val="17"/>
            <w:tabs>
              <w:tab w:val="right" w:leader="dot" w:pos="9345"/>
            </w:tabs>
            <w:rPr>
              <w:rFonts w:ascii="宋体" w:hAnsi="宋体" w:eastAsia="宋体"/>
              <w:kern w:val="2"/>
            </w:rPr>
          </w:pPr>
          <w:r>
            <w:fldChar w:fldCharType="begin"/>
          </w:r>
          <w:r>
            <w:instrText xml:space="preserve"> HYPERLINK \l "_Toc227827665" </w:instrText>
          </w:r>
          <w:r>
            <w:fldChar w:fldCharType="separate"/>
          </w:r>
          <w:r>
            <w:rPr>
              <w:rStyle w:val="28"/>
              <w:rFonts w:ascii="宋体" w:hAnsi="宋体" w:eastAsia="宋体"/>
            </w:rPr>
            <w:t>7</w:t>
          </w:r>
          <w:r>
            <w:rPr>
              <w:rStyle w:val="28"/>
              <w:rFonts w:hint="eastAsia" w:ascii="宋体" w:hAnsi="宋体" w:eastAsia="宋体"/>
            </w:rPr>
            <w:t xml:space="preserve"> 料源选择与规划</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_Toc227827665 \h </w:instrText>
          </w:r>
          <w:r>
            <w:rPr>
              <w:rFonts w:ascii="宋体" w:hAnsi="宋体" w:eastAsia="宋体"/>
            </w:rPr>
            <w:fldChar w:fldCharType="separate"/>
          </w:r>
          <w:r>
            <w:rPr>
              <w:rFonts w:ascii="宋体" w:hAnsi="宋体" w:eastAsia="宋体"/>
            </w:rPr>
            <w:t>6</w:t>
          </w:r>
          <w:r>
            <w:rPr>
              <w:rFonts w:ascii="宋体" w:hAnsi="宋体" w:eastAsia="宋体"/>
            </w:rPr>
            <w:fldChar w:fldCharType="end"/>
          </w:r>
          <w:r>
            <w:rPr>
              <w:rFonts w:ascii="宋体" w:hAnsi="宋体" w:eastAsia="宋体"/>
            </w:rPr>
            <w:fldChar w:fldCharType="end"/>
          </w:r>
        </w:p>
        <w:p w14:paraId="25D32214">
          <w:pPr>
            <w:pStyle w:val="19"/>
            <w:tabs>
              <w:tab w:val="right" w:leader="dot" w:pos="9345"/>
            </w:tabs>
            <w:rPr>
              <w:rFonts w:ascii="宋体" w:hAnsi="宋体" w:eastAsia="宋体"/>
              <w:kern w:val="2"/>
            </w:rPr>
          </w:pPr>
          <w:r>
            <w:fldChar w:fldCharType="begin"/>
          </w:r>
          <w:r>
            <w:instrText xml:space="preserve"> HYPERLINK \l "_Toc227827666" </w:instrText>
          </w:r>
          <w:r>
            <w:fldChar w:fldCharType="separate"/>
          </w:r>
          <w:r>
            <w:rPr>
              <w:rStyle w:val="28"/>
              <w:rFonts w:ascii="宋体" w:hAnsi="宋体" w:eastAsia="宋体" w:cs="宋体"/>
              <w14:scene3d w14:prst="orthographicFront">
                <w14:lightRig w14:rig="threePt" w14:dir="t">
                  <w14:rot w14:lat="0" w14:lon="0" w14:rev="0"/>
                </w14:lightRig>
              </w14:scene3d>
            </w:rPr>
            <w:t>7.1</w:t>
          </w:r>
          <w:r>
            <w:rPr>
              <w:rStyle w:val="28"/>
              <w:rFonts w:hint="eastAsia" w:ascii="宋体" w:hAnsi="宋体" w:eastAsia="宋体"/>
              <w:bCs/>
            </w:rPr>
            <w:t xml:space="preserve"> 一般规定</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_Toc227827666 \h </w:instrText>
          </w:r>
          <w:r>
            <w:rPr>
              <w:rFonts w:ascii="宋体" w:hAnsi="宋体" w:eastAsia="宋体"/>
            </w:rPr>
            <w:fldChar w:fldCharType="separate"/>
          </w:r>
          <w:r>
            <w:rPr>
              <w:rFonts w:ascii="宋体" w:hAnsi="宋体" w:eastAsia="宋体"/>
            </w:rPr>
            <w:t>6</w:t>
          </w:r>
          <w:r>
            <w:rPr>
              <w:rFonts w:ascii="宋体" w:hAnsi="宋体" w:eastAsia="宋体"/>
            </w:rPr>
            <w:fldChar w:fldCharType="end"/>
          </w:r>
          <w:r>
            <w:rPr>
              <w:rFonts w:ascii="宋体" w:hAnsi="宋体" w:eastAsia="宋体"/>
            </w:rPr>
            <w:fldChar w:fldCharType="end"/>
          </w:r>
        </w:p>
        <w:p w14:paraId="52198EFB">
          <w:pPr>
            <w:pStyle w:val="19"/>
            <w:tabs>
              <w:tab w:val="right" w:leader="dot" w:pos="9345"/>
            </w:tabs>
            <w:rPr>
              <w:rFonts w:ascii="宋体" w:hAnsi="宋体" w:eastAsia="宋体"/>
              <w:kern w:val="2"/>
            </w:rPr>
          </w:pPr>
          <w:r>
            <w:fldChar w:fldCharType="begin"/>
          </w:r>
          <w:r>
            <w:instrText xml:space="preserve"> HYPERLINK \l "_Toc227827667" </w:instrText>
          </w:r>
          <w:r>
            <w:fldChar w:fldCharType="separate"/>
          </w:r>
          <w:r>
            <w:rPr>
              <w:rStyle w:val="28"/>
              <w:rFonts w:ascii="宋体" w:hAnsi="宋体" w:eastAsia="宋体" w:cs="宋体"/>
              <w14:scene3d w14:prst="orthographicFront">
                <w14:lightRig w14:rig="threePt" w14:dir="t">
                  <w14:rot w14:lat="0" w14:lon="0" w14:rev="0"/>
                </w14:lightRig>
              </w14:scene3d>
            </w:rPr>
            <w:t>7.2</w:t>
          </w:r>
          <w:r>
            <w:rPr>
              <w:rStyle w:val="28"/>
              <w:rFonts w:hint="eastAsia" w:ascii="宋体" w:hAnsi="宋体" w:eastAsia="宋体"/>
              <w:bCs/>
            </w:rPr>
            <w:t xml:space="preserve"> 料源选择</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_Toc227827667 \h </w:instrText>
          </w:r>
          <w:r>
            <w:rPr>
              <w:rFonts w:ascii="宋体" w:hAnsi="宋体" w:eastAsia="宋体"/>
            </w:rPr>
            <w:fldChar w:fldCharType="separate"/>
          </w:r>
          <w:r>
            <w:rPr>
              <w:rFonts w:ascii="宋体" w:hAnsi="宋体" w:eastAsia="宋体"/>
            </w:rPr>
            <w:t>7</w:t>
          </w:r>
          <w:r>
            <w:rPr>
              <w:rFonts w:ascii="宋体" w:hAnsi="宋体" w:eastAsia="宋体"/>
            </w:rPr>
            <w:fldChar w:fldCharType="end"/>
          </w:r>
          <w:r>
            <w:rPr>
              <w:rFonts w:ascii="宋体" w:hAnsi="宋体" w:eastAsia="宋体"/>
            </w:rPr>
            <w:fldChar w:fldCharType="end"/>
          </w:r>
        </w:p>
        <w:p w14:paraId="498F921E">
          <w:pPr>
            <w:pStyle w:val="19"/>
            <w:tabs>
              <w:tab w:val="right" w:leader="dot" w:pos="9345"/>
            </w:tabs>
            <w:rPr>
              <w:rFonts w:ascii="宋体" w:hAnsi="宋体" w:eastAsia="宋体"/>
              <w:kern w:val="2"/>
            </w:rPr>
          </w:pPr>
          <w:r>
            <w:fldChar w:fldCharType="begin"/>
          </w:r>
          <w:r>
            <w:instrText xml:space="preserve"> HYPERLINK \l "_Toc227827668" </w:instrText>
          </w:r>
          <w:r>
            <w:fldChar w:fldCharType="separate"/>
          </w:r>
          <w:r>
            <w:rPr>
              <w:rStyle w:val="28"/>
              <w:rFonts w:ascii="宋体" w:hAnsi="宋体" w:eastAsia="宋体" w:cs="宋体"/>
              <w14:scene3d w14:prst="orthographicFront">
                <w14:lightRig w14:rig="threePt" w14:dir="t">
                  <w14:rot w14:lat="0" w14:lon="0" w14:rev="0"/>
                </w14:lightRig>
              </w14:scene3d>
            </w:rPr>
            <w:t>7.3</w:t>
          </w:r>
          <w:r>
            <w:rPr>
              <w:rStyle w:val="28"/>
              <w:rFonts w:hint="eastAsia" w:ascii="宋体" w:hAnsi="宋体" w:eastAsia="宋体"/>
              <w:bCs/>
            </w:rPr>
            <w:t xml:space="preserve"> 料源开采规划</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_Toc227827668 \h </w:instrText>
          </w:r>
          <w:r>
            <w:rPr>
              <w:rFonts w:ascii="宋体" w:hAnsi="宋体" w:eastAsia="宋体"/>
            </w:rPr>
            <w:fldChar w:fldCharType="separate"/>
          </w:r>
          <w:r>
            <w:rPr>
              <w:rFonts w:ascii="宋体" w:hAnsi="宋体" w:eastAsia="宋体"/>
            </w:rPr>
            <w:t>8</w:t>
          </w:r>
          <w:r>
            <w:rPr>
              <w:rFonts w:ascii="宋体" w:hAnsi="宋体" w:eastAsia="宋体"/>
            </w:rPr>
            <w:fldChar w:fldCharType="end"/>
          </w:r>
          <w:r>
            <w:rPr>
              <w:rFonts w:ascii="宋体" w:hAnsi="宋体" w:eastAsia="宋体"/>
            </w:rPr>
            <w:fldChar w:fldCharType="end"/>
          </w:r>
        </w:p>
        <w:p w14:paraId="56CCDFA4">
          <w:pPr>
            <w:pStyle w:val="17"/>
            <w:tabs>
              <w:tab w:val="right" w:leader="dot" w:pos="9345"/>
            </w:tabs>
            <w:rPr>
              <w:rFonts w:ascii="宋体" w:hAnsi="宋体" w:eastAsia="宋体"/>
              <w:kern w:val="2"/>
            </w:rPr>
          </w:pPr>
          <w:r>
            <w:fldChar w:fldCharType="begin"/>
          </w:r>
          <w:r>
            <w:instrText xml:space="preserve"> HYPERLINK \l "_Toc227827669" </w:instrText>
          </w:r>
          <w:r>
            <w:fldChar w:fldCharType="separate"/>
          </w:r>
          <w:r>
            <w:rPr>
              <w:rStyle w:val="28"/>
              <w:rFonts w:ascii="宋体" w:hAnsi="宋体" w:eastAsia="宋体"/>
            </w:rPr>
            <w:t>8</w:t>
          </w:r>
          <w:r>
            <w:rPr>
              <w:rStyle w:val="28"/>
              <w:rFonts w:hint="eastAsia" w:ascii="宋体" w:hAnsi="宋体" w:eastAsia="宋体"/>
            </w:rPr>
            <w:t xml:space="preserve"> 土石方平衡计算</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_Toc227827669 \h </w:instrText>
          </w:r>
          <w:r>
            <w:rPr>
              <w:rFonts w:ascii="宋体" w:hAnsi="宋体" w:eastAsia="宋体"/>
            </w:rPr>
            <w:fldChar w:fldCharType="separate"/>
          </w:r>
          <w:r>
            <w:rPr>
              <w:rFonts w:ascii="宋体" w:hAnsi="宋体" w:eastAsia="宋体"/>
            </w:rPr>
            <w:t>9</w:t>
          </w:r>
          <w:r>
            <w:rPr>
              <w:rFonts w:ascii="宋体" w:hAnsi="宋体" w:eastAsia="宋体"/>
            </w:rPr>
            <w:fldChar w:fldCharType="end"/>
          </w:r>
          <w:r>
            <w:rPr>
              <w:rFonts w:ascii="宋体" w:hAnsi="宋体" w:eastAsia="宋体"/>
            </w:rPr>
            <w:fldChar w:fldCharType="end"/>
          </w:r>
        </w:p>
        <w:p w14:paraId="537FFE81">
          <w:pPr>
            <w:pStyle w:val="19"/>
            <w:tabs>
              <w:tab w:val="right" w:leader="dot" w:pos="9345"/>
            </w:tabs>
            <w:rPr>
              <w:rFonts w:ascii="宋体" w:hAnsi="宋体" w:eastAsia="宋体"/>
              <w:kern w:val="2"/>
            </w:rPr>
          </w:pPr>
          <w:r>
            <w:fldChar w:fldCharType="begin"/>
          </w:r>
          <w:r>
            <w:instrText xml:space="preserve"> HYPERLINK \l "_Toc227827670" </w:instrText>
          </w:r>
          <w:r>
            <w:fldChar w:fldCharType="separate"/>
          </w:r>
          <w:r>
            <w:rPr>
              <w:rStyle w:val="28"/>
              <w:rFonts w:ascii="宋体" w:hAnsi="宋体" w:eastAsia="宋体" w:cs="宋体"/>
              <w14:scene3d w14:prst="orthographicFront">
                <w14:lightRig w14:rig="threePt" w14:dir="t">
                  <w14:rot w14:lat="0" w14:lon="0" w14:rev="0"/>
                </w14:lightRig>
              </w14:scene3d>
            </w:rPr>
            <w:t>8.1</w:t>
          </w:r>
          <w:r>
            <w:rPr>
              <w:rStyle w:val="28"/>
              <w:rFonts w:hint="eastAsia" w:ascii="宋体" w:hAnsi="宋体" w:eastAsia="宋体"/>
              <w:bCs/>
            </w:rPr>
            <w:t xml:space="preserve"> 一般规定</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_Toc227827670 \h </w:instrText>
          </w:r>
          <w:r>
            <w:rPr>
              <w:rFonts w:ascii="宋体" w:hAnsi="宋体" w:eastAsia="宋体"/>
            </w:rPr>
            <w:fldChar w:fldCharType="separate"/>
          </w:r>
          <w:r>
            <w:rPr>
              <w:rFonts w:ascii="宋体" w:hAnsi="宋体" w:eastAsia="宋体"/>
            </w:rPr>
            <w:t>9</w:t>
          </w:r>
          <w:r>
            <w:rPr>
              <w:rFonts w:ascii="宋体" w:hAnsi="宋体" w:eastAsia="宋体"/>
            </w:rPr>
            <w:fldChar w:fldCharType="end"/>
          </w:r>
          <w:r>
            <w:rPr>
              <w:rFonts w:ascii="宋体" w:hAnsi="宋体" w:eastAsia="宋体"/>
            </w:rPr>
            <w:fldChar w:fldCharType="end"/>
          </w:r>
        </w:p>
        <w:p w14:paraId="5E8EC65E">
          <w:pPr>
            <w:pStyle w:val="19"/>
            <w:tabs>
              <w:tab w:val="right" w:leader="dot" w:pos="9345"/>
            </w:tabs>
            <w:rPr>
              <w:rFonts w:ascii="宋体" w:hAnsi="宋体" w:eastAsia="宋体"/>
              <w:kern w:val="2"/>
            </w:rPr>
          </w:pPr>
          <w:r>
            <w:fldChar w:fldCharType="begin"/>
          </w:r>
          <w:r>
            <w:instrText xml:space="preserve"> HYPERLINK \l "_Toc227827671" </w:instrText>
          </w:r>
          <w:r>
            <w:fldChar w:fldCharType="separate"/>
          </w:r>
          <w:r>
            <w:rPr>
              <w:rStyle w:val="28"/>
              <w:rFonts w:ascii="宋体" w:hAnsi="宋体" w:eastAsia="宋体" w:cs="宋体"/>
              <w14:scene3d w14:prst="orthographicFront">
                <w14:lightRig w14:rig="threePt" w14:dir="t">
                  <w14:rot w14:lat="0" w14:lon="0" w14:rev="0"/>
                </w14:lightRig>
              </w14:scene3d>
            </w:rPr>
            <w:t>8.2</w:t>
          </w:r>
          <w:r>
            <w:rPr>
              <w:rStyle w:val="28"/>
              <w:rFonts w:hint="eastAsia" w:ascii="宋体" w:hAnsi="宋体" w:eastAsia="宋体"/>
              <w:bCs/>
            </w:rPr>
            <w:t xml:space="preserve"> 工程建设阶段土石方动态平衡分析</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_Toc227827671 \h </w:instrText>
          </w:r>
          <w:r>
            <w:rPr>
              <w:rFonts w:ascii="宋体" w:hAnsi="宋体" w:eastAsia="宋体"/>
            </w:rPr>
            <w:fldChar w:fldCharType="separate"/>
          </w:r>
          <w:r>
            <w:rPr>
              <w:rFonts w:ascii="宋体" w:hAnsi="宋体" w:eastAsia="宋体"/>
            </w:rPr>
            <w:t>10</w:t>
          </w:r>
          <w:r>
            <w:rPr>
              <w:rFonts w:ascii="宋体" w:hAnsi="宋体" w:eastAsia="宋体"/>
            </w:rPr>
            <w:fldChar w:fldCharType="end"/>
          </w:r>
          <w:r>
            <w:rPr>
              <w:rFonts w:ascii="宋体" w:hAnsi="宋体" w:eastAsia="宋体"/>
            </w:rPr>
            <w:fldChar w:fldCharType="end"/>
          </w:r>
        </w:p>
        <w:p w14:paraId="20429E5E">
          <w:pPr>
            <w:pStyle w:val="17"/>
            <w:tabs>
              <w:tab w:val="right" w:leader="dot" w:pos="9345"/>
            </w:tabs>
            <w:rPr>
              <w:rFonts w:ascii="宋体" w:hAnsi="宋体" w:eastAsia="宋体"/>
              <w:kern w:val="2"/>
            </w:rPr>
          </w:pPr>
          <w:r>
            <w:fldChar w:fldCharType="begin"/>
          </w:r>
          <w:r>
            <w:instrText xml:space="preserve"> HYPERLINK \l "_Toc227827672" </w:instrText>
          </w:r>
          <w:r>
            <w:fldChar w:fldCharType="separate"/>
          </w:r>
          <w:r>
            <w:rPr>
              <w:rStyle w:val="28"/>
              <w:rFonts w:ascii="宋体" w:hAnsi="宋体" w:eastAsia="宋体"/>
            </w:rPr>
            <w:t>9</w:t>
          </w:r>
          <w:r>
            <w:rPr>
              <w:rStyle w:val="28"/>
              <w:rFonts w:hint="eastAsia" w:ascii="宋体" w:hAnsi="宋体" w:eastAsia="宋体"/>
            </w:rPr>
            <w:t xml:space="preserve"> 转存场及弃渣规划</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_Toc227827672 \h </w:instrText>
          </w:r>
          <w:r>
            <w:rPr>
              <w:rFonts w:ascii="宋体" w:hAnsi="宋体" w:eastAsia="宋体"/>
            </w:rPr>
            <w:fldChar w:fldCharType="separate"/>
          </w:r>
          <w:r>
            <w:rPr>
              <w:rFonts w:ascii="宋体" w:hAnsi="宋体" w:eastAsia="宋体"/>
            </w:rPr>
            <w:t>11</w:t>
          </w:r>
          <w:r>
            <w:rPr>
              <w:rFonts w:ascii="宋体" w:hAnsi="宋体" w:eastAsia="宋体"/>
            </w:rPr>
            <w:fldChar w:fldCharType="end"/>
          </w:r>
          <w:r>
            <w:rPr>
              <w:rFonts w:ascii="宋体" w:hAnsi="宋体" w:eastAsia="宋体"/>
            </w:rPr>
            <w:fldChar w:fldCharType="end"/>
          </w:r>
        </w:p>
        <w:p w14:paraId="0AC2AA97">
          <w:pPr>
            <w:pStyle w:val="19"/>
            <w:tabs>
              <w:tab w:val="right" w:leader="dot" w:pos="9345"/>
            </w:tabs>
            <w:rPr>
              <w:rFonts w:ascii="宋体" w:hAnsi="宋体" w:eastAsia="宋体"/>
              <w:kern w:val="2"/>
            </w:rPr>
          </w:pPr>
          <w:r>
            <w:fldChar w:fldCharType="begin"/>
          </w:r>
          <w:r>
            <w:instrText xml:space="preserve"> HYPERLINK \l "_Toc227827673" </w:instrText>
          </w:r>
          <w:r>
            <w:fldChar w:fldCharType="separate"/>
          </w:r>
          <w:r>
            <w:rPr>
              <w:rStyle w:val="28"/>
              <w:rFonts w:ascii="宋体" w:hAnsi="宋体" w:eastAsia="宋体" w:cs="宋体"/>
              <w14:scene3d w14:prst="orthographicFront">
                <w14:lightRig w14:rig="threePt" w14:dir="t">
                  <w14:rot w14:lat="0" w14:lon="0" w14:rev="0"/>
                </w14:lightRig>
              </w14:scene3d>
            </w:rPr>
            <w:t>9.1</w:t>
          </w:r>
          <w:r>
            <w:rPr>
              <w:rStyle w:val="28"/>
              <w:rFonts w:hint="eastAsia" w:ascii="宋体" w:hAnsi="宋体" w:eastAsia="宋体"/>
              <w:bCs/>
            </w:rPr>
            <w:t xml:space="preserve"> 一般规定</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_Toc227827673 \h </w:instrText>
          </w:r>
          <w:r>
            <w:rPr>
              <w:rFonts w:ascii="宋体" w:hAnsi="宋体" w:eastAsia="宋体"/>
            </w:rPr>
            <w:fldChar w:fldCharType="separate"/>
          </w:r>
          <w:r>
            <w:rPr>
              <w:rFonts w:ascii="宋体" w:hAnsi="宋体" w:eastAsia="宋体"/>
            </w:rPr>
            <w:t>11</w:t>
          </w:r>
          <w:r>
            <w:rPr>
              <w:rFonts w:ascii="宋体" w:hAnsi="宋体" w:eastAsia="宋体"/>
            </w:rPr>
            <w:fldChar w:fldCharType="end"/>
          </w:r>
          <w:r>
            <w:rPr>
              <w:rFonts w:ascii="宋体" w:hAnsi="宋体" w:eastAsia="宋体"/>
            </w:rPr>
            <w:fldChar w:fldCharType="end"/>
          </w:r>
        </w:p>
        <w:p w14:paraId="349F0106">
          <w:pPr>
            <w:pStyle w:val="19"/>
            <w:tabs>
              <w:tab w:val="right" w:leader="dot" w:pos="9345"/>
            </w:tabs>
            <w:rPr>
              <w:rFonts w:ascii="宋体" w:hAnsi="宋体" w:eastAsia="宋体"/>
              <w:kern w:val="2"/>
            </w:rPr>
          </w:pPr>
          <w:r>
            <w:fldChar w:fldCharType="begin"/>
          </w:r>
          <w:r>
            <w:instrText xml:space="preserve"> HYPERLINK \l "_Toc227827674" </w:instrText>
          </w:r>
          <w:r>
            <w:fldChar w:fldCharType="separate"/>
          </w:r>
          <w:r>
            <w:rPr>
              <w:rStyle w:val="28"/>
              <w:rFonts w:ascii="宋体" w:hAnsi="宋体" w:eastAsia="宋体" w:cs="宋体"/>
              <w14:scene3d w14:prst="orthographicFront">
                <w14:lightRig w14:rig="threePt" w14:dir="t">
                  <w14:rot w14:lat="0" w14:lon="0" w14:rev="0"/>
                </w14:lightRig>
              </w14:scene3d>
            </w:rPr>
            <w:t>9.2</w:t>
          </w:r>
          <w:r>
            <w:rPr>
              <w:rStyle w:val="28"/>
              <w:rFonts w:hint="eastAsia" w:ascii="宋体" w:hAnsi="宋体" w:eastAsia="宋体"/>
              <w:bCs/>
            </w:rPr>
            <w:t xml:space="preserve"> 转存场规划</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_Toc227827674 \h </w:instrText>
          </w:r>
          <w:r>
            <w:rPr>
              <w:rFonts w:ascii="宋体" w:hAnsi="宋体" w:eastAsia="宋体"/>
            </w:rPr>
            <w:fldChar w:fldCharType="separate"/>
          </w:r>
          <w:r>
            <w:rPr>
              <w:rFonts w:ascii="宋体" w:hAnsi="宋体" w:eastAsia="宋体"/>
            </w:rPr>
            <w:t>11</w:t>
          </w:r>
          <w:r>
            <w:rPr>
              <w:rFonts w:ascii="宋体" w:hAnsi="宋体" w:eastAsia="宋体"/>
            </w:rPr>
            <w:fldChar w:fldCharType="end"/>
          </w:r>
          <w:r>
            <w:rPr>
              <w:rFonts w:ascii="宋体" w:hAnsi="宋体" w:eastAsia="宋体"/>
            </w:rPr>
            <w:fldChar w:fldCharType="end"/>
          </w:r>
        </w:p>
        <w:p w14:paraId="11FB1C72">
          <w:pPr>
            <w:pStyle w:val="19"/>
            <w:tabs>
              <w:tab w:val="right" w:leader="dot" w:pos="9345"/>
            </w:tabs>
            <w:rPr>
              <w:rFonts w:ascii="宋体" w:hAnsi="宋体" w:eastAsia="宋体"/>
              <w:kern w:val="2"/>
            </w:rPr>
          </w:pPr>
          <w:r>
            <w:fldChar w:fldCharType="begin"/>
          </w:r>
          <w:r>
            <w:instrText xml:space="preserve"> HYPERLINK \l "_Toc227827675" </w:instrText>
          </w:r>
          <w:r>
            <w:fldChar w:fldCharType="separate"/>
          </w:r>
          <w:r>
            <w:rPr>
              <w:rStyle w:val="28"/>
              <w:rFonts w:ascii="宋体" w:hAnsi="宋体" w:eastAsia="宋体" w:cs="宋体"/>
              <w14:scene3d w14:prst="orthographicFront">
                <w14:lightRig w14:rig="threePt" w14:dir="t">
                  <w14:rot w14:lat="0" w14:lon="0" w14:rev="0"/>
                </w14:lightRig>
              </w14:scene3d>
            </w:rPr>
            <w:t>9.3</w:t>
          </w:r>
          <w:r>
            <w:rPr>
              <w:rStyle w:val="28"/>
              <w:rFonts w:hint="eastAsia" w:ascii="宋体" w:hAnsi="宋体" w:eastAsia="宋体"/>
              <w:bCs/>
            </w:rPr>
            <w:t xml:space="preserve"> 弃渣规划</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_Toc227827675 \h </w:instrText>
          </w:r>
          <w:r>
            <w:rPr>
              <w:rFonts w:ascii="宋体" w:hAnsi="宋体" w:eastAsia="宋体"/>
            </w:rPr>
            <w:fldChar w:fldCharType="separate"/>
          </w:r>
          <w:r>
            <w:rPr>
              <w:rFonts w:ascii="宋体" w:hAnsi="宋体" w:eastAsia="宋体"/>
            </w:rPr>
            <w:t>11</w:t>
          </w:r>
          <w:r>
            <w:rPr>
              <w:rFonts w:ascii="宋体" w:hAnsi="宋体" w:eastAsia="宋体"/>
            </w:rPr>
            <w:fldChar w:fldCharType="end"/>
          </w:r>
          <w:r>
            <w:rPr>
              <w:rFonts w:ascii="宋体" w:hAnsi="宋体" w:eastAsia="宋体"/>
            </w:rPr>
            <w:fldChar w:fldCharType="end"/>
          </w:r>
        </w:p>
        <w:p w14:paraId="0A7FE6F5">
          <w:pPr>
            <w:pStyle w:val="17"/>
            <w:tabs>
              <w:tab w:val="right" w:leader="dot" w:pos="9345"/>
            </w:tabs>
            <w:rPr>
              <w:rFonts w:ascii="宋体" w:hAnsi="宋体" w:eastAsia="宋体"/>
              <w:kern w:val="2"/>
            </w:rPr>
          </w:pPr>
          <w:r>
            <w:fldChar w:fldCharType="begin"/>
          </w:r>
          <w:r>
            <w:instrText xml:space="preserve"> HYPERLINK \l "_Toc227827676" </w:instrText>
          </w:r>
          <w:r>
            <w:fldChar w:fldCharType="separate"/>
          </w:r>
          <w:r>
            <w:rPr>
              <w:rStyle w:val="28"/>
              <w:rFonts w:hint="eastAsia" w:ascii="宋体" w:hAnsi="宋体" w:eastAsia="宋体" w:cs="黑体"/>
              <w:bCs/>
            </w:rPr>
            <w:t>附录</w:t>
          </w:r>
          <w:r>
            <w:rPr>
              <w:rStyle w:val="28"/>
              <w:rFonts w:ascii="宋体" w:hAnsi="宋体" w:eastAsia="宋体" w:cs="黑体"/>
              <w:bCs/>
            </w:rPr>
            <w:t>A</w:t>
          </w:r>
          <w:r>
            <w:rPr>
              <w:rStyle w:val="28"/>
              <w:rFonts w:hint="eastAsia" w:ascii="宋体" w:hAnsi="宋体" w:eastAsia="宋体" w:cs="黑体"/>
              <w:bCs/>
            </w:rPr>
            <w:t>（规范性）土石方平衡设计所需资料表</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_Toc227827676 \h </w:instrText>
          </w:r>
          <w:r>
            <w:rPr>
              <w:rFonts w:ascii="宋体" w:hAnsi="宋体" w:eastAsia="宋体"/>
            </w:rPr>
            <w:fldChar w:fldCharType="separate"/>
          </w:r>
          <w:r>
            <w:rPr>
              <w:rFonts w:ascii="宋体" w:hAnsi="宋体" w:eastAsia="宋体"/>
            </w:rPr>
            <w:t>13</w:t>
          </w:r>
          <w:r>
            <w:rPr>
              <w:rFonts w:ascii="宋体" w:hAnsi="宋体" w:eastAsia="宋体"/>
            </w:rPr>
            <w:fldChar w:fldCharType="end"/>
          </w:r>
          <w:r>
            <w:rPr>
              <w:rFonts w:ascii="宋体" w:hAnsi="宋体" w:eastAsia="宋体"/>
            </w:rPr>
            <w:fldChar w:fldCharType="end"/>
          </w:r>
        </w:p>
        <w:p w14:paraId="26DDD993">
          <w:pPr>
            <w:pStyle w:val="17"/>
            <w:tabs>
              <w:tab w:val="right" w:leader="dot" w:pos="9345"/>
            </w:tabs>
            <w:rPr>
              <w:rFonts w:ascii="宋体" w:hAnsi="宋体" w:eastAsia="宋体"/>
              <w:kern w:val="2"/>
            </w:rPr>
          </w:pPr>
          <w:r>
            <w:fldChar w:fldCharType="begin"/>
          </w:r>
          <w:r>
            <w:instrText xml:space="preserve"> HYPERLINK \l "_Toc227827678" </w:instrText>
          </w:r>
          <w:r>
            <w:fldChar w:fldCharType="separate"/>
          </w:r>
          <w:r>
            <w:rPr>
              <w:rStyle w:val="28"/>
              <w:rFonts w:hint="eastAsia" w:ascii="宋体" w:hAnsi="宋体" w:eastAsia="宋体" w:cs="黑体"/>
            </w:rPr>
            <w:t>附录</w:t>
          </w:r>
          <w:r>
            <w:rPr>
              <w:rStyle w:val="28"/>
              <w:rFonts w:ascii="宋体" w:hAnsi="宋体" w:eastAsia="宋体" w:cs="黑体"/>
            </w:rPr>
            <w:t>B（规范性）设计需要量、规划开采量计算</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_Toc227827678 \h </w:instrText>
          </w:r>
          <w:r>
            <w:rPr>
              <w:rFonts w:ascii="宋体" w:hAnsi="宋体" w:eastAsia="宋体"/>
            </w:rPr>
            <w:fldChar w:fldCharType="separate"/>
          </w:r>
          <w:r>
            <w:rPr>
              <w:rFonts w:ascii="宋体" w:hAnsi="宋体" w:eastAsia="宋体"/>
            </w:rPr>
            <w:t>14</w:t>
          </w:r>
          <w:r>
            <w:rPr>
              <w:rFonts w:ascii="宋体" w:hAnsi="宋体" w:eastAsia="宋体"/>
            </w:rPr>
            <w:fldChar w:fldCharType="end"/>
          </w:r>
          <w:r>
            <w:rPr>
              <w:rFonts w:ascii="宋体" w:hAnsi="宋体" w:eastAsia="宋体"/>
            </w:rPr>
            <w:fldChar w:fldCharType="end"/>
          </w:r>
        </w:p>
        <w:p w14:paraId="57F593C8">
          <w:pPr>
            <w:pStyle w:val="17"/>
            <w:tabs>
              <w:tab w:val="right" w:leader="dot" w:pos="9345"/>
            </w:tabs>
            <w:rPr>
              <w:rFonts w:ascii="宋体" w:hAnsi="宋体" w:eastAsia="宋体"/>
              <w:kern w:val="2"/>
            </w:rPr>
          </w:pPr>
          <w:r>
            <w:fldChar w:fldCharType="begin"/>
          </w:r>
          <w:r>
            <w:instrText xml:space="preserve"> HYPERLINK \l "_Toc227827684" </w:instrText>
          </w:r>
          <w:r>
            <w:fldChar w:fldCharType="separate"/>
          </w:r>
          <w:r>
            <w:rPr>
              <w:rStyle w:val="28"/>
              <w:rFonts w:hint="eastAsia" w:ascii="宋体" w:hAnsi="宋体" w:eastAsia="宋体" w:cs="黑体"/>
            </w:rPr>
            <w:t>附录</w:t>
          </w:r>
          <w:r>
            <w:rPr>
              <w:rStyle w:val="28"/>
              <w:rFonts w:ascii="宋体" w:hAnsi="宋体" w:eastAsia="宋体" w:cs="黑体"/>
            </w:rPr>
            <w:t>C（规范性）</w:t>
          </w:r>
          <w:r>
            <w:rPr>
              <w:rStyle w:val="28"/>
              <w:rFonts w:hint="eastAsia" w:ascii="宋体" w:hAnsi="宋体" w:eastAsia="宋体" w:cs="黑体"/>
            </w:rPr>
            <w:t>土石方平衡流向表</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_Toc227827684 \h </w:instrText>
          </w:r>
          <w:r>
            <w:rPr>
              <w:rFonts w:ascii="宋体" w:hAnsi="宋体" w:eastAsia="宋体"/>
            </w:rPr>
            <w:fldChar w:fldCharType="separate"/>
          </w:r>
          <w:r>
            <w:rPr>
              <w:rFonts w:ascii="宋体" w:hAnsi="宋体" w:eastAsia="宋体"/>
            </w:rPr>
            <w:t>17</w:t>
          </w:r>
          <w:r>
            <w:rPr>
              <w:rFonts w:ascii="宋体" w:hAnsi="宋体" w:eastAsia="宋体"/>
            </w:rPr>
            <w:fldChar w:fldCharType="end"/>
          </w:r>
          <w:r>
            <w:rPr>
              <w:rFonts w:ascii="宋体" w:hAnsi="宋体" w:eastAsia="宋体"/>
            </w:rPr>
            <w:fldChar w:fldCharType="end"/>
          </w:r>
        </w:p>
        <w:p w14:paraId="53B8B549">
          <w:pPr>
            <w:pStyle w:val="17"/>
            <w:tabs>
              <w:tab w:val="right" w:leader="dot" w:pos="9345"/>
            </w:tabs>
            <w:rPr>
              <w:rFonts w:ascii="宋体" w:hAnsi="宋体" w:eastAsia="宋体"/>
              <w:kern w:val="2"/>
            </w:rPr>
          </w:pPr>
          <w:r>
            <w:fldChar w:fldCharType="begin"/>
          </w:r>
          <w:r>
            <w:instrText xml:space="preserve"> HYPERLINK \l "_Toc227827685" </w:instrText>
          </w:r>
          <w:r>
            <w:fldChar w:fldCharType="separate"/>
          </w:r>
          <w:r>
            <w:rPr>
              <w:rStyle w:val="28"/>
              <w:rFonts w:hint="eastAsia" w:ascii="宋体" w:hAnsi="宋体" w:eastAsia="宋体"/>
              <w:spacing w:val="105"/>
            </w:rPr>
            <w:t>参考文</w:t>
          </w:r>
          <w:r>
            <w:rPr>
              <w:rStyle w:val="28"/>
              <w:rFonts w:hint="eastAsia" w:ascii="宋体" w:hAnsi="宋体" w:eastAsia="宋体"/>
            </w:rPr>
            <w:t>献</w:t>
          </w:r>
          <w:r>
            <w:rPr>
              <w:rFonts w:ascii="宋体" w:hAnsi="宋体" w:eastAsia="宋体"/>
            </w:rPr>
            <w:tab/>
          </w:r>
          <w:r>
            <w:rPr>
              <w:rFonts w:ascii="宋体" w:hAnsi="宋体" w:eastAsia="宋体"/>
            </w:rPr>
            <w:fldChar w:fldCharType="begin"/>
          </w:r>
          <w:r>
            <w:rPr>
              <w:rFonts w:ascii="宋体" w:hAnsi="宋体" w:eastAsia="宋体"/>
            </w:rPr>
            <w:instrText xml:space="preserve"> PAGEREF _Toc227827685 \h </w:instrText>
          </w:r>
          <w:r>
            <w:rPr>
              <w:rFonts w:ascii="宋体" w:hAnsi="宋体" w:eastAsia="宋体"/>
            </w:rPr>
            <w:fldChar w:fldCharType="separate"/>
          </w:r>
          <w:r>
            <w:rPr>
              <w:rFonts w:ascii="宋体" w:hAnsi="宋体" w:eastAsia="宋体"/>
            </w:rPr>
            <w:t>18</w:t>
          </w:r>
          <w:r>
            <w:rPr>
              <w:rFonts w:ascii="宋体" w:hAnsi="宋体" w:eastAsia="宋体"/>
            </w:rPr>
            <w:fldChar w:fldCharType="end"/>
          </w:r>
          <w:r>
            <w:rPr>
              <w:rFonts w:ascii="宋体" w:hAnsi="宋体" w:eastAsia="宋体"/>
            </w:rPr>
            <w:fldChar w:fldCharType="end"/>
          </w:r>
        </w:p>
        <w:p w14:paraId="390A5C89">
          <w:r>
            <w:rPr>
              <w:rFonts w:ascii="宋体" w:hAnsi="宋体" w:eastAsia="宋体"/>
            </w:rPr>
            <w:fldChar w:fldCharType="end"/>
          </w:r>
        </w:p>
      </w:sdtContent>
    </w:sdt>
    <w:p w14:paraId="2895BC87">
      <w:r>
        <w:br w:type="page"/>
      </w:r>
    </w:p>
    <w:p w14:paraId="710259DF">
      <w:pPr>
        <w:sectPr>
          <w:footerReference r:id="rId3" w:type="default"/>
          <w:pgSz w:w="11906" w:h="16838"/>
          <w:pgMar w:top="1701" w:right="1134" w:bottom="1134" w:left="1417" w:header="851" w:footer="850" w:gutter="0"/>
          <w:pgNumType w:fmt="upperRoman" w:start="1"/>
          <w:cols w:space="0" w:num="1"/>
          <w:docGrid w:type="lines" w:linePitch="318" w:charSpace="0"/>
        </w:sectPr>
      </w:pPr>
    </w:p>
    <w:p w14:paraId="674BF9E0">
      <w:pPr>
        <w:pStyle w:val="48"/>
        <w:rPr>
          <w:rFonts w:ascii="Times New Roman"/>
        </w:rPr>
      </w:pPr>
      <w:bookmarkStart w:id="7" w:name="_Toc227228951"/>
      <w:bookmarkStart w:id="8" w:name="_Toc5096"/>
      <w:bookmarkStart w:id="9" w:name="_Toc17182"/>
      <w:bookmarkStart w:id="10" w:name="_Toc1021"/>
      <w:bookmarkStart w:id="11" w:name="_Toc22878"/>
      <w:bookmarkStart w:id="12" w:name="_Toc11081"/>
      <w:bookmarkStart w:id="13" w:name="_Toc23156"/>
      <w:bookmarkStart w:id="14" w:name="_Toc12977"/>
      <w:bookmarkStart w:id="15" w:name="_Toc227827629"/>
      <w:r>
        <w:rPr>
          <w:rFonts w:hint="eastAsia" w:ascii="Times New Roman"/>
        </w:rPr>
        <w:t>前  言</w:t>
      </w:r>
      <w:bookmarkEnd w:id="6"/>
      <w:bookmarkEnd w:id="7"/>
      <w:bookmarkEnd w:id="8"/>
      <w:bookmarkEnd w:id="9"/>
      <w:bookmarkEnd w:id="10"/>
      <w:bookmarkEnd w:id="11"/>
      <w:bookmarkEnd w:id="12"/>
      <w:bookmarkEnd w:id="13"/>
      <w:bookmarkEnd w:id="14"/>
      <w:bookmarkEnd w:id="15"/>
    </w:p>
    <w:p w14:paraId="59404147">
      <w:pPr>
        <w:pStyle w:val="49"/>
        <w:ind w:firstLine="420"/>
      </w:pPr>
      <w:r>
        <w:rPr>
          <w:rFonts w:hint="eastAsia"/>
        </w:rPr>
        <w:t>本文件按照GB/T 1.1—2020《标准化工作导则 第1部分：标准化文件的结构和起草规则》的规定起草。</w:t>
      </w:r>
    </w:p>
    <w:p w14:paraId="5432E68E">
      <w:pPr>
        <w:pStyle w:val="4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请注意本文件的某些内容可能涉及专利。本文件的发布机构不承担识别专利的责任。</w:t>
      </w:r>
    </w:p>
    <w:p w14:paraId="7572DB96">
      <w:pPr>
        <w:pStyle w:val="49"/>
        <w:ind w:firstLine="420"/>
      </w:pPr>
      <w:r>
        <w:rPr>
          <w:rFonts w:hint="eastAsia"/>
        </w:rPr>
        <w:t>本文件由中国电力建设企业协会提出并归口。</w:t>
      </w:r>
    </w:p>
    <w:p w14:paraId="065A3044">
      <w:pPr>
        <w:pStyle w:val="49"/>
        <w:ind w:firstLine="420"/>
      </w:pPr>
      <w:r>
        <w:rPr>
          <w:rFonts w:hint="eastAsia"/>
        </w:rPr>
        <w:t>本文件主编单位：国网新源控股有限公司抽水蓄能技术经济研究院。</w:t>
      </w:r>
    </w:p>
    <w:p w14:paraId="2433ECC1">
      <w:pPr>
        <w:pStyle w:val="49"/>
        <w:ind w:firstLine="420"/>
      </w:pPr>
      <w:r>
        <w:rPr>
          <w:rFonts w:hint="eastAsia"/>
        </w:rPr>
        <w:t>本文件参编单位：广东省水利电力勘测设计研究院股份有限公司，国网电力工程研究院有限公司，河海大学。</w:t>
      </w:r>
    </w:p>
    <w:p w14:paraId="51C6D739">
      <w:pPr>
        <w:pStyle w:val="49"/>
        <w:ind w:firstLine="420"/>
      </w:pPr>
    </w:p>
    <w:p w14:paraId="418CFA9A">
      <w:pPr>
        <w:pStyle w:val="49"/>
        <w:ind w:firstLine="420"/>
      </w:pPr>
      <w:r>
        <w:rPr>
          <w:rFonts w:hint="eastAsia"/>
        </w:rPr>
        <w:t>本标准主要起草人员：XXX</w:t>
      </w:r>
      <w:r>
        <w:rPr>
          <w:rFonts w:hint="eastAsia"/>
        </w:rPr>
        <w:tab/>
      </w:r>
      <w:r>
        <w:rPr>
          <w:rFonts w:hint="eastAsia"/>
        </w:rPr>
        <w:tab/>
      </w:r>
      <w:r>
        <w:rPr>
          <w:rFonts w:hint="eastAsia"/>
        </w:rPr>
        <w:tab/>
      </w:r>
      <w:r>
        <w:rPr>
          <w:rFonts w:hint="eastAsia"/>
        </w:rPr>
        <w:tab/>
      </w:r>
      <w:r>
        <w:rPr>
          <w:rFonts w:hint="eastAsia"/>
        </w:rPr>
        <w:tab/>
      </w:r>
    </w:p>
    <w:p w14:paraId="748B7FC8">
      <w:pPr>
        <w:pStyle w:val="49"/>
        <w:ind w:firstLine="420"/>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14:paraId="41E927FE">
      <w:pPr>
        <w:pStyle w:val="49"/>
        <w:ind w:firstLine="420"/>
        <w:rPr>
          <w:rFonts w:eastAsia="宋体"/>
        </w:rPr>
      </w:pPr>
      <w:r>
        <w:rPr>
          <w:rFonts w:hint="eastAsia"/>
        </w:rPr>
        <w:t>本标准主要审查人员：XXX</w:t>
      </w:r>
    </w:p>
    <w:p w14:paraId="31B15E1F">
      <w:pPr>
        <w:pStyle w:val="49"/>
        <w:ind w:firstLine="420"/>
      </w:pPr>
    </w:p>
    <w:p w14:paraId="18EB0E75">
      <w:pPr>
        <w:pStyle w:val="49"/>
        <w:ind w:firstLine="420"/>
        <w:sectPr>
          <w:pgSz w:w="11906" w:h="16838"/>
          <w:pgMar w:top="1701" w:right="1134" w:bottom="1134" w:left="1417" w:header="851" w:footer="850" w:gutter="0"/>
          <w:pgNumType w:fmt="upperRoman"/>
          <w:cols w:space="0" w:num="1"/>
          <w:docGrid w:type="lines" w:linePitch="318" w:charSpace="0"/>
        </w:sectPr>
      </w:pPr>
      <w:r>
        <w:rPr>
          <w:rFonts w:hint="eastAsia"/>
        </w:rPr>
        <w:t>本标准在执行过程中的意见或建议反馈至中国电力建设企业协会（地址：北京市丰台区西四环南路35号中都科技大厦3层，100071）。</w:t>
      </w:r>
    </w:p>
    <w:p w14:paraId="44EE788E">
      <w:pPr>
        <w:pStyle w:val="56"/>
        <w:numPr>
          <w:ilvl w:val="1"/>
          <w:numId w:val="1"/>
        </w:numPr>
        <w:spacing w:before="240" w:after="240"/>
      </w:pPr>
      <w:bookmarkStart w:id="16" w:name="_Toc1554"/>
      <w:bookmarkStart w:id="17" w:name="_Toc15767"/>
      <w:bookmarkStart w:id="18" w:name="_Toc27455"/>
      <w:bookmarkStart w:id="19" w:name="_Toc12570"/>
      <w:bookmarkStart w:id="20" w:name="_Toc2157"/>
      <w:bookmarkStart w:id="21" w:name="_Toc227827630"/>
      <w:bookmarkStart w:id="22" w:name="_Toc10259"/>
      <w:r>
        <w:rPr>
          <w:rFonts w:hint="eastAsia"/>
        </w:rPr>
        <w:t>范围</w:t>
      </w:r>
      <w:bookmarkEnd w:id="16"/>
      <w:bookmarkEnd w:id="17"/>
      <w:bookmarkEnd w:id="18"/>
      <w:bookmarkEnd w:id="19"/>
      <w:bookmarkEnd w:id="20"/>
      <w:bookmarkEnd w:id="21"/>
      <w:bookmarkEnd w:id="22"/>
    </w:p>
    <w:p w14:paraId="074BF174">
      <w:pPr>
        <w:spacing w:line="400" w:lineRule="exact"/>
        <w:ind w:firstLine="420" w:firstLineChars="200"/>
      </w:pPr>
      <w:r>
        <w:rPr>
          <w:rFonts w:hint="eastAsia"/>
        </w:rPr>
        <w:t>本文件规定了抽水蓄能电站建设工程土石方平衡设计的总体原则与依据、基本规定、土石方平衡规划、料源选择与规划、土石方平衡计算、转存场及弃渣规划。</w:t>
      </w:r>
    </w:p>
    <w:p w14:paraId="40B10A21">
      <w:pPr>
        <w:pStyle w:val="9"/>
        <w:spacing w:after="0" w:line="400" w:lineRule="exact"/>
        <w:ind w:firstLine="420" w:firstLineChars="200"/>
        <w:rPr>
          <w:strike/>
        </w:rPr>
      </w:pPr>
      <w:r>
        <w:rPr>
          <w:rFonts w:hint="eastAsia"/>
        </w:rPr>
        <w:t>本文件适用于抽水蓄能电站预可行性研究、可行性研究、招标设计及施工图设计各阶段的土石方平衡设计，同时覆盖施工阶段动态平衡调整、竣工结算工程量核算全流程管控。</w:t>
      </w:r>
    </w:p>
    <w:p w14:paraId="191451F1">
      <w:pPr>
        <w:pStyle w:val="56"/>
        <w:numPr>
          <w:ilvl w:val="1"/>
          <w:numId w:val="1"/>
        </w:numPr>
        <w:spacing w:before="240" w:after="240"/>
      </w:pPr>
      <w:bookmarkStart w:id="23" w:name="_Toc16642"/>
      <w:bookmarkStart w:id="24" w:name="_Toc211"/>
      <w:bookmarkStart w:id="25" w:name="_Toc19615"/>
      <w:bookmarkStart w:id="26" w:name="_Toc11897"/>
      <w:bookmarkStart w:id="27" w:name="_Toc18740"/>
      <w:bookmarkStart w:id="28" w:name="_Toc227827631"/>
      <w:bookmarkStart w:id="29" w:name="_Toc32653"/>
      <w:r>
        <w:rPr>
          <w:rFonts w:hint="eastAsia"/>
        </w:rPr>
        <w:t>规范性引用文件</w:t>
      </w:r>
      <w:bookmarkEnd w:id="23"/>
      <w:bookmarkEnd w:id="24"/>
      <w:bookmarkEnd w:id="25"/>
      <w:bookmarkEnd w:id="26"/>
      <w:bookmarkEnd w:id="27"/>
      <w:bookmarkEnd w:id="28"/>
      <w:bookmarkEnd w:id="29"/>
    </w:p>
    <w:p w14:paraId="3BC4D52B">
      <w:pPr>
        <w:pStyle w:val="35"/>
        <w:spacing w:before="0" w:after="0" w:line="400" w:lineRule="exact"/>
        <w:ind w:firstLine="420" w:firstLineChars="200"/>
        <w:rPr>
          <w:rFonts w:ascii="Calibri" w:hAnsi="Calibri" w:eastAsia="宋体" w:cs="Times New Roman"/>
          <w:color w:val="000000" w:themeColor="text1"/>
          <w:kern w:val="2"/>
          <w:sz w:val="21"/>
          <w:szCs w:val="21"/>
          <w14:textFill>
            <w14:solidFill>
              <w14:schemeClr w14:val="tx1"/>
            </w14:solidFill>
          </w14:textFill>
        </w:rPr>
      </w:pPr>
      <w:r>
        <w:rPr>
          <w:rFonts w:hint="eastAsia" w:ascii="Calibri" w:hAnsi="Calibri" w:eastAsia="宋体" w:cs="Times New Roman"/>
          <w:color w:val="000000" w:themeColor="text1"/>
          <w:kern w:val="2"/>
          <w:sz w:val="21"/>
          <w:szCs w:val="2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939E3C4">
      <w:pPr>
        <w:spacing w:line="400" w:lineRule="exact"/>
        <w:ind w:firstLine="420" w:firstLineChars="200"/>
        <w:rPr>
          <w:rFonts w:ascii="宋体" w:hAnsi="宋体" w:eastAsia="宋体" w:cs="宋体"/>
          <w:szCs w:val="21"/>
        </w:rPr>
      </w:pPr>
      <w:r>
        <w:rPr>
          <w:rFonts w:hint="eastAsia" w:ascii="宋体" w:hAnsi="宋体" w:eastAsia="宋体" w:cs="宋体"/>
          <w:szCs w:val="21"/>
        </w:rPr>
        <w:t>GB 51018  水土保持工程设计规范</w:t>
      </w:r>
    </w:p>
    <w:p w14:paraId="37677FE6">
      <w:pPr>
        <w:spacing w:line="400" w:lineRule="exact"/>
        <w:ind w:firstLine="420" w:firstLineChars="200"/>
        <w:rPr>
          <w:rFonts w:ascii="宋体" w:hAnsi="宋体" w:eastAsia="宋体" w:cs="宋体"/>
          <w:szCs w:val="21"/>
        </w:rPr>
      </w:pPr>
      <w:r>
        <w:rPr>
          <w:rFonts w:ascii="宋体" w:hAnsi="宋体" w:eastAsia="宋体" w:cs="宋体"/>
          <w:szCs w:val="21"/>
        </w:rPr>
        <w:t>NB/T 10072</w:t>
      </w:r>
      <w:r>
        <w:rPr>
          <w:rFonts w:hint="eastAsia" w:ascii="宋体" w:hAnsi="宋体" w:eastAsia="宋体" w:cs="宋体"/>
          <w:szCs w:val="21"/>
        </w:rPr>
        <w:t xml:space="preserve">  抽水蓄能电站设计规范</w:t>
      </w:r>
    </w:p>
    <w:p w14:paraId="41844D7B">
      <w:pPr>
        <w:spacing w:line="400" w:lineRule="exact"/>
        <w:ind w:firstLine="420" w:firstLineChars="200"/>
        <w:rPr>
          <w:rFonts w:ascii="宋体" w:hAnsi="宋体" w:eastAsia="宋体" w:cs="宋体"/>
          <w:szCs w:val="21"/>
        </w:rPr>
      </w:pPr>
      <w:r>
        <w:rPr>
          <w:rFonts w:ascii="宋体" w:hAnsi="宋体" w:eastAsia="宋体" w:cs="宋体"/>
          <w:szCs w:val="21"/>
        </w:rPr>
        <w:t>NB/T 10235</w:t>
      </w:r>
      <w:r>
        <w:rPr>
          <w:rFonts w:hint="eastAsia" w:ascii="宋体" w:hAnsi="宋体" w:eastAsia="宋体" w:cs="宋体"/>
          <w:szCs w:val="21"/>
        </w:rPr>
        <w:t xml:space="preserve">  水电工程天然建筑材料勘察规程</w:t>
      </w:r>
    </w:p>
    <w:p w14:paraId="0634FBF3">
      <w:pPr>
        <w:spacing w:line="400" w:lineRule="exact"/>
        <w:ind w:firstLine="420" w:firstLineChars="200"/>
        <w:rPr>
          <w:rFonts w:ascii="宋体" w:hAnsi="宋体" w:eastAsia="宋体" w:cs="宋体"/>
          <w:szCs w:val="21"/>
        </w:rPr>
      </w:pPr>
      <w:r>
        <w:rPr>
          <w:rFonts w:ascii="宋体" w:hAnsi="宋体" w:eastAsia="宋体" w:cs="宋体"/>
          <w:szCs w:val="21"/>
        </w:rPr>
        <w:t>NB/T 10238</w:t>
      </w:r>
      <w:r>
        <w:rPr>
          <w:rFonts w:hint="eastAsia" w:ascii="宋体" w:hAnsi="宋体" w:eastAsia="宋体" w:cs="宋体"/>
          <w:szCs w:val="21"/>
        </w:rPr>
        <w:t xml:space="preserve">  水电工程料源选择与料场开采设计规范</w:t>
      </w:r>
    </w:p>
    <w:p w14:paraId="4D0D4D03">
      <w:pPr>
        <w:spacing w:line="400" w:lineRule="exact"/>
        <w:ind w:firstLine="420" w:firstLineChars="200"/>
        <w:rPr>
          <w:rFonts w:ascii="宋体" w:hAnsi="宋体" w:eastAsia="宋体" w:cs="宋体"/>
          <w:szCs w:val="21"/>
        </w:rPr>
      </w:pPr>
      <w:r>
        <w:rPr>
          <w:rFonts w:ascii="宋体" w:hAnsi="宋体" w:eastAsia="宋体" w:cs="宋体"/>
          <w:szCs w:val="21"/>
        </w:rPr>
        <w:t>NB/T 10491</w:t>
      </w:r>
      <w:r>
        <w:rPr>
          <w:rFonts w:hint="eastAsia" w:ascii="宋体" w:hAnsi="宋体" w:eastAsia="宋体" w:cs="宋体"/>
          <w:szCs w:val="21"/>
        </w:rPr>
        <w:t xml:space="preserve">  水电工程施工组织设计规范</w:t>
      </w:r>
    </w:p>
    <w:p w14:paraId="56DFB1B1">
      <w:pPr>
        <w:spacing w:line="400" w:lineRule="exact"/>
        <w:ind w:firstLine="420" w:firstLineChars="200"/>
        <w:rPr>
          <w:rFonts w:ascii="宋体" w:hAnsi="宋体" w:eastAsia="宋体" w:cs="宋体"/>
          <w:szCs w:val="21"/>
        </w:rPr>
      </w:pPr>
      <w:r>
        <w:rPr>
          <w:rFonts w:hint="eastAsia" w:ascii="宋体" w:hAnsi="宋体" w:eastAsia="宋体" w:cs="宋体"/>
          <w:szCs w:val="21"/>
        </w:rPr>
        <w:t>NB/T 35111  水电工程渣场设计规范</w:t>
      </w:r>
    </w:p>
    <w:p w14:paraId="138F5892">
      <w:pPr>
        <w:spacing w:line="400" w:lineRule="exact"/>
        <w:ind w:firstLine="420" w:firstLineChars="200"/>
        <w:rPr>
          <w:rFonts w:ascii="宋体" w:hAnsi="宋体" w:eastAsia="宋体" w:cs="宋体"/>
          <w:szCs w:val="21"/>
        </w:rPr>
      </w:pPr>
      <w:r>
        <w:rPr>
          <w:rFonts w:ascii="宋体" w:hAnsi="宋体" w:eastAsia="宋体" w:cs="宋体"/>
          <w:szCs w:val="21"/>
        </w:rPr>
        <w:t>NB/T 35120</w:t>
      </w:r>
      <w:r>
        <w:rPr>
          <w:rFonts w:hint="eastAsia" w:ascii="宋体" w:hAnsi="宋体" w:eastAsia="宋体" w:cs="宋体"/>
          <w:szCs w:val="21"/>
        </w:rPr>
        <w:t xml:space="preserve">  水电工程施工总布置设计规范</w:t>
      </w:r>
    </w:p>
    <w:p w14:paraId="7B48B50D">
      <w:pPr>
        <w:spacing w:line="400" w:lineRule="exact"/>
        <w:ind w:firstLine="420" w:firstLineChars="200"/>
        <w:rPr>
          <w:rFonts w:ascii="宋体" w:hAnsi="宋体" w:eastAsia="宋体" w:cs="宋体"/>
          <w:szCs w:val="21"/>
        </w:rPr>
      </w:pPr>
      <w:r>
        <w:rPr>
          <w:rFonts w:hint="eastAsia" w:ascii="宋体" w:hAnsi="宋体" w:eastAsia="宋体" w:cs="宋体"/>
          <w:szCs w:val="21"/>
        </w:rPr>
        <w:t>DL/T 5151  水工混凝土砂石骨料试验规程</w:t>
      </w:r>
    </w:p>
    <w:p w14:paraId="6BDA6A99">
      <w:pPr>
        <w:spacing w:line="400" w:lineRule="exact"/>
        <w:ind w:firstLine="420" w:firstLineChars="200"/>
        <w:rPr>
          <w:rFonts w:ascii="宋体" w:hAnsi="宋体" w:eastAsia="宋体" w:cs="宋体"/>
          <w:szCs w:val="21"/>
        </w:rPr>
      </w:pPr>
      <w:r>
        <w:rPr>
          <w:rFonts w:hint="eastAsia" w:ascii="宋体" w:hAnsi="宋体" w:eastAsia="宋体" w:cs="宋体"/>
          <w:szCs w:val="21"/>
        </w:rPr>
        <w:t>DL/T 5241  水工混凝土耐久性技术规范</w:t>
      </w:r>
    </w:p>
    <w:p w14:paraId="1D69C410">
      <w:pPr>
        <w:pStyle w:val="56"/>
        <w:numPr>
          <w:ilvl w:val="1"/>
          <w:numId w:val="1"/>
        </w:numPr>
        <w:spacing w:before="240" w:after="240"/>
      </w:pPr>
      <w:bookmarkStart w:id="30" w:name="_Toc29037"/>
      <w:bookmarkStart w:id="31" w:name="_Toc7026"/>
      <w:bookmarkStart w:id="32" w:name="_Toc14363"/>
      <w:bookmarkStart w:id="33" w:name="_Toc13806"/>
      <w:bookmarkStart w:id="34" w:name="_Toc227827632"/>
      <w:bookmarkStart w:id="35" w:name="_Toc21137"/>
      <w:bookmarkStart w:id="36" w:name="_Toc2972"/>
      <w:r>
        <w:rPr>
          <w:rFonts w:hint="eastAsia"/>
        </w:rPr>
        <w:t>术语和定义</w:t>
      </w:r>
      <w:bookmarkEnd w:id="30"/>
      <w:bookmarkEnd w:id="31"/>
      <w:bookmarkEnd w:id="32"/>
      <w:bookmarkEnd w:id="33"/>
      <w:bookmarkEnd w:id="34"/>
      <w:bookmarkEnd w:id="35"/>
      <w:bookmarkEnd w:id="36"/>
    </w:p>
    <w:p w14:paraId="284A2FFF">
      <w:pPr>
        <w:pStyle w:val="35"/>
        <w:spacing w:before="0" w:after="0" w:line="400" w:lineRule="exact"/>
        <w:rPr>
          <w:rFonts w:ascii="Calibri" w:hAnsi="Calibri" w:eastAsia="宋体" w:cs="Times New Roman"/>
          <w:color w:val="000000" w:themeColor="text1"/>
          <w:kern w:val="2"/>
          <w:sz w:val="21"/>
          <w:szCs w:val="21"/>
          <w14:textFill>
            <w14:solidFill>
              <w14:schemeClr w14:val="tx1"/>
            </w14:solidFill>
          </w14:textFill>
        </w:rPr>
      </w:pPr>
      <w:r>
        <w:rPr>
          <w:rFonts w:hint="eastAsia" w:ascii="Calibri" w:hAnsi="Calibri" w:eastAsia="宋体" w:cs="Times New Roman"/>
          <w:color w:val="000000" w:themeColor="text1"/>
          <w:kern w:val="2"/>
          <w:sz w:val="21"/>
          <w:szCs w:val="21"/>
          <w14:textFill>
            <w14:solidFill>
              <w14:schemeClr w14:val="tx1"/>
            </w14:solidFill>
          </w14:textFill>
        </w:rPr>
        <w:t>下列术语和定义适用于本文件。</w:t>
      </w:r>
    </w:p>
    <w:p w14:paraId="43771F93">
      <w:pPr>
        <w:pStyle w:val="58"/>
        <w:numPr>
          <w:ilvl w:val="2"/>
          <w:numId w:val="1"/>
        </w:numPr>
        <w:spacing w:before="0" w:beforeLines="0" w:after="0" w:afterLines="0" w:line="400" w:lineRule="exact"/>
      </w:pPr>
      <w:bookmarkStart w:id="37" w:name="_Toc227228549"/>
      <w:bookmarkStart w:id="38" w:name="_Toc227228955"/>
      <w:bookmarkStart w:id="39" w:name="_Toc227228910"/>
      <w:bookmarkStart w:id="40" w:name="_Toc227827633"/>
      <w:r>
        <w:rPr>
          <w:rFonts w:hint="eastAsia" w:ascii="宋体" w:eastAsia="宋体"/>
          <w:bCs/>
        </w:rPr>
        <w:t xml:space="preserve">土石方平衡 </w:t>
      </w:r>
      <w:bookmarkEnd w:id="37"/>
      <w:bookmarkEnd w:id="38"/>
      <w:bookmarkEnd w:id="39"/>
      <w:r>
        <w:rPr>
          <w:rFonts w:hint="eastAsia" w:ascii="宋体" w:hAnsi="宋体" w:eastAsia="宋体"/>
        </w:rPr>
        <w:t>E</w:t>
      </w:r>
      <w:r>
        <w:rPr>
          <w:rFonts w:ascii="宋体" w:hAnsi="宋体" w:eastAsia="宋体"/>
        </w:rPr>
        <w:t>arthwork balance</w:t>
      </w:r>
      <w:bookmarkEnd w:id="40"/>
    </w:p>
    <w:p w14:paraId="14DDEA0C">
      <w:pPr>
        <w:pStyle w:val="35"/>
        <w:spacing w:before="0" w:after="0" w:line="400" w:lineRule="exact"/>
        <w:ind w:firstLine="420" w:firstLineChars="200"/>
        <w:jc w:val="both"/>
        <w:rPr>
          <w:rFonts w:ascii="Calibri" w:hAnsi="Calibri" w:eastAsia="宋体" w:cs="Times New Roman"/>
          <w:color w:val="000000" w:themeColor="text1"/>
          <w:kern w:val="2"/>
          <w:sz w:val="21"/>
          <w:szCs w:val="21"/>
          <w14:textFill>
            <w14:solidFill>
              <w14:schemeClr w14:val="tx1"/>
            </w14:solidFill>
          </w14:textFill>
        </w:rPr>
      </w:pPr>
      <w:r>
        <w:rPr>
          <w:rFonts w:hint="eastAsia" w:ascii="Calibri" w:hAnsi="Calibri" w:eastAsia="宋体" w:cs="Times New Roman"/>
          <w:color w:val="000000" w:themeColor="text1"/>
          <w:kern w:val="2"/>
          <w:sz w:val="21"/>
          <w:szCs w:val="21"/>
          <w14:textFill>
            <w14:solidFill>
              <w14:schemeClr w14:val="tx1"/>
            </w14:solidFill>
          </w14:textFill>
        </w:rPr>
        <w:t>对工程开挖料、可利用料和弃渣料进行综合分析，实现开挖料合理利用、可利用料供需平衡的设计过程。</w:t>
      </w:r>
    </w:p>
    <w:p w14:paraId="5CCB98F8">
      <w:pPr>
        <w:pStyle w:val="58"/>
        <w:numPr>
          <w:ilvl w:val="2"/>
          <w:numId w:val="1"/>
        </w:numPr>
        <w:spacing w:before="0" w:beforeLines="0" w:after="0" w:afterLines="0" w:line="400" w:lineRule="exact"/>
        <w:rPr>
          <w:rFonts w:ascii="宋体" w:eastAsia="宋体"/>
          <w:bCs/>
        </w:rPr>
      </w:pPr>
      <w:bookmarkStart w:id="41" w:name="_Toc227228911"/>
      <w:bookmarkStart w:id="42" w:name="_Toc227827634"/>
      <w:bookmarkStart w:id="43" w:name="_Toc227228550"/>
      <w:bookmarkStart w:id="44" w:name="_Toc227228956"/>
      <w:r>
        <w:rPr>
          <w:rFonts w:hint="eastAsia" w:ascii="宋体" w:eastAsia="宋体"/>
          <w:bCs/>
        </w:rPr>
        <w:t>扩库开挖 R</w:t>
      </w:r>
      <w:r>
        <w:rPr>
          <w:rFonts w:ascii="宋体" w:eastAsia="宋体"/>
          <w:bCs/>
        </w:rPr>
        <w:t>eservoir basin expansion</w:t>
      </w:r>
      <w:bookmarkEnd w:id="41"/>
      <w:bookmarkEnd w:id="42"/>
      <w:bookmarkEnd w:id="43"/>
      <w:bookmarkEnd w:id="44"/>
    </w:p>
    <w:p w14:paraId="481F71D5">
      <w:pPr>
        <w:pStyle w:val="35"/>
        <w:spacing w:before="0" w:after="0" w:line="400" w:lineRule="exact"/>
        <w:ind w:firstLine="420" w:firstLineChars="200"/>
        <w:rPr>
          <w:rFonts w:ascii="Calibri" w:hAnsi="Calibri" w:eastAsia="宋体" w:cs="Times New Roman"/>
          <w:color w:val="000000" w:themeColor="text1"/>
          <w:kern w:val="2"/>
          <w:sz w:val="21"/>
          <w:szCs w:val="21"/>
          <w14:textFill>
            <w14:solidFill>
              <w14:schemeClr w14:val="tx1"/>
            </w14:solidFill>
          </w14:textFill>
        </w:rPr>
      </w:pPr>
      <w:r>
        <w:rPr>
          <w:rFonts w:hint="eastAsia" w:ascii="Calibri" w:hAnsi="Calibri" w:eastAsia="宋体" w:cs="Times New Roman"/>
          <w:color w:val="000000" w:themeColor="text1"/>
          <w:kern w:val="2"/>
          <w:sz w:val="21"/>
          <w:szCs w:val="21"/>
          <w14:textFill>
            <w14:solidFill>
              <w14:schemeClr w14:val="tx1"/>
            </w14:solidFill>
          </w14:textFill>
        </w:rPr>
        <w:t>考虑充分利用库盆地形和地质条件，综合考虑、水库调节库容和工程料源需求等因素，在上、下水库库盆范围内进行的开挖。</w:t>
      </w:r>
    </w:p>
    <w:p w14:paraId="463D086C">
      <w:pPr>
        <w:pStyle w:val="58"/>
        <w:numPr>
          <w:ilvl w:val="2"/>
          <w:numId w:val="1"/>
        </w:numPr>
        <w:spacing w:before="0" w:beforeLines="0" w:after="0" w:afterLines="0" w:line="400" w:lineRule="exact"/>
        <w:rPr>
          <w:rFonts w:ascii="宋体" w:eastAsia="宋体"/>
          <w:bCs/>
        </w:rPr>
      </w:pPr>
      <w:bookmarkStart w:id="45" w:name="_Toc227228957"/>
      <w:bookmarkStart w:id="46" w:name="_Toc227827635"/>
      <w:bookmarkStart w:id="47" w:name="_Toc227228551"/>
      <w:bookmarkStart w:id="48" w:name="_Toc227228912"/>
      <w:r>
        <w:rPr>
          <w:rFonts w:hint="eastAsia" w:ascii="宋体" w:eastAsia="宋体"/>
          <w:bCs/>
        </w:rPr>
        <w:t>库底平整 R</w:t>
      </w:r>
      <w:r>
        <w:rPr>
          <w:rFonts w:ascii="宋体" w:eastAsia="宋体"/>
          <w:bCs/>
        </w:rPr>
        <w:t>eservoir bottom site levelling</w:t>
      </w:r>
      <w:bookmarkEnd w:id="45"/>
      <w:bookmarkEnd w:id="46"/>
      <w:bookmarkEnd w:id="47"/>
      <w:bookmarkEnd w:id="48"/>
    </w:p>
    <w:p w14:paraId="3171D6C9">
      <w:pPr>
        <w:pStyle w:val="35"/>
        <w:spacing w:before="0" w:after="0" w:line="400" w:lineRule="exact"/>
        <w:ind w:firstLine="420" w:firstLineChars="200"/>
        <w:jc w:val="both"/>
        <w:rPr>
          <w:rFonts w:ascii="Calibri" w:hAnsi="Calibri" w:eastAsia="宋体" w:cs="Times New Roman"/>
          <w:color w:val="000000" w:themeColor="text1"/>
          <w:kern w:val="2"/>
          <w:sz w:val="21"/>
          <w:szCs w:val="21"/>
          <w14:textFill>
            <w14:solidFill>
              <w14:schemeClr w14:val="tx1"/>
            </w14:solidFill>
          </w14:textFill>
        </w:rPr>
      </w:pPr>
      <w:r>
        <w:rPr>
          <w:rFonts w:hint="eastAsia" w:ascii="Calibri" w:hAnsi="Calibri" w:eastAsia="宋体" w:cs="Times New Roman"/>
          <w:color w:val="000000" w:themeColor="text1"/>
          <w:kern w:val="2"/>
          <w:sz w:val="21"/>
          <w:szCs w:val="21"/>
          <w14:textFill>
            <w14:solidFill>
              <w14:schemeClr w14:val="tx1"/>
            </w14:solidFill>
          </w14:textFill>
        </w:rPr>
        <w:t>考虑库盆体形、防渗、开挖料资源化利用及减少水库初期蓄水量等要求，在上下水库死水位以下库盆开展的场地平整和地形修整。</w:t>
      </w:r>
    </w:p>
    <w:p w14:paraId="78E72573">
      <w:pPr>
        <w:pStyle w:val="58"/>
        <w:numPr>
          <w:ilvl w:val="2"/>
          <w:numId w:val="1"/>
        </w:numPr>
        <w:spacing w:before="0" w:beforeLines="0" w:after="0" w:afterLines="0" w:line="400" w:lineRule="exact"/>
        <w:rPr>
          <w:rFonts w:ascii="宋体" w:eastAsia="宋体"/>
          <w:bCs/>
        </w:rPr>
      </w:pPr>
      <w:bookmarkStart w:id="49" w:name="_Toc227827636"/>
      <w:bookmarkStart w:id="50" w:name="_Toc227228913"/>
      <w:bookmarkStart w:id="51" w:name="_Toc227228552"/>
      <w:bookmarkStart w:id="52" w:name="_Toc227228958"/>
      <w:r>
        <w:rPr>
          <w:rFonts w:hint="eastAsia" w:ascii="宋体" w:eastAsia="宋体"/>
          <w:bCs/>
        </w:rPr>
        <w:t>工程开挖料 P</w:t>
      </w:r>
      <w:r>
        <w:rPr>
          <w:rFonts w:ascii="宋体" w:eastAsia="宋体"/>
          <w:bCs/>
        </w:rPr>
        <w:t>roject excavation material</w:t>
      </w:r>
      <w:bookmarkEnd w:id="49"/>
      <w:bookmarkEnd w:id="50"/>
      <w:bookmarkEnd w:id="51"/>
      <w:bookmarkEnd w:id="52"/>
    </w:p>
    <w:p w14:paraId="7BD9677A">
      <w:pPr>
        <w:spacing w:line="400" w:lineRule="exact"/>
        <w:ind w:firstLine="420"/>
        <w:rPr>
          <w:rFonts w:ascii="Calibri" w:hAnsi="Calibri" w:eastAsia="宋体" w:cs="Times New Roman"/>
          <w:color w:val="000000" w:themeColor="text1"/>
          <w:kern w:val="2"/>
          <w:szCs w:val="21"/>
          <w14:textFill>
            <w14:solidFill>
              <w14:schemeClr w14:val="tx1"/>
            </w14:solidFill>
          </w14:textFill>
        </w:rPr>
      </w:pPr>
      <w:r>
        <w:t>工程建筑物基础、边坡、洞室等开挖产生的土石料。</w:t>
      </w:r>
    </w:p>
    <w:p w14:paraId="09B08127">
      <w:pPr>
        <w:pStyle w:val="58"/>
        <w:numPr>
          <w:ilvl w:val="2"/>
          <w:numId w:val="1"/>
        </w:numPr>
        <w:spacing w:before="0" w:beforeLines="0" w:after="0" w:afterLines="0" w:line="400" w:lineRule="exact"/>
        <w:rPr>
          <w:rFonts w:ascii="宋体" w:eastAsia="宋体"/>
          <w:bCs/>
        </w:rPr>
      </w:pPr>
      <w:bookmarkStart w:id="53" w:name="_Toc227228914"/>
      <w:bookmarkStart w:id="54" w:name="_Toc227827637"/>
      <w:bookmarkStart w:id="55" w:name="_Toc227228553"/>
      <w:bookmarkStart w:id="56" w:name="_Toc227228959"/>
      <w:r>
        <w:rPr>
          <w:rFonts w:hint="eastAsia" w:ascii="宋体" w:eastAsia="宋体"/>
          <w:bCs/>
        </w:rPr>
        <w:t>可利用料 U</w:t>
      </w:r>
      <w:r>
        <w:rPr>
          <w:rFonts w:ascii="宋体" w:eastAsia="宋体"/>
          <w:bCs/>
        </w:rPr>
        <w:t>sable material</w:t>
      </w:r>
      <w:bookmarkEnd w:id="53"/>
      <w:bookmarkEnd w:id="54"/>
      <w:bookmarkEnd w:id="55"/>
      <w:bookmarkEnd w:id="56"/>
    </w:p>
    <w:p w14:paraId="5F900C5D">
      <w:pPr>
        <w:pStyle w:val="35"/>
        <w:spacing w:before="0" w:after="0" w:line="400" w:lineRule="exact"/>
        <w:ind w:firstLine="420" w:firstLineChars="200"/>
        <w:rPr>
          <w:rFonts w:ascii="Calibri" w:hAnsi="Calibri" w:eastAsia="宋体" w:cs="Times New Roman"/>
          <w:color w:val="000000" w:themeColor="text1"/>
          <w:kern w:val="2"/>
          <w:sz w:val="21"/>
          <w:szCs w:val="21"/>
          <w14:textFill>
            <w14:solidFill>
              <w14:schemeClr w14:val="tx1"/>
            </w14:solidFill>
          </w14:textFill>
        </w:rPr>
      </w:pPr>
      <w:r>
        <w:rPr>
          <w:rFonts w:hint="eastAsia" w:ascii="Calibri" w:hAnsi="Calibri" w:eastAsia="宋体" w:cs="Times New Roman"/>
          <w:color w:val="000000" w:themeColor="text1"/>
          <w:kern w:val="2"/>
          <w:sz w:val="21"/>
          <w:szCs w:val="21"/>
          <w14:textFill>
            <w14:solidFill>
              <w14:schemeClr w14:val="tx1"/>
            </w14:solidFill>
          </w14:textFill>
        </w:rPr>
        <w:t>可用于工程填筑或骨料加工的工程开挖料，又分为直接利用和间接利用（转存利用）。</w:t>
      </w:r>
    </w:p>
    <w:p w14:paraId="1FD282FD">
      <w:pPr>
        <w:pStyle w:val="58"/>
        <w:numPr>
          <w:ilvl w:val="2"/>
          <w:numId w:val="1"/>
        </w:numPr>
        <w:spacing w:before="0" w:beforeLines="0" w:after="0" w:afterLines="0" w:line="400" w:lineRule="exact"/>
        <w:rPr>
          <w:rFonts w:ascii="宋体" w:eastAsia="宋体"/>
          <w:bCs/>
        </w:rPr>
      </w:pPr>
      <w:bookmarkStart w:id="57" w:name="_Toc227228554"/>
      <w:bookmarkStart w:id="58" w:name="_Toc227228960"/>
      <w:bookmarkStart w:id="59" w:name="_Toc227228915"/>
      <w:bookmarkStart w:id="60" w:name="_Toc227827638"/>
      <w:r>
        <w:rPr>
          <w:rFonts w:hint="eastAsia" w:ascii="宋体" w:eastAsia="宋体"/>
          <w:bCs/>
        </w:rPr>
        <w:t>弃渣 Waste material</w:t>
      </w:r>
      <w:bookmarkEnd w:id="57"/>
      <w:bookmarkEnd w:id="58"/>
      <w:bookmarkEnd w:id="59"/>
      <w:bookmarkEnd w:id="60"/>
    </w:p>
    <w:p w14:paraId="03419860">
      <w:pPr>
        <w:pStyle w:val="35"/>
        <w:spacing w:before="0" w:after="0" w:line="400" w:lineRule="exact"/>
        <w:ind w:firstLine="420" w:firstLineChars="200"/>
        <w:rPr>
          <w:rFonts w:ascii="Calibri" w:hAnsi="Calibri" w:eastAsia="宋体" w:cs="Times New Roman"/>
          <w:color w:val="000000" w:themeColor="text1"/>
          <w:kern w:val="2"/>
          <w:sz w:val="21"/>
          <w:szCs w:val="21"/>
          <w14:textFill>
            <w14:solidFill>
              <w14:schemeClr w14:val="tx1"/>
            </w14:solidFill>
          </w14:textFill>
        </w:rPr>
      </w:pPr>
      <w:r>
        <w:rPr>
          <w:rFonts w:hint="eastAsia" w:ascii="Calibri" w:hAnsi="Calibri" w:eastAsia="宋体" w:cs="Times New Roman"/>
          <w:color w:val="000000" w:themeColor="text1"/>
          <w:kern w:val="2"/>
          <w:sz w:val="21"/>
          <w:szCs w:val="21"/>
          <w14:textFill>
            <w14:solidFill>
              <w14:schemeClr w14:val="tx1"/>
            </w14:solidFill>
          </w14:textFill>
        </w:rPr>
        <w:t>工程开挖与填筑平衡后剩余的或因质量等原因不能利用的工程开挖料。</w:t>
      </w:r>
    </w:p>
    <w:p w14:paraId="691654FF">
      <w:pPr>
        <w:pStyle w:val="58"/>
        <w:numPr>
          <w:ilvl w:val="2"/>
          <w:numId w:val="1"/>
        </w:numPr>
        <w:spacing w:before="0" w:beforeLines="0" w:after="0" w:afterLines="0" w:line="400" w:lineRule="exact"/>
        <w:rPr>
          <w:rFonts w:ascii="宋体" w:eastAsia="宋体"/>
          <w:bCs/>
        </w:rPr>
      </w:pPr>
      <w:bookmarkStart w:id="61" w:name="_Toc227228555"/>
      <w:bookmarkStart w:id="62" w:name="_Toc227228916"/>
      <w:bookmarkStart w:id="63" w:name="_Toc227228961"/>
      <w:bookmarkStart w:id="64" w:name="_Toc227827639"/>
      <w:r>
        <w:rPr>
          <w:rFonts w:hint="eastAsia" w:ascii="宋体" w:eastAsia="宋体"/>
          <w:bCs/>
        </w:rPr>
        <w:t>折方系数 Conversion coefficient</w:t>
      </w:r>
      <w:bookmarkEnd w:id="61"/>
      <w:bookmarkEnd w:id="62"/>
      <w:bookmarkEnd w:id="63"/>
      <w:bookmarkEnd w:id="64"/>
    </w:p>
    <w:p w14:paraId="34F6822B">
      <w:pPr>
        <w:pStyle w:val="35"/>
        <w:spacing w:before="0" w:after="0" w:line="400" w:lineRule="exact"/>
        <w:ind w:firstLine="420" w:firstLineChars="200"/>
        <w:rPr>
          <w:rFonts w:ascii="Calibri" w:hAnsi="Calibri" w:eastAsia="宋体" w:cs="Times New Roman"/>
          <w:color w:val="000000" w:themeColor="text1"/>
          <w:kern w:val="2"/>
          <w:sz w:val="21"/>
          <w:szCs w:val="21"/>
          <w14:textFill>
            <w14:solidFill>
              <w14:schemeClr w14:val="tx1"/>
            </w14:solidFill>
          </w14:textFill>
        </w:rPr>
      </w:pPr>
      <w:r>
        <w:rPr>
          <w:rFonts w:hint="eastAsia" w:ascii="Calibri" w:hAnsi="Calibri" w:eastAsia="宋体" w:cs="Times New Roman"/>
          <w:color w:val="000000" w:themeColor="text1"/>
          <w:kern w:val="2"/>
          <w:sz w:val="21"/>
          <w:szCs w:val="21"/>
          <w14:textFill>
            <w14:solidFill>
              <w14:schemeClr w14:val="tx1"/>
            </w14:solidFill>
          </w14:textFill>
        </w:rPr>
        <w:t>土石料在自然状态、松方状态和压实状态之间的体积换算系数。</w:t>
      </w:r>
    </w:p>
    <w:p w14:paraId="0405C3C9">
      <w:pPr>
        <w:pStyle w:val="58"/>
        <w:numPr>
          <w:ilvl w:val="2"/>
          <w:numId w:val="1"/>
        </w:numPr>
        <w:spacing w:before="0" w:beforeLines="0" w:after="0" w:afterLines="0" w:line="400" w:lineRule="exact"/>
        <w:rPr>
          <w:rFonts w:ascii="宋体" w:eastAsia="宋体"/>
          <w:bCs/>
        </w:rPr>
      </w:pPr>
      <w:bookmarkStart w:id="65" w:name="_Toc227827640"/>
      <w:bookmarkStart w:id="66" w:name="_Toc227228917"/>
      <w:bookmarkStart w:id="67" w:name="_Toc227228556"/>
      <w:bookmarkStart w:id="68" w:name="_Toc227228962"/>
      <w:r>
        <w:rPr>
          <w:rFonts w:hint="eastAsia" w:ascii="宋体" w:eastAsia="宋体"/>
          <w:bCs/>
        </w:rPr>
        <w:t>损耗补偿系数 Loss compensation coefficient</w:t>
      </w:r>
      <w:bookmarkEnd w:id="65"/>
      <w:bookmarkEnd w:id="66"/>
      <w:bookmarkEnd w:id="67"/>
      <w:bookmarkEnd w:id="68"/>
    </w:p>
    <w:p w14:paraId="34F49018">
      <w:pPr>
        <w:pStyle w:val="35"/>
        <w:spacing w:before="0" w:after="0" w:line="400" w:lineRule="exact"/>
        <w:ind w:firstLine="420" w:firstLineChars="200"/>
        <w:jc w:val="both"/>
        <w:rPr>
          <w:rFonts w:ascii="Calibri" w:hAnsi="Calibri" w:eastAsia="宋体" w:cs="Times New Roman"/>
          <w:color w:val="000000" w:themeColor="text1"/>
          <w:kern w:val="2"/>
          <w:sz w:val="21"/>
          <w:szCs w:val="21"/>
          <w14:textFill>
            <w14:solidFill>
              <w14:schemeClr w14:val="tx1"/>
            </w14:solidFill>
          </w14:textFill>
        </w:rPr>
      </w:pPr>
      <w:r>
        <w:rPr>
          <w:rFonts w:hint="eastAsia" w:ascii="Calibri" w:hAnsi="Calibri" w:eastAsia="宋体" w:cs="Times New Roman"/>
          <w:color w:val="000000" w:themeColor="text1"/>
          <w:kern w:val="2"/>
          <w:sz w:val="21"/>
          <w:szCs w:val="21"/>
          <w14:textFill>
            <w14:solidFill>
              <w14:schemeClr w14:val="tx1"/>
            </w14:solidFill>
          </w14:textFill>
        </w:rPr>
        <w:t>土石方工程中，为弥补施工全流程正常损耗，对设计工程量进行放大修正的系数，含开采、运输、转存、加工、作业面五类分项系数。</w:t>
      </w:r>
    </w:p>
    <w:p w14:paraId="5BC83889">
      <w:pPr>
        <w:pStyle w:val="58"/>
        <w:numPr>
          <w:ilvl w:val="2"/>
          <w:numId w:val="1"/>
        </w:numPr>
        <w:spacing w:before="0" w:beforeLines="0" w:after="0" w:afterLines="0" w:line="400" w:lineRule="exact"/>
        <w:rPr>
          <w:rFonts w:ascii="宋体" w:eastAsia="宋体"/>
          <w:bCs/>
        </w:rPr>
      </w:pPr>
      <w:bookmarkStart w:id="69" w:name="_Toc227228963"/>
      <w:bookmarkStart w:id="70" w:name="_Toc227228557"/>
      <w:bookmarkStart w:id="71" w:name="_Toc227228918"/>
      <w:bookmarkStart w:id="72" w:name="_Toc227827641"/>
      <w:r>
        <w:rPr>
          <w:rFonts w:hint="eastAsia" w:ascii="宋体" w:eastAsia="宋体"/>
          <w:bCs/>
        </w:rPr>
        <w:t>直接利用率 Direct utilization rate</w:t>
      </w:r>
      <w:bookmarkEnd w:id="69"/>
      <w:bookmarkEnd w:id="70"/>
      <w:bookmarkEnd w:id="71"/>
      <w:bookmarkEnd w:id="72"/>
    </w:p>
    <w:p w14:paraId="71FB602D">
      <w:pPr>
        <w:pStyle w:val="35"/>
        <w:spacing w:before="0" w:after="0" w:line="400" w:lineRule="exact"/>
        <w:ind w:firstLine="420" w:firstLineChars="200"/>
        <w:rPr>
          <w:rFonts w:ascii="Calibri" w:hAnsi="Calibri" w:eastAsia="宋体" w:cs="Times New Roman"/>
          <w:color w:val="000000" w:themeColor="text1"/>
          <w:kern w:val="2"/>
          <w:sz w:val="21"/>
          <w:szCs w:val="21"/>
          <w14:textFill>
            <w14:solidFill>
              <w14:schemeClr w14:val="tx1"/>
            </w14:solidFill>
          </w14:textFill>
        </w:rPr>
      </w:pPr>
      <w:r>
        <w:rPr>
          <w:rFonts w:hint="eastAsia" w:ascii="Calibri" w:hAnsi="Calibri" w:eastAsia="宋体" w:cs="Times New Roman"/>
          <w:color w:val="000000" w:themeColor="text1"/>
          <w:kern w:val="2"/>
          <w:sz w:val="21"/>
          <w:szCs w:val="21"/>
          <w14:textFill>
            <w14:solidFill>
              <w14:schemeClr w14:val="tx1"/>
            </w14:solidFill>
          </w14:textFill>
        </w:rPr>
        <w:t>工程开挖料直接用于填筑或其他用途的数量占开挖料总量的比例。</w:t>
      </w:r>
    </w:p>
    <w:p w14:paraId="2E8E78E6">
      <w:pPr>
        <w:pStyle w:val="58"/>
        <w:numPr>
          <w:ilvl w:val="2"/>
          <w:numId w:val="1"/>
        </w:numPr>
        <w:spacing w:before="0" w:beforeLines="0" w:after="0" w:afterLines="0" w:line="400" w:lineRule="exact"/>
        <w:rPr>
          <w:rFonts w:ascii="宋体" w:eastAsia="宋体"/>
          <w:bCs/>
        </w:rPr>
      </w:pPr>
      <w:bookmarkStart w:id="73" w:name="_Toc227228558"/>
      <w:bookmarkStart w:id="74" w:name="_Toc227228919"/>
      <w:bookmarkStart w:id="75" w:name="_Toc227228964"/>
      <w:bookmarkStart w:id="76" w:name="_Toc227827642"/>
      <w:r>
        <w:rPr>
          <w:rFonts w:hint="eastAsia" w:ascii="宋体" w:eastAsia="宋体"/>
          <w:bCs/>
        </w:rPr>
        <w:t>设计需要量 Design demand quantity</w:t>
      </w:r>
      <w:bookmarkEnd w:id="73"/>
      <w:bookmarkEnd w:id="74"/>
      <w:bookmarkEnd w:id="75"/>
      <w:bookmarkEnd w:id="76"/>
    </w:p>
    <w:p w14:paraId="2E0D2E23">
      <w:pPr>
        <w:pStyle w:val="35"/>
        <w:spacing w:before="0" w:after="0" w:line="400" w:lineRule="exact"/>
        <w:ind w:firstLine="420" w:firstLineChars="200"/>
        <w:jc w:val="both"/>
        <w:rPr>
          <w:rFonts w:ascii="Calibri" w:hAnsi="Calibri" w:eastAsia="宋体" w:cs="Times New Roman"/>
          <w:color w:val="000000" w:themeColor="text1"/>
          <w:kern w:val="2"/>
          <w:sz w:val="21"/>
          <w:szCs w:val="21"/>
          <w14:textFill>
            <w14:solidFill>
              <w14:schemeClr w14:val="tx1"/>
            </w14:solidFill>
          </w14:textFill>
        </w:rPr>
      </w:pPr>
      <w:r>
        <w:rPr>
          <w:rFonts w:hint="eastAsia" w:ascii="Calibri" w:hAnsi="Calibri" w:eastAsia="宋体" w:cs="Times New Roman"/>
          <w:color w:val="000000" w:themeColor="text1"/>
          <w:kern w:val="2"/>
          <w:sz w:val="21"/>
          <w:szCs w:val="21"/>
          <w14:textFill>
            <w14:solidFill>
              <w14:schemeClr w14:val="tx1"/>
            </w14:solidFill>
          </w14:textFill>
        </w:rPr>
        <w:t>在料源规划过程中，以设计工程量为基础，计入物料的开采、运输、转存、加工和作业面施工等损耗及折方转换后，计算得出的天然建筑材料数量，以自然方计量。</w:t>
      </w:r>
    </w:p>
    <w:p w14:paraId="351D0B7B">
      <w:pPr>
        <w:pStyle w:val="58"/>
        <w:numPr>
          <w:ilvl w:val="2"/>
          <w:numId w:val="1"/>
        </w:numPr>
        <w:spacing w:before="0" w:beforeLines="0" w:after="0" w:afterLines="0" w:line="400" w:lineRule="exact"/>
        <w:rPr>
          <w:rFonts w:ascii="宋体" w:eastAsia="宋体"/>
          <w:bCs/>
        </w:rPr>
      </w:pPr>
      <w:bookmarkStart w:id="77" w:name="_Toc227228965"/>
      <w:bookmarkStart w:id="78" w:name="_Toc227827643"/>
      <w:bookmarkStart w:id="79" w:name="_Toc227228559"/>
      <w:bookmarkStart w:id="80" w:name="_Toc227228920"/>
      <w:r>
        <w:rPr>
          <w:rFonts w:hint="eastAsia" w:ascii="宋体" w:eastAsia="宋体"/>
          <w:bCs/>
        </w:rPr>
        <w:t>规划开采量 Planned exploitation quantity</w:t>
      </w:r>
      <w:bookmarkEnd w:id="77"/>
      <w:bookmarkEnd w:id="78"/>
      <w:bookmarkEnd w:id="79"/>
      <w:bookmarkEnd w:id="80"/>
    </w:p>
    <w:p w14:paraId="79015424">
      <w:pPr>
        <w:pStyle w:val="35"/>
        <w:spacing w:before="0" w:after="0" w:line="400" w:lineRule="exact"/>
        <w:ind w:firstLine="420" w:firstLineChars="200"/>
        <w:rPr>
          <w:rFonts w:ascii="Calibri" w:hAnsi="Calibri" w:eastAsia="宋体" w:cs="Times New Roman"/>
          <w:color w:val="000000" w:themeColor="text1"/>
          <w:kern w:val="2"/>
          <w:sz w:val="21"/>
          <w:szCs w:val="21"/>
          <w14:textFill>
            <w14:solidFill>
              <w14:schemeClr w14:val="tx1"/>
            </w14:solidFill>
          </w14:textFill>
        </w:rPr>
      </w:pPr>
      <w:r>
        <w:rPr>
          <w:rFonts w:hint="eastAsia" w:ascii="Calibri" w:hAnsi="Calibri" w:eastAsia="宋体" w:cs="Times New Roman"/>
          <w:color w:val="000000" w:themeColor="text1"/>
          <w:kern w:val="2"/>
          <w:sz w:val="21"/>
          <w:szCs w:val="21"/>
          <w14:textFill>
            <w14:solidFill>
              <w14:schemeClr w14:val="tx1"/>
            </w14:solidFill>
          </w14:textFill>
        </w:rPr>
        <w:t>在设计需要量的基础上考虑料源可采性后，所需各种天然建筑材料的总量。</w:t>
      </w:r>
    </w:p>
    <w:p w14:paraId="2AD0FD87">
      <w:pPr>
        <w:pStyle w:val="56"/>
        <w:numPr>
          <w:ilvl w:val="1"/>
          <w:numId w:val="1"/>
        </w:numPr>
        <w:spacing w:before="240" w:after="240"/>
      </w:pPr>
      <w:bookmarkStart w:id="81" w:name="_Toc29866"/>
      <w:bookmarkStart w:id="82" w:name="_Toc31665"/>
      <w:bookmarkStart w:id="83" w:name="_Toc18693"/>
      <w:bookmarkStart w:id="84" w:name="_Toc3923"/>
      <w:bookmarkStart w:id="85" w:name="_Toc227827644"/>
      <w:bookmarkStart w:id="86" w:name="_Toc7458"/>
      <w:bookmarkStart w:id="87" w:name="_Toc18216"/>
      <w:r>
        <w:rPr>
          <w:rFonts w:hint="eastAsia"/>
        </w:rPr>
        <w:t>总体原则与</w:t>
      </w:r>
      <w:bookmarkEnd w:id="81"/>
      <w:bookmarkEnd w:id="82"/>
      <w:bookmarkEnd w:id="83"/>
      <w:bookmarkEnd w:id="84"/>
      <w:r>
        <w:rPr>
          <w:rFonts w:hint="eastAsia"/>
        </w:rPr>
        <w:t>依据</w:t>
      </w:r>
      <w:bookmarkEnd w:id="85"/>
    </w:p>
    <w:p w14:paraId="78865481">
      <w:pPr>
        <w:pStyle w:val="58"/>
        <w:numPr>
          <w:ilvl w:val="2"/>
          <w:numId w:val="1"/>
        </w:numPr>
        <w:spacing w:before="0" w:beforeLines="0" w:after="0" w:afterLines="0" w:line="400" w:lineRule="exact"/>
        <w:rPr>
          <w:rFonts w:ascii="宋体" w:eastAsia="宋体"/>
          <w:bCs/>
        </w:rPr>
      </w:pPr>
      <w:bookmarkStart w:id="88" w:name="_Toc227827645"/>
      <w:r>
        <w:rPr>
          <w:rFonts w:hint="eastAsia" w:ascii="宋体" w:eastAsia="宋体"/>
          <w:bCs/>
        </w:rPr>
        <w:t>总体原则</w:t>
      </w:r>
      <w:bookmarkEnd w:id="88"/>
    </w:p>
    <w:p w14:paraId="1292AE49">
      <w:pPr>
        <w:pStyle w:val="57"/>
        <w:numPr>
          <w:ilvl w:val="3"/>
          <w:numId w:val="1"/>
        </w:numPr>
        <w:spacing w:line="400" w:lineRule="exact"/>
        <w:outlineLvl w:val="2"/>
      </w:pPr>
      <w:r>
        <w:rPr>
          <w:rFonts w:hint="eastAsia"/>
        </w:rPr>
        <w:t>结合实际，做到资源节约、环境友好、料尽其用、经济合理。</w:t>
      </w:r>
    </w:p>
    <w:p w14:paraId="526A0079">
      <w:pPr>
        <w:pStyle w:val="57"/>
        <w:numPr>
          <w:ilvl w:val="3"/>
          <w:numId w:val="1"/>
        </w:numPr>
        <w:spacing w:line="400" w:lineRule="exact"/>
        <w:outlineLvl w:val="2"/>
      </w:pPr>
      <w:r>
        <w:rPr>
          <w:rFonts w:hint="eastAsia"/>
        </w:rPr>
        <w:t>统筹安排、综合平衡，妥善协调各分部、分项工程的施工。</w:t>
      </w:r>
    </w:p>
    <w:p w14:paraId="6F96E010">
      <w:pPr>
        <w:pStyle w:val="57"/>
        <w:numPr>
          <w:ilvl w:val="3"/>
          <w:numId w:val="1"/>
        </w:numPr>
        <w:spacing w:line="400" w:lineRule="exact"/>
        <w:outlineLvl w:val="2"/>
      </w:pPr>
      <w:r>
        <w:rPr>
          <w:rFonts w:hint="eastAsia"/>
        </w:rPr>
        <w:t>采用信息化技术开展协同设计，并在工程建设中推广使用智能化技术。</w:t>
      </w:r>
    </w:p>
    <w:p w14:paraId="57031293">
      <w:pPr>
        <w:pStyle w:val="57"/>
        <w:numPr>
          <w:ilvl w:val="3"/>
          <w:numId w:val="1"/>
        </w:numPr>
        <w:spacing w:line="400" w:lineRule="exact"/>
        <w:outlineLvl w:val="2"/>
      </w:pPr>
      <w:r>
        <w:rPr>
          <w:rFonts w:hint="eastAsia"/>
        </w:rPr>
        <w:t>时序匹配原则，统筹地下洞室、库盆开挖与坝体填筑的施工进度，优先保证开挖料直接上坝利用，最大限度减少中转堆存和二次倒运。</w:t>
      </w:r>
    </w:p>
    <w:p w14:paraId="1D06F75B">
      <w:pPr>
        <w:pStyle w:val="57"/>
        <w:numPr>
          <w:ilvl w:val="3"/>
          <w:numId w:val="1"/>
        </w:numPr>
        <w:spacing w:line="400" w:lineRule="exact"/>
        <w:outlineLvl w:val="2"/>
      </w:pPr>
      <w:r>
        <w:rPr>
          <w:rFonts w:hint="eastAsia"/>
        </w:rPr>
        <w:t>分级利用原则，严格按照开挖料的岩性、质量等级匹配工程用料需求，做到优质优用、梯级消纳、物尽其用。</w:t>
      </w:r>
    </w:p>
    <w:p w14:paraId="6FBE6839">
      <w:pPr>
        <w:pStyle w:val="58"/>
        <w:numPr>
          <w:ilvl w:val="2"/>
          <w:numId w:val="1"/>
        </w:numPr>
        <w:spacing w:before="0" w:beforeLines="0" w:after="0" w:afterLines="0" w:line="400" w:lineRule="exact"/>
        <w:rPr>
          <w:rFonts w:ascii="宋体" w:eastAsia="宋体"/>
          <w:bCs/>
        </w:rPr>
      </w:pPr>
      <w:bookmarkStart w:id="89" w:name="_Toc227827646"/>
      <w:r>
        <w:rPr>
          <w:rFonts w:hint="eastAsia" w:ascii="宋体" w:eastAsia="宋体"/>
          <w:bCs/>
        </w:rPr>
        <w:t>总体依据</w:t>
      </w:r>
      <w:bookmarkEnd w:id="89"/>
    </w:p>
    <w:p w14:paraId="37851C5F">
      <w:pPr>
        <w:pStyle w:val="57"/>
        <w:numPr>
          <w:ilvl w:val="3"/>
          <w:numId w:val="1"/>
        </w:numPr>
        <w:spacing w:line="400" w:lineRule="exact"/>
        <w:outlineLvl w:val="2"/>
      </w:pPr>
      <w:r>
        <w:rPr>
          <w:rFonts w:hint="eastAsia"/>
        </w:rPr>
        <w:t>工程所在地区有关基本建设的法律法规。</w:t>
      </w:r>
    </w:p>
    <w:p w14:paraId="471F748A">
      <w:pPr>
        <w:pStyle w:val="57"/>
        <w:numPr>
          <w:ilvl w:val="3"/>
          <w:numId w:val="1"/>
        </w:numPr>
        <w:spacing w:line="400" w:lineRule="exact"/>
        <w:outlineLvl w:val="2"/>
      </w:pPr>
      <w:r>
        <w:rPr>
          <w:rFonts w:hint="eastAsia"/>
        </w:rPr>
        <w:t>国家及地方有关部门对工程建设的有关要求及审批文件。</w:t>
      </w:r>
    </w:p>
    <w:p w14:paraId="2A475225">
      <w:pPr>
        <w:pStyle w:val="57"/>
        <w:numPr>
          <w:ilvl w:val="3"/>
          <w:numId w:val="1"/>
        </w:numPr>
        <w:spacing w:line="400" w:lineRule="exact"/>
        <w:outlineLvl w:val="2"/>
      </w:pPr>
      <w:r>
        <w:rPr>
          <w:rFonts w:hint="eastAsia"/>
        </w:rPr>
        <w:t>项目法人对工程建设的要求。</w:t>
      </w:r>
    </w:p>
    <w:p w14:paraId="2F77049F">
      <w:pPr>
        <w:pStyle w:val="57"/>
        <w:numPr>
          <w:ilvl w:val="3"/>
          <w:numId w:val="1"/>
        </w:numPr>
        <w:spacing w:line="400" w:lineRule="exact"/>
        <w:outlineLvl w:val="2"/>
      </w:pPr>
      <w:r>
        <w:rPr>
          <w:rFonts w:hint="eastAsia"/>
        </w:rPr>
        <w:t>工程所在地区和河流的地形、地质、水文、气象特征等自然条件，当地建筑材料情况，施工电源、水源及水质、交通、环境保护、水土保持、旅游、防洪、灌溉、航运、供水等现状和近期发展规划。</w:t>
      </w:r>
    </w:p>
    <w:p w14:paraId="6ECB7753">
      <w:pPr>
        <w:pStyle w:val="57"/>
        <w:numPr>
          <w:ilvl w:val="3"/>
          <w:numId w:val="1"/>
        </w:numPr>
        <w:spacing w:line="400" w:lineRule="exact"/>
        <w:outlineLvl w:val="2"/>
        <w:rPr>
          <w:rFonts w:hAnsi="宋体" w:cs="宋体"/>
          <w:color w:val="000000" w:themeColor="text1"/>
          <w:szCs w:val="21"/>
          <w14:textFill>
            <w14:solidFill>
              <w14:schemeClr w14:val="tx1"/>
            </w14:solidFill>
          </w14:textFill>
        </w:rPr>
      </w:pPr>
      <w:r>
        <w:rPr>
          <w:rFonts w:hint="eastAsia"/>
        </w:rPr>
        <w:t>原材料试验、混凝土配合比试验、岩土物理力学试验等试验成果。</w:t>
      </w:r>
    </w:p>
    <w:p w14:paraId="73AC4531">
      <w:pPr>
        <w:pStyle w:val="57"/>
        <w:numPr>
          <w:ilvl w:val="3"/>
          <w:numId w:val="1"/>
        </w:numPr>
        <w:spacing w:line="400" w:lineRule="exact"/>
        <w:outlineLvl w:val="2"/>
      </w:pPr>
      <w:r>
        <w:rPr>
          <w:rFonts w:hint="eastAsia"/>
        </w:rPr>
        <w:t>工程有关工艺试验或生产性试验成果。</w:t>
      </w:r>
    </w:p>
    <w:p w14:paraId="2AD3EA10">
      <w:pPr>
        <w:pStyle w:val="57"/>
        <w:numPr>
          <w:ilvl w:val="3"/>
          <w:numId w:val="1"/>
        </w:numPr>
        <w:spacing w:line="400" w:lineRule="exact"/>
        <w:outlineLvl w:val="2"/>
      </w:pPr>
      <w:r>
        <w:rPr>
          <w:rFonts w:hint="eastAsia"/>
        </w:rPr>
        <w:t>勘测、设计各专业有关成果。</w:t>
      </w:r>
    </w:p>
    <w:bookmarkEnd w:id="86"/>
    <w:bookmarkEnd w:id="87"/>
    <w:p w14:paraId="0C979508">
      <w:pPr>
        <w:pStyle w:val="56"/>
        <w:numPr>
          <w:ilvl w:val="1"/>
          <w:numId w:val="1"/>
        </w:numPr>
        <w:spacing w:before="240" w:after="240"/>
      </w:pPr>
      <w:bookmarkStart w:id="90" w:name="_Toc227827647"/>
      <w:r>
        <w:t>基本规定</w:t>
      </w:r>
      <w:bookmarkEnd w:id="90"/>
    </w:p>
    <w:p w14:paraId="6D719A7B">
      <w:pPr>
        <w:pStyle w:val="58"/>
        <w:numPr>
          <w:ilvl w:val="2"/>
          <w:numId w:val="1"/>
        </w:numPr>
        <w:spacing w:before="0" w:beforeLines="0" w:after="0" w:afterLines="0" w:line="400" w:lineRule="exact"/>
        <w:rPr>
          <w:rFonts w:ascii="宋体" w:eastAsia="宋体"/>
          <w:bCs/>
        </w:rPr>
      </w:pPr>
      <w:bookmarkStart w:id="91" w:name="_Toc227228923"/>
      <w:bookmarkStart w:id="92" w:name="_Toc227228562"/>
      <w:bookmarkStart w:id="93" w:name="_Toc227228968"/>
      <w:bookmarkStart w:id="94" w:name="_Toc227827648"/>
      <w:r>
        <w:rPr>
          <w:rFonts w:hint="eastAsia" w:ascii="宋体" w:eastAsia="宋体"/>
          <w:bCs/>
        </w:rPr>
        <w:t>抽水蓄能电站土石方平衡设计应符合《抽水蓄能电站设计规范》NB/T 10072、《水电工程天然建筑材料勘察规程》NB/T 10235、《水电工程料源选择与料场开采设计规范》NB/T 10238、《</w:t>
      </w:r>
      <w:r>
        <w:rPr>
          <w:rFonts w:hint="eastAsia" w:ascii="宋体" w:hAnsi="宋体" w:eastAsia="宋体" w:cs="宋体"/>
          <w:szCs w:val="21"/>
        </w:rPr>
        <w:t>水电工程施工组织设计规范</w:t>
      </w:r>
      <w:r>
        <w:rPr>
          <w:rFonts w:hint="eastAsia" w:ascii="宋体" w:eastAsia="宋体"/>
          <w:bCs/>
        </w:rPr>
        <w:t>》NB/T 10491、《水电工程施工总布置设计规范》NB/T 35120和本导则的规定，并遵循现行有关规程、规范的规定。</w:t>
      </w:r>
      <w:bookmarkEnd w:id="91"/>
      <w:bookmarkEnd w:id="92"/>
      <w:bookmarkEnd w:id="93"/>
      <w:bookmarkEnd w:id="94"/>
    </w:p>
    <w:p w14:paraId="0295C6BA">
      <w:pPr>
        <w:pStyle w:val="58"/>
        <w:numPr>
          <w:ilvl w:val="2"/>
          <w:numId w:val="1"/>
        </w:numPr>
        <w:spacing w:before="0" w:beforeLines="0" w:after="0" w:afterLines="0" w:line="400" w:lineRule="exact"/>
        <w:rPr>
          <w:rFonts w:ascii="宋体" w:eastAsia="宋体"/>
          <w:bCs/>
        </w:rPr>
      </w:pPr>
      <w:bookmarkStart w:id="95" w:name="_Toc227228969"/>
      <w:bookmarkStart w:id="96" w:name="_Toc227228563"/>
      <w:bookmarkStart w:id="97" w:name="_Toc227827649"/>
      <w:bookmarkStart w:id="98" w:name="_Toc227228924"/>
      <w:r>
        <w:rPr>
          <w:rFonts w:hint="eastAsia" w:ascii="宋体" w:eastAsia="宋体"/>
          <w:bCs/>
        </w:rPr>
        <w:t>抽水蓄能电站土石方平衡设计应重视基础资料的收集，所需资料见附录A。</w:t>
      </w:r>
      <w:bookmarkEnd w:id="95"/>
      <w:bookmarkEnd w:id="96"/>
      <w:bookmarkEnd w:id="97"/>
      <w:bookmarkEnd w:id="98"/>
    </w:p>
    <w:p w14:paraId="478FEACD">
      <w:pPr>
        <w:pStyle w:val="58"/>
        <w:numPr>
          <w:ilvl w:val="2"/>
          <w:numId w:val="1"/>
        </w:numPr>
        <w:spacing w:before="0" w:beforeLines="0" w:after="0" w:afterLines="0" w:line="400" w:lineRule="exact"/>
        <w:rPr>
          <w:rFonts w:ascii="宋体" w:eastAsia="宋体"/>
          <w:bCs/>
        </w:rPr>
      </w:pPr>
      <w:bookmarkStart w:id="99" w:name="_Toc227228564"/>
      <w:bookmarkStart w:id="100" w:name="_Toc227228925"/>
      <w:bookmarkStart w:id="101" w:name="_Toc227228970"/>
      <w:bookmarkStart w:id="102" w:name="_Toc227827650"/>
      <w:r>
        <w:rPr>
          <w:rFonts w:hint="eastAsia" w:ascii="宋体" w:eastAsia="宋体"/>
          <w:bCs/>
        </w:rPr>
        <w:t>抽水蓄能电站应根据工程土石方平衡及调运规划、料源料场区选址，分析工程所需各类料源料场的分布位置、质量与开采量、开采利用条件、料物使用部位、工程施工进度计划。</w:t>
      </w:r>
      <w:bookmarkEnd w:id="99"/>
      <w:bookmarkEnd w:id="100"/>
      <w:bookmarkEnd w:id="101"/>
      <w:r>
        <w:rPr>
          <w:rFonts w:hint="eastAsia" w:ascii="宋体" w:eastAsia="宋体"/>
          <w:bCs/>
        </w:rPr>
        <w:t>土石方平衡设计应与工程招标分标规划同步进行，明确各标段的料物供应范围、调运路径、计量规则和责任边界；跨标段调运应明确转运节点、损耗承担方和费用结算方式；料场、转存场、弃渣场需按标段划分使用和管理权责，避免施工过程中出现标段间权属纠纷和调运不畅。</w:t>
      </w:r>
      <w:bookmarkEnd w:id="102"/>
    </w:p>
    <w:p w14:paraId="15B830CA">
      <w:pPr>
        <w:pStyle w:val="58"/>
        <w:numPr>
          <w:ilvl w:val="2"/>
          <w:numId w:val="1"/>
        </w:numPr>
        <w:spacing w:before="0" w:beforeLines="0" w:after="0" w:afterLines="0" w:line="400" w:lineRule="exact"/>
        <w:rPr>
          <w:rFonts w:ascii="宋体" w:eastAsia="宋体"/>
          <w:bCs/>
        </w:rPr>
      </w:pPr>
      <w:bookmarkStart w:id="103" w:name="_Toc227228565"/>
      <w:bookmarkStart w:id="104" w:name="_Toc227827651"/>
      <w:bookmarkStart w:id="105" w:name="_Toc227228926"/>
      <w:bookmarkStart w:id="106" w:name="_Toc227228971"/>
      <w:bookmarkStart w:id="107" w:name="_Toc13604"/>
      <w:bookmarkStart w:id="108" w:name="_Toc2317"/>
      <w:r>
        <w:rPr>
          <w:rFonts w:hint="eastAsia" w:ascii="宋体" w:eastAsia="宋体"/>
          <w:bCs/>
        </w:rPr>
        <w:t>土石方平衡设计应在质量、数量、时间、空间上对各种料源和工程用料部位进行统筹规划、综合平衡，合理安排物料流向，减少物料堆存和中转，减少工程弃渣，做到土石方运输总量最小。</w:t>
      </w:r>
      <w:bookmarkEnd w:id="103"/>
      <w:bookmarkEnd w:id="104"/>
      <w:bookmarkEnd w:id="105"/>
      <w:bookmarkEnd w:id="106"/>
    </w:p>
    <w:bookmarkEnd w:id="107"/>
    <w:bookmarkEnd w:id="108"/>
    <w:p w14:paraId="38D3EA92">
      <w:pPr>
        <w:pStyle w:val="58"/>
        <w:numPr>
          <w:ilvl w:val="2"/>
          <w:numId w:val="1"/>
        </w:numPr>
        <w:spacing w:before="0" w:beforeLines="0" w:after="0" w:afterLines="0" w:line="400" w:lineRule="exact"/>
        <w:rPr>
          <w:rFonts w:ascii="宋体" w:eastAsia="宋体"/>
          <w:bCs/>
        </w:rPr>
      </w:pPr>
      <w:bookmarkStart w:id="109" w:name="_Toc227228927"/>
      <w:bookmarkStart w:id="110" w:name="_Toc227827652"/>
      <w:bookmarkStart w:id="111" w:name="_Toc227228566"/>
      <w:bookmarkStart w:id="112" w:name="_Toc227228972"/>
      <w:r>
        <w:rPr>
          <w:rFonts w:hint="eastAsia" w:ascii="宋体" w:eastAsia="宋体"/>
          <w:bCs/>
        </w:rPr>
        <w:t>土石方调配应结合施工进度及空间关系进行动态平衡，宜采用信息化、智能化手段。大型土石坝工程宜进行土石方调运仿真分析，整合多种类型的数据源（如地面传感器、遥感影像、卫星定位、无人机监测及现场人工检测等），对土石方工程中的挖方、填方、转运等动态过程进行全方位的数据采集、处理和分析，实现多源数据管理。</w:t>
      </w:r>
      <w:bookmarkEnd w:id="109"/>
      <w:bookmarkEnd w:id="110"/>
      <w:bookmarkEnd w:id="111"/>
      <w:bookmarkEnd w:id="112"/>
    </w:p>
    <w:p w14:paraId="28B3ADBE">
      <w:pPr>
        <w:pStyle w:val="58"/>
        <w:numPr>
          <w:ilvl w:val="2"/>
          <w:numId w:val="1"/>
        </w:numPr>
        <w:spacing w:before="0" w:beforeLines="0" w:after="0" w:afterLines="0" w:line="400" w:lineRule="exact"/>
        <w:rPr>
          <w:rFonts w:ascii="宋体" w:eastAsia="宋体"/>
          <w:bCs/>
        </w:rPr>
      </w:pPr>
      <w:bookmarkStart w:id="113" w:name="_Toc227827653"/>
      <w:r>
        <w:rPr>
          <w:rFonts w:hint="eastAsia" w:ascii="宋体" w:eastAsia="宋体"/>
          <w:bCs/>
        </w:rPr>
        <w:t>土石方平衡规划应坚持“就近挖填、短距调运”原则，严禁反向运输、交叉运输和长距离无效运输；应通过调运仿真分析优化运输路线，降低运输环节碳排放；料场开采优先采用库内扩挖方案，减少库外永久征地和生态破坏。</w:t>
      </w:r>
      <w:bookmarkEnd w:id="113"/>
    </w:p>
    <w:p w14:paraId="4DF780A3">
      <w:pPr>
        <w:pStyle w:val="58"/>
        <w:numPr>
          <w:ilvl w:val="2"/>
          <w:numId w:val="1"/>
        </w:numPr>
        <w:spacing w:before="0" w:beforeLines="0" w:after="0" w:afterLines="0" w:line="400" w:lineRule="exact"/>
        <w:rPr>
          <w:rFonts w:ascii="宋体" w:eastAsia="宋体"/>
          <w:bCs/>
        </w:rPr>
      </w:pPr>
      <w:bookmarkStart w:id="114" w:name="_Toc227228973"/>
      <w:bookmarkStart w:id="115" w:name="_Toc227827654"/>
      <w:bookmarkStart w:id="116" w:name="_Toc227228567"/>
      <w:bookmarkStart w:id="117" w:name="_Toc227228928"/>
      <w:r>
        <w:rPr>
          <w:rFonts w:hint="eastAsia" w:ascii="宋体" w:eastAsia="宋体"/>
          <w:bCs/>
        </w:rPr>
        <w:t>土石方平衡设计宜把土石方总体平衡和分项平衡作为具体的实施层次，分别对不同区域和施工项目中的土石方量进行细化调控，并遵循以下原则。</w:t>
      </w:r>
      <w:bookmarkEnd w:id="114"/>
      <w:bookmarkEnd w:id="115"/>
      <w:bookmarkEnd w:id="116"/>
      <w:bookmarkEnd w:id="117"/>
    </w:p>
    <w:p w14:paraId="3ED1D0F1">
      <w:pPr>
        <w:pStyle w:val="57"/>
        <w:numPr>
          <w:ilvl w:val="3"/>
          <w:numId w:val="1"/>
        </w:numPr>
        <w:spacing w:line="400" w:lineRule="exact"/>
        <w:outlineLvl w:val="2"/>
      </w:pPr>
      <w:r>
        <w:rPr>
          <w:rFonts w:hint="eastAsia"/>
        </w:rPr>
        <w:t>总体平衡侧重于整个项目范围内的土石方供需总量。</w:t>
      </w:r>
    </w:p>
    <w:p w14:paraId="75C3560F">
      <w:pPr>
        <w:pStyle w:val="57"/>
        <w:numPr>
          <w:ilvl w:val="3"/>
          <w:numId w:val="1"/>
        </w:numPr>
        <w:spacing w:line="400" w:lineRule="exact"/>
        <w:outlineLvl w:val="2"/>
      </w:pPr>
      <w:r>
        <w:rPr>
          <w:rFonts w:hint="eastAsia"/>
        </w:rPr>
        <w:t>分项平衡宜进一步细分至多个施工单元或阶段，宜在不同的工序或区域中均能实现挖填方的局部平衡。</w:t>
      </w:r>
    </w:p>
    <w:p w14:paraId="1A9B86BC">
      <w:pPr>
        <w:pStyle w:val="58"/>
        <w:numPr>
          <w:ilvl w:val="2"/>
          <w:numId w:val="1"/>
        </w:numPr>
        <w:spacing w:before="0" w:beforeLines="0" w:after="0" w:afterLines="0" w:line="400" w:lineRule="exact"/>
        <w:rPr>
          <w:rFonts w:ascii="宋体" w:eastAsia="宋体"/>
          <w:bCs/>
        </w:rPr>
      </w:pPr>
      <w:bookmarkStart w:id="118" w:name="_Toc227228974"/>
      <w:bookmarkStart w:id="119" w:name="_Toc227827655"/>
      <w:bookmarkStart w:id="120" w:name="_Toc227228929"/>
      <w:bookmarkStart w:id="121" w:name="_Toc227228568"/>
      <w:r>
        <w:rPr>
          <w:rFonts w:hint="eastAsia" w:ascii="宋体" w:eastAsia="宋体"/>
          <w:bCs/>
        </w:rPr>
        <w:t>土石方调配常用方法主要包括线性规划法、大系统分解协调法、动态规划法、多目标决策等方法。</w:t>
      </w:r>
      <w:bookmarkEnd w:id="118"/>
      <w:bookmarkEnd w:id="119"/>
      <w:bookmarkEnd w:id="120"/>
      <w:bookmarkEnd w:id="121"/>
    </w:p>
    <w:p w14:paraId="6ADD3874">
      <w:pPr>
        <w:pStyle w:val="58"/>
        <w:numPr>
          <w:ilvl w:val="2"/>
          <w:numId w:val="1"/>
        </w:numPr>
        <w:spacing w:before="0" w:beforeLines="0" w:after="0" w:afterLines="0" w:line="400" w:lineRule="exact"/>
        <w:rPr>
          <w:rFonts w:ascii="宋体" w:eastAsia="宋体"/>
          <w:bCs/>
        </w:rPr>
      </w:pPr>
      <w:bookmarkStart w:id="122" w:name="_Toc227228569"/>
      <w:bookmarkStart w:id="123" w:name="_Toc227228930"/>
      <w:bookmarkStart w:id="124" w:name="_Toc227228975"/>
      <w:bookmarkStart w:id="125" w:name="_Toc227827656"/>
      <w:r>
        <w:rPr>
          <w:rFonts w:hint="eastAsia" w:ascii="宋体" w:eastAsia="宋体"/>
          <w:bCs/>
        </w:rPr>
        <w:t>土石方平衡设计宜留有裕度，对工程进度有一定的包容性。</w:t>
      </w:r>
      <w:bookmarkEnd w:id="122"/>
      <w:bookmarkEnd w:id="123"/>
      <w:bookmarkEnd w:id="124"/>
      <w:bookmarkEnd w:id="125"/>
    </w:p>
    <w:p w14:paraId="2D335BDD">
      <w:pPr>
        <w:pStyle w:val="58"/>
        <w:numPr>
          <w:ilvl w:val="2"/>
          <w:numId w:val="1"/>
        </w:numPr>
        <w:spacing w:before="0" w:beforeLines="0" w:after="0" w:afterLines="0" w:line="400" w:lineRule="exact"/>
        <w:rPr>
          <w:rFonts w:ascii="宋体" w:eastAsia="宋体"/>
          <w:bCs/>
        </w:rPr>
      </w:pPr>
      <w:bookmarkStart w:id="126" w:name="_Toc227827657"/>
      <w:r>
        <w:rPr>
          <w:rFonts w:hint="eastAsia" w:ascii="宋体" w:eastAsia="宋体"/>
          <w:bCs/>
        </w:rPr>
        <w:t>严禁在生态保护红线、永久基本农田、饮用水源保护区内设置永久料场和弃渣场；临时料场、转存场、弃渣场应严格执行“先拦后弃、分层碾压、同步生态修复”的要求，生态修复方案应与土石方平衡设计同步编制，明确表土剥离、堆存、利用及植被恢复的时序和标准。</w:t>
      </w:r>
      <w:bookmarkEnd w:id="126"/>
    </w:p>
    <w:p w14:paraId="14049F4A">
      <w:pPr>
        <w:pStyle w:val="56"/>
        <w:numPr>
          <w:ilvl w:val="1"/>
          <w:numId w:val="1"/>
        </w:numPr>
        <w:spacing w:before="240" w:after="240"/>
      </w:pPr>
      <w:bookmarkStart w:id="127" w:name="_Toc227827658"/>
      <w:r>
        <w:rPr>
          <w:rFonts w:hint="eastAsia"/>
        </w:rPr>
        <w:t>土石方平衡规划</w:t>
      </w:r>
      <w:bookmarkEnd w:id="127"/>
    </w:p>
    <w:p w14:paraId="7B92653E">
      <w:pPr>
        <w:pStyle w:val="58"/>
        <w:numPr>
          <w:ilvl w:val="2"/>
          <w:numId w:val="1"/>
        </w:numPr>
        <w:spacing w:before="0" w:beforeLines="0" w:after="0" w:afterLines="0" w:line="400" w:lineRule="exact"/>
        <w:rPr>
          <w:rFonts w:ascii="宋体" w:eastAsia="宋体"/>
          <w:bCs/>
        </w:rPr>
      </w:pPr>
      <w:bookmarkStart w:id="128" w:name="_Toc227827659"/>
      <w:r>
        <w:rPr>
          <w:rFonts w:hint="eastAsia" w:ascii="宋体" w:eastAsia="宋体"/>
          <w:bCs/>
        </w:rPr>
        <w:t>土石方平衡规划应符合下列要求。</w:t>
      </w:r>
      <w:bookmarkEnd w:id="128"/>
    </w:p>
    <w:p w14:paraId="6BC93F77">
      <w:pPr>
        <w:pStyle w:val="57"/>
        <w:numPr>
          <w:ilvl w:val="3"/>
          <w:numId w:val="1"/>
        </w:numPr>
        <w:spacing w:line="400" w:lineRule="exact"/>
        <w:outlineLvl w:val="2"/>
      </w:pPr>
      <w:r>
        <w:rPr>
          <w:rFonts w:hint="eastAsia"/>
        </w:rPr>
        <w:t>工程开挖有用料计算应根据坝料分区、混凝土骨料等要求，按岩性、岩层、构造、风化特性及强度指标等分别计算开挖有用量。</w:t>
      </w:r>
    </w:p>
    <w:p w14:paraId="21314E35">
      <w:pPr>
        <w:pStyle w:val="57"/>
        <w:numPr>
          <w:ilvl w:val="3"/>
          <w:numId w:val="1"/>
        </w:numPr>
        <w:spacing w:line="400" w:lineRule="exact"/>
        <w:outlineLvl w:val="2"/>
      </w:pPr>
      <w:r>
        <w:rPr>
          <w:rFonts w:hint="eastAsia"/>
        </w:rPr>
        <w:t>土石方平衡规划应根据施工分区、施工进度及料源规划，进行物料平衡及调配分析，确定直接利用量、转存量、弃渣量。</w:t>
      </w:r>
    </w:p>
    <w:p w14:paraId="13D202DE">
      <w:pPr>
        <w:pStyle w:val="57"/>
        <w:numPr>
          <w:ilvl w:val="3"/>
          <w:numId w:val="1"/>
        </w:numPr>
        <w:spacing w:line="400" w:lineRule="exact"/>
        <w:outlineLvl w:val="2"/>
      </w:pPr>
      <w:r>
        <w:rPr>
          <w:rFonts w:hint="eastAsia"/>
        </w:rPr>
        <w:t>工程开挖料宜用于坝体填筑、混凝土骨料制备、坝后压坡、场地平整等，宜不设或少设渣场。电站周边地方建设有需求时，开挖弃料可考虑外运消纳。</w:t>
      </w:r>
    </w:p>
    <w:p w14:paraId="3665EF4D">
      <w:pPr>
        <w:pStyle w:val="57"/>
        <w:numPr>
          <w:ilvl w:val="3"/>
          <w:numId w:val="1"/>
        </w:numPr>
        <w:spacing w:line="400" w:lineRule="exact"/>
        <w:outlineLvl w:val="2"/>
      </w:pPr>
      <w:r>
        <w:rPr>
          <w:rFonts w:hint="eastAsia"/>
        </w:rPr>
        <w:t>堆石料、排水料、块石料料源宜利用库盆开挖料。过渡料宜利用工程洞室开挖料或采用控制爆破的明挖石料。反滤料或垫层料宜采用砂石加工系统加工，也可采用天然砂砾料。</w:t>
      </w:r>
    </w:p>
    <w:p w14:paraId="2B842E6B">
      <w:pPr>
        <w:pStyle w:val="57"/>
        <w:numPr>
          <w:ilvl w:val="3"/>
          <w:numId w:val="1"/>
        </w:numPr>
        <w:spacing w:line="400" w:lineRule="exact"/>
        <w:outlineLvl w:val="2"/>
      </w:pPr>
      <w:r>
        <w:rPr>
          <w:rFonts w:hint="eastAsia"/>
        </w:rPr>
        <w:t>统筹规划物料流向，提高开挖料直接利用率，减少物料倒运、转存，宜做到料尽其用。</w:t>
      </w:r>
    </w:p>
    <w:p w14:paraId="3BD8A018">
      <w:pPr>
        <w:pStyle w:val="58"/>
        <w:numPr>
          <w:ilvl w:val="2"/>
          <w:numId w:val="1"/>
        </w:numPr>
        <w:spacing w:before="0" w:beforeLines="0" w:after="0" w:afterLines="0" w:line="400" w:lineRule="exact"/>
        <w:rPr>
          <w:rFonts w:ascii="宋体" w:eastAsia="宋体"/>
          <w:bCs/>
        </w:rPr>
      </w:pPr>
      <w:bookmarkStart w:id="129" w:name="_Toc227827660"/>
      <w:r>
        <w:rPr>
          <w:rFonts w:hint="eastAsia" w:ascii="宋体" w:eastAsia="宋体"/>
          <w:bCs/>
        </w:rPr>
        <w:t>土石方平衡规划应综合考虑各弃渣场位置、容量、开挖料利用要求、出渣运距及中转料回采利用等因素，结合环保、水保要求进行，主要包括以下内容。</w:t>
      </w:r>
      <w:bookmarkEnd w:id="129"/>
    </w:p>
    <w:p w14:paraId="2BC9CE8F">
      <w:pPr>
        <w:pStyle w:val="57"/>
        <w:numPr>
          <w:ilvl w:val="3"/>
          <w:numId w:val="1"/>
        </w:numPr>
        <w:spacing w:line="400" w:lineRule="exact"/>
        <w:outlineLvl w:val="2"/>
      </w:pPr>
      <w:r>
        <w:rPr>
          <w:rFonts w:hint="eastAsia"/>
        </w:rPr>
        <w:t>根据工程开挖区的地形地质条件、开挖料的质量特性和工程建筑材料的技术要求，坝体填筑料和混凝土骨料料源宜优先利用工程开挖料。</w:t>
      </w:r>
    </w:p>
    <w:p w14:paraId="69270F86">
      <w:pPr>
        <w:pStyle w:val="57"/>
        <w:numPr>
          <w:ilvl w:val="3"/>
          <w:numId w:val="1"/>
        </w:numPr>
        <w:spacing w:line="400" w:lineRule="exact"/>
        <w:outlineLvl w:val="2"/>
      </w:pPr>
      <w:r>
        <w:rPr>
          <w:rFonts w:hint="eastAsia"/>
        </w:rPr>
        <w:t>分析各部位施工进度计划，工程开挖有用料优先考虑直接上坝，减少周转渣料数量。</w:t>
      </w:r>
    </w:p>
    <w:p w14:paraId="4182E5FD">
      <w:pPr>
        <w:pStyle w:val="57"/>
        <w:numPr>
          <w:ilvl w:val="3"/>
          <w:numId w:val="1"/>
        </w:numPr>
        <w:spacing w:line="400" w:lineRule="exact"/>
        <w:outlineLvl w:val="2"/>
      </w:pPr>
      <w:r>
        <w:rPr>
          <w:rFonts w:hint="eastAsia"/>
        </w:rPr>
        <w:t>根据工程开挖料利用要求，合理规划转存场和弃渣场，优化有用料和弃渣料运输路径、缩短运输距离。转存场应减少或避免反向运输。</w:t>
      </w:r>
    </w:p>
    <w:p w14:paraId="599E19F1">
      <w:pPr>
        <w:pStyle w:val="58"/>
        <w:numPr>
          <w:ilvl w:val="2"/>
          <w:numId w:val="1"/>
        </w:numPr>
        <w:spacing w:before="0" w:beforeLines="0" w:after="0" w:afterLines="0" w:line="400" w:lineRule="exact"/>
        <w:rPr>
          <w:rFonts w:ascii="宋体" w:eastAsia="宋体"/>
          <w:bCs/>
        </w:rPr>
      </w:pPr>
      <w:bookmarkStart w:id="130" w:name="_Toc227827661"/>
      <w:r>
        <w:rPr>
          <w:rFonts w:hint="eastAsia" w:ascii="宋体" w:eastAsia="宋体"/>
          <w:bCs/>
        </w:rPr>
        <w:t>工程的填筑料、混凝土骨料及沥青混凝土骨料等料源规划，应根据各种物料的质量和数量需求，宜按上水库施工区域、下水库施工区域进行料源规划和土石方平衡。</w:t>
      </w:r>
      <w:bookmarkEnd w:id="130"/>
    </w:p>
    <w:p w14:paraId="2C6FD86E">
      <w:pPr>
        <w:pStyle w:val="58"/>
        <w:numPr>
          <w:ilvl w:val="2"/>
          <w:numId w:val="1"/>
        </w:numPr>
        <w:spacing w:before="0" w:beforeLines="0" w:after="0" w:afterLines="0" w:line="400" w:lineRule="exact"/>
        <w:rPr>
          <w:rFonts w:ascii="宋体" w:eastAsia="宋体"/>
          <w:bCs/>
        </w:rPr>
      </w:pPr>
      <w:bookmarkStart w:id="131" w:name="_Toc227827662"/>
      <w:r>
        <w:rPr>
          <w:rFonts w:hint="eastAsia" w:ascii="宋体" w:eastAsia="宋体"/>
          <w:bCs/>
        </w:rPr>
        <w:t>根据各种开挖料的性状，合理确定弃渣松散系数和填筑料压实系数，以及工程开挖有用料总利用量和总弃渣量。根据开挖利用料来源和施工特点，合理计入各种施工作业损耗。</w:t>
      </w:r>
      <w:bookmarkEnd w:id="131"/>
    </w:p>
    <w:p w14:paraId="64B16AAE">
      <w:pPr>
        <w:pStyle w:val="58"/>
        <w:numPr>
          <w:ilvl w:val="2"/>
          <w:numId w:val="1"/>
        </w:numPr>
        <w:spacing w:before="0" w:beforeLines="0" w:after="0" w:afterLines="0" w:line="400" w:lineRule="exact"/>
        <w:rPr>
          <w:rFonts w:ascii="宋体" w:eastAsia="宋体"/>
          <w:bCs/>
        </w:rPr>
      </w:pPr>
      <w:bookmarkStart w:id="132" w:name="_Toc227827663"/>
      <w:r>
        <w:rPr>
          <w:rFonts w:hint="eastAsia" w:ascii="宋体" w:eastAsia="宋体"/>
          <w:bCs/>
        </w:rPr>
        <w:t>土石方平衡规划应说明各类填筑体自然方、填筑方、松方等的折方系数和损耗补偿系数选取依据。</w:t>
      </w:r>
      <w:bookmarkEnd w:id="132"/>
    </w:p>
    <w:p w14:paraId="32E69992">
      <w:pPr>
        <w:pStyle w:val="58"/>
        <w:numPr>
          <w:ilvl w:val="2"/>
          <w:numId w:val="1"/>
        </w:numPr>
        <w:spacing w:before="0" w:beforeLines="0" w:after="0" w:afterLines="0" w:line="400" w:lineRule="exact"/>
        <w:rPr>
          <w:rFonts w:ascii="宋体" w:eastAsia="宋体"/>
          <w:bCs/>
        </w:rPr>
      </w:pPr>
      <w:bookmarkStart w:id="133" w:name="_Toc227827664"/>
      <w:r>
        <w:rPr>
          <w:rFonts w:hint="eastAsia" w:ascii="宋体" w:eastAsia="宋体"/>
          <w:bCs/>
        </w:rPr>
        <w:t>土石方平衡设计成果应包括下列内容。</w:t>
      </w:r>
      <w:bookmarkEnd w:id="133"/>
    </w:p>
    <w:p w14:paraId="133A34A9">
      <w:pPr>
        <w:pStyle w:val="57"/>
        <w:numPr>
          <w:ilvl w:val="3"/>
          <w:numId w:val="1"/>
        </w:numPr>
        <w:spacing w:line="400" w:lineRule="exact"/>
        <w:outlineLvl w:val="2"/>
      </w:pPr>
      <w:r>
        <w:rPr>
          <w:rFonts w:hint="eastAsia"/>
        </w:rPr>
        <w:t>各类土石方明挖、洞挖量；填筑体种类和工程量；混凝土种类和工程量；弃渣量。</w:t>
      </w:r>
    </w:p>
    <w:p w14:paraId="74523A5B">
      <w:pPr>
        <w:pStyle w:val="57"/>
        <w:numPr>
          <w:ilvl w:val="3"/>
          <w:numId w:val="1"/>
        </w:numPr>
        <w:spacing w:line="400" w:lineRule="exact"/>
        <w:outlineLvl w:val="2"/>
      </w:pPr>
      <w:r>
        <w:rPr>
          <w:rFonts w:hint="eastAsia"/>
        </w:rPr>
        <w:t>开挖料利用量和弃渣量；有用料直接利用量和转存利用量。</w:t>
      </w:r>
    </w:p>
    <w:p w14:paraId="4D1723AC">
      <w:pPr>
        <w:pStyle w:val="57"/>
        <w:numPr>
          <w:ilvl w:val="3"/>
          <w:numId w:val="1"/>
        </w:numPr>
        <w:spacing w:line="400" w:lineRule="exact"/>
        <w:outlineLvl w:val="2"/>
      </w:pPr>
      <w:r>
        <w:rPr>
          <w:rFonts w:hint="eastAsia"/>
        </w:rPr>
        <w:t>料场（扩库开挖）开采量和剥离料。</w:t>
      </w:r>
    </w:p>
    <w:p w14:paraId="3DAC7E88">
      <w:pPr>
        <w:pStyle w:val="57"/>
        <w:numPr>
          <w:ilvl w:val="3"/>
          <w:numId w:val="1"/>
        </w:numPr>
        <w:spacing w:line="400" w:lineRule="exact"/>
        <w:outlineLvl w:val="2"/>
      </w:pPr>
      <w:r>
        <w:rPr>
          <w:rFonts w:hint="eastAsia"/>
        </w:rPr>
        <w:t>弃渣场堆存量，转存场总计转存量、高峰堆存量及回采量。</w:t>
      </w:r>
    </w:p>
    <w:p w14:paraId="7B3980F0">
      <w:pPr>
        <w:pStyle w:val="56"/>
        <w:numPr>
          <w:ilvl w:val="1"/>
          <w:numId w:val="1"/>
        </w:numPr>
        <w:spacing w:before="240" w:after="240"/>
      </w:pPr>
      <w:bookmarkStart w:id="134" w:name="_Toc227827665"/>
      <w:r>
        <w:rPr>
          <w:rFonts w:hint="eastAsia"/>
        </w:rPr>
        <w:t>料源选择与规划</w:t>
      </w:r>
      <w:bookmarkEnd w:id="134"/>
    </w:p>
    <w:p w14:paraId="7ECC92AD">
      <w:pPr>
        <w:pStyle w:val="58"/>
        <w:numPr>
          <w:ilvl w:val="2"/>
          <w:numId w:val="1"/>
        </w:numPr>
        <w:spacing w:before="120" w:after="120"/>
        <w:rPr>
          <w:rFonts w:ascii="宋体" w:eastAsia="宋体"/>
          <w:bCs/>
        </w:rPr>
      </w:pPr>
      <w:bookmarkStart w:id="135" w:name="_Toc227827666"/>
      <w:bookmarkStart w:id="136" w:name="_Toc24245"/>
      <w:r>
        <w:rPr>
          <w:rFonts w:hint="eastAsia" w:ascii="宋体" w:eastAsia="宋体"/>
          <w:bCs/>
        </w:rPr>
        <w:t>一般规定</w:t>
      </w:r>
      <w:bookmarkEnd w:id="135"/>
    </w:p>
    <w:p w14:paraId="12CA3A56">
      <w:pPr>
        <w:pStyle w:val="57"/>
        <w:numPr>
          <w:ilvl w:val="3"/>
          <w:numId w:val="1"/>
        </w:numPr>
        <w:spacing w:line="400" w:lineRule="exact"/>
        <w:outlineLvl w:val="2"/>
      </w:pPr>
      <w:r>
        <w:rPr>
          <w:rFonts w:hint="eastAsia"/>
        </w:rPr>
        <w:t>抽水蓄能电站工程天然建筑材料的料源包括工程开挖料，石料场及天然砂砾料场、土料场开采料，天然建材的质量、储量应符合现行行业标准NB/T 10238的有关规定。</w:t>
      </w:r>
    </w:p>
    <w:p w14:paraId="301C586A">
      <w:pPr>
        <w:pStyle w:val="57"/>
        <w:numPr>
          <w:ilvl w:val="3"/>
          <w:numId w:val="1"/>
        </w:numPr>
        <w:spacing w:line="400" w:lineRule="exact"/>
        <w:outlineLvl w:val="2"/>
      </w:pPr>
      <w:r>
        <w:rPr>
          <w:rFonts w:hint="eastAsia"/>
        </w:rPr>
        <w:t>天然建筑材料的料源应包括工程开挖料和土料场、天然砂砾料场及石料场的开采料。料源应根据水电工程建设对各种天然建筑材料的数量、质量及供应强度要求，在地质勘察和试验的基础上，通过对料源的分布、储量、质量及开采运输条件的综合分析和物料平衡规划，按优质、经济、环保、节能等基本原则，经技术经济比较选定。</w:t>
      </w:r>
    </w:p>
    <w:p w14:paraId="1904A8EC">
      <w:pPr>
        <w:pStyle w:val="57"/>
        <w:numPr>
          <w:ilvl w:val="3"/>
          <w:numId w:val="1"/>
        </w:numPr>
        <w:spacing w:line="400" w:lineRule="exact"/>
        <w:outlineLvl w:val="2"/>
      </w:pPr>
      <w:r>
        <w:rPr>
          <w:rFonts w:hint="eastAsia"/>
        </w:rPr>
        <w:t>料源选择应遵循下列原则。</w:t>
      </w:r>
    </w:p>
    <w:p w14:paraId="391D15C9">
      <w:pPr>
        <w:spacing w:line="400" w:lineRule="exact"/>
        <w:outlineLvl w:val="3"/>
        <w:rPr>
          <w:rFonts w:ascii="宋体" w:hAnsi="宋体" w:eastAsia="宋体"/>
        </w:rPr>
      </w:pPr>
      <w:r>
        <w:rPr>
          <w:rFonts w:hint="eastAsia" w:ascii="宋体" w:hAnsi="宋体" w:eastAsia="宋体"/>
        </w:rPr>
        <w:t>7.1.3.1 料源规划应与工程枢纽布置比选同步进行。上下水库工程填筑料、混凝土骨料及沥青混凝土骨料等料源规划，应根据各种物料的质量和数量需求，优先考虑分区进行土石方平衡，充分利用工程开挖料。</w:t>
      </w:r>
    </w:p>
    <w:p w14:paraId="0240B5A6">
      <w:pPr>
        <w:spacing w:line="400" w:lineRule="exact"/>
        <w:outlineLvl w:val="3"/>
        <w:rPr>
          <w:rFonts w:ascii="宋体" w:hAnsi="宋体" w:eastAsia="宋体"/>
        </w:rPr>
      </w:pPr>
      <w:r>
        <w:rPr>
          <w:rFonts w:hint="eastAsia" w:ascii="宋体" w:hAnsi="宋体" w:eastAsia="宋体"/>
        </w:rPr>
        <w:t>7.1.3.2 优先利用工程开挖料。当工程开挖料不满足工程用料要求时，可考虑在上、下水库扩库开挖或其他工程部位扩挖以增加开挖有用料；当工程扩挖不能满足工程用料要求时，可外购满足要求的天然建筑材料；最后选择开采工程区外的料场进行补充。工程区外料场的选择和使用应按有关要求办理手续；采用外购料源时，其料源的储量、质量及供应能力应满足工程需要。</w:t>
      </w:r>
    </w:p>
    <w:p w14:paraId="4C246C4C">
      <w:pPr>
        <w:spacing w:line="400" w:lineRule="exact"/>
        <w:outlineLvl w:val="3"/>
        <w:rPr>
          <w:rFonts w:ascii="宋体" w:hAnsi="宋体" w:eastAsia="宋体"/>
        </w:rPr>
      </w:pPr>
      <w:r>
        <w:rPr>
          <w:rFonts w:hint="eastAsia" w:ascii="宋体" w:hAnsi="宋体" w:eastAsia="宋体"/>
        </w:rPr>
        <w:t>7.1.3.3 料源选择宜先近后远，先库盆内开挖料，后库盆外料场，先水上后水下，力求高料高用，低料低用，减少物料运距。</w:t>
      </w:r>
    </w:p>
    <w:p w14:paraId="71B9FC15">
      <w:pPr>
        <w:spacing w:line="400" w:lineRule="exact"/>
        <w:outlineLvl w:val="3"/>
        <w:rPr>
          <w:rFonts w:ascii="宋体" w:hAnsi="宋体" w:eastAsia="宋体"/>
        </w:rPr>
      </w:pPr>
      <w:r>
        <w:rPr>
          <w:rFonts w:hint="eastAsia" w:ascii="宋体" w:hAnsi="宋体" w:eastAsia="宋体"/>
        </w:rPr>
        <w:t>7.1.3.4 新鲜完整、单轴饱和抗压强度≥40MPa，且经试验满足混凝土性能要求的地下洞室开挖料，应优先用于混凝土骨料加工。</w:t>
      </w:r>
    </w:p>
    <w:p w14:paraId="638BF751">
      <w:pPr>
        <w:spacing w:line="400" w:lineRule="exact"/>
        <w:outlineLvl w:val="3"/>
        <w:rPr>
          <w:rFonts w:ascii="宋体" w:hAnsi="宋体" w:eastAsia="宋体"/>
        </w:rPr>
      </w:pPr>
      <w:r>
        <w:rPr>
          <w:rFonts w:hint="eastAsia" w:ascii="宋体" w:hAnsi="宋体" w:eastAsia="宋体"/>
        </w:rPr>
        <w:t>7.1.3.5 弱风化至微风化、级配良好的开挖料，宜优先用于坝体垫层料、过渡料和主堆石区填筑。</w:t>
      </w:r>
    </w:p>
    <w:p w14:paraId="6D3EF858">
      <w:pPr>
        <w:spacing w:line="400" w:lineRule="exact"/>
        <w:outlineLvl w:val="3"/>
        <w:rPr>
          <w:rFonts w:ascii="宋体" w:hAnsi="宋体" w:eastAsia="宋体"/>
        </w:rPr>
      </w:pPr>
      <w:r>
        <w:rPr>
          <w:rFonts w:hint="eastAsia" w:ascii="宋体" w:hAnsi="宋体" w:eastAsia="宋体"/>
        </w:rPr>
        <w:t>7.1.3.6 强风化岩、软质岩料，经专项试验论证满足设计指标后，应梯级用于次堆石区、库盆回填、场地平整和路基填筑。</w:t>
      </w:r>
    </w:p>
    <w:p w14:paraId="411976F0">
      <w:pPr>
        <w:spacing w:line="400" w:lineRule="exact"/>
        <w:outlineLvl w:val="3"/>
        <w:rPr>
          <w:rFonts w:ascii="宋体" w:hAnsi="宋体" w:eastAsia="宋体"/>
        </w:rPr>
      </w:pPr>
      <w:r>
        <w:rPr>
          <w:rFonts w:hint="eastAsia" w:ascii="宋体" w:hAnsi="宋体" w:eastAsia="宋体"/>
        </w:rPr>
        <w:t>7.1.3.7 主体工程无法利用的弃渣，应优先对接地方基础设施、生态修复等工程外运消纳，严禁无正当理由随意弃渣。</w:t>
      </w:r>
    </w:p>
    <w:p w14:paraId="3E85B229">
      <w:pPr>
        <w:pStyle w:val="58"/>
        <w:numPr>
          <w:ilvl w:val="2"/>
          <w:numId w:val="1"/>
        </w:numPr>
        <w:spacing w:before="0" w:beforeLines="0" w:after="0" w:afterLines="0" w:line="400" w:lineRule="exact"/>
        <w:rPr>
          <w:rFonts w:ascii="宋体" w:eastAsia="宋体"/>
          <w:bCs/>
        </w:rPr>
      </w:pPr>
      <w:bookmarkStart w:id="137" w:name="_Toc227827667"/>
      <w:r>
        <w:rPr>
          <w:rFonts w:hint="eastAsia" w:ascii="宋体" w:eastAsia="宋体"/>
          <w:bCs/>
        </w:rPr>
        <w:t>料源选择</w:t>
      </w:r>
      <w:bookmarkEnd w:id="137"/>
    </w:p>
    <w:p w14:paraId="72C045A4">
      <w:pPr>
        <w:pStyle w:val="57"/>
        <w:numPr>
          <w:ilvl w:val="3"/>
          <w:numId w:val="1"/>
        </w:numPr>
        <w:spacing w:line="400" w:lineRule="exact"/>
        <w:outlineLvl w:val="2"/>
      </w:pPr>
      <w:r>
        <w:rPr>
          <w:rFonts w:hint="eastAsia"/>
        </w:rPr>
        <w:t>混凝土骨料料源选择应满足下列要求。</w:t>
      </w:r>
    </w:p>
    <w:p w14:paraId="07AAF37C">
      <w:pPr>
        <w:spacing w:line="400" w:lineRule="exact"/>
        <w:outlineLvl w:val="3"/>
        <w:rPr>
          <w:rFonts w:ascii="宋体" w:hAnsi="宋体" w:eastAsia="宋体"/>
        </w:rPr>
      </w:pPr>
      <w:r>
        <w:rPr>
          <w:rFonts w:hint="eastAsia" w:ascii="宋体" w:hAnsi="宋体" w:eastAsia="宋体"/>
        </w:rPr>
        <w:t>7.2.1.1 混凝土骨料宜选择同一种岩性的料源，若单一岩性的料源不满足需要时可选择不同岩性的料源进行组合，采用组合料源时应经过技术经济比较后确定。不同岩性骨料配制的混凝土应进行混凝土配合比及性能试验。</w:t>
      </w:r>
    </w:p>
    <w:p w14:paraId="2E8A3B24">
      <w:pPr>
        <w:spacing w:line="400" w:lineRule="exact"/>
        <w:outlineLvl w:val="3"/>
        <w:rPr>
          <w:rFonts w:ascii="宋体" w:hAnsi="宋体" w:eastAsia="宋体"/>
        </w:rPr>
      </w:pPr>
      <w:r>
        <w:rPr>
          <w:rFonts w:hint="eastAsia" w:ascii="宋体" w:hAnsi="宋体" w:eastAsia="宋体"/>
        </w:rPr>
        <w:t>7.2.1.2 骨料原岩的饱和抗压强度应大于40MPa。对于高强混凝土，粗骨料的岩石抗压强度应至少比混凝土设计强度高30%。高强度等级或有特殊要求的混凝土骨料强度应按设计要求确定。</w:t>
      </w:r>
    </w:p>
    <w:p w14:paraId="5DC70698">
      <w:pPr>
        <w:spacing w:line="400" w:lineRule="exact"/>
        <w:outlineLvl w:val="3"/>
        <w:rPr>
          <w:rFonts w:ascii="宋体" w:hAnsi="宋体" w:eastAsia="宋体"/>
        </w:rPr>
      </w:pPr>
      <w:r>
        <w:rPr>
          <w:rFonts w:hint="eastAsia" w:ascii="宋体" w:hAnsi="宋体" w:eastAsia="宋体"/>
        </w:rPr>
        <w:t>7.2.1.3 混凝土骨料的料源应进行骨料碱活性试验。碱活性试验应符合现行行业标准《水工混凝土砂石骨料试验规程》DL/T 5151和《水工混凝土耐久性技术规范》DL/T 5241的规定，宜采用多种试验方法。主体工程混凝土骨料不应选用具有碱-碳酸盐反应活性的骨料料源；选用具有潜在碱-硅酸反应的骨料料源时，应经过专门论证，并采取抑制骨料碱活性的有效措施。</w:t>
      </w:r>
    </w:p>
    <w:p w14:paraId="750932A2">
      <w:pPr>
        <w:spacing w:line="400" w:lineRule="exact"/>
        <w:outlineLvl w:val="3"/>
        <w:rPr>
          <w:rFonts w:ascii="宋体" w:hAnsi="宋体" w:eastAsia="宋体"/>
        </w:rPr>
      </w:pPr>
      <w:r>
        <w:rPr>
          <w:rFonts w:hint="eastAsia" w:ascii="宋体" w:hAnsi="宋体" w:eastAsia="宋体"/>
        </w:rPr>
        <w:t>7.2.1.4 混凝土人工骨料宜选用线膨胀系数小、破碎后粒形良好且硬度适中的岩石作为料源。采用节理裂隙发育，特别是隐节理发育的石料，或云母含量高的石料加工骨料时，应进行试验认证并应提出有效的工艺措施。</w:t>
      </w:r>
    </w:p>
    <w:p w14:paraId="460098AA">
      <w:pPr>
        <w:spacing w:line="400" w:lineRule="exact"/>
        <w:outlineLvl w:val="3"/>
        <w:rPr>
          <w:rFonts w:ascii="宋体" w:hAnsi="宋体" w:eastAsia="宋体"/>
        </w:rPr>
      </w:pPr>
      <w:r>
        <w:rPr>
          <w:rFonts w:hint="eastAsia" w:ascii="宋体" w:hAnsi="宋体" w:eastAsia="宋体"/>
        </w:rPr>
        <w:t>7.2.1.5 沥青混凝土粗细骨料和填料料源宜选择石灰岩、白云岩、大理岩等碱性岩石加工，工程区无合适的沥青骨料料源时，宜选择外购半成品骨料作为料源。采用非碱性骨料应专门论证。</w:t>
      </w:r>
    </w:p>
    <w:p w14:paraId="53C20722">
      <w:pPr>
        <w:spacing w:line="400" w:lineRule="exact"/>
        <w:outlineLvl w:val="3"/>
        <w:rPr>
          <w:rFonts w:ascii="宋体" w:hAnsi="宋体" w:eastAsia="宋体"/>
        </w:rPr>
      </w:pPr>
      <w:r>
        <w:rPr>
          <w:rFonts w:hint="eastAsia" w:ascii="宋体" w:hAnsi="宋体" w:eastAsia="宋体"/>
        </w:rPr>
        <w:t>7.2.1.6 混凝土骨料宜选用工程洞挖料，不足部分可由明挖料提供。</w:t>
      </w:r>
    </w:p>
    <w:p w14:paraId="50CD4F4A">
      <w:pPr>
        <w:pStyle w:val="57"/>
        <w:numPr>
          <w:ilvl w:val="3"/>
          <w:numId w:val="1"/>
        </w:numPr>
        <w:spacing w:line="400" w:lineRule="exact"/>
        <w:outlineLvl w:val="2"/>
      </w:pPr>
      <w:r>
        <w:rPr>
          <w:rFonts w:hint="eastAsia"/>
        </w:rPr>
        <w:t>填筑石料料源选择应满足下列要求。</w:t>
      </w:r>
    </w:p>
    <w:p w14:paraId="7E1DF575">
      <w:pPr>
        <w:spacing w:line="400" w:lineRule="exact"/>
        <w:outlineLvl w:val="3"/>
        <w:rPr>
          <w:rFonts w:ascii="宋体" w:hAnsi="宋体" w:eastAsia="宋体"/>
        </w:rPr>
      </w:pPr>
      <w:r>
        <w:rPr>
          <w:rFonts w:hint="eastAsia" w:ascii="宋体" w:hAnsi="宋体" w:eastAsia="宋体"/>
        </w:rPr>
        <w:t>7.2.2.1 填筑石料可分为堆石料、反滤料、垫层料、过渡料、工程回填石料和砌石料等，其料源包括工程开挖料、外购料场石料、石料场开采料。</w:t>
      </w:r>
    </w:p>
    <w:p w14:paraId="6B61345E">
      <w:pPr>
        <w:spacing w:line="400" w:lineRule="exact"/>
        <w:outlineLvl w:val="3"/>
        <w:rPr>
          <w:rFonts w:ascii="宋体" w:hAnsi="宋体" w:eastAsia="宋体"/>
        </w:rPr>
      </w:pPr>
      <w:r>
        <w:rPr>
          <w:rFonts w:hint="eastAsia" w:ascii="宋体" w:hAnsi="宋体" w:eastAsia="宋体"/>
        </w:rPr>
        <w:t>7.2.2.2 利用工程开挖料时，开挖料物料的质量、粒径及级配应满足填筑料特性要求，并应按各分区填筑料质量要求选择料源。</w:t>
      </w:r>
    </w:p>
    <w:p w14:paraId="316ABC25">
      <w:pPr>
        <w:spacing w:line="400" w:lineRule="exact"/>
        <w:outlineLvl w:val="3"/>
        <w:rPr>
          <w:rFonts w:ascii="宋体" w:hAnsi="宋体" w:eastAsia="宋体"/>
        </w:rPr>
      </w:pPr>
      <w:r>
        <w:rPr>
          <w:rFonts w:hint="eastAsia" w:ascii="宋体" w:hAnsi="宋体" w:eastAsia="宋体"/>
        </w:rPr>
        <w:t>7.2.2.3 从石料场开采堆石料时，应选择剥采比小、边坡支护工程量较小、上坝运输距离较短、开采道路和上坝道路较易修建的料场。</w:t>
      </w:r>
    </w:p>
    <w:p w14:paraId="0F23E437">
      <w:pPr>
        <w:spacing w:line="400" w:lineRule="exact"/>
        <w:outlineLvl w:val="3"/>
        <w:rPr>
          <w:rFonts w:ascii="宋体" w:hAnsi="宋体" w:eastAsia="宋体"/>
        </w:rPr>
      </w:pPr>
      <w:r>
        <w:rPr>
          <w:rFonts w:hint="eastAsia" w:ascii="宋体" w:hAnsi="宋体" w:eastAsia="宋体"/>
        </w:rPr>
        <w:t>7.2.2.4 堆石料、排水料、块石料料源应优先利用库盆开挖料。过渡料宜利用工程洞室开挖料或采用控制爆破的工程明挖石料。反滤料或垫层料宜利用工程地下洞室开挖料加工，不足部分采用库盆开挖料或其他部位明挖石料加工制备。</w:t>
      </w:r>
    </w:p>
    <w:p w14:paraId="75526EA0">
      <w:pPr>
        <w:spacing w:line="400" w:lineRule="exact"/>
        <w:outlineLvl w:val="3"/>
        <w:rPr>
          <w:rFonts w:ascii="宋体" w:hAnsi="宋体" w:eastAsia="宋体"/>
        </w:rPr>
      </w:pPr>
      <w:r>
        <w:rPr>
          <w:rFonts w:hint="eastAsia" w:ascii="宋体" w:hAnsi="宋体" w:eastAsia="宋体"/>
        </w:rPr>
        <w:t>7.2.2.5 软质岩料渗透性等指标不满足排水要求时，应进行土石方平衡试算。若按初始质量要求试算存在大量弃渣，应研究充分利用该部分料源的技术方案，并采取相应的工程措施确保坝体渗透稳定等性能满足设计要求。相关利用方案及工程措施应在平衡计算中予以体现。软质岩料利用方案应同步明确填筑分区、压实标准、沉降控制、防渗防护及排水设计等配套措施；采用硬岩与软质岩掺配方案时，应明确掺配比例、现场拌和工艺和质量检测标准，经专项技术论证后纳入土石方平衡计算。</w:t>
      </w:r>
    </w:p>
    <w:p w14:paraId="5D2AE51E">
      <w:pPr>
        <w:spacing w:line="400" w:lineRule="exact"/>
        <w:outlineLvl w:val="3"/>
        <w:rPr>
          <w:rFonts w:ascii="宋体" w:hAnsi="宋体" w:eastAsia="宋体"/>
        </w:rPr>
      </w:pPr>
      <w:r>
        <w:rPr>
          <w:rFonts w:hint="eastAsia" w:ascii="宋体" w:hAnsi="宋体" w:eastAsia="宋体"/>
        </w:rPr>
        <w:t>7.2.2.6 应遵循“料尽其用”原则，对可利用的软岩料进行专项评价，通过掺配试验（如硬岩与软岩的掺配比例试验）研究其用于填筑的可行性。经论证确定可利用的软岩料及其掺配比例后，应在土石方平衡计算中相应调整填筑料的需求量。</w:t>
      </w:r>
    </w:p>
    <w:p w14:paraId="1C2B94BB">
      <w:pPr>
        <w:spacing w:line="400" w:lineRule="exact"/>
        <w:outlineLvl w:val="3"/>
        <w:rPr>
          <w:rFonts w:ascii="宋体" w:hAnsi="宋体" w:eastAsia="宋体"/>
        </w:rPr>
      </w:pPr>
      <w:r>
        <w:rPr>
          <w:rFonts w:hint="eastAsia" w:ascii="宋体" w:hAnsi="宋体" w:eastAsia="宋体"/>
        </w:rPr>
        <w:t>7.2.2.7 在上、下水库满足设计调节库容情况下，可用料料源平衡后有较大富裕，不得按弃渣进行处置。应国家矿产资源法相关规定要求，移交项目所在地方政府处置。</w:t>
      </w:r>
    </w:p>
    <w:p w14:paraId="5B63B2BC">
      <w:pPr>
        <w:pStyle w:val="57"/>
        <w:numPr>
          <w:ilvl w:val="3"/>
          <w:numId w:val="1"/>
        </w:numPr>
        <w:spacing w:line="400" w:lineRule="exact"/>
        <w:outlineLvl w:val="2"/>
      </w:pPr>
      <w:r>
        <w:rPr>
          <w:rFonts w:hint="eastAsia"/>
        </w:rPr>
        <w:t>土料料源选择应满足下列要求。</w:t>
      </w:r>
    </w:p>
    <w:p w14:paraId="6EB06660">
      <w:pPr>
        <w:spacing w:line="400" w:lineRule="exact"/>
        <w:outlineLvl w:val="3"/>
        <w:rPr>
          <w:rFonts w:ascii="宋体" w:hAnsi="宋体" w:eastAsia="宋体"/>
        </w:rPr>
      </w:pPr>
      <w:r>
        <w:rPr>
          <w:rFonts w:hint="eastAsia" w:ascii="宋体" w:hAnsi="宋体" w:eastAsia="宋体"/>
        </w:rPr>
        <w:t>7.2.3.1 土料可分为防渗体土料、接触黏土料、槽孔固壁土料等，其料源包括工程开挖料和土料场开采料。</w:t>
      </w:r>
    </w:p>
    <w:p w14:paraId="347FDD7B">
      <w:pPr>
        <w:spacing w:line="400" w:lineRule="exact"/>
        <w:outlineLvl w:val="3"/>
        <w:rPr>
          <w:rFonts w:ascii="宋体" w:hAnsi="宋体" w:eastAsia="宋体"/>
        </w:rPr>
      </w:pPr>
      <w:r>
        <w:rPr>
          <w:rFonts w:hint="eastAsia" w:ascii="宋体" w:hAnsi="宋体" w:eastAsia="宋体"/>
        </w:rPr>
        <w:t>7.2.3.2 防渗体土料应选择具有良好的防渗性和渗流稳定性、适当的塑性和压缩性、较高抗剪强度和较好施工特性的土料。</w:t>
      </w:r>
    </w:p>
    <w:p w14:paraId="39E0E18A">
      <w:pPr>
        <w:spacing w:line="400" w:lineRule="exact"/>
        <w:outlineLvl w:val="3"/>
        <w:rPr>
          <w:rFonts w:ascii="宋体" w:hAnsi="宋体" w:eastAsia="宋体"/>
        </w:rPr>
      </w:pPr>
      <w:r>
        <w:rPr>
          <w:rFonts w:hint="eastAsia" w:ascii="宋体" w:hAnsi="宋体" w:eastAsia="宋体"/>
        </w:rPr>
        <w:t>7.2.3.3 土料场宜选择土质均一、土层较厚、质量易于控制、出料率高、开采运输条件好、土料天然含水率与填筑最优含水率接近、少占耕园地和林地的料源。</w:t>
      </w:r>
    </w:p>
    <w:p w14:paraId="03F7F68E">
      <w:pPr>
        <w:spacing w:line="400" w:lineRule="exact"/>
        <w:outlineLvl w:val="3"/>
        <w:rPr>
          <w:rFonts w:ascii="宋体" w:hAnsi="宋体" w:eastAsia="宋体"/>
        </w:rPr>
      </w:pPr>
      <w:r>
        <w:rPr>
          <w:rFonts w:hint="eastAsia" w:ascii="宋体" w:hAnsi="宋体" w:eastAsia="宋体"/>
        </w:rPr>
        <w:t>7.2.3.4 土料宜优先考虑利用工程开挖料；土料场宜优先在枢纽工程区和水库淹没区范围内选择。当工程区土料匮乏，或考虑工程后期复垦用土后土料不足时，宜选择外购土料作为土料料源。</w:t>
      </w:r>
    </w:p>
    <w:p w14:paraId="719C3400">
      <w:pPr>
        <w:pStyle w:val="58"/>
        <w:numPr>
          <w:ilvl w:val="2"/>
          <w:numId w:val="1"/>
        </w:numPr>
        <w:spacing w:before="0" w:beforeLines="0" w:after="0" w:afterLines="0" w:line="400" w:lineRule="exact"/>
        <w:rPr>
          <w:rFonts w:ascii="宋体" w:eastAsia="宋体"/>
          <w:bCs/>
        </w:rPr>
      </w:pPr>
      <w:bookmarkStart w:id="138" w:name="_Toc227827668"/>
      <w:r>
        <w:rPr>
          <w:rFonts w:hint="eastAsia" w:ascii="宋体" w:eastAsia="宋体"/>
          <w:bCs/>
        </w:rPr>
        <w:t>料源开采规划</w:t>
      </w:r>
      <w:bookmarkEnd w:id="138"/>
    </w:p>
    <w:p w14:paraId="74FA153B">
      <w:pPr>
        <w:pStyle w:val="57"/>
        <w:numPr>
          <w:ilvl w:val="3"/>
          <w:numId w:val="1"/>
        </w:numPr>
        <w:spacing w:line="400" w:lineRule="exact"/>
        <w:outlineLvl w:val="2"/>
      </w:pPr>
      <w:r>
        <w:rPr>
          <w:rFonts w:hint="eastAsia"/>
        </w:rPr>
        <w:t>抽水蓄能电站工程料源规划应以充分利用上下库的库盆及输水发电系统开挖料为原则，并应与上下库库盆设计及特征水位选择统筹协调。</w:t>
      </w:r>
    </w:p>
    <w:p w14:paraId="65543790">
      <w:pPr>
        <w:pStyle w:val="57"/>
        <w:numPr>
          <w:ilvl w:val="3"/>
          <w:numId w:val="1"/>
        </w:numPr>
        <w:spacing w:line="400" w:lineRule="exact"/>
        <w:outlineLvl w:val="2"/>
      </w:pPr>
      <w:r>
        <w:rPr>
          <w:rFonts w:hint="eastAsia"/>
        </w:rPr>
        <w:t>料源开采规划应与坝体填筑相协调，统筹安排各种料源的开采进度、开采强度和开采分区、分期，合理安排物料流向，减少物料堆存和转运，提高开挖有用料直接利用率。</w:t>
      </w:r>
    </w:p>
    <w:p w14:paraId="3EF1A598">
      <w:pPr>
        <w:pStyle w:val="57"/>
        <w:numPr>
          <w:ilvl w:val="3"/>
          <w:numId w:val="1"/>
        </w:numPr>
        <w:spacing w:line="400" w:lineRule="exact"/>
        <w:outlineLvl w:val="2"/>
      </w:pPr>
      <w:r>
        <w:rPr>
          <w:rFonts w:hint="eastAsia"/>
        </w:rPr>
        <w:t>料源位于库盆范围时，库盆内料源开采强度应与库盆工程施工进度和坝体填筑上坝强度相协调，还应考虑施工导流及度汛、下闸蓄水对料物开采和运输的影响。必要时应考虑提前开采并进行堆存。</w:t>
      </w:r>
    </w:p>
    <w:p w14:paraId="521FF892">
      <w:pPr>
        <w:pStyle w:val="57"/>
        <w:numPr>
          <w:ilvl w:val="3"/>
          <w:numId w:val="1"/>
        </w:numPr>
        <w:spacing w:line="400" w:lineRule="exact"/>
        <w:outlineLvl w:val="2"/>
      </w:pPr>
      <w:r>
        <w:rPr>
          <w:rFonts w:hint="eastAsia"/>
        </w:rPr>
        <w:t>料场的规划开采量应考虑地质、施工因素及工程后期料场料源的可采性，按设计需要量的1.15倍~1.25倍选取。当工程后期料源料场具备下挖或扩挖等条件时，规划开采系数可适当取小值。根据料源平衡结果，规划开采量与设计需要量差额的不足部分宜由上下库死水位以下开挖的有用料补充，采用全库盆防渗时可在库周扩挖解决。设计需要量计算时各类损耗补偿系数应符合现行行业标准《水电工程施工组织设计规范》NB/T 10491的有关规定，宜取小值。</w:t>
      </w:r>
    </w:p>
    <w:p w14:paraId="5F25C1CF">
      <w:pPr>
        <w:pStyle w:val="57"/>
        <w:numPr>
          <w:ilvl w:val="3"/>
          <w:numId w:val="1"/>
        </w:numPr>
        <w:spacing w:line="400" w:lineRule="exact"/>
        <w:outlineLvl w:val="2"/>
      </w:pPr>
      <w:r>
        <w:rPr>
          <w:rFonts w:hint="eastAsia"/>
        </w:rPr>
        <w:t>利用工程开挖料作为料源时，应根据开挖可利用料的填筑要求，结合开挖施工方法、开挖与利用时间上的匹配性、施工损耗等因素，分部位确定工程开挖料可利用量。</w:t>
      </w:r>
    </w:p>
    <w:p w14:paraId="6B679EF5">
      <w:pPr>
        <w:pStyle w:val="57"/>
        <w:numPr>
          <w:ilvl w:val="3"/>
          <w:numId w:val="1"/>
        </w:numPr>
        <w:spacing w:line="400" w:lineRule="exact"/>
        <w:outlineLvl w:val="2"/>
      </w:pPr>
      <w:r>
        <w:rPr>
          <w:rFonts w:hint="eastAsia"/>
        </w:rPr>
        <w:t>采用TBM法施工时，TBM开挖石渣可作为工程回填料，作为混凝土骨料时应进行专门论证。</w:t>
      </w:r>
    </w:p>
    <w:p w14:paraId="59058785">
      <w:pPr>
        <w:pStyle w:val="56"/>
        <w:numPr>
          <w:ilvl w:val="1"/>
          <w:numId w:val="1"/>
        </w:numPr>
        <w:spacing w:before="240" w:after="240"/>
      </w:pPr>
      <w:bookmarkStart w:id="139" w:name="_Toc227827669"/>
      <w:r>
        <w:rPr>
          <w:rFonts w:hint="eastAsia"/>
        </w:rPr>
        <w:t>土石方平衡计算</w:t>
      </w:r>
      <w:bookmarkEnd w:id="139"/>
    </w:p>
    <w:p w14:paraId="298EDC6A">
      <w:pPr>
        <w:pStyle w:val="58"/>
        <w:numPr>
          <w:ilvl w:val="2"/>
          <w:numId w:val="1"/>
        </w:numPr>
        <w:spacing w:before="0" w:beforeLines="0" w:after="0" w:afterLines="0" w:line="400" w:lineRule="exact"/>
        <w:rPr>
          <w:rFonts w:ascii="宋体" w:eastAsia="宋体"/>
          <w:bCs/>
        </w:rPr>
      </w:pPr>
      <w:bookmarkStart w:id="140" w:name="_Toc227827670"/>
      <w:r>
        <w:rPr>
          <w:rFonts w:hint="eastAsia" w:ascii="宋体" w:eastAsia="宋体"/>
          <w:bCs/>
        </w:rPr>
        <w:t>一般规定</w:t>
      </w:r>
      <w:bookmarkEnd w:id="140"/>
    </w:p>
    <w:p w14:paraId="3FD75CBF">
      <w:pPr>
        <w:pStyle w:val="57"/>
        <w:numPr>
          <w:ilvl w:val="3"/>
          <w:numId w:val="1"/>
        </w:numPr>
        <w:spacing w:line="400" w:lineRule="exact"/>
        <w:outlineLvl w:val="2"/>
      </w:pPr>
      <w:r>
        <w:rPr>
          <w:rFonts w:hint="eastAsia"/>
        </w:rPr>
        <w:t>土石方平衡计算应以设计工程量为基础，准确计算设计需要量，进行土石方平衡。</w:t>
      </w:r>
    </w:p>
    <w:p w14:paraId="1D1829A6">
      <w:pPr>
        <w:pStyle w:val="57"/>
        <w:numPr>
          <w:ilvl w:val="3"/>
          <w:numId w:val="1"/>
        </w:numPr>
        <w:spacing w:line="400" w:lineRule="exact"/>
        <w:outlineLvl w:val="2"/>
      </w:pPr>
      <w:r>
        <w:rPr>
          <w:rFonts w:hint="eastAsia"/>
        </w:rPr>
        <w:t>土石方平衡计算应遵循分阶段、逐级深化的原则。各设计阶段的平衡计算工作，其深度和内容应符合该阶段勘察设计与测绘工作的精度要求，并综合考虑本阶段的工程设计需求与工程量估算余度。</w:t>
      </w:r>
    </w:p>
    <w:p w14:paraId="3E5A98C2">
      <w:pPr>
        <w:pStyle w:val="57"/>
        <w:numPr>
          <w:ilvl w:val="3"/>
          <w:numId w:val="1"/>
        </w:numPr>
        <w:spacing w:line="400" w:lineRule="exact"/>
        <w:outlineLvl w:val="2"/>
      </w:pPr>
      <w:r>
        <w:rPr>
          <w:rFonts w:hint="eastAsia"/>
        </w:rPr>
        <w:t>各设计阶段土石方平衡计算应符合以下规定。</w:t>
      </w:r>
    </w:p>
    <w:p w14:paraId="35364A6D">
      <w:pPr>
        <w:spacing w:line="400" w:lineRule="exact"/>
        <w:outlineLvl w:val="3"/>
        <w:rPr>
          <w:rFonts w:ascii="宋体" w:hAnsi="宋体" w:eastAsia="宋体"/>
        </w:rPr>
      </w:pPr>
      <w:r>
        <w:rPr>
          <w:rFonts w:hint="eastAsia" w:ascii="宋体" w:hAnsi="宋体" w:eastAsia="宋体"/>
        </w:rPr>
        <w:t>8.1.3.1 预可行性研究阶段应以实现项目整体范围的宏观平衡为目标，可进行总量控制性平衡计算，允许存在一定的估算余度。</w:t>
      </w:r>
    </w:p>
    <w:p w14:paraId="1849E4FE">
      <w:pPr>
        <w:spacing w:line="400" w:lineRule="exact"/>
        <w:outlineLvl w:val="3"/>
        <w:rPr>
          <w:rFonts w:ascii="宋体" w:hAnsi="宋体" w:eastAsia="宋体"/>
        </w:rPr>
      </w:pPr>
      <w:r>
        <w:rPr>
          <w:rFonts w:hint="eastAsia" w:ascii="宋体" w:hAnsi="宋体" w:eastAsia="宋体"/>
        </w:rPr>
        <w:t>8.1.3.2 可行性研究阶段应在预可行性研究基础上，结合主要建筑物的工程进度，对主要建筑物和工程部位的土石方工程量进行详细分析，初步考虑时空关系，完成相对准确的土石方平衡计算，明确直接利用、中转利用及弃渣的总体方案。</w:t>
      </w:r>
    </w:p>
    <w:p w14:paraId="573F6DC1">
      <w:pPr>
        <w:spacing w:line="400" w:lineRule="exact"/>
        <w:outlineLvl w:val="3"/>
        <w:rPr>
          <w:rFonts w:ascii="宋体" w:hAnsi="宋体" w:eastAsia="宋体"/>
        </w:rPr>
      </w:pPr>
      <w:r>
        <w:rPr>
          <w:rFonts w:hint="eastAsia" w:ascii="宋体" w:hAnsi="宋体" w:eastAsia="宋体"/>
        </w:rPr>
        <w:t>8.1.3.3 招标设计阶段应在可行性研究成果的基础上，结合招标分标规划、施工总布置、施工方法和初步确定的施工进度计划等因素，考虑跨标段供应有用料的方案，进行更为精细的土石方平衡计算，初步考虑时空关系，为工程量清单编制及合同划分提供依据。</w:t>
      </w:r>
    </w:p>
    <w:p w14:paraId="21634415">
      <w:pPr>
        <w:spacing w:line="400" w:lineRule="exact"/>
        <w:outlineLvl w:val="3"/>
        <w:rPr>
          <w:rFonts w:ascii="宋体" w:hAnsi="宋体" w:eastAsia="宋体"/>
        </w:rPr>
      </w:pPr>
      <w:r>
        <w:rPr>
          <w:rFonts w:hint="eastAsia" w:ascii="宋体" w:hAnsi="宋体" w:eastAsia="宋体"/>
        </w:rPr>
        <w:t>8.1.3.4 施工详图设计阶段应依据最终的施工图纸、实测地形、揭露的地质条件及实际工程进展，开展动态的、精细化的土石方平衡计算与调整，指导现场进行土石方调配。</w:t>
      </w:r>
    </w:p>
    <w:p w14:paraId="7A9BD6C7">
      <w:pPr>
        <w:pStyle w:val="57"/>
        <w:numPr>
          <w:ilvl w:val="3"/>
          <w:numId w:val="1"/>
        </w:numPr>
        <w:spacing w:line="400" w:lineRule="exact"/>
        <w:outlineLvl w:val="2"/>
      </w:pPr>
      <w:r>
        <w:rPr>
          <w:rFonts w:hint="eastAsia"/>
        </w:rPr>
        <w:t>土石方各阶段土石方平衡计算所采用的基准工程量，其计算精度应满足当前设计阶段相应的勘察设计规程规范要求。</w:t>
      </w:r>
    </w:p>
    <w:p w14:paraId="260E1C3D">
      <w:pPr>
        <w:pStyle w:val="57"/>
        <w:numPr>
          <w:ilvl w:val="3"/>
          <w:numId w:val="1"/>
        </w:numPr>
        <w:spacing w:line="400" w:lineRule="exact"/>
        <w:outlineLvl w:val="2"/>
      </w:pPr>
      <w:r>
        <w:rPr>
          <w:rFonts w:hint="eastAsia"/>
        </w:rPr>
        <w:t>混凝土骨料及坝体填筑料采用两种及以上的料源时，应按不同料源的设计工程量分别计算。</w:t>
      </w:r>
    </w:p>
    <w:p w14:paraId="0D7C4A93">
      <w:pPr>
        <w:pStyle w:val="57"/>
        <w:numPr>
          <w:ilvl w:val="3"/>
          <w:numId w:val="1"/>
        </w:numPr>
        <w:spacing w:line="400" w:lineRule="exact"/>
        <w:outlineLvl w:val="2"/>
      </w:pPr>
      <w:r>
        <w:rPr>
          <w:rFonts w:hint="eastAsia"/>
        </w:rPr>
        <w:t>混凝土设计工程量应包含永久工程、导流工程、主要临建工程的混凝土及喷混凝土工程量。</w:t>
      </w:r>
    </w:p>
    <w:p w14:paraId="5978BE26">
      <w:pPr>
        <w:pStyle w:val="57"/>
        <w:numPr>
          <w:ilvl w:val="3"/>
          <w:numId w:val="1"/>
        </w:numPr>
        <w:spacing w:line="400" w:lineRule="exact"/>
        <w:outlineLvl w:val="2"/>
      </w:pPr>
      <w:r>
        <w:rPr>
          <w:rFonts w:hint="eastAsia"/>
        </w:rPr>
        <w:t>混凝土骨料设计需要量应根据设计工程量、混凝土中骨料用量及各种损耗确定。</w:t>
      </w:r>
    </w:p>
    <w:p w14:paraId="167F5833">
      <w:pPr>
        <w:pStyle w:val="57"/>
        <w:numPr>
          <w:ilvl w:val="3"/>
          <w:numId w:val="1"/>
        </w:numPr>
        <w:spacing w:line="400" w:lineRule="exact"/>
        <w:outlineLvl w:val="2"/>
      </w:pPr>
      <w:r>
        <w:rPr>
          <w:rFonts w:hint="eastAsia"/>
        </w:rPr>
        <w:t>土料设计需要量应根据设计工程量及各种损耗补偿系数、折方系数确定。</w:t>
      </w:r>
    </w:p>
    <w:p w14:paraId="3F093DF5">
      <w:pPr>
        <w:pStyle w:val="57"/>
        <w:numPr>
          <w:ilvl w:val="3"/>
          <w:numId w:val="1"/>
        </w:numPr>
        <w:spacing w:line="400" w:lineRule="exact"/>
        <w:outlineLvl w:val="2"/>
      </w:pPr>
      <w:r>
        <w:rPr>
          <w:rFonts w:hint="eastAsia"/>
        </w:rPr>
        <w:t>各种填筑料设计需要量宜根据坝体各填筑分区料、回填料的设计工程量及各种损耗补偿系数、折方系数分别计算。</w:t>
      </w:r>
    </w:p>
    <w:p w14:paraId="70997E37">
      <w:pPr>
        <w:pStyle w:val="57"/>
        <w:numPr>
          <w:ilvl w:val="3"/>
          <w:numId w:val="1"/>
        </w:numPr>
        <w:spacing w:line="400" w:lineRule="exact"/>
        <w:outlineLvl w:val="2"/>
      </w:pPr>
      <w:r>
        <w:rPr>
          <w:rFonts w:hint="eastAsia"/>
        </w:rPr>
        <w:t>设计需要量、规划开采量、料场设计和规划开采量计算应按本规范附录B的规定执行。</w:t>
      </w:r>
    </w:p>
    <w:p w14:paraId="4F9CBEA9">
      <w:pPr>
        <w:pStyle w:val="57"/>
        <w:numPr>
          <w:ilvl w:val="3"/>
          <w:numId w:val="1"/>
        </w:numPr>
        <w:spacing w:line="400" w:lineRule="exact"/>
        <w:outlineLvl w:val="2"/>
      </w:pPr>
      <w:r>
        <w:rPr>
          <w:rFonts w:hint="eastAsia"/>
        </w:rPr>
        <w:t>土石方平衡计算的损耗补偿系数可按本规范附录B中第B.1.4条选取、折方系数可按本规范附录B中第B.1.5条选取。</w:t>
      </w:r>
    </w:p>
    <w:p w14:paraId="4F87C67E">
      <w:pPr>
        <w:pStyle w:val="57"/>
        <w:numPr>
          <w:ilvl w:val="3"/>
          <w:numId w:val="1"/>
        </w:numPr>
        <w:spacing w:line="400" w:lineRule="exact"/>
        <w:outlineLvl w:val="2"/>
      </w:pPr>
      <w:r>
        <w:rPr>
          <w:rFonts w:hint="eastAsia"/>
        </w:rPr>
        <w:t>土石方平衡设计宜采用BIM+GIS三维数字化模型，实现开挖区、填筑区、料场、转存场、弃渣场的空间可视化和工程量精准核算；模型应与施工进度计划联动，开展4D施工仿真，提前预判开挖与填筑的时序错配风险，动态优化调运方案。</w:t>
      </w:r>
    </w:p>
    <w:p w14:paraId="0558C77D">
      <w:pPr>
        <w:pStyle w:val="57"/>
        <w:numPr>
          <w:ilvl w:val="3"/>
          <w:numId w:val="1"/>
        </w:numPr>
        <w:spacing w:line="400" w:lineRule="exact"/>
        <w:outlineLvl w:val="2"/>
      </w:pPr>
      <w:r>
        <w:rPr>
          <w:rFonts w:hint="eastAsia"/>
        </w:rPr>
        <w:t>当出现以下情况应重新开展土石方平衡核算并调整设计方案。</w:t>
      </w:r>
    </w:p>
    <w:p w14:paraId="5DEF66AC">
      <w:pPr>
        <w:spacing w:line="400" w:lineRule="exact"/>
        <w:outlineLvl w:val="3"/>
        <w:rPr>
          <w:rFonts w:ascii="宋体" w:hAnsi="宋体" w:eastAsia="宋体"/>
        </w:rPr>
      </w:pPr>
      <w:r>
        <w:rPr>
          <w:rFonts w:hint="eastAsia" w:ascii="宋体" w:hAnsi="宋体" w:eastAsia="宋体"/>
        </w:rPr>
        <w:t>8.1.13.1 料场、弃渣场选址或征地发生重大变化。</w:t>
      </w:r>
    </w:p>
    <w:p w14:paraId="1B3C9F97">
      <w:pPr>
        <w:spacing w:line="400" w:lineRule="exact"/>
        <w:outlineLvl w:val="3"/>
        <w:rPr>
          <w:rFonts w:ascii="宋体" w:hAnsi="宋体" w:eastAsia="宋体"/>
        </w:rPr>
      </w:pPr>
      <w:r>
        <w:rPr>
          <w:rFonts w:hint="eastAsia" w:ascii="宋体" w:hAnsi="宋体" w:eastAsia="宋体"/>
        </w:rPr>
        <w:t>8.1.13.2 环境保护和水土保持要求出现重大调整。</w:t>
      </w:r>
    </w:p>
    <w:p w14:paraId="48C4ED63">
      <w:pPr>
        <w:spacing w:line="400" w:lineRule="exact"/>
        <w:outlineLvl w:val="3"/>
        <w:rPr>
          <w:rFonts w:ascii="宋体" w:hAnsi="宋体" w:eastAsia="宋体"/>
        </w:rPr>
      </w:pPr>
      <w:r>
        <w:rPr>
          <w:rFonts w:hint="eastAsia" w:ascii="宋体" w:hAnsi="宋体" w:eastAsia="宋体"/>
        </w:rPr>
        <w:t>8.1.13.3 施工进度调整导致开挖与填筑时序错配较大。</w:t>
      </w:r>
    </w:p>
    <w:p w14:paraId="3CE06554">
      <w:pPr>
        <w:spacing w:line="400" w:lineRule="exact"/>
        <w:rPr>
          <w:rFonts w:ascii="宋体" w:hAnsi="宋体" w:eastAsia="宋体"/>
        </w:rPr>
      </w:pPr>
      <w:r>
        <w:rPr>
          <w:rFonts w:hint="eastAsia" w:ascii="宋体" w:hAnsi="宋体" w:eastAsia="宋体"/>
        </w:rPr>
        <w:t>8.1.13.4 实际开挖料岩性、可利用率与设计值偏差较大。</w:t>
      </w:r>
    </w:p>
    <w:p w14:paraId="5CD5F38E">
      <w:pPr>
        <w:pStyle w:val="58"/>
        <w:numPr>
          <w:ilvl w:val="2"/>
          <w:numId w:val="1"/>
        </w:numPr>
        <w:spacing w:before="0" w:beforeLines="0" w:after="0" w:afterLines="0" w:line="400" w:lineRule="exact"/>
        <w:rPr>
          <w:rFonts w:ascii="宋体" w:eastAsia="宋体"/>
          <w:bCs/>
        </w:rPr>
      </w:pPr>
      <w:bookmarkStart w:id="141" w:name="_Toc227827671"/>
      <w:r>
        <w:rPr>
          <w:rFonts w:hint="eastAsia" w:ascii="宋体" w:eastAsia="宋体"/>
          <w:bCs/>
        </w:rPr>
        <w:t>工程建设阶段土石方动态平衡分析</w:t>
      </w:r>
      <w:bookmarkEnd w:id="141"/>
    </w:p>
    <w:p w14:paraId="1BDD5D9B">
      <w:pPr>
        <w:pStyle w:val="57"/>
        <w:numPr>
          <w:ilvl w:val="3"/>
          <w:numId w:val="1"/>
        </w:numPr>
        <w:spacing w:line="400" w:lineRule="exact"/>
        <w:outlineLvl w:val="2"/>
      </w:pPr>
      <w:r>
        <w:rPr>
          <w:rFonts w:hint="eastAsia"/>
        </w:rPr>
        <w:t>工程建设阶段宜通过施工地质、科学规划、数据分析和施工调控等手段，及时调节挖填土石方的平衡，确保施工过程中挖出的土石量与填充所需的土石量保持相对均衡。</w:t>
      </w:r>
    </w:p>
    <w:p w14:paraId="361BC793">
      <w:pPr>
        <w:pStyle w:val="57"/>
        <w:numPr>
          <w:ilvl w:val="3"/>
          <w:numId w:val="1"/>
        </w:numPr>
        <w:spacing w:line="400" w:lineRule="exact"/>
        <w:outlineLvl w:val="2"/>
      </w:pPr>
      <w:r>
        <w:rPr>
          <w:rFonts w:hint="eastAsia"/>
        </w:rPr>
        <w:t>土石方的动态调配的主要内容应确保施工过程中土石方在不同阶段和区域之间实现平衡。</w:t>
      </w:r>
    </w:p>
    <w:p w14:paraId="755C321A">
      <w:pPr>
        <w:pStyle w:val="57"/>
        <w:numPr>
          <w:ilvl w:val="3"/>
          <w:numId w:val="1"/>
        </w:numPr>
        <w:spacing w:line="400" w:lineRule="exact"/>
        <w:outlineLvl w:val="2"/>
        <w:rPr>
          <w:rFonts w:hAnsi="宋体" w:cs="宋体"/>
          <w:szCs w:val="22"/>
        </w:rPr>
      </w:pPr>
      <w:r>
        <w:rPr>
          <w:rFonts w:hint="eastAsia"/>
        </w:rPr>
        <w:t>土石方动态总体平衡，至少需要在大坝填筑或混凝土浇筑工程量过半、水库蓄水前等施工节点进行土石方平衡复核分析和调控，主要包括以下内容。</w:t>
      </w:r>
    </w:p>
    <w:p w14:paraId="5356D867">
      <w:pPr>
        <w:spacing w:line="400" w:lineRule="exact"/>
        <w:outlineLvl w:val="3"/>
        <w:rPr>
          <w:rFonts w:ascii="宋体" w:hAnsi="宋体" w:eastAsia="宋体"/>
        </w:rPr>
      </w:pPr>
      <w:r>
        <w:rPr>
          <w:rFonts w:hint="eastAsia" w:ascii="宋体" w:hAnsi="宋体" w:eastAsia="宋体"/>
        </w:rPr>
        <w:t>8.2.3.1 施工方宜通过数据采集和动态监控，准确掌握土石方在当前阶段的分布和余量。具体做法包括对剩余开挖量、剩余填筑量以及富裕系数等关键参数进行综合分析。</w:t>
      </w:r>
    </w:p>
    <w:p w14:paraId="35F99BE0">
      <w:pPr>
        <w:spacing w:line="400" w:lineRule="exact"/>
        <w:outlineLvl w:val="3"/>
        <w:rPr>
          <w:rFonts w:ascii="宋体" w:hAnsi="宋体" w:eastAsia="宋体"/>
        </w:rPr>
      </w:pPr>
      <w:r>
        <w:rPr>
          <w:rFonts w:hint="eastAsia" w:ascii="宋体" w:hAnsi="宋体" w:eastAsia="宋体"/>
        </w:rPr>
        <w:t>8.2.3.2 施工方宜采用先进的技术手段来进行数据采集和处理。</w:t>
      </w:r>
    </w:p>
    <w:p w14:paraId="322E8EEA">
      <w:pPr>
        <w:spacing w:line="400" w:lineRule="exact"/>
        <w:outlineLvl w:val="3"/>
        <w:rPr>
          <w:rFonts w:ascii="宋体" w:hAnsi="宋体" w:eastAsia="宋体"/>
        </w:rPr>
      </w:pPr>
      <w:r>
        <w:rPr>
          <w:rFonts w:hint="eastAsia" w:ascii="宋体" w:hAnsi="宋体" w:eastAsia="宋体"/>
        </w:rPr>
        <w:t>8.2.3.3 宜在施工的关键节点对当前阶段的土石方平衡情况进行动态评估。</w:t>
      </w:r>
    </w:p>
    <w:p w14:paraId="18622C75">
      <w:pPr>
        <w:pStyle w:val="57"/>
        <w:numPr>
          <w:ilvl w:val="3"/>
          <w:numId w:val="1"/>
        </w:numPr>
        <w:spacing w:line="400" w:lineRule="exact"/>
        <w:outlineLvl w:val="2"/>
      </w:pPr>
      <w:r>
        <w:rPr>
          <w:rFonts w:hint="eastAsia"/>
        </w:rPr>
        <w:t>土石方分项平衡主要通过施工过程中对各施工区域的土石方资源进行精细化管理，确保每个分项施工任务的土石方需求与供应相匹配，主要包括以下内容。</w:t>
      </w:r>
    </w:p>
    <w:p w14:paraId="11BB9B72">
      <w:pPr>
        <w:spacing w:line="400" w:lineRule="exact"/>
        <w:outlineLvl w:val="3"/>
        <w:rPr>
          <w:rFonts w:ascii="宋体" w:hAnsi="宋体" w:eastAsia="宋体"/>
        </w:rPr>
      </w:pPr>
      <w:r>
        <w:rPr>
          <w:rFonts w:hint="eastAsia" w:ascii="宋体" w:hAnsi="宋体" w:eastAsia="宋体"/>
        </w:rPr>
        <w:t>8.2.4.1 通过精准的土石方调配，使不同用途的土石方材料在各个施工区域内得到科学合理的分配，从而确保整个工程有序、平稳推进。</w:t>
      </w:r>
    </w:p>
    <w:p w14:paraId="7AB81278">
      <w:pPr>
        <w:spacing w:line="400" w:lineRule="exact"/>
        <w:outlineLvl w:val="3"/>
        <w:rPr>
          <w:rFonts w:ascii="宋体" w:hAnsi="宋体" w:eastAsia="宋体"/>
        </w:rPr>
      </w:pPr>
      <w:r>
        <w:rPr>
          <w:rFonts w:hint="eastAsia" w:ascii="宋体" w:hAnsi="宋体" w:eastAsia="宋体"/>
        </w:rPr>
        <w:t>8.2.4.2 关注各挖方区域的材料复核情况，特别是确保有用材料是否能满足主堆、垫层、过渡层及反滤层等重点区域的填筑需求，实现优质材料优先用于优先级较高的区域，保障工程关键节点的施工质量和进度。</w:t>
      </w:r>
    </w:p>
    <w:p w14:paraId="66C761EE">
      <w:pPr>
        <w:pStyle w:val="56"/>
        <w:numPr>
          <w:ilvl w:val="1"/>
          <w:numId w:val="1"/>
        </w:numPr>
        <w:spacing w:before="240" w:after="240"/>
      </w:pPr>
      <w:bookmarkStart w:id="142" w:name="_Toc227827672"/>
      <w:r>
        <w:rPr>
          <w:rFonts w:hint="eastAsia"/>
        </w:rPr>
        <w:t>转存场及弃渣规划</w:t>
      </w:r>
      <w:bookmarkEnd w:id="142"/>
    </w:p>
    <w:p w14:paraId="67C144FA">
      <w:pPr>
        <w:pStyle w:val="58"/>
        <w:numPr>
          <w:ilvl w:val="2"/>
          <w:numId w:val="1"/>
        </w:numPr>
        <w:spacing w:before="0" w:beforeLines="0" w:after="0" w:afterLines="0" w:line="400" w:lineRule="exact"/>
        <w:rPr>
          <w:rFonts w:ascii="宋体" w:eastAsia="宋体"/>
          <w:bCs/>
        </w:rPr>
      </w:pPr>
      <w:bookmarkStart w:id="143" w:name="_Toc227827673"/>
      <w:r>
        <w:rPr>
          <w:rFonts w:hint="eastAsia" w:ascii="宋体" w:eastAsia="宋体"/>
          <w:bCs/>
        </w:rPr>
        <w:t>一般规定</w:t>
      </w:r>
      <w:bookmarkEnd w:id="143"/>
    </w:p>
    <w:p w14:paraId="1FE144B9">
      <w:pPr>
        <w:pStyle w:val="57"/>
        <w:numPr>
          <w:ilvl w:val="3"/>
          <w:numId w:val="1"/>
        </w:numPr>
        <w:spacing w:line="400" w:lineRule="exact"/>
        <w:outlineLvl w:val="2"/>
      </w:pPr>
      <w:r>
        <w:rPr>
          <w:rFonts w:hint="eastAsia"/>
        </w:rPr>
        <w:t>抽水蓄能电站转存场及弃渣场规划应遵循因地制宜、因时制宜、有利生产、方便生活、节约用地、安全可靠、经济合理的原则。</w:t>
      </w:r>
    </w:p>
    <w:p w14:paraId="5DF6FA3D">
      <w:pPr>
        <w:pStyle w:val="57"/>
        <w:numPr>
          <w:ilvl w:val="3"/>
          <w:numId w:val="1"/>
        </w:numPr>
        <w:spacing w:line="400" w:lineRule="exact"/>
        <w:outlineLvl w:val="2"/>
      </w:pPr>
      <w:r>
        <w:rPr>
          <w:rFonts w:hint="eastAsia"/>
        </w:rPr>
        <w:t>转存场及弃渣场选址应根据工程枢纽建筑物布置、交通规划，施工区地形、地质条件，经比较确定；弃渣场选址应符合国家现行标准《水土保持工程设计规范》GB 51018和《水电工程渣场设计规范》NB/T 35111的规定。</w:t>
      </w:r>
    </w:p>
    <w:p w14:paraId="037E7363">
      <w:pPr>
        <w:pStyle w:val="57"/>
        <w:numPr>
          <w:ilvl w:val="3"/>
          <w:numId w:val="1"/>
        </w:numPr>
        <w:spacing w:line="400" w:lineRule="exact"/>
        <w:outlineLvl w:val="2"/>
      </w:pPr>
      <w:r>
        <w:rPr>
          <w:rFonts w:hint="eastAsia"/>
        </w:rPr>
        <w:t>转存场及弃渣场布置宜根据选址、施工分标初步规划方案、土石方平衡成果、运输条件和施工特点，经方案比选确定。</w:t>
      </w:r>
    </w:p>
    <w:p w14:paraId="18230F2C">
      <w:pPr>
        <w:pStyle w:val="57"/>
        <w:numPr>
          <w:ilvl w:val="3"/>
          <w:numId w:val="1"/>
        </w:numPr>
        <w:spacing w:line="400" w:lineRule="exact"/>
        <w:outlineLvl w:val="2"/>
      </w:pPr>
      <w:r>
        <w:rPr>
          <w:rFonts w:hint="eastAsia"/>
        </w:rPr>
        <w:t>转存场及弃渣场应说明容量、堆存量、渣料来源等；对于弃渣量大、分时序利用、结合场地利用的，应说明分阶段规划。</w:t>
      </w:r>
    </w:p>
    <w:p w14:paraId="72C3D5DA">
      <w:pPr>
        <w:pStyle w:val="58"/>
        <w:numPr>
          <w:ilvl w:val="2"/>
          <w:numId w:val="1"/>
        </w:numPr>
        <w:spacing w:before="0" w:beforeLines="0" w:after="0" w:afterLines="0" w:line="400" w:lineRule="exact"/>
        <w:rPr>
          <w:rFonts w:ascii="宋体" w:eastAsia="宋体"/>
          <w:bCs/>
        </w:rPr>
      </w:pPr>
      <w:bookmarkStart w:id="144" w:name="_Toc227827674"/>
      <w:r>
        <w:rPr>
          <w:rFonts w:hint="eastAsia" w:ascii="宋体" w:eastAsia="宋体"/>
          <w:bCs/>
        </w:rPr>
        <w:t>转存场规划</w:t>
      </w:r>
      <w:bookmarkEnd w:id="144"/>
    </w:p>
    <w:p w14:paraId="3CACE6D2">
      <w:pPr>
        <w:pStyle w:val="57"/>
        <w:numPr>
          <w:ilvl w:val="3"/>
          <w:numId w:val="1"/>
        </w:numPr>
        <w:spacing w:line="400" w:lineRule="exact"/>
        <w:outlineLvl w:val="2"/>
      </w:pPr>
      <w:r>
        <w:rPr>
          <w:rFonts w:hint="eastAsia"/>
        </w:rPr>
        <w:t>转存场按料物类型可分为合格骨料转存场、代加工料转存场、坝体填筑料转存场、表土堆存场和临时弃渣转存场。</w:t>
      </w:r>
    </w:p>
    <w:p w14:paraId="7290F38F">
      <w:pPr>
        <w:pStyle w:val="57"/>
        <w:numPr>
          <w:ilvl w:val="3"/>
          <w:numId w:val="1"/>
        </w:numPr>
        <w:spacing w:line="400" w:lineRule="exact"/>
        <w:outlineLvl w:val="2"/>
      </w:pPr>
      <w:r>
        <w:rPr>
          <w:rFonts w:hint="eastAsia"/>
        </w:rPr>
        <w:t>合格骨料转存场应进行场地硬化，设置防雨棚、防尘和防污染隔离设施，严禁与弃渣、泥土混堆。</w:t>
      </w:r>
    </w:p>
    <w:p w14:paraId="3A5FC57A">
      <w:pPr>
        <w:pStyle w:val="57"/>
        <w:numPr>
          <w:ilvl w:val="3"/>
          <w:numId w:val="1"/>
        </w:numPr>
        <w:spacing w:line="400" w:lineRule="exact"/>
        <w:outlineLvl w:val="2"/>
      </w:pPr>
      <w:r>
        <w:rPr>
          <w:rFonts w:hint="eastAsia"/>
        </w:rPr>
        <w:t>坝体填筑料转存场应按分区、分岩性、分质量等级堆存，设置明显标识牌，配套相应排水和防护设施，严禁不同品质料物混合堆放。</w:t>
      </w:r>
    </w:p>
    <w:p w14:paraId="7C34078B">
      <w:pPr>
        <w:pStyle w:val="57"/>
        <w:numPr>
          <w:ilvl w:val="3"/>
          <w:numId w:val="1"/>
        </w:numPr>
        <w:spacing w:line="400" w:lineRule="exact"/>
        <w:outlineLvl w:val="2"/>
      </w:pPr>
      <w:r>
        <w:rPr>
          <w:rFonts w:hint="eastAsia"/>
        </w:rPr>
        <w:t>应结合施工进度安排和施工分标初步规划方案，提出转存方案和转存料回采利用率。</w:t>
      </w:r>
    </w:p>
    <w:p w14:paraId="0FDFEAA1">
      <w:pPr>
        <w:pStyle w:val="57"/>
        <w:numPr>
          <w:ilvl w:val="3"/>
          <w:numId w:val="1"/>
        </w:numPr>
        <w:spacing w:line="400" w:lineRule="exact"/>
        <w:outlineLvl w:val="2"/>
      </w:pPr>
      <w:r>
        <w:rPr>
          <w:rFonts w:hint="eastAsia"/>
        </w:rPr>
        <w:t>转存料场规划应满足施工进度需要，宜布置于库内以减少用地。因库内场地面积及施工进度限制，可在库外布置转存料场，库外转存料场宜靠近使用点布置，与场内交通、渣料来源相适应，便于渣料回采，避免或减少反向运输。转存料场容积应大于转存料的数量，扩大系数宜取1.02~1.05。</w:t>
      </w:r>
    </w:p>
    <w:p w14:paraId="10E29607">
      <w:pPr>
        <w:pStyle w:val="57"/>
        <w:numPr>
          <w:ilvl w:val="3"/>
          <w:numId w:val="1"/>
        </w:numPr>
        <w:spacing w:line="400" w:lineRule="exact"/>
        <w:outlineLvl w:val="2"/>
      </w:pPr>
      <w:r>
        <w:rPr>
          <w:rFonts w:hint="eastAsia"/>
        </w:rPr>
        <w:t>转存料场应保持堆存与回采过程物料形体和级配稳定，必要时，应提前进行堆场基底平整，提高转存料回采利用率。当转存料场、弃渣场规划利用同一场地时，宜遵循下部弃渣、上部存料的原则。</w:t>
      </w:r>
    </w:p>
    <w:p w14:paraId="39CA3504">
      <w:pPr>
        <w:pStyle w:val="57"/>
        <w:numPr>
          <w:ilvl w:val="3"/>
          <w:numId w:val="1"/>
        </w:numPr>
        <w:spacing w:line="400" w:lineRule="exact"/>
        <w:outlineLvl w:val="2"/>
        <w:rPr>
          <w:rFonts w:hAnsi="宋体" w:cs="宋体"/>
          <w:szCs w:val="22"/>
        </w:rPr>
      </w:pPr>
      <w:r>
        <w:rPr>
          <w:rFonts w:hint="eastAsia"/>
        </w:rPr>
        <w:t>表土剥离宜就近设置转存场地。</w:t>
      </w:r>
    </w:p>
    <w:p w14:paraId="17349648">
      <w:pPr>
        <w:pStyle w:val="58"/>
        <w:numPr>
          <w:ilvl w:val="2"/>
          <w:numId w:val="1"/>
        </w:numPr>
        <w:spacing w:before="0" w:beforeLines="0" w:after="0" w:afterLines="0" w:line="400" w:lineRule="exact"/>
        <w:rPr>
          <w:rFonts w:ascii="宋体" w:eastAsia="宋体"/>
          <w:bCs/>
        </w:rPr>
      </w:pPr>
      <w:bookmarkStart w:id="145" w:name="_Toc227827675"/>
      <w:r>
        <w:rPr>
          <w:rFonts w:hint="eastAsia" w:ascii="宋体" w:eastAsia="宋体"/>
          <w:bCs/>
        </w:rPr>
        <w:t>弃渣规划</w:t>
      </w:r>
      <w:bookmarkEnd w:id="145"/>
    </w:p>
    <w:p w14:paraId="3E3E35F8">
      <w:pPr>
        <w:pStyle w:val="57"/>
        <w:numPr>
          <w:ilvl w:val="3"/>
          <w:numId w:val="1"/>
        </w:numPr>
        <w:spacing w:line="400" w:lineRule="exact"/>
        <w:outlineLvl w:val="2"/>
      </w:pPr>
      <w:r>
        <w:rPr>
          <w:rFonts w:hint="eastAsia"/>
        </w:rPr>
        <w:t>应优化设计，减少洞口边坡等部位无用料开挖量。工程开挖料宜优先用于坝体填筑、混凝土骨料制备、场地平整、坝后下游区、上下水库库底平整等，宜不设或少设渣场。电站周边地方建设有需求且不影响电站工程投资及工程验收时，开挖弃料可考虑外运消纳。土石方平衡流向表及弃渣规划可参照附录C。</w:t>
      </w:r>
    </w:p>
    <w:p w14:paraId="2B9DFE3F">
      <w:pPr>
        <w:pStyle w:val="57"/>
        <w:numPr>
          <w:ilvl w:val="3"/>
          <w:numId w:val="1"/>
        </w:numPr>
        <w:spacing w:line="400" w:lineRule="exact"/>
        <w:outlineLvl w:val="2"/>
        <w:rPr>
          <w:rFonts w:hAnsi="宋体" w:cs="宋体"/>
          <w:szCs w:val="22"/>
        </w:rPr>
      </w:pPr>
      <w:r>
        <w:rPr>
          <w:rFonts w:hint="eastAsia"/>
        </w:rPr>
        <w:t>库底平整选择应符合下列要求。</w:t>
      </w:r>
    </w:p>
    <w:p w14:paraId="506DA0E5">
      <w:pPr>
        <w:spacing w:line="400" w:lineRule="exact"/>
        <w:outlineLvl w:val="3"/>
      </w:pPr>
      <w:r>
        <w:rPr>
          <w:rFonts w:hint="eastAsia" w:ascii="宋体" w:hAnsi="宋体" w:eastAsia="宋体"/>
        </w:rPr>
        <w:t>9.3.2.1</w:t>
      </w:r>
      <w:r>
        <w:rPr>
          <w:rFonts w:hint="eastAsia"/>
        </w:rPr>
        <w:t xml:space="preserve"> 布置于非全库防渗的抽水蓄能电站水库死库容部位。</w:t>
      </w:r>
    </w:p>
    <w:p w14:paraId="42208F60">
      <w:pPr>
        <w:spacing w:line="400" w:lineRule="exact"/>
        <w:outlineLvl w:val="3"/>
      </w:pPr>
      <w:r>
        <w:rPr>
          <w:rFonts w:hint="eastAsia" w:ascii="宋体" w:hAnsi="宋体" w:eastAsia="宋体"/>
        </w:rPr>
        <w:t xml:space="preserve">9.3.2.2 </w:t>
      </w:r>
      <w:r>
        <w:rPr>
          <w:rFonts w:hint="eastAsia"/>
        </w:rPr>
        <w:t>考虑施工导流、场内施工道路布置、运行期与水库死水位的关系、进出水口位置及100年淤积库容的关系等因素。</w:t>
      </w:r>
    </w:p>
    <w:p w14:paraId="53089992">
      <w:pPr>
        <w:spacing w:line="400" w:lineRule="exact"/>
        <w:outlineLvl w:val="3"/>
      </w:pPr>
      <w:r>
        <w:rPr>
          <w:rFonts w:hint="eastAsia" w:ascii="宋体" w:hAnsi="宋体" w:eastAsia="宋体"/>
        </w:rPr>
        <w:t xml:space="preserve">9.3.2.3 </w:t>
      </w:r>
      <w:r>
        <w:rPr>
          <w:rFonts w:hint="eastAsia"/>
        </w:rPr>
        <w:t>不得影响沟谷的行洪安全，弃渣场的临时防护应满足施工期弃渣场的安全稳定，库底平整区域的防护应满足施工期及运行期的安全稳定。</w:t>
      </w:r>
    </w:p>
    <w:p w14:paraId="08877A22">
      <w:pPr>
        <w:spacing w:line="400" w:lineRule="exact"/>
        <w:outlineLvl w:val="3"/>
      </w:pPr>
      <w:r>
        <w:rPr>
          <w:rFonts w:hint="eastAsia" w:ascii="宋体" w:hAnsi="宋体" w:eastAsia="宋体"/>
        </w:rPr>
        <w:t>9.3.2.4</w:t>
      </w:r>
      <w:r>
        <w:rPr>
          <w:rFonts w:hint="eastAsia"/>
        </w:rPr>
        <w:t xml:space="preserve"> 不得对工程运行造成安全隐患，不影响枢纽建筑物的功能。</w:t>
      </w:r>
    </w:p>
    <w:p w14:paraId="2CB1732E">
      <w:pPr>
        <w:spacing w:line="400" w:lineRule="exact"/>
        <w:outlineLvl w:val="3"/>
      </w:pPr>
      <w:r>
        <w:rPr>
          <w:rFonts w:hint="eastAsia" w:ascii="宋体" w:hAnsi="宋体" w:eastAsia="宋体"/>
        </w:rPr>
        <w:t xml:space="preserve">9.3.2.5 </w:t>
      </w:r>
      <w:r>
        <w:rPr>
          <w:rFonts w:hint="eastAsia"/>
        </w:rPr>
        <w:t>死库容弃渣不应占用水库有效调节库容，不应影响进水口、泄水建筑物的正常运行；</w:t>
      </w:r>
    </w:p>
    <w:p w14:paraId="560CFF9D">
      <w:pPr>
        <w:pStyle w:val="34"/>
        <w:numPr>
          <w:ilvl w:val="0"/>
          <w:numId w:val="1"/>
        </w:numPr>
        <w:spacing w:line="400" w:lineRule="exact"/>
        <w:jc w:val="both"/>
        <w:outlineLvl w:val="3"/>
      </w:pPr>
      <w:r>
        <w:rPr>
          <w:rFonts w:hint="eastAsia" w:ascii="宋体" w:hAnsi="宋体" w:eastAsia="宋体"/>
        </w:rPr>
        <w:t xml:space="preserve">9.3.2.6 </w:t>
      </w:r>
      <w:r>
        <w:rPr>
          <w:rFonts w:hint="eastAsia"/>
        </w:rPr>
        <w:t>应开展弃渣体稳定性、防渗、防冲及防泥沙淤积专项设计，明确防护措施，经专项论证后纳入设计方案；</w:t>
      </w:r>
    </w:p>
    <w:p w14:paraId="16271773">
      <w:pPr>
        <w:pStyle w:val="34"/>
        <w:numPr>
          <w:ilvl w:val="0"/>
          <w:numId w:val="1"/>
        </w:numPr>
        <w:spacing w:line="400" w:lineRule="exact"/>
        <w:jc w:val="both"/>
        <w:outlineLvl w:val="3"/>
      </w:pPr>
      <w:r>
        <w:rPr>
          <w:rFonts w:hint="eastAsia" w:ascii="宋体" w:hAnsi="宋体" w:eastAsia="宋体"/>
        </w:rPr>
        <w:t xml:space="preserve">9.3.2.7 </w:t>
      </w:r>
      <w:r>
        <w:rPr>
          <w:rFonts w:hint="eastAsia"/>
        </w:rPr>
        <w:t>不应在全库防渗的水库死库容内设置弃渣场，避免破坏水库防渗体系。</w:t>
      </w:r>
    </w:p>
    <w:p w14:paraId="34D6E618">
      <w:pPr>
        <w:pStyle w:val="34"/>
        <w:numPr>
          <w:ilvl w:val="0"/>
          <w:numId w:val="1"/>
        </w:numPr>
      </w:pPr>
    </w:p>
    <w:bookmarkEnd w:id="136"/>
    <w:p w14:paraId="1E6789E6">
      <w:pPr>
        <w:rPr>
          <w:color w:val="000000" w:themeColor="text1"/>
          <w14:textFill>
            <w14:solidFill>
              <w14:schemeClr w14:val="tx1"/>
            </w14:solidFill>
          </w14:textFill>
        </w:rPr>
      </w:pPr>
    </w:p>
    <w:p w14:paraId="58ED5905">
      <w:pP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4647825C">
      <w:pPr>
        <w:spacing w:before="120" w:after="120" w:line="288" w:lineRule="auto"/>
        <w:jc w:val="center"/>
        <w:outlineLvl w:val="0"/>
        <w:rPr>
          <w:rFonts w:ascii="黑体" w:hAnsi="黑体" w:eastAsia="黑体" w:cs="黑体"/>
          <w:b/>
          <w:bCs/>
          <w:szCs w:val="21"/>
        </w:rPr>
      </w:pPr>
      <w:bookmarkStart w:id="146" w:name="_Toc227827676"/>
      <w:bookmarkStart w:id="147" w:name="_Toc10810"/>
      <w:r>
        <w:rPr>
          <w:rFonts w:hint="eastAsia" w:ascii="黑体" w:hAnsi="黑体" w:eastAsia="黑体" w:cs="黑体"/>
          <w:b/>
          <w:bCs/>
          <w:szCs w:val="21"/>
        </w:rPr>
        <w:t>附录A</w:t>
      </w:r>
      <w:bookmarkEnd w:id="146"/>
    </w:p>
    <w:p w14:paraId="4DC31C29">
      <w:pPr>
        <w:spacing w:before="120" w:after="120" w:line="288" w:lineRule="auto"/>
        <w:jc w:val="center"/>
        <w:rPr>
          <w:rFonts w:ascii="黑体" w:hAnsi="黑体" w:eastAsia="黑体" w:cs="黑体"/>
          <w:b/>
          <w:bCs/>
          <w:szCs w:val="21"/>
        </w:rPr>
      </w:pPr>
      <w:r>
        <w:rPr>
          <w:rFonts w:hint="eastAsia" w:ascii="黑体" w:hAnsi="黑体" w:eastAsia="黑体" w:cs="黑体"/>
          <w:b/>
          <w:bCs/>
          <w:szCs w:val="21"/>
        </w:rPr>
        <w:t>（规范性）</w:t>
      </w:r>
    </w:p>
    <w:p w14:paraId="7D309983">
      <w:pPr>
        <w:spacing w:before="120" w:after="120" w:line="288" w:lineRule="auto"/>
        <w:jc w:val="center"/>
        <w:rPr>
          <w:rFonts w:ascii="黑体" w:hAnsi="黑体" w:eastAsia="黑体" w:cs="黑体"/>
          <w:szCs w:val="21"/>
        </w:rPr>
      </w:pPr>
      <w:r>
        <w:rPr>
          <w:rFonts w:hint="eastAsia" w:ascii="黑体" w:hAnsi="黑体" w:eastAsia="黑体" w:cs="黑体"/>
          <w:b/>
          <w:bCs/>
          <w:szCs w:val="21"/>
        </w:rPr>
        <w:t>土石方平衡设计所需资料</w:t>
      </w:r>
    </w:p>
    <w:p w14:paraId="31FB16D9">
      <w:pPr>
        <w:spacing w:before="120" w:after="120" w:line="288" w:lineRule="auto"/>
        <w:jc w:val="center"/>
        <w:outlineLvl w:val="1"/>
        <w:rPr>
          <w:rFonts w:ascii="宋体" w:hAnsi="宋体" w:eastAsia="宋体" w:cs="宋体"/>
          <w:bCs/>
          <w:szCs w:val="21"/>
        </w:rPr>
      </w:pPr>
      <w:bookmarkStart w:id="148" w:name="_Toc227228988"/>
      <w:bookmarkStart w:id="149" w:name="_Toc227827677"/>
      <w:r>
        <w:rPr>
          <w:rFonts w:hint="eastAsia" w:ascii="宋体" w:hAnsi="宋体" w:eastAsia="宋体" w:cs="宋体"/>
          <w:bCs/>
          <w:szCs w:val="21"/>
        </w:rPr>
        <w:t>表A.1土石方平衡设计所需资料表</w:t>
      </w:r>
      <w:bookmarkEnd w:id="148"/>
      <w:bookmarkEnd w:id="149"/>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161"/>
        <w:gridCol w:w="7358"/>
      </w:tblGrid>
      <w:tr w14:paraId="3CDB5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1" w:type="pct"/>
          </w:tcPr>
          <w:p w14:paraId="3DE3EEF8">
            <w:pPr>
              <w:spacing w:before="120" w:after="120" w:line="288" w:lineRule="auto"/>
              <w:jc w:val="center"/>
              <w:rPr>
                <w:rFonts w:ascii="宋体" w:hAnsi="宋体" w:eastAsia="宋体"/>
                <w:szCs w:val="21"/>
                <w:shd w:val="clear" w:color="auto" w:fill="FFFFFF"/>
              </w:rPr>
            </w:pPr>
            <w:bookmarkStart w:id="150" w:name="_Toc945"/>
            <w:r>
              <w:rPr>
                <w:rFonts w:ascii="宋体" w:hAnsi="宋体" w:eastAsia="宋体"/>
                <w:szCs w:val="21"/>
                <w:shd w:val="clear" w:color="auto" w:fill="FFFFFF"/>
              </w:rPr>
              <w:t>序号</w:t>
            </w:r>
          </w:p>
        </w:tc>
        <w:tc>
          <w:tcPr>
            <w:tcW w:w="628" w:type="pct"/>
          </w:tcPr>
          <w:p w14:paraId="346098EF">
            <w:pPr>
              <w:spacing w:before="120" w:after="120" w:line="288" w:lineRule="auto"/>
              <w:jc w:val="center"/>
              <w:rPr>
                <w:rFonts w:ascii="宋体" w:hAnsi="宋体" w:eastAsia="宋体"/>
                <w:szCs w:val="21"/>
                <w:shd w:val="clear" w:color="auto" w:fill="FFFFFF"/>
              </w:rPr>
            </w:pPr>
            <w:r>
              <w:rPr>
                <w:rFonts w:ascii="宋体" w:hAnsi="宋体" w:eastAsia="宋体"/>
                <w:szCs w:val="21"/>
                <w:shd w:val="clear" w:color="auto" w:fill="FFFFFF"/>
              </w:rPr>
              <w:t>内容</w:t>
            </w:r>
          </w:p>
        </w:tc>
        <w:tc>
          <w:tcPr>
            <w:tcW w:w="3981" w:type="pct"/>
          </w:tcPr>
          <w:p w14:paraId="43554A1A">
            <w:pPr>
              <w:spacing w:before="120" w:after="120" w:line="288" w:lineRule="auto"/>
              <w:jc w:val="center"/>
              <w:rPr>
                <w:rFonts w:ascii="宋体" w:hAnsi="宋体" w:eastAsia="宋体"/>
                <w:szCs w:val="21"/>
                <w:shd w:val="clear" w:color="auto" w:fill="FFFFFF"/>
              </w:rPr>
            </w:pPr>
            <w:r>
              <w:rPr>
                <w:rFonts w:ascii="宋体" w:hAnsi="宋体" w:eastAsia="宋体"/>
                <w:szCs w:val="21"/>
                <w:shd w:val="clear" w:color="auto" w:fill="FFFFFF"/>
              </w:rPr>
              <w:t>所需资料</w:t>
            </w:r>
          </w:p>
        </w:tc>
      </w:tr>
      <w:tr w14:paraId="52CE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 w:type="pct"/>
            <w:vAlign w:val="center"/>
          </w:tcPr>
          <w:p w14:paraId="5069BD70">
            <w:pPr>
              <w:spacing w:before="120" w:after="120" w:line="288" w:lineRule="auto"/>
              <w:jc w:val="center"/>
              <w:rPr>
                <w:rFonts w:ascii="宋体" w:hAnsi="宋体" w:eastAsia="宋体"/>
                <w:szCs w:val="21"/>
                <w:shd w:val="clear" w:color="auto" w:fill="FFFFFF"/>
              </w:rPr>
            </w:pPr>
            <w:r>
              <w:rPr>
                <w:rFonts w:ascii="宋体" w:hAnsi="宋体" w:eastAsia="宋体"/>
                <w:szCs w:val="21"/>
                <w:shd w:val="clear" w:color="auto" w:fill="FFFFFF"/>
              </w:rPr>
              <w:t>1</w:t>
            </w:r>
          </w:p>
        </w:tc>
        <w:tc>
          <w:tcPr>
            <w:tcW w:w="628" w:type="pct"/>
            <w:vAlign w:val="center"/>
          </w:tcPr>
          <w:p w14:paraId="43735D40">
            <w:pPr>
              <w:spacing w:before="120" w:after="120" w:line="288" w:lineRule="auto"/>
              <w:jc w:val="center"/>
              <w:rPr>
                <w:rFonts w:ascii="宋体" w:hAnsi="宋体" w:eastAsia="宋体"/>
                <w:szCs w:val="21"/>
                <w:shd w:val="clear" w:color="auto" w:fill="FFFFFF"/>
              </w:rPr>
            </w:pPr>
            <w:r>
              <w:rPr>
                <w:rFonts w:ascii="宋体" w:hAnsi="宋体" w:eastAsia="宋体"/>
                <w:szCs w:val="21"/>
                <w:shd w:val="clear" w:color="auto" w:fill="FFFFFF"/>
              </w:rPr>
              <w:t>勘探资料</w:t>
            </w:r>
          </w:p>
        </w:tc>
        <w:tc>
          <w:tcPr>
            <w:tcW w:w="3981" w:type="pct"/>
          </w:tcPr>
          <w:p w14:paraId="2F87D7F6">
            <w:pPr>
              <w:numPr>
                <w:ilvl w:val="0"/>
                <w:numId w:val="2"/>
              </w:numPr>
              <w:spacing w:before="120" w:after="120" w:line="288" w:lineRule="auto"/>
              <w:ind w:firstLine="420" w:firstLineChars="200"/>
              <w:jc w:val="left"/>
              <w:rPr>
                <w:rFonts w:ascii="宋体" w:hAnsi="宋体" w:eastAsia="宋体"/>
                <w:szCs w:val="21"/>
                <w:shd w:val="clear" w:color="auto" w:fill="FFFFFF"/>
              </w:rPr>
            </w:pPr>
            <w:r>
              <w:rPr>
                <w:rFonts w:ascii="宋体" w:hAnsi="宋体" w:eastAsia="宋体"/>
                <w:szCs w:val="21"/>
                <w:shd w:val="clear" w:color="auto" w:fill="FFFFFF"/>
              </w:rPr>
              <w:t>比例尺为1 : 5000</w:t>
            </w:r>
            <w:r>
              <w:rPr>
                <w:rFonts w:hint="eastAsia" w:ascii="宋体" w:hAnsi="宋体" w:eastAsia="宋体"/>
                <w:szCs w:val="21"/>
                <w:shd w:val="clear" w:color="auto" w:fill="FFFFFF"/>
              </w:rPr>
              <w:t>～</w:t>
            </w:r>
            <w:r>
              <w:rPr>
                <w:rFonts w:ascii="宋体" w:hAnsi="宋体" w:eastAsia="宋体"/>
                <w:szCs w:val="21"/>
                <w:shd w:val="clear" w:color="auto" w:fill="FFFFFF"/>
              </w:rPr>
              <w:t>1 : 500的料场地形图、综合平面图、地质剖面图、地质平切图及地质参数等。</w:t>
            </w:r>
          </w:p>
          <w:p w14:paraId="4778F081">
            <w:pPr>
              <w:numPr>
                <w:ilvl w:val="0"/>
                <w:numId w:val="2"/>
              </w:numPr>
              <w:spacing w:before="120" w:after="120" w:line="288" w:lineRule="auto"/>
              <w:ind w:firstLine="420" w:firstLineChars="200"/>
              <w:jc w:val="left"/>
              <w:rPr>
                <w:rFonts w:ascii="宋体" w:hAnsi="宋体" w:eastAsia="宋体"/>
                <w:szCs w:val="21"/>
                <w:shd w:val="clear" w:color="auto" w:fill="FFFFFF"/>
              </w:rPr>
            </w:pPr>
            <w:r>
              <w:rPr>
                <w:rFonts w:ascii="宋体" w:hAnsi="宋体" w:eastAsia="宋体"/>
                <w:szCs w:val="21"/>
                <w:shd w:val="clear" w:color="auto" w:fill="FFFFFF"/>
              </w:rPr>
              <w:t>天然建筑材料勘察报告，包括各类天然建筑材料料源的分布、 位置、储量、质量、开采及运输条件等。</w:t>
            </w:r>
          </w:p>
        </w:tc>
      </w:tr>
      <w:tr w14:paraId="37A0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 w:type="pct"/>
            <w:vAlign w:val="center"/>
          </w:tcPr>
          <w:p w14:paraId="6546013F">
            <w:pPr>
              <w:spacing w:before="120" w:after="120" w:line="288" w:lineRule="auto"/>
              <w:jc w:val="center"/>
              <w:rPr>
                <w:rFonts w:ascii="宋体" w:hAnsi="宋体" w:eastAsia="宋体"/>
                <w:szCs w:val="21"/>
                <w:shd w:val="clear" w:color="auto" w:fill="FFFFFF"/>
              </w:rPr>
            </w:pPr>
            <w:r>
              <w:rPr>
                <w:rFonts w:ascii="宋体" w:hAnsi="宋体" w:eastAsia="宋体"/>
                <w:szCs w:val="21"/>
                <w:shd w:val="clear" w:color="auto" w:fill="FFFFFF"/>
              </w:rPr>
              <w:t>2</w:t>
            </w:r>
          </w:p>
        </w:tc>
        <w:tc>
          <w:tcPr>
            <w:tcW w:w="628" w:type="pct"/>
            <w:vAlign w:val="center"/>
          </w:tcPr>
          <w:p w14:paraId="4EC5EEC9">
            <w:pPr>
              <w:spacing w:before="120" w:after="120" w:line="288" w:lineRule="auto"/>
              <w:jc w:val="center"/>
              <w:rPr>
                <w:rFonts w:ascii="宋体" w:hAnsi="宋体" w:eastAsia="宋体"/>
                <w:szCs w:val="21"/>
                <w:shd w:val="clear" w:color="auto" w:fill="FFFFFF"/>
              </w:rPr>
            </w:pPr>
            <w:r>
              <w:rPr>
                <w:rFonts w:ascii="宋体" w:hAnsi="宋体" w:eastAsia="宋体"/>
                <w:szCs w:val="21"/>
                <w:shd w:val="clear" w:color="auto" w:fill="FFFFFF"/>
              </w:rPr>
              <w:t>试验资料</w:t>
            </w:r>
          </w:p>
        </w:tc>
        <w:tc>
          <w:tcPr>
            <w:tcW w:w="3981" w:type="pct"/>
          </w:tcPr>
          <w:p w14:paraId="4E8977E3">
            <w:pPr>
              <w:numPr>
                <w:ilvl w:val="0"/>
                <w:numId w:val="3"/>
              </w:numPr>
              <w:spacing w:before="120" w:after="120" w:line="288" w:lineRule="auto"/>
              <w:ind w:firstLine="420" w:firstLineChars="200"/>
              <w:jc w:val="left"/>
              <w:rPr>
                <w:rFonts w:ascii="宋体" w:hAnsi="宋体" w:eastAsia="宋体"/>
                <w:szCs w:val="21"/>
                <w:shd w:val="clear" w:color="auto" w:fill="FFFFFF"/>
              </w:rPr>
            </w:pPr>
            <w:r>
              <w:rPr>
                <w:rFonts w:ascii="宋体" w:hAnsi="宋体" w:eastAsia="宋体"/>
                <w:szCs w:val="21"/>
                <w:shd w:val="clear" w:color="auto" w:fill="FFFFFF"/>
              </w:rPr>
              <w:t>原材料检测试验资料，包括物理力学指标、矿物成分分析、游离云母含量检测试验、破碎试验、颗分试验、碱骨料反应试验、骨料品质检测试验等成果。</w:t>
            </w:r>
          </w:p>
          <w:p w14:paraId="78AEFC1E">
            <w:pPr>
              <w:numPr>
                <w:ilvl w:val="0"/>
                <w:numId w:val="3"/>
              </w:numPr>
              <w:spacing w:before="120" w:after="120" w:line="288" w:lineRule="auto"/>
              <w:ind w:firstLine="420" w:firstLineChars="200"/>
              <w:jc w:val="left"/>
              <w:rPr>
                <w:rFonts w:ascii="宋体" w:hAnsi="宋体" w:eastAsia="宋体"/>
                <w:szCs w:val="21"/>
                <w:shd w:val="clear" w:color="auto" w:fill="FFFFFF"/>
              </w:rPr>
            </w:pPr>
            <w:r>
              <w:rPr>
                <w:rFonts w:ascii="宋体" w:hAnsi="宋体" w:eastAsia="宋体"/>
                <w:szCs w:val="21"/>
                <w:shd w:val="clear" w:color="auto" w:fill="FFFFFF"/>
              </w:rPr>
              <w:t>土料抗剪强度、压缩、击实、渗透、含水率、化学成分分析等试验成果。</w:t>
            </w:r>
          </w:p>
          <w:p w14:paraId="2B606F89">
            <w:pPr>
              <w:numPr>
                <w:ilvl w:val="0"/>
                <w:numId w:val="3"/>
              </w:numPr>
              <w:spacing w:before="120" w:after="120" w:line="288" w:lineRule="auto"/>
              <w:ind w:firstLine="420" w:firstLineChars="200"/>
              <w:jc w:val="left"/>
              <w:rPr>
                <w:rFonts w:ascii="宋体" w:hAnsi="宋体" w:eastAsia="宋体"/>
                <w:szCs w:val="21"/>
                <w:shd w:val="clear" w:color="auto" w:fill="FFFFFF"/>
              </w:rPr>
            </w:pPr>
            <w:r>
              <w:rPr>
                <w:rFonts w:ascii="宋体" w:hAnsi="宋体" w:eastAsia="宋体"/>
                <w:szCs w:val="21"/>
                <w:shd w:val="clear" w:color="auto" w:fill="FFFFFF"/>
              </w:rPr>
              <w:t>混凝土性能试验及抑制骨料碱活性试验成果。</w:t>
            </w:r>
          </w:p>
          <w:p w14:paraId="744D8838">
            <w:pPr>
              <w:numPr>
                <w:ilvl w:val="0"/>
                <w:numId w:val="3"/>
              </w:numPr>
              <w:spacing w:before="120" w:after="120" w:line="288" w:lineRule="auto"/>
              <w:ind w:firstLine="420" w:firstLineChars="200"/>
              <w:jc w:val="left"/>
              <w:rPr>
                <w:rFonts w:ascii="宋体" w:hAnsi="宋体" w:eastAsia="宋体"/>
                <w:szCs w:val="21"/>
                <w:shd w:val="clear" w:color="auto" w:fill="FFFFFF"/>
              </w:rPr>
            </w:pPr>
            <w:r>
              <w:rPr>
                <w:rFonts w:ascii="宋体" w:hAnsi="宋体" w:eastAsia="宋体"/>
                <w:szCs w:val="21"/>
                <w:shd w:val="clear" w:color="auto" w:fill="FFFFFF"/>
              </w:rPr>
              <w:t>爆破试验成果。</w:t>
            </w:r>
          </w:p>
        </w:tc>
      </w:tr>
      <w:tr w14:paraId="3E4B9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 w:type="pct"/>
            <w:vAlign w:val="center"/>
          </w:tcPr>
          <w:p w14:paraId="1F25542C">
            <w:pPr>
              <w:spacing w:before="120" w:after="120" w:line="288" w:lineRule="auto"/>
              <w:jc w:val="center"/>
              <w:rPr>
                <w:rFonts w:ascii="宋体" w:hAnsi="宋体" w:eastAsia="宋体"/>
                <w:szCs w:val="21"/>
                <w:shd w:val="clear" w:color="auto" w:fill="FFFFFF"/>
              </w:rPr>
            </w:pPr>
            <w:r>
              <w:rPr>
                <w:rFonts w:ascii="宋体" w:hAnsi="宋体" w:eastAsia="宋体"/>
                <w:szCs w:val="21"/>
                <w:shd w:val="clear" w:color="auto" w:fill="FFFFFF"/>
              </w:rPr>
              <w:t>3</w:t>
            </w:r>
          </w:p>
        </w:tc>
        <w:tc>
          <w:tcPr>
            <w:tcW w:w="628" w:type="pct"/>
            <w:vAlign w:val="center"/>
          </w:tcPr>
          <w:p w14:paraId="41C30699">
            <w:pPr>
              <w:spacing w:before="120" w:after="120" w:line="288" w:lineRule="auto"/>
              <w:jc w:val="center"/>
              <w:rPr>
                <w:rFonts w:ascii="宋体" w:hAnsi="宋体" w:eastAsia="宋体"/>
                <w:szCs w:val="21"/>
                <w:shd w:val="clear" w:color="auto" w:fill="FFFFFF"/>
              </w:rPr>
            </w:pPr>
            <w:r>
              <w:rPr>
                <w:rFonts w:ascii="宋体" w:hAnsi="宋体" w:eastAsia="宋体"/>
                <w:szCs w:val="21"/>
                <w:shd w:val="clear" w:color="auto" w:fill="FFFFFF"/>
              </w:rPr>
              <w:t>设计资料</w:t>
            </w:r>
          </w:p>
        </w:tc>
        <w:tc>
          <w:tcPr>
            <w:tcW w:w="3981" w:type="pct"/>
          </w:tcPr>
          <w:p w14:paraId="15E273F9">
            <w:pPr>
              <w:numPr>
                <w:ilvl w:val="0"/>
                <w:numId w:val="4"/>
              </w:numPr>
              <w:spacing w:before="120" w:after="120" w:line="288" w:lineRule="auto"/>
              <w:ind w:left="0" w:firstLine="420" w:firstLineChars="200"/>
              <w:jc w:val="left"/>
              <w:rPr>
                <w:rFonts w:ascii="宋体" w:hAnsi="宋体" w:eastAsia="宋体"/>
                <w:szCs w:val="21"/>
                <w:shd w:val="clear" w:color="auto" w:fill="FFFFFF"/>
              </w:rPr>
            </w:pPr>
            <w:r>
              <w:rPr>
                <w:rFonts w:ascii="宋体" w:hAnsi="宋体" w:eastAsia="宋体"/>
                <w:szCs w:val="21"/>
                <w:shd w:val="clear" w:color="auto" w:fill="FFFFFF"/>
              </w:rPr>
              <w:t>料场所在位置的水文资料、洪水特性、各种频率的流量、水位流量关系、冬季冰凌情况、泥石流情况。</w:t>
            </w:r>
          </w:p>
          <w:p w14:paraId="15280149">
            <w:pPr>
              <w:numPr>
                <w:ilvl w:val="0"/>
                <w:numId w:val="4"/>
              </w:numPr>
              <w:spacing w:before="120" w:after="120" w:line="288" w:lineRule="auto"/>
              <w:ind w:left="0" w:firstLine="420" w:firstLineChars="200"/>
              <w:jc w:val="left"/>
              <w:rPr>
                <w:rFonts w:ascii="宋体" w:hAnsi="宋体" w:eastAsia="宋体"/>
                <w:szCs w:val="21"/>
                <w:shd w:val="clear" w:color="auto" w:fill="FFFFFF"/>
              </w:rPr>
            </w:pPr>
            <w:r>
              <w:rPr>
                <w:rFonts w:ascii="宋体" w:hAnsi="宋体" w:eastAsia="宋体"/>
                <w:szCs w:val="21"/>
                <w:shd w:val="clear" w:color="auto" w:fill="FFFFFF"/>
              </w:rPr>
              <w:t>枢纽建筑物布置图和工程量，工程量主要包括工程各部位土石方开挖量、各部位混凝土量、围堰填筑量和大坝填筑量等。</w:t>
            </w:r>
          </w:p>
          <w:p w14:paraId="694F8F94">
            <w:pPr>
              <w:numPr>
                <w:ilvl w:val="0"/>
                <w:numId w:val="4"/>
              </w:numPr>
              <w:spacing w:before="120" w:after="120" w:line="288" w:lineRule="auto"/>
              <w:ind w:left="0" w:firstLine="420" w:firstLineChars="200"/>
              <w:jc w:val="left"/>
              <w:rPr>
                <w:rFonts w:ascii="宋体" w:hAnsi="宋体" w:eastAsia="宋体"/>
                <w:szCs w:val="21"/>
                <w:shd w:val="clear" w:color="auto" w:fill="FFFFFF"/>
              </w:rPr>
            </w:pPr>
            <w:r>
              <w:rPr>
                <w:rFonts w:ascii="宋体" w:hAnsi="宋体" w:eastAsia="宋体"/>
                <w:szCs w:val="21"/>
                <w:shd w:val="clear" w:color="auto" w:fill="FFFFFF"/>
              </w:rPr>
              <w:t>施工总布置，砂石加工系统和混凝土系统的布置，进场公路和场内公路的布置，存弃渣场布置，</w:t>
            </w:r>
            <w:r>
              <w:rPr>
                <w:rFonts w:hint="eastAsia" w:ascii="宋体" w:hAnsi="宋体" w:eastAsia="宋体" w:cs="宋体"/>
                <w:szCs w:val="21"/>
                <w:shd w:val="clear" w:color="auto" w:fill="FFFFFF"/>
              </w:rPr>
              <w:t>料场规划图、开采图、道路布置图等资料</w:t>
            </w:r>
            <w:r>
              <w:rPr>
                <w:rFonts w:ascii="宋体" w:hAnsi="宋体" w:eastAsia="宋体"/>
                <w:szCs w:val="21"/>
                <w:shd w:val="clear" w:color="auto" w:fill="FFFFFF"/>
              </w:rPr>
              <w:t>。</w:t>
            </w:r>
          </w:p>
          <w:p w14:paraId="2A5E36FB">
            <w:pPr>
              <w:numPr>
                <w:ilvl w:val="0"/>
                <w:numId w:val="4"/>
              </w:numPr>
              <w:spacing w:before="120" w:after="120" w:line="288" w:lineRule="auto"/>
              <w:ind w:left="0" w:firstLine="420" w:firstLineChars="200"/>
              <w:jc w:val="left"/>
              <w:rPr>
                <w:rFonts w:ascii="宋体" w:hAnsi="宋体" w:eastAsia="宋体"/>
                <w:szCs w:val="21"/>
                <w:shd w:val="clear" w:color="auto" w:fill="FFFFFF"/>
              </w:rPr>
            </w:pPr>
            <w:r>
              <w:rPr>
                <w:rFonts w:ascii="宋体" w:hAnsi="宋体" w:eastAsia="宋体"/>
                <w:szCs w:val="21"/>
                <w:shd w:val="clear" w:color="auto" w:fill="FFFFFF"/>
              </w:rPr>
              <w:t>施工总进度资料，与工程施工总进度相对应的坝体填筑料、围堰填筑料和不同时段的混凝土工程量及高峰强度。</w:t>
            </w:r>
          </w:p>
          <w:p w14:paraId="747CE299">
            <w:pPr>
              <w:numPr>
                <w:ilvl w:val="0"/>
                <w:numId w:val="4"/>
              </w:numPr>
              <w:spacing w:before="120" w:after="120" w:line="288" w:lineRule="auto"/>
              <w:ind w:left="0" w:firstLine="420" w:firstLineChars="200"/>
              <w:jc w:val="left"/>
              <w:rPr>
                <w:rFonts w:ascii="宋体" w:hAnsi="宋体" w:eastAsia="宋体"/>
                <w:szCs w:val="21"/>
                <w:shd w:val="clear" w:color="auto" w:fill="FFFFFF"/>
              </w:rPr>
            </w:pPr>
            <w:r>
              <w:rPr>
                <w:rFonts w:ascii="宋体" w:hAnsi="宋体" w:eastAsia="宋体"/>
                <w:szCs w:val="21"/>
                <w:shd w:val="clear" w:color="auto" w:fill="FFFFFF"/>
              </w:rPr>
              <w:t>料场区域环境保护与水土保持方面的调查资料。</w:t>
            </w:r>
          </w:p>
          <w:p w14:paraId="7CD6FD9B">
            <w:pPr>
              <w:numPr>
                <w:ilvl w:val="0"/>
                <w:numId w:val="4"/>
              </w:numPr>
              <w:spacing w:before="120" w:after="120" w:line="288" w:lineRule="auto"/>
              <w:ind w:left="0" w:firstLine="420" w:firstLineChars="200"/>
              <w:jc w:val="left"/>
              <w:rPr>
                <w:rFonts w:ascii="宋体" w:hAnsi="宋体" w:eastAsia="宋体"/>
                <w:szCs w:val="21"/>
                <w:shd w:val="clear" w:color="auto" w:fill="FFFFFF"/>
              </w:rPr>
            </w:pPr>
            <w:r>
              <w:rPr>
                <w:rFonts w:ascii="宋体" w:hAnsi="宋体" w:eastAsia="宋体"/>
                <w:szCs w:val="21"/>
                <w:shd w:val="clear" w:color="auto" w:fill="FFFFFF"/>
              </w:rPr>
              <w:t>当地及各有关部门的要求。</w:t>
            </w:r>
          </w:p>
        </w:tc>
      </w:tr>
      <w:bookmarkEnd w:id="150"/>
    </w:tbl>
    <w:p w14:paraId="73A1567D">
      <w:pPr>
        <w:jc w:val="center"/>
        <w:rPr>
          <w:rFonts w:ascii="宋体" w:hAnsi="宋体" w:eastAsia="宋体" w:cs="宋体"/>
          <w:b/>
          <w:bCs/>
          <w:szCs w:val="21"/>
        </w:rPr>
      </w:pPr>
    </w:p>
    <w:p w14:paraId="5E65DDF6">
      <w:pPr>
        <w:rPr>
          <w:rFonts w:ascii="宋体" w:hAnsi="宋体" w:eastAsia="宋体" w:cs="宋体"/>
          <w:b/>
          <w:bCs/>
          <w:szCs w:val="21"/>
        </w:rPr>
      </w:pPr>
      <w:r>
        <w:rPr>
          <w:rFonts w:hint="eastAsia" w:ascii="宋体" w:hAnsi="宋体" w:eastAsia="宋体" w:cs="宋体"/>
          <w:b/>
          <w:bCs/>
          <w:szCs w:val="21"/>
        </w:rPr>
        <w:br w:type="page"/>
      </w:r>
    </w:p>
    <w:p w14:paraId="429A003C"/>
    <w:bookmarkEnd w:id="147"/>
    <w:p w14:paraId="737F0858">
      <w:pPr>
        <w:spacing w:before="120" w:after="120" w:line="288" w:lineRule="auto"/>
        <w:ind w:firstLine="422" w:firstLineChars="200"/>
        <w:jc w:val="center"/>
        <w:outlineLvl w:val="0"/>
        <w:rPr>
          <w:rFonts w:ascii="黑体" w:hAnsi="黑体" w:eastAsia="黑体" w:cs="黑体"/>
          <w:b/>
          <w:szCs w:val="21"/>
        </w:rPr>
      </w:pPr>
      <w:bookmarkStart w:id="151" w:name="_Toc227827678"/>
      <w:bookmarkStart w:id="152" w:name="_Toc3737"/>
      <w:bookmarkStart w:id="153" w:name="_Toc14530"/>
      <w:bookmarkStart w:id="154" w:name="_Toc12175"/>
      <w:bookmarkStart w:id="155" w:name="_Toc12170"/>
      <w:bookmarkStart w:id="156" w:name="_Toc10841"/>
      <w:r>
        <w:rPr>
          <w:rFonts w:hint="eastAsia" w:ascii="黑体" w:hAnsi="黑体" w:eastAsia="黑体" w:cs="黑体"/>
          <w:b/>
          <w:szCs w:val="21"/>
        </w:rPr>
        <w:t>附录B</w:t>
      </w:r>
      <w:bookmarkEnd w:id="151"/>
    </w:p>
    <w:p w14:paraId="0B8B9FB1">
      <w:pPr>
        <w:spacing w:before="120" w:after="120" w:line="288" w:lineRule="auto"/>
        <w:ind w:firstLine="422" w:firstLineChars="200"/>
        <w:jc w:val="center"/>
        <w:rPr>
          <w:rFonts w:ascii="黑体" w:hAnsi="黑体" w:eastAsia="黑体" w:cs="黑体"/>
          <w:b/>
          <w:szCs w:val="21"/>
        </w:rPr>
      </w:pPr>
      <w:r>
        <w:rPr>
          <w:rFonts w:hint="eastAsia" w:ascii="黑体" w:hAnsi="黑体" w:eastAsia="黑体" w:cs="黑体"/>
          <w:b/>
          <w:szCs w:val="21"/>
        </w:rPr>
        <w:t>（规范性）</w:t>
      </w:r>
    </w:p>
    <w:p w14:paraId="237B2BE0">
      <w:pPr>
        <w:spacing w:before="120" w:after="120" w:line="288" w:lineRule="auto"/>
        <w:ind w:firstLine="422" w:firstLineChars="200"/>
        <w:jc w:val="center"/>
        <w:rPr>
          <w:rFonts w:ascii="宋体" w:hAnsi="宋体" w:eastAsia="宋体" w:cs="宋体"/>
          <w:b/>
          <w:szCs w:val="21"/>
        </w:rPr>
      </w:pPr>
      <w:r>
        <w:rPr>
          <w:rFonts w:hint="eastAsia" w:ascii="黑体" w:hAnsi="黑体" w:eastAsia="黑体" w:cs="黑体"/>
          <w:b/>
          <w:szCs w:val="21"/>
        </w:rPr>
        <w:t>设计需要量、规划开采量计算</w:t>
      </w:r>
    </w:p>
    <w:p w14:paraId="3F477076">
      <w:pPr>
        <w:spacing w:line="400" w:lineRule="exact"/>
        <w:jc w:val="left"/>
        <w:outlineLvl w:val="1"/>
        <w:rPr>
          <w:rFonts w:ascii="宋体" w:hAnsi="宋体" w:eastAsia="宋体" w:cs="宋体"/>
          <w:szCs w:val="21"/>
        </w:rPr>
      </w:pPr>
      <w:bookmarkStart w:id="157" w:name="_Toc227228990"/>
      <w:bookmarkStart w:id="158" w:name="_Toc227827679"/>
      <w:r>
        <w:rPr>
          <w:rFonts w:hint="eastAsia" w:ascii="宋体" w:hAnsi="宋体" w:eastAsia="宋体" w:cs="宋体"/>
          <w:szCs w:val="21"/>
        </w:rPr>
        <w:t>B.1 设计需要量计算</w:t>
      </w:r>
      <w:bookmarkEnd w:id="157"/>
      <w:bookmarkEnd w:id="158"/>
    </w:p>
    <w:p w14:paraId="4DD7E8D7">
      <w:pPr>
        <w:spacing w:line="400" w:lineRule="exact"/>
        <w:outlineLvl w:val="2"/>
        <w:rPr>
          <w:rFonts w:ascii="宋体" w:hAnsi="宋体" w:eastAsia="宋体"/>
          <w:szCs w:val="21"/>
        </w:rPr>
      </w:pPr>
      <w:bookmarkStart w:id="159" w:name="_Toc218697196"/>
      <w:bookmarkStart w:id="160" w:name="_Toc5549"/>
      <w:r>
        <w:rPr>
          <w:rFonts w:hint="eastAsia" w:ascii="宋体" w:hAnsi="宋体" w:eastAsia="宋体"/>
          <w:szCs w:val="21"/>
        </w:rPr>
        <w:t>B.1.1 土料设计需要量</w:t>
      </w:r>
      <w:bookmarkEnd w:id="159"/>
      <w:bookmarkEnd w:id="160"/>
    </w:p>
    <w:p w14:paraId="6FB4264C">
      <w:pPr>
        <w:spacing w:line="400" w:lineRule="exact"/>
        <w:ind w:firstLine="420"/>
        <w:rPr>
          <w:rFonts w:ascii="Times New Roman" w:hAnsi="Times New Roman" w:eastAsia="宋体"/>
          <w:szCs w:val="21"/>
        </w:rPr>
      </w:pPr>
      <w:r>
        <w:rPr>
          <w:rFonts w:hint="eastAsia" w:ascii="Times New Roman" w:hAnsi="Times New Roman" w:eastAsia="宋体"/>
          <w:szCs w:val="21"/>
        </w:rPr>
        <w:t>土料的设计需要量，以自然方计，按下式计算：</w:t>
      </w:r>
    </w:p>
    <w:p w14:paraId="1FF191F4">
      <w:pPr>
        <w:spacing w:line="400" w:lineRule="atLeast"/>
        <w:ind w:firstLine="420"/>
        <w:jc w:val="right"/>
        <w:rPr>
          <w:rFonts w:ascii="Times New Roman" w:hAnsi="Times New Roman" w:eastAsia="宋体"/>
          <w:szCs w:val="21"/>
        </w:rPr>
      </w:pPr>
      <w:r>
        <w:rPr>
          <w:rFonts w:ascii="Times New Roman" w:hAnsi="Times New Roman" w:eastAsia="宋体"/>
          <w:position w:val="-30"/>
          <w:szCs w:val="21"/>
        </w:rPr>
        <w:object>
          <v:shape id="_x0000_i1025" o:spt="75" type="#_x0000_t75" style="height:35pt;width:16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ascii="Times New Roman" w:hAnsi="Times New Roman" w:eastAsia="宋体"/>
          <w:position w:val="-30"/>
          <w:szCs w:val="21"/>
        </w:rPr>
        <w:t xml:space="preserve">                     (B1.1)</w:t>
      </w:r>
    </w:p>
    <w:p w14:paraId="58FD5D5E">
      <w:pPr>
        <w:spacing w:line="400" w:lineRule="atLeast"/>
        <w:ind w:firstLine="420"/>
        <w:rPr>
          <w:rFonts w:ascii="Times New Roman" w:hAnsi="Times New Roman" w:eastAsia="宋体"/>
          <w:szCs w:val="21"/>
        </w:rPr>
      </w:pPr>
      <w:r>
        <w:rPr>
          <w:rFonts w:hint="eastAsia" w:ascii="Times New Roman" w:hAnsi="Times New Roman" w:eastAsia="宋体"/>
          <w:szCs w:val="21"/>
        </w:rPr>
        <w:t>上式中</w:t>
      </w:r>
      <w:r>
        <w:rPr>
          <w:rFonts w:hint="eastAsia" w:ascii="Times New Roman" w:hAnsi="Times New Roman" w:eastAsia="宋体"/>
          <w:i/>
          <w:szCs w:val="21"/>
        </w:rPr>
        <w:t>V</w:t>
      </w:r>
      <w:r>
        <w:rPr>
          <w:rFonts w:hint="eastAsia" w:ascii="Times New Roman" w:hAnsi="Times New Roman" w:eastAsia="宋体"/>
          <w:szCs w:val="21"/>
          <w:vertAlign w:val="subscript"/>
        </w:rPr>
        <w:t>土料</w:t>
      </w:r>
      <w:r>
        <w:rPr>
          <w:rFonts w:hint="eastAsia" w:ascii="Times New Roman" w:hAnsi="Times New Roman" w:eastAsia="宋体"/>
          <w:szCs w:val="21"/>
        </w:rPr>
        <w:t>是指土料的设计工程量，即土料填筑后的方量，以压实后的坝上方计。</w:t>
      </w:r>
    </w:p>
    <w:p w14:paraId="3549E881">
      <w:pPr>
        <w:spacing w:line="400" w:lineRule="atLeast"/>
        <w:outlineLvl w:val="2"/>
        <w:rPr>
          <w:rFonts w:ascii="宋体" w:hAnsi="宋体" w:eastAsia="宋体"/>
          <w:szCs w:val="21"/>
        </w:rPr>
      </w:pPr>
      <w:bookmarkStart w:id="161" w:name="_Toc17991"/>
      <w:bookmarkStart w:id="162" w:name="_Toc218697197"/>
      <w:r>
        <w:rPr>
          <w:rFonts w:hint="eastAsia" w:ascii="宋体" w:hAnsi="宋体" w:eastAsia="宋体"/>
          <w:szCs w:val="21"/>
        </w:rPr>
        <w:t>B.1.2 混凝土骨料设计需要量</w:t>
      </w:r>
      <w:bookmarkEnd w:id="161"/>
      <w:bookmarkEnd w:id="162"/>
    </w:p>
    <w:p w14:paraId="1F46C5A3">
      <w:pPr>
        <w:spacing w:line="400" w:lineRule="atLeast"/>
        <w:ind w:firstLine="420"/>
        <w:rPr>
          <w:rFonts w:ascii="Times New Roman" w:hAnsi="Times New Roman" w:eastAsia="宋体"/>
          <w:szCs w:val="21"/>
        </w:rPr>
      </w:pPr>
      <w:r>
        <w:rPr>
          <w:rFonts w:hint="eastAsia" w:ascii="Times New Roman" w:hAnsi="Times New Roman" w:eastAsia="宋体"/>
          <w:szCs w:val="21"/>
        </w:rPr>
        <w:t>混凝土骨料的设计需要量</w:t>
      </w:r>
      <w:r>
        <w:rPr>
          <w:rFonts w:hint="eastAsia" w:ascii="Times New Roman" w:hAnsi="Times New Roman" w:eastAsia="宋体"/>
          <w:i/>
          <w:szCs w:val="21"/>
        </w:rPr>
        <w:t>V</w:t>
      </w:r>
      <w:r>
        <w:rPr>
          <w:rFonts w:hint="eastAsia" w:ascii="Times New Roman" w:hAnsi="Times New Roman" w:eastAsia="宋体"/>
          <w:szCs w:val="21"/>
          <w:vertAlign w:val="subscript"/>
        </w:rPr>
        <w:t>骨料</w:t>
      </w:r>
      <w:r>
        <w:rPr>
          <w:rFonts w:hint="eastAsia" w:ascii="Times New Roman" w:hAnsi="Times New Roman" w:eastAsia="宋体"/>
          <w:szCs w:val="21"/>
        </w:rPr>
        <w:t>，以自然方计，按下式计算：</w:t>
      </w:r>
    </w:p>
    <w:p w14:paraId="2788F4A7">
      <w:pPr>
        <w:spacing w:line="400" w:lineRule="atLeast"/>
        <w:ind w:firstLine="420"/>
        <w:jc w:val="right"/>
        <w:rPr>
          <w:rFonts w:ascii="Times New Roman" w:hAnsi="Times New Roman" w:eastAsia="宋体"/>
          <w:szCs w:val="21"/>
        </w:rPr>
      </w:pPr>
      <w:r>
        <w:rPr>
          <w:rFonts w:ascii="Times New Roman" w:hAnsi="Times New Roman" w:eastAsia="宋体"/>
          <w:position w:val="-14"/>
          <w:szCs w:val="21"/>
        </w:rPr>
        <w:object>
          <v:shape id="_x0000_i1026" o:spt="75" type="#_x0000_t75" style="height:19.5pt;width:182.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hint="eastAsia" w:ascii="Times New Roman" w:hAnsi="Times New Roman" w:eastAsia="宋体"/>
          <w:position w:val="-30"/>
          <w:szCs w:val="21"/>
        </w:rPr>
        <w:t xml:space="preserve">                     (B1.2)</w:t>
      </w:r>
    </w:p>
    <w:p w14:paraId="6197BC3A">
      <w:pPr>
        <w:spacing w:line="400" w:lineRule="atLeast"/>
        <w:ind w:firstLine="420"/>
        <w:rPr>
          <w:rFonts w:ascii="Times New Roman" w:hAnsi="Times New Roman" w:eastAsia="宋体"/>
          <w:szCs w:val="21"/>
        </w:rPr>
      </w:pPr>
      <w:r>
        <w:rPr>
          <w:rFonts w:hint="eastAsia" w:ascii="Times New Roman" w:hAnsi="Times New Roman" w:eastAsia="宋体"/>
          <w:szCs w:val="21"/>
        </w:rPr>
        <w:t>上式中</w:t>
      </w:r>
      <w:r>
        <w:rPr>
          <w:rFonts w:hint="eastAsia" w:ascii="Times New Roman" w:hAnsi="Times New Roman" w:eastAsia="宋体"/>
          <w:i/>
          <w:szCs w:val="21"/>
        </w:rPr>
        <w:t>K</w:t>
      </w:r>
      <w:r>
        <w:rPr>
          <w:rFonts w:hint="eastAsia" w:ascii="Times New Roman" w:hAnsi="Times New Roman" w:eastAsia="宋体"/>
          <w:szCs w:val="21"/>
          <w:vertAlign w:val="subscript"/>
        </w:rPr>
        <w:t>i</w:t>
      </w:r>
      <w:r>
        <w:rPr>
          <w:rFonts w:hint="eastAsia" w:ascii="Times New Roman" w:hAnsi="Times New Roman" w:eastAsia="宋体"/>
          <w:szCs w:val="21"/>
        </w:rPr>
        <w:t>为损耗补偿系数，</w:t>
      </w:r>
      <w:r>
        <w:rPr>
          <w:rFonts w:hint="eastAsia" w:ascii="Times New Roman" w:hAnsi="Times New Roman" w:eastAsia="宋体"/>
          <w:i/>
          <w:szCs w:val="21"/>
        </w:rPr>
        <w:t>V</w:t>
      </w:r>
      <w:r>
        <w:rPr>
          <w:rFonts w:hint="eastAsia" w:ascii="Times New Roman" w:hAnsi="Times New Roman" w:eastAsia="宋体"/>
          <w:szCs w:val="21"/>
        </w:rPr>
        <w:t>为混凝土设计工程量，即混凝土浇筑后的方量，以成品方计。</w:t>
      </w:r>
      <w:r>
        <w:rPr>
          <w:rFonts w:hint="eastAsia" w:ascii="Times New Roman" w:hAnsi="Times New Roman" w:eastAsia="宋体"/>
          <w:i/>
          <w:szCs w:val="21"/>
        </w:rPr>
        <w:t>D</w:t>
      </w:r>
      <w:r>
        <w:rPr>
          <w:rFonts w:hint="eastAsia" w:ascii="Times New Roman" w:hAnsi="Times New Roman" w:eastAsia="宋体"/>
          <w:szCs w:val="21"/>
        </w:rPr>
        <w:t>为由试验推荐的每立方米混凝土的骨料用量。当缺乏试验资料时，可按2150kg/m</w:t>
      </w:r>
      <w:r>
        <w:rPr>
          <w:rFonts w:hint="eastAsia" w:ascii="Times New Roman" w:hAnsi="Times New Roman" w:eastAsia="宋体"/>
          <w:szCs w:val="21"/>
          <w:vertAlign w:val="superscript"/>
        </w:rPr>
        <w:t>3</w:t>
      </w:r>
      <w:r>
        <w:rPr>
          <w:rFonts w:hint="eastAsia" w:ascii="Times New Roman" w:hAnsi="Times New Roman" w:eastAsia="宋体"/>
          <w:szCs w:val="21"/>
        </w:rPr>
        <w:t>~2300kg/m</w:t>
      </w:r>
      <w:r>
        <w:rPr>
          <w:rFonts w:hint="eastAsia" w:ascii="Times New Roman" w:hAnsi="Times New Roman" w:eastAsia="宋体"/>
          <w:szCs w:val="21"/>
          <w:vertAlign w:val="superscript"/>
        </w:rPr>
        <w:t>3</w:t>
      </w:r>
      <w:r>
        <w:rPr>
          <w:rFonts w:hint="eastAsia" w:ascii="Times New Roman" w:hAnsi="Times New Roman" w:eastAsia="宋体"/>
          <w:szCs w:val="21"/>
        </w:rPr>
        <w:t>的平均单位用量来估算。</w:t>
      </w:r>
      <w:r>
        <w:rPr>
          <w:rFonts w:ascii="Times New Roman" w:hAnsi="Times New Roman" w:eastAsia="宋体"/>
          <w:i/>
          <w:szCs w:val="21"/>
        </w:rPr>
        <w:t>γ</w:t>
      </w:r>
      <w:r>
        <w:rPr>
          <w:rFonts w:ascii="Times New Roman" w:hAnsi="Times New Roman" w:eastAsia="宋体"/>
          <w:szCs w:val="21"/>
          <w:vertAlign w:val="subscript"/>
        </w:rPr>
        <w:t>天然</w:t>
      </w:r>
      <w:r>
        <w:rPr>
          <w:rFonts w:ascii="Times New Roman" w:hAnsi="Times New Roman" w:eastAsia="宋体"/>
          <w:szCs w:val="21"/>
        </w:rPr>
        <w:t>是骨料料源天然密度，由试验资料确定。</w:t>
      </w:r>
    </w:p>
    <w:p w14:paraId="00B09354">
      <w:pPr>
        <w:spacing w:line="400" w:lineRule="atLeast"/>
        <w:outlineLvl w:val="2"/>
        <w:rPr>
          <w:rFonts w:ascii="宋体" w:hAnsi="宋体" w:eastAsia="宋体"/>
          <w:szCs w:val="21"/>
        </w:rPr>
      </w:pPr>
      <w:bookmarkStart w:id="163" w:name="_Toc218697198"/>
      <w:bookmarkStart w:id="164" w:name="_Toc18106"/>
      <w:r>
        <w:rPr>
          <w:rFonts w:hint="eastAsia" w:ascii="宋体" w:hAnsi="宋体" w:eastAsia="宋体"/>
          <w:szCs w:val="21"/>
        </w:rPr>
        <w:t>B.1.3 填筑石料设计需要量</w:t>
      </w:r>
      <w:bookmarkEnd w:id="163"/>
      <w:bookmarkEnd w:id="164"/>
    </w:p>
    <w:p w14:paraId="393C3858">
      <w:pPr>
        <w:spacing w:line="400" w:lineRule="atLeast"/>
        <w:ind w:firstLine="420"/>
        <w:rPr>
          <w:rFonts w:ascii="Times New Roman" w:hAnsi="Times New Roman" w:eastAsia="宋体"/>
          <w:szCs w:val="21"/>
        </w:rPr>
      </w:pPr>
      <w:r>
        <w:rPr>
          <w:rFonts w:hint="eastAsia" w:ascii="Times New Roman" w:hAnsi="Times New Roman" w:eastAsia="宋体"/>
          <w:szCs w:val="21"/>
        </w:rPr>
        <w:t>填筑石料的设计需要量</w:t>
      </w:r>
      <w:r>
        <w:rPr>
          <w:rFonts w:hint="eastAsia" w:ascii="Times New Roman" w:hAnsi="Times New Roman" w:eastAsia="宋体"/>
          <w:i/>
          <w:szCs w:val="21"/>
        </w:rPr>
        <w:t>V</w:t>
      </w:r>
      <w:r>
        <w:rPr>
          <w:rFonts w:hint="eastAsia" w:ascii="Times New Roman" w:hAnsi="Times New Roman" w:eastAsia="宋体"/>
          <w:szCs w:val="21"/>
          <w:vertAlign w:val="subscript"/>
        </w:rPr>
        <w:t>填筑料</w:t>
      </w:r>
      <w:r>
        <w:rPr>
          <w:rFonts w:hint="eastAsia" w:ascii="Times New Roman" w:hAnsi="Times New Roman" w:eastAsia="宋体"/>
          <w:szCs w:val="21"/>
        </w:rPr>
        <w:t>，以自然方计，按下式计算：</w:t>
      </w:r>
    </w:p>
    <w:p w14:paraId="227F0519">
      <w:pPr>
        <w:spacing w:line="400" w:lineRule="atLeast"/>
        <w:ind w:firstLine="420"/>
        <w:jc w:val="right"/>
        <w:rPr>
          <w:rFonts w:ascii="Times New Roman" w:hAnsi="Times New Roman" w:eastAsia="宋体"/>
          <w:szCs w:val="21"/>
        </w:rPr>
      </w:pPr>
      <w:r>
        <w:rPr>
          <w:rFonts w:ascii="Times New Roman" w:hAnsi="Times New Roman" w:eastAsia="宋体"/>
          <w:position w:val="-30"/>
          <w:szCs w:val="21"/>
        </w:rPr>
        <w:object>
          <v:shape id="_x0000_i1027" o:spt="75" type="#_x0000_t75" style="height:35pt;width:164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hint="eastAsia" w:ascii="Times New Roman" w:hAnsi="Times New Roman" w:eastAsia="宋体"/>
          <w:position w:val="-30"/>
          <w:szCs w:val="21"/>
        </w:rPr>
        <w:t xml:space="preserve">                       (B1.3)</w:t>
      </w:r>
    </w:p>
    <w:p w14:paraId="2A67F1BF">
      <w:pPr>
        <w:spacing w:line="400" w:lineRule="exact"/>
        <w:ind w:firstLine="420"/>
        <w:rPr>
          <w:rFonts w:ascii="Times New Roman" w:hAnsi="Times New Roman" w:eastAsia="宋体"/>
          <w:szCs w:val="21"/>
        </w:rPr>
      </w:pPr>
      <w:r>
        <w:rPr>
          <w:rFonts w:hint="eastAsia" w:ascii="Times New Roman" w:hAnsi="Times New Roman" w:eastAsia="宋体"/>
          <w:szCs w:val="21"/>
        </w:rPr>
        <w:t>上式中</w:t>
      </w:r>
      <w:r>
        <w:rPr>
          <w:rFonts w:hint="eastAsia" w:ascii="Times New Roman" w:hAnsi="Times New Roman" w:eastAsia="宋体"/>
          <w:i/>
          <w:szCs w:val="21"/>
        </w:rPr>
        <w:t>V</w:t>
      </w:r>
      <w:r>
        <w:rPr>
          <w:rFonts w:hint="eastAsia" w:ascii="Times New Roman" w:hAnsi="Times New Roman" w:eastAsia="宋体"/>
          <w:szCs w:val="21"/>
          <w:vertAlign w:val="subscript"/>
        </w:rPr>
        <w:t>i</w:t>
      </w:r>
      <w:r>
        <w:rPr>
          <w:rFonts w:hint="eastAsia" w:ascii="Times New Roman" w:hAnsi="Times New Roman" w:eastAsia="宋体"/>
          <w:szCs w:val="21"/>
        </w:rPr>
        <w:t>为各种填筑料设计工程量，包括坝体堆石料</w:t>
      </w:r>
      <w:r>
        <w:rPr>
          <w:rFonts w:hint="eastAsia" w:ascii="Times New Roman" w:hAnsi="Times New Roman" w:eastAsia="宋体"/>
          <w:i/>
          <w:szCs w:val="21"/>
        </w:rPr>
        <w:t>V</w:t>
      </w:r>
      <w:r>
        <w:rPr>
          <w:rFonts w:hint="eastAsia" w:ascii="Times New Roman" w:hAnsi="Times New Roman" w:eastAsia="宋体"/>
          <w:szCs w:val="21"/>
          <w:vertAlign w:val="subscript"/>
        </w:rPr>
        <w:t>1</w:t>
      </w:r>
      <w:r>
        <w:rPr>
          <w:rFonts w:hint="eastAsia" w:ascii="Times New Roman" w:hAnsi="Times New Roman" w:eastAsia="宋体"/>
          <w:szCs w:val="21"/>
        </w:rPr>
        <w:t>、反滤料</w:t>
      </w:r>
      <w:r>
        <w:rPr>
          <w:rFonts w:hint="eastAsia" w:ascii="Times New Roman" w:hAnsi="Times New Roman" w:eastAsia="宋体"/>
          <w:i/>
          <w:szCs w:val="21"/>
        </w:rPr>
        <w:t>V</w:t>
      </w:r>
      <w:r>
        <w:rPr>
          <w:rFonts w:hint="eastAsia" w:ascii="Times New Roman" w:hAnsi="Times New Roman" w:eastAsia="宋体"/>
          <w:szCs w:val="21"/>
          <w:vertAlign w:val="subscript"/>
        </w:rPr>
        <w:t>2</w:t>
      </w:r>
      <w:r>
        <w:rPr>
          <w:rFonts w:hint="eastAsia" w:ascii="Times New Roman" w:hAnsi="Times New Roman" w:eastAsia="宋体"/>
          <w:szCs w:val="21"/>
        </w:rPr>
        <w:t>、垫层料</w:t>
      </w:r>
      <w:r>
        <w:rPr>
          <w:rFonts w:hint="eastAsia" w:ascii="Times New Roman" w:hAnsi="Times New Roman" w:eastAsia="宋体"/>
          <w:i/>
          <w:szCs w:val="21"/>
        </w:rPr>
        <w:t>V</w:t>
      </w:r>
      <w:r>
        <w:rPr>
          <w:rFonts w:hint="eastAsia" w:ascii="Times New Roman" w:hAnsi="Times New Roman" w:eastAsia="宋体"/>
          <w:szCs w:val="21"/>
          <w:vertAlign w:val="subscript"/>
        </w:rPr>
        <w:t>3</w:t>
      </w:r>
      <w:r>
        <w:rPr>
          <w:rFonts w:hint="eastAsia" w:ascii="Times New Roman" w:hAnsi="Times New Roman" w:eastAsia="宋体"/>
          <w:szCs w:val="21"/>
        </w:rPr>
        <w:t>、过渡料</w:t>
      </w:r>
      <w:r>
        <w:rPr>
          <w:rFonts w:hint="eastAsia" w:ascii="Times New Roman" w:hAnsi="Times New Roman" w:eastAsia="宋体"/>
          <w:i/>
          <w:szCs w:val="21"/>
        </w:rPr>
        <w:t>V</w:t>
      </w:r>
      <w:r>
        <w:rPr>
          <w:rFonts w:hint="eastAsia" w:ascii="Times New Roman" w:hAnsi="Times New Roman" w:eastAsia="宋体"/>
          <w:szCs w:val="21"/>
          <w:vertAlign w:val="subscript"/>
        </w:rPr>
        <w:t>4</w:t>
      </w:r>
      <w:r>
        <w:rPr>
          <w:rFonts w:hint="eastAsia" w:ascii="Times New Roman" w:hAnsi="Times New Roman" w:eastAsia="宋体"/>
          <w:szCs w:val="21"/>
        </w:rPr>
        <w:t>、工程回填石料</w:t>
      </w:r>
      <w:r>
        <w:rPr>
          <w:rFonts w:hint="eastAsia" w:ascii="Times New Roman" w:hAnsi="Times New Roman" w:eastAsia="宋体"/>
          <w:i/>
          <w:szCs w:val="21"/>
        </w:rPr>
        <w:t>V</w:t>
      </w:r>
      <w:r>
        <w:rPr>
          <w:rFonts w:hint="eastAsia" w:ascii="Times New Roman" w:hAnsi="Times New Roman" w:eastAsia="宋体"/>
          <w:szCs w:val="21"/>
          <w:vertAlign w:val="subscript"/>
        </w:rPr>
        <w:t>5</w:t>
      </w:r>
      <w:r>
        <w:rPr>
          <w:rFonts w:hint="eastAsia" w:ascii="Times New Roman" w:hAnsi="Times New Roman" w:eastAsia="宋体"/>
          <w:szCs w:val="21"/>
        </w:rPr>
        <w:t>，以压实后的坝上方计。</w:t>
      </w:r>
      <w:r>
        <w:rPr>
          <w:rFonts w:hint="eastAsia" w:ascii="Times New Roman" w:hAnsi="Times New Roman" w:eastAsia="宋体"/>
          <w:i/>
          <w:szCs w:val="21"/>
        </w:rPr>
        <w:t>N</w:t>
      </w:r>
      <w:r>
        <w:rPr>
          <w:rFonts w:hint="eastAsia" w:ascii="Times New Roman" w:hAnsi="Times New Roman" w:eastAsia="宋体"/>
          <w:szCs w:val="21"/>
          <w:vertAlign w:val="subscript"/>
        </w:rPr>
        <w:t>i</w:t>
      </w:r>
      <w:r>
        <w:rPr>
          <w:rFonts w:hint="eastAsia" w:ascii="Times New Roman" w:hAnsi="Times New Roman" w:eastAsia="宋体"/>
          <w:szCs w:val="21"/>
        </w:rPr>
        <w:t>为与</w:t>
      </w:r>
      <w:r>
        <w:rPr>
          <w:rFonts w:hint="eastAsia" w:ascii="Times New Roman" w:hAnsi="Times New Roman" w:eastAsia="宋体"/>
          <w:i/>
          <w:szCs w:val="21"/>
        </w:rPr>
        <w:t>V</w:t>
      </w:r>
      <w:r>
        <w:rPr>
          <w:rFonts w:hint="eastAsia" w:ascii="Times New Roman" w:hAnsi="Times New Roman" w:eastAsia="宋体"/>
          <w:szCs w:val="21"/>
          <w:vertAlign w:val="subscript"/>
        </w:rPr>
        <w:t>i</w:t>
      </w:r>
      <w:r>
        <w:rPr>
          <w:rFonts w:hint="eastAsia" w:ascii="Times New Roman" w:hAnsi="Times New Roman" w:eastAsia="宋体"/>
          <w:szCs w:val="21"/>
        </w:rPr>
        <w:t>对应的折方系数。</w:t>
      </w:r>
    </w:p>
    <w:p w14:paraId="0D338DF3">
      <w:pPr>
        <w:spacing w:line="400" w:lineRule="exact"/>
        <w:outlineLvl w:val="2"/>
        <w:rPr>
          <w:rFonts w:ascii="宋体" w:hAnsi="宋体" w:eastAsia="宋体"/>
          <w:szCs w:val="21"/>
        </w:rPr>
      </w:pPr>
      <w:bookmarkStart w:id="165" w:name="_Toc30482"/>
      <w:bookmarkStart w:id="166" w:name="_Toc218697199"/>
      <w:r>
        <w:rPr>
          <w:rFonts w:hint="eastAsia" w:ascii="宋体" w:hAnsi="宋体" w:eastAsia="宋体"/>
          <w:szCs w:val="21"/>
        </w:rPr>
        <w:t>B.1.4 损耗补偿系数</w:t>
      </w:r>
      <w:bookmarkEnd w:id="165"/>
      <w:bookmarkEnd w:id="166"/>
    </w:p>
    <w:p w14:paraId="074CF0CD">
      <w:pPr>
        <w:spacing w:line="400" w:lineRule="exact"/>
        <w:ind w:firstLine="420" w:firstLineChars="200"/>
        <w:rPr>
          <w:rFonts w:ascii="Times New Roman" w:hAnsi="Times New Roman" w:eastAsia="宋体"/>
          <w:szCs w:val="21"/>
        </w:rPr>
      </w:pPr>
      <w:r>
        <w:rPr>
          <w:rFonts w:hint="eastAsia" w:ascii="Times New Roman" w:hAnsi="Times New Roman" w:eastAsia="宋体"/>
          <w:szCs w:val="21"/>
        </w:rPr>
        <w:t>损耗补偿系数</w:t>
      </w:r>
      <w:r>
        <w:rPr>
          <w:rFonts w:hint="eastAsia" w:ascii="Times New Roman" w:hAnsi="Times New Roman" w:eastAsia="宋体"/>
          <w:i/>
          <w:szCs w:val="21"/>
        </w:rPr>
        <w:t>K</w:t>
      </w:r>
      <w:r>
        <w:rPr>
          <w:rFonts w:hint="eastAsia" w:ascii="Times New Roman" w:hAnsi="Times New Roman" w:eastAsia="宋体"/>
          <w:szCs w:val="21"/>
          <w:vertAlign w:val="subscript"/>
        </w:rPr>
        <w:t>i</w:t>
      </w:r>
      <w:r>
        <w:rPr>
          <w:rFonts w:hint="eastAsia" w:ascii="Times New Roman" w:hAnsi="Times New Roman" w:eastAsia="宋体"/>
          <w:szCs w:val="21"/>
        </w:rPr>
        <w:t>的取值可根据各工程实际情况按下表的规定选用。</w:t>
      </w:r>
      <w:r>
        <w:rPr>
          <w:rFonts w:hint="eastAsia" w:ascii="Times New Roman" w:hAnsi="Times New Roman" w:eastAsia="宋体"/>
          <w:i/>
          <w:szCs w:val="21"/>
        </w:rPr>
        <w:t>K</w:t>
      </w:r>
      <w:r>
        <w:rPr>
          <w:rFonts w:hint="eastAsia" w:ascii="Times New Roman" w:hAnsi="Times New Roman" w:eastAsia="宋体"/>
          <w:szCs w:val="21"/>
          <w:vertAlign w:val="subscript"/>
        </w:rPr>
        <w:t>1</w:t>
      </w:r>
      <w:r>
        <w:rPr>
          <w:rFonts w:hint="eastAsia" w:ascii="Times New Roman" w:hAnsi="Times New Roman" w:eastAsia="宋体"/>
          <w:szCs w:val="21"/>
        </w:rPr>
        <w:t>是开采损耗补偿系数；</w:t>
      </w:r>
      <w:r>
        <w:rPr>
          <w:rFonts w:hint="eastAsia" w:ascii="Times New Roman" w:hAnsi="Times New Roman" w:eastAsia="宋体"/>
          <w:i/>
          <w:szCs w:val="21"/>
        </w:rPr>
        <w:t>K</w:t>
      </w:r>
      <w:r>
        <w:rPr>
          <w:rFonts w:hint="eastAsia" w:ascii="Times New Roman" w:hAnsi="Times New Roman" w:eastAsia="宋体"/>
          <w:szCs w:val="21"/>
          <w:vertAlign w:val="subscript"/>
        </w:rPr>
        <w:t>2</w:t>
      </w:r>
      <w:r>
        <w:rPr>
          <w:rFonts w:hint="eastAsia" w:ascii="Times New Roman" w:hAnsi="Times New Roman" w:eastAsia="宋体"/>
          <w:szCs w:val="21"/>
        </w:rPr>
        <w:t>是运输损耗补偿系数；</w:t>
      </w:r>
      <w:r>
        <w:rPr>
          <w:rFonts w:hint="eastAsia" w:ascii="Times New Roman" w:hAnsi="Times New Roman" w:eastAsia="宋体"/>
          <w:i/>
          <w:szCs w:val="21"/>
        </w:rPr>
        <w:t>K</w:t>
      </w:r>
      <w:r>
        <w:rPr>
          <w:rFonts w:hint="eastAsia" w:ascii="Times New Roman" w:hAnsi="Times New Roman" w:eastAsia="宋体"/>
          <w:szCs w:val="21"/>
          <w:vertAlign w:val="subscript"/>
        </w:rPr>
        <w:t>3</w:t>
      </w:r>
      <w:r>
        <w:rPr>
          <w:rFonts w:hint="eastAsia" w:ascii="Times New Roman" w:hAnsi="Times New Roman" w:eastAsia="宋体"/>
          <w:szCs w:val="21"/>
        </w:rPr>
        <w:t>是转存损耗补偿系数；</w:t>
      </w:r>
      <w:r>
        <w:rPr>
          <w:rFonts w:hint="eastAsia" w:ascii="Times New Roman" w:hAnsi="Times New Roman" w:eastAsia="宋体"/>
          <w:i/>
          <w:szCs w:val="21"/>
        </w:rPr>
        <w:t>K</w:t>
      </w:r>
      <w:r>
        <w:rPr>
          <w:rFonts w:hint="eastAsia" w:ascii="Times New Roman" w:hAnsi="Times New Roman" w:eastAsia="宋体"/>
          <w:szCs w:val="21"/>
          <w:vertAlign w:val="subscript"/>
        </w:rPr>
        <w:t>4</w:t>
      </w:r>
      <w:r>
        <w:rPr>
          <w:rFonts w:hint="eastAsia" w:ascii="Times New Roman" w:hAnsi="Times New Roman" w:eastAsia="宋体"/>
          <w:szCs w:val="21"/>
        </w:rPr>
        <w:t>是加工损耗补偿系数；</w:t>
      </w:r>
      <w:r>
        <w:rPr>
          <w:rFonts w:hint="eastAsia" w:ascii="Times New Roman" w:hAnsi="Times New Roman" w:eastAsia="宋体"/>
          <w:i/>
          <w:szCs w:val="21"/>
        </w:rPr>
        <w:t>K</w:t>
      </w:r>
      <w:r>
        <w:rPr>
          <w:rFonts w:hint="eastAsia" w:ascii="Times New Roman" w:hAnsi="Times New Roman" w:eastAsia="宋体"/>
          <w:szCs w:val="21"/>
          <w:vertAlign w:val="subscript"/>
        </w:rPr>
        <w:t>5</w:t>
      </w:r>
      <w:r>
        <w:rPr>
          <w:rFonts w:hint="eastAsia" w:ascii="Times New Roman" w:hAnsi="Times New Roman" w:eastAsia="宋体"/>
          <w:szCs w:val="21"/>
        </w:rPr>
        <w:t>是作业面损耗补偿系数。</w:t>
      </w:r>
    </w:p>
    <w:p w14:paraId="6086DE1C">
      <w:pPr>
        <w:spacing w:line="400" w:lineRule="exact"/>
        <w:jc w:val="center"/>
        <w:rPr>
          <w:rFonts w:ascii="Times New Roman" w:hAnsi="Times New Roman"/>
          <w:szCs w:val="21"/>
        </w:rPr>
      </w:pPr>
      <w:bookmarkStart w:id="167" w:name="_Toc227228991"/>
      <w:bookmarkStart w:id="168" w:name="_Toc227827680"/>
      <w:r>
        <w:rPr>
          <w:rFonts w:hint="eastAsia" w:ascii="Times New Roman" w:hAnsi="Times New Roman" w:eastAsia="宋体" w:cs="宋体"/>
          <w:bCs/>
          <w:szCs w:val="21"/>
        </w:rPr>
        <w:t>表B.1.1 损耗补偿系数表</w:t>
      </w:r>
      <w:bookmarkEnd w:id="167"/>
      <w:bookmarkEnd w:id="168"/>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1"/>
        <w:gridCol w:w="2137"/>
        <w:gridCol w:w="1286"/>
        <w:gridCol w:w="1286"/>
        <w:gridCol w:w="1286"/>
        <w:gridCol w:w="1286"/>
      </w:tblGrid>
      <w:tr w14:paraId="78D6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08AA4258">
            <w:pPr>
              <w:spacing w:line="400" w:lineRule="exact"/>
              <w:jc w:val="center"/>
              <w:rPr>
                <w:rFonts w:ascii="Times New Roman" w:hAnsi="Times New Roman" w:eastAsia="宋体"/>
                <w:szCs w:val="21"/>
              </w:rPr>
            </w:pPr>
            <w:r>
              <w:rPr>
                <w:rFonts w:hint="eastAsia" w:ascii="Times New Roman" w:hAnsi="Times New Roman" w:eastAsia="宋体"/>
                <w:szCs w:val="21"/>
              </w:rPr>
              <w:t>料种</w:t>
            </w:r>
          </w:p>
        </w:tc>
        <w:tc>
          <w:tcPr>
            <w:tcW w:w="1156" w:type="pct"/>
            <w:vAlign w:val="center"/>
          </w:tcPr>
          <w:p w14:paraId="16BC82FF">
            <w:pPr>
              <w:spacing w:line="400" w:lineRule="exact"/>
              <w:jc w:val="center"/>
              <w:rPr>
                <w:rFonts w:ascii="Times New Roman" w:hAnsi="Times New Roman" w:eastAsia="宋体"/>
                <w:szCs w:val="21"/>
              </w:rPr>
            </w:pPr>
            <w:r>
              <w:rPr>
                <w:rFonts w:hint="eastAsia" w:ascii="Times New Roman" w:hAnsi="Times New Roman" w:eastAsia="宋体"/>
                <w:i/>
                <w:szCs w:val="21"/>
              </w:rPr>
              <w:t>K</w:t>
            </w:r>
            <w:r>
              <w:rPr>
                <w:rFonts w:hint="eastAsia" w:ascii="Times New Roman" w:hAnsi="Times New Roman" w:eastAsia="宋体"/>
                <w:szCs w:val="21"/>
                <w:vertAlign w:val="subscript"/>
              </w:rPr>
              <w:t>1</w:t>
            </w:r>
          </w:p>
        </w:tc>
        <w:tc>
          <w:tcPr>
            <w:tcW w:w="696" w:type="pct"/>
            <w:vAlign w:val="center"/>
          </w:tcPr>
          <w:p w14:paraId="709E24EC">
            <w:pPr>
              <w:spacing w:line="400" w:lineRule="exact"/>
              <w:jc w:val="center"/>
              <w:rPr>
                <w:rFonts w:ascii="Times New Roman" w:hAnsi="Times New Roman" w:eastAsia="宋体"/>
                <w:szCs w:val="21"/>
              </w:rPr>
            </w:pPr>
            <w:r>
              <w:rPr>
                <w:rFonts w:hint="eastAsia" w:ascii="Times New Roman" w:hAnsi="Times New Roman" w:eastAsia="宋体"/>
                <w:i/>
                <w:szCs w:val="21"/>
              </w:rPr>
              <w:t>K</w:t>
            </w:r>
            <w:r>
              <w:rPr>
                <w:rFonts w:hint="eastAsia" w:ascii="Times New Roman" w:hAnsi="Times New Roman" w:eastAsia="宋体"/>
                <w:szCs w:val="21"/>
                <w:vertAlign w:val="subscript"/>
              </w:rPr>
              <w:t>2</w:t>
            </w:r>
          </w:p>
        </w:tc>
        <w:tc>
          <w:tcPr>
            <w:tcW w:w="696" w:type="pct"/>
            <w:vAlign w:val="center"/>
          </w:tcPr>
          <w:p w14:paraId="0D9E9D4D">
            <w:pPr>
              <w:spacing w:line="400" w:lineRule="exact"/>
              <w:jc w:val="center"/>
              <w:rPr>
                <w:rFonts w:ascii="Times New Roman" w:hAnsi="Times New Roman" w:eastAsia="宋体"/>
                <w:szCs w:val="21"/>
              </w:rPr>
            </w:pPr>
            <w:r>
              <w:rPr>
                <w:rFonts w:hint="eastAsia" w:ascii="Times New Roman" w:hAnsi="Times New Roman" w:eastAsia="宋体"/>
                <w:i/>
                <w:szCs w:val="21"/>
              </w:rPr>
              <w:t>K</w:t>
            </w:r>
            <w:r>
              <w:rPr>
                <w:rFonts w:hint="eastAsia" w:ascii="Times New Roman" w:hAnsi="Times New Roman" w:eastAsia="宋体"/>
                <w:szCs w:val="21"/>
                <w:vertAlign w:val="subscript"/>
              </w:rPr>
              <w:t>3</w:t>
            </w:r>
          </w:p>
        </w:tc>
        <w:tc>
          <w:tcPr>
            <w:tcW w:w="696" w:type="pct"/>
            <w:vAlign w:val="center"/>
          </w:tcPr>
          <w:p w14:paraId="67F482B7">
            <w:pPr>
              <w:spacing w:line="400" w:lineRule="exact"/>
              <w:jc w:val="center"/>
              <w:rPr>
                <w:rFonts w:ascii="Times New Roman" w:hAnsi="Times New Roman" w:eastAsia="宋体"/>
                <w:szCs w:val="21"/>
              </w:rPr>
            </w:pPr>
            <w:r>
              <w:rPr>
                <w:rFonts w:hint="eastAsia" w:ascii="Times New Roman" w:hAnsi="Times New Roman" w:eastAsia="宋体"/>
                <w:i/>
                <w:szCs w:val="21"/>
              </w:rPr>
              <w:t>K</w:t>
            </w:r>
            <w:r>
              <w:rPr>
                <w:rFonts w:hint="eastAsia" w:ascii="Times New Roman" w:hAnsi="Times New Roman" w:eastAsia="宋体"/>
                <w:szCs w:val="21"/>
                <w:vertAlign w:val="subscript"/>
              </w:rPr>
              <w:t>4</w:t>
            </w:r>
          </w:p>
        </w:tc>
        <w:tc>
          <w:tcPr>
            <w:tcW w:w="696" w:type="pct"/>
            <w:vAlign w:val="center"/>
          </w:tcPr>
          <w:p w14:paraId="22ACDABE">
            <w:pPr>
              <w:spacing w:line="400" w:lineRule="exact"/>
              <w:jc w:val="center"/>
              <w:rPr>
                <w:rFonts w:ascii="Times New Roman" w:hAnsi="Times New Roman" w:eastAsia="宋体"/>
                <w:szCs w:val="21"/>
              </w:rPr>
            </w:pPr>
            <w:r>
              <w:rPr>
                <w:rFonts w:hint="eastAsia" w:ascii="Times New Roman" w:hAnsi="Times New Roman" w:eastAsia="宋体"/>
                <w:i/>
                <w:szCs w:val="21"/>
              </w:rPr>
              <w:t>K</w:t>
            </w:r>
            <w:r>
              <w:rPr>
                <w:rFonts w:hint="eastAsia" w:ascii="Times New Roman" w:hAnsi="Times New Roman" w:eastAsia="宋体"/>
                <w:szCs w:val="21"/>
                <w:vertAlign w:val="subscript"/>
              </w:rPr>
              <w:t>5</w:t>
            </w:r>
          </w:p>
        </w:tc>
      </w:tr>
      <w:tr w14:paraId="48511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11E9083C">
            <w:pPr>
              <w:spacing w:line="400" w:lineRule="exact"/>
              <w:jc w:val="center"/>
              <w:rPr>
                <w:rFonts w:ascii="Times New Roman" w:hAnsi="Times New Roman" w:eastAsia="宋体"/>
                <w:szCs w:val="21"/>
              </w:rPr>
            </w:pPr>
            <w:r>
              <w:rPr>
                <w:rFonts w:hint="eastAsia" w:ascii="Times New Roman" w:hAnsi="Times New Roman" w:eastAsia="宋体"/>
                <w:szCs w:val="21"/>
              </w:rPr>
              <w:t>洞挖料</w:t>
            </w:r>
          </w:p>
        </w:tc>
        <w:tc>
          <w:tcPr>
            <w:tcW w:w="1156" w:type="pct"/>
            <w:vAlign w:val="center"/>
          </w:tcPr>
          <w:p w14:paraId="04DDA6EF">
            <w:pPr>
              <w:spacing w:line="400" w:lineRule="exact"/>
              <w:jc w:val="center"/>
              <w:rPr>
                <w:rFonts w:ascii="Times New Roman" w:hAnsi="Times New Roman" w:eastAsia="宋体"/>
                <w:szCs w:val="21"/>
              </w:rPr>
            </w:pPr>
            <w:r>
              <w:rPr>
                <w:rFonts w:hint="eastAsia" w:ascii="Times New Roman" w:hAnsi="Times New Roman" w:eastAsia="宋体"/>
                <w:szCs w:val="21"/>
              </w:rPr>
              <w:t>1.05~1.10</w:t>
            </w:r>
          </w:p>
        </w:tc>
        <w:tc>
          <w:tcPr>
            <w:tcW w:w="696" w:type="pct"/>
            <w:vAlign w:val="center"/>
          </w:tcPr>
          <w:p w14:paraId="41B954A1">
            <w:pPr>
              <w:spacing w:line="400" w:lineRule="exact"/>
              <w:jc w:val="center"/>
              <w:rPr>
                <w:rFonts w:ascii="Times New Roman" w:hAnsi="Times New Roman" w:eastAsia="宋体"/>
                <w:szCs w:val="21"/>
              </w:rPr>
            </w:pPr>
            <w:r>
              <w:rPr>
                <w:rFonts w:hint="eastAsia" w:ascii="Times New Roman" w:hAnsi="Times New Roman" w:eastAsia="宋体"/>
                <w:szCs w:val="21"/>
              </w:rPr>
              <w:t>1.03~1.05</w:t>
            </w:r>
          </w:p>
        </w:tc>
        <w:tc>
          <w:tcPr>
            <w:tcW w:w="696" w:type="pct"/>
            <w:vAlign w:val="center"/>
          </w:tcPr>
          <w:p w14:paraId="7A24D3D0">
            <w:pPr>
              <w:spacing w:line="400" w:lineRule="exact"/>
              <w:jc w:val="center"/>
              <w:rPr>
                <w:rFonts w:ascii="Times New Roman" w:hAnsi="Times New Roman" w:eastAsia="宋体"/>
                <w:szCs w:val="21"/>
              </w:rPr>
            </w:pPr>
            <w:r>
              <w:rPr>
                <w:rFonts w:hint="eastAsia" w:ascii="Times New Roman" w:hAnsi="Times New Roman" w:eastAsia="宋体"/>
                <w:szCs w:val="21"/>
              </w:rPr>
              <w:t>1.05~1.15</w:t>
            </w:r>
          </w:p>
        </w:tc>
        <w:tc>
          <w:tcPr>
            <w:tcW w:w="696" w:type="pct"/>
            <w:vAlign w:val="center"/>
          </w:tcPr>
          <w:p w14:paraId="67F8D7A5">
            <w:pPr>
              <w:spacing w:line="400" w:lineRule="exact"/>
              <w:jc w:val="center"/>
              <w:rPr>
                <w:rFonts w:ascii="Times New Roman" w:hAnsi="Times New Roman" w:eastAsia="宋体"/>
                <w:szCs w:val="21"/>
              </w:rPr>
            </w:pPr>
            <w:r>
              <w:rPr>
                <w:rFonts w:hint="eastAsia" w:ascii="Times New Roman" w:hAnsi="Times New Roman" w:eastAsia="宋体"/>
                <w:szCs w:val="21"/>
              </w:rPr>
              <w:t>1.10~1.28</w:t>
            </w:r>
          </w:p>
        </w:tc>
        <w:tc>
          <w:tcPr>
            <w:tcW w:w="696" w:type="pct"/>
            <w:vAlign w:val="center"/>
          </w:tcPr>
          <w:p w14:paraId="0A8ED18B">
            <w:pPr>
              <w:spacing w:line="400" w:lineRule="exact"/>
              <w:jc w:val="center"/>
              <w:rPr>
                <w:rFonts w:ascii="Times New Roman" w:hAnsi="Times New Roman" w:eastAsia="宋体"/>
                <w:szCs w:val="21"/>
              </w:rPr>
            </w:pPr>
            <w:r>
              <w:rPr>
                <w:rFonts w:hint="eastAsia" w:ascii="Times New Roman" w:hAnsi="Times New Roman" w:eastAsia="宋体"/>
                <w:szCs w:val="21"/>
              </w:rPr>
              <w:t>1.01~1.03</w:t>
            </w:r>
          </w:p>
        </w:tc>
      </w:tr>
      <w:tr w14:paraId="78A5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5EFB19EC">
            <w:pPr>
              <w:spacing w:line="400" w:lineRule="exact"/>
              <w:jc w:val="center"/>
              <w:rPr>
                <w:rFonts w:ascii="Times New Roman" w:hAnsi="Times New Roman" w:eastAsia="宋体"/>
                <w:szCs w:val="21"/>
              </w:rPr>
            </w:pPr>
            <w:r>
              <w:rPr>
                <w:rFonts w:hint="eastAsia" w:ascii="Times New Roman" w:hAnsi="Times New Roman" w:eastAsia="宋体"/>
                <w:szCs w:val="21"/>
              </w:rPr>
              <w:t>明挖料</w:t>
            </w:r>
          </w:p>
        </w:tc>
        <w:tc>
          <w:tcPr>
            <w:tcW w:w="1156" w:type="pct"/>
            <w:vAlign w:val="center"/>
          </w:tcPr>
          <w:p w14:paraId="6A0A44A9">
            <w:pPr>
              <w:spacing w:line="400" w:lineRule="exact"/>
              <w:jc w:val="center"/>
              <w:rPr>
                <w:rFonts w:ascii="Times New Roman" w:hAnsi="Times New Roman" w:eastAsia="宋体"/>
                <w:szCs w:val="21"/>
              </w:rPr>
            </w:pPr>
            <w:r>
              <w:rPr>
                <w:rFonts w:hint="eastAsia" w:ascii="Times New Roman" w:hAnsi="Times New Roman" w:eastAsia="宋体"/>
                <w:szCs w:val="21"/>
              </w:rPr>
              <w:t>1.05~1.15</w:t>
            </w:r>
          </w:p>
        </w:tc>
        <w:tc>
          <w:tcPr>
            <w:tcW w:w="696" w:type="pct"/>
            <w:vAlign w:val="center"/>
          </w:tcPr>
          <w:p w14:paraId="7741A7AB">
            <w:pPr>
              <w:spacing w:line="400" w:lineRule="exact"/>
              <w:jc w:val="center"/>
              <w:rPr>
                <w:rFonts w:ascii="Times New Roman" w:hAnsi="Times New Roman" w:eastAsia="宋体"/>
                <w:szCs w:val="21"/>
              </w:rPr>
            </w:pPr>
            <w:r>
              <w:rPr>
                <w:rFonts w:hint="eastAsia" w:ascii="Times New Roman" w:hAnsi="Times New Roman" w:eastAsia="宋体"/>
                <w:szCs w:val="21"/>
              </w:rPr>
              <w:t>1.03~1.05</w:t>
            </w:r>
          </w:p>
        </w:tc>
        <w:tc>
          <w:tcPr>
            <w:tcW w:w="696" w:type="pct"/>
            <w:vAlign w:val="center"/>
          </w:tcPr>
          <w:p w14:paraId="204A209D">
            <w:pPr>
              <w:spacing w:line="400" w:lineRule="exact"/>
              <w:jc w:val="center"/>
              <w:rPr>
                <w:rFonts w:ascii="Times New Roman" w:hAnsi="Times New Roman" w:eastAsia="宋体"/>
                <w:szCs w:val="21"/>
              </w:rPr>
            </w:pPr>
            <w:r>
              <w:rPr>
                <w:rFonts w:hint="eastAsia" w:ascii="Times New Roman" w:hAnsi="Times New Roman" w:eastAsia="宋体"/>
                <w:szCs w:val="21"/>
              </w:rPr>
              <w:t>1.05~1.15</w:t>
            </w:r>
          </w:p>
        </w:tc>
        <w:tc>
          <w:tcPr>
            <w:tcW w:w="696" w:type="pct"/>
            <w:vAlign w:val="center"/>
          </w:tcPr>
          <w:p w14:paraId="6C7CBD5C">
            <w:pPr>
              <w:spacing w:line="400" w:lineRule="exact"/>
              <w:jc w:val="center"/>
              <w:rPr>
                <w:rFonts w:ascii="Times New Roman" w:hAnsi="Times New Roman" w:eastAsia="宋体"/>
                <w:szCs w:val="21"/>
              </w:rPr>
            </w:pPr>
            <w:r>
              <w:rPr>
                <w:rFonts w:hint="eastAsia" w:ascii="Times New Roman" w:hAnsi="Times New Roman" w:eastAsia="宋体"/>
                <w:szCs w:val="21"/>
              </w:rPr>
              <w:t>1.10~1.28</w:t>
            </w:r>
          </w:p>
        </w:tc>
        <w:tc>
          <w:tcPr>
            <w:tcW w:w="696" w:type="pct"/>
            <w:vAlign w:val="center"/>
          </w:tcPr>
          <w:p w14:paraId="31D9F174">
            <w:pPr>
              <w:spacing w:line="400" w:lineRule="exact"/>
              <w:jc w:val="center"/>
              <w:rPr>
                <w:rFonts w:ascii="Times New Roman" w:hAnsi="Times New Roman" w:eastAsia="宋体"/>
                <w:szCs w:val="21"/>
              </w:rPr>
            </w:pPr>
            <w:r>
              <w:rPr>
                <w:rFonts w:hint="eastAsia" w:ascii="Times New Roman" w:hAnsi="Times New Roman" w:eastAsia="宋体"/>
                <w:szCs w:val="21"/>
              </w:rPr>
              <w:t>1.01~1.03</w:t>
            </w:r>
          </w:p>
        </w:tc>
      </w:tr>
      <w:tr w14:paraId="51F54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222D3342">
            <w:pPr>
              <w:spacing w:line="400" w:lineRule="exact"/>
              <w:jc w:val="center"/>
              <w:rPr>
                <w:rFonts w:ascii="Times New Roman" w:hAnsi="Times New Roman" w:eastAsia="宋体"/>
                <w:szCs w:val="21"/>
              </w:rPr>
            </w:pPr>
            <w:r>
              <w:rPr>
                <w:rFonts w:hint="eastAsia" w:ascii="Times New Roman" w:hAnsi="Times New Roman" w:eastAsia="宋体"/>
                <w:szCs w:val="21"/>
              </w:rPr>
              <w:t>石料场开采料</w:t>
            </w:r>
          </w:p>
        </w:tc>
        <w:tc>
          <w:tcPr>
            <w:tcW w:w="1156" w:type="pct"/>
            <w:vAlign w:val="center"/>
          </w:tcPr>
          <w:p w14:paraId="138E11FA">
            <w:pPr>
              <w:spacing w:line="400" w:lineRule="exact"/>
              <w:jc w:val="center"/>
              <w:rPr>
                <w:rFonts w:ascii="Times New Roman" w:hAnsi="Times New Roman" w:eastAsia="宋体"/>
                <w:szCs w:val="21"/>
              </w:rPr>
            </w:pPr>
            <w:r>
              <w:rPr>
                <w:rFonts w:hint="eastAsia" w:ascii="Times New Roman" w:hAnsi="Times New Roman" w:eastAsia="宋体"/>
                <w:szCs w:val="21"/>
              </w:rPr>
              <w:t>1.05~1.15</w:t>
            </w:r>
          </w:p>
        </w:tc>
        <w:tc>
          <w:tcPr>
            <w:tcW w:w="696" w:type="pct"/>
            <w:vAlign w:val="center"/>
          </w:tcPr>
          <w:p w14:paraId="19AE9B19">
            <w:pPr>
              <w:spacing w:line="400" w:lineRule="exact"/>
              <w:jc w:val="center"/>
              <w:rPr>
                <w:rFonts w:ascii="Times New Roman" w:hAnsi="Times New Roman" w:eastAsia="宋体"/>
                <w:szCs w:val="21"/>
              </w:rPr>
            </w:pPr>
            <w:r>
              <w:rPr>
                <w:rFonts w:hint="eastAsia" w:ascii="Times New Roman" w:hAnsi="Times New Roman" w:eastAsia="宋体"/>
                <w:szCs w:val="21"/>
              </w:rPr>
              <w:t>1.03~1.05</w:t>
            </w:r>
          </w:p>
        </w:tc>
        <w:tc>
          <w:tcPr>
            <w:tcW w:w="696" w:type="pct"/>
            <w:vAlign w:val="center"/>
          </w:tcPr>
          <w:p w14:paraId="069B301B">
            <w:pPr>
              <w:spacing w:line="400" w:lineRule="exact"/>
              <w:jc w:val="center"/>
              <w:rPr>
                <w:rFonts w:ascii="Times New Roman" w:hAnsi="Times New Roman" w:eastAsia="宋体"/>
                <w:szCs w:val="21"/>
              </w:rPr>
            </w:pPr>
            <w:r>
              <w:rPr>
                <w:rFonts w:hint="eastAsia" w:ascii="Times New Roman" w:hAnsi="Times New Roman" w:eastAsia="宋体"/>
                <w:szCs w:val="21"/>
              </w:rPr>
              <w:t>1.05~1.15</w:t>
            </w:r>
          </w:p>
        </w:tc>
        <w:tc>
          <w:tcPr>
            <w:tcW w:w="696" w:type="pct"/>
            <w:vAlign w:val="center"/>
          </w:tcPr>
          <w:p w14:paraId="5A587731">
            <w:pPr>
              <w:spacing w:line="400" w:lineRule="exact"/>
              <w:jc w:val="center"/>
              <w:rPr>
                <w:rFonts w:ascii="Times New Roman" w:hAnsi="Times New Roman" w:eastAsia="宋体"/>
                <w:szCs w:val="21"/>
              </w:rPr>
            </w:pPr>
            <w:r>
              <w:rPr>
                <w:rFonts w:hint="eastAsia" w:ascii="Times New Roman" w:hAnsi="Times New Roman" w:eastAsia="宋体"/>
                <w:szCs w:val="21"/>
              </w:rPr>
              <w:t>1.10~1.28</w:t>
            </w:r>
          </w:p>
        </w:tc>
        <w:tc>
          <w:tcPr>
            <w:tcW w:w="696" w:type="pct"/>
            <w:vAlign w:val="center"/>
          </w:tcPr>
          <w:p w14:paraId="772ACA47">
            <w:pPr>
              <w:spacing w:line="400" w:lineRule="exact"/>
              <w:jc w:val="center"/>
              <w:rPr>
                <w:rFonts w:ascii="Times New Roman" w:hAnsi="Times New Roman" w:eastAsia="宋体"/>
                <w:szCs w:val="21"/>
              </w:rPr>
            </w:pPr>
            <w:r>
              <w:rPr>
                <w:rFonts w:hint="eastAsia" w:ascii="Times New Roman" w:hAnsi="Times New Roman" w:eastAsia="宋体"/>
                <w:szCs w:val="21"/>
              </w:rPr>
              <w:t>1.01~1.03</w:t>
            </w:r>
          </w:p>
        </w:tc>
      </w:tr>
      <w:tr w14:paraId="1C13A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6C4EDFDA">
            <w:pPr>
              <w:spacing w:line="400" w:lineRule="exact"/>
              <w:jc w:val="center"/>
              <w:rPr>
                <w:rFonts w:ascii="Times New Roman" w:hAnsi="Times New Roman" w:eastAsia="宋体"/>
                <w:szCs w:val="21"/>
              </w:rPr>
            </w:pPr>
            <w:r>
              <w:rPr>
                <w:rFonts w:hint="eastAsia" w:ascii="Times New Roman" w:hAnsi="Times New Roman" w:eastAsia="宋体"/>
                <w:szCs w:val="21"/>
              </w:rPr>
              <w:t>土料场开采料</w:t>
            </w:r>
          </w:p>
        </w:tc>
        <w:tc>
          <w:tcPr>
            <w:tcW w:w="1156" w:type="pct"/>
            <w:vAlign w:val="center"/>
          </w:tcPr>
          <w:p w14:paraId="53699563">
            <w:pPr>
              <w:spacing w:line="400" w:lineRule="exact"/>
              <w:jc w:val="center"/>
              <w:rPr>
                <w:rFonts w:ascii="Times New Roman" w:hAnsi="Times New Roman" w:eastAsia="宋体"/>
                <w:szCs w:val="21"/>
              </w:rPr>
            </w:pPr>
            <w:r>
              <w:rPr>
                <w:rFonts w:hint="eastAsia" w:ascii="Times New Roman" w:hAnsi="Times New Roman" w:eastAsia="宋体"/>
                <w:szCs w:val="21"/>
              </w:rPr>
              <w:t>1.05~1.10</w:t>
            </w:r>
          </w:p>
        </w:tc>
        <w:tc>
          <w:tcPr>
            <w:tcW w:w="696" w:type="pct"/>
            <w:vAlign w:val="center"/>
          </w:tcPr>
          <w:p w14:paraId="1E0E70B3">
            <w:pPr>
              <w:spacing w:line="400" w:lineRule="exact"/>
              <w:jc w:val="center"/>
              <w:rPr>
                <w:rFonts w:ascii="Times New Roman" w:hAnsi="Times New Roman" w:eastAsia="宋体"/>
                <w:szCs w:val="21"/>
              </w:rPr>
            </w:pPr>
            <w:r>
              <w:rPr>
                <w:rFonts w:hint="eastAsia" w:ascii="Times New Roman" w:hAnsi="Times New Roman" w:eastAsia="宋体"/>
                <w:szCs w:val="21"/>
              </w:rPr>
              <w:t>1.03~1.05</w:t>
            </w:r>
          </w:p>
        </w:tc>
        <w:tc>
          <w:tcPr>
            <w:tcW w:w="696" w:type="pct"/>
            <w:vAlign w:val="center"/>
          </w:tcPr>
          <w:p w14:paraId="4E9BF772">
            <w:pPr>
              <w:spacing w:line="400" w:lineRule="exact"/>
              <w:jc w:val="center"/>
              <w:rPr>
                <w:rFonts w:ascii="Times New Roman" w:hAnsi="Times New Roman" w:eastAsia="宋体"/>
                <w:szCs w:val="21"/>
              </w:rPr>
            </w:pPr>
            <w:r>
              <w:rPr>
                <w:rFonts w:hint="eastAsia" w:ascii="Times New Roman" w:hAnsi="Times New Roman" w:eastAsia="宋体"/>
                <w:szCs w:val="21"/>
              </w:rPr>
              <w:t>1.05~1.15</w:t>
            </w:r>
          </w:p>
        </w:tc>
        <w:tc>
          <w:tcPr>
            <w:tcW w:w="696" w:type="pct"/>
            <w:vAlign w:val="center"/>
          </w:tcPr>
          <w:p w14:paraId="58DC1D1F">
            <w:pPr>
              <w:spacing w:line="400" w:lineRule="exact"/>
              <w:jc w:val="center"/>
              <w:rPr>
                <w:rFonts w:ascii="Times New Roman" w:hAnsi="Times New Roman" w:eastAsia="宋体"/>
                <w:szCs w:val="21"/>
              </w:rPr>
            </w:pPr>
            <w:r>
              <w:rPr>
                <w:rFonts w:hint="eastAsia" w:ascii="Times New Roman" w:hAnsi="Times New Roman" w:eastAsia="宋体"/>
                <w:szCs w:val="21"/>
              </w:rPr>
              <w:t>1.05~1.10</w:t>
            </w:r>
          </w:p>
        </w:tc>
        <w:tc>
          <w:tcPr>
            <w:tcW w:w="696" w:type="pct"/>
            <w:vAlign w:val="center"/>
          </w:tcPr>
          <w:p w14:paraId="3152A75E">
            <w:pPr>
              <w:spacing w:line="400" w:lineRule="exact"/>
              <w:jc w:val="center"/>
              <w:rPr>
                <w:rFonts w:ascii="Times New Roman" w:hAnsi="Times New Roman" w:eastAsia="宋体"/>
                <w:szCs w:val="21"/>
              </w:rPr>
            </w:pPr>
            <w:r>
              <w:rPr>
                <w:rFonts w:hint="eastAsia" w:ascii="Times New Roman" w:hAnsi="Times New Roman" w:eastAsia="宋体"/>
                <w:szCs w:val="21"/>
              </w:rPr>
              <w:t>1.01~1.03</w:t>
            </w:r>
          </w:p>
        </w:tc>
      </w:tr>
      <w:tr w14:paraId="513C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756BB52C">
            <w:pPr>
              <w:spacing w:line="400" w:lineRule="exact"/>
              <w:jc w:val="center"/>
              <w:rPr>
                <w:rFonts w:ascii="Times New Roman" w:hAnsi="Times New Roman" w:eastAsia="宋体"/>
                <w:szCs w:val="21"/>
              </w:rPr>
            </w:pPr>
            <w:r>
              <w:rPr>
                <w:rFonts w:hint="eastAsia" w:ascii="Times New Roman" w:hAnsi="Times New Roman" w:eastAsia="宋体"/>
                <w:szCs w:val="21"/>
              </w:rPr>
              <w:t>沙砾料场开采料</w:t>
            </w:r>
          </w:p>
        </w:tc>
        <w:tc>
          <w:tcPr>
            <w:tcW w:w="1156" w:type="pct"/>
            <w:vAlign w:val="center"/>
          </w:tcPr>
          <w:p w14:paraId="6463BD6C">
            <w:pPr>
              <w:spacing w:line="400" w:lineRule="exact"/>
              <w:jc w:val="center"/>
              <w:rPr>
                <w:rFonts w:ascii="Times New Roman" w:hAnsi="Times New Roman" w:eastAsia="宋体"/>
                <w:szCs w:val="21"/>
              </w:rPr>
            </w:pPr>
            <w:r>
              <w:rPr>
                <w:rFonts w:hint="eastAsia" w:ascii="Times New Roman" w:hAnsi="Times New Roman" w:eastAsia="宋体"/>
                <w:szCs w:val="21"/>
              </w:rPr>
              <w:t>1.05~1.10（水上）</w:t>
            </w:r>
          </w:p>
          <w:p w14:paraId="2169D8AA">
            <w:pPr>
              <w:spacing w:line="400" w:lineRule="exact"/>
              <w:jc w:val="center"/>
              <w:rPr>
                <w:rFonts w:ascii="Times New Roman" w:hAnsi="Times New Roman" w:eastAsia="宋体"/>
                <w:szCs w:val="21"/>
              </w:rPr>
            </w:pPr>
            <w:r>
              <w:rPr>
                <w:rFonts w:hint="eastAsia" w:ascii="Times New Roman" w:hAnsi="Times New Roman" w:eastAsia="宋体"/>
                <w:szCs w:val="21"/>
              </w:rPr>
              <w:t>1.05~1.15（水下）</w:t>
            </w:r>
          </w:p>
        </w:tc>
        <w:tc>
          <w:tcPr>
            <w:tcW w:w="696" w:type="pct"/>
            <w:vAlign w:val="center"/>
          </w:tcPr>
          <w:p w14:paraId="4B876E71">
            <w:pPr>
              <w:spacing w:line="400" w:lineRule="exact"/>
              <w:jc w:val="center"/>
              <w:rPr>
                <w:rFonts w:ascii="Times New Roman" w:hAnsi="Times New Roman" w:eastAsia="宋体"/>
                <w:szCs w:val="21"/>
              </w:rPr>
            </w:pPr>
            <w:r>
              <w:rPr>
                <w:rFonts w:hint="eastAsia" w:ascii="Times New Roman" w:hAnsi="Times New Roman" w:eastAsia="宋体"/>
                <w:szCs w:val="21"/>
              </w:rPr>
              <w:t>1.03~1.05</w:t>
            </w:r>
          </w:p>
        </w:tc>
        <w:tc>
          <w:tcPr>
            <w:tcW w:w="696" w:type="pct"/>
            <w:vAlign w:val="center"/>
          </w:tcPr>
          <w:p w14:paraId="72D45247">
            <w:pPr>
              <w:spacing w:line="400" w:lineRule="exact"/>
              <w:jc w:val="center"/>
              <w:rPr>
                <w:rFonts w:ascii="Times New Roman" w:hAnsi="Times New Roman" w:eastAsia="宋体"/>
                <w:szCs w:val="21"/>
              </w:rPr>
            </w:pPr>
            <w:r>
              <w:rPr>
                <w:rFonts w:hint="eastAsia" w:ascii="Times New Roman" w:hAnsi="Times New Roman" w:eastAsia="宋体"/>
                <w:szCs w:val="21"/>
              </w:rPr>
              <w:t>1.05~1.10</w:t>
            </w:r>
          </w:p>
        </w:tc>
        <w:tc>
          <w:tcPr>
            <w:tcW w:w="696" w:type="pct"/>
            <w:vAlign w:val="center"/>
          </w:tcPr>
          <w:p w14:paraId="60052E07">
            <w:pPr>
              <w:spacing w:line="400" w:lineRule="exact"/>
              <w:jc w:val="center"/>
              <w:rPr>
                <w:rFonts w:ascii="Times New Roman" w:hAnsi="Times New Roman" w:eastAsia="宋体"/>
                <w:szCs w:val="21"/>
              </w:rPr>
            </w:pPr>
            <w:r>
              <w:rPr>
                <w:rFonts w:hint="eastAsia" w:ascii="Times New Roman" w:hAnsi="Times New Roman" w:eastAsia="宋体"/>
                <w:szCs w:val="21"/>
              </w:rPr>
              <w:t>1.10~1.25</w:t>
            </w:r>
          </w:p>
        </w:tc>
        <w:tc>
          <w:tcPr>
            <w:tcW w:w="696" w:type="pct"/>
            <w:vAlign w:val="center"/>
          </w:tcPr>
          <w:p w14:paraId="6AC7E2E5">
            <w:pPr>
              <w:spacing w:line="400" w:lineRule="exact"/>
              <w:jc w:val="center"/>
              <w:rPr>
                <w:rFonts w:ascii="Times New Roman" w:hAnsi="Times New Roman" w:eastAsia="宋体"/>
                <w:szCs w:val="21"/>
              </w:rPr>
            </w:pPr>
            <w:r>
              <w:rPr>
                <w:rFonts w:hint="eastAsia" w:ascii="Times New Roman" w:hAnsi="Times New Roman" w:eastAsia="宋体"/>
                <w:szCs w:val="21"/>
              </w:rPr>
              <w:t>1.01~1.03</w:t>
            </w:r>
          </w:p>
        </w:tc>
      </w:tr>
    </w:tbl>
    <w:p w14:paraId="13BD9267">
      <w:pPr>
        <w:spacing w:line="400" w:lineRule="exact"/>
        <w:outlineLvl w:val="2"/>
        <w:rPr>
          <w:rFonts w:ascii="宋体" w:hAnsi="宋体" w:eastAsia="宋体"/>
          <w:szCs w:val="21"/>
        </w:rPr>
      </w:pPr>
      <w:bookmarkStart w:id="169" w:name="_Toc218697200"/>
      <w:bookmarkStart w:id="170" w:name="_Toc22434"/>
      <w:r>
        <w:rPr>
          <w:rFonts w:hint="eastAsia" w:ascii="宋体" w:hAnsi="宋体" w:eastAsia="宋体"/>
          <w:szCs w:val="21"/>
        </w:rPr>
        <w:t xml:space="preserve">B.1.5 </w:t>
      </w:r>
      <w:bookmarkEnd w:id="169"/>
      <w:bookmarkEnd w:id="170"/>
      <w:r>
        <w:rPr>
          <w:rFonts w:hint="eastAsia" w:ascii="宋体" w:hAnsi="宋体" w:eastAsia="宋体"/>
          <w:szCs w:val="21"/>
        </w:rPr>
        <w:t>折方系数</w:t>
      </w:r>
    </w:p>
    <w:p w14:paraId="7CBFE5E9">
      <w:pPr>
        <w:spacing w:line="400" w:lineRule="exact"/>
        <w:ind w:firstLine="420"/>
        <w:rPr>
          <w:rFonts w:ascii="Times New Roman" w:hAnsi="Times New Roman" w:eastAsia="宋体"/>
          <w:b/>
          <w:szCs w:val="21"/>
        </w:rPr>
      </w:pPr>
      <w:r>
        <w:rPr>
          <w:rFonts w:hint="eastAsia" w:ascii="Times New Roman" w:hAnsi="Times New Roman" w:eastAsia="宋体"/>
          <w:szCs w:val="21"/>
        </w:rPr>
        <w:t>渣场、转存料场、表土堆存场的土石料堆存折方系数在无具体试验资料的情况下可按表B.1.2选取。</w:t>
      </w:r>
    </w:p>
    <w:p w14:paraId="10C82732">
      <w:pPr>
        <w:spacing w:line="400" w:lineRule="exact"/>
        <w:jc w:val="center"/>
        <w:rPr>
          <w:rFonts w:ascii="Times New Roman" w:hAnsi="Times New Roman" w:eastAsia="宋体" w:cs="宋体"/>
          <w:bCs/>
          <w:szCs w:val="21"/>
        </w:rPr>
      </w:pPr>
      <w:bookmarkStart w:id="171" w:name="_Toc227228992"/>
      <w:bookmarkStart w:id="172" w:name="_Toc227827681"/>
      <w:r>
        <w:rPr>
          <w:rFonts w:hint="eastAsia" w:ascii="Times New Roman" w:hAnsi="Times New Roman" w:eastAsia="宋体" w:cs="宋体"/>
          <w:bCs/>
          <w:szCs w:val="21"/>
        </w:rPr>
        <w:t>表B.1.2 土石料堆存折方系数</w:t>
      </w:r>
      <w:bookmarkEnd w:id="171"/>
      <w:bookmarkEnd w:id="172"/>
    </w:p>
    <w:tbl>
      <w:tblPr>
        <w:tblStyle w:val="24"/>
        <w:tblW w:w="5000" w:type="pct"/>
        <w:tblInd w:w="0" w:type="dxa"/>
        <w:tblLayout w:type="autofit"/>
        <w:tblCellMar>
          <w:top w:w="0" w:type="dxa"/>
          <w:left w:w="108" w:type="dxa"/>
          <w:bottom w:w="0" w:type="dxa"/>
          <w:right w:w="108" w:type="dxa"/>
        </w:tblCellMar>
      </w:tblPr>
      <w:tblGrid>
        <w:gridCol w:w="1757"/>
        <w:gridCol w:w="1978"/>
        <w:gridCol w:w="2416"/>
        <w:gridCol w:w="3091"/>
      </w:tblGrid>
      <w:tr w14:paraId="33904992">
        <w:tblPrEx>
          <w:tblCellMar>
            <w:top w:w="0" w:type="dxa"/>
            <w:left w:w="108" w:type="dxa"/>
            <w:bottom w:w="0" w:type="dxa"/>
            <w:right w:w="108" w:type="dxa"/>
          </w:tblCellMar>
        </w:tblPrEx>
        <w:trPr>
          <w:trHeight w:val="283" w:hRule="atLeast"/>
        </w:trPr>
        <w:tc>
          <w:tcPr>
            <w:tcW w:w="95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3AF999">
            <w:pPr>
              <w:widowControl/>
              <w:spacing w:line="400" w:lineRule="exact"/>
              <w:jc w:val="center"/>
              <w:rPr>
                <w:rFonts w:ascii="Times New Roman" w:hAnsi="Times New Roman" w:eastAsia="宋体"/>
                <w:szCs w:val="21"/>
              </w:rPr>
            </w:pPr>
            <w:r>
              <w:rPr>
                <w:rFonts w:hint="eastAsia" w:ascii="Times New Roman" w:hAnsi="Times New Roman" w:eastAsia="宋体"/>
                <w:szCs w:val="21"/>
              </w:rPr>
              <w:t>料种</w:t>
            </w:r>
          </w:p>
        </w:tc>
        <w:tc>
          <w:tcPr>
            <w:tcW w:w="2376" w:type="pct"/>
            <w:gridSpan w:val="2"/>
            <w:tcBorders>
              <w:top w:val="single" w:color="auto" w:sz="4" w:space="0"/>
              <w:left w:val="nil"/>
              <w:bottom w:val="single" w:color="auto" w:sz="4" w:space="0"/>
              <w:right w:val="single" w:color="auto" w:sz="4" w:space="0"/>
            </w:tcBorders>
            <w:shd w:val="clear" w:color="auto" w:fill="auto"/>
            <w:vAlign w:val="center"/>
          </w:tcPr>
          <w:p w14:paraId="12AAE072">
            <w:pPr>
              <w:widowControl/>
              <w:spacing w:line="400" w:lineRule="exact"/>
              <w:jc w:val="center"/>
              <w:rPr>
                <w:rFonts w:ascii="Times New Roman" w:hAnsi="Times New Roman" w:eastAsia="宋体"/>
                <w:szCs w:val="21"/>
              </w:rPr>
            </w:pPr>
            <w:r>
              <w:rPr>
                <w:rFonts w:hint="eastAsia" w:ascii="Times New Roman" w:hAnsi="Times New Roman" w:eastAsia="宋体"/>
                <w:szCs w:val="21"/>
              </w:rPr>
              <w:t>性状</w:t>
            </w:r>
          </w:p>
        </w:tc>
        <w:tc>
          <w:tcPr>
            <w:tcW w:w="16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718012">
            <w:pPr>
              <w:widowControl/>
              <w:spacing w:line="400" w:lineRule="exact"/>
              <w:jc w:val="center"/>
              <w:rPr>
                <w:rFonts w:ascii="Times New Roman" w:hAnsi="Times New Roman" w:eastAsia="宋体" w:cs="宋体"/>
                <w:szCs w:val="21"/>
              </w:rPr>
            </w:pPr>
            <w:r>
              <w:rPr>
                <w:rFonts w:hint="eastAsia" w:ascii="Times New Roman" w:hAnsi="Times New Roman" w:eastAsia="宋体" w:cs="宋体"/>
                <w:szCs w:val="21"/>
              </w:rPr>
              <w:t>系数选择说明</w:t>
            </w:r>
          </w:p>
        </w:tc>
      </w:tr>
      <w:tr w14:paraId="7E867A59">
        <w:tblPrEx>
          <w:tblCellMar>
            <w:top w:w="0" w:type="dxa"/>
            <w:left w:w="108" w:type="dxa"/>
            <w:bottom w:w="0" w:type="dxa"/>
            <w:right w:w="108" w:type="dxa"/>
          </w:tblCellMar>
        </w:tblPrEx>
        <w:trPr>
          <w:trHeight w:val="283" w:hRule="atLeast"/>
        </w:trPr>
        <w:tc>
          <w:tcPr>
            <w:tcW w:w="951" w:type="pct"/>
            <w:vMerge w:val="continue"/>
            <w:tcBorders>
              <w:top w:val="single" w:color="auto" w:sz="4" w:space="0"/>
              <w:left w:val="single" w:color="auto" w:sz="4" w:space="0"/>
              <w:bottom w:val="single" w:color="auto" w:sz="4" w:space="0"/>
              <w:right w:val="single" w:color="auto" w:sz="4" w:space="0"/>
            </w:tcBorders>
            <w:vAlign w:val="center"/>
          </w:tcPr>
          <w:p w14:paraId="521D2F63">
            <w:pPr>
              <w:widowControl/>
              <w:spacing w:line="400" w:lineRule="exact"/>
              <w:jc w:val="left"/>
              <w:rPr>
                <w:rFonts w:ascii="Times New Roman" w:hAnsi="Times New Roman" w:eastAsia="宋体"/>
                <w:szCs w:val="21"/>
              </w:rPr>
            </w:pPr>
          </w:p>
        </w:tc>
        <w:tc>
          <w:tcPr>
            <w:tcW w:w="1070" w:type="pct"/>
            <w:tcBorders>
              <w:top w:val="nil"/>
              <w:left w:val="nil"/>
              <w:bottom w:val="single" w:color="auto" w:sz="4" w:space="0"/>
              <w:right w:val="single" w:color="auto" w:sz="4" w:space="0"/>
            </w:tcBorders>
            <w:shd w:val="clear" w:color="auto" w:fill="auto"/>
            <w:vAlign w:val="center"/>
          </w:tcPr>
          <w:p w14:paraId="66C50760">
            <w:pPr>
              <w:widowControl/>
              <w:spacing w:line="400" w:lineRule="exact"/>
              <w:jc w:val="center"/>
              <w:rPr>
                <w:rFonts w:ascii="Times New Roman" w:hAnsi="Times New Roman" w:eastAsia="宋体"/>
                <w:szCs w:val="21"/>
              </w:rPr>
            </w:pPr>
            <w:r>
              <w:rPr>
                <w:rFonts w:hint="eastAsia" w:ascii="Times New Roman" w:hAnsi="Times New Roman" w:eastAsia="宋体"/>
                <w:szCs w:val="21"/>
              </w:rPr>
              <w:t>松方系数（转存）</w:t>
            </w:r>
          </w:p>
        </w:tc>
        <w:tc>
          <w:tcPr>
            <w:tcW w:w="1307" w:type="pct"/>
            <w:tcBorders>
              <w:top w:val="nil"/>
              <w:left w:val="nil"/>
              <w:bottom w:val="single" w:color="auto" w:sz="4" w:space="0"/>
              <w:right w:val="single" w:color="auto" w:sz="4" w:space="0"/>
            </w:tcBorders>
            <w:shd w:val="clear" w:color="auto" w:fill="auto"/>
            <w:vAlign w:val="center"/>
          </w:tcPr>
          <w:p w14:paraId="0E6A589F">
            <w:pPr>
              <w:widowControl/>
              <w:spacing w:line="400" w:lineRule="exact"/>
              <w:jc w:val="center"/>
              <w:rPr>
                <w:rFonts w:ascii="Times New Roman" w:hAnsi="Times New Roman" w:eastAsia="宋体"/>
                <w:szCs w:val="21"/>
              </w:rPr>
            </w:pPr>
            <w:r>
              <w:rPr>
                <w:rFonts w:hint="eastAsia" w:ascii="Times New Roman" w:hAnsi="Times New Roman" w:eastAsia="宋体"/>
                <w:szCs w:val="21"/>
              </w:rPr>
              <w:t>堆方系数（简单压实）</w:t>
            </w:r>
          </w:p>
        </w:tc>
        <w:tc>
          <w:tcPr>
            <w:tcW w:w="1672" w:type="pct"/>
            <w:vMerge w:val="continue"/>
            <w:tcBorders>
              <w:top w:val="nil"/>
              <w:left w:val="nil"/>
              <w:bottom w:val="single" w:color="auto" w:sz="4" w:space="0"/>
              <w:right w:val="single" w:color="auto" w:sz="4" w:space="0"/>
            </w:tcBorders>
            <w:vAlign w:val="center"/>
          </w:tcPr>
          <w:p w14:paraId="7BCC00B6">
            <w:pPr>
              <w:widowControl/>
              <w:spacing w:line="400" w:lineRule="exact"/>
              <w:jc w:val="left"/>
              <w:rPr>
                <w:rFonts w:ascii="Times New Roman" w:hAnsi="Times New Roman" w:eastAsia="宋体" w:cs="宋体"/>
                <w:szCs w:val="21"/>
              </w:rPr>
            </w:pPr>
          </w:p>
        </w:tc>
      </w:tr>
      <w:tr w14:paraId="019649FD">
        <w:tblPrEx>
          <w:tblCellMar>
            <w:top w:w="0" w:type="dxa"/>
            <w:left w:w="108" w:type="dxa"/>
            <w:bottom w:w="0" w:type="dxa"/>
            <w:right w:w="108" w:type="dxa"/>
          </w:tblCellMar>
        </w:tblPrEx>
        <w:trPr>
          <w:trHeight w:val="283" w:hRule="atLeast"/>
        </w:trPr>
        <w:tc>
          <w:tcPr>
            <w:tcW w:w="951" w:type="pct"/>
            <w:tcBorders>
              <w:top w:val="nil"/>
              <w:left w:val="single" w:color="auto" w:sz="4" w:space="0"/>
              <w:bottom w:val="single" w:color="auto" w:sz="4" w:space="0"/>
              <w:right w:val="single" w:color="auto" w:sz="4" w:space="0"/>
            </w:tcBorders>
            <w:shd w:val="clear" w:color="auto" w:fill="auto"/>
            <w:vAlign w:val="center"/>
          </w:tcPr>
          <w:p w14:paraId="68E355E8">
            <w:pPr>
              <w:widowControl/>
              <w:spacing w:line="400" w:lineRule="exact"/>
              <w:jc w:val="center"/>
              <w:rPr>
                <w:rFonts w:ascii="Times New Roman" w:hAnsi="Times New Roman" w:eastAsia="宋体"/>
                <w:szCs w:val="21"/>
              </w:rPr>
            </w:pPr>
            <w:r>
              <w:rPr>
                <w:rFonts w:hint="eastAsia" w:ascii="Times New Roman" w:hAnsi="Times New Roman" w:eastAsia="宋体"/>
                <w:szCs w:val="21"/>
              </w:rPr>
              <w:t>土</w:t>
            </w:r>
          </w:p>
        </w:tc>
        <w:tc>
          <w:tcPr>
            <w:tcW w:w="1070" w:type="pct"/>
            <w:tcBorders>
              <w:top w:val="nil"/>
              <w:left w:val="nil"/>
              <w:bottom w:val="single" w:color="auto" w:sz="4" w:space="0"/>
              <w:right w:val="single" w:color="auto" w:sz="4" w:space="0"/>
            </w:tcBorders>
            <w:shd w:val="clear" w:color="auto" w:fill="auto"/>
            <w:vAlign w:val="center"/>
          </w:tcPr>
          <w:p w14:paraId="55F2329F">
            <w:pPr>
              <w:widowControl/>
              <w:spacing w:line="400" w:lineRule="exact"/>
              <w:jc w:val="center"/>
              <w:rPr>
                <w:rFonts w:ascii="Times New Roman" w:hAnsi="Times New Roman" w:eastAsia="宋体"/>
                <w:szCs w:val="21"/>
              </w:rPr>
            </w:pPr>
            <w:r>
              <w:rPr>
                <w:rFonts w:ascii="Times New Roman" w:hAnsi="Times New Roman" w:eastAsia="宋体"/>
                <w:szCs w:val="21"/>
              </w:rPr>
              <w:t>1.20</w:t>
            </w:r>
            <w:r>
              <w:rPr>
                <w:rFonts w:hint="eastAsia" w:ascii="Times New Roman" w:hAnsi="Times New Roman" w:eastAsia="宋体"/>
                <w:szCs w:val="21"/>
              </w:rPr>
              <w:t>～</w:t>
            </w:r>
            <w:r>
              <w:rPr>
                <w:rFonts w:ascii="Times New Roman" w:hAnsi="Times New Roman" w:eastAsia="宋体"/>
                <w:szCs w:val="21"/>
              </w:rPr>
              <w:t>1.25</w:t>
            </w:r>
          </w:p>
        </w:tc>
        <w:tc>
          <w:tcPr>
            <w:tcW w:w="1307" w:type="pct"/>
            <w:tcBorders>
              <w:top w:val="nil"/>
              <w:left w:val="nil"/>
              <w:bottom w:val="single" w:color="auto" w:sz="4" w:space="0"/>
              <w:right w:val="single" w:color="auto" w:sz="4" w:space="0"/>
            </w:tcBorders>
            <w:shd w:val="clear" w:color="auto" w:fill="auto"/>
            <w:vAlign w:val="center"/>
          </w:tcPr>
          <w:p w14:paraId="4C84DA51">
            <w:pPr>
              <w:widowControl/>
              <w:spacing w:line="400" w:lineRule="exact"/>
              <w:jc w:val="center"/>
              <w:rPr>
                <w:rFonts w:ascii="Times New Roman" w:hAnsi="Times New Roman" w:eastAsia="宋体"/>
                <w:szCs w:val="21"/>
              </w:rPr>
            </w:pPr>
            <w:r>
              <w:rPr>
                <w:rFonts w:ascii="Times New Roman" w:hAnsi="Times New Roman" w:eastAsia="宋体"/>
                <w:szCs w:val="21"/>
              </w:rPr>
              <w:t>1.10</w:t>
            </w:r>
            <w:r>
              <w:rPr>
                <w:rFonts w:hint="eastAsia" w:ascii="Times New Roman" w:hAnsi="Times New Roman" w:eastAsia="宋体"/>
                <w:szCs w:val="21"/>
              </w:rPr>
              <w:t>～</w:t>
            </w:r>
            <w:r>
              <w:rPr>
                <w:rFonts w:ascii="Times New Roman" w:hAnsi="Times New Roman" w:eastAsia="宋体"/>
                <w:szCs w:val="21"/>
              </w:rPr>
              <w:t>1.15</w:t>
            </w:r>
          </w:p>
        </w:tc>
        <w:tc>
          <w:tcPr>
            <w:tcW w:w="1672" w:type="pct"/>
            <w:tcBorders>
              <w:top w:val="single" w:color="auto" w:sz="4" w:space="0"/>
              <w:left w:val="nil"/>
              <w:bottom w:val="single" w:color="auto" w:sz="4" w:space="0"/>
              <w:right w:val="single" w:color="auto" w:sz="4" w:space="0"/>
            </w:tcBorders>
            <w:shd w:val="clear" w:color="auto" w:fill="auto"/>
            <w:vAlign w:val="center"/>
          </w:tcPr>
          <w:p w14:paraId="7E232613">
            <w:pPr>
              <w:widowControl/>
              <w:spacing w:line="400" w:lineRule="exact"/>
              <w:jc w:val="center"/>
              <w:rPr>
                <w:rFonts w:ascii="Times New Roman" w:hAnsi="Times New Roman" w:eastAsia="宋体" w:cs="宋体"/>
                <w:szCs w:val="21"/>
              </w:rPr>
            </w:pPr>
            <w:r>
              <w:rPr>
                <w:rFonts w:hint="eastAsia" w:ascii="Times New Roman" w:hAnsi="Times New Roman" w:eastAsia="宋体" w:cs="宋体"/>
                <w:szCs w:val="21"/>
              </w:rPr>
              <w:t>碾压较密实取小值</w:t>
            </w:r>
          </w:p>
        </w:tc>
      </w:tr>
      <w:tr w14:paraId="64E46A7F">
        <w:tblPrEx>
          <w:tblCellMar>
            <w:top w:w="0" w:type="dxa"/>
            <w:left w:w="108" w:type="dxa"/>
            <w:bottom w:w="0" w:type="dxa"/>
            <w:right w:w="108" w:type="dxa"/>
          </w:tblCellMar>
        </w:tblPrEx>
        <w:trPr>
          <w:trHeight w:val="283" w:hRule="atLeast"/>
        </w:trPr>
        <w:tc>
          <w:tcPr>
            <w:tcW w:w="951" w:type="pct"/>
            <w:tcBorders>
              <w:top w:val="nil"/>
              <w:left w:val="single" w:color="auto" w:sz="4" w:space="0"/>
              <w:bottom w:val="single" w:color="auto" w:sz="4" w:space="0"/>
              <w:right w:val="single" w:color="auto" w:sz="4" w:space="0"/>
            </w:tcBorders>
            <w:shd w:val="clear" w:color="auto" w:fill="auto"/>
            <w:vAlign w:val="center"/>
          </w:tcPr>
          <w:p w14:paraId="73925D09">
            <w:pPr>
              <w:widowControl/>
              <w:spacing w:line="400" w:lineRule="exact"/>
              <w:jc w:val="center"/>
              <w:rPr>
                <w:rFonts w:ascii="Times New Roman" w:hAnsi="Times New Roman" w:eastAsia="宋体"/>
                <w:szCs w:val="21"/>
              </w:rPr>
            </w:pPr>
            <w:r>
              <w:rPr>
                <w:rFonts w:hint="eastAsia" w:ascii="Times New Roman" w:hAnsi="Times New Roman" w:eastAsia="宋体"/>
                <w:szCs w:val="21"/>
              </w:rPr>
              <w:t>砂砾石</w:t>
            </w:r>
          </w:p>
        </w:tc>
        <w:tc>
          <w:tcPr>
            <w:tcW w:w="1070" w:type="pct"/>
            <w:tcBorders>
              <w:top w:val="nil"/>
              <w:left w:val="nil"/>
              <w:bottom w:val="single" w:color="auto" w:sz="4" w:space="0"/>
              <w:right w:val="single" w:color="auto" w:sz="4" w:space="0"/>
            </w:tcBorders>
            <w:shd w:val="clear" w:color="auto" w:fill="auto"/>
            <w:vAlign w:val="center"/>
          </w:tcPr>
          <w:p w14:paraId="16B0DFBB">
            <w:pPr>
              <w:widowControl/>
              <w:spacing w:line="400" w:lineRule="exact"/>
              <w:jc w:val="center"/>
              <w:rPr>
                <w:rFonts w:ascii="Times New Roman" w:hAnsi="Times New Roman" w:eastAsia="宋体"/>
                <w:szCs w:val="21"/>
              </w:rPr>
            </w:pPr>
            <w:r>
              <w:rPr>
                <w:rFonts w:ascii="Times New Roman" w:hAnsi="Times New Roman" w:eastAsia="宋体"/>
                <w:szCs w:val="21"/>
              </w:rPr>
              <w:t>1.08</w:t>
            </w:r>
            <w:r>
              <w:rPr>
                <w:rFonts w:hint="eastAsia" w:ascii="Times New Roman" w:hAnsi="Times New Roman" w:eastAsia="宋体"/>
                <w:szCs w:val="21"/>
              </w:rPr>
              <w:t>～</w:t>
            </w:r>
            <w:r>
              <w:rPr>
                <w:rFonts w:ascii="Times New Roman" w:hAnsi="Times New Roman" w:eastAsia="宋体"/>
                <w:szCs w:val="21"/>
              </w:rPr>
              <w:t>1.12</w:t>
            </w:r>
          </w:p>
        </w:tc>
        <w:tc>
          <w:tcPr>
            <w:tcW w:w="1307" w:type="pct"/>
            <w:tcBorders>
              <w:top w:val="nil"/>
              <w:left w:val="nil"/>
              <w:bottom w:val="single" w:color="auto" w:sz="4" w:space="0"/>
              <w:right w:val="single" w:color="auto" w:sz="4" w:space="0"/>
            </w:tcBorders>
            <w:shd w:val="clear" w:color="auto" w:fill="auto"/>
            <w:vAlign w:val="center"/>
          </w:tcPr>
          <w:p w14:paraId="48AA641F">
            <w:pPr>
              <w:widowControl/>
              <w:spacing w:line="400" w:lineRule="exact"/>
              <w:jc w:val="center"/>
              <w:rPr>
                <w:rFonts w:ascii="Times New Roman" w:hAnsi="Times New Roman" w:eastAsia="宋体"/>
                <w:szCs w:val="21"/>
              </w:rPr>
            </w:pPr>
            <w:r>
              <w:rPr>
                <w:rFonts w:ascii="Times New Roman" w:hAnsi="Times New Roman" w:eastAsia="宋体"/>
                <w:szCs w:val="21"/>
              </w:rPr>
              <w:t>1.05</w:t>
            </w:r>
            <w:r>
              <w:rPr>
                <w:rFonts w:hint="eastAsia" w:ascii="Times New Roman" w:hAnsi="Times New Roman" w:eastAsia="宋体"/>
                <w:szCs w:val="21"/>
              </w:rPr>
              <w:t>～</w:t>
            </w:r>
            <w:r>
              <w:rPr>
                <w:rFonts w:ascii="Times New Roman" w:hAnsi="Times New Roman" w:eastAsia="宋体"/>
                <w:szCs w:val="21"/>
              </w:rPr>
              <w:t>1.10</w:t>
            </w:r>
          </w:p>
        </w:tc>
        <w:tc>
          <w:tcPr>
            <w:tcW w:w="1672" w:type="pct"/>
            <w:tcBorders>
              <w:top w:val="single" w:color="auto" w:sz="4" w:space="0"/>
              <w:left w:val="nil"/>
              <w:bottom w:val="single" w:color="auto" w:sz="4" w:space="0"/>
              <w:right w:val="single" w:color="auto" w:sz="4" w:space="0"/>
            </w:tcBorders>
            <w:shd w:val="clear" w:color="auto" w:fill="auto"/>
            <w:vAlign w:val="center"/>
          </w:tcPr>
          <w:p w14:paraId="7ABD1C77">
            <w:pPr>
              <w:widowControl/>
              <w:spacing w:line="400" w:lineRule="exact"/>
              <w:jc w:val="center"/>
              <w:rPr>
                <w:rFonts w:ascii="Times New Roman" w:hAnsi="Times New Roman" w:eastAsia="宋体" w:cs="宋体"/>
                <w:szCs w:val="21"/>
              </w:rPr>
            </w:pPr>
            <w:r>
              <w:rPr>
                <w:rFonts w:hint="eastAsia" w:ascii="Times New Roman" w:hAnsi="Times New Roman" w:eastAsia="宋体" w:cs="宋体"/>
                <w:szCs w:val="21"/>
              </w:rPr>
              <w:t>根据砂砾石级配情况选取</w:t>
            </w:r>
          </w:p>
        </w:tc>
      </w:tr>
      <w:tr w14:paraId="0F3FEAED">
        <w:tblPrEx>
          <w:tblCellMar>
            <w:top w:w="0" w:type="dxa"/>
            <w:left w:w="108" w:type="dxa"/>
            <w:bottom w:w="0" w:type="dxa"/>
            <w:right w:w="108" w:type="dxa"/>
          </w:tblCellMar>
        </w:tblPrEx>
        <w:trPr>
          <w:trHeight w:val="283" w:hRule="atLeast"/>
        </w:trPr>
        <w:tc>
          <w:tcPr>
            <w:tcW w:w="951" w:type="pct"/>
            <w:tcBorders>
              <w:top w:val="nil"/>
              <w:left w:val="single" w:color="auto" w:sz="4" w:space="0"/>
              <w:bottom w:val="single" w:color="auto" w:sz="4" w:space="0"/>
              <w:right w:val="single" w:color="auto" w:sz="4" w:space="0"/>
            </w:tcBorders>
            <w:shd w:val="clear" w:color="auto" w:fill="auto"/>
            <w:vAlign w:val="center"/>
          </w:tcPr>
          <w:p w14:paraId="557E0B17">
            <w:pPr>
              <w:widowControl/>
              <w:spacing w:line="400" w:lineRule="exact"/>
              <w:jc w:val="center"/>
              <w:rPr>
                <w:rFonts w:ascii="Times New Roman" w:hAnsi="Times New Roman" w:eastAsia="宋体" w:cs="宋体"/>
                <w:szCs w:val="21"/>
              </w:rPr>
            </w:pPr>
            <w:r>
              <w:rPr>
                <w:rFonts w:hint="eastAsia" w:ascii="Times New Roman" w:hAnsi="Times New Roman" w:eastAsia="宋体" w:cs="宋体"/>
                <w:szCs w:val="21"/>
              </w:rPr>
              <w:t>软岩（强风化）</w:t>
            </w:r>
          </w:p>
        </w:tc>
        <w:tc>
          <w:tcPr>
            <w:tcW w:w="1070" w:type="pct"/>
            <w:tcBorders>
              <w:top w:val="nil"/>
              <w:left w:val="nil"/>
              <w:bottom w:val="single" w:color="auto" w:sz="4" w:space="0"/>
              <w:right w:val="single" w:color="auto" w:sz="4" w:space="0"/>
            </w:tcBorders>
            <w:shd w:val="clear" w:color="auto" w:fill="auto"/>
            <w:vAlign w:val="center"/>
          </w:tcPr>
          <w:p w14:paraId="360C8991">
            <w:pPr>
              <w:widowControl/>
              <w:spacing w:line="400" w:lineRule="exact"/>
              <w:jc w:val="center"/>
              <w:rPr>
                <w:rFonts w:ascii="Times New Roman" w:hAnsi="Times New Roman" w:eastAsia="宋体"/>
                <w:szCs w:val="21"/>
              </w:rPr>
            </w:pPr>
            <w:r>
              <w:rPr>
                <w:rFonts w:ascii="Times New Roman" w:hAnsi="Times New Roman" w:eastAsia="宋体"/>
                <w:szCs w:val="21"/>
              </w:rPr>
              <w:t>1.33</w:t>
            </w:r>
            <w:r>
              <w:rPr>
                <w:rFonts w:hint="eastAsia" w:ascii="Times New Roman" w:hAnsi="Times New Roman" w:eastAsia="宋体"/>
                <w:szCs w:val="21"/>
              </w:rPr>
              <w:t>～</w:t>
            </w:r>
            <w:r>
              <w:rPr>
                <w:rFonts w:ascii="Times New Roman" w:hAnsi="Times New Roman" w:eastAsia="宋体"/>
                <w:szCs w:val="21"/>
              </w:rPr>
              <w:t>1.38</w:t>
            </w:r>
          </w:p>
        </w:tc>
        <w:tc>
          <w:tcPr>
            <w:tcW w:w="1307" w:type="pct"/>
            <w:tcBorders>
              <w:top w:val="nil"/>
              <w:left w:val="nil"/>
              <w:bottom w:val="single" w:color="auto" w:sz="4" w:space="0"/>
              <w:right w:val="single" w:color="auto" w:sz="4" w:space="0"/>
            </w:tcBorders>
            <w:shd w:val="clear" w:color="auto" w:fill="auto"/>
            <w:vAlign w:val="center"/>
          </w:tcPr>
          <w:p w14:paraId="3A7E6B06">
            <w:pPr>
              <w:widowControl/>
              <w:spacing w:line="400" w:lineRule="exact"/>
              <w:jc w:val="center"/>
              <w:rPr>
                <w:rFonts w:ascii="Times New Roman" w:hAnsi="Times New Roman" w:eastAsia="宋体"/>
                <w:szCs w:val="21"/>
              </w:rPr>
            </w:pPr>
            <w:r>
              <w:rPr>
                <w:rFonts w:ascii="Times New Roman" w:hAnsi="Times New Roman" w:eastAsia="宋体"/>
                <w:szCs w:val="21"/>
              </w:rPr>
              <w:t>1.30</w:t>
            </w:r>
            <w:r>
              <w:rPr>
                <w:rFonts w:hint="eastAsia" w:ascii="Times New Roman" w:hAnsi="Times New Roman" w:eastAsia="宋体"/>
                <w:szCs w:val="21"/>
              </w:rPr>
              <w:t>～</w:t>
            </w:r>
            <w:r>
              <w:rPr>
                <w:rFonts w:ascii="Times New Roman" w:hAnsi="Times New Roman" w:eastAsia="宋体"/>
                <w:szCs w:val="21"/>
              </w:rPr>
              <w:t>1.35</w:t>
            </w:r>
          </w:p>
        </w:tc>
        <w:tc>
          <w:tcPr>
            <w:tcW w:w="1672" w:type="pct"/>
            <w:tcBorders>
              <w:top w:val="single" w:color="auto" w:sz="4" w:space="0"/>
              <w:left w:val="nil"/>
              <w:bottom w:val="single" w:color="auto" w:sz="4" w:space="0"/>
              <w:right w:val="single" w:color="auto" w:sz="4" w:space="0"/>
            </w:tcBorders>
            <w:shd w:val="clear" w:color="auto" w:fill="auto"/>
            <w:vAlign w:val="center"/>
          </w:tcPr>
          <w:p w14:paraId="6B44D666">
            <w:pPr>
              <w:widowControl/>
              <w:spacing w:line="400" w:lineRule="exact"/>
              <w:jc w:val="center"/>
              <w:rPr>
                <w:rFonts w:ascii="Times New Roman" w:hAnsi="Times New Roman" w:eastAsia="宋体" w:cs="宋体"/>
                <w:szCs w:val="21"/>
              </w:rPr>
            </w:pPr>
          </w:p>
        </w:tc>
      </w:tr>
      <w:tr w14:paraId="27FF4306">
        <w:tblPrEx>
          <w:tblCellMar>
            <w:top w:w="0" w:type="dxa"/>
            <w:left w:w="108" w:type="dxa"/>
            <w:bottom w:w="0" w:type="dxa"/>
            <w:right w:w="108" w:type="dxa"/>
          </w:tblCellMar>
        </w:tblPrEx>
        <w:trPr>
          <w:trHeight w:val="283" w:hRule="atLeast"/>
        </w:trPr>
        <w:tc>
          <w:tcPr>
            <w:tcW w:w="951" w:type="pct"/>
            <w:tcBorders>
              <w:top w:val="nil"/>
              <w:left w:val="single" w:color="auto" w:sz="4" w:space="0"/>
              <w:bottom w:val="single" w:color="auto" w:sz="4" w:space="0"/>
              <w:right w:val="single" w:color="auto" w:sz="4" w:space="0"/>
            </w:tcBorders>
            <w:shd w:val="clear" w:color="auto" w:fill="auto"/>
            <w:vAlign w:val="center"/>
          </w:tcPr>
          <w:p w14:paraId="32A5A724">
            <w:pPr>
              <w:widowControl/>
              <w:spacing w:line="400" w:lineRule="exact"/>
              <w:jc w:val="center"/>
              <w:rPr>
                <w:rFonts w:ascii="Times New Roman" w:hAnsi="Times New Roman" w:eastAsia="宋体" w:cs="宋体"/>
                <w:szCs w:val="21"/>
              </w:rPr>
            </w:pPr>
            <w:r>
              <w:rPr>
                <w:rFonts w:hint="eastAsia" w:ascii="Times New Roman" w:hAnsi="Times New Roman" w:eastAsia="宋体" w:cs="宋体"/>
                <w:szCs w:val="21"/>
              </w:rPr>
              <w:t>硬岩（弱风化）</w:t>
            </w:r>
          </w:p>
        </w:tc>
        <w:tc>
          <w:tcPr>
            <w:tcW w:w="1070" w:type="pct"/>
            <w:tcBorders>
              <w:top w:val="nil"/>
              <w:left w:val="nil"/>
              <w:bottom w:val="single" w:color="auto" w:sz="4" w:space="0"/>
              <w:right w:val="single" w:color="auto" w:sz="4" w:space="0"/>
            </w:tcBorders>
            <w:shd w:val="clear" w:color="auto" w:fill="auto"/>
            <w:vAlign w:val="center"/>
          </w:tcPr>
          <w:p w14:paraId="345916DC">
            <w:pPr>
              <w:widowControl/>
              <w:spacing w:line="400" w:lineRule="exact"/>
              <w:jc w:val="center"/>
              <w:rPr>
                <w:rFonts w:ascii="Times New Roman" w:hAnsi="Times New Roman" w:eastAsia="宋体"/>
                <w:szCs w:val="21"/>
              </w:rPr>
            </w:pPr>
            <w:r>
              <w:rPr>
                <w:rFonts w:ascii="Times New Roman" w:hAnsi="Times New Roman" w:eastAsia="宋体"/>
                <w:szCs w:val="21"/>
              </w:rPr>
              <w:t>1.35</w:t>
            </w:r>
            <w:r>
              <w:rPr>
                <w:rFonts w:hint="eastAsia" w:ascii="Times New Roman" w:hAnsi="Times New Roman" w:eastAsia="宋体"/>
                <w:szCs w:val="21"/>
              </w:rPr>
              <w:t>～</w:t>
            </w:r>
            <w:r>
              <w:rPr>
                <w:rFonts w:ascii="Times New Roman" w:hAnsi="Times New Roman" w:eastAsia="宋体"/>
                <w:szCs w:val="21"/>
              </w:rPr>
              <w:t>1.40</w:t>
            </w:r>
          </w:p>
        </w:tc>
        <w:tc>
          <w:tcPr>
            <w:tcW w:w="1307" w:type="pct"/>
            <w:tcBorders>
              <w:top w:val="nil"/>
              <w:left w:val="nil"/>
              <w:bottom w:val="single" w:color="auto" w:sz="4" w:space="0"/>
              <w:right w:val="single" w:color="auto" w:sz="4" w:space="0"/>
            </w:tcBorders>
            <w:shd w:val="clear" w:color="auto" w:fill="auto"/>
            <w:vAlign w:val="center"/>
          </w:tcPr>
          <w:p w14:paraId="3092C80E">
            <w:pPr>
              <w:widowControl/>
              <w:spacing w:line="400" w:lineRule="exact"/>
              <w:jc w:val="center"/>
              <w:rPr>
                <w:rFonts w:ascii="Times New Roman" w:hAnsi="Times New Roman" w:eastAsia="宋体"/>
                <w:szCs w:val="21"/>
              </w:rPr>
            </w:pPr>
            <w:r>
              <w:rPr>
                <w:rFonts w:ascii="Times New Roman" w:hAnsi="Times New Roman" w:eastAsia="宋体"/>
                <w:szCs w:val="21"/>
              </w:rPr>
              <w:t>1.33</w:t>
            </w:r>
            <w:r>
              <w:rPr>
                <w:rFonts w:hint="eastAsia" w:ascii="Times New Roman" w:hAnsi="Times New Roman" w:eastAsia="宋体"/>
                <w:szCs w:val="21"/>
              </w:rPr>
              <w:t>～</w:t>
            </w:r>
            <w:r>
              <w:rPr>
                <w:rFonts w:ascii="Times New Roman" w:hAnsi="Times New Roman" w:eastAsia="宋体"/>
                <w:szCs w:val="21"/>
              </w:rPr>
              <w:t>1.38</w:t>
            </w:r>
          </w:p>
        </w:tc>
        <w:tc>
          <w:tcPr>
            <w:tcW w:w="1672" w:type="pct"/>
            <w:tcBorders>
              <w:top w:val="single" w:color="auto" w:sz="4" w:space="0"/>
              <w:left w:val="nil"/>
              <w:bottom w:val="single" w:color="auto" w:sz="4" w:space="0"/>
              <w:right w:val="single" w:color="auto" w:sz="4" w:space="0"/>
            </w:tcBorders>
            <w:shd w:val="clear" w:color="auto" w:fill="auto"/>
            <w:vAlign w:val="center"/>
          </w:tcPr>
          <w:p w14:paraId="2317D296">
            <w:pPr>
              <w:widowControl/>
              <w:spacing w:line="400" w:lineRule="exact"/>
              <w:jc w:val="center"/>
              <w:rPr>
                <w:rFonts w:ascii="Times New Roman" w:hAnsi="Times New Roman" w:eastAsia="宋体" w:cs="宋体"/>
                <w:szCs w:val="21"/>
              </w:rPr>
            </w:pPr>
          </w:p>
        </w:tc>
      </w:tr>
      <w:tr w14:paraId="48DB0D66">
        <w:tblPrEx>
          <w:tblCellMar>
            <w:top w:w="0" w:type="dxa"/>
            <w:left w:w="108" w:type="dxa"/>
            <w:bottom w:w="0" w:type="dxa"/>
            <w:right w:w="108" w:type="dxa"/>
          </w:tblCellMar>
        </w:tblPrEx>
        <w:trPr>
          <w:trHeight w:val="283" w:hRule="atLeast"/>
        </w:trPr>
        <w:tc>
          <w:tcPr>
            <w:tcW w:w="951" w:type="pct"/>
            <w:tcBorders>
              <w:top w:val="nil"/>
              <w:left w:val="single" w:color="auto" w:sz="4" w:space="0"/>
              <w:bottom w:val="single" w:color="auto" w:sz="4" w:space="0"/>
              <w:right w:val="single" w:color="auto" w:sz="4" w:space="0"/>
            </w:tcBorders>
            <w:shd w:val="clear" w:color="auto" w:fill="auto"/>
            <w:vAlign w:val="center"/>
          </w:tcPr>
          <w:p w14:paraId="652AEAEC">
            <w:pPr>
              <w:widowControl/>
              <w:spacing w:line="400" w:lineRule="exact"/>
              <w:jc w:val="center"/>
              <w:rPr>
                <w:rFonts w:ascii="Times New Roman" w:hAnsi="Times New Roman" w:eastAsia="宋体"/>
                <w:szCs w:val="21"/>
              </w:rPr>
            </w:pPr>
            <w:r>
              <w:rPr>
                <w:rFonts w:hint="eastAsia" w:ascii="Times New Roman" w:hAnsi="Times New Roman" w:eastAsia="宋体"/>
                <w:szCs w:val="21"/>
              </w:rPr>
              <w:t>土石混合料</w:t>
            </w:r>
          </w:p>
        </w:tc>
        <w:tc>
          <w:tcPr>
            <w:tcW w:w="1070" w:type="pct"/>
            <w:tcBorders>
              <w:top w:val="nil"/>
              <w:left w:val="nil"/>
              <w:bottom w:val="single" w:color="auto" w:sz="4" w:space="0"/>
              <w:right w:val="single" w:color="auto" w:sz="4" w:space="0"/>
            </w:tcBorders>
            <w:shd w:val="clear" w:color="auto" w:fill="auto"/>
            <w:vAlign w:val="center"/>
          </w:tcPr>
          <w:p w14:paraId="650E81AB">
            <w:pPr>
              <w:widowControl/>
              <w:spacing w:line="400" w:lineRule="exact"/>
              <w:jc w:val="center"/>
              <w:rPr>
                <w:rFonts w:ascii="Times New Roman" w:hAnsi="Times New Roman" w:eastAsia="宋体"/>
                <w:szCs w:val="21"/>
              </w:rPr>
            </w:pPr>
            <w:r>
              <w:rPr>
                <w:rFonts w:ascii="Times New Roman" w:hAnsi="Times New Roman" w:eastAsia="宋体"/>
                <w:szCs w:val="21"/>
              </w:rPr>
              <w:t>1.30</w:t>
            </w:r>
            <w:r>
              <w:rPr>
                <w:rFonts w:hint="eastAsia" w:ascii="Times New Roman" w:hAnsi="Times New Roman" w:eastAsia="宋体"/>
                <w:szCs w:val="21"/>
              </w:rPr>
              <w:t>～</w:t>
            </w:r>
            <w:r>
              <w:rPr>
                <w:rFonts w:ascii="Times New Roman" w:hAnsi="Times New Roman" w:eastAsia="宋体"/>
                <w:szCs w:val="21"/>
              </w:rPr>
              <w:t>1.35</w:t>
            </w:r>
          </w:p>
        </w:tc>
        <w:tc>
          <w:tcPr>
            <w:tcW w:w="1307" w:type="pct"/>
            <w:tcBorders>
              <w:top w:val="nil"/>
              <w:left w:val="nil"/>
              <w:bottom w:val="single" w:color="auto" w:sz="4" w:space="0"/>
              <w:right w:val="single" w:color="auto" w:sz="4" w:space="0"/>
            </w:tcBorders>
            <w:shd w:val="clear" w:color="auto" w:fill="auto"/>
            <w:vAlign w:val="center"/>
          </w:tcPr>
          <w:p w14:paraId="0645DD18">
            <w:pPr>
              <w:widowControl/>
              <w:spacing w:line="400" w:lineRule="exact"/>
              <w:jc w:val="center"/>
              <w:rPr>
                <w:rFonts w:ascii="Times New Roman" w:hAnsi="Times New Roman" w:eastAsia="宋体"/>
                <w:szCs w:val="21"/>
              </w:rPr>
            </w:pPr>
            <w:r>
              <w:rPr>
                <w:rFonts w:ascii="Times New Roman" w:hAnsi="Times New Roman" w:eastAsia="宋体"/>
                <w:szCs w:val="21"/>
              </w:rPr>
              <w:t>1.25</w:t>
            </w:r>
            <w:r>
              <w:rPr>
                <w:rFonts w:hint="eastAsia" w:ascii="Times New Roman" w:hAnsi="Times New Roman" w:eastAsia="宋体"/>
                <w:szCs w:val="21"/>
              </w:rPr>
              <w:t>～</w:t>
            </w:r>
            <w:r>
              <w:rPr>
                <w:rFonts w:ascii="Times New Roman" w:hAnsi="Times New Roman" w:eastAsia="宋体"/>
                <w:szCs w:val="21"/>
              </w:rPr>
              <w:t>1.30</w:t>
            </w:r>
          </w:p>
        </w:tc>
        <w:tc>
          <w:tcPr>
            <w:tcW w:w="1672" w:type="pct"/>
            <w:tcBorders>
              <w:top w:val="single" w:color="auto" w:sz="4" w:space="0"/>
              <w:left w:val="nil"/>
              <w:bottom w:val="single" w:color="auto" w:sz="4" w:space="0"/>
              <w:right w:val="single" w:color="auto" w:sz="4" w:space="0"/>
            </w:tcBorders>
            <w:shd w:val="clear" w:color="auto" w:fill="auto"/>
            <w:vAlign w:val="center"/>
          </w:tcPr>
          <w:p w14:paraId="0ECB5A4C">
            <w:pPr>
              <w:widowControl/>
              <w:spacing w:line="400" w:lineRule="exact"/>
              <w:jc w:val="center"/>
              <w:rPr>
                <w:rFonts w:ascii="Times New Roman" w:hAnsi="Times New Roman" w:eastAsia="宋体" w:cs="宋体"/>
                <w:szCs w:val="21"/>
              </w:rPr>
            </w:pPr>
            <w:r>
              <w:rPr>
                <w:rFonts w:hint="eastAsia" w:ascii="Times New Roman" w:hAnsi="Times New Roman" w:eastAsia="宋体" w:cs="宋体"/>
                <w:szCs w:val="21"/>
              </w:rPr>
              <w:t>土</w:t>
            </w:r>
            <w:r>
              <w:rPr>
                <w:rFonts w:ascii="Times New Roman" w:hAnsi="Times New Roman" w:eastAsia="宋体"/>
                <w:szCs w:val="21"/>
              </w:rPr>
              <w:t>石比例占50%左右时取</w:t>
            </w:r>
            <w:r>
              <w:rPr>
                <w:rFonts w:hint="eastAsia" w:ascii="Times New Roman" w:hAnsi="Times New Roman" w:eastAsia="宋体" w:cs="宋体"/>
                <w:szCs w:val="21"/>
              </w:rPr>
              <w:t>小值</w:t>
            </w:r>
          </w:p>
        </w:tc>
      </w:tr>
    </w:tbl>
    <w:p w14:paraId="5D53383D">
      <w:pPr>
        <w:spacing w:line="400" w:lineRule="exact"/>
        <w:rPr>
          <w:rFonts w:ascii="Times New Roman" w:hAnsi="Times New Roman" w:eastAsia="宋体"/>
          <w:szCs w:val="21"/>
        </w:rPr>
      </w:pPr>
      <w:r>
        <w:rPr>
          <w:rFonts w:ascii="Times New Roman" w:hAnsi="Times New Roman" w:eastAsia="宋体"/>
          <w:szCs w:val="21"/>
        </w:rPr>
        <w:t>注：1</w:t>
      </w:r>
      <w:r>
        <w:rPr>
          <w:rFonts w:hint="eastAsia" w:ascii="Times New Roman" w:hAnsi="Times New Roman" w:eastAsia="宋体"/>
          <w:szCs w:val="21"/>
        </w:rPr>
        <w:t xml:space="preserve">  </w:t>
      </w:r>
      <w:r>
        <w:rPr>
          <w:rFonts w:ascii="Times New Roman" w:hAnsi="Times New Roman" w:eastAsia="宋体"/>
          <w:szCs w:val="21"/>
        </w:rPr>
        <w:t>对于在转存</w:t>
      </w:r>
      <w:r>
        <w:rPr>
          <w:rFonts w:hint="eastAsia" w:ascii="Times New Roman" w:hAnsi="Times New Roman" w:eastAsia="宋体"/>
          <w:szCs w:val="21"/>
        </w:rPr>
        <w:t>料</w:t>
      </w:r>
      <w:r>
        <w:rPr>
          <w:rFonts w:ascii="Times New Roman" w:hAnsi="Times New Roman" w:eastAsia="宋体"/>
          <w:szCs w:val="21"/>
        </w:rPr>
        <w:t>场堆存未经碾压的可取松方系数建议值；</w:t>
      </w:r>
    </w:p>
    <w:p w14:paraId="0C92FD6E">
      <w:pPr>
        <w:spacing w:line="400" w:lineRule="exact"/>
        <w:ind w:firstLine="420" w:firstLineChars="200"/>
        <w:rPr>
          <w:rFonts w:ascii="Times New Roman" w:hAnsi="Times New Roman" w:eastAsia="宋体"/>
          <w:szCs w:val="21"/>
        </w:rPr>
      </w:pPr>
      <w:r>
        <w:rPr>
          <w:rFonts w:hint="eastAsia" w:ascii="Times New Roman" w:hAnsi="Times New Roman" w:eastAsia="宋体"/>
          <w:szCs w:val="21"/>
        </w:rPr>
        <w:t xml:space="preserve">2  </w:t>
      </w:r>
      <w:r>
        <w:rPr>
          <w:rFonts w:ascii="Times New Roman" w:hAnsi="Times New Roman" w:eastAsia="宋体"/>
          <w:szCs w:val="21"/>
        </w:rPr>
        <w:t>渣场考虑</w:t>
      </w:r>
      <w:r>
        <w:rPr>
          <w:rFonts w:hint="eastAsia" w:ascii="Times New Roman" w:hAnsi="Times New Roman" w:eastAsia="宋体"/>
          <w:szCs w:val="21"/>
        </w:rPr>
        <w:t>运输</w:t>
      </w:r>
      <w:r>
        <w:rPr>
          <w:rFonts w:ascii="Times New Roman" w:hAnsi="Times New Roman" w:eastAsia="宋体"/>
          <w:szCs w:val="21"/>
        </w:rPr>
        <w:t>车辆行驶碾压及渣料</w:t>
      </w:r>
      <w:r>
        <w:rPr>
          <w:rFonts w:hint="eastAsia" w:ascii="Times New Roman" w:hAnsi="Times New Roman" w:eastAsia="宋体"/>
          <w:szCs w:val="21"/>
        </w:rPr>
        <w:t>的</w:t>
      </w:r>
      <w:r>
        <w:rPr>
          <w:rFonts w:ascii="Times New Roman" w:hAnsi="Times New Roman" w:eastAsia="宋体"/>
          <w:szCs w:val="21"/>
        </w:rPr>
        <w:t>自然沉降作用，渣料的折方系数可取表中堆方系数</w:t>
      </w:r>
      <w:r>
        <w:rPr>
          <w:rFonts w:hint="eastAsia" w:ascii="Times New Roman" w:hAnsi="Times New Roman" w:eastAsia="宋体"/>
          <w:szCs w:val="21"/>
        </w:rPr>
        <w:t>大值</w:t>
      </w:r>
      <w:r>
        <w:rPr>
          <w:rFonts w:ascii="Times New Roman" w:hAnsi="Times New Roman" w:eastAsia="宋体"/>
          <w:szCs w:val="21"/>
        </w:rPr>
        <w:t>；</w:t>
      </w:r>
    </w:p>
    <w:p w14:paraId="1FBF1533">
      <w:pPr>
        <w:spacing w:line="400" w:lineRule="exact"/>
        <w:ind w:firstLine="420" w:firstLineChars="200"/>
        <w:rPr>
          <w:rFonts w:ascii="Times New Roman" w:hAnsi="Times New Roman" w:eastAsia="宋体"/>
          <w:szCs w:val="21"/>
        </w:rPr>
      </w:pPr>
      <w:r>
        <w:rPr>
          <w:rFonts w:hint="eastAsia" w:ascii="Times New Roman" w:hAnsi="Times New Roman" w:eastAsia="宋体"/>
          <w:szCs w:val="21"/>
        </w:rPr>
        <w:t xml:space="preserve">3  </w:t>
      </w:r>
      <w:r>
        <w:rPr>
          <w:rFonts w:ascii="Times New Roman" w:hAnsi="Times New Roman" w:eastAsia="宋体"/>
          <w:szCs w:val="21"/>
        </w:rPr>
        <w:t>对于</w:t>
      </w:r>
      <w:r>
        <w:rPr>
          <w:rFonts w:hint="eastAsia" w:ascii="Times New Roman" w:hAnsi="Times New Roman" w:eastAsia="宋体"/>
          <w:szCs w:val="21"/>
        </w:rPr>
        <w:t>坝前</w:t>
      </w:r>
      <w:r>
        <w:rPr>
          <w:rFonts w:ascii="Times New Roman" w:hAnsi="Times New Roman" w:eastAsia="宋体"/>
          <w:szCs w:val="21"/>
        </w:rPr>
        <w:t>、坝后压坡、库底平整</w:t>
      </w:r>
      <w:r>
        <w:rPr>
          <w:rFonts w:hint="eastAsia" w:ascii="Times New Roman" w:hAnsi="Times New Roman" w:eastAsia="宋体"/>
          <w:szCs w:val="21"/>
        </w:rPr>
        <w:t>、场地平整</w:t>
      </w:r>
      <w:r>
        <w:rPr>
          <w:rFonts w:ascii="Times New Roman" w:hAnsi="Times New Roman" w:eastAsia="宋体"/>
          <w:szCs w:val="21"/>
        </w:rPr>
        <w:t>等经过运输车辆及压实机械简单碾压的可取表中堆方系数</w:t>
      </w:r>
      <w:r>
        <w:rPr>
          <w:rFonts w:hint="eastAsia" w:ascii="Times New Roman" w:hAnsi="Times New Roman" w:eastAsia="宋体"/>
          <w:szCs w:val="21"/>
        </w:rPr>
        <w:t>小值</w:t>
      </w:r>
      <w:r>
        <w:rPr>
          <w:rFonts w:ascii="Times New Roman" w:hAnsi="Times New Roman" w:eastAsia="宋体"/>
          <w:szCs w:val="21"/>
        </w:rPr>
        <w:t>。</w:t>
      </w:r>
    </w:p>
    <w:p w14:paraId="15C604FC">
      <w:pPr>
        <w:spacing w:line="400" w:lineRule="exact"/>
        <w:ind w:firstLine="420" w:firstLineChars="200"/>
        <w:rPr>
          <w:rFonts w:ascii="宋体" w:hAnsi="宋体" w:eastAsia="宋体" w:cs="宋体"/>
          <w:szCs w:val="21"/>
        </w:rPr>
      </w:pPr>
      <w:bookmarkStart w:id="173" w:name="heading_1"/>
      <w:r>
        <w:rPr>
          <w:rFonts w:hint="eastAsia" w:ascii="宋体" w:hAnsi="宋体" w:eastAsia="宋体" w:cs="宋体"/>
          <w:szCs w:val="21"/>
        </w:rPr>
        <w:t>4  洞室光面爆破的堆石料折方系数宜取低值，松动爆破宜取高值；运距超过5km时，运输损耗系数可上调0.01~0.02；雨季、高寒地区施工，开采和转存损耗系数可上调0.02~0.05。</w:t>
      </w:r>
    </w:p>
    <w:p w14:paraId="686A7D46">
      <w:pPr>
        <w:spacing w:line="400" w:lineRule="exact"/>
        <w:jc w:val="left"/>
        <w:outlineLvl w:val="1"/>
        <w:rPr>
          <w:rFonts w:ascii="宋体" w:hAnsi="宋体" w:eastAsia="宋体" w:cs="宋体"/>
          <w:szCs w:val="21"/>
        </w:rPr>
      </w:pPr>
      <w:bookmarkStart w:id="174" w:name="_Toc227827682"/>
      <w:bookmarkStart w:id="175" w:name="_Toc227228993"/>
      <w:r>
        <w:rPr>
          <w:rFonts w:hint="eastAsia" w:ascii="宋体" w:hAnsi="宋体" w:eastAsia="宋体" w:cs="宋体"/>
          <w:szCs w:val="21"/>
        </w:rPr>
        <w:t xml:space="preserve">B.2 </w:t>
      </w:r>
      <w:bookmarkEnd w:id="173"/>
      <w:r>
        <w:rPr>
          <w:rFonts w:hint="eastAsia" w:ascii="宋体" w:hAnsi="宋体" w:eastAsia="宋体" w:cs="宋体"/>
          <w:szCs w:val="21"/>
        </w:rPr>
        <w:t>规划开采量计算</w:t>
      </w:r>
      <w:bookmarkEnd w:id="174"/>
      <w:bookmarkEnd w:id="175"/>
    </w:p>
    <w:p w14:paraId="6515861C">
      <w:pPr>
        <w:pStyle w:val="9"/>
        <w:spacing w:after="0"/>
        <w:jc w:val="right"/>
      </w:pPr>
      <w:r>
        <w:rPr>
          <w:rFonts w:ascii="Times New Roman" w:hAnsi="Times New Roman" w:cs="Times New Roman"/>
          <w:i/>
        </w:rPr>
        <w:t>V</w:t>
      </w:r>
      <w:r>
        <w:rPr>
          <w:rFonts w:ascii="Times New Roman" w:hAnsi="Times New Roman" w:cs="Times New Roman"/>
          <w:vertAlign w:val="subscript"/>
        </w:rPr>
        <w:t>规划</w:t>
      </w:r>
      <w:r>
        <w:rPr>
          <w:rFonts w:ascii="Times New Roman" w:hAnsi="Times New Roman" w:cs="Times New Roman"/>
        </w:rPr>
        <w:t xml:space="preserve"> = </w:t>
      </w:r>
      <w:r>
        <w:rPr>
          <w:rFonts w:ascii="Times New Roman" w:hAnsi="Times New Roman" w:cs="Times New Roman"/>
          <w:i/>
        </w:rPr>
        <w:t>K</w:t>
      </w:r>
      <w:r>
        <w:rPr>
          <w:rFonts w:ascii="Times New Roman" w:hAnsi="Times New Roman" w:cs="Times New Roman"/>
        </w:rPr>
        <w:t>·</w:t>
      </w:r>
      <w:r>
        <w:rPr>
          <w:rFonts w:ascii="Times New Roman" w:hAnsi="Times New Roman" w:cs="Times New Roman"/>
          <w:i/>
        </w:rPr>
        <w:t>V</w:t>
      </w:r>
      <w:r>
        <w:rPr>
          <w:rFonts w:ascii="Times New Roman" w:hAnsi="Times New Roman" w:cs="Times New Roman"/>
          <w:vertAlign w:val="subscript"/>
        </w:rPr>
        <w:t>设计</w:t>
      </w:r>
      <w:r>
        <w:rPr>
          <w:rFonts w:hint="eastAsia"/>
        </w:rPr>
        <w:t xml:space="preserve"> </w:t>
      </w:r>
      <w:r>
        <w:rPr>
          <w:rFonts w:ascii="Times New Roman" w:hAnsi="Times New Roman" w:cs="Times New Roman"/>
        </w:rPr>
        <w:t xml:space="preserve">                      </w:t>
      </w:r>
      <w:r>
        <w:rPr>
          <w:rFonts w:ascii="Times New Roman" w:hAnsi="Times New Roman" w:cs="Times New Roman"/>
          <w:sz w:val="24"/>
          <w:szCs w:val="24"/>
        </w:rPr>
        <w:t xml:space="preserve">   </w:t>
      </w:r>
      <w:r>
        <w:rPr>
          <w:rFonts w:ascii="Times New Roman" w:hAnsi="Times New Roman" w:cs="Times New Roman"/>
        </w:rPr>
        <w:t>（B.2.1）</w:t>
      </w:r>
    </w:p>
    <w:p w14:paraId="24D944DF">
      <w:pPr>
        <w:pStyle w:val="22"/>
        <w:spacing w:after="0" w:line="400" w:lineRule="exact"/>
        <w:ind w:firstLine="0" w:firstLineChars="0"/>
        <w:rPr>
          <w:rFonts w:ascii="Times New Roman" w:hAnsi="Times New Roman" w:eastAsia="宋体"/>
        </w:rPr>
      </w:pPr>
      <w:r>
        <w:rPr>
          <w:rFonts w:hint="eastAsia" w:ascii="Times New Roman" w:hAnsi="Times New Roman" w:eastAsia="宋体"/>
        </w:rPr>
        <w:t>式中：</w:t>
      </w:r>
      <w:r>
        <w:rPr>
          <w:rFonts w:hint="eastAsia" w:ascii="Times New Roman" w:hAnsi="Times New Roman" w:eastAsia="宋体"/>
          <w:i/>
        </w:rPr>
        <w:t>V</w:t>
      </w:r>
      <w:r>
        <w:rPr>
          <w:rFonts w:hint="eastAsia" w:ascii="Times New Roman" w:hAnsi="Times New Roman" w:eastAsia="宋体"/>
          <w:vertAlign w:val="subscript"/>
        </w:rPr>
        <w:t>规划</w:t>
      </w:r>
      <w:r>
        <w:rPr>
          <w:rFonts w:hint="eastAsia" w:ascii="Times New Roman" w:hAnsi="Times New Roman" w:eastAsia="宋体"/>
        </w:rPr>
        <w:t>——石料或土料规划开采量（m</w:t>
      </w:r>
      <w:r>
        <w:rPr>
          <w:rFonts w:hint="eastAsia" w:ascii="Times New Roman" w:hAnsi="Times New Roman" w:eastAsia="宋体"/>
          <w:vertAlign w:val="superscript"/>
        </w:rPr>
        <w:t>3</w:t>
      </w:r>
      <w:r>
        <w:rPr>
          <w:rFonts w:hint="eastAsia" w:ascii="Times New Roman" w:hAnsi="Times New Roman" w:eastAsia="宋体"/>
        </w:rPr>
        <w:t>），以自然方计；</w:t>
      </w:r>
    </w:p>
    <w:p w14:paraId="2F0BEAC5">
      <w:pPr>
        <w:spacing w:line="400" w:lineRule="exact"/>
        <w:rPr>
          <w:rFonts w:ascii="Times New Roman" w:hAnsi="Times New Roman" w:eastAsia="宋体"/>
        </w:rPr>
      </w:pPr>
      <w:r>
        <w:rPr>
          <w:rFonts w:hint="eastAsia" w:ascii="Times New Roman" w:hAnsi="Times New Roman" w:eastAsia="宋体"/>
        </w:rPr>
        <w:t xml:space="preserve">      </w:t>
      </w:r>
      <w:r>
        <w:rPr>
          <w:rFonts w:hint="eastAsia" w:ascii="Times New Roman" w:hAnsi="Times New Roman" w:eastAsia="宋体"/>
          <w:i/>
        </w:rPr>
        <w:t>V</w:t>
      </w:r>
      <w:r>
        <w:rPr>
          <w:rFonts w:hint="eastAsia" w:ascii="Times New Roman" w:hAnsi="Times New Roman" w:eastAsia="宋体"/>
          <w:vertAlign w:val="subscript"/>
        </w:rPr>
        <w:t>设计</w:t>
      </w:r>
      <w:r>
        <w:rPr>
          <w:rFonts w:hint="eastAsia" w:ascii="Times New Roman" w:hAnsi="Times New Roman" w:eastAsia="宋体"/>
        </w:rPr>
        <w:t>——石料或土料设计需要量（m</w:t>
      </w:r>
      <w:r>
        <w:rPr>
          <w:rFonts w:hint="eastAsia" w:ascii="Times New Roman" w:hAnsi="Times New Roman" w:eastAsia="宋体"/>
          <w:vertAlign w:val="superscript"/>
        </w:rPr>
        <w:t>3</w:t>
      </w:r>
      <w:r>
        <w:rPr>
          <w:rFonts w:hint="eastAsia" w:ascii="Times New Roman" w:hAnsi="Times New Roman" w:eastAsia="宋体"/>
        </w:rPr>
        <w:t>），以自然方计；</w:t>
      </w:r>
    </w:p>
    <w:p w14:paraId="482F398E">
      <w:pPr>
        <w:spacing w:line="400" w:lineRule="exact"/>
        <w:rPr>
          <w:rFonts w:ascii="Times New Roman" w:hAnsi="Times New Roman" w:eastAsia="宋体"/>
        </w:rPr>
      </w:pPr>
      <w:r>
        <w:rPr>
          <w:rFonts w:hint="eastAsia" w:ascii="Times New Roman" w:hAnsi="Times New Roman" w:eastAsia="宋体"/>
        </w:rPr>
        <w:t xml:space="preserve">      </w:t>
      </w:r>
      <w:r>
        <w:rPr>
          <w:rFonts w:hint="eastAsia" w:ascii="Times New Roman" w:hAnsi="Times New Roman" w:eastAsia="宋体"/>
          <w:i/>
        </w:rPr>
        <w:t>K</w:t>
      </w:r>
      <w:r>
        <w:rPr>
          <w:rFonts w:hint="eastAsia" w:ascii="Times New Roman" w:hAnsi="Times New Roman" w:eastAsia="宋体"/>
        </w:rPr>
        <w:t>——规划开采系数，取值1.15~1.50，</w:t>
      </w:r>
      <w:r>
        <w:rPr>
          <w:rFonts w:hint="eastAsia" w:ascii="宋体" w:hAnsi="宋体"/>
          <w:szCs w:val="21"/>
        </w:rPr>
        <w:t>规划开采系数选取宜遵守下列原则：</w:t>
      </w:r>
    </w:p>
    <w:p w14:paraId="6106C256">
      <w:pPr>
        <w:pStyle w:val="9"/>
        <w:spacing w:after="0" w:line="400" w:lineRule="exact"/>
        <w:ind w:firstLine="420" w:firstLineChars="200"/>
      </w:pPr>
      <w:r>
        <w:rPr>
          <w:rFonts w:hint="eastAsia"/>
        </w:rPr>
        <w:t>石料场地形完整、岩性单一、地质条件简单时，宜取低限；料场地形陡峻凌乱、地质条件复杂时，宜取高限。</w:t>
      </w:r>
    </w:p>
    <w:p w14:paraId="58ED6C12">
      <w:pPr>
        <w:pStyle w:val="9"/>
        <w:spacing w:after="0" w:line="400" w:lineRule="exact"/>
        <w:ind w:firstLine="420" w:firstLineChars="200"/>
      </w:pPr>
      <w:r>
        <w:rPr>
          <w:rFonts w:hint="eastAsia"/>
        </w:rPr>
        <w:t>土料场地形平缓完整、有用层厚度大、地质条件简单时，宜取低限；土料场地形陡峻、有用层厚度小、地质条件复杂时，宜取高限。</w:t>
      </w:r>
    </w:p>
    <w:p w14:paraId="130358CF">
      <w:pPr>
        <w:pStyle w:val="9"/>
        <w:spacing w:after="0" w:line="400" w:lineRule="exact"/>
        <w:ind w:firstLine="420" w:firstLineChars="200"/>
      </w:pPr>
      <w:r>
        <w:rPr>
          <w:rFonts w:hint="eastAsia"/>
        </w:rPr>
        <w:t>天然砂砾料场陆上开采量大、天然级配较好时，宜取低限；陆上开采量小、需进行陆基水下开采和水下开采、天然级配较差时，宜取高限，</w:t>
      </w:r>
    </w:p>
    <w:p w14:paraId="2C6D7C7F">
      <w:pPr>
        <w:pStyle w:val="9"/>
        <w:spacing w:after="0" w:line="400" w:lineRule="exact"/>
        <w:ind w:firstLine="420" w:firstLineChars="200"/>
      </w:pPr>
      <w:r>
        <w:rPr>
          <w:rFonts w:hint="eastAsia"/>
        </w:rPr>
        <w:t>料源用于坝料填筑时，宜取低限；料源用于加工混凝土骨料时，宜取高限。</w:t>
      </w:r>
    </w:p>
    <w:p w14:paraId="3D0FBC3A">
      <w:pPr>
        <w:pStyle w:val="9"/>
        <w:spacing w:after="0" w:line="400" w:lineRule="exact"/>
        <w:ind w:firstLine="420" w:firstLineChars="200"/>
        <w:rPr>
          <w:rFonts w:ascii="宋体" w:hAnsi="宋体" w:eastAsia="宋体" w:cs="宋体"/>
          <w:b/>
          <w:sz w:val="32"/>
        </w:rPr>
      </w:pPr>
      <w:r>
        <w:rPr>
          <w:rFonts w:hint="eastAsia"/>
        </w:rPr>
        <w:t>料源地质勘查精度较高时，宜取低限。</w:t>
      </w:r>
    </w:p>
    <w:p w14:paraId="73253662">
      <w:pPr>
        <w:spacing w:line="400" w:lineRule="exact"/>
        <w:jc w:val="left"/>
        <w:outlineLvl w:val="1"/>
        <w:rPr>
          <w:rFonts w:ascii="宋体" w:hAnsi="宋体" w:eastAsia="宋体" w:cs="宋体"/>
          <w:szCs w:val="21"/>
        </w:rPr>
      </w:pPr>
      <w:bookmarkStart w:id="176" w:name="_Toc227827683"/>
      <w:bookmarkStart w:id="177" w:name="heading_2"/>
      <w:bookmarkStart w:id="178" w:name="_Toc227228994"/>
      <w:r>
        <w:rPr>
          <w:rFonts w:hint="eastAsia" w:ascii="宋体" w:hAnsi="宋体" w:eastAsia="宋体" w:cs="宋体"/>
          <w:szCs w:val="21"/>
        </w:rPr>
        <w:t>B.3 料场设计和规划开采量计算</w:t>
      </w:r>
      <w:bookmarkEnd w:id="176"/>
      <w:bookmarkEnd w:id="177"/>
      <w:bookmarkEnd w:id="178"/>
    </w:p>
    <w:bookmarkEnd w:id="152"/>
    <w:bookmarkEnd w:id="153"/>
    <w:bookmarkEnd w:id="154"/>
    <w:bookmarkEnd w:id="155"/>
    <w:bookmarkEnd w:id="156"/>
    <w:p w14:paraId="5588FD6B">
      <w:pPr>
        <w:pStyle w:val="9"/>
        <w:spacing w:after="0" w:line="400" w:lineRule="exact"/>
        <w:ind w:firstLine="420" w:firstLineChars="200"/>
      </w:pPr>
      <w:r>
        <w:rPr>
          <w:rFonts w:hint="eastAsia"/>
        </w:rPr>
        <w:t>料场设计开采量应按下式计算：</w:t>
      </w:r>
    </w:p>
    <w:p w14:paraId="4F667DE6">
      <w:pPr>
        <w:pStyle w:val="9"/>
        <w:spacing w:after="0" w:line="400" w:lineRule="exact"/>
        <w:ind w:firstLine="420"/>
        <w:jc w:val="right"/>
        <w:rPr>
          <w:rFonts w:ascii="宋体" w:hAnsi="宋体" w:eastAsia="宋体"/>
        </w:rPr>
      </w:pPr>
      <w:r>
        <w:rPr>
          <w:rFonts w:ascii="Times New Roman" w:hAnsi="Times New Roman" w:eastAsia="宋体" w:cs="Times New Roman"/>
          <w:i/>
        </w:rPr>
        <w:t>V</w:t>
      </w:r>
      <w:r>
        <w:rPr>
          <w:rFonts w:ascii="Times New Roman" w:hAnsi="Times New Roman" w:eastAsia="宋体" w:cs="Times New Roman"/>
          <w:vertAlign w:val="subscript"/>
        </w:rPr>
        <w:t>料场设计</w:t>
      </w:r>
      <w:r>
        <w:rPr>
          <w:rFonts w:ascii="Times New Roman" w:hAnsi="Times New Roman" w:eastAsia="宋体" w:cs="Times New Roman"/>
        </w:rPr>
        <w:t xml:space="preserve"> = </w:t>
      </w:r>
      <w:r>
        <w:rPr>
          <w:rFonts w:ascii="Times New Roman" w:hAnsi="Times New Roman" w:eastAsia="宋体" w:cs="Times New Roman"/>
          <w:i/>
        </w:rPr>
        <w:t>V</w:t>
      </w:r>
      <w:r>
        <w:rPr>
          <w:rFonts w:ascii="Times New Roman" w:hAnsi="Times New Roman" w:eastAsia="宋体" w:cs="Times New Roman"/>
          <w:vertAlign w:val="subscript"/>
        </w:rPr>
        <w:t>设计</w:t>
      </w:r>
      <w:r>
        <w:rPr>
          <w:rFonts w:hint="eastAsia" w:ascii="Times New Roman" w:hAnsi="Times New Roman" w:eastAsia="宋体" w:cs="Times New Roman"/>
        </w:rPr>
        <w:t>-</w:t>
      </w:r>
      <w:r>
        <w:rPr>
          <w:rFonts w:ascii="Times New Roman" w:hAnsi="Times New Roman" w:eastAsia="宋体" w:cs="Times New Roman"/>
          <w:i/>
        </w:rPr>
        <w:t xml:space="preserve"> V</w:t>
      </w:r>
      <w:r>
        <w:rPr>
          <w:rFonts w:ascii="Times New Roman" w:hAnsi="Times New Roman" w:eastAsia="宋体" w:cs="Times New Roman"/>
          <w:vertAlign w:val="subscript"/>
        </w:rPr>
        <w:t>开挖</w:t>
      </w:r>
      <w:r>
        <w:rPr>
          <w:rFonts w:hint="eastAsia" w:ascii="宋体" w:hAnsi="宋体" w:eastAsia="宋体"/>
        </w:rPr>
        <w:t xml:space="preserve">                       </w:t>
      </w:r>
      <w:r>
        <w:rPr>
          <w:rFonts w:hint="eastAsia" w:ascii="宋体" w:hAnsi="宋体" w:eastAsia="宋体"/>
          <w:sz w:val="24"/>
          <w:szCs w:val="24"/>
        </w:rPr>
        <w:t xml:space="preserve">   </w:t>
      </w:r>
      <w:r>
        <w:rPr>
          <w:rFonts w:hint="eastAsia" w:ascii="宋体" w:hAnsi="宋体" w:eastAsia="宋体"/>
        </w:rPr>
        <w:t>（B.3.1）</w:t>
      </w:r>
    </w:p>
    <w:p w14:paraId="5726812C">
      <w:pPr>
        <w:pStyle w:val="22"/>
        <w:spacing w:after="0" w:line="400" w:lineRule="exact"/>
        <w:ind w:firstLine="0" w:firstLineChars="0"/>
        <w:rPr>
          <w:rFonts w:ascii="Times New Roman" w:hAnsi="Times New Roman" w:eastAsia="宋体"/>
        </w:rPr>
      </w:pPr>
      <w:r>
        <w:rPr>
          <w:rFonts w:hint="eastAsia" w:ascii="Times New Roman" w:hAnsi="Times New Roman" w:eastAsia="宋体"/>
        </w:rPr>
        <w:t>式中：</w:t>
      </w:r>
      <w:r>
        <w:rPr>
          <w:rFonts w:hint="eastAsia" w:ascii="Times New Roman" w:hAnsi="Times New Roman" w:eastAsia="宋体"/>
          <w:i/>
        </w:rPr>
        <w:t>V</w:t>
      </w:r>
      <w:r>
        <w:rPr>
          <w:rFonts w:hint="eastAsia" w:ascii="Times New Roman" w:hAnsi="Times New Roman" w:eastAsia="宋体"/>
          <w:vertAlign w:val="subscript"/>
        </w:rPr>
        <w:t>料场设计</w:t>
      </w:r>
      <w:r>
        <w:rPr>
          <w:rFonts w:hint="eastAsia" w:ascii="Times New Roman" w:hAnsi="Times New Roman" w:eastAsia="宋体"/>
        </w:rPr>
        <w:t>——石料场或土料场设计开采量（m</w:t>
      </w:r>
      <w:r>
        <w:rPr>
          <w:rFonts w:hint="eastAsia" w:ascii="Times New Roman" w:hAnsi="Times New Roman" w:eastAsia="宋体"/>
          <w:vertAlign w:val="superscript"/>
        </w:rPr>
        <w:t>3</w:t>
      </w:r>
      <w:r>
        <w:rPr>
          <w:rFonts w:hint="eastAsia" w:ascii="Times New Roman" w:hAnsi="Times New Roman" w:eastAsia="宋体"/>
        </w:rPr>
        <w:t>），以自然方计；</w:t>
      </w:r>
    </w:p>
    <w:p w14:paraId="572CD89B">
      <w:pPr>
        <w:spacing w:line="400" w:lineRule="exact"/>
        <w:ind w:firstLine="420" w:firstLineChars="200"/>
        <w:rPr>
          <w:rFonts w:ascii="Times New Roman" w:hAnsi="Times New Roman" w:eastAsia="宋体"/>
        </w:rPr>
      </w:pPr>
      <w:r>
        <w:rPr>
          <w:rFonts w:hint="eastAsia" w:ascii="Times New Roman" w:hAnsi="Times New Roman" w:eastAsia="宋体"/>
        </w:rPr>
        <w:t xml:space="preserve">   </w:t>
      </w:r>
      <w:r>
        <w:rPr>
          <w:rFonts w:hint="eastAsia" w:ascii="Times New Roman" w:hAnsi="Times New Roman" w:eastAsia="宋体"/>
          <w:i/>
        </w:rPr>
        <w:t>V</w:t>
      </w:r>
      <w:r>
        <w:rPr>
          <w:rFonts w:hint="eastAsia" w:ascii="Times New Roman" w:hAnsi="Times New Roman" w:eastAsia="宋体"/>
          <w:vertAlign w:val="subscript"/>
        </w:rPr>
        <w:t>开挖</w:t>
      </w:r>
      <w:r>
        <w:rPr>
          <w:rFonts w:hint="eastAsia" w:ascii="Times New Roman" w:hAnsi="Times New Roman" w:eastAsia="宋体"/>
        </w:rPr>
        <w:t>——工程开挖石料或土料可利用量（m</w:t>
      </w:r>
      <w:r>
        <w:rPr>
          <w:rFonts w:hint="eastAsia" w:ascii="Times New Roman" w:hAnsi="Times New Roman" w:eastAsia="宋体"/>
          <w:vertAlign w:val="superscript"/>
        </w:rPr>
        <w:t>3</w:t>
      </w:r>
      <w:r>
        <w:rPr>
          <w:rFonts w:hint="eastAsia" w:ascii="Times New Roman" w:hAnsi="Times New Roman" w:eastAsia="宋体"/>
        </w:rPr>
        <w:t>），以自然方计。</w:t>
      </w:r>
    </w:p>
    <w:p w14:paraId="59D0DEA6">
      <w:pPr>
        <w:pStyle w:val="9"/>
        <w:spacing w:after="0" w:line="400" w:lineRule="exact"/>
        <w:ind w:firstLine="420" w:firstLineChars="200"/>
        <w:rPr>
          <w:rFonts w:ascii="宋体" w:hAnsi="宋体" w:eastAsia="宋体"/>
        </w:rPr>
      </w:pPr>
      <w:r>
        <w:rPr>
          <w:rFonts w:hint="eastAsia" w:ascii="宋体" w:hAnsi="宋体" w:eastAsia="宋体"/>
        </w:rPr>
        <w:t>料场规划开采量应按下式计算：</w:t>
      </w:r>
    </w:p>
    <w:p w14:paraId="1F5A2DF0">
      <w:pPr>
        <w:pStyle w:val="9"/>
        <w:spacing w:after="0" w:line="400" w:lineRule="exact"/>
        <w:ind w:firstLine="420"/>
        <w:jc w:val="right"/>
        <w:rPr>
          <w:rFonts w:ascii="宋体" w:hAnsi="宋体" w:eastAsia="宋体"/>
        </w:rPr>
      </w:pPr>
      <w:r>
        <w:rPr>
          <w:rFonts w:ascii="Times New Roman" w:hAnsi="Times New Roman" w:eastAsia="宋体" w:cs="Times New Roman"/>
          <w:i/>
        </w:rPr>
        <w:t>V</w:t>
      </w:r>
      <w:r>
        <w:rPr>
          <w:rFonts w:ascii="Times New Roman" w:hAnsi="Times New Roman" w:eastAsia="宋体" w:cs="Times New Roman"/>
          <w:vertAlign w:val="subscript"/>
        </w:rPr>
        <w:t xml:space="preserve">料场规划 </w:t>
      </w:r>
      <w:r>
        <w:rPr>
          <w:rFonts w:ascii="Times New Roman" w:hAnsi="Times New Roman" w:eastAsia="宋体" w:cs="Times New Roman"/>
        </w:rPr>
        <w:t xml:space="preserve">= </w:t>
      </w:r>
      <w:r>
        <w:rPr>
          <w:rFonts w:ascii="Times New Roman" w:hAnsi="Times New Roman" w:eastAsia="宋体" w:cs="Times New Roman"/>
          <w:i/>
        </w:rPr>
        <w:t>V</w:t>
      </w:r>
      <w:r>
        <w:rPr>
          <w:rFonts w:ascii="Times New Roman" w:hAnsi="Times New Roman" w:eastAsia="宋体" w:cs="Times New Roman"/>
          <w:vertAlign w:val="subscript"/>
        </w:rPr>
        <w:t>规划</w:t>
      </w:r>
      <w:r>
        <w:rPr>
          <w:rFonts w:ascii="Times New Roman" w:hAnsi="Times New Roman" w:eastAsia="宋体" w:cs="Times New Roman"/>
        </w:rPr>
        <w:t>-</w:t>
      </w:r>
      <w:r>
        <w:rPr>
          <w:rFonts w:ascii="Times New Roman" w:hAnsi="Times New Roman" w:eastAsia="宋体" w:cs="Times New Roman"/>
          <w:i/>
        </w:rPr>
        <w:t xml:space="preserve"> V</w:t>
      </w:r>
      <w:r>
        <w:rPr>
          <w:rFonts w:ascii="Times New Roman" w:hAnsi="Times New Roman" w:eastAsia="宋体" w:cs="Times New Roman"/>
          <w:vertAlign w:val="subscript"/>
        </w:rPr>
        <w:t>开挖</w:t>
      </w:r>
      <w:r>
        <w:rPr>
          <w:rFonts w:hint="eastAsia" w:ascii="宋体" w:hAnsi="宋体" w:eastAsia="宋体"/>
        </w:rPr>
        <w:t xml:space="preserve">                        </w:t>
      </w:r>
      <w:r>
        <w:rPr>
          <w:rFonts w:hint="eastAsia" w:ascii="宋体" w:hAnsi="宋体" w:eastAsia="宋体"/>
          <w:sz w:val="24"/>
          <w:szCs w:val="24"/>
        </w:rPr>
        <w:t xml:space="preserve">   </w:t>
      </w:r>
      <w:r>
        <w:rPr>
          <w:rFonts w:hint="eastAsia" w:ascii="宋体" w:hAnsi="宋体" w:eastAsia="宋体"/>
        </w:rPr>
        <w:t>（B.3.2）</w:t>
      </w:r>
    </w:p>
    <w:p w14:paraId="1CD5750B">
      <w:pPr>
        <w:pStyle w:val="22"/>
        <w:spacing w:after="0" w:line="400" w:lineRule="exact"/>
        <w:ind w:firstLine="0" w:firstLineChars="0"/>
        <w:rPr>
          <w:rFonts w:ascii="宋体" w:hAnsi="宋体" w:eastAsia="宋体"/>
        </w:rPr>
      </w:pPr>
      <w:r>
        <w:rPr>
          <w:rFonts w:hint="eastAsia" w:ascii="宋体" w:hAnsi="宋体" w:eastAsia="宋体"/>
        </w:rPr>
        <w:t>式中：</w:t>
      </w:r>
      <w:r>
        <w:rPr>
          <w:rFonts w:hint="eastAsia" w:ascii="宋体" w:hAnsi="宋体" w:eastAsia="宋体"/>
          <w:i/>
        </w:rPr>
        <w:t>V</w:t>
      </w:r>
      <w:r>
        <w:rPr>
          <w:rFonts w:hint="eastAsia" w:ascii="宋体" w:hAnsi="宋体" w:eastAsia="宋体"/>
          <w:vertAlign w:val="subscript"/>
        </w:rPr>
        <w:t>料场规划</w:t>
      </w:r>
      <w:r>
        <w:rPr>
          <w:rFonts w:hint="eastAsia" w:ascii="宋体" w:hAnsi="宋体" w:eastAsia="宋体"/>
        </w:rPr>
        <w:t>——石料场或土料场规划开采量（m</w:t>
      </w:r>
      <w:r>
        <w:rPr>
          <w:rFonts w:hint="eastAsia" w:ascii="宋体" w:hAnsi="宋体" w:eastAsia="宋体"/>
          <w:vertAlign w:val="superscript"/>
        </w:rPr>
        <w:t>3</w:t>
      </w:r>
      <w:r>
        <w:rPr>
          <w:rFonts w:hint="eastAsia" w:ascii="宋体" w:hAnsi="宋体" w:eastAsia="宋体"/>
        </w:rPr>
        <w:t>），以自然方计；</w:t>
      </w:r>
    </w:p>
    <w:p w14:paraId="2361554F">
      <w:pPr>
        <w:rPr>
          <w:rFonts w:ascii="宋体" w:hAnsi="宋体" w:eastAsia="宋体" w:cs="宋体"/>
          <w:b/>
          <w:bCs/>
          <w:szCs w:val="21"/>
        </w:rPr>
        <w:sectPr>
          <w:footerReference r:id="rId4" w:type="default"/>
          <w:pgSz w:w="11906" w:h="16838"/>
          <w:pgMar w:top="1440" w:right="1440" w:bottom="1440" w:left="1440" w:header="708" w:footer="708" w:gutter="0"/>
          <w:cols w:space="720" w:num="1"/>
          <w:docGrid w:linePitch="360" w:charSpace="0"/>
        </w:sectPr>
      </w:pPr>
      <w:r>
        <w:rPr>
          <w:rFonts w:hint="eastAsia" w:ascii="宋体" w:hAnsi="宋体" w:eastAsia="宋体" w:cs="宋体"/>
          <w:b/>
          <w:bCs/>
          <w:szCs w:val="21"/>
        </w:rPr>
        <w:br w:type="page"/>
      </w:r>
    </w:p>
    <w:p w14:paraId="17CFF3EC">
      <w:pPr>
        <w:rPr>
          <w:rFonts w:ascii="宋体" w:hAnsi="宋体" w:eastAsia="宋体" w:cs="宋体"/>
          <w:b/>
          <w:bCs/>
          <w:szCs w:val="21"/>
        </w:rPr>
      </w:pPr>
    </w:p>
    <w:p w14:paraId="5053E4F9">
      <w:pPr>
        <w:spacing w:before="120" w:after="120" w:line="288" w:lineRule="auto"/>
        <w:ind w:firstLine="420" w:firstLineChars="200"/>
        <w:jc w:val="center"/>
        <w:outlineLvl w:val="0"/>
        <w:rPr>
          <w:rFonts w:ascii="黑体" w:hAnsi="黑体" w:eastAsia="黑体" w:cs="黑体"/>
          <w:szCs w:val="21"/>
        </w:rPr>
      </w:pPr>
      <w:bookmarkStart w:id="179" w:name="_Toc227827684"/>
      <w:r>
        <w:rPr>
          <w:rFonts w:hint="eastAsia" w:ascii="黑体" w:hAnsi="黑体" w:eastAsia="黑体" w:cs="黑体"/>
          <w:szCs w:val="21"/>
        </w:rPr>
        <w:t>附录C</w:t>
      </w:r>
      <w:bookmarkEnd w:id="179"/>
    </w:p>
    <w:p w14:paraId="2BEAE832">
      <w:pPr>
        <w:spacing w:before="120" w:after="120" w:line="288" w:lineRule="auto"/>
        <w:ind w:firstLine="420" w:firstLineChars="200"/>
        <w:jc w:val="center"/>
        <w:rPr>
          <w:rFonts w:ascii="黑体" w:hAnsi="黑体" w:eastAsia="黑体" w:cs="黑体"/>
          <w:szCs w:val="21"/>
        </w:rPr>
      </w:pPr>
      <w:r>
        <w:rPr>
          <w:rFonts w:hint="eastAsia" w:ascii="黑体" w:hAnsi="黑体" w:eastAsia="黑体" w:cs="黑体"/>
          <w:szCs w:val="21"/>
        </w:rPr>
        <w:t>（规范性）</w:t>
      </w:r>
    </w:p>
    <w:p w14:paraId="76937FE7">
      <w:pPr>
        <w:spacing w:before="120" w:after="120" w:line="288" w:lineRule="auto"/>
        <w:ind w:firstLine="420" w:firstLineChars="200"/>
        <w:jc w:val="center"/>
        <w:rPr>
          <w:rFonts w:ascii="宋体" w:hAnsi="宋体" w:eastAsia="宋体" w:cs="宋体"/>
          <w:szCs w:val="21"/>
        </w:rPr>
      </w:pPr>
      <w:r>
        <w:rPr>
          <w:rFonts w:hint="eastAsia" w:ascii="黑体" w:hAnsi="黑体" w:eastAsia="黑体" w:cs="黑体"/>
          <w:szCs w:val="21"/>
        </w:rPr>
        <w:t>土石方平衡流向表</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1093"/>
        <w:gridCol w:w="572"/>
        <w:gridCol w:w="572"/>
        <w:gridCol w:w="572"/>
        <w:gridCol w:w="573"/>
        <w:gridCol w:w="573"/>
        <w:gridCol w:w="573"/>
        <w:gridCol w:w="573"/>
        <w:gridCol w:w="913"/>
        <w:gridCol w:w="913"/>
        <w:gridCol w:w="743"/>
        <w:gridCol w:w="913"/>
        <w:gridCol w:w="913"/>
        <w:gridCol w:w="573"/>
        <w:gridCol w:w="573"/>
        <w:gridCol w:w="573"/>
        <w:gridCol w:w="573"/>
        <w:gridCol w:w="573"/>
        <w:gridCol w:w="893"/>
      </w:tblGrid>
      <w:tr w14:paraId="46B19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122" w:type="pct"/>
            <w:gridSpan w:val="9"/>
            <w:shd w:val="clear" w:color="auto" w:fill="auto"/>
            <w:vAlign w:val="center"/>
          </w:tcPr>
          <w:p w14:paraId="2A6DDD1E">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开挖量（万m</w:t>
            </w:r>
            <w:r>
              <w:rPr>
                <w:rFonts w:hint="eastAsia" w:ascii="宋体" w:hAnsi="宋体" w:eastAsia="宋体" w:cs="宋体"/>
                <w:color w:val="000000"/>
                <w:sz w:val="16"/>
                <w:szCs w:val="16"/>
                <w:vertAlign w:val="superscript"/>
              </w:rPr>
              <w:t>3</w:t>
            </w:r>
            <w:r>
              <w:rPr>
                <w:rFonts w:hint="eastAsia" w:ascii="宋体" w:hAnsi="宋体" w:eastAsia="宋体" w:cs="宋体"/>
                <w:color w:val="000000"/>
                <w:sz w:val="16"/>
                <w:szCs w:val="16"/>
              </w:rPr>
              <w:t>）</w:t>
            </w:r>
          </w:p>
        </w:tc>
        <w:tc>
          <w:tcPr>
            <w:tcW w:w="2878" w:type="pct"/>
            <w:gridSpan w:val="11"/>
            <w:shd w:val="clear" w:color="auto" w:fill="auto"/>
            <w:vAlign w:val="center"/>
          </w:tcPr>
          <w:p w14:paraId="33CF7A62">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受料区</w:t>
            </w:r>
          </w:p>
        </w:tc>
      </w:tr>
      <w:tr w14:paraId="181A6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1" w:type="pct"/>
            <w:gridSpan w:val="2"/>
            <w:vMerge w:val="restart"/>
            <w:shd w:val="clear" w:color="auto" w:fill="auto"/>
            <w:vAlign w:val="center"/>
          </w:tcPr>
          <w:p w14:paraId="20FCEC68">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部位</w:t>
            </w:r>
          </w:p>
        </w:tc>
        <w:tc>
          <w:tcPr>
            <w:tcW w:w="202" w:type="pct"/>
            <w:vMerge w:val="restart"/>
            <w:shd w:val="clear" w:color="auto" w:fill="auto"/>
            <w:vAlign w:val="center"/>
          </w:tcPr>
          <w:p w14:paraId="64159DBC">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土石</w:t>
            </w:r>
          </w:p>
          <w:p w14:paraId="4893D394">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明挖</w:t>
            </w:r>
          </w:p>
        </w:tc>
        <w:tc>
          <w:tcPr>
            <w:tcW w:w="202" w:type="pct"/>
            <w:vMerge w:val="restart"/>
            <w:shd w:val="clear" w:color="auto" w:fill="auto"/>
            <w:vAlign w:val="center"/>
          </w:tcPr>
          <w:p w14:paraId="6B7D438A">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洞挖</w:t>
            </w:r>
          </w:p>
        </w:tc>
        <w:tc>
          <w:tcPr>
            <w:tcW w:w="202" w:type="pct"/>
            <w:vMerge w:val="restart"/>
            <w:shd w:val="clear" w:color="auto" w:fill="auto"/>
            <w:vAlign w:val="center"/>
          </w:tcPr>
          <w:p w14:paraId="277B6638">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合计</w:t>
            </w:r>
          </w:p>
        </w:tc>
        <w:tc>
          <w:tcPr>
            <w:tcW w:w="403" w:type="pct"/>
            <w:gridSpan w:val="2"/>
            <w:shd w:val="clear" w:color="auto" w:fill="auto"/>
            <w:vAlign w:val="center"/>
          </w:tcPr>
          <w:p w14:paraId="7480FE80">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利用系数</w:t>
            </w:r>
          </w:p>
        </w:tc>
        <w:tc>
          <w:tcPr>
            <w:tcW w:w="403" w:type="pct"/>
            <w:gridSpan w:val="2"/>
            <w:shd w:val="clear" w:color="auto" w:fill="auto"/>
            <w:vAlign w:val="center"/>
          </w:tcPr>
          <w:p w14:paraId="0CF6E9FF">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可利用料</w:t>
            </w:r>
          </w:p>
        </w:tc>
        <w:tc>
          <w:tcPr>
            <w:tcW w:w="2153" w:type="pct"/>
            <w:gridSpan w:val="8"/>
            <w:shd w:val="clear" w:color="auto" w:fill="auto"/>
            <w:vAlign w:val="center"/>
          </w:tcPr>
          <w:p w14:paraId="4C6DAB77">
            <w:pPr>
              <w:widowControl/>
              <w:jc w:val="center"/>
              <w:rPr>
                <w:rFonts w:ascii="等线" w:hAnsi="等线" w:eastAsia="等线" w:cs="宋体"/>
                <w:color w:val="000000"/>
                <w:sz w:val="16"/>
                <w:szCs w:val="16"/>
              </w:rPr>
            </w:pPr>
            <w:r>
              <w:rPr>
                <w:rFonts w:hint="eastAsia" w:ascii="宋体" w:hAnsi="宋体" w:eastAsia="宋体" w:cs="宋体"/>
                <w:color w:val="000000"/>
                <w:sz w:val="16"/>
                <w:szCs w:val="16"/>
              </w:rPr>
              <w:t>下库</w:t>
            </w:r>
          </w:p>
        </w:tc>
        <w:tc>
          <w:tcPr>
            <w:tcW w:w="202" w:type="pct"/>
            <w:vMerge w:val="restart"/>
            <w:shd w:val="clear" w:color="auto" w:fill="auto"/>
            <w:vAlign w:val="center"/>
          </w:tcPr>
          <w:p w14:paraId="4157EEDE">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合计</w:t>
            </w:r>
          </w:p>
          <w:p w14:paraId="05FCFE40">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利用</w:t>
            </w:r>
          </w:p>
        </w:tc>
        <w:tc>
          <w:tcPr>
            <w:tcW w:w="523" w:type="pct"/>
            <w:gridSpan w:val="2"/>
            <w:shd w:val="clear" w:color="auto" w:fill="auto"/>
            <w:vAlign w:val="center"/>
          </w:tcPr>
          <w:p w14:paraId="1227CDCB">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下库渣场</w:t>
            </w:r>
          </w:p>
        </w:tc>
      </w:tr>
      <w:tr w14:paraId="39DCD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711" w:type="pct"/>
            <w:gridSpan w:val="2"/>
            <w:vMerge w:val="continue"/>
            <w:vAlign w:val="center"/>
          </w:tcPr>
          <w:p w14:paraId="570024C1">
            <w:pPr>
              <w:widowControl/>
              <w:jc w:val="left"/>
              <w:rPr>
                <w:rFonts w:ascii="宋体" w:hAnsi="宋体" w:eastAsia="宋体" w:cs="宋体"/>
                <w:color w:val="000000"/>
                <w:sz w:val="16"/>
                <w:szCs w:val="16"/>
              </w:rPr>
            </w:pPr>
          </w:p>
        </w:tc>
        <w:tc>
          <w:tcPr>
            <w:tcW w:w="202" w:type="pct"/>
            <w:vMerge w:val="continue"/>
            <w:vAlign w:val="center"/>
          </w:tcPr>
          <w:p w14:paraId="58D6874B">
            <w:pPr>
              <w:widowControl/>
              <w:jc w:val="left"/>
              <w:rPr>
                <w:rFonts w:ascii="宋体" w:hAnsi="宋体" w:eastAsia="宋体" w:cs="宋体"/>
                <w:color w:val="000000"/>
                <w:sz w:val="16"/>
                <w:szCs w:val="16"/>
              </w:rPr>
            </w:pPr>
          </w:p>
        </w:tc>
        <w:tc>
          <w:tcPr>
            <w:tcW w:w="202" w:type="pct"/>
            <w:vMerge w:val="continue"/>
            <w:vAlign w:val="center"/>
          </w:tcPr>
          <w:p w14:paraId="5BF72822">
            <w:pPr>
              <w:widowControl/>
              <w:jc w:val="left"/>
              <w:rPr>
                <w:rFonts w:ascii="宋体" w:hAnsi="宋体" w:eastAsia="宋体" w:cs="宋体"/>
                <w:color w:val="000000"/>
                <w:sz w:val="16"/>
                <w:szCs w:val="16"/>
              </w:rPr>
            </w:pPr>
          </w:p>
        </w:tc>
        <w:tc>
          <w:tcPr>
            <w:tcW w:w="202" w:type="pct"/>
            <w:vMerge w:val="continue"/>
            <w:vAlign w:val="center"/>
          </w:tcPr>
          <w:p w14:paraId="49EC775C">
            <w:pPr>
              <w:widowControl/>
              <w:jc w:val="left"/>
              <w:rPr>
                <w:rFonts w:ascii="宋体" w:hAnsi="宋体" w:eastAsia="宋体" w:cs="宋体"/>
                <w:color w:val="000000"/>
                <w:sz w:val="16"/>
                <w:szCs w:val="16"/>
              </w:rPr>
            </w:pPr>
          </w:p>
        </w:tc>
        <w:tc>
          <w:tcPr>
            <w:tcW w:w="202" w:type="pct"/>
            <w:shd w:val="clear" w:color="auto" w:fill="auto"/>
            <w:vAlign w:val="center"/>
          </w:tcPr>
          <w:p w14:paraId="1F8E3290">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明挖</w:t>
            </w:r>
          </w:p>
        </w:tc>
        <w:tc>
          <w:tcPr>
            <w:tcW w:w="202" w:type="pct"/>
            <w:shd w:val="clear" w:color="auto" w:fill="auto"/>
            <w:vAlign w:val="center"/>
          </w:tcPr>
          <w:p w14:paraId="4DF5C4CD">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洞挖</w:t>
            </w:r>
          </w:p>
        </w:tc>
        <w:tc>
          <w:tcPr>
            <w:tcW w:w="202" w:type="pct"/>
            <w:shd w:val="clear" w:color="auto" w:fill="auto"/>
            <w:vAlign w:val="center"/>
          </w:tcPr>
          <w:p w14:paraId="7167E419">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明挖</w:t>
            </w:r>
          </w:p>
        </w:tc>
        <w:tc>
          <w:tcPr>
            <w:tcW w:w="202" w:type="pct"/>
            <w:shd w:val="clear" w:color="auto" w:fill="auto"/>
            <w:vAlign w:val="center"/>
          </w:tcPr>
          <w:p w14:paraId="11070A07">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洞挖</w:t>
            </w:r>
          </w:p>
        </w:tc>
        <w:tc>
          <w:tcPr>
            <w:tcW w:w="322" w:type="pct"/>
            <w:shd w:val="clear" w:color="auto" w:fill="auto"/>
            <w:vAlign w:val="center"/>
          </w:tcPr>
          <w:p w14:paraId="15B18370">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主堆石料</w:t>
            </w:r>
          </w:p>
        </w:tc>
        <w:tc>
          <w:tcPr>
            <w:tcW w:w="322" w:type="pct"/>
            <w:shd w:val="clear" w:color="auto" w:fill="auto"/>
            <w:vAlign w:val="center"/>
          </w:tcPr>
          <w:p w14:paraId="1842454C">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下游堆石</w:t>
            </w:r>
          </w:p>
        </w:tc>
        <w:tc>
          <w:tcPr>
            <w:tcW w:w="262" w:type="pct"/>
            <w:shd w:val="clear" w:color="auto" w:fill="auto"/>
            <w:vAlign w:val="center"/>
          </w:tcPr>
          <w:p w14:paraId="21FC20E1">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过渡料</w:t>
            </w:r>
          </w:p>
        </w:tc>
        <w:tc>
          <w:tcPr>
            <w:tcW w:w="322" w:type="pct"/>
            <w:shd w:val="clear" w:color="auto" w:fill="auto"/>
            <w:vAlign w:val="center"/>
          </w:tcPr>
          <w:p w14:paraId="30D43C47">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垫层反滤</w:t>
            </w:r>
          </w:p>
        </w:tc>
        <w:tc>
          <w:tcPr>
            <w:tcW w:w="322" w:type="pct"/>
            <w:shd w:val="clear" w:color="auto" w:fill="auto"/>
            <w:vAlign w:val="center"/>
          </w:tcPr>
          <w:p w14:paraId="2291B784">
            <w:pPr>
              <w:widowControl/>
              <w:rPr>
                <w:rFonts w:ascii="宋体" w:hAnsi="宋体" w:eastAsia="宋体" w:cs="宋体"/>
                <w:color w:val="000000"/>
                <w:sz w:val="16"/>
                <w:szCs w:val="16"/>
              </w:rPr>
            </w:pPr>
            <w:r>
              <w:rPr>
                <w:rFonts w:hint="eastAsia" w:ascii="宋体" w:hAnsi="宋体" w:eastAsia="宋体" w:cs="宋体"/>
                <w:color w:val="000000"/>
                <w:sz w:val="16"/>
                <w:szCs w:val="16"/>
              </w:rPr>
              <w:t>排水块石</w:t>
            </w:r>
          </w:p>
        </w:tc>
        <w:tc>
          <w:tcPr>
            <w:tcW w:w="202" w:type="pct"/>
            <w:shd w:val="clear" w:color="auto" w:fill="auto"/>
            <w:vAlign w:val="center"/>
          </w:tcPr>
          <w:p w14:paraId="6A73C90A">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石渣</w:t>
            </w:r>
          </w:p>
        </w:tc>
        <w:tc>
          <w:tcPr>
            <w:tcW w:w="202" w:type="pct"/>
            <w:shd w:val="clear" w:color="auto" w:fill="auto"/>
            <w:vAlign w:val="center"/>
          </w:tcPr>
          <w:p w14:paraId="79F0C734">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土料</w:t>
            </w:r>
          </w:p>
        </w:tc>
        <w:tc>
          <w:tcPr>
            <w:tcW w:w="202" w:type="pct"/>
            <w:shd w:val="clear" w:color="auto" w:fill="auto"/>
            <w:vAlign w:val="center"/>
          </w:tcPr>
          <w:p w14:paraId="5C831072">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砌石</w:t>
            </w:r>
          </w:p>
        </w:tc>
        <w:tc>
          <w:tcPr>
            <w:tcW w:w="202" w:type="pct"/>
            <w:vMerge w:val="continue"/>
            <w:vAlign w:val="center"/>
          </w:tcPr>
          <w:p w14:paraId="3101E403">
            <w:pPr>
              <w:widowControl/>
              <w:jc w:val="left"/>
              <w:rPr>
                <w:rFonts w:ascii="宋体" w:hAnsi="宋体" w:eastAsia="宋体" w:cs="宋体"/>
                <w:color w:val="000000"/>
                <w:sz w:val="16"/>
                <w:szCs w:val="16"/>
              </w:rPr>
            </w:pPr>
          </w:p>
        </w:tc>
        <w:tc>
          <w:tcPr>
            <w:tcW w:w="202" w:type="pct"/>
            <w:shd w:val="clear" w:color="auto" w:fill="auto"/>
            <w:vAlign w:val="center"/>
          </w:tcPr>
          <w:p w14:paraId="683E2788">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渣场</w:t>
            </w:r>
          </w:p>
        </w:tc>
        <w:tc>
          <w:tcPr>
            <w:tcW w:w="322" w:type="pct"/>
            <w:shd w:val="clear" w:color="auto" w:fill="auto"/>
            <w:noWrap/>
            <w:vAlign w:val="center"/>
          </w:tcPr>
          <w:p w14:paraId="425F6512">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库底回填</w:t>
            </w:r>
          </w:p>
        </w:tc>
      </w:tr>
      <w:tr w14:paraId="7B4D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1" w:type="pct"/>
            <w:gridSpan w:val="2"/>
            <w:shd w:val="clear" w:color="auto" w:fill="auto"/>
            <w:vAlign w:val="center"/>
          </w:tcPr>
          <w:p w14:paraId="014D8AF4">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压实方</w:t>
            </w:r>
          </w:p>
        </w:tc>
        <w:tc>
          <w:tcPr>
            <w:tcW w:w="202" w:type="pct"/>
            <w:shd w:val="clear" w:color="auto" w:fill="auto"/>
            <w:vAlign w:val="center"/>
          </w:tcPr>
          <w:p w14:paraId="4D473865">
            <w:pPr>
              <w:widowControl/>
              <w:jc w:val="center"/>
              <w:rPr>
                <w:rFonts w:ascii="等线" w:hAnsi="等线" w:eastAsia="等线" w:cs="宋体"/>
                <w:color w:val="000000"/>
                <w:sz w:val="16"/>
                <w:szCs w:val="16"/>
              </w:rPr>
            </w:pPr>
          </w:p>
        </w:tc>
        <w:tc>
          <w:tcPr>
            <w:tcW w:w="202" w:type="pct"/>
            <w:shd w:val="clear" w:color="auto" w:fill="auto"/>
            <w:vAlign w:val="center"/>
          </w:tcPr>
          <w:p w14:paraId="08FB4193">
            <w:pPr>
              <w:widowControl/>
              <w:jc w:val="center"/>
              <w:rPr>
                <w:rFonts w:ascii="等线" w:hAnsi="等线" w:eastAsia="等线" w:cs="宋体"/>
                <w:color w:val="000000"/>
                <w:sz w:val="16"/>
                <w:szCs w:val="16"/>
              </w:rPr>
            </w:pPr>
          </w:p>
        </w:tc>
        <w:tc>
          <w:tcPr>
            <w:tcW w:w="202" w:type="pct"/>
            <w:shd w:val="clear" w:color="auto" w:fill="auto"/>
            <w:vAlign w:val="center"/>
          </w:tcPr>
          <w:p w14:paraId="7259BE70">
            <w:pPr>
              <w:widowControl/>
              <w:jc w:val="center"/>
              <w:rPr>
                <w:rFonts w:ascii="等线" w:hAnsi="等线" w:eastAsia="等线" w:cs="宋体"/>
                <w:color w:val="000000"/>
                <w:sz w:val="16"/>
                <w:szCs w:val="16"/>
              </w:rPr>
            </w:pPr>
          </w:p>
        </w:tc>
        <w:tc>
          <w:tcPr>
            <w:tcW w:w="202" w:type="pct"/>
            <w:shd w:val="clear" w:color="auto" w:fill="auto"/>
            <w:vAlign w:val="center"/>
          </w:tcPr>
          <w:p w14:paraId="47277198">
            <w:pPr>
              <w:widowControl/>
              <w:jc w:val="center"/>
              <w:rPr>
                <w:rFonts w:ascii="等线" w:hAnsi="等线" w:eastAsia="等线" w:cs="宋体"/>
                <w:color w:val="000000"/>
                <w:sz w:val="16"/>
                <w:szCs w:val="16"/>
              </w:rPr>
            </w:pPr>
          </w:p>
        </w:tc>
        <w:tc>
          <w:tcPr>
            <w:tcW w:w="202" w:type="pct"/>
            <w:shd w:val="clear" w:color="auto" w:fill="auto"/>
            <w:vAlign w:val="center"/>
          </w:tcPr>
          <w:p w14:paraId="0CB99B80">
            <w:pPr>
              <w:widowControl/>
              <w:jc w:val="center"/>
              <w:rPr>
                <w:rFonts w:ascii="等线" w:hAnsi="等线" w:eastAsia="等线" w:cs="宋体"/>
                <w:color w:val="000000"/>
                <w:sz w:val="16"/>
                <w:szCs w:val="16"/>
              </w:rPr>
            </w:pPr>
          </w:p>
        </w:tc>
        <w:tc>
          <w:tcPr>
            <w:tcW w:w="202" w:type="pct"/>
            <w:shd w:val="clear" w:color="auto" w:fill="auto"/>
            <w:vAlign w:val="center"/>
          </w:tcPr>
          <w:p w14:paraId="5CFEFBAE">
            <w:pPr>
              <w:widowControl/>
              <w:jc w:val="center"/>
              <w:rPr>
                <w:rFonts w:ascii="等线" w:hAnsi="等线" w:eastAsia="等线" w:cs="宋体"/>
                <w:color w:val="000000"/>
                <w:sz w:val="16"/>
                <w:szCs w:val="16"/>
              </w:rPr>
            </w:pPr>
          </w:p>
        </w:tc>
        <w:tc>
          <w:tcPr>
            <w:tcW w:w="202" w:type="pct"/>
            <w:shd w:val="clear" w:color="auto" w:fill="auto"/>
            <w:vAlign w:val="center"/>
          </w:tcPr>
          <w:p w14:paraId="7D14E608">
            <w:pPr>
              <w:widowControl/>
              <w:jc w:val="center"/>
              <w:rPr>
                <w:rFonts w:ascii="等线" w:hAnsi="等线" w:eastAsia="等线" w:cs="宋体"/>
                <w:color w:val="000000"/>
                <w:sz w:val="16"/>
                <w:szCs w:val="16"/>
              </w:rPr>
            </w:pPr>
          </w:p>
        </w:tc>
        <w:tc>
          <w:tcPr>
            <w:tcW w:w="322" w:type="pct"/>
            <w:shd w:val="clear" w:color="auto" w:fill="auto"/>
            <w:vAlign w:val="center"/>
          </w:tcPr>
          <w:p w14:paraId="1ACDE2D8">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5E4173AE">
            <w:pPr>
              <w:widowControl/>
              <w:jc w:val="center"/>
              <w:rPr>
                <w:rFonts w:ascii="Times New Roman" w:hAnsi="Times New Roman" w:eastAsia="宋体" w:cs="Times New Roman"/>
                <w:color w:val="000000"/>
                <w:sz w:val="16"/>
                <w:szCs w:val="16"/>
              </w:rPr>
            </w:pPr>
          </w:p>
        </w:tc>
        <w:tc>
          <w:tcPr>
            <w:tcW w:w="262" w:type="pct"/>
            <w:shd w:val="clear" w:color="auto" w:fill="auto"/>
            <w:vAlign w:val="center"/>
          </w:tcPr>
          <w:p w14:paraId="73174656">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63C074F2">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4E7A1FD5">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5D94D29C">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DC98B50">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29912C05">
            <w:pPr>
              <w:widowControl/>
              <w:jc w:val="center"/>
              <w:rPr>
                <w:rFonts w:ascii="等线" w:hAnsi="等线" w:eastAsia="等线" w:cs="宋体"/>
                <w:color w:val="000000"/>
                <w:sz w:val="16"/>
                <w:szCs w:val="16"/>
              </w:rPr>
            </w:pPr>
          </w:p>
        </w:tc>
        <w:tc>
          <w:tcPr>
            <w:tcW w:w="202" w:type="pct"/>
            <w:shd w:val="clear" w:color="auto" w:fill="auto"/>
            <w:vAlign w:val="center"/>
          </w:tcPr>
          <w:p w14:paraId="381E7EA0">
            <w:pPr>
              <w:widowControl/>
              <w:jc w:val="center"/>
              <w:rPr>
                <w:rFonts w:ascii="等线" w:hAnsi="等线" w:eastAsia="等线" w:cs="宋体"/>
                <w:color w:val="000000"/>
                <w:sz w:val="16"/>
                <w:szCs w:val="16"/>
              </w:rPr>
            </w:pPr>
          </w:p>
        </w:tc>
        <w:tc>
          <w:tcPr>
            <w:tcW w:w="202" w:type="pct"/>
            <w:shd w:val="clear" w:color="auto" w:fill="auto"/>
            <w:vAlign w:val="center"/>
          </w:tcPr>
          <w:p w14:paraId="2C7C7E1E">
            <w:pPr>
              <w:widowControl/>
              <w:jc w:val="center"/>
              <w:rPr>
                <w:rFonts w:ascii="等线" w:hAnsi="等线" w:eastAsia="等线" w:cs="宋体"/>
                <w:color w:val="000000"/>
                <w:sz w:val="16"/>
                <w:szCs w:val="16"/>
              </w:rPr>
            </w:pPr>
          </w:p>
        </w:tc>
        <w:tc>
          <w:tcPr>
            <w:tcW w:w="322" w:type="pct"/>
            <w:shd w:val="clear" w:color="auto" w:fill="auto"/>
            <w:noWrap/>
            <w:vAlign w:val="center"/>
          </w:tcPr>
          <w:p w14:paraId="7FD1F5FF">
            <w:pPr>
              <w:widowControl/>
              <w:jc w:val="left"/>
              <w:rPr>
                <w:rFonts w:ascii="等线" w:hAnsi="等线" w:eastAsia="等线" w:cs="宋体"/>
                <w:color w:val="000000"/>
                <w:sz w:val="22"/>
              </w:rPr>
            </w:pPr>
          </w:p>
        </w:tc>
      </w:tr>
      <w:tr w14:paraId="2A626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1" w:type="pct"/>
            <w:gridSpan w:val="2"/>
            <w:shd w:val="clear" w:color="auto" w:fill="auto"/>
            <w:vAlign w:val="center"/>
          </w:tcPr>
          <w:p w14:paraId="5CF944EA">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折方系数</w:t>
            </w:r>
          </w:p>
        </w:tc>
        <w:tc>
          <w:tcPr>
            <w:tcW w:w="202" w:type="pct"/>
            <w:shd w:val="clear" w:color="auto" w:fill="auto"/>
            <w:vAlign w:val="center"/>
          </w:tcPr>
          <w:p w14:paraId="3806B135">
            <w:pPr>
              <w:widowControl/>
              <w:jc w:val="center"/>
              <w:rPr>
                <w:rFonts w:ascii="等线" w:hAnsi="等线" w:eastAsia="等线" w:cs="宋体"/>
                <w:color w:val="000000"/>
                <w:sz w:val="16"/>
                <w:szCs w:val="16"/>
              </w:rPr>
            </w:pPr>
          </w:p>
        </w:tc>
        <w:tc>
          <w:tcPr>
            <w:tcW w:w="202" w:type="pct"/>
            <w:shd w:val="clear" w:color="auto" w:fill="auto"/>
            <w:vAlign w:val="center"/>
          </w:tcPr>
          <w:p w14:paraId="5B333946">
            <w:pPr>
              <w:widowControl/>
              <w:jc w:val="center"/>
              <w:rPr>
                <w:rFonts w:ascii="等线" w:hAnsi="等线" w:eastAsia="等线" w:cs="宋体"/>
                <w:color w:val="000000"/>
                <w:sz w:val="16"/>
                <w:szCs w:val="16"/>
              </w:rPr>
            </w:pPr>
          </w:p>
        </w:tc>
        <w:tc>
          <w:tcPr>
            <w:tcW w:w="202" w:type="pct"/>
            <w:shd w:val="clear" w:color="auto" w:fill="auto"/>
            <w:vAlign w:val="center"/>
          </w:tcPr>
          <w:p w14:paraId="7EE52527">
            <w:pPr>
              <w:widowControl/>
              <w:jc w:val="center"/>
              <w:rPr>
                <w:rFonts w:ascii="等线" w:hAnsi="等线" w:eastAsia="等线" w:cs="宋体"/>
                <w:color w:val="000000"/>
                <w:sz w:val="16"/>
                <w:szCs w:val="16"/>
              </w:rPr>
            </w:pPr>
          </w:p>
        </w:tc>
        <w:tc>
          <w:tcPr>
            <w:tcW w:w="202" w:type="pct"/>
            <w:shd w:val="clear" w:color="auto" w:fill="auto"/>
            <w:vAlign w:val="center"/>
          </w:tcPr>
          <w:p w14:paraId="6E4BEE43">
            <w:pPr>
              <w:widowControl/>
              <w:jc w:val="center"/>
              <w:rPr>
                <w:rFonts w:ascii="等线" w:hAnsi="等线" w:eastAsia="等线" w:cs="宋体"/>
                <w:color w:val="000000"/>
                <w:sz w:val="16"/>
                <w:szCs w:val="16"/>
              </w:rPr>
            </w:pPr>
          </w:p>
        </w:tc>
        <w:tc>
          <w:tcPr>
            <w:tcW w:w="202" w:type="pct"/>
            <w:shd w:val="clear" w:color="auto" w:fill="auto"/>
            <w:vAlign w:val="center"/>
          </w:tcPr>
          <w:p w14:paraId="4A52DFEA">
            <w:pPr>
              <w:widowControl/>
              <w:jc w:val="center"/>
              <w:rPr>
                <w:rFonts w:ascii="等线" w:hAnsi="等线" w:eastAsia="等线" w:cs="宋体"/>
                <w:color w:val="000000"/>
                <w:sz w:val="16"/>
                <w:szCs w:val="16"/>
              </w:rPr>
            </w:pPr>
          </w:p>
        </w:tc>
        <w:tc>
          <w:tcPr>
            <w:tcW w:w="202" w:type="pct"/>
            <w:shd w:val="clear" w:color="auto" w:fill="auto"/>
            <w:vAlign w:val="center"/>
          </w:tcPr>
          <w:p w14:paraId="192F2AE5">
            <w:pPr>
              <w:widowControl/>
              <w:jc w:val="center"/>
              <w:rPr>
                <w:rFonts w:ascii="等线" w:hAnsi="等线" w:eastAsia="等线" w:cs="宋体"/>
                <w:color w:val="000000"/>
                <w:sz w:val="16"/>
                <w:szCs w:val="16"/>
              </w:rPr>
            </w:pPr>
          </w:p>
        </w:tc>
        <w:tc>
          <w:tcPr>
            <w:tcW w:w="202" w:type="pct"/>
            <w:shd w:val="clear" w:color="auto" w:fill="auto"/>
            <w:vAlign w:val="center"/>
          </w:tcPr>
          <w:p w14:paraId="738E735B">
            <w:pPr>
              <w:widowControl/>
              <w:jc w:val="center"/>
              <w:rPr>
                <w:rFonts w:ascii="等线" w:hAnsi="等线" w:eastAsia="等线" w:cs="宋体"/>
                <w:color w:val="000000"/>
                <w:sz w:val="16"/>
                <w:szCs w:val="16"/>
              </w:rPr>
            </w:pPr>
          </w:p>
        </w:tc>
        <w:tc>
          <w:tcPr>
            <w:tcW w:w="322" w:type="pct"/>
            <w:shd w:val="clear" w:color="auto" w:fill="auto"/>
            <w:vAlign w:val="center"/>
          </w:tcPr>
          <w:p w14:paraId="19BA4964">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3569C696">
            <w:pPr>
              <w:widowControl/>
              <w:jc w:val="center"/>
              <w:rPr>
                <w:rFonts w:ascii="Times New Roman" w:hAnsi="Times New Roman" w:eastAsia="宋体" w:cs="Times New Roman"/>
                <w:color w:val="000000"/>
                <w:sz w:val="16"/>
                <w:szCs w:val="16"/>
              </w:rPr>
            </w:pPr>
          </w:p>
        </w:tc>
        <w:tc>
          <w:tcPr>
            <w:tcW w:w="262" w:type="pct"/>
            <w:shd w:val="clear" w:color="auto" w:fill="auto"/>
            <w:vAlign w:val="center"/>
          </w:tcPr>
          <w:p w14:paraId="21A141E0">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12A76C24">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1BF510AA">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1884C6A3">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10B9E54B">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5951D5B">
            <w:pPr>
              <w:widowControl/>
              <w:jc w:val="center"/>
              <w:rPr>
                <w:rFonts w:ascii="等线" w:hAnsi="等线" w:eastAsia="等线" w:cs="宋体"/>
                <w:color w:val="000000"/>
                <w:sz w:val="16"/>
                <w:szCs w:val="16"/>
              </w:rPr>
            </w:pPr>
          </w:p>
        </w:tc>
        <w:tc>
          <w:tcPr>
            <w:tcW w:w="202" w:type="pct"/>
            <w:shd w:val="clear" w:color="auto" w:fill="auto"/>
            <w:vAlign w:val="center"/>
          </w:tcPr>
          <w:p w14:paraId="5E73576A">
            <w:pPr>
              <w:widowControl/>
              <w:jc w:val="center"/>
              <w:rPr>
                <w:rFonts w:ascii="等线" w:hAnsi="等线" w:eastAsia="等线" w:cs="宋体"/>
                <w:color w:val="000000"/>
                <w:sz w:val="16"/>
                <w:szCs w:val="16"/>
              </w:rPr>
            </w:pPr>
          </w:p>
        </w:tc>
        <w:tc>
          <w:tcPr>
            <w:tcW w:w="202" w:type="pct"/>
            <w:shd w:val="clear" w:color="auto" w:fill="auto"/>
            <w:vAlign w:val="center"/>
          </w:tcPr>
          <w:p w14:paraId="28A98D6C">
            <w:pPr>
              <w:widowControl/>
              <w:jc w:val="center"/>
              <w:rPr>
                <w:rFonts w:ascii="等线" w:hAnsi="等线" w:eastAsia="等线" w:cs="宋体"/>
                <w:color w:val="000000"/>
                <w:sz w:val="16"/>
                <w:szCs w:val="16"/>
              </w:rPr>
            </w:pPr>
          </w:p>
        </w:tc>
        <w:tc>
          <w:tcPr>
            <w:tcW w:w="322" w:type="pct"/>
            <w:shd w:val="clear" w:color="auto" w:fill="auto"/>
            <w:noWrap/>
            <w:vAlign w:val="center"/>
          </w:tcPr>
          <w:p w14:paraId="59B0C60C">
            <w:pPr>
              <w:widowControl/>
              <w:jc w:val="left"/>
              <w:rPr>
                <w:rFonts w:ascii="等线" w:hAnsi="等线" w:eastAsia="等线" w:cs="宋体"/>
                <w:color w:val="000000"/>
                <w:sz w:val="22"/>
              </w:rPr>
            </w:pPr>
          </w:p>
        </w:tc>
      </w:tr>
      <w:tr w14:paraId="49CDA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1" w:type="pct"/>
            <w:gridSpan w:val="2"/>
            <w:shd w:val="clear" w:color="auto" w:fill="auto"/>
            <w:vAlign w:val="center"/>
          </w:tcPr>
          <w:p w14:paraId="3D577B65">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折合自然方</w:t>
            </w:r>
          </w:p>
        </w:tc>
        <w:tc>
          <w:tcPr>
            <w:tcW w:w="202" w:type="pct"/>
            <w:shd w:val="clear" w:color="auto" w:fill="auto"/>
            <w:vAlign w:val="center"/>
          </w:tcPr>
          <w:p w14:paraId="229E4879">
            <w:pPr>
              <w:widowControl/>
              <w:jc w:val="center"/>
              <w:rPr>
                <w:rFonts w:ascii="等线" w:hAnsi="等线" w:eastAsia="等线" w:cs="宋体"/>
                <w:color w:val="000000"/>
                <w:sz w:val="16"/>
                <w:szCs w:val="16"/>
              </w:rPr>
            </w:pPr>
          </w:p>
        </w:tc>
        <w:tc>
          <w:tcPr>
            <w:tcW w:w="202" w:type="pct"/>
            <w:shd w:val="clear" w:color="auto" w:fill="auto"/>
            <w:vAlign w:val="center"/>
          </w:tcPr>
          <w:p w14:paraId="0A10C51E">
            <w:pPr>
              <w:widowControl/>
              <w:jc w:val="center"/>
              <w:rPr>
                <w:rFonts w:ascii="等线" w:hAnsi="等线" w:eastAsia="等线" w:cs="宋体"/>
                <w:color w:val="000000"/>
                <w:sz w:val="16"/>
                <w:szCs w:val="16"/>
              </w:rPr>
            </w:pPr>
          </w:p>
        </w:tc>
        <w:tc>
          <w:tcPr>
            <w:tcW w:w="202" w:type="pct"/>
            <w:shd w:val="clear" w:color="auto" w:fill="auto"/>
            <w:vAlign w:val="center"/>
          </w:tcPr>
          <w:p w14:paraId="06D96A6F">
            <w:pPr>
              <w:widowControl/>
              <w:jc w:val="center"/>
              <w:rPr>
                <w:rFonts w:ascii="等线" w:hAnsi="等线" w:eastAsia="等线" w:cs="宋体"/>
                <w:color w:val="000000"/>
                <w:sz w:val="16"/>
                <w:szCs w:val="16"/>
              </w:rPr>
            </w:pPr>
          </w:p>
        </w:tc>
        <w:tc>
          <w:tcPr>
            <w:tcW w:w="202" w:type="pct"/>
            <w:shd w:val="clear" w:color="auto" w:fill="auto"/>
            <w:vAlign w:val="center"/>
          </w:tcPr>
          <w:p w14:paraId="237F084C">
            <w:pPr>
              <w:widowControl/>
              <w:jc w:val="center"/>
              <w:rPr>
                <w:rFonts w:ascii="等线" w:hAnsi="等线" w:eastAsia="等线" w:cs="宋体"/>
                <w:color w:val="000000"/>
                <w:sz w:val="16"/>
                <w:szCs w:val="16"/>
              </w:rPr>
            </w:pPr>
          </w:p>
        </w:tc>
        <w:tc>
          <w:tcPr>
            <w:tcW w:w="202" w:type="pct"/>
            <w:shd w:val="clear" w:color="auto" w:fill="auto"/>
            <w:vAlign w:val="center"/>
          </w:tcPr>
          <w:p w14:paraId="136F25F9">
            <w:pPr>
              <w:widowControl/>
              <w:jc w:val="center"/>
              <w:rPr>
                <w:rFonts w:ascii="等线" w:hAnsi="等线" w:eastAsia="等线" w:cs="宋体"/>
                <w:color w:val="000000"/>
                <w:sz w:val="16"/>
                <w:szCs w:val="16"/>
              </w:rPr>
            </w:pPr>
          </w:p>
        </w:tc>
        <w:tc>
          <w:tcPr>
            <w:tcW w:w="202" w:type="pct"/>
            <w:shd w:val="clear" w:color="auto" w:fill="auto"/>
            <w:vAlign w:val="center"/>
          </w:tcPr>
          <w:p w14:paraId="5E73483C">
            <w:pPr>
              <w:widowControl/>
              <w:jc w:val="center"/>
              <w:rPr>
                <w:rFonts w:ascii="等线" w:hAnsi="等线" w:eastAsia="等线" w:cs="宋体"/>
                <w:color w:val="000000"/>
                <w:sz w:val="16"/>
                <w:szCs w:val="16"/>
              </w:rPr>
            </w:pPr>
          </w:p>
        </w:tc>
        <w:tc>
          <w:tcPr>
            <w:tcW w:w="202" w:type="pct"/>
            <w:shd w:val="clear" w:color="auto" w:fill="auto"/>
            <w:vAlign w:val="center"/>
          </w:tcPr>
          <w:p w14:paraId="695B0A81">
            <w:pPr>
              <w:widowControl/>
              <w:jc w:val="center"/>
              <w:rPr>
                <w:rFonts w:ascii="等线" w:hAnsi="等线" w:eastAsia="等线" w:cs="宋体"/>
                <w:color w:val="000000"/>
                <w:sz w:val="16"/>
                <w:szCs w:val="16"/>
              </w:rPr>
            </w:pPr>
          </w:p>
        </w:tc>
        <w:tc>
          <w:tcPr>
            <w:tcW w:w="322" w:type="pct"/>
            <w:shd w:val="clear" w:color="auto" w:fill="auto"/>
            <w:vAlign w:val="center"/>
          </w:tcPr>
          <w:p w14:paraId="7BB5305E">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7C241A74">
            <w:pPr>
              <w:widowControl/>
              <w:jc w:val="center"/>
              <w:rPr>
                <w:rFonts w:ascii="Times New Roman" w:hAnsi="Times New Roman" w:eastAsia="宋体" w:cs="Times New Roman"/>
                <w:color w:val="000000"/>
                <w:sz w:val="16"/>
                <w:szCs w:val="16"/>
              </w:rPr>
            </w:pPr>
          </w:p>
        </w:tc>
        <w:tc>
          <w:tcPr>
            <w:tcW w:w="262" w:type="pct"/>
            <w:shd w:val="clear" w:color="auto" w:fill="auto"/>
            <w:vAlign w:val="center"/>
          </w:tcPr>
          <w:p w14:paraId="7BB20D3C">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53E4EED9">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4045CE13">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C834CB2">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2E6A3783">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62824945">
            <w:pPr>
              <w:widowControl/>
              <w:jc w:val="center"/>
              <w:rPr>
                <w:rFonts w:ascii="等线" w:hAnsi="等线" w:eastAsia="等线" w:cs="宋体"/>
                <w:color w:val="000000"/>
                <w:sz w:val="16"/>
                <w:szCs w:val="16"/>
              </w:rPr>
            </w:pPr>
          </w:p>
        </w:tc>
        <w:tc>
          <w:tcPr>
            <w:tcW w:w="202" w:type="pct"/>
            <w:shd w:val="clear" w:color="auto" w:fill="auto"/>
            <w:vAlign w:val="center"/>
          </w:tcPr>
          <w:p w14:paraId="06C20492">
            <w:pPr>
              <w:widowControl/>
              <w:jc w:val="center"/>
              <w:rPr>
                <w:rFonts w:ascii="等线" w:hAnsi="等线" w:eastAsia="等线" w:cs="宋体"/>
                <w:color w:val="000000"/>
                <w:sz w:val="16"/>
                <w:szCs w:val="16"/>
              </w:rPr>
            </w:pPr>
          </w:p>
        </w:tc>
        <w:tc>
          <w:tcPr>
            <w:tcW w:w="202" w:type="pct"/>
            <w:shd w:val="clear" w:color="auto" w:fill="auto"/>
            <w:vAlign w:val="center"/>
          </w:tcPr>
          <w:p w14:paraId="27BEDCA3">
            <w:pPr>
              <w:widowControl/>
              <w:jc w:val="center"/>
              <w:rPr>
                <w:rFonts w:ascii="等线" w:hAnsi="等线" w:eastAsia="等线" w:cs="宋体"/>
                <w:color w:val="000000"/>
                <w:sz w:val="16"/>
                <w:szCs w:val="16"/>
              </w:rPr>
            </w:pPr>
          </w:p>
        </w:tc>
        <w:tc>
          <w:tcPr>
            <w:tcW w:w="322" w:type="pct"/>
            <w:shd w:val="clear" w:color="auto" w:fill="auto"/>
            <w:noWrap/>
            <w:vAlign w:val="center"/>
          </w:tcPr>
          <w:p w14:paraId="3BE65D5B">
            <w:pPr>
              <w:widowControl/>
              <w:jc w:val="left"/>
              <w:rPr>
                <w:rFonts w:ascii="等线" w:hAnsi="等线" w:eastAsia="等线" w:cs="宋体"/>
                <w:color w:val="000000"/>
                <w:sz w:val="22"/>
              </w:rPr>
            </w:pPr>
          </w:p>
        </w:tc>
      </w:tr>
      <w:tr w14:paraId="19AA4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1" w:type="pct"/>
            <w:gridSpan w:val="2"/>
            <w:shd w:val="clear" w:color="auto" w:fill="auto"/>
            <w:vAlign w:val="center"/>
          </w:tcPr>
          <w:p w14:paraId="79C248A9">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开采损耗补偿系数</w:t>
            </w:r>
            <w:r>
              <w:rPr>
                <w:rFonts w:ascii="Times New Roman" w:hAnsi="Times New Roman" w:eastAsia="宋体" w:cs="Times New Roman"/>
                <w:color w:val="000000"/>
                <w:sz w:val="16"/>
                <w:szCs w:val="16"/>
              </w:rPr>
              <w:t>K1</w:t>
            </w:r>
          </w:p>
        </w:tc>
        <w:tc>
          <w:tcPr>
            <w:tcW w:w="202" w:type="pct"/>
            <w:shd w:val="clear" w:color="auto" w:fill="auto"/>
            <w:vAlign w:val="center"/>
          </w:tcPr>
          <w:p w14:paraId="1E91A14D">
            <w:pPr>
              <w:widowControl/>
              <w:jc w:val="center"/>
              <w:rPr>
                <w:rFonts w:ascii="等线" w:hAnsi="等线" w:eastAsia="等线" w:cs="宋体"/>
                <w:color w:val="000000"/>
                <w:sz w:val="16"/>
                <w:szCs w:val="16"/>
              </w:rPr>
            </w:pPr>
          </w:p>
        </w:tc>
        <w:tc>
          <w:tcPr>
            <w:tcW w:w="202" w:type="pct"/>
            <w:shd w:val="clear" w:color="auto" w:fill="auto"/>
            <w:vAlign w:val="center"/>
          </w:tcPr>
          <w:p w14:paraId="5780EE60">
            <w:pPr>
              <w:widowControl/>
              <w:jc w:val="center"/>
              <w:rPr>
                <w:rFonts w:ascii="等线" w:hAnsi="等线" w:eastAsia="等线" w:cs="宋体"/>
                <w:color w:val="000000"/>
                <w:sz w:val="16"/>
                <w:szCs w:val="16"/>
              </w:rPr>
            </w:pPr>
          </w:p>
        </w:tc>
        <w:tc>
          <w:tcPr>
            <w:tcW w:w="202" w:type="pct"/>
            <w:shd w:val="clear" w:color="auto" w:fill="auto"/>
            <w:vAlign w:val="center"/>
          </w:tcPr>
          <w:p w14:paraId="0A15B907">
            <w:pPr>
              <w:widowControl/>
              <w:jc w:val="center"/>
              <w:rPr>
                <w:rFonts w:ascii="等线" w:hAnsi="等线" w:eastAsia="等线" w:cs="宋体"/>
                <w:color w:val="000000"/>
                <w:sz w:val="16"/>
                <w:szCs w:val="16"/>
              </w:rPr>
            </w:pPr>
          </w:p>
        </w:tc>
        <w:tc>
          <w:tcPr>
            <w:tcW w:w="202" w:type="pct"/>
            <w:shd w:val="clear" w:color="auto" w:fill="auto"/>
            <w:vAlign w:val="center"/>
          </w:tcPr>
          <w:p w14:paraId="74103B7C">
            <w:pPr>
              <w:widowControl/>
              <w:jc w:val="center"/>
              <w:rPr>
                <w:rFonts w:ascii="等线" w:hAnsi="等线" w:eastAsia="等线" w:cs="宋体"/>
                <w:color w:val="000000"/>
                <w:sz w:val="16"/>
                <w:szCs w:val="16"/>
              </w:rPr>
            </w:pPr>
          </w:p>
        </w:tc>
        <w:tc>
          <w:tcPr>
            <w:tcW w:w="202" w:type="pct"/>
            <w:shd w:val="clear" w:color="auto" w:fill="auto"/>
            <w:vAlign w:val="center"/>
          </w:tcPr>
          <w:p w14:paraId="3A82A1E7">
            <w:pPr>
              <w:widowControl/>
              <w:jc w:val="center"/>
              <w:rPr>
                <w:rFonts w:ascii="等线" w:hAnsi="等线" w:eastAsia="等线" w:cs="宋体"/>
                <w:color w:val="000000"/>
                <w:sz w:val="16"/>
                <w:szCs w:val="16"/>
              </w:rPr>
            </w:pPr>
          </w:p>
        </w:tc>
        <w:tc>
          <w:tcPr>
            <w:tcW w:w="202" w:type="pct"/>
            <w:shd w:val="clear" w:color="auto" w:fill="auto"/>
            <w:vAlign w:val="center"/>
          </w:tcPr>
          <w:p w14:paraId="7C018806">
            <w:pPr>
              <w:widowControl/>
              <w:jc w:val="center"/>
              <w:rPr>
                <w:rFonts w:ascii="等线" w:hAnsi="等线" w:eastAsia="等线" w:cs="宋体"/>
                <w:color w:val="000000"/>
                <w:sz w:val="16"/>
                <w:szCs w:val="16"/>
              </w:rPr>
            </w:pPr>
          </w:p>
        </w:tc>
        <w:tc>
          <w:tcPr>
            <w:tcW w:w="202" w:type="pct"/>
            <w:shd w:val="clear" w:color="auto" w:fill="auto"/>
            <w:vAlign w:val="center"/>
          </w:tcPr>
          <w:p w14:paraId="13B3371F">
            <w:pPr>
              <w:widowControl/>
              <w:jc w:val="center"/>
              <w:rPr>
                <w:rFonts w:ascii="等线" w:hAnsi="等线" w:eastAsia="等线" w:cs="宋体"/>
                <w:color w:val="000000"/>
                <w:sz w:val="16"/>
                <w:szCs w:val="16"/>
              </w:rPr>
            </w:pPr>
          </w:p>
        </w:tc>
        <w:tc>
          <w:tcPr>
            <w:tcW w:w="322" w:type="pct"/>
            <w:shd w:val="clear" w:color="auto" w:fill="auto"/>
            <w:vAlign w:val="center"/>
          </w:tcPr>
          <w:p w14:paraId="2442FE16">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0AFC3A8E">
            <w:pPr>
              <w:widowControl/>
              <w:jc w:val="center"/>
              <w:rPr>
                <w:rFonts w:ascii="Times New Roman" w:hAnsi="Times New Roman" w:eastAsia="宋体" w:cs="Times New Roman"/>
                <w:color w:val="000000"/>
                <w:sz w:val="16"/>
                <w:szCs w:val="16"/>
              </w:rPr>
            </w:pPr>
          </w:p>
        </w:tc>
        <w:tc>
          <w:tcPr>
            <w:tcW w:w="262" w:type="pct"/>
            <w:shd w:val="clear" w:color="auto" w:fill="auto"/>
            <w:vAlign w:val="center"/>
          </w:tcPr>
          <w:p w14:paraId="68A2C5C5">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3D46282A">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1BB88956">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55E0C0B2">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18168CE5">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70B013CE">
            <w:pPr>
              <w:widowControl/>
              <w:jc w:val="center"/>
              <w:rPr>
                <w:rFonts w:ascii="等线" w:hAnsi="等线" w:eastAsia="等线" w:cs="宋体"/>
                <w:color w:val="000000"/>
                <w:sz w:val="16"/>
                <w:szCs w:val="16"/>
              </w:rPr>
            </w:pPr>
          </w:p>
        </w:tc>
        <w:tc>
          <w:tcPr>
            <w:tcW w:w="202" w:type="pct"/>
            <w:shd w:val="clear" w:color="auto" w:fill="auto"/>
            <w:vAlign w:val="center"/>
          </w:tcPr>
          <w:p w14:paraId="5A72A7E8">
            <w:pPr>
              <w:widowControl/>
              <w:jc w:val="center"/>
              <w:rPr>
                <w:rFonts w:ascii="等线" w:hAnsi="等线" w:eastAsia="等线" w:cs="宋体"/>
                <w:color w:val="000000"/>
                <w:sz w:val="16"/>
                <w:szCs w:val="16"/>
              </w:rPr>
            </w:pPr>
          </w:p>
        </w:tc>
        <w:tc>
          <w:tcPr>
            <w:tcW w:w="202" w:type="pct"/>
            <w:shd w:val="clear" w:color="auto" w:fill="auto"/>
            <w:vAlign w:val="center"/>
          </w:tcPr>
          <w:p w14:paraId="1BF469C6">
            <w:pPr>
              <w:widowControl/>
              <w:jc w:val="center"/>
              <w:rPr>
                <w:rFonts w:ascii="等线" w:hAnsi="等线" w:eastAsia="等线" w:cs="宋体"/>
                <w:color w:val="000000"/>
                <w:sz w:val="16"/>
                <w:szCs w:val="16"/>
              </w:rPr>
            </w:pPr>
          </w:p>
        </w:tc>
        <w:tc>
          <w:tcPr>
            <w:tcW w:w="322" w:type="pct"/>
            <w:shd w:val="clear" w:color="auto" w:fill="auto"/>
            <w:noWrap/>
            <w:vAlign w:val="center"/>
          </w:tcPr>
          <w:p w14:paraId="5BFFDB54">
            <w:pPr>
              <w:widowControl/>
              <w:jc w:val="left"/>
              <w:rPr>
                <w:rFonts w:ascii="等线" w:hAnsi="等线" w:eastAsia="等线" w:cs="宋体"/>
                <w:color w:val="000000"/>
                <w:sz w:val="22"/>
              </w:rPr>
            </w:pPr>
          </w:p>
        </w:tc>
      </w:tr>
      <w:tr w14:paraId="67DD5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1" w:type="pct"/>
            <w:gridSpan w:val="2"/>
            <w:shd w:val="clear" w:color="auto" w:fill="auto"/>
            <w:vAlign w:val="center"/>
          </w:tcPr>
          <w:p w14:paraId="38EF745D">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运输损耗补偿系数</w:t>
            </w:r>
            <w:r>
              <w:rPr>
                <w:rFonts w:ascii="Times New Roman" w:hAnsi="Times New Roman" w:eastAsia="宋体" w:cs="Times New Roman"/>
                <w:color w:val="000000"/>
                <w:sz w:val="16"/>
                <w:szCs w:val="16"/>
              </w:rPr>
              <w:t>K2</w:t>
            </w:r>
          </w:p>
        </w:tc>
        <w:tc>
          <w:tcPr>
            <w:tcW w:w="202" w:type="pct"/>
            <w:shd w:val="clear" w:color="auto" w:fill="auto"/>
            <w:vAlign w:val="center"/>
          </w:tcPr>
          <w:p w14:paraId="4F740881">
            <w:pPr>
              <w:widowControl/>
              <w:jc w:val="center"/>
              <w:rPr>
                <w:rFonts w:ascii="等线" w:hAnsi="等线" w:eastAsia="等线" w:cs="宋体"/>
                <w:color w:val="000000"/>
                <w:sz w:val="16"/>
                <w:szCs w:val="16"/>
              </w:rPr>
            </w:pPr>
          </w:p>
        </w:tc>
        <w:tc>
          <w:tcPr>
            <w:tcW w:w="202" w:type="pct"/>
            <w:shd w:val="clear" w:color="auto" w:fill="auto"/>
            <w:vAlign w:val="center"/>
          </w:tcPr>
          <w:p w14:paraId="6DF57D4F">
            <w:pPr>
              <w:widowControl/>
              <w:jc w:val="center"/>
              <w:rPr>
                <w:rFonts w:ascii="等线" w:hAnsi="等线" w:eastAsia="等线" w:cs="宋体"/>
                <w:color w:val="000000"/>
                <w:sz w:val="16"/>
                <w:szCs w:val="16"/>
              </w:rPr>
            </w:pPr>
          </w:p>
        </w:tc>
        <w:tc>
          <w:tcPr>
            <w:tcW w:w="202" w:type="pct"/>
            <w:shd w:val="clear" w:color="auto" w:fill="auto"/>
            <w:vAlign w:val="center"/>
          </w:tcPr>
          <w:p w14:paraId="3F522A71">
            <w:pPr>
              <w:widowControl/>
              <w:jc w:val="center"/>
              <w:rPr>
                <w:rFonts w:ascii="等线" w:hAnsi="等线" w:eastAsia="等线" w:cs="宋体"/>
                <w:color w:val="000000"/>
                <w:sz w:val="16"/>
                <w:szCs w:val="16"/>
              </w:rPr>
            </w:pPr>
          </w:p>
        </w:tc>
        <w:tc>
          <w:tcPr>
            <w:tcW w:w="202" w:type="pct"/>
            <w:shd w:val="clear" w:color="auto" w:fill="auto"/>
            <w:vAlign w:val="center"/>
          </w:tcPr>
          <w:p w14:paraId="56D0A55E">
            <w:pPr>
              <w:widowControl/>
              <w:jc w:val="center"/>
              <w:rPr>
                <w:rFonts w:ascii="等线" w:hAnsi="等线" w:eastAsia="等线" w:cs="宋体"/>
                <w:color w:val="000000"/>
                <w:sz w:val="16"/>
                <w:szCs w:val="16"/>
              </w:rPr>
            </w:pPr>
          </w:p>
        </w:tc>
        <w:tc>
          <w:tcPr>
            <w:tcW w:w="202" w:type="pct"/>
            <w:shd w:val="clear" w:color="auto" w:fill="auto"/>
            <w:vAlign w:val="center"/>
          </w:tcPr>
          <w:p w14:paraId="25A2E628">
            <w:pPr>
              <w:widowControl/>
              <w:jc w:val="center"/>
              <w:rPr>
                <w:rFonts w:ascii="等线" w:hAnsi="等线" w:eastAsia="等线" w:cs="宋体"/>
                <w:color w:val="000000"/>
                <w:sz w:val="16"/>
                <w:szCs w:val="16"/>
              </w:rPr>
            </w:pPr>
          </w:p>
        </w:tc>
        <w:tc>
          <w:tcPr>
            <w:tcW w:w="202" w:type="pct"/>
            <w:shd w:val="clear" w:color="auto" w:fill="auto"/>
            <w:vAlign w:val="center"/>
          </w:tcPr>
          <w:p w14:paraId="3B7EA381">
            <w:pPr>
              <w:widowControl/>
              <w:jc w:val="center"/>
              <w:rPr>
                <w:rFonts w:ascii="等线" w:hAnsi="等线" w:eastAsia="等线" w:cs="宋体"/>
                <w:color w:val="000000"/>
                <w:sz w:val="16"/>
                <w:szCs w:val="16"/>
              </w:rPr>
            </w:pPr>
          </w:p>
        </w:tc>
        <w:tc>
          <w:tcPr>
            <w:tcW w:w="202" w:type="pct"/>
            <w:shd w:val="clear" w:color="auto" w:fill="auto"/>
            <w:vAlign w:val="center"/>
          </w:tcPr>
          <w:p w14:paraId="279879D5">
            <w:pPr>
              <w:widowControl/>
              <w:jc w:val="center"/>
              <w:rPr>
                <w:rFonts w:ascii="等线" w:hAnsi="等线" w:eastAsia="等线" w:cs="宋体"/>
                <w:color w:val="000000"/>
                <w:sz w:val="16"/>
                <w:szCs w:val="16"/>
              </w:rPr>
            </w:pPr>
          </w:p>
        </w:tc>
        <w:tc>
          <w:tcPr>
            <w:tcW w:w="322" w:type="pct"/>
            <w:shd w:val="clear" w:color="auto" w:fill="auto"/>
            <w:vAlign w:val="center"/>
          </w:tcPr>
          <w:p w14:paraId="67480649">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3838BC11">
            <w:pPr>
              <w:widowControl/>
              <w:jc w:val="center"/>
              <w:rPr>
                <w:rFonts w:ascii="Times New Roman" w:hAnsi="Times New Roman" w:eastAsia="宋体" w:cs="Times New Roman"/>
                <w:color w:val="000000"/>
                <w:sz w:val="16"/>
                <w:szCs w:val="16"/>
              </w:rPr>
            </w:pPr>
          </w:p>
        </w:tc>
        <w:tc>
          <w:tcPr>
            <w:tcW w:w="262" w:type="pct"/>
            <w:shd w:val="clear" w:color="auto" w:fill="auto"/>
            <w:vAlign w:val="center"/>
          </w:tcPr>
          <w:p w14:paraId="7B559D49">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5281195A">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71CE8194">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4BFDB968">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6A3E6FF9">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29A2155">
            <w:pPr>
              <w:widowControl/>
              <w:jc w:val="center"/>
              <w:rPr>
                <w:rFonts w:ascii="等线" w:hAnsi="等线" w:eastAsia="等线" w:cs="宋体"/>
                <w:color w:val="000000"/>
                <w:sz w:val="16"/>
                <w:szCs w:val="16"/>
              </w:rPr>
            </w:pPr>
          </w:p>
        </w:tc>
        <w:tc>
          <w:tcPr>
            <w:tcW w:w="202" w:type="pct"/>
            <w:shd w:val="clear" w:color="auto" w:fill="auto"/>
            <w:vAlign w:val="center"/>
          </w:tcPr>
          <w:p w14:paraId="2CFD3E28">
            <w:pPr>
              <w:widowControl/>
              <w:jc w:val="center"/>
              <w:rPr>
                <w:rFonts w:ascii="等线" w:hAnsi="等线" w:eastAsia="等线" w:cs="宋体"/>
                <w:color w:val="000000"/>
                <w:sz w:val="16"/>
                <w:szCs w:val="16"/>
              </w:rPr>
            </w:pPr>
          </w:p>
        </w:tc>
        <w:tc>
          <w:tcPr>
            <w:tcW w:w="202" w:type="pct"/>
            <w:shd w:val="clear" w:color="auto" w:fill="auto"/>
            <w:vAlign w:val="center"/>
          </w:tcPr>
          <w:p w14:paraId="700C7901">
            <w:pPr>
              <w:widowControl/>
              <w:jc w:val="center"/>
              <w:rPr>
                <w:rFonts w:ascii="等线" w:hAnsi="等线" w:eastAsia="等线" w:cs="宋体"/>
                <w:color w:val="000000"/>
                <w:sz w:val="16"/>
                <w:szCs w:val="16"/>
              </w:rPr>
            </w:pPr>
          </w:p>
        </w:tc>
        <w:tc>
          <w:tcPr>
            <w:tcW w:w="322" w:type="pct"/>
            <w:shd w:val="clear" w:color="auto" w:fill="auto"/>
            <w:noWrap/>
            <w:vAlign w:val="center"/>
          </w:tcPr>
          <w:p w14:paraId="2952923F">
            <w:pPr>
              <w:widowControl/>
              <w:jc w:val="left"/>
              <w:rPr>
                <w:rFonts w:ascii="等线" w:hAnsi="等线" w:eastAsia="等线" w:cs="宋体"/>
                <w:color w:val="000000"/>
                <w:sz w:val="22"/>
              </w:rPr>
            </w:pPr>
          </w:p>
        </w:tc>
      </w:tr>
      <w:tr w14:paraId="72968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1" w:type="pct"/>
            <w:gridSpan w:val="2"/>
            <w:shd w:val="clear" w:color="auto" w:fill="auto"/>
            <w:vAlign w:val="center"/>
          </w:tcPr>
          <w:p w14:paraId="528DEE12">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转存损耗补偿系数</w:t>
            </w:r>
            <w:r>
              <w:rPr>
                <w:rFonts w:ascii="Times New Roman" w:hAnsi="Times New Roman" w:eastAsia="宋体" w:cs="Times New Roman"/>
                <w:color w:val="000000"/>
                <w:sz w:val="16"/>
                <w:szCs w:val="16"/>
              </w:rPr>
              <w:t>K3</w:t>
            </w:r>
          </w:p>
        </w:tc>
        <w:tc>
          <w:tcPr>
            <w:tcW w:w="202" w:type="pct"/>
            <w:shd w:val="clear" w:color="auto" w:fill="auto"/>
            <w:vAlign w:val="center"/>
          </w:tcPr>
          <w:p w14:paraId="328201CF">
            <w:pPr>
              <w:widowControl/>
              <w:jc w:val="center"/>
              <w:rPr>
                <w:rFonts w:ascii="等线" w:hAnsi="等线" w:eastAsia="等线" w:cs="宋体"/>
                <w:color w:val="000000"/>
                <w:sz w:val="16"/>
                <w:szCs w:val="16"/>
              </w:rPr>
            </w:pPr>
          </w:p>
        </w:tc>
        <w:tc>
          <w:tcPr>
            <w:tcW w:w="202" w:type="pct"/>
            <w:shd w:val="clear" w:color="auto" w:fill="auto"/>
            <w:vAlign w:val="center"/>
          </w:tcPr>
          <w:p w14:paraId="75CB0F9C">
            <w:pPr>
              <w:widowControl/>
              <w:jc w:val="center"/>
              <w:rPr>
                <w:rFonts w:ascii="等线" w:hAnsi="等线" w:eastAsia="等线" w:cs="宋体"/>
                <w:color w:val="000000"/>
                <w:sz w:val="16"/>
                <w:szCs w:val="16"/>
              </w:rPr>
            </w:pPr>
          </w:p>
        </w:tc>
        <w:tc>
          <w:tcPr>
            <w:tcW w:w="202" w:type="pct"/>
            <w:shd w:val="clear" w:color="auto" w:fill="auto"/>
            <w:vAlign w:val="center"/>
          </w:tcPr>
          <w:p w14:paraId="5E8DBC52">
            <w:pPr>
              <w:widowControl/>
              <w:jc w:val="center"/>
              <w:rPr>
                <w:rFonts w:ascii="等线" w:hAnsi="等线" w:eastAsia="等线" w:cs="宋体"/>
                <w:color w:val="000000"/>
                <w:sz w:val="16"/>
                <w:szCs w:val="16"/>
              </w:rPr>
            </w:pPr>
          </w:p>
        </w:tc>
        <w:tc>
          <w:tcPr>
            <w:tcW w:w="202" w:type="pct"/>
            <w:shd w:val="clear" w:color="auto" w:fill="auto"/>
            <w:vAlign w:val="center"/>
          </w:tcPr>
          <w:p w14:paraId="663C85F4">
            <w:pPr>
              <w:widowControl/>
              <w:jc w:val="center"/>
              <w:rPr>
                <w:rFonts w:ascii="等线" w:hAnsi="等线" w:eastAsia="等线" w:cs="宋体"/>
                <w:color w:val="000000"/>
                <w:sz w:val="16"/>
                <w:szCs w:val="16"/>
              </w:rPr>
            </w:pPr>
          </w:p>
        </w:tc>
        <w:tc>
          <w:tcPr>
            <w:tcW w:w="202" w:type="pct"/>
            <w:shd w:val="clear" w:color="auto" w:fill="auto"/>
            <w:vAlign w:val="center"/>
          </w:tcPr>
          <w:p w14:paraId="2FE75F9D">
            <w:pPr>
              <w:widowControl/>
              <w:jc w:val="center"/>
              <w:rPr>
                <w:rFonts w:ascii="等线" w:hAnsi="等线" w:eastAsia="等线" w:cs="宋体"/>
                <w:color w:val="000000"/>
                <w:sz w:val="16"/>
                <w:szCs w:val="16"/>
              </w:rPr>
            </w:pPr>
          </w:p>
        </w:tc>
        <w:tc>
          <w:tcPr>
            <w:tcW w:w="202" w:type="pct"/>
            <w:shd w:val="clear" w:color="auto" w:fill="auto"/>
            <w:vAlign w:val="center"/>
          </w:tcPr>
          <w:p w14:paraId="6910EAE0">
            <w:pPr>
              <w:widowControl/>
              <w:jc w:val="center"/>
              <w:rPr>
                <w:rFonts w:ascii="等线" w:hAnsi="等线" w:eastAsia="等线" w:cs="宋体"/>
                <w:color w:val="000000"/>
                <w:sz w:val="16"/>
                <w:szCs w:val="16"/>
              </w:rPr>
            </w:pPr>
          </w:p>
        </w:tc>
        <w:tc>
          <w:tcPr>
            <w:tcW w:w="202" w:type="pct"/>
            <w:shd w:val="clear" w:color="auto" w:fill="auto"/>
            <w:vAlign w:val="center"/>
          </w:tcPr>
          <w:p w14:paraId="104BE297">
            <w:pPr>
              <w:widowControl/>
              <w:jc w:val="center"/>
              <w:rPr>
                <w:rFonts w:ascii="等线" w:hAnsi="等线" w:eastAsia="等线" w:cs="宋体"/>
                <w:color w:val="000000"/>
                <w:sz w:val="16"/>
                <w:szCs w:val="16"/>
              </w:rPr>
            </w:pPr>
          </w:p>
        </w:tc>
        <w:tc>
          <w:tcPr>
            <w:tcW w:w="322" w:type="pct"/>
            <w:shd w:val="clear" w:color="auto" w:fill="auto"/>
            <w:vAlign w:val="center"/>
          </w:tcPr>
          <w:p w14:paraId="6CE5D268">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20D0D3D1">
            <w:pPr>
              <w:widowControl/>
              <w:jc w:val="center"/>
              <w:rPr>
                <w:rFonts w:ascii="Times New Roman" w:hAnsi="Times New Roman" w:eastAsia="宋体" w:cs="Times New Roman"/>
                <w:color w:val="000000"/>
                <w:sz w:val="16"/>
                <w:szCs w:val="16"/>
              </w:rPr>
            </w:pPr>
          </w:p>
        </w:tc>
        <w:tc>
          <w:tcPr>
            <w:tcW w:w="262" w:type="pct"/>
            <w:shd w:val="clear" w:color="auto" w:fill="auto"/>
            <w:vAlign w:val="center"/>
          </w:tcPr>
          <w:p w14:paraId="122D614E">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41B6D683">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52C69FE7">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3C0E06EF">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53F25DE3">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7060D80A">
            <w:pPr>
              <w:widowControl/>
              <w:jc w:val="center"/>
              <w:rPr>
                <w:rFonts w:ascii="等线" w:hAnsi="等线" w:eastAsia="等线" w:cs="宋体"/>
                <w:color w:val="000000"/>
                <w:sz w:val="16"/>
                <w:szCs w:val="16"/>
              </w:rPr>
            </w:pPr>
          </w:p>
        </w:tc>
        <w:tc>
          <w:tcPr>
            <w:tcW w:w="202" w:type="pct"/>
            <w:shd w:val="clear" w:color="auto" w:fill="auto"/>
            <w:vAlign w:val="center"/>
          </w:tcPr>
          <w:p w14:paraId="05BECA05">
            <w:pPr>
              <w:widowControl/>
              <w:jc w:val="center"/>
              <w:rPr>
                <w:rFonts w:ascii="等线" w:hAnsi="等线" w:eastAsia="等线" w:cs="宋体"/>
                <w:color w:val="000000"/>
                <w:sz w:val="16"/>
                <w:szCs w:val="16"/>
              </w:rPr>
            </w:pPr>
          </w:p>
        </w:tc>
        <w:tc>
          <w:tcPr>
            <w:tcW w:w="202" w:type="pct"/>
            <w:shd w:val="clear" w:color="auto" w:fill="auto"/>
            <w:vAlign w:val="center"/>
          </w:tcPr>
          <w:p w14:paraId="5AAB3AE2">
            <w:pPr>
              <w:widowControl/>
              <w:jc w:val="center"/>
              <w:rPr>
                <w:rFonts w:ascii="等线" w:hAnsi="等线" w:eastAsia="等线" w:cs="宋体"/>
                <w:color w:val="000000"/>
                <w:sz w:val="16"/>
                <w:szCs w:val="16"/>
              </w:rPr>
            </w:pPr>
          </w:p>
        </w:tc>
        <w:tc>
          <w:tcPr>
            <w:tcW w:w="322" w:type="pct"/>
            <w:shd w:val="clear" w:color="auto" w:fill="auto"/>
            <w:noWrap/>
            <w:vAlign w:val="center"/>
          </w:tcPr>
          <w:p w14:paraId="6E42BC06">
            <w:pPr>
              <w:widowControl/>
              <w:jc w:val="left"/>
              <w:rPr>
                <w:rFonts w:ascii="等线" w:hAnsi="等线" w:eastAsia="等线" w:cs="宋体"/>
                <w:color w:val="000000"/>
                <w:sz w:val="22"/>
              </w:rPr>
            </w:pPr>
          </w:p>
        </w:tc>
      </w:tr>
      <w:tr w14:paraId="68072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1" w:type="pct"/>
            <w:gridSpan w:val="2"/>
            <w:shd w:val="clear" w:color="auto" w:fill="auto"/>
            <w:vAlign w:val="center"/>
          </w:tcPr>
          <w:p w14:paraId="00E16E21">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加工损耗补偿系数</w:t>
            </w:r>
            <w:r>
              <w:rPr>
                <w:rFonts w:ascii="Times New Roman" w:hAnsi="Times New Roman" w:eastAsia="宋体" w:cs="Times New Roman"/>
                <w:color w:val="000000"/>
                <w:sz w:val="16"/>
                <w:szCs w:val="16"/>
              </w:rPr>
              <w:t>K4</w:t>
            </w:r>
          </w:p>
        </w:tc>
        <w:tc>
          <w:tcPr>
            <w:tcW w:w="202" w:type="pct"/>
            <w:shd w:val="clear" w:color="auto" w:fill="auto"/>
            <w:vAlign w:val="center"/>
          </w:tcPr>
          <w:p w14:paraId="5DE2F166">
            <w:pPr>
              <w:widowControl/>
              <w:jc w:val="center"/>
              <w:rPr>
                <w:rFonts w:ascii="等线" w:hAnsi="等线" w:eastAsia="等线" w:cs="宋体"/>
                <w:color w:val="000000"/>
                <w:sz w:val="16"/>
                <w:szCs w:val="16"/>
              </w:rPr>
            </w:pPr>
          </w:p>
        </w:tc>
        <w:tc>
          <w:tcPr>
            <w:tcW w:w="202" w:type="pct"/>
            <w:shd w:val="clear" w:color="auto" w:fill="auto"/>
            <w:vAlign w:val="center"/>
          </w:tcPr>
          <w:p w14:paraId="4FC5DE30">
            <w:pPr>
              <w:widowControl/>
              <w:jc w:val="center"/>
              <w:rPr>
                <w:rFonts w:ascii="等线" w:hAnsi="等线" w:eastAsia="等线" w:cs="宋体"/>
                <w:color w:val="000000"/>
                <w:sz w:val="16"/>
                <w:szCs w:val="16"/>
              </w:rPr>
            </w:pPr>
          </w:p>
        </w:tc>
        <w:tc>
          <w:tcPr>
            <w:tcW w:w="202" w:type="pct"/>
            <w:shd w:val="clear" w:color="auto" w:fill="auto"/>
            <w:vAlign w:val="center"/>
          </w:tcPr>
          <w:p w14:paraId="02FAE2D5">
            <w:pPr>
              <w:widowControl/>
              <w:jc w:val="center"/>
              <w:rPr>
                <w:rFonts w:ascii="等线" w:hAnsi="等线" w:eastAsia="等线" w:cs="宋体"/>
                <w:color w:val="000000"/>
                <w:sz w:val="16"/>
                <w:szCs w:val="16"/>
              </w:rPr>
            </w:pPr>
          </w:p>
        </w:tc>
        <w:tc>
          <w:tcPr>
            <w:tcW w:w="202" w:type="pct"/>
            <w:shd w:val="clear" w:color="auto" w:fill="auto"/>
            <w:vAlign w:val="center"/>
          </w:tcPr>
          <w:p w14:paraId="276B6593">
            <w:pPr>
              <w:widowControl/>
              <w:jc w:val="center"/>
              <w:rPr>
                <w:rFonts w:ascii="等线" w:hAnsi="等线" w:eastAsia="等线" w:cs="宋体"/>
                <w:color w:val="000000"/>
                <w:sz w:val="16"/>
                <w:szCs w:val="16"/>
              </w:rPr>
            </w:pPr>
          </w:p>
        </w:tc>
        <w:tc>
          <w:tcPr>
            <w:tcW w:w="202" w:type="pct"/>
            <w:shd w:val="clear" w:color="auto" w:fill="auto"/>
            <w:vAlign w:val="center"/>
          </w:tcPr>
          <w:p w14:paraId="7E3A310E">
            <w:pPr>
              <w:widowControl/>
              <w:jc w:val="center"/>
              <w:rPr>
                <w:rFonts w:ascii="等线" w:hAnsi="等线" w:eastAsia="等线" w:cs="宋体"/>
                <w:color w:val="000000"/>
                <w:sz w:val="16"/>
                <w:szCs w:val="16"/>
              </w:rPr>
            </w:pPr>
          </w:p>
        </w:tc>
        <w:tc>
          <w:tcPr>
            <w:tcW w:w="202" w:type="pct"/>
            <w:shd w:val="clear" w:color="auto" w:fill="auto"/>
            <w:vAlign w:val="center"/>
          </w:tcPr>
          <w:p w14:paraId="54CC6DAE">
            <w:pPr>
              <w:widowControl/>
              <w:jc w:val="center"/>
              <w:rPr>
                <w:rFonts w:ascii="等线" w:hAnsi="等线" w:eastAsia="等线" w:cs="宋体"/>
                <w:color w:val="000000"/>
                <w:sz w:val="16"/>
                <w:szCs w:val="16"/>
              </w:rPr>
            </w:pPr>
          </w:p>
        </w:tc>
        <w:tc>
          <w:tcPr>
            <w:tcW w:w="202" w:type="pct"/>
            <w:shd w:val="clear" w:color="auto" w:fill="auto"/>
            <w:vAlign w:val="center"/>
          </w:tcPr>
          <w:p w14:paraId="5D8F68FF">
            <w:pPr>
              <w:widowControl/>
              <w:jc w:val="center"/>
              <w:rPr>
                <w:rFonts w:ascii="等线" w:hAnsi="等线" w:eastAsia="等线" w:cs="宋体"/>
                <w:color w:val="000000"/>
                <w:sz w:val="16"/>
                <w:szCs w:val="16"/>
              </w:rPr>
            </w:pPr>
          </w:p>
        </w:tc>
        <w:tc>
          <w:tcPr>
            <w:tcW w:w="322" w:type="pct"/>
            <w:shd w:val="clear" w:color="auto" w:fill="auto"/>
            <w:vAlign w:val="center"/>
          </w:tcPr>
          <w:p w14:paraId="520DCCE3">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76932EA4">
            <w:pPr>
              <w:widowControl/>
              <w:jc w:val="center"/>
              <w:rPr>
                <w:rFonts w:ascii="Times New Roman" w:hAnsi="Times New Roman" w:eastAsia="宋体" w:cs="Times New Roman"/>
                <w:color w:val="000000"/>
                <w:sz w:val="16"/>
                <w:szCs w:val="16"/>
              </w:rPr>
            </w:pPr>
          </w:p>
        </w:tc>
        <w:tc>
          <w:tcPr>
            <w:tcW w:w="262" w:type="pct"/>
            <w:shd w:val="clear" w:color="auto" w:fill="auto"/>
            <w:vAlign w:val="center"/>
          </w:tcPr>
          <w:p w14:paraId="1074D46A">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59F38F2E">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6947793F">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1FF136E6">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729E5F33">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2AD52204">
            <w:pPr>
              <w:widowControl/>
              <w:jc w:val="center"/>
              <w:rPr>
                <w:rFonts w:ascii="等线" w:hAnsi="等线" w:eastAsia="等线" w:cs="宋体"/>
                <w:color w:val="000000"/>
                <w:sz w:val="16"/>
                <w:szCs w:val="16"/>
              </w:rPr>
            </w:pPr>
          </w:p>
        </w:tc>
        <w:tc>
          <w:tcPr>
            <w:tcW w:w="202" w:type="pct"/>
            <w:shd w:val="clear" w:color="auto" w:fill="auto"/>
            <w:vAlign w:val="center"/>
          </w:tcPr>
          <w:p w14:paraId="3C67F284">
            <w:pPr>
              <w:widowControl/>
              <w:jc w:val="center"/>
              <w:rPr>
                <w:rFonts w:ascii="等线" w:hAnsi="等线" w:eastAsia="等线" w:cs="宋体"/>
                <w:color w:val="000000"/>
                <w:sz w:val="16"/>
                <w:szCs w:val="16"/>
              </w:rPr>
            </w:pPr>
          </w:p>
        </w:tc>
        <w:tc>
          <w:tcPr>
            <w:tcW w:w="202" w:type="pct"/>
            <w:shd w:val="clear" w:color="auto" w:fill="auto"/>
            <w:vAlign w:val="center"/>
          </w:tcPr>
          <w:p w14:paraId="61CDD7C3">
            <w:pPr>
              <w:widowControl/>
              <w:jc w:val="center"/>
              <w:rPr>
                <w:rFonts w:ascii="等线" w:hAnsi="等线" w:eastAsia="等线" w:cs="宋体"/>
                <w:color w:val="000000"/>
                <w:sz w:val="16"/>
                <w:szCs w:val="16"/>
              </w:rPr>
            </w:pPr>
          </w:p>
        </w:tc>
        <w:tc>
          <w:tcPr>
            <w:tcW w:w="322" w:type="pct"/>
            <w:shd w:val="clear" w:color="auto" w:fill="auto"/>
            <w:noWrap/>
            <w:vAlign w:val="center"/>
          </w:tcPr>
          <w:p w14:paraId="4EF48FEC">
            <w:pPr>
              <w:widowControl/>
              <w:jc w:val="left"/>
              <w:rPr>
                <w:rFonts w:ascii="等线" w:hAnsi="等线" w:eastAsia="等线" w:cs="宋体"/>
                <w:color w:val="000000"/>
                <w:sz w:val="22"/>
              </w:rPr>
            </w:pPr>
          </w:p>
        </w:tc>
      </w:tr>
      <w:tr w14:paraId="5DDF6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1" w:type="pct"/>
            <w:gridSpan w:val="2"/>
            <w:shd w:val="clear" w:color="auto" w:fill="auto"/>
            <w:vAlign w:val="center"/>
          </w:tcPr>
          <w:p w14:paraId="48195ECC">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作业面损耗补偿系数</w:t>
            </w:r>
            <w:r>
              <w:rPr>
                <w:rFonts w:ascii="Times New Roman" w:hAnsi="Times New Roman" w:eastAsia="宋体" w:cs="Times New Roman"/>
                <w:color w:val="000000"/>
                <w:sz w:val="16"/>
                <w:szCs w:val="16"/>
              </w:rPr>
              <w:t>K5</w:t>
            </w:r>
          </w:p>
        </w:tc>
        <w:tc>
          <w:tcPr>
            <w:tcW w:w="202" w:type="pct"/>
            <w:shd w:val="clear" w:color="auto" w:fill="auto"/>
            <w:vAlign w:val="center"/>
          </w:tcPr>
          <w:p w14:paraId="73A03889">
            <w:pPr>
              <w:widowControl/>
              <w:jc w:val="center"/>
              <w:rPr>
                <w:rFonts w:ascii="等线" w:hAnsi="等线" w:eastAsia="等线" w:cs="宋体"/>
                <w:color w:val="000000"/>
                <w:sz w:val="16"/>
                <w:szCs w:val="16"/>
              </w:rPr>
            </w:pPr>
          </w:p>
        </w:tc>
        <w:tc>
          <w:tcPr>
            <w:tcW w:w="202" w:type="pct"/>
            <w:shd w:val="clear" w:color="auto" w:fill="auto"/>
            <w:vAlign w:val="center"/>
          </w:tcPr>
          <w:p w14:paraId="36AE6B67">
            <w:pPr>
              <w:widowControl/>
              <w:jc w:val="center"/>
              <w:rPr>
                <w:rFonts w:ascii="等线" w:hAnsi="等线" w:eastAsia="等线" w:cs="宋体"/>
                <w:color w:val="000000"/>
                <w:sz w:val="16"/>
                <w:szCs w:val="16"/>
              </w:rPr>
            </w:pPr>
          </w:p>
        </w:tc>
        <w:tc>
          <w:tcPr>
            <w:tcW w:w="202" w:type="pct"/>
            <w:shd w:val="clear" w:color="auto" w:fill="auto"/>
            <w:vAlign w:val="center"/>
          </w:tcPr>
          <w:p w14:paraId="325B6CC8">
            <w:pPr>
              <w:widowControl/>
              <w:jc w:val="center"/>
              <w:rPr>
                <w:rFonts w:ascii="等线" w:hAnsi="等线" w:eastAsia="等线" w:cs="宋体"/>
                <w:color w:val="000000"/>
                <w:sz w:val="16"/>
                <w:szCs w:val="16"/>
              </w:rPr>
            </w:pPr>
          </w:p>
        </w:tc>
        <w:tc>
          <w:tcPr>
            <w:tcW w:w="202" w:type="pct"/>
            <w:shd w:val="clear" w:color="auto" w:fill="auto"/>
            <w:vAlign w:val="center"/>
          </w:tcPr>
          <w:p w14:paraId="15265887">
            <w:pPr>
              <w:widowControl/>
              <w:jc w:val="center"/>
              <w:rPr>
                <w:rFonts w:ascii="等线" w:hAnsi="等线" w:eastAsia="等线" w:cs="宋体"/>
                <w:color w:val="000000"/>
                <w:sz w:val="16"/>
                <w:szCs w:val="16"/>
              </w:rPr>
            </w:pPr>
          </w:p>
        </w:tc>
        <w:tc>
          <w:tcPr>
            <w:tcW w:w="202" w:type="pct"/>
            <w:shd w:val="clear" w:color="auto" w:fill="auto"/>
            <w:vAlign w:val="center"/>
          </w:tcPr>
          <w:p w14:paraId="7117F7E6">
            <w:pPr>
              <w:widowControl/>
              <w:jc w:val="center"/>
              <w:rPr>
                <w:rFonts w:ascii="等线" w:hAnsi="等线" w:eastAsia="等线" w:cs="宋体"/>
                <w:color w:val="000000"/>
                <w:sz w:val="16"/>
                <w:szCs w:val="16"/>
              </w:rPr>
            </w:pPr>
          </w:p>
        </w:tc>
        <w:tc>
          <w:tcPr>
            <w:tcW w:w="202" w:type="pct"/>
            <w:shd w:val="clear" w:color="auto" w:fill="auto"/>
            <w:vAlign w:val="center"/>
          </w:tcPr>
          <w:p w14:paraId="49FD8D2A">
            <w:pPr>
              <w:widowControl/>
              <w:jc w:val="center"/>
              <w:rPr>
                <w:rFonts w:ascii="等线" w:hAnsi="等线" w:eastAsia="等线" w:cs="宋体"/>
                <w:color w:val="000000"/>
                <w:sz w:val="16"/>
                <w:szCs w:val="16"/>
              </w:rPr>
            </w:pPr>
          </w:p>
        </w:tc>
        <w:tc>
          <w:tcPr>
            <w:tcW w:w="202" w:type="pct"/>
            <w:shd w:val="clear" w:color="auto" w:fill="auto"/>
            <w:vAlign w:val="center"/>
          </w:tcPr>
          <w:p w14:paraId="055A59CB">
            <w:pPr>
              <w:widowControl/>
              <w:jc w:val="center"/>
              <w:rPr>
                <w:rFonts w:ascii="等线" w:hAnsi="等线" w:eastAsia="等线" w:cs="宋体"/>
                <w:color w:val="000000"/>
                <w:sz w:val="16"/>
                <w:szCs w:val="16"/>
              </w:rPr>
            </w:pPr>
          </w:p>
        </w:tc>
        <w:tc>
          <w:tcPr>
            <w:tcW w:w="322" w:type="pct"/>
            <w:shd w:val="clear" w:color="auto" w:fill="auto"/>
            <w:vAlign w:val="center"/>
          </w:tcPr>
          <w:p w14:paraId="3638DF79">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6718D5CF">
            <w:pPr>
              <w:widowControl/>
              <w:jc w:val="center"/>
              <w:rPr>
                <w:rFonts w:ascii="Times New Roman" w:hAnsi="Times New Roman" w:eastAsia="宋体" w:cs="Times New Roman"/>
                <w:color w:val="000000"/>
                <w:sz w:val="16"/>
                <w:szCs w:val="16"/>
              </w:rPr>
            </w:pPr>
          </w:p>
        </w:tc>
        <w:tc>
          <w:tcPr>
            <w:tcW w:w="262" w:type="pct"/>
            <w:shd w:val="clear" w:color="auto" w:fill="auto"/>
            <w:vAlign w:val="center"/>
          </w:tcPr>
          <w:p w14:paraId="75221C05">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7B2875FF">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542AE95D">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106B5EB5">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4A87F789">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3C8D92C0">
            <w:pPr>
              <w:widowControl/>
              <w:jc w:val="center"/>
              <w:rPr>
                <w:rFonts w:ascii="等线" w:hAnsi="等线" w:eastAsia="等线" w:cs="宋体"/>
                <w:color w:val="000000"/>
                <w:sz w:val="16"/>
                <w:szCs w:val="16"/>
              </w:rPr>
            </w:pPr>
          </w:p>
        </w:tc>
        <w:tc>
          <w:tcPr>
            <w:tcW w:w="202" w:type="pct"/>
            <w:shd w:val="clear" w:color="auto" w:fill="auto"/>
            <w:vAlign w:val="center"/>
          </w:tcPr>
          <w:p w14:paraId="57A0F2BF">
            <w:pPr>
              <w:widowControl/>
              <w:jc w:val="center"/>
              <w:rPr>
                <w:rFonts w:ascii="等线" w:hAnsi="等线" w:eastAsia="等线" w:cs="宋体"/>
                <w:color w:val="000000"/>
                <w:sz w:val="16"/>
                <w:szCs w:val="16"/>
              </w:rPr>
            </w:pPr>
          </w:p>
        </w:tc>
        <w:tc>
          <w:tcPr>
            <w:tcW w:w="202" w:type="pct"/>
            <w:shd w:val="clear" w:color="auto" w:fill="auto"/>
            <w:vAlign w:val="center"/>
          </w:tcPr>
          <w:p w14:paraId="559D862A">
            <w:pPr>
              <w:widowControl/>
              <w:jc w:val="center"/>
              <w:rPr>
                <w:rFonts w:ascii="等线" w:hAnsi="等线" w:eastAsia="等线" w:cs="宋体"/>
                <w:color w:val="000000"/>
                <w:sz w:val="16"/>
                <w:szCs w:val="16"/>
              </w:rPr>
            </w:pPr>
          </w:p>
        </w:tc>
        <w:tc>
          <w:tcPr>
            <w:tcW w:w="322" w:type="pct"/>
            <w:shd w:val="clear" w:color="auto" w:fill="auto"/>
            <w:noWrap/>
            <w:vAlign w:val="center"/>
          </w:tcPr>
          <w:p w14:paraId="61D798DB">
            <w:pPr>
              <w:widowControl/>
              <w:jc w:val="left"/>
              <w:rPr>
                <w:rFonts w:ascii="等线" w:hAnsi="等线" w:eastAsia="等线" w:cs="宋体"/>
                <w:color w:val="000000"/>
                <w:sz w:val="22"/>
              </w:rPr>
            </w:pPr>
          </w:p>
        </w:tc>
      </w:tr>
      <w:tr w14:paraId="2933B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1" w:type="pct"/>
            <w:gridSpan w:val="2"/>
            <w:shd w:val="clear" w:color="auto" w:fill="auto"/>
            <w:vAlign w:val="center"/>
          </w:tcPr>
          <w:p w14:paraId="5A3200AD">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损耗系数</w:t>
            </w:r>
          </w:p>
        </w:tc>
        <w:tc>
          <w:tcPr>
            <w:tcW w:w="202" w:type="pct"/>
            <w:shd w:val="clear" w:color="auto" w:fill="auto"/>
            <w:vAlign w:val="center"/>
          </w:tcPr>
          <w:p w14:paraId="169EF6EC">
            <w:pPr>
              <w:widowControl/>
              <w:jc w:val="center"/>
              <w:rPr>
                <w:rFonts w:ascii="等线" w:hAnsi="等线" w:eastAsia="等线" w:cs="宋体"/>
                <w:color w:val="000000"/>
                <w:sz w:val="16"/>
                <w:szCs w:val="16"/>
              </w:rPr>
            </w:pPr>
          </w:p>
        </w:tc>
        <w:tc>
          <w:tcPr>
            <w:tcW w:w="202" w:type="pct"/>
            <w:shd w:val="clear" w:color="auto" w:fill="auto"/>
            <w:vAlign w:val="center"/>
          </w:tcPr>
          <w:p w14:paraId="382F87F5">
            <w:pPr>
              <w:widowControl/>
              <w:jc w:val="center"/>
              <w:rPr>
                <w:rFonts w:ascii="等线" w:hAnsi="等线" w:eastAsia="等线" w:cs="宋体"/>
                <w:color w:val="000000"/>
                <w:sz w:val="16"/>
                <w:szCs w:val="16"/>
              </w:rPr>
            </w:pPr>
          </w:p>
        </w:tc>
        <w:tc>
          <w:tcPr>
            <w:tcW w:w="202" w:type="pct"/>
            <w:shd w:val="clear" w:color="auto" w:fill="auto"/>
            <w:vAlign w:val="center"/>
          </w:tcPr>
          <w:p w14:paraId="0A6733BA">
            <w:pPr>
              <w:widowControl/>
              <w:jc w:val="center"/>
              <w:rPr>
                <w:rFonts w:ascii="等线" w:hAnsi="等线" w:eastAsia="等线" w:cs="宋体"/>
                <w:color w:val="000000"/>
                <w:sz w:val="16"/>
                <w:szCs w:val="16"/>
              </w:rPr>
            </w:pPr>
          </w:p>
        </w:tc>
        <w:tc>
          <w:tcPr>
            <w:tcW w:w="202" w:type="pct"/>
            <w:shd w:val="clear" w:color="auto" w:fill="auto"/>
            <w:vAlign w:val="center"/>
          </w:tcPr>
          <w:p w14:paraId="1E2854D2">
            <w:pPr>
              <w:widowControl/>
              <w:jc w:val="center"/>
              <w:rPr>
                <w:rFonts w:ascii="等线" w:hAnsi="等线" w:eastAsia="等线" w:cs="宋体"/>
                <w:color w:val="000000"/>
                <w:sz w:val="16"/>
                <w:szCs w:val="16"/>
              </w:rPr>
            </w:pPr>
          </w:p>
        </w:tc>
        <w:tc>
          <w:tcPr>
            <w:tcW w:w="202" w:type="pct"/>
            <w:shd w:val="clear" w:color="auto" w:fill="auto"/>
            <w:vAlign w:val="center"/>
          </w:tcPr>
          <w:p w14:paraId="5FB0A4FA">
            <w:pPr>
              <w:widowControl/>
              <w:jc w:val="center"/>
              <w:rPr>
                <w:rFonts w:ascii="等线" w:hAnsi="等线" w:eastAsia="等线" w:cs="宋体"/>
                <w:color w:val="000000"/>
                <w:sz w:val="16"/>
                <w:szCs w:val="16"/>
              </w:rPr>
            </w:pPr>
          </w:p>
        </w:tc>
        <w:tc>
          <w:tcPr>
            <w:tcW w:w="202" w:type="pct"/>
            <w:shd w:val="clear" w:color="auto" w:fill="auto"/>
            <w:vAlign w:val="center"/>
          </w:tcPr>
          <w:p w14:paraId="5153CBAD">
            <w:pPr>
              <w:widowControl/>
              <w:jc w:val="center"/>
              <w:rPr>
                <w:rFonts w:ascii="等线" w:hAnsi="等线" w:eastAsia="等线" w:cs="宋体"/>
                <w:color w:val="000000"/>
                <w:sz w:val="16"/>
                <w:szCs w:val="16"/>
              </w:rPr>
            </w:pPr>
          </w:p>
        </w:tc>
        <w:tc>
          <w:tcPr>
            <w:tcW w:w="202" w:type="pct"/>
            <w:shd w:val="clear" w:color="auto" w:fill="auto"/>
            <w:vAlign w:val="center"/>
          </w:tcPr>
          <w:p w14:paraId="07251F79">
            <w:pPr>
              <w:widowControl/>
              <w:jc w:val="center"/>
              <w:rPr>
                <w:rFonts w:ascii="等线" w:hAnsi="等线" w:eastAsia="等线" w:cs="宋体"/>
                <w:color w:val="000000"/>
                <w:sz w:val="16"/>
                <w:szCs w:val="16"/>
              </w:rPr>
            </w:pPr>
          </w:p>
        </w:tc>
        <w:tc>
          <w:tcPr>
            <w:tcW w:w="322" w:type="pct"/>
            <w:shd w:val="clear" w:color="auto" w:fill="auto"/>
            <w:vAlign w:val="center"/>
          </w:tcPr>
          <w:p w14:paraId="043552AE">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320432D6">
            <w:pPr>
              <w:widowControl/>
              <w:jc w:val="center"/>
              <w:rPr>
                <w:rFonts w:ascii="Times New Roman" w:hAnsi="Times New Roman" w:eastAsia="宋体" w:cs="Times New Roman"/>
                <w:color w:val="000000"/>
                <w:sz w:val="16"/>
                <w:szCs w:val="16"/>
              </w:rPr>
            </w:pPr>
          </w:p>
        </w:tc>
        <w:tc>
          <w:tcPr>
            <w:tcW w:w="262" w:type="pct"/>
            <w:shd w:val="clear" w:color="auto" w:fill="auto"/>
            <w:vAlign w:val="center"/>
          </w:tcPr>
          <w:p w14:paraId="33BD1C96">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3EFBE7A4">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37D2EEF8">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E40CAB5">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8130AD3">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09AFE21">
            <w:pPr>
              <w:widowControl/>
              <w:jc w:val="center"/>
              <w:rPr>
                <w:rFonts w:ascii="等线" w:hAnsi="等线" w:eastAsia="等线" w:cs="宋体"/>
                <w:color w:val="000000"/>
                <w:sz w:val="16"/>
                <w:szCs w:val="16"/>
              </w:rPr>
            </w:pPr>
          </w:p>
        </w:tc>
        <w:tc>
          <w:tcPr>
            <w:tcW w:w="202" w:type="pct"/>
            <w:shd w:val="clear" w:color="auto" w:fill="auto"/>
            <w:vAlign w:val="center"/>
          </w:tcPr>
          <w:p w14:paraId="25EB4689">
            <w:pPr>
              <w:widowControl/>
              <w:jc w:val="center"/>
              <w:rPr>
                <w:rFonts w:ascii="等线" w:hAnsi="等线" w:eastAsia="等线" w:cs="宋体"/>
                <w:color w:val="000000"/>
                <w:sz w:val="16"/>
                <w:szCs w:val="16"/>
              </w:rPr>
            </w:pPr>
          </w:p>
        </w:tc>
        <w:tc>
          <w:tcPr>
            <w:tcW w:w="202" w:type="pct"/>
            <w:shd w:val="clear" w:color="auto" w:fill="auto"/>
            <w:vAlign w:val="center"/>
          </w:tcPr>
          <w:p w14:paraId="67F5C868">
            <w:pPr>
              <w:widowControl/>
              <w:jc w:val="center"/>
              <w:rPr>
                <w:rFonts w:ascii="等线" w:hAnsi="等线" w:eastAsia="等线" w:cs="宋体"/>
                <w:color w:val="000000"/>
                <w:sz w:val="16"/>
                <w:szCs w:val="16"/>
              </w:rPr>
            </w:pPr>
          </w:p>
        </w:tc>
        <w:tc>
          <w:tcPr>
            <w:tcW w:w="322" w:type="pct"/>
            <w:shd w:val="clear" w:color="auto" w:fill="auto"/>
            <w:noWrap/>
            <w:vAlign w:val="center"/>
          </w:tcPr>
          <w:p w14:paraId="6731C5E4">
            <w:pPr>
              <w:widowControl/>
              <w:jc w:val="left"/>
              <w:rPr>
                <w:rFonts w:ascii="等线" w:hAnsi="等线" w:eastAsia="等线" w:cs="宋体"/>
                <w:color w:val="000000"/>
                <w:sz w:val="22"/>
              </w:rPr>
            </w:pPr>
          </w:p>
        </w:tc>
      </w:tr>
      <w:tr w14:paraId="6A76B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1" w:type="pct"/>
            <w:gridSpan w:val="2"/>
            <w:shd w:val="clear" w:color="auto" w:fill="auto"/>
            <w:vAlign w:val="center"/>
          </w:tcPr>
          <w:p w14:paraId="41F19E02">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设计需要量</w:t>
            </w:r>
          </w:p>
        </w:tc>
        <w:tc>
          <w:tcPr>
            <w:tcW w:w="202" w:type="pct"/>
            <w:shd w:val="clear" w:color="auto" w:fill="auto"/>
            <w:vAlign w:val="center"/>
          </w:tcPr>
          <w:p w14:paraId="62D7ECA3">
            <w:pPr>
              <w:widowControl/>
              <w:jc w:val="center"/>
              <w:rPr>
                <w:rFonts w:ascii="等线" w:hAnsi="等线" w:eastAsia="等线" w:cs="宋体"/>
                <w:color w:val="000000"/>
                <w:sz w:val="16"/>
                <w:szCs w:val="16"/>
              </w:rPr>
            </w:pPr>
          </w:p>
        </w:tc>
        <w:tc>
          <w:tcPr>
            <w:tcW w:w="202" w:type="pct"/>
            <w:shd w:val="clear" w:color="auto" w:fill="auto"/>
            <w:vAlign w:val="center"/>
          </w:tcPr>
          <w:p w14:paraId="2A2FD932">
            <w:pPr>
              <w:widowControl/>
              <w:jc w:val="center"/>
              <w:rPr>
                <w:rFonts w:ascii="等线" w:hAnsi="等线" w:eastAsia="等线" w:cs="宋体"/>
                <w:color w:val="000000"/>
                <w:sz w:val="16"/>
                <w:szCs w:val="16"/>
              </w:rPr>
            </w:pPr>
          </w:p>
        </w:tc>
        <w:tc>
          <w:tcPr>
            <w:tcW w:w="202" w:type="pct"/>
            <w:shd w:val="clear" w:color="auto" w:fill="auto"/>
            <w:vAlign w:val="center"/>
          </w:tcPr>
          <w:p w14:paraId="0A03AE6F">
            <w:pPr>
              <w:widowControl/>
              <w:jc w:val="center"/>
              <w:rPr>
                <w:rFonts w:ascii="等线" w:hAnsi="等线" w:eastAsia="等线" w:cs="宋体"/>
                <w:color w:val="000000"/>
                <w:sz w:val="16"/>
                <w:szCs w:val="16"/>
              </w:rPr>
            </w:pPr>
          </w:p>
        </w:tc>
        <w:tc>
          <w:tcPr>
            <w:tcW w:w="202" w:type="pct"/>
            <w:shd w:val="clear" w:color="auto" w:fill="auto"/>
            <w:vAlign w:val="center"/>
          </w:tcPr>
          <w:p w14:paraId="2CFAC705">
            <w:pPr>
              <w:widowControl/>
              <w:jc w:val="center"/>
              <w:rPr>
                <w:rFonts w:ascii="等线" w:hAnsi="等线" w:eastAsia="等线" w:cs="宋体"/>
                <w:color w:val="000000"/>
                <w:sz w:val="16"/>
                <w:szCs w:val="16"/>
              </w:rPr>
            </w:pPr>
          </w:p>
        </w:tc>
        <w:tc>
          <w:tcPr>
            <w:tcW w:w="202" w:type="pct"/>
            <w:shd w:val="clear" w:color="auto" w:fill="auto"/>
            <w:vAlign w:val="center"/>
          </w:tcPr>
          <w:p w14:paraId="71EDC45D">
            <w:pPr>
              <w:widowControl/>
              <w:jc w:val="center"/>
              <w:rPr>
                <w:rFonts w:ascii="等线" w:hAnsi="等线" w:eastAsia="等线" w:cs="宋体"/>
                <w:color w:val="000000"/>
                <w:sz w:val="16"/>
                <w:szCs w:val="16"/>
              </w:rPr>
            </w:pPr>
          </w:p>
        </w:tc>
        <w:tc>
          <w:tcPr>
            <w:tcW w:w="202" w:type="pct"/>
            <w:shd w:val="clear" w:color="auto" w:fill="auto"/>
            <w:vAlign w:val="center"/>
          </w:tcPr>
          <w:p w14:paraId="7ED859DA">
            <w:pPr>
              <w:widowControl/>
              <w:jc w:val="center"/>
              <w:rPr>
                <w:rFonts w:ascii="等线" w:hAnsi="等线" w:eastAsia="等线" w:cs="宋体"/>
                <w:color w:val="000000"/>
                <w:sz w:val="16"/>
                <w:szCs w:val="16"/>
              </w:rPr>
            </w:pPr>
          </w:p>
        </w:tc>
        <w:tc>
          <w:tcPr>
            <w:tcW w:w="202" w:type="pct"/>
            <w:shd w:val="clear" w:color="auto" w:fill="auto"/>
            <w:vAlign w:val="center"/>
          </w:tcPr>
          <w:p w14:paraId="3DBEF8E4">
            <w:pPr>
              <w:widowControl/>
              <w:jc w:val="center"/>
              <w:rPr>
                <w:rFonts w:ascii="等线" w:hAnsi="等线" w:eastAsia="等线" w:cs="宋体"/>
                <w:color w:val="000000"/>
                <w:sz w:val="16"/>
                <w:szCs w:val="16"/>
              </w:rPr>
            </w:pPr>
          </w:p>
        </w:tc>
        <w:tc>
          <w:tcPr>
            <w:tcW w:w="322" w:type="pct"/>
            <w:shd w:val="clear" w:color="auto" w:fill="auto"/>
            <w:vAlign w:val="center"/>
          </w:tcPr>
          <w:p w14:paraId="0E4D8A2F">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384427CA">
            <w:pPr>
              <w:widowControl/>
              <w:jc w:val="center"/>
              <w:rPr>
                <w:rFonts w:ascii="Times New Roman" w:hAnsi="Times New Roman" w:eastAsia="宋体" w:cs="Times New Roman"/>
                <w:color w:val="000000"/>
                <w:sz w:val="16"/>
                <w:szCs w:val="16"/>
              </w:rPr>
            </w:pPr>
          </w:p>
        </w:tc>
        <w:tc>
          <w:tcPr>
            <w:tcW w:w="262" w:type="pct"/>
            <w:shd w:val="clear" w:color="auto" w:fill="auto"/>
            <w:vAlign w:val="center"/>
          </w:tcPr>
          <w:p w14:paraId="6FF8C1A4">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1E4CE4F6">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5AD269CD">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4B7CAF53">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7CC35D3F">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22F313EC">
            <w:pPr>
              <w:widowControl/>
              <w:jc w:val="center"/>
              <w:rPr>
                <w:rFonts w:ascii="等线" w:hAnsi="等线" w:eastAsia="等线" w:cs="宋体"/>
                <w:color w:val="000000"/>
                <w:sz w:val="16"/>
                <w:szCs w:val="16"/>
              </w:rPr>
            </w:pPr>
          </w:p>
        </w:tc>
        <w:tc>
          <w:tcPr>
            <w:tcW w:w="202" w:type="pct"/>
            <w:shd w:val="clear" w:color="auto" w:fill="auto"/>
            <w:vAlign w:val="center"/>
          </w:tcPr>
          <w:p w14:paraId="3A12C12C">
            <w:pPr>
              <w:widowControl/>
              <w:jc w:val="center"/>
              <w:rPr>
                <w:rFonts w:ascii="等线" w:hAnsi="等线" w:eastAsia="等线" w:cs="宋体"/>
                <w:color w:val="000000"/>
                <w:sz w:val="16"/>
                <w:szCs w:val="16"/>
              </w:rPr>
            </w:pPr>
          </w:p>
        </w:tc>
        <w:tc>
          <w:tcPr>
            <w:tcW w:w="202" w:type="pct"/>
            <w:shd w:val="clear" w:color="auto" w:fill="auto"/>
            <w:vAlign w:val="center"/>
          </w:tcPr>
          <w:p w14:paraId="5A7E6185">
            <w:pPr>
              <w:widowControl/>
              <w:jc w:val="center"/>
              <w:rPr>
                <w:rFonts w:ascii="等线" w:hAnsi="等线" w:eastAsia="等线" w:cs="宋体"/>
                <w:color w:val="000000"/>
                <w:sz w:val="16"/>
                <w:szCs w:val="16"/>
              </w:rPr>
            </w:pPr>
          </w:p>
        </w:tc>
        <w:tc>
          <w:tcPr>
            <w:tcW w:w="322" w:type="pct"/>
            <w:shd w:val="clear" w:color="auto" w:fill="auto"/>
            <w:noWrap/>
            <w:vAlign w:val="center"/>
          </w:tcPr>
          <w:p w14:paraId="202AB89A">
            <w:pPr>
              <w:widowControl/>
              <w:jc w:val="left"/>
              <w:rPr>
                <w:rFonts w:ascii="等线" w:hAnsi="等线" w:eastAsia="等线" w:cs="宋体"/>
                <w:color w:val="000000"/>
                <w:sz w:val="22"/>
              </w:rPr>
            </w:pPr>
          </w:p>
        </w:tc>
      </w:tr>
      <w:tr w14:paraId="023E6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25" w:type="pct"/>
            <w:vMerge w:val="restart"/>
            <w:vAlign w:val="center"/>
          </w:tcPr>
          <w:p w14:paraId="4FE21371">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水库工程</w:t>
            </w:r>
          </w:p>
        </w:tc>
        <w:tc>
          <w:tcPr>
            <w:tcW w:w="386" w:type="pct"/>
            <w:shd w:val="clear" w:color="auto" w:fill="auto"/>
            <w:vAlign w:val="center"/>
          </w:tcPr>
          <w:p w14:paraId="5BEB2476">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库岸防护</w:t>
            </w:r>
          </w:p>
        </w:tc>
        <w:tc>
          <w:tcPr>
            <w:tcW w:w="202" w:type="pct"/>
            <w:shd w:val="clear" w:color="auto" w:fill="auto"/>
            <w:vAlign w:val="center"/>
          </w:tcPr>
          <w:p w14:paraId="5120EC6C">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24D0AD08">
            <w:pPr>
              <w:widowControl/>
              <w:jc w:val="center"/>
              <w:rPr>
                <w:rFonts w:ascii="等线" w:hAnsi="等线" w:eastAsia="等线" w:cs="宋体"/>
                <w:color w:val="000000"/>
                <w:sz w:val="16"/>
                <w:szCs w:val="16"/>
              </w:rPr>
            </w:pPr>
          </w:p>
        </w:tc>
        <w:tc>
          <w:tcPr>
            <w:tcW w:w="202" w:type="pct"/>
            <w:shd w:val="clear" w:color="auto" w:fill="auto"/>
            <w:vAlign w:val="center"/>
          </w:tcPr>
          <w:p w14:paraId="48040A79">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2D0FC2F4">
            <w:pPr>
              <w:widowControl/>
              <w:jc w:val="center"/>
              <w:rPr>
                <w:rFonts w:ascii="等线" w:hAnsi="等线" w:eastAsia="等线" w:cs="宋体"/>
                <w:color w:val="000000"/>
                <w:sz w:val="16"/>
                <w:szCs w:val="16"/>
              </w:rPr>
            </w:pPr>
          </w:p>
        </w:tc>
        <w:tc>
          <w:tcPr>
            <w:tcW w:w="202" w:type="pct"/>
            <w:shd w:val="clear" w:color="auto" w:fill="auto"/>
            <w:vAlign w:val="center"/>
          </w:tcPr>
          <w:p w14:paraId="79EE7DE8">
            <w:pPr>
              <w:widowControl/>
              <w:jc w:val="center"/>
              <w:rPr>
                <w:rFonts w:ascii="等线" w:hAnsi="等线" w:eastAsia="等线" w:cs="宋体"/>
                <w:color w:val="000000"/>
                <w:sz w:val="16"/>
                <w:szCs w:val="16"/>
              </w:rPr>
            </w:pPr>
          </w:p>
        </w:tc>
        <w:tc>
          <w:tcPr>
            <w:tcW w:w="202" w:type="pct"/>
            <w:shd w:val="clear" w:color="auto" w:fill="auto"/>
            <w:vAlign w:val="center"/>
          </w:tcPr>
          <w:p w14:paraId="2869EEA7">
            <w:pPr>
              <w:widowControl/>
              <w:jc w:val="center"/>
              <w:rPr>
                <w:rFonts w:ascii="等线" w:hAnsi="等线" w:eastAsia="等线" w:cs="宋体"/>
                <w:color w:val="000000"/>
                <w:sz w:val="16"/>
                <w:szCs w:val="16"/>
              </w:rPr>
            </w:pPr>
          </w:p>
        </w:tc>
        <w:tc>
          <w:tcPr>
            <w:tcW w:w="202" w:type="pct"/>
            <w:shd w:val="clear" w:color="auto" w:fill="auto"/>
            <w:vAlign w:val="center"/>
          </w:tcPr>
          <w:p w14:paraId="75DD4C9E">
            <w:pPr>
              <w:widowControl/>
              <w:jc w:val="center"/>
              <w:rPr>
                <w:rFonts w:ascii="等线" w:hAnsi="等线" w:eastAsia="等线" w:cs="宋体"/>
                <w:color w:val="000000"/>
                <w:sz w:val="16"/>
                <w:szCs w:val="16"/>
              </w:rPr>
            </w:pPr>
          </w:p>
        </w:tc>
        <w:tc>
          <w:tcPr>
            <w:tcW w:w="322" w:type="pct"/>
            <w:shd w:val="clear" w:color="auto" w:fill="auto"/>
            <w:vAlign w:val="center"/>
          </w:tcPr>
          <w:p w14:paraId="7F079F0B">
            <w:pPr>
              <w:widowControl/>
              <w:jc w:val="center"/>
              <w:rPr>
                <w:rFonts w:ascii="等线" w:hAnsi="等线" w:eastAsia="等线" w:cs="宋体"/>
                <w:color w:val="000000"/>
                <w:sz w:val="16"/>
                <w:szCs w:val="16"/>
              </w:rPr>
            </w:pPr>
          </w:p>
        </w:tc>
        <w:tc>
          <w:tcPr>
            <w:tcW w:w="322" w:type="pct"/>
            <w:shd w:val="clear" w:color="auto" w:fill="auto"/>
            <w:vAlign w:val="center"/>
          </w:tcPr>
          <w:p w14:paraId="4CF3CCA9">
            <w:pPr>
              <w:widowControl/>
              <w:jc w:val="center"/>
              <w:rPr>
                <w:rFonts w:ascii="等线" w:hAnsi="等线" w:eastAsia="等线" w:cs="宋体"/>
                <w:color w:val="000000"/>
                <w:sz w:val="16"/>
                <w:szCs w:val="16"/>
              </w:rPr>
            </w:pPr>
          </w:p>
        </w:tc>
        <w:tc>
          <w:tcPr>
            <w:tcW w:w="262" w:type="pct"/>
            <w:shd w:val="clear" w:color="auto" w:fill="auto"/>
            <w:vAlign w:val="center"/>
          </w:tcPr>
          <w:p w14:paraId="57AC9C1E">
            <w:pPr>
              <w:widowControl/>
              <w:jc w:val="center"/>
              <w:rPr>
                <w:rFonts w:ascii="等线" w:hAnsi="等线" w:eastAsia="等线" w:cs="宋体"/>
                <w:color w:val="000000"/>
                <w:sz w:val="16"/>
                <w:szCs w:val="16"/>
              </w:rPr>
            </w:pPr>
          </w:p>
        </w:tc>
        <w:tc>
          <w:tcPr>
            <w:tcW w:w="322" w:type="pct"/>
            <w:shd w:val="clear" w:color="auto" w:fill="auto"/>
            <w:vAlign w:val="center"/>
          </w:tcPr>
          <w:p w14:paraId="687C6F1D">
            <w:pPr>
              <w:widowControl/>
              <w:jc w:val="center"/>
              <w:rPr>
                <w:rFonts w:ascii="等线" w:hAnsi="等线" w:eastAsia="等线" w:cs="宋体"/>
                <w:color w:val="000000"/>
                <w:sz w:val="16"/>
                <w:szCs w:val="16"/>
              </w:rPr>
            </w:pPr>
          </w:p>
        </w:tc>
        <w:tc>
          <w:tcPr>
            <w:tcW w:w="322" w:type="pct"/>
            <w:shd w:val="clear" w:color="auto" w:fill="auto"/>
            <w:vAlign w:val="center"/>
          </w:tcPr>
          <w:p w14:paraId="0FD7F2CC">
            <w:pPr>
              <w:widowControl/>
              <w:jc w:val="center"/>
              <w:rPr>
                <w:rFonts w:ascii="等线" w:hAnsi="等线" w:eastAsia="等线" w:cs="宋体"/>
                <w:color w:val="000000"/>
                <w:sz w:val="16"/>
                <w:szCs w:val="16"/>
              </w:rPr>
            </w:pPr>
          </w:p>
        </w:tc>
        <w:tc>
          <w:tcPr>
            <w:tcW w:w="202" w:type="pct"/>
            <w:shd w:val="clear" w:color="auto" w:fill="auto"/>
            <w:vAlign w:val="center"/>
          </w:tcPr>
          <w:p w14:paraId="2B767CC7">
            <w:pPr>
              <w:widowControl/>
              <w:jc w:val="center"/>
              <w:rPr>
                <w:rFonts w:ascii="等线" w:hAnsi="等线" w:eastAsia="等线" w:cs="宋体"/>
                <w:color w:val="000000"/>
                <w:sz w:val="16"/>
                <w:szCs w:val="16"/>
              </w:rPr>
            </w:pPr>
          </w:p>
        </w:tc>
        <w:tc>
          <w:tcPr>
            <w:tcW w:w="202" w:type="pct"/>
            <w:shd w:val="clear" w:color="auto" w:fill="auto"/>
            <w:vAlign w:val="center"/>
          </w:tcPr>
          <w:p w14:paraId="10B4AAE8">
            <w:pPr>
              <w:widowControl/>
              <w:jc w:val="center"/>
              <w:rPr>
                <w:rFonts w:ascii="等线" w:hAnsi="等线" w:eastAsia="等线" w:cs="宋体"/>
                <w:color w:val="000000"/>
                <w:sz w:val="16"/>
                <w:szCs w:val="16"/>
              </w:rPr>
            </w:pPr>
          </w:p>
        </w:tc>
        <w:tc>
          <w:tcPr>
            <w:tcW w:w="202" w:type="pct"/>
            <w:shd w:val="clear" w:color="auto" w:fill="auto"/>
            <w:vAlign w:val="center"/>
          </w:tcPr>
          <w:p w14:paraId="0E2FFB4D">
            <w:pPr>
              <w:widowControl/>
              <w:jc w:val="center"/>
              <w:rPr>
                <w:rFonts w:ascii="等线" w:hAnsi="等线" w:eastAsia="等线" w:cs="宋体"/>
                <w:color w:val="000000"/>
                <w:sz w:val="16"/>
                <w:szCs w:val="16"/>
              </w:rPr>
            </w:pPr>
          </w:p>
        </w:tc>
        <w:tc>
          <w:tcPr>
            <w:tcW w:w="202" w:type="pct"/>
            <w:shd w:val="clear" w:color="auto" w:fill="auto"/>
            <w:vAlign w:val="center"/>
          </w:tcPr>
          <w:p w14:paraId="3354CB77">
            <w:pPr>
              <w:widowControl/>
              <w:jc w:val="center"/>
              <w:rPr>
                <w:rFonts w:ascii="等线" w:hAnsi="等线" w:eastAsia="等线" w:cs="宋体"/>
                <w:color w:val="000000"/>
                <w:sz w:val="16"/>
                <w:szCs w:val="16"/>
              </w:rPr>
            </w:pPr>
          </w:p>
        </w:tc>
        <w:tc>
          <w:tcPr>
            <w:tcW w:w="202" w:type="pct"/>
            <w:shd w:val="clear" w:color="auto" w:fill="auto"/>
            <w:vAlign w:val="center"/>
          </w:tcPr>
          <w:p w14:paraId="704C23BD">
            <w:pPr>
              <w:widowControl/>
              <w:jc w:val="center"/>
              <w:rPr>
                <w:rFonts w:ascii="等线" w:hAnsi="等线" w:eastAsia="等线" w:cs="宋体"/>
                <w:color w:val="000000"/>
                <w:sz w:val="16"/>
                <w:szCs w:val="16"/>
              </w:rPr>
            </w:pPr>
          </w:p>
        </w:tc>
        <w:tc>
          <w:tcPr>
            <w:tcW w:w="322" w:type="pct"/>
            <w:shd w:val="clear" w:color="auto" w:fill="auto"/>
            <w:noWrap/>
            <w:vAlign w:val="center"/>
          </w:tcPr>
          <w:p w14:paraId="10F8EB36">
            <w:pPr>
              <w:widowControl/>
              <w:jc w:val="center"/>
              <w:rPr>
                <w:rFonts w:ascii="等线" w:hAnsi="等线" w:eastAsia="等线" w:cs="宋体"/>
                <w:color w:val="000000"/>
                <w:sz w:val="16"/>
                <w:szCs w:val="16"/>
              </w:rPr>
            </w:pPr>
          </w:p>
        </w:tc>
      </w:tr>
      <w:tr w14:paraId="71683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25" w:type="pct"/>
            <w:vMerge w:val="continue"/>
            <w:vAlign w:val="center"/>
          </w:tcPr>
          <w:p w14:paraId="3FE0B598">
            <w:pPr>
              <w:widowControl/>
              <w:jc w:val="left"/>
              <w:rPr>
                <w:rFonts w:ascii="宋体" w:hAnsi="宋体" w:eastAsia="宋体" w:cs="宋体"/>
                <w:color w:val="000000"/>
                <w:sz w:val="16"/>
                <w:szCs w:val="16"/>
              </w:rPr>
            </w:pPr>
          </w:p>
        </w:tc>
        <w:tc>
          <w:tcPr>
            <w:tcW w:w="386" w:type="pct"/>
            <w:shd w:val="clear" w:color="auto" w:fill="auto"/>
            <w:vAlign w:val="center"/>
          </w:tcPr>
          <w:p w14:paraId="5470646B">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下水库大坝</w:t>
            </w:r>
          </w:p>
        </w:tc>
        <w:tc>
          <w:tcPr>
            <w:tcW w:w="202" w:type="pct"/>
            <w:shd w:val="clear" w:color="auto" w:fill="auto"/>
            <w:vAlign w:val="center"/>
          </w:tcPr>
          <w:p w14:paraId="58AA8710">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17FE1D71">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32EDD8F0">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40C979D1">
            <w:pPr>
              <w:widowControl/>
              <w:jc w:val="center"/>
              <w:rPr>
                <w:rFonts w:ascii="等线" w:hAnsi="等线" w:eastAsia="等线" w:cs="宋体"/>
                <w:color w:val="000000"/>
                <w:sz w:val="16"/>
                <w:szCs w:val="16"/>
              </w:rPr>
            </w:pPr>
          </w:p>
        </w:tc>
        <w:tc>
          <w:tcPr>
            <w:tcW w:w="202" w:type="pct"/>
            <w:shd w:val="clear" w:color="auto" w:fill="auto"/>
            <w:vAlign w:val="center"/>
          </w:tcPr>
          <w:p w14:paraId="4DCE2EE4">
            <w:pPr>
              <w:widowControl/>
              <w:jc w:val="center"/>
              <w:rPr>
                <w:rFonts w:ascii="等线" w:hAnsi="等线" w:eastAsia="等线" w:cs="宋体"/>
                <w:color w:val="000000"/>
                <w:sz w:val="16"/>
                <w:szCs w:val="16"/>
              </w:rPr>
            </w:pPr>
          </w:p>
        </w:tc>
        <w:tc>
          <w:tcPr>
            <w:tcW w:w="202" w:type="pct"/>
            <w:shd w:val="clear" w:color="auto" w:fill="auto"/>
            <w:vAlign w:val="center"/>
          </w:tcPr>
          <w:p w14:paraId="71E7C8A8">
            <w:pPr>
              <w:widowControl/>
              <w:jc w:val="center"/>
              <w:rPr>
                <w:rFonts w:ascii="等线" w:hAnsi="等线" w:eastAsia="等线" w:cs="宋体"/>
                <w:color w:val="000000"/>
                <w:sz w:val="16"/>
                <w:szCs w:val="16"/>
              </w:rPr>
            </w:pPr>
          </w:p>
        </w:tc>
        <w:tc>
          <w:tcPr>
            <w:tcW w:w="202" w:type="pct"/>
            <w:shd w:val="clear" w:color="auto" w:fill="auto"/>
            <w:vAlign w:val="center"/>
          </w:tcPr>
          <w:p w14:paraId="5AD1DBC2">
            <w:pPr>
              <w:widowControl/>
              <w:jc w:val="center"/>
              <w:rPr>
                <w:rFonts w:ascii="等线" w:hAnsi="等线" w:eastAsia="等线" w:cs="宋体"/>
                <w:color w:val="000000"/>
                <w:sz w:val="16"/>
                <w:szCs w:val="16"/>
              </w:rPr>
            </w:pPr>
          </w:p>
        </w:tc>
        <w:tc>
          <w:tcPr>
            <w:tcW w:w="322" w:type="pct"/>
            <w:shd w:val="clear" w:color="auto" w:fill="auto"/>
            <w:vAlign w:val="center"/>
          </w:tcPr>
          <w:p w14:paraId="4942AF9A">
            <w:pPr>
              <w:widowControl/>
              <w:jc w:val="center"/>
              <w:rPr>
                <w:rFonts w:ascii="等线" w:hAnsi="等线" w:eastAsia="等线" w:cs="宋体"/>
                <w:color w:val="000000"/>
                <w:sz w:val="16"/>
                <w:szCs w:val="16"/>
              </w:rPr>
            </w:pPr>
          </w:p>
        </w:tc>
        <w:tc>
          <w:tcPr>
            <w:tcW w:w="322" w:type="pct"/>
            <w:shd w:val="clear" w:color="auto" w:fill="auto"/>
            <w:vAlign w:val="center"/>
          </w:tcPr>
          <w:p w14:paraId="6FF8CDF2">
            <w:pPr>
              <w:widowControl/>
              <w:jc w:val="center"/>
              <w:rPr>
                <w:rFonts w:ascii="等线" w:hAnsi="等线" w:eastAsia="等线" w:cs="宋体"/>
                <w:color w:val="000000"/>
                <w:sz w:val="16"/>
                <w:szCs w:val="16"/>
              </w:rPr>
            </w:pPr>
          </w:p>
        </w:tc>
        <w:tc>
          <w:tcPr>
            <w:tcW w:w="262" w:type="pct"/>
            <w:shd w:val="clear" w:color="auto" w:fill="auto"/>
            <w:vAlign w:val="center"/>
          </w:tcPr>
          <w:p w14:paraId="6D09F992">
            <w:pPr>
              <w:widowControl/>
              <w:jc w:val="center"/>
              <w:rPr>
                <w:rFonts w:ascii="等线" w:hAnsi="等线" w:eastAsia="等线" w:cs="宋体"/>
                <w:color w:val="000000"/>
                <w:sz w:val="16"/>
                <w:szCs w:val="16"/>
              </w:rPr>
            </w:pPr>
          </w:p>
        </w:tc>
        <w:tc>
          <w:tcPr>
            <w:tcW w:w="322" w:type="pct"/>
            <w:shd w:val="clear" w:color="auto" w:fill="auto"/>
            <w:vAlign w:val="center"/>
          </w:tcPr>
          <w:p w14:paraId="215BE3B6">
            <w:pPr>
              <w:widowControl/>
              <w:jc w:val="center"/>
              <w:rPr>
                <w:rFonts w:ascii="等线" w:hAnsi="等线" w:eastAsia="等线" w:cs="宋体"/>
                <w:color w:val="000000"/>
                <w:sz w:val="16"/>
                <w:szCs w:val="16"/>
              </w:rPr>
            </w:pPr>
          </w:p>
        </w:tc>
        <w:tc>
          <w:tcPr>
            <w:tcW w:w="322" w:type="pct"/>
            <w:shd w:val="clear" w:color="auto" w:fill="auto"/>
            <w:vAlign w:val="center"/>
          </w:tcPr>
          <w:p w14:paraId="744BF17C">
            <w:pPr>
              <w:widowControl/>
              <w:jc w:val="center"/>
              <w:rPr>
                <w:rFonts w:ascii="等线" w:hAnsi="等线" w:eastAsia="等线" w:cs="宋体"/>
                <w:color w:val="000000"/>
                <w:sz w:val="16"/>
                <w:szCs w:val="16"/>
              </w:rPr>
            </w:pPr>
          </w:p>
        </w:tc>
        <w:tc>
          <w:tcPr>
            <w:tcW w:w="202" w:type="pct"/>
            <w:shd w:val="clear" w:color="auto" w:fill="auto"/>
            <w:vAlign w:val="center"/>
          </w:tcPr>
          <w:p w14:paraId="27322E8A">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3589A6B6">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1EAEDCD0">
            <w:pPr>
              <w:widowControl/>
              <w:jc w:val="center"/>
              <w:rPr>
                <w:rFonts w:ascii="等线" w:hAnsi="等线" w:eastAsia="等线" w:cs="宋体"/>
                <w:color w:val="000000"/>
                <w:sz w:val="16"/>
                <w:szCs w:val="16"/>
              </w:rPr>
            </w:pPr>
          </w:p>
        </w:tc>
        <w:tc>
          <w:tcPr>
            <w:tcW w:w="202" w:type="pct"/>
            <w:shd w:val="clear" w:color="auto" w:fill="auto"/>
            <w:vAlign w:val="center"/>
          </w:tcPr>
          <w:p w14:paraId="649B1D7A">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73F2D47F">
            <w:pPr>
              <w:widowControl/>
              <w:jc w:val="center"/>
              <w:rPr>
                <w:rFonts w:ascii="等线" w:hAnsi="等线" w:eastAsia="等线" w:cs="宋体"/>
                <w:color w:val="000000"/>
                <w:sz w:val="16"/>
                <w:szCs w:val="16"/>
              </w:rPr>
            </w:pPr>
          </w:p>
        </w:tc>
        <w:tc>
          <w:tcPr>
            <w:tcW w:w="322" w:type="pct"/>
            <w:shd w:val="clear" w:color="auto" w:fill="auto"/>
            <w:noWrap/>
            <w:vAlign w:val="center"/>
          </w:tcPr>
          <w:p w14:paraId="504E21CB">
            <w:pPr>
              <w:widowControl/>
              <w:jc w:val="center"/>
              <w:rPr>
                <w:rFonts w:ascii="等线" w:hAnsi="等线" w:eastAsia="等线" w:cs="宋体"/>
                <w:color w:val="000000"/>
                <w:sz w:val="16"/>
                <w:szCs w:val="16"/>
              </w:rPr>
            </w:pPr>
          </w:p>
        </w:tc>
      </w:tr>
      <w:tr w14:paraId="2783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25" w:type="pct"/>
            <w:vMerge w:val="continue"/>
            <w:vAlign w:val="center"/>
          </w:tcPr>
          <w:p w14:paraId="7D9F799E">
            <w:pPr>
              <w:widowControl/>
              <w:jc w:val="left"/>
              <w:rPr>
                <w:rFonts w:ascii="宋体" w:hAnsi="宋体" w:eastAsia="宋体" w:cs="宋体"/>
                <w:color w:val="000000"/>
                <w:sz w:val="16"/>
                <w:szCs w:val="16"/>
              </w:rPr>
            </w:pPr>
          </w:p>
        </w:tc>
        <w:tc>
          <w:tcPr>
            <w:tcW w:w="386" w:type="pct"/>
            <w:shd w:val="clear" w:color="auto" w:fill="auto"/>
            <w:vAlign w:val="center"/>
          </w:tcPr>
          <w:p w14:paraId="3E0030D9">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出</w:t>
            </w:r>
            <w:r>
              <w:rPr>
                <w:rFonts w:hint="eastAsia" w:ascii="Times New Roman" w:hAnsi="Times New Roman" w:eastAsia="宋体" w:cs="Times New Roman"/>
                <w:color w:val="000000"/>
                <w:sz w:val="16"/>
                <w:szCs w:val="16"/>
              </w:rPr>
              <w:t>/</w:t>
            </w:r>
            <w:r>
              <w:rPr>
                <w:rFonts w:hint="eastAsia" w:ascii="宋体" w:hAnsi="宋体" w:eastAsia="宋体" w:cs="宋体"/>
                <w:color w:val="000000"/>
                <w:sz w:val="16"/>
                <w:szCs w:val="16"/>
              </w:rPr>
              <w:t>进水口</w:t>
            </w:r>
          </w:p>
        </w:tc>
        <w:tc>
          <w:tcPr>
            <w:tcW w:w="202" w:type="pct"/>
            <w:shd w:val="clear" w:color="auto" w:fill="auto"/>
            <w:vAlign w:val="center"/>
          </w:tcPr>
          <w:p w14:paraId="13CEB259">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14E509F1">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6B5B8969">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69BCF5F7">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389E6E2D">
            <w:pPr>
              <w:widowControl/>
              <w:jc w:val="center"/>
              <w:rPr>
                <w:rFonts w:ascii="等线" w:hAnsi="等线" w:eastAsia="等线" w:cs="宋体"/>
                <w:color w:val="000000"/>
                <w:sz w:val="16"/>
                <w:szCs w:val="16"/>
              </w:rPr>
            </w:pPr>
          </w:p>
        </w:tc>
        <w:tc>
          <w:tcPr>
            <w:tcW w:w="202" w:type="pct"/>
            <w:shd w:val="clear" w:color="auto" w:fill="auto"/>
            <w:vAlign w:val="center"/>
          </w:tcPr>
          <w:p w14:paraId="219C8ACB">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2B7DE08D">
            <w:pPr>
              <w:widowControl/>
              <w:jc w:val="center"/>
              <w:rPr>
                <w:rFonts w:ascii="等线" w:hAnsi="等线" w:eastAsia="等线" w:cs="宋体"/>
                <w:color w:val="000000"/>
                <w:sz w:val="16"/>
                <w:szCs w:val="16"/>
              </w:rPr>
            </w:pPr>
          </w:p>
        </w:tc>
        <w:tc>
          <w:tcPr>
            <w:tcW w:w="322" w:type="pct"/>
            <w:shd w:val="clear" w:color="auto" w:fill="auto"/>
            <w:vAlign w:val="center"/>
          </w:tcPr>
          <w:p w14:paraId="2E5D1D5C">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656133B8">
            <w:pPr>
              <w:widowControl/>
              <w:jc w:val="center"/>
              <w:rPr>
                <w:rFonts w:ascii="Times New Roman" w:hAnsi="Times New Roman" w:eastAsia="宋体" w:cs="Times New Roman"/>
                <w:color w:val="000000"/>
                <w:sz w:val="16"/>
                <w:szCs w:val="16"/>
              </w:rPr>
            </w:pPr>
          </w:p>
        </w:tc>
        <w:tc>
          <w:tcPr>
            <w:tcW w:w="262" w:type="pct"/>
            <w:shd w:val="clear" w:color="auto" w:fill="auto"/>
            <w:vAlign w:val="center"/>
          </w:tcPr>
          <w:p w14:paraId="5B6E2A06">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4A9C4D33">
            <w:pPr>
              <w:widowControl/>
              <w:jc w:val="center"/>
              <w:rPr>
                <w:rFonts w:ascii="等线" w:hAnsi="等线" w:eastAsia="等线" w:cs="宋体"/>
                <w:color w:val="000000"/>
                <w:sz w:val="16"/>
                <w:szCs w:val="16"/>
              </w:rPr>
            </w:pPr>
          </w:p>
        </w:tc>
        <w:tc>
          <w:tcPr>
            <w:tcW w:w="322" w:type="pct"/>
            <w:shd w:val="clear" w:color="auto" w:fill="auto"/>
            <w:vAlign w:val="center"/>
          </w:tcPr>
          <w:p w14:paraId="05EC5E86">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48CA9A70">
            <w:pPr>
              <w:widowControl/>
              <w:jc w:val="center"/>
              <w:rPr>
                <w:rFonts w:ascii="等线" w:hAnsi="等线" w:eastAsia="等线" w:cs="宋体"/>
                <w:color w:val="000000"/>
                <w:sz w:val="16"/>
                <w:szCs w:val="16"/>
              </w:rPr>
            </w:pPr>
          </w:p>
        </w:tc>
        <w:tc>
          <w:tcPr>
            <w:tcW w:w="202" w:type="pct"/>
            <w:shd w:val="clear" w:color="auto" w:fill="auto"/>
            <w:vAlign w:val="center"/>
          </w:tcPr>
          <w:p w14:paraId="0F246677">
            <w:pPr>
              <w:widowControl/>
              <w:jc w:val="center"/>
              <w:rPr>
                <w:rFonts w:ascii="等线" w:hAnsi="等线" w:eastAsia="等线" w:cs="宋体"/>
                <w:color w:val="000000"/>
                <w:sz w:val="16"/>
                <w:szCs w:val="16"/>
              </w:rPr>
            </w:pPr>
          </w:p>
        </w:tc>
        <w:tc>
          <w:tcPr>
            <w:tcW w:w="202" w:type="pct"/>
            <w:shd w:val="clear" w:color="auto" w:fill="auto"/>
            <w:vAlign w:val="center"/>
          </w:tcPr>
          <w:p w14:paraId="24892245">
            <w:pPr>
              <w:widowControl/>
              <w:jc w:val="center"/>
              <w:rPr>
                <w:rFonts w:ascii="等线" w:hAnsi="等线" w:eastAsia="等线" w:cs="宋体"/>
                <w:color w:val="000000"/>
                <w:sz w:val="16"/>
                <w:szCs w:val="16"/>
              </w:rPr>
            </w:pPr>
          </w:p>
        </w:tc>
        <w:tc>
          <w:tcPr>
            <w:tcW w:w="202" w:type="pct"/>
            <w:shd w:val="clear" w:color="auto" w:fill="auto"/>
            <w:vAlign w:val="center"/>
          </w:tcPr>
          <w:p w14:paraId="0F4D3A2D">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6EBFF542">
            <w:pPr>
              <w:widowControl/>
              <w:jc w:val="center"/>
              <w:rPr>
                <w:rFonts w:ascii="Times New Roman" w:hAnsi="Times New Roman" w:eastAsia="宋体" w:cs="Times New Roman"/>
                <w:color w:val="000000"/>
                <w:sz w:val="16"/>
                <w:szCs w:val="16"/>
              </w:rPr>
            </w:pPr>
          </w:p>
        </w:tc>
        <w:tc>
          <w:tcPr>
            <w:tcW w:w="322" w:type="pct"/>
            <w:shd w:val="clear" w:color="auto" w:fill="auto"/>
            <w:noWrap/>
            <w:vAlign w:val="center"/>
          </w:tcPr>
          <w:p w14:paraId="07EB2BB3">
            <w:pPr>
              <w:widowControl/>
              <w:jc w:val="center"/>
              <w:rPr>
                <w:rFonts w:ascii="等线" w:hAnsi="等线" w:eastAsia="等线" w:cs="宋体"/>
                <w:color w:val="000000"/>
                <w:sz w:val="16"/>
                <w:szCs w:val="16"/>
              </w:rPr>
            </w:pPr>
          </w:p>
        </w:tc>
      </w:tr>
      <w:tr w14:paraId="73131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25" w:type="pct"/>
            <w:vMerge w:val="continue"/>
            <w:vAlign w:val="center"/>
          </w:tcPr>
          <w:p w14:paraId="4F2A27C2">
            <w:pPr>
              <w:widowControl/>
              <w:jc w:val="left"/>
              <w:rPr>
                <w:rFonts w:ascii="宋体" w:hAnsi="宋体" w:eastAsia="宋体" w:cs="宋体"/>
                <w:color w:val="000000"/>
                <w:sz w:val="16"/>
                <w:szCs w:val="16"/>
              </w:rPr>
            </w:pPr>
          </w:p>
        </w:tc>
        <w:tc>
          <w:tcPr>
            <w:tcW w:w="386" w:type="pct"/>
            <w:shd w:val="clear" w:color="auto" w:fill="auto"/>
            <w:vAlign w:val="center"/>
          </w:tcPr>
          <w:p w14:paraId="4E5CBFB6">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小计</w:t>
            </w:r>
          </w:p>
        </w:tc>
        <w:tc>
          <w:tcPr>
            <w:tcW w:w="202" w:type="pct"/>
            <w:shd w:val="clear" w:color="auto" w:fill="auto"/>
            <w:vAlign w:val="center"/>
          </w:tcPr>
          <w:p w14:paraId="2169DCF3">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267371FC">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2E88A6B2">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6B04CC86">
            <w:pPr>
              <w:widowControl/>
              <w:jc w:val="center"/>
              <w:rPr>
                <w:rFonts w:ascii="等线" w:hAnsi="等线" w:eastAsia="等线" w:cs="宋体"/>
                <w:color w:val="000000"/>
                <w:sz w:val="16"/>
                <w:szCs w:val="16"/>
              </w:rPr>
            </w:pPr>
          </w:p>
        </w:tc>
        <w:tc>
          <w:tcPr>
            <w:tcW w:w="202" w:type="pct"/>
            <w:shd w:val="clear" w:color="auto" w:fill="auto"/>
            <w:vAlign w:val="center"/>
          </w:tcPr>
          <w:p w14:paraId="48BBF9F1">
            <w:pPr>
              <w:widowControl/>
              <w:jc w:val="center"/>
              <w:rPr>
                <w:rFonts w:ascii="等线" w:hAnsi="等线" w:eastAsia="等线" w:cs="宋体"/>
                <w:color w:val="000000"/>
                <w:sz w:val="16"/>
                <w:szCs w:val="16"/>
              </w:rPr>
            </w:pPr>
          </w:p>
        </w:tc>
        <w:tc>
          <w:tcPr>
            <w:tcW w:w="202" w:type="pct"/>
            <w:shd w:val="clear" w:color="auto" w:fill="auto"/>
            <w:vAlign w:val="center"/>
          </w:tcPr>
          <w:p w14:paraId="2506C4BE">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11F82A7E">
            <w:pPr>
              <w:widowControl/>
              <w:jc w:val="center"/>
              <w:rPr>
                <w:rFonts w:ascii="等线" w:hAnsi="等线" w:eastAsia="等线" w:cs="宋体"/>
                <w:color w:val="000000"/>
                <w:sz w:val="16"/>
                <w:szCs w:val="16"/>
              </w:rPr>
            </w:pPr>
          </w:p>
        </w:tc>
        <w:tc>
          <w:tcPr>
            <w:tcW w:w="322" w:type="pct"/>
            <w:shd w:val="clear" w:color="auto" w:fill="auto"/>
            <w:vAlign w:val="center"/>
          </w:tcPr>
          <w:p w14:paraId="7F101DDD">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3347D95A">
            <w:pPr>
              <w:widowControl/>
              <w:jc w:val="center"/>
              <w:rPr>
                <w:rFonts w:ascii="Times New Roman" w:hAnsi="Times New Roman" w:eastAsia="宋体" w:cs="Times New Roman"/>
                <w:color w:val="000000"/>
                <w:sz w:val="16"/>
                <w:szCs w:val="16"/>
              </w:rPr>
            </w:pPr>
          </w:p>
        </w:tc>
        <w:tc>
          <w:tcPr>
            <w:tcW w:w="262" w:type="pct"/>
            <w:shd w:val="clear" w:color="auto" w:fill="auto"/>
            <w:vAlign w:val="center"/>
          </w:tcPr>
          <w:p w14:paraId="65D00DFC">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0931893E">
            <w:pPr>
              <w:widowControl/>
              <w:jc w:val="center"/>
              <w:rPr>
                <w:rFonts w:ascii="等线" w:hAnsi="等线" w:eastAsia="等线" w:cs="宋体"/>
                <w:color w:val="000000"/>
                <w:sz w:val="16"/>
                <w:szCs w:val="16"/>
              </w:rPr>
            </w:pPr>
          </w:p>
        </w:tc>
        <w:tc>
          <w:tcPr>
            <w:tcW w:w="322" w:type="pct"/>
            <w:shd w:val="clear" w:color="auto" w:fill="auto"/>
            <w:vAlign w:val="center"/>
          </w:tcPr>
          <w:p w14:paraId="5BCB7C41">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4791DCE">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76A914EC">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2215E4E0">
            <w:pPr>
              <w:widowControl/>
              <w:jc w:val="center"/>
              <w:rPr>
                <w:rFonts w:ascii="等线" w:hAnsi="等线" w:eastAsia="等线" w:cs="宋体"/>
                <w:color w:val="000000"/>
                <w:sz w:val="16"/>
                <w:szCs w:val="16"/>
              </w:rPr>
            </w:pPr>
          </w:p>
        </w:tc>
        <w:tc>
          <w:tcPr>
            <w:tcW w:w="202" w:type="pct"/>
            <w:shd w:val="clear" w:color="auto" w:fill="auto"/>
            <w:vAlign w:val="center"/>
          </w:tcPr>
          <w:p w14:paraId="6B22611E">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023C454">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061AF732">
            <w:pPr>
              <w:widowControl/>
              <w:jc w:val="center"/>
              <w:rPr>
                <w:rFonts w:ascii="Times New Roman" w:hAnsi="Times New Roman" w:eastAsia="宋体" w:cs="Times New Roman"/>
                <w:color w:val="000000"/>
                <w:sz w:val="16"/>
                <w:szCs w:val="16"/>
              </w:rPr>
            </w:pPr>
          </w:p>
        </w:tc>
      </w:tr>
      <w:tr w14:paraId="7AA98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25" w:type="pct"/>
            <w:vMerge w:val="restart"/>
            <w:shd w:val="clear" w:color="auto" w:fill="auto"/>
            <w:vAlign w:val="center"/>
          </w:tcPr>
          <w:p w14:paraId="72E8D372">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输水发电</w:t>
            </w:r>
          </w:p>
          <w:p w14:paraId="17B75230">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系统工程</w:t>
            </w:r>
          </w:p>
        </w:tc>
        <w:tc>
          <w:tcPr>
            <w:tcW w:w="386" w:type="pct"/>
            <w:shd w:val="clear" w:color="auto" w:fill="auto"/>
            <w:vAlign w:val="center"/>
          </w:tcPr>
          <w:p w14:paraId="2A8E564E">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引水系统</w:t>
            </w:r>
          </w:p>
        </w:tc>
        <w:tc>
          <w:tcPr>
            <w:tcW w:w="202" w:type="pct"/>
            <w:shd w:val="clear" w:color="auto" w:fill="auto"/>
            <w:vAlign w:val="center"/>
          </w:tcPr>
          <w:p w14:paraId="1D172FF9">
            <w:pPr>
              <w:widowControl/>
              <w:jc w:val="center"/>
              <w:rPr>
                <w:rFonts w:ascii="等线" w:hAnsi="等线" w:eastAsia="等线" w:cs="宋体"/>
                <w:color w:val="000000"/>
                <w:sz w:val="16"/>
                <w:szCs w:val="16"/>
              </w:rPr>
            </w:pPr>
          </w:p>
        </w:tc>
        <w:tc>
          <w:tcPr>
            <w:tcW w:w="202" w:type="pct"/>
            <w:shd w:val="clear" w:color="auto" w:fill="auto"/>
            <w:vAlign w:val="center"/>
          </w:tcPr>
          <w:p w14:paraId="60E9EFCB">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6DBF8494">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38D8E68C">
            <w:pPr>
              <w:widowControl/>
              <w:jc w:val="center"/>
              <w:rPr>
                <w:rFonts w:ascii="等线" w:hAnsi="等线" w:eastAsia="等线" w:cs="宋体"/>
                <w:color w:val="000000"/>
                <w:sz w:val="16"/>
                <w:szCs w:val="16"/>
              </w:rPr>
            </w:pPr>
          </w:p>
        </w:tc>
        <w:tc>
          <w:tcPr>
            <w:tcW w:w="202" w:type="pct"/>
            <w:shd w:val="clear" w:color="auto" w:fill="auto"/>
            <w:vAlign w:val="center"/>
          </w:tcPr>
          <w:p w14:paraId="32753E61">
            <w:pPr>
              <w:widowControl/>
              <w:jc w:val="center"/>
              <w:rPr>
                <w:rFonts w:ascii="等线" w:hAnsi="等线" w:eastAsia="等线" w:cs="宋体"/>
                <w:color w:val="000000"/>
                <w:sz w:val="16"/>
                <w:szCs w:val="16"/>
              </w:rPr>
            </w:pPr>
          </w:p>
        </w:tc>
        <w:tc>
          <w:tcPr>
            <w:tcW w:w="202" w:type="pct"/>
            <w:shd w:val="clear" w:color="auto" w:fill="auto"/>
            <w:vAlign w:val="center"/>
          </w:tcPr>
          <w:p w14:paraId="74A3CB96">
            <w:pPr>
              <w:widowControl/>
              <w:jc w:val="center"/>
              <w:rPr>
                <w:rFonts w:ascii="等线" w:hAnsi="等线" w:eastAsia="等线" w:cs="宋体"/>
                <w:color w:val="000000"/>
                <w:sz w:val="16"/>
                <w:szCs w:val="16"/>
              </w:rPr>
            </w:pPr>
          </w:p>
        </w:tc>
        <w:tc>
          <w:tcPr>
            <w:tcW w:w="202" w:type="pct"/>
            <w:shd w:val="clear" w:color="auto" w:fill="auto"/>
            <w:vAlign w:val="center"/>
          </w:tcPr>
          <w:p w14:paraId="02F3B888">
            <w:pPr>
              <w:widowControl/>
              <w:jc w:val="center"/>
              <w:rPr>
                <w:rFonts w:ascii="等线" w:hAnsi="等线" w:eastAsia="等线" w:cs="宋体"/>
                <w:color w:val="000000"/>
                <w:sz w:val="16"/>
                <w:szCs w:val="16"/>
              </w:rPr>
            </w:pPr>
          </w:p>
        </w:tc>
        <w:tc>
          <w:tcPr>
            <w:tcW w:w="322" w:type="pct"/>
            <w:shd w:val="clear" w:color="auto" w:fill="auto"/>
            <w:vAlign w:val="center"/>
          </w:tcPr>
          <w:p w14:paraId="7205F190">
            <w:pPr>
              <w:widowControl/>
              <w:jc w:val="center"/>
              <w:rPr>
                <w:rFonts w:ascii="等线" w:hAnsi="等线" w:eastAsia="等线" w:cs="宋体"/>
                <w:color w:val="000000"/>
                <w:sz w:val="16"/>
                <w:szCs w:val="16"/>
              </w:rPr>
            </w:pPr>
          </w:p>
        </w:tc>
        <w:tc>
          <w:tcPr>
            <w:tcW w:w="322" w:type="pct"/>
            <w:shd w:val="clear" w:color="auto" w:fill="auto"/>
            <w:vAlign w:val="center"/>
          </w:tcPr>
          <w:p w14:paraId="1300DA8B">
            <w:pPr>
              <w:widowControl/>
              <w:jc w:val="center"/>
              <w:rPr>
                <w:rFonts w:ascii="等线" w:hAnsi="等线" w:eastAsia="等线" w:cs="宋体"/>
                <w:color w:val="000000"/>
                <w:sz w:val="16"/>
                <w:szCs w:val="16"/>
              </w:rPr>
            </w:pPr>
          </w:p>
        </w:tc>
        <w:tc>
          <w:tcPr>
            <w:tcW w:w="262" w:type="pct"/>
            <w:shd w:val="clear" w:color="auto" w:fill="auto"/>
            <w:vAlign w:val="center"/>
          </w:tcPr>
          <w:p w14:paraId="39E56C2E">
            <w:pPr>
              <w:widowControl/>
              <w:jc w:val="center"/>
              <w:rPr>
                <w:rFonts w:ascii="等线" w:hAnsi="等线" w:eastAsia="等线" w:cs="宋体"/>
                <w:color w:val="000000"/>
                <w:sz w:val="16"/>
                <w:szCs w:val="16"/>
              </w:rPr>
            </w:pPr>
          </w:p>
        </w:tc>
        <w:tc>
          <w:tcPr>
            <w:tcW w:w="322" w:type="pct"/>
            <w:shd w:val="clear" w:color="auto" w:fill="auto"/>
            <w:vAlign w:val="center"/>
          </w:tcPr>
          <w:p w14:paraId="700D532E">
            <w:pPr>
              <w:widowControl/>
              <w:jc w:val="center"/>
              <w:rPr>
                <w:rFonts w:ascii="等线" w:hAnsi="等线" w:eastAsia="等线" w:cs="宋体"/>
                <w:color w:val="000000"/>
                <w:sz w:val="16"/>
                <w:szCs w:val="16"/>
              </w:rPr>
            </w:pPr>
          </w:p>
        </w:tc>
        <w:tc>
          <w:tcPr>
            <w:tcW w:w="322" w:type="pct"/>
            <w:shd w:val="clear" w:color="auto" w:fill="auto"/>
            <w:vAlign w:val="center"/>
          </w:tcPr>
          <w:p w14:paraId="6A561583">
            <w:pPr>
              <w:widowControl/>
              <w:jc w:val="center"/>
              <w:rPr>
                <w:rFonts w:ascii="等线" w:hAnsi="等线" w:eastAsia="等线" w:cs="宋体"/>
                <w:color w:val="000000"/>
                <w:sz w:val="16"/>
                <w:szCs w:val="16"/>
              </w:rPr>
            </w:pPr>
          </w:p>
        </w:tc>
        <w:tc>
          <w:tcPr>
            <w:tcW w:w="202" w:type="pct"/>
            <w:shd w:val="clear" w:color="auto" w:fill="auto"/>
            <w:vAlign w:val="center"/>
          </w:tcPr>
          <w:p w14:paraId="3D69DEA1">
            <w:pPr>
              <w:widowControl/>
              <w:jc w:val="center"/>
              <w:rPr>
                <w:rFonts w:ascii="等线" w:hAnsi="等线" w:eastAsia="等线" w:cs="宋体"/>
                <w:color w:val="000000"/>
                <w:sz w:val="16"/>
                <w:szCs w:val="16"/>
              </w:rPr>
            </w:pPr>
          </w:p>
        </w:tc>
        <w:tc>
          <w:tcPr>
            <w:tcW w:w="202" w:type="pct"/>
            <w:shd w:val="clear" w:color="auto" w:fill="auto"/>
            <w:vAlign w:val="center"/>
          </w:tcPr>
          <w:p w14:paraId="79047175">
            <w:pPr>
              <w:widowControl/>
              <w:jc w:val="center"/>
              <w:rPr>
                <w:rFonts w:ascii="等线" w:hAnsi="等线" w:eastAsia="等线" w:cs="宋体"/>
                <w:color w:val="000000"/>
                <w:sz w:val="16"/>
                <w:szCs w:val="16"/>
              </w:rPr>
            </w:pPr>
          </w:p>
        </w:tc>
        <w:tc>
          <w:tcPr>
            <w:tcW w:w="202" w:type="pct"/>
            <w:shd w:val="clear" w:color="auto" w:fill="auto"/>
            <w:vAlign w:val="center"/>
          </w:tcPr>
          <w:p w14:paraId="5F6883C4">
            <w:pPr>
              <w:widowControl/>
              <w:jc w:val="center"/>
              <w:rPr>
                <w:rFonts w:ascii="等线" w:hAnsi="等线" w:eastAsia="等线" w:cs="宋体"/>
                <w:color w:val="000000"/>
                <w:sz w:val="16"/>
                <w:szCs w:val="16"/>
              </w:rPr>
            </w:pPr>
          </w:p>
        </w:tc>
        <w:tc>
          <w:tcPr>
            <w:tcW w:w="202" w:type="pct"/>
            <w:shd w:val="clear" w:color="auto" w:fill="auto"/>
            <w:vAlign w:val="center"/>
          </w:tcPr>
          <w:p w14:paraId="6522C4B6">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A22F238">
            <w:pPr>
              <w:widowControl/>
              <w:jc w:val="center"/>
              <w:rPr>
                <w:rFonts w:ascii="Times New Roman" w:hAnsi="Times New Roman" w:eastAsia="宋体" w:cs="Times New Roman"/>
                <w:color w:val="000000"/>
                <w:sz w:val="16"/>
                <w:szCs w:val="16"/>
              </w:rPr>
            </w:pPr>
          </w:p>
        </w:tc>
        <w:tc>
          <w:tcPr>
            <w:tcW w:w="322" w:type="pct"/>
            <w:shd w:val="clear" w:color="auto" w:fill="auto"/>
            <w:noWrap/>
            <w:vAlign w:val="center"/>
          </w:tcPr>
          <w:p w14:paraId="7D73A95D">
            <w:pPr>
              <w:widowControl/>
              <w:jc w:val="center"/>
              <w:rPr>
                <w:rFonts w:ascii="等线" w:hAnsi="等线" w:eastAsia="等线" w:cs="宋体"/>
                <w:color w:val="000000"/>
                <w:sz w:val="16"/>
                <w:szCs w:val="16"/>
              </w:rPr>
            </w:pPr>
          </w:p>
        </w:tc>
      </w:tr>
      <w:tr w14:paraId="34379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25" w:type="pct"/>
            <w:vMerge w:val="continue"/>
            <w:vAlign w:val="center"/>
          </w:tcPr>
          <w:p w14:paraId="2FDFCC83">
            <w:pPr>
              <w:widowControl/>
              <w:jc w:val="left"/>
              <w:rPr>
                <w:rFonts w:ascii="宋体" w:hAnsi="宋体" w:eastAsia="宋体" w:cs="宋体"/>
                <w:color w:val="000000"/>
                <w:sz w:val="16"/>
                <w:szCs w:val="16"/>
              </w:rPr>
            </w:pPr>
          </w:p>
        </w:tc>
        <w:tc>
          <w:tcPr>
            <w:tcW w:w="386" w:type="pct"/>
            <w:shd w:val="clear" w:color="auto" w:fill="auto"/>
            <w:vAlign w:val="center"/>
          </w:tcPr>
          <w:p w14:paraId="24E9D2B3">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尾水系统</w:t>
            </w:r>
          </w:p>
        </w:tc>
        <w:tc>
          <w:tcPr>
            <w:tcW w:w="202" w:type="pct"/>
            <w:shd w:val="clear" w:color="auto" w:fill="auto"/>
            <w:vAlign w:val="center"/>
          </w:tcPr>
          <w:p w14:paraId="602D3845">
            <w:pPr>
              <w:widowControl/>
              <w:jc w:val="center"/>
              <w:rPr>
                <w:rFonts w:ascii="等线" w:hAnsi="等线" w:eastAsia="等线" w:cs="宋体"/>
                <w:color w:val="000000"/>
                <w:sz w:val="16"/>
                <w:szCs w:val="16"/>
              </w:rPr>
            </w:pPr>
          </w:p>
        </w:tc>
        <w:tc>
          <w:tcPr>
            <w:tcW w:w="202" w:type="pct"/>
            <w:shd w:val="clear" w:color="auto" w:fill="auto"/>
            <w:vAlign w:val="center"/>
          </w:tcPr>
          <w:p w14:paraId="34F31483">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39E87B01">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EF750CA">
            <w:pPr>
              <w:widowControl/>
              <w:jc w:val="center"/>
              <w:rPr>
                <w:rFonts w:ascii="等线" w:hAnsi="等线" w:eastAsia="等线" w:cs="宋体"/>
                <w:color w:val="000000"/>
                <w:sz w:val="16"/>
                <w:szCs w:val="16"/>
              </w:rPr>
            </w:pPr>
          </w:p>
        </w:tc>
        <w:tc>
          <w:tcPr>
            <w:tcW w:w="202" w:type="pct"/>
            <w:shd w:val="clear" w:color="auto" w:fill="auto"/>
            <w:vAlign w:val="center"/>
          </w:tcPr>
          <w:p w14:paraId="08C50200">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62EBFF5">
            <w:pPr>
              <w:widowControl/>
              <w:jc w:val="center"/>
              <w:rPr>
                <w:rFonts w:ascii="等线" w:hAnsi="等线" w:eastAsia="等线" w:cs="宋体"/>
                <w:color w:val="000000"/>
                <w:sz w:val="16"/>
                <w:szCs w:val="16"/>
              </w:rPr>
            </w:pPr>
          </w:p>
        </w:tc>
        <w:tc>
          <w:tcPr>
            <w:tcW w:w="202" w:type="pct"/>
            <w:shd w:val="clear" w:color="auto" w:fill="auto"/>
            <w:vAlign w:val="center"/>
          </w:tcPr>
          <w:p w14:paraId="63105CFB">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38B43C26">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2269542F">
            <w:pPr>
              <w:widowControl/>
              <w:jc w:val="center"/>
              <w:rPr>
                <w:rFonts w:ascii="等线" w:hAnsi="等线" w:eastAsia="等线" w:cs="宋体"/>
                <w:color w:val="000000"/>
                <w:sz w:val="16"/>
                <w:szCs w:val="16"/>
              </w:rPr>
            </w:pPr>
          </w:p>
        </w:tc>
        <w:tc>
          <w:tcPr>
            <w:tcW w:w="262" w:type="pct"/>
            <w:shd w:val="clear" w:color="auto" w:fill="auto"/>
            <w:vAlign w:val="center"/>
          </w:tcPr>
          <w:p w14:paraId="6D01335C">
            <w:pPr>
              <w:widowControl/>
              <w:jc w:val="center"/>
              <w:rPr>
                <w:rFonts w:ascii="等线" w:hAnsi="等线" w:eastAsia="等线" w:cs="宋体"/>
                <w:color w:val="000000"/>
                <w:sz w:val="16"/>
                <w:szCs w:val="16"/>
              </w:rPr>
            </w:pPr>
          </w:p>
        </w:tc>
        <w:tc>
          <w:tcPr>
            <w:tcW w:w="322" w:type="pct"/>
            <w:shd w:val="clear" w:color="auto" w:fill="auto"/>
            <w:vAlign w:val="center"/>
          </w:tcPr>
          <w:p w14:paraId="2916A3D0">
            <w:pPr>
              <w:widowControl/>
              <w:jc w:val="center"/>
              <w:rPr>
                <w:rFonts w:ascii="等线" w:hAnsi="等线" w:eastAsia="等线" w:cs="宋体"/>
                <w:color w:val="000000"/>
                <w:sz w:val="16"/>
                <w:szCs w:val="16"/>
              </w:rPr>
            </w:pPr>
          </w:p>
        </w:tc>
        <w:tc>
          <w:tcPr>
            <w:tcW w:w="322" w:type="pct"/>
            <w:shd w:val="clear" w:color="auto" w:fill="auto"/>
            <w:vAlign w:val="center"/>
          </w:tcPr>
          <w:p w14:paraId="7DD74AA5">
            <w:pPr>
              <w:widowControl/>
              <w:jc w:val="center"/>
              <w:rPr>
                <w:rFonts w:ascii="等线" w:hAnsi="等线" w:eastAsia="等线" w:cs="宋体"/>
                <w:color w:val="000000"/>
                <w:sz w:val="16"/>
                <w:szCs w:val="16"/>
              </w:rPr>
            </w:pPr>
          </w:p>
        </w:tc>
        <w:tc>
          <w:tcPr>
            <w:tcW w:w="202" w:type="pct"/>
            <w:shd w:val="clear" w:color="auto" w:fill="auto"/>
            <w:vAlign w:val="center"/>
          </w:tcPr>
          <w:p w14:paraId="3AD3AFA6">
            <w:pPr>
              <w:widowControl/>
              <w:jc w:val="center"/>
              <w:rPr>
                <w:rFonts w:ascii="等线" w:hAnsi="等线" w:eastAsia="等线" w:cs="宋体"/>
                <w:color w:val="000000"/>
                <w:sz w:val="16"/>
                <w:szCs w:val="16"/>
              </w:rPr>
            </w:pPr>
          </w:p>
        </w:tc>
        <w:tc>
          <w:tcPr>
            <w:tcW w:w="202" w:type="pct"/>
            <w:shd w:val="clear" w:color="auto" w:fill="auto"/>
            <w:vAlign w:val="center"/>
          </w:tcPr>
          <w:p w14:paraId="7D328547">
            <w:pPr>
              <w:widowControl/>
              <w:jc w:val="center"/>
              <w:rPr>
                <w:rFonts w:ascii="等线" w:hAnsi="等线" w:eastAsia="等线" w:cs="宋体"/>
                <w:color w:val="000000"/>
                <w:sz w:val="16"/>
                <w:szCs w:val="16"/>
              </w:rPr>
            </w:pPr>
          </w:p>
        </w:tc>
        <w:tc>
          <w:tcPr>
            <w:tcW w:w="202" w:type="pct"/>
            <w:shd w:val="clear" w:color="auto" w:fill="auto"/>
            <w:vAlign w:val="center"/>
          </w:tcPr>
          <w:p w14:paraId="45BD2D7B">
            <w:pPr>
              <w:widowControl/>
              <w:jc w:val="center"/>
              <w:rPr>
                <w:rFonts w:ascii="等线" w:hAnsi="等线" w:eastAsia="等线" w:cs="宋体"/>
                <w:color w:val="000000"/>
                <w:sz w:val="16"/>
                <w:szCs w:val="16"/>
              </w:rPr>
            </w:pPr>
          </w:p>
        </w:tc>
        <w:tc>
          <w:tcPr>
            <w:tcW w:w="202" w:type="pct"/>
            <w:shd w:val="clear" w:color="auto" w:fill="auto"/>
            <w:vAlign w:val="center"/>
          </w:tcPr>
          <w:p w14:paraId="5B706D9A">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3DBC428F">
            <w:pPr>
              <w:widowControl/>
              <w:jc w:val="center"/>
              <w:rPr>
                <w:rFonts w:ascii="Times New Roman" w:hAnsi="Times New Roman" w:eastAsia="宋体" w:cs="Times New Roman"/>
                <w:color w:val="000000"/>
                <w:sz w:val="16"/>
                <w:szCs w:val="16"/>
              </w:rPr>
            </w:pPr>
          </w:p>
        </w:tc>
        <w:tc>
          <w:tcPr>
            <w:tcW w:w="322" w:type="pct"/>
            <w:shd w:val="clear" w:color="auto" w:fill="auto"/>
            <w:noWrap/>
            <w:vAlign w:val="center"/>
          </w:tcPr>
          <w:p w14:paraId="69066BBD">
            <w:pPr>
              <w:widowControl/>
              <w:jc w:val="center"/>
              <w:rPr>
                <w:rFonts w:ascii="等线" w:hAnsi="等线" w:eastAsia="等线" w:cs="宋体"/>
                <w:color w:val="000000"/>
                <w:sz w:val="16"/>
                <w:szCs w:val="16"/>
              </w:rPr>
            </w:pPr>
          </w:p>
        </w:tc>
      </w:tr>
      <w:tr w14:paraId="08C0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25" w:type="pct"/>
            <w:vMerge w:val="continue"/>
            <w:vAlign w:val="center"/>
          </w:tcPr>
          <w:p w14:paraId="03DAE537">
            <w:pPr>
              <w:widowControl/>
              <w:jc w:val="left"/>
              <w:rPr>
                <w:rFonts w:ascii="宋体" w:hAnsi="宋体" w:eastAsia="宋体" w:cs="宋体"/>
                <w:color w:val="000000"/>
                <w:sz w:val="16"/>
                <w:szCs w:val="16"/>
              </w:rPr>
            </w:pPr>
          </w:p>
        </w:tc>
        <w:tc>
          <w:tcPr>
            <w:tcW w:w="386" w:type="pct"/>
            <w:shd w:val="clear" w:color="auto" w:fill="auto"/>
            <w:vAlign w:val="center"/>
          </w:tcPr>
          <w:p w14:paraId="3B1E7BAE">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主副厂房</w:t>
            </w:r>
          </w:p>
        </w:tc>
        <w:tc>
          <w:tcPr>
            <w:tcW w:w="202" w:type="pct"/>
            <w:shd w:val="clear" w:color="auto" w:fill="auto"/>
            <w:vAlign w:val="center"/>
          </w:tcPr>
          <w:p w14:paraId="38E1F218">
            <w:pPr>
              <w:widowControl/>
              <w:jc w:val="center"/>
              <w:rPr>
                <w:rFonts w:ascii="等线" w:hAnsi="等线" w:eastAsia="等线" w:cs="宋体"/>
                <w:color w:val="000000"/>
                <w:sz w:val="16"/>
                <w:szCs w:val="16"/>
              </w:rPr>
            </w:pPr>
          </w:p>
        </w:tc>
        <w:tc>
          <w:tcPr>
            <w:tcW w:w="202" w:type="pct"/>
            <w:shd w:val="clear" w:color="auto" w:fill="auto"/>
            <w:vAlign w:val="center"/>
          </w:tcPr>
          <w:p w14:paraId="185EAC65">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1E889B96">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39E2560C">
            <w:pPr>
              <w:widowControl/>
              <w:jc w:val="center"/>
              <w:rPr>
                <w:rFonts w:ascii="等线" w:hAnsi="等线" w:eastAsia="等线" w:cs="宋体"/>
                <w:color w:val="000000"/>
                <w:sz w:val="16"/>
                <w:szCs w:val="16"/>
              </w:rPr>
            </w:pPr>
          </w:p>
        </w:tc>
        <w:tc>
          <w:tcPr>
            <w:tcW w:w="202" w:type="pct"/>
            <w:shd w:val="clear" w:color="auto" w:fill="auto"/>
            <w:vAlign w:val="center"/>
          </w:tcPr>
          <w:p w14:paraId="76321F7D">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1F74603">
            <w:pPr>
              <w:widowControl/>
              <w:jc w:val="center"/>
              <w:rPr>
                <w:rFonts w:ascii="等线" w:hAnsi="等线" w:eastAsia="等线" w:cs="宋体"/>
                <w:color w:val="000000"/>
                <w:sz w:val="16"/>
                <w:szCs w:val="16"/>
              </w:rPr>
            </w:pPr>
          </w:p>
        </w:tc>
        <w:tc>
          <w:tcPr>
            <w:tcW w:w="202" w:type="pct"/>
            <w:shd w:val="clear" w:color="auto" w:fill="auto"/>
            <w:vAlign w:val="center"/>
          </w:tcPr>
          <w:p w14:paraId="003575A7">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1E5D20DD">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7A1236BE">
            <w:pPr>
              <w:widowControl/>
              <w:jc w:val="center"/>
              <w:rPr>
                <w:rFonts w:ascii="等线" w:hAnsi="等线" w:eastAsia="等线" w:cs="宋体"/>
                <w:color w:val="000000"/>
                <w:sz w:val="16"/>
                <w:szCs w:val="16"/>
              </w:rPr>
            </w:pPr>
          </w:p>
        </w:tc>
        <w:tc>
          <w:tcPr>
            <w:tcW w:w="262" w:type="pct"/>
            <w:shd w:val="clear" w:color="auto" w:fill="auto"/>
            <w:vAlign w:val="center"/>
          </w:tcPr>
          <w:p w14:paraId="78CB0B52">
            <w:pPr>
              <w:widowControl/>
              <w:jc w:val="center"/>
              <w:rPr>
                <w:rFonts w:ascii="等线" w:hAnsi="等线" w:eastAsia="等线" w:cs="宋体"/>
                <w:color w:val="000000"/>
                <w:sz w:val="16"/>
                <w:szCs w:val="16"/>
              </w:rPr>
            </w:pPr>
          </w:p>
        </w:tc>
        <w:tc>
          <w:tcPr>
            <w:tcW w:w="322" w:type="pct"/>
            <w:shd w:val="clear" w:color="auto" w:fill="auto"/>
            <w:vAlign w:val="center"/>
          </w:tcPr>
          <w:p w14:paraId="3D0656FB">
            <w:pPr>
              <w:widowControl/>
              <w:jc w:val="center"/>
              <w:rPr>
                <w:rFonts w:ascii="等线" w:hAnsi="等线" w:eastAsia="等线" w:cs="宋体"/>
                <w:color w:val="000000"/>
                <w:sz w:val="16"/>
                <w:szCs w:val="16"/>
              </w:rPr>
            </w:pPr>
          </w:p>
        </w:tc>
        <w:tc>
          <w:tcPr>
            <w:tcW w:w="322" w:type="pct"/>
            <w:shd w:val="clear" w:color="auto" w:fill="auto"/>
            <w:vAlign w:val="center"/>
          </w:tcPr>
          <w:p w14:paraId="7DEDCCF6">
            <w:pPr>
              <w:widowControl/>
              <w:jc w:val="center"/>
              <w:rPr>
                <w:rFonts w:ascii="等线" w:hAnsi="等线" w:eastAsia="等线" w:cs="宋体"/>
                <w:color w:val="000000"/>
                <w:sz w:val="16"/>
                <w:szCs w:val="16"/>
              </w:rPr>
            </w:pPr>
          </w:p>
        </w:tc>
        <w:tc>
          <w:tcPr>
            <w:tcW w:w="202" w:type="pct"/>
            <w:shd w:val="clear" w:color="auto" w:fill="auto"/>
            <w:vAlign w:val="center"/>
          </w:tcPr>
          <w:p w14:paraId="4BFE2E79">
            <w:pPr>
              <w:widowControl/>
              <w:jc w:val="center"/>
              <w:rPr>
                <w:rFonts w:ascii="等线" w:hAnsi="等线" w:eastAsia="等线" w:cs="宋体"/>
                <w:color w:val="000000"/>
                <w:sz w:val="16"/>
                <w:szCs w:val="16"/>
              </w:rPr>
            </w:pPr>
          </w:p>
        </w:tc>
        <w:tc>
          <w:tcPr>
            <w:tcW w:w="202" w:type="pct"/>
            <w:shd w:val="clear" w:color="auto" w:fill="auto"/>
            <w:vAlign w:val="center"/>
          </w:tcPr>
          <w:p w14:paraId="029EF559">
            <w:pPr>
              <w:widowControl/>
              <w:jc w:val="center"/>
              <w:rPr>
                <w:rFonts w:ascii="等线" w:hAnsi="等线" w:eastAsia="等线" w:cs="宋体"/>
                <w:color w:val="000000"/>
                <w:sz w:val="16"/>
                <w:szCs w:val="16"/>
              </w:rPr>
            </w:pPr>
          </w:p>
        </w:tc>
        <w:tc>
          <w:tcPr>
            <w:tcW w:w="202" w:type="pct"/>
            <w:shd w:val="clear" w:color="auto" w:fill="auto"/>
            <w:vAlign w:val="center"/>
          </w:tcPr>
          <w:p w14:paraId="5828D7A4">
            <w:pPr>
              <w:widowControl/>
              <w:jc w:val="center"/>
              <w:rPr>
                <w:rFonts w:ascii="等线" w:hAnsi="等线" w:eastAsia="等线" w:cs="宋体"/>
                <w:color w:val="000000"/>
                <w:sz w:val="16"/>
                <w:szCs w:val="16"/>
              </w:rPr>
            </w:pPr>
          </w:p>
        </w:tc>
        <w:tc>
          <w:tcPr>
            <w:tcW w:w="202" w:type="pct"/>
            <w:shd w:val="clear" w:color="auto" w:fill="auto"/>
            <w:vAlign w:val="center"/>
          </w:tcPr>
          <w:p w14:paraId="4C0F643A">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5D5599EA">
            <w:pPr>
              <w:widowControl/>
              <w:jc w:val="center"/>
              <w:rPr>
                <w:rFonts w:ascii="Times New Roman" w:hAnsi="Times New Roman" w:eastAsia="宋体" w:cs="Times New Roman"/>
                <w:color w:val="000000"/>
                <w:sz w:val="16"/>
                <w:szCs w:val="16"/>
              </w:rPr>
            </w:pPr>
          </w:p>
        </w:tc>
        <w:tc>
          <w:tcPr>
            <w:tcW w:w="322" w:type="pct"/>
            <w:shd w:val="clear" w:color="auto" w:fill="auto"/>
            <w:noWrap/>
            <w:vAlign w:val="center"/>
          </w:tcPr>
          <w:p w14:paraId="390597AC">
            <w:pPr>
              <w:widowControl/>
              <w:jc w:val="center"/>
              <w:rPr>
                <w:rFonts w:ascii="等线" w:hAnsi="等线" w:eastAsia="等线" w:cs="宋体"/>
                <w:color w:val="000000"/>
                <w:sz w:val="16"/>
                <w:szCs w:val="16"/>
              </w:rPr>
            </w:pPr>
          </w:p>
        </w:tc>
      </w:tr>
      <w:tr w14:paraId="5C2C3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325" w:type="pct"/>
            <w:vMerge w:val="continue"/>
            <w:vAlign w:val="center"/>
          </w:tcPr>
          <w:p w14:paraId="1FCD76C1">
            <w:pPr>
              <w:widowControl/>
              <w:jc w:val="left"/>
              <w:rPr>
                <w:rFonts w:ascii="宋体" w:hAnsi="宋体" w:eastAsia="宋体" w:cs="宋体"/>
                <w:color w:val="000000"/>
                <w:sz w:val="16"/>
                <w:szCs w:val="16"/>
              </w:rPr>
            </w:pPr>
          </w:p>
        </w:tc>
        <w:tc>
          <w:tcPr>
            <w:tcW w:w="386" w:type="pct"/>
            <w:shd w:val="clear" w:color="auto" w:fill="auto"/>
            <w:vAlign w:val="center"/>
          </w:tcPr>
          <w:p w14:paraId="53FF5E4E">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其它洞室</w:t>
            </w:r>
          </w:p>
        </w:tc>
        <w:tc>
          <w:tcPr>
            <w:tcW w:w="202" w:type="pct"/>
            <w:shd w:val="clear" w:color="auto" w:fill="auto"/>
            <w:vAlign w:val="center"/>
          </w:tcPr>
          <w:p w14:paraId="75FBE529">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74A285F8">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52B48276">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38B8355B">
            <w:pPr>
              <w:widowControl/>
              <w:jc w:val="center"/>
              <w:rPr>
                <w:rFonts w:ascii="等线" w:hAnsi="等线" w:eastAsia="等线" w:cs="宋体"/>
                <w:color w:val="000000"/>
                <w:sz w:val="16"/>
                <w:szCs w:val="16"/>
              </w:rPr>
            </w:pPr>
          </w:p>
        </w:tc>
        <w:tc>
          <w:tcPr>
            <w:tcW w:w="202" w:type="pct"/>
            <w:shd w:val="clear" w:color="auto" w:fill="auto"/>
            <w:vAlign w:val="center"/>
          </w:tcPr>
          <w:p w14:paraId="23CB9DE4">
            <w:pPr>
              <w:widowControl/>
              <w:jc w:val="center"/>
              <w:rPr>
                <w:rFonts w:ascii="等线" w:hAnsi="等线" w:eastAsia="等线" w:cs="宋体"/>
                <w:color w:val="000000"/>
                <w:sz w:val="16"/>
                <w:szCs w:val="16"/>
              </w:rPr>
            </w:pPr>
          </w:p>
        </w:tc>
        <w:tc>
          <w:tcPr>
            <w:tcW w:w="202" w:type="pct"/>
            <w:shd w:val="clear" w:color="auto" w:fill="auto"/>
            <w:vAlign w:val="center"/>
          </w:tcPr>
          <w:p w14:paraId="4F9D4B0D">
            <w:pPr>
              <w:widowControl/>
              <w:jc w:val="center"/>
              <w:rPr>
                <w:rFonts w:ascii="等线" w:hAnsi="等线" w:eastAsia="等线" w:cs="宋体"/>
                <w:color w:val="000000"/>
                <w:sz w:val="16"/>
                <w:szCs w:val="16"/>
              </w:rPr>
            </w:pPr>
          </w:p>
        </w:tc>
        <w:tc>
          <w:tcPr>
            <w:tcW w:w="202" w:type="pct"/>
            <w:shd w:val="clear" w:color="auto" w:fill="auto"/>
            <w:vAlign w:val="center"/>
          </w:tcPr>
          <w:p w14:paraId="5E18CA74">
            <w:pPr>
              <w:widowControl/>
              <w:jc w:val="center"/>
              <w:rPr>
                <w:rFonts w:ascii="等线" w:hAnsi="等线" w:eastAsia="等线" w:cs="宋体"/>
                <w:color w:val="000000"/>
                <w:sz w:val="16"/>
                <w:szCs w:val="16"/>
              </w:rPr>
            </w:pPr>
          </w:p>
        </w:tc>
        <w:tc>
          <w:tcPr>
            <w:tcW w:w="322" w:type="pct"/>
            <w:shd w:val="clear" w:color="auto" w:fill="auto"/>
            <w:vAlign w:val="center"/>
          </w:tcPr>
          <w:p w14:paraId="1A781EA5">
            <w:pPr>
              <w:widowControl/>
              <w:jc w:val="center"/>
              <w:rPr>
                <w:rFonts w:ascii="等线" w:hAnsi="等线" w:eastAsia="等线" w:cs="宋体"/>
                <w:color w:val="000000"/>
                <w:sz w:val="16"/>
                <w:szCs w:val="16"/>
              </w:rPr>
            </w:pPr>
          </w:p>
        </w:tc>
        <w:tc>
          <w:tcPr>
            <w:tcW w:w="322" w:type="pct"/>
            <w:shd w:val="clear" w:color="auto" w:fill="auto"/>
            <w:vAlign w:val="center"/>
          </w:tcPr>
          <w:p w14:paraId="7B695ADA">
            <w:pPr>
              <w:widowControl/>
              <w:jc w:val="center"/>
              <w:rPr>
                <w:rFonts w:ascii="等线" w:hAnsi="等线" w:eastAsia="等线" w:cs="宋体"/>
                <w:color w:val="000000"/>
                <w:sz w:val="16"/>
                <w:szCs w:val="16"/>
              </w:rPr>
            </w:pPr>
          </w:p>
        </w:tc>
        <w:tc>
          <w:tcPr>
            <w:tcW w:w="262" w:type="pct"/>
            <w:shd w:val="clear" w:color="auto" w:fill="auto"/>
            <w:vAlign w:val="center"/>
          </w:tcPr>
          <w:p w14:paraId="625913C9">
            <w:pPr>
              <w:widowControl/>
              <w:jc w:val="center"/>
              <w:rPr>
                <w:rFonts w:ascii="等线" w:hAnsi="等线" w:eastAsia="等线" w:cs="宋体"/>
                <w:color w:val="000000"/>
                <w:sz w:val="16"/>
                <w:szCs w:val="16"/>
              </w:rPr>
            </w:pPr>
          </w:p>
        </w:tc>
        <w:tc>
          <w:tcPr>
            <w:tcW w:w="322" w:type="pct"/>
            <w:shd w:val="clear" w:color="auto" w:fill="auto"/>
            <w:vAlign w:val="center"/>
          </w:tcPr>
          <w:p w14:paraId="0812A768">
            <w:pPr>
              <w:widowControl/>
              <w:jc w:val="center"/>
              <w:rPr>
                <w:rFonts w:ascii="等线" w:hAnsi="等线" w:eastAsia="等线" w:cs="宋体"/>
                <w:color w:val="000000"/>
                <w:sz w:val="16"/>
                <w:szCs w:val="16"/>
              </w:rPr>
            </w:pPr>
          </w:p>
        </w:tc>
        <w:tc>
          <w:tcPr>
            <w:tcW w:w="322" w:type="pct"/>
            <w:shd w:val="clear" w:color="auto" w:fill="auto"/>
            <w:vAlign w:val="center"/>
          </w:tcPr>
          <w:p w14:paraId="17DF4754">
            <w:pPr>
              <w:widowControl/>
              <w:jc w:val="center"/>
              <w:rPr>
                <w:rFonts w:ascii="等线" w:hAnsi="等线" w:eastAsia="等线" w:cs="宋体"/>
                <w:color w:val="000000"/>
                <w:sz w:val="16"/>
                <w:szCs w:val="16"/>
              </w:rPr>
            </w:pPr>
          </w:p>
        </w:tc>
        <w:tc>
          <w:tcPr>
            <w:tcW w:w="202" w:type="pct"/>
            <w:shd w:val="clear" w:color="auto" w:fill="auto"/>
            <w:vAlign w:val="center"/>
          </w:tcPr>
          <w:p w14:paraId="6CD89298">
            <w:pPr>
              <w:widowControl/>
              <w:jc w:val="center"/>
              <w:rPr>
                <w:rFonts w:ascii="等线" w:hAnsi="等线" w:eastAsia="等线" w:cs="宋体"/>
                <w:color w:val="000000"/>
                <w:sz w:val="16"/>
                <w:szCs w:val="16"/>
              </w:rPr>
            </w:pPr>
          </w:p>
        </w:tc>
        <w:tc>
          <w:tcPr>
            <w:tcW w:w="202" w:type="pct"/>
            <w:shd w:val="clear" w:color="auto" w:fill="auto"/>
            <w:vAlign w:val="center"/>
          </w:tcPr>
          <w:p w14:paraId="64FD8FFB">
            <w:pPr>
              <w:widowControl/>
              <w:jc w:val="center"/>
              <w:rPr>
                <w:rFonts w:ascii="等线" w:hAnsi="等线" w:eastAsia="等线" w:cs="宋体"/>
                <w:color w:val="000000"/>
                <w:sz w:val="16"/>
                <w:szCs w:val="16"/>
              </w:rPr>
            </w:pPr>
          </w:p>
        </w:tc>
        <w:tc>
          <w:tcPr>
            <w:tcW w:w="202" w:type="pct"/>
            <w:shd w:val="clear" w:color="auto" w:fill="auto"/>
            <w:vAlign w:val="center"/>
          </w:tcPr>
          <w:p w14:paraId="391BBF6B">
            <w:pPr>
              <w:widowControl/>
              <w:jc w:val="center"/>
              <w:rPr>
                <w:rFonts w:ascii="等线" w:hAnsi="等线" w:eastAsia="等线" w:cs="宋体"/>
                <w:color w:val="000000"/>
                <w:sz w:val="16"/>
                <w:szCs w:val="16"/>
              </w:rPr>
            </w:pPr>
          </w:p>
        </w:tc>
        <w:tc>
          <w:tcPr>
            <w:tcW w:w="202" w:type="pct"/>
            <w:shd w:val="clear" w:color="auto" w:fill="auto"/>
            <w:vAlign w:val="center"/>
          </w:tcPr>
          <w:p w14:paraId="78C83D07">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6C12628E">
            <w:pPr>
              <w:widowControl/>
              <w:jc w:val="center"/>
              <w:rPr>
                <w:rFonts w:ascii="Times New Roman" w:hAnsi="Times New Roman" w:eastAsia="宋体" w:cs="Times New Roman"/>
                <w:color w:val="000000"/>
                <w:sz w:val="16"/>
                <w:szCs w:val="16"/>
              </w:rPr>
            </w:pPr>
          </w:p>
        </w:tc>
        <w:tc>
          <w:tcPr>
            <w:tcW w:w="322" w:type="pct"/>
            <w:shd w:val="clear" w:color="auto" w:fill="auto"/>
            <w:noWrap/>
            <w:vAlign w:val="center"/>
          </w:tcPr>
          <w:p w14:paraId="508EAE98">
            <w:pPr>
              <w:widowControl/>
              <w:jc w:val="center"/>
              <w:rPr>
                <w:rFonts w:ascii="等线" w:hAnsi="等线" w:eastAsia="等线" w:cs="宋体"/>
                <w:color w:val="000000"/>
                <w:sz w:val="16"/>
                <w:szCs w:val="16"/>
              </w:rPr>
            </w:pPr>
          </w:p>
        </w:tc>
      </w:tr>
      <w:tr w14:paraId="11CB9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25" w:type="pct"/>
            <w:vMerge w:val="continue"/>
            <w:vAlign w:val="center"/>
          </w:tcPr>
          <w:p w14:paraId="208DB94A">
            <w:pPr>
              <w:widowControl/>
              <w:jc w:val="left"/>
              <w:rPr>
                <w:rFonts w:ascii="宋体" w:hAnsi="宋体" w:eastAsia="宋体" w:cs="宋体"/>
                <w:color w:val="000000"/>
                <w:sz w:val="16"/>
                <w:szCs w:val="16"/>
              </w:rPr>
            </w:pPr>
          </w:p>
        </w:tc>
        <w:tc>
          <w:tcPr>
            <w:tcW w:w="386" w:type="pct"/>
            <w:shd w:val="clear" w:color="auto" w:fill="auto"/>
            <w:vAlign w:val="center"/>
          </w:tcPr>
          <w:p w14:paraId="2D21DB4F">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小计</w:t>
            </w:r>
          </w:p>
        </w:tc>
        <w:tc>
          <w:tcPr>
            <w:tcW w:w="202" w:type="pct"/>
            <w:shd w:val="clear" w:color="auto" w:fill="auto"/>
            <w:vAlign w:val="center"/>
          </w:tcPr>
          <w:p w14:paraId="57AE9C77">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6F6B57E1">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4A751296">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22191603">
            <w:pPr>
              <w:widowControl/>
              <w:jc w:val="center"/>
              <w:rPr>
                <w:rFonts w:ascii="等线" w:hAnsi="等线" w:eastAsia="等线" w:cs="宋体"/>
                <w:color w:val="000000"/>
                <w:sz w:val="16"/>
                <w:szCs w:val="16"/>
              </w:rPr>
            </w:pPr>
          </w:p>
        </w:tc>
        <w:tc>
          <w:tcPr>
            <w:tcW w:w="202" w:type="pct"/>
            <w:shd w:val="clear" w:color="auto" w:fill="auto"/>
            <w:vAlign w:val="center"/>
          </w:tcPr>
          <w:p w14:paraId="7BC0B6E7">
            <w:pPr>
              <w:widowControl/>
              <w:jc w:val="center"/>
              <w:rPr>
                <w:rFonts w:ascii="等线" w:hAnsi="等线" w:eastAsia="等线" w:cs="宋体"/>
                <w:color w:val="000000"/>
                <w:sz w:val="16"/>
                <w:szCs w:val="16"/>
              </w:rPr>
            </w:pPr>
          </w:p>
        </w:tc>
        <w:tc>
          <w:tcPr>
            <w:tcW w:w="202" w:type="pct"/>
            <w:shd w:val="clear" w:color="auto" w:fill="auto"/>
            <w:vAlign w:val="center"/>
          </w:tcPr>
          <w:p w14:paraId="23C56E74">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2CF0DEEC">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20B10059">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077FE925">
            <w:pPr>
              <w:widowControl/>
              <w:jc w:val="center"/>
              <w:rPr>
                <w:rFonts w:ascii="等线" w:hAnsi="等线" w:eastAsia="等线" w:cs="宋体"/>
                <w:color w:val="000000"/>
                <w:sz w:val="16"/>
                <w:szCs w:val="16"/>
              </w:rPr>
            </w:pPr>
          </w:p>
        </w:tc>
        <w:tc>
          <w:tcPr>
            <w:tcW w:w="262" w:type="pct"/>
            <w:shd w:val="clear" w:color="auto" w:fill="auto"/>
            <w:vAlign w:val="center"/>
          </w:tcPr>
          <w:p w14:paraId="0BE9F180">
            <w:pPr>
              <w:widowControl/>
              <w:jc w:val="center"/>
              <w:rPr>
                <w:rFonts w:ascii="等线" w:hAnsi="等线" w:eastAsia="等线" w:cs="宋体"/>
                <w:color w:val="000000"/>
                <w:sz w:val="16"/>
                <w:szCs w:val="16"/>
              </w:rPr>
            </w:pPr>
          </w:p>
        </w:tc>
        <w:tc>
          <w:tcPr>
            <w:tcW w:w="322" w:type="pct"/>
            <w:shd w:val="clear" w:color="auto" w:fill="auto"/>
            <w:vAlign w:val="center"/>
          </w:tcPr>
          <w:p w14:paraId="439F0F29">
            <w:pPr>
              <w:widowControl/>
              <w:jc w:val="center"/>
              <w:rPr>
                <w:rFonts w:ascii="等线" w:hAnsi="等线" w:eastAsia="等线" w:cs="宋体"/>
                <w:color w:val="000000"/>
                <w:sz w:val="16"/>
                <w:szCs w:val="16"/>
              </w:rPr>
            </w:pPr>
          </w:p>
        </w:tc>
        <w:tc>
          <w:tcPr>
            <w:tcW w:w="322" w:type="pct"/>
            <w:shd w:val="clear" w:color="auto" w:fill="auto"/>
            <w:vAlign w:val="center"/>
          </w:tcPr>
          <w:p w14:paraId="4B111E96">
            <w:pPr>
              <w:widowControl/>
              <w:jc w:val="center"/>
              <w:rPr>
                <w:rFonts w:ascii="等线" w:hAnsi="等线" w:eastAsia="等线" w:cs="宋体"/>
                <w:color w:val="000000"/>
                <w:sz w:val="16"/>
                <w:szCs w:val="16"/>
              </w:rPr>
            </w:pPr>
          </w:p>
        </w:tc>
        <w:tc>
          <w:tcPr>
            <w:tcW w:w="202" w:type="pct"/>
            <w:shd w:val="clear" w:color="auto" w:fill="auto"/>
            <w:vAlign w:val="center"/>
          </w:tcPr>
          <w:p w14:paraId="75ABFF97">
            <w:pPr>
              <w:widowControl/>
              <w:jc w:val="center"/>
              <w:rPr>
                <w:rFonts w:ascii="等线" w:hAnsi="等线" w:eastAsia="等线" w:cs="宋体"/>
                <w:color w:val="000000"/>
                <w:sz w:val="16"/>
                <w:szCs w:val="16"/>
              </w:rPr>
            </w:pPr>
          </w:p>
        </w:tc>
        <w:tc>
          <w:tcPr>
            <w:tcW w:w="202" w:type="pct"/>
            <w:shd w:val="clear" w:color="auto" w:fill="auto"/>
            <w:vAlign w:val="center"/>
          </w:tcPr>
          <w:p w14:paraId="1D728EF9">
            <w:pPr>
              <w:widowControl/>
              <w:jc w:val="center"/>
              <w:rPr>
                <w:rFonts w:ascii="等线" w:hAnsi="等线" w:eastAsia="等线" w:cs="宋体"/>
                <w:color w:val="000000"/>
                <w:sz w:val="16"/>
                <w:szCs w:val="16"/>
              </w:rPr>
            </w:pPr>
          </w:p>
        </w:tc>
        <w:tc>
          <w:tcPr>
            <w:tcW w:w="202" w:type="pct"/>
            <w:shd w:val="clear" w:color="auto" w:fill="auto"/>
            <w:vAlign w:val="center"/>
          </w:tcPr>
          <w:p w14:paraId="760C9D0E">
            <w:pPr>
              <w:widowControl/>
              <w:jc w:val="center"/>
              <w:rPr>
                <w:rFonts w:ascii="等线" w:hAnsi="等线" w:eastAsia="等线" w:cs="宋体"/>
                <w:color w:val="000000"/>
                <w:sz w:val="16"/>
                <w:szCs w:val="16"/>
              </w:rPr>
            </w:pPr>
          </w:p>
        </w:tc>
        <w:tc>
          <w:tcPr>
            <w:tcW w:w="202" w:type="pct"/>
            <w:shd w:val="clear" w:color="auto" w:fill="auto"/>
            <w:vAlign w:val="center"/>
          </w:tcPr>
          <w:p w14:paraId="36FBEFC7">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26CB6B79">
            <w:pPr>
              <w:widowControl/>
              <w:jc w:val="center"/>
              <w:rPr>
                <w:rFonts w:ascii="Times New Roman" w:hAnsi="Times New Roman" w:eastAsia="宋体" w:cs="Times New Roman"/>
                <w:color w:val="000000"/>
                <w:sz w:val="16"/>
                <w:szCs w:val="16"/>
              </w:rPr>
            </w:pPr>
          </w:p>
        </w:tc>
        <w:tc>
          <w:tcPr>
            <w:tcW w:w="322" w:type="pct"/>
            <w:shd w:val="clear" w:color="auto" w:fill="auto"/>
            <w:noWrap/>
            <w:vAlign w:val="center"/>
          </w:tcPr>
          <w:p w14:paraId="0FD396E5">
            <w:pPr>
              <w:widowControl/>
              <w:jc w:val="center"/>
              <w:rPr>
                <w:rFonts w:ascii="等线" w:hAnsi="等线" w:eastAsia="等线" w:cs="宋体"/>
                <w:color w:val="000000"/>
                <w:sz w:val="16"/>
                <w:szCs w:val="16"/>
              </w:rPr>
            </w:pPr>
          </w:p>
        </w:tc>
      </w:tr>
      <w:tr w14:paraId="0FE8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25" w:type="pct"/>
            <w:shd w:val="clear" w:color="auto" w:fill="auto"/>
            <w:vAlign w:val="center"/>
          </w:tcPr>
          <w:p w14:paraId="344951DF">
            <w:pPr>
              <w:widowControl/>
              <w:jc w:val="center"/>
              <w:rPr>
                <w:rFonts w:ascii="宋体" w:hAnsi="宋体" w:eastAsia="宋体" w:cs="宋体"/>
                <w:color w:val="000000"/>
                <w:sz w:val="16"/>
                <w:szCs w:val="16"/>
              </w:rPr>
            </w:pPr>
            <w:r>
              <w:rPr>
                <w:rFonts w:hint="eastAsia" w:ascii="宋体" w:hAnsi="宋体" w:eastAsia="宋体" w:cs="宋体"/>
                <w:color w:val="000000"/>
                <w:sz w:val="16"/>
                <w:szCs w:val="16"/>
              </w:rPr>
              <w:t>合计</w:t>
            </w:r>
          </w:p>
        </w:tc>
        <w:tc>
          <w:tcPr>
            <w:tcW w:w="386" w:type="pct"/>
            <w:shd w:val="clear" w:color="auto" w:fill="auto"/>
            <w:vAlign w:val="center"/>
          </w:tcPr>
          <w:p w14:paraId="53835F67">
            <w:pPr>
              <w:widowControl/>
              <w:jc w:val="center"/>
              <w:rPr>
                <w:rFonts w:ascii="等线" w:hAnsi="等线" w:eastAsia="等线" w:cs="宋体"/>
                <w:color w:val="000000"/>
                <w:sz w:val="16"/>
                <w:szCs w:val="16"/>
              </w:rPr>
            </w:pPr>
          </w:p>
        </w:tc>
        <w:tc>
          <w:tcPr>
            <w:tcW w:w="202" w:type="pct"/>
            <w:shd w:val="clear" w:color="auto" w:fill="auto"/>
            <w:vAlign w:val="center"/>
          </w:tcPr>
          <w:p w14:paraId="4514849C">
            <w:pPr>
              <w:widowControl/>
              <w:jc w:val="center"/>
              <w:rPr>
                <w:rFonts w:ascii="等线" w:hAnsi="等线" w:eastAsia="等线" w:cs="宋体"/>
                <w:color w:val="000000"/>
                <w:sz w:val="16"/>
                <w:szCs w:val="16"/>
              </w:rPr>
            </w:pPr>
          </w:p>
        </w:tc>
        <w:tc>
          <w:tcPr>
            <w:tcW w:w="202" w:type="pct"/>
            <w:shd w:val="clear" w:color="auto" w:fill="auto"/>
            <w:vAlign w:val="center"/>
          </w:tcPr>
          <w:p w14:paraId="1E6407DB">
            <w:pPr>
              <w:widowControl/>
              <w:jc w:val="center"/>
              <w:rPr>
                <w:rFonts w:ascii="等线" w:hAnsi="等线" w:eastAsia="等线" w:cs="宋体"/>
                <w:color w:val="000000"/>
                <w:sz w:val="16"/>
                <w:szCs w:val="16"/>
              </w:rPr>
            </w:pPr>
          </w:p>
        </w:tc>
        <w:tc>
          <w:tcPr>
            <w:tcW w:w="202" w:type="pct"/>
            <w:shd w:val="clear" w:color="auto" w:fill="auto"/>
            <w:vAlign w:val="center"/>
          </w:tcPr>
          <w:p w14:paraId="0F678F9D">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6A29F08">
            <w:pPr>
              <w:widowControl/>
              <w:jc w:val="center"/>
              <w:rPr>
                <w:rFonts w:ascii="等线" w:hAnsi="等线" w:eastAsia="等线" w:cs="宋体"/>
                <w:color w:val="000000"/>
                <w:sz w:val="16"/>
                <w:szCs w:val="16"/>
              </w:rPr>
            </w:pPr>
          </w:p>
        </w:tc>
        <w:tc>
          <w:tcPr>
            <w:tcW w:w="202" w:type="pct"/>
            <w:shd w:val="clear" w:color="auto" w:fill="auto"/>
            <w:vAlign w:val="center"/>
          </w:tcPr>
          <w:p w14:paraId="69BAE13E">
            <w:pPr>
              <w:widowControl/>
              <w:jc w:val="center"/>
              <w:rPr>
                <w:rFonts w:ascii="等线" w:hAnsi="等线" w:eastAsia="等线" w:cs="宋体"/>
                <w:color w:val="000000"/>
                <w:sz w:val="16"/>
                <w:szCs w:val="16"/>
              </w:rPr>
            </w:pPr>
          </w:p>
        </w:tc>
        <w:tc>
          <w:tcPr>
            <w:tcW w:w="202" w:type="pct"/>
            <w:shd w:val="clear" w:color="auto" w:fill="auto"/>
            <w:vAlign w:val="center"/>
          </w:tcPr>
          <w:p w14:paraId="5AFF71C8">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784AD007">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65CEACDF">
            <w:pPr>
              <w:widowControl/>
              <w:jc w:val="center"/>
              <w:rPr>
                <w:rFonts w:ascii="Times New Roman" w:hAnsi="Times New Roman" w:eastAsia="宋体" w:cs="Times New Roman"/>
                <w:b/>
                <w:bCs/>
                <w:color w:val="FF0000"/>
                <w:sz w:val="16"/>
                <w:szCs w:val="16"/>
              </w:rPr>
            </w:pPr>
          </w:p>
        </w:tc>
        <w:tc>
          <w:tcPr>
            <w:tcW w:w="322" w:type="pct"/>
            <w:shd w:val="clear" w:color="auto" w:fill="auto"/>
            <w:vAlign w:val="center"/>
          </w:tcPr>
          <w:p w14:paraId="7AB58EB9">
            <w:pPr>
              <w:widowControl/>
              <w:jc w:val="center"/>
              <w:rPr>
                <w:rFonts w:ascii="Times New Roman" w:hAnsi="Times New Roman" w:eastAsia="宋体" w:cs="Times New Roman"/>
                <w:b/>
                <w:bCs/>
                <w:color w:val="FF0000"/>
                <w:sz w:val="16"/>
                <w:szCs w:val="16"/>
              </w:rPr>
            </w:pPr>
          </w:p>
        </w:tc>
        <w:tc>
          <w:tcPr>
            <w:tcW w:w="262" w:type="pct"/>
            <w:shd w:val="clear" w:color="auto" w:fill="auto"/>
            <w:vAlign w:val="center"/>
          </w:tcPr>
          <w:p w14:paraId="18276DB8">
            <w:pPr>
              <w:widowControl/>
              <w:jc w:val="center"/>
              <w:rPr>
                <w:rFonts w:ascii="Times New Roman" w:hAnsi="Times New Roman" w:eastAsia="宋体" w:cs="Times New Roman"/>
                <w:b/>
                <w:bCs/>
                <w:color w:val="FF0000"/>
                <w:sz w:val="16"/>
                <w:szCs w:val="16"/>
              </w:rPr>
            </w:pPr>
          </w:p>
        </w:tc>
        <w:tc>
          <w:tcPr>
            <w:tcW w:w="322" w:type="pct"/>
            <w:shd w:val="clear" w:color="auto" w:fill="auto"/>
            <w:vAlign w:val="center"/>
          </w:tcPr>
          <w:p w14:paraId="2066B36C">
            <w:pPr>
              <w:widowControl/>
              <w:jc w:val="center"/>
              <w:rPr>
                <w:rFonts w:ascii="Times New Roman" w:hAnsi="Times New Roman" w:eastAsia="宋体" w:cs="Times New Roman"/>
                <w:b/>
                <w:bCs/>
                <w:color w:val="FF0000"/>
                <w:sz w:val="16"/>
                <w:szCs w:val="16"/>
              </w:rPr>
            </w:pPr>
          </w:p>
        </w:tc>
        <w:tc>
          <w:tcPr>
            <w:tcW w:w="322" w:type="pct"/>
            <w:shd w:val="clear" w:color="auto" w:fill="auto"/>
            <w:vAlign w:val="center"/>
          </w:tcPr>
          <w:p w14:paraId="012E1C58">
            <w:pPr>
              <w:widowControl/>
              <w:jc w:val="center"/>
              <w:rPr>
                <w:rFonts w:ascii="Times New Roman" w:hAnsi="Times New Roman" w:eastAsia="宋体" w:cs="Times New Roman"/>
                <w:b/>
                <w:bCs/>
                <w:color w:val="FF0000"/>
                <w:sz w:val="16"/>
                <w:szCs w:val="16"/>
              </w:rPr>
            </w:pPr>
          </w:p>
        </w:tc>
        <w:tc>
          <w:tcPr>
            <w:tcW w:w="202" w:type="pct"/>
            <w:shd w:val="clear" w:color="auto" w:fill="auto"/>
            <w:vAlign w:val="center"/>
          </w:tcPr>
          <w:p w14:paraId="094D86B4">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5EB8D4A0">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0D09B937">
            <w:pPr>
              <w:widowControl/>
              <w:jc w:val="center"/>
              <w:rPr>
                <w:rFonts w:ascii="等线" w:hAnsi="等线" w:eastAsia="等线" w:cs="宋体"/>
                <w:color w:val="000000"/>
                <w:sz w:val="16"/>
                <w:szCs w:val="16"/>
              </w:rPr>
            </w:pPr>
          </w:p>
        </w:tc>
        <w:tc>
          <w:tcPr>
            <w:tcW w:w="202" w:type="pct"/>
            <w:shd w:val="clear" w:color="auto" w:fill="auto"/>
            <w:vAlign w:val="center"/>
          </w:tcPr>
          <w:p w14:paraId="530A74EA">
            <w:pPr>
              <w:widowControl/>
              <w:jc w:val="center"/>
              <w:rPr>
                <w:rFonts w:ascii="Times New Roman" w:hAnsi="Times New Roman" w:eastAsia="宋体" w:cs="Times New Roman"/>
                <w:color w:val="000000"/>
                <w:sz w:val="16"/>
                <w:szCs w:val="16"/>
              </w:rPr>
            </w:pPr>
          </w:p>
        </w:tc>
        <w:tc>
          <w:tcPr>
            <w:tcW w:w="202" w:type="pct"/>
            <w:shd w:val="clear" w:color="auto" w:fill="auto"/>
            <w:vAlign w:val="center"/>
          </w:tcPr>
          <w:p w14:paraId="6F0881EC">
            <w:pPr>
              <w:widowControl/>
              <w:jc w:val="center"/>
              <w:rPr>
                <w:rFonts w:ascii="Times New Roman" w:hAnsi="Times New Roman" w:eastAsia="宋体" w:cs="Times New Roman"/>
                <w:color w:val="000000"/>
                <w:sz w:val="16"/>
                <w:szCs w:val="16"/>
              </w:rPr>
            </w:pPr>
          </w:p>
        </w:tc>
        <w:tc>
          <w:tcPr>
            <w:tcW w:w="322" w:type="pct"/>
            <w:shd w:val="clear" w:color="auto" w:fill="auto"/>
            <w:vAlign w:val="center"/>
          </w:tcPr>
          <w:p w14:paraId="483BF29F">
            <w:pPr>
              <w:widowControl/>
              <w:jc w:val="center"/>
              <w:rPr>
                <w:rFonts w:ascii="Times New Roman" w:hAnsi="Times New Roman" w:eastAsia="宋体" w:cs="Times New Roman"/>
                <w:color w:val="000000"/>
                <w:sz w:val="16"/>
                <w:szCs w:val="16"/>
              </w:rPr>
            </w:pPr>
          </w:p>
        </w:tc>
      </w:tr>
    </w:tbl>
    <w:p w14:paraId="6032B76A">
      <w:pPr>
        <w:sectPr>
          <w:pgSz w:w="16838" w:h="11906" w:orient="landscape"/>
          <w:pgMar w:top="1440" w:right="1440" w:bottom="1440" w:left="1440" w:header="708" w:footer="708" w:gutter="0"/>
          <w:cols w:space="720" w:num="1"/>
          <w:docGrid w:linePitch="360" w:charSpace="0"/>
        </w:sectPr>
      </w:pPr>
    </w:p>
    <w:p w14:paraId="5069F065"/>
    <w:p w14:paraId="75D9718A">
      <w:pPr>
        <w:pStyle w:val="51"/>
        <w:spacing w:after="120"/>
      </w:pPr>
      <w:bookmarkStart w:id="180" w:name="_Toc155628823"/>
      <w:bookmarkStart w:id="181" w:name="_Toc227827685"/>
      <w:bookmarkStart w:id="182" w:name="_Toc21240"/>
      <w:bookmarkStart w:id="183" w:name="_Toc13418"/>
      <w:bookmarkStart w:id="184" w:name="_Toc6448"/>
      <w:bookmarkStart w:id="185" w:name="_Toc155604599"/>
      <w:bookmarkStart w:id="186" w:name="_Toc24536"/>
      <w:bookmarkStart w:id="187" w:name="_Toc27067"/>
      <w:bookmarkStart w:id="188" w:name="_Toc155714378"/>
      <w:bookmarkStart w:id="189" w:name="_Toc155628760"/>
      <w:bookmarkStart w:id="190" w:name="_Toc155714935"/>
      <w:bookmarkStart w:id="191" w:name="_Toc10158"/>
      <w:bookmarkStart w:id="192" w:name="_Toc155714318"/>
      <w:r>
        <w:rPr>
          <w:rFonts w:hint="eastAsia"/>
          <w:spacing w:val="105"/>
        </w:rPr>
        <w:t>参考文</w:t>
      </w:r>
      <w:r>
        <w:rPr>
          <w:rFonts w:hint="eastAsia"/>
        </w:rPr>
        <w:t>献</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301A1D95">
      <w:pPr>
        <w:pStyle w:val="35"/>
        <w:numPr>
          <w:ilvl w:val="0"/>
          <w:numId w:val="5"/>
        </w:numPr>
        <w:rPr>
          <w:rFonts w:asciiTheme="minorEastAsia" w:hAnsiTheme="minorEastAsia" w:eastAsiaTheme="minorEastAsia" w:cstheme="minorEastAsia"/>
          <w:color w:val="000000" w:themeColor="text1"/>
          <w:sz w:val="21"/>
          <w:szCs w:val="20"/>
          <w14:textFill>
            <w14:solidFill>
              <w14:schemeClr w14:val="tx1"/>
            </w14:solidFill>
          </w14:textFill>
        </w:rPr>
      </w:pPr>
      <w:r>
        <w:rPr>
          <w:rFonts w:hint="eastAsia" w:asciiTheme="minorEastAsia" w:hAnsiTheme="minorEastAsia" w:eastAsiaTheme="minorEastAsia" w:cstheme="minorEastAsia"/>
          <w:color w:val="000000" w:themeColor="text1"/>
          <w:sz w:val="21"/>
          <w:szCs w:val="20"/>
          <w14:textFill>
            <w14:solidFill>
              <w14:schemeClr w14:val="tx1"/>
            </w14:solidFill>
          </w14:textFill>
        </w:rPr>
        <w:t xml:space="preserve">GB/T 1.1  标准化工作导则 第 1 部分：标准化文件的结构和起草规则 </w:t>
      </w: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D46342-3390-4FA4-8EAA-53F001909F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667309F-C1F5-41FF-A5B8-6B14AF162528}"/>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embedRegular r:id="rId3" w:fontKey="{A33AAA07-2DBA-457E-ACC2-E9971E2E8BA4}"/>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embedRegular r:id="rId4" w:fontKey="{10DBD432-89AC-4812-A9BD-8DFA253FD553}"/>
  </w:font>
  <w:font w:name="方正公文小标宋">
    <w:altName w:val="宋体"/>
    <w:panose1 w:val="00000000000000000000"/>
    <w:charset w:val="86"/>
    <w:family w:val="auto"/>
    <w:pitch w:val="default"/>
    <w:sig w:usb0="00000000" w:usb1="00000000" w:usb2="00000016" w:usb3="00000000" w:csb0="00040001" w:csb1="00000000"/>
    <w:embedRegular r:id="rId5" w:fontKey="{1D3A5800-7F9B-443F-A9C7-ACB72FCDF175}"/>
  </w:font>
  <w:font w:name="方正小标宋_GBK">
    <w:panose1 w:val="03000509000000000000"/>
    <w:charset w:val="86"/>
    <w:family w:val="script"/>
    <w:pitch w:val="default"/>
    <w:sig w:usb0="00000001" w:usb1="080E0000" w:usb2="00000000" w:usb3="00000000" w:csb0="00040000" w:csb1="00000000"/>
    <w:embedRegular r:id="rId6" w:fontKey="{FF8BCD10-A9FC-4590-B014-F83908BE6E4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4FADE">
    <w:pPr>
      <w:pStyle w:val="1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195E5C">
                          <w:pPr>
                            <w:pStyle w:val="15"/>
                          </w:pPr>
                          <w:r>
                            <w:fldChar w:fldCharType="begin"/>
                          </w:r>
                          <w:r>
                            <w:instrText xml:space="preserve"> PAGE  \* MERGEFORMAT </w:instrText>
                          </w:r>
                          <w:r>
                            <w:fldChar w:fldCharType="separate"/>
                          </w:r>
                          <w:r>
                            <w:t>I</w:t>
                          </w:r>
                          <w:r>
                            <w:fldChar w:fldCharType="end"/>
                          </w:r>
                        </w:p>
                      </w:txbxContent>
                    </wps:txbx>
                    <wps:bodyPr wrap="none" lIns="0" tIns="0" rIns="0" bIns="0" upright="1">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5dsC8kBAACa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eUOG5x4Jfv3y4/fl1+fiWr&#10;Ze5PH6DGtIeAiWm48wNuzewHdGbZg4o2f1EQwTh293ztrhwSEfnRerVeVxgSGJsviM8en4cI6a30&#10;lmSjoRHHV7rKT+8hjalzSq7m/L02pozQuL8ciJk9LHMfOWYrDfthErT37Rn19Dj5hjpcdErMO4eN&#10;zUsyG3E29rNxDFEfOqS2LLwg3B4TkijccoURdiqMIyvqpvXKO/HnvWQ9/lL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vl2wLyQEAAJoDAAAOAAAAAAAAAAEAIAAAAB4BAABkcnMvZTJvRG9j&#10;LnhtbFBLBQYAAAAABgAGAFkBAABZBQAAAAA=&#10;">
              <v:fill on="f" focussize="0,0"/>
              <v:stroke on="f"/>
              <v:imagedata o:title=""/>
              <o:lock v:ext="edit" aspectratio="f"/>
              <v:textbox inset="0mm,0mm,0mm,0mm" style="mso-fit-shape-to-text:t;">
                <w:txbxContent>
                  <w:p w14:paraId="73195E5C">
                    <w:pPr>
                      <w:pStyle w:val="1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CBCFF">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4E296">
                          <w:pPr>
                            <w:pStyle w:val="1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4C4E296">
                    <w:pPr>
                      <w:pStyle w:val="15"/>
                    </w:pPr>
                    <w:r>
                      <w:fldChar w:fldCharType="begin"/>
                    </w:r>
                    <w:r>
                      <w:instrText xml:space="preserve"> PAGE  \* MERGEFORMAT </w:instrText>
                    </w:r>
                    <w:r>
                      <w:fldChar w:fldCharType="separate"/>
                    </w:r>
                    <w:r>
                      <w:t>3</w:t>
                    </w:r>
                    <w:r>
                      <w:fldChar w:fldCharType="end"/>
                    </w:r>
                  </w:p>
                </w:txbxContent>
              </v:textbox>
            </v:shape>
          </w:pict>
        </mc:Fallback>
      </mc:AlternateContent>
    </w:r>
  </w:p>
  <w:p w14:paraId="5AEE9794">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12FE90"/>
    <w:multiLevelType w:val="singleLevel"/>
    <w:tmpl w:val="BE12FE90"/>
    <w:lvl w:ilvl="0" w:tentative="0">
      <w:start w:val="1"/>
      <w:numFmt w:val="decimal"/>
      <w:suff w:val="space"/>
      <w:lvlText w:val="(%1)"/>
      <w:lvlJc w:val="left"/>
      <w:pPr>
        <w:ind w:left="-60"/>
      </w:pPr>
    </w:lvl>
  </w:abstractNum>
  <w:abstractNum w:abstractNumId="1">
    <w:nsid w:val="D0E49E13"/>
    <w:multiLevelType w:val="singleLevel"/>
    <w:tmpl w:val="D0E49E13"/>
    <w:lvl w:ilvl="0" w:tentative="0">
      <w:start w:val="1"/>
      <w:numFmt w:val="decimal"/>
      <w:suff w:val="space"/>
      <w:lvlText w:val="[%1]"/>
      <w:lvlJc w:val="left"/>
    </w:lvl>
  </w:abstractNum>
  <w:abstractNum w:abstractNumId="2">
    <w:nsid w:val="FECE2E39"/>
    <w:multiLevelType w:val="singleLevel"/>
    <w:tmpl w:val="FECE2E39"/>
    <w:lvl w:ilvl="0" w:tentative="0">
      <w:start w:val="1"/>
      <w:numFmt w:val="decimal"/>
      <w:suff w:val="space"/>
      <w:lvlText w:val="(%1)"/>
      <w:lvlJc w:val="left"/>
    </w:lvl>
  </w:abstractNum>
  <w:abstractNum w:abstractNumId="3">
    <w:nsid w:val="4BF40E9B"/>
    <w:multiLevelType w:val="singleLevel"/>
    <w:tmpl w:val="4BF40E9B"/>
    <w:lvl w:ilvl="0" w:tentative="0">
      <w:start w:val="1"/>
      <w:numFmt w:val="decimal"/>
      <w:suff w:val="space"/>
      <w:lvlText w:val="(%1)"/>
      <w:lvlJc w:val="left"/>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default" w:ascii="宋体" w:hAnsi="宋体" w:eastAsia="宋体" w:cs="宋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宋体" w:hAnsi="宋体" w:eastAsia="宋体" w:cs="宋体"/>
        <w:b w:val="0"/>
        <w:i w:val="0"/>
        <w:sz w:val="21"/>
      </w:rPr>
    </w:lvl>
    <w:lvl w:ilvl="4" w:tentative="0">
      <w:start w:val="1"/>
      <w:numFmt w:val="decimal"/>
      <w:suff w:val="nothing"/>
      <w:lvlText w:val="%1%2.%3.%4.%5　"/>
      <w:lvlJc w:val="left"/>
      <w:pPr>
        <w:ind w:left="0" w:firstLine="0"/>
      </w:pPr>
      <w:rPr>
        <w:rFonts w:hint="default" w:ascii="宋体" w:hAnsi="宋体" w:eastAsia="宋体" w:cs="宋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1"/>
  <w:bordersDoNotSurroundFooter w:val="1"/>
  <w:documentProtection w:enforcement="0"/>
  <w:defaultTabStop w:val="420"/>
  <w:noPunctuationKerning w:val="1"/>
  <w:characterSpacingControl w:val="doNotCompress"/>
  <w:compat>
    <w:balanceSingleByteDoubleByteWidth/>
    <w:doNotExpandShiftReturn/>
    <w:adjustLineHeightInTable/>
    <w:doNotWrapTextWithPunct/>
    <w:doNotUseEastAsianBreakRules/>
    <w:useFELayout/>
    <w:compatSetting w:name="compatibilityMode" w:uri="http://schemas.microsoft.com/office/word" w:val="14"/>
  </w:compat>
  <w:rsids>
    <w:rsidRoot w:val="00E350F9"/>
    <w:rsid w:val="00012A32"/>
    <w:rsid w:val="000140D9"/>
    <w:rsid w:val="00024CFB"/>
    <w:rsid w:val="0002768A"/>
    <w:rsid w:val="00040E4F"/>
    <w:rsid w:val="00045433"/>
    <w:rsid w:val="00050103"/>
    <w:rsid w:val="000502A3"/>
    <w:rsid w:val="000620A2"/>
    <w:rsid w:val="00071023"/>
    <w:rsid w:val="0007219A"/>
    <w:rsid w:val="00080443"/>
    <w:rsid w:val="00086D78"/>
    <w:rsid w:val="000957D1"/>
    <w:rsid w:val="000B5D50"/>
    <w:rsid w:val="000C31CF"/>
    <w:rsid w:val="000C443B"/>
    <w:rsid w:val="000D680E"/>
    <w:rsid w:val="000E2194"/>
    <w:rsid w:val="000E3DB5"/>
    <w:rsid w:val="000E5143"/>
    <w:rsid w:val="000E75D7"/>
    <w:rsid w:val="000F128F"/>
    <w:rsid w:val="000F2595"/>
    <w:rsid w:val="000F2C96"/>
    <w:rsid w:val="000F6015"/>
    <w:rsid w:val="00106279"/>
    <w:rsid w:val="00107590"/>
    <w:rsid w:val="00117D99"/>
    <w:rsid w:val="00122D52"/>
    <w:rsid w:val="00123C77"/>
    <w:rsid w:val="001425B6"/>
    <w:rsid w:val="00143D03"/>
    <w:rsid w:val="001454C7"/>
    <w:rsid w:val="001557A7"/>
    <w:rsid w:val="00164EFE"/>
    <w:rsid w:val="0017096E"/>
    <w:rsid w:val="00170EA4"/>
    <w:rsid w:val="00195F81"/>
    <w:rsid w:val="001A2B4F"/>
    <w:rsid w:val="001A2B92"/>
    <w:rsid w:val="001C0F3E"/>
    <w:rsid w:val="001D269D"/>
    <w:rsid w:val="001D5E41"/>
    <w:rsid w:val="001E5FCC"/>
    <w:rsid w:val="001F7808"/>
    <w:rsid w:val="00200FBB"/>
    <w:rsid w:val="002020FD"/>
    <w:rsid w:val="00202C4F"/>
    <w:rsid w:val="00205565"/>
    <w:rsid w:val="00214DC4"/>
    <w:rsid w:val="0021607D"/>
    <w:rsid w:val="0024446B"/>
    <w:rsid w:val="0024586B"/>
    <w:rsid w:val="00266DA8"/>
    <w:rsid w:val="00276E18"/>
    <w:rsid w:val="00276EAE"/>
    <w:rsid w:val="00280162"/>
    <w:rsid w:val="00284182"/>
    <w:rsid w:val="00291A1B"/>
    <w:rsid w:val="002A38E4"/>
    <w:rsid w:val="002A6CF8"/>
    <w:rsid w:val="002A7AA0"/>
    <w:rsid w:val="002B07AE"/>
    <w:rsid w:val="002B6994"/>
    <w:rsid w:val="002C0042"/>
    <w:rsid w:val="002C3B5F"/>
    <w:rsid w:val="002D4E17"/>
    <w:rsid w:val="002D5FCF"/>
    <w:rsid w:val="002E387A"/>
    <w:rsid w:val="002E7C5A"/>
    <w:rsid w:val="003066E5"/>
    <w:rsid w:val="00314413"/>
    <w:rsid w:val="003300CC"/>
    <w:rsid w:val="00330FE3"/>
    <w:rsid w:val="00331A70"/>
    <w:rsid w:val="003438CC"/>
    <w:rsid w:val="0035496A"/>
    <w:rsid w:val="003609A5"/>
    <w:rsid w:val="00385DB7"/>
    <w:rsid w:val="003B5E2B"/>
    <w:rsid w:val="003B692F"/>
    <w:rsid w:val="003B73F3"/>
    <w:rsid w:val="003C3965"/>
    <w:rsid w:val="003C3E1D"/>
    <w:rsid w:val="003C71E9"/>
    <w:rsid w:val="003D45C4"/>
    <w:rsid w:val="003E4324"/>
    <w:rsid w:val="003F3658"/>
    <w:rsid w:val="0040719B"/>
    <w:rsid w:val="004075D0"/>
    <w:rsid w:val="004104B8"/>
    <w:rsid w:val="004108DE"/>
    <w:rsid w:val="00422044"/>
    <w:rsid w:val="00423296"/>
    <w:rsid w:val="004235B4"/>
    <w:rsid w:val="00423B02"/>
    <w:rsid w:val="0042787E"/>
    <w:rsid w:val="00436E51"/>
    <w:rsid w:val="00445426"/>
    <w:rsid w:val="004772EC"/>
    <w:rsid w:val="00481AB6"/>
    <w:rsid w:val="004B4000"/>
    <w:rsid w:val="004C2EB2"/>
    <w:rsid w:val="004D7EF3"/>
    <w:rsid w:val="004F0A81"/>
    <w:rsid w:val="005024CC"/>
    <w:rsid w:val="005160F2"/>
    <w:rsid w:val="00520289"/>
    <w:rsid w:val="00523E1A"/>
    <w:rsid w:val="00535770"/>
    <w:rsid w:val="0054029A"/>
    <w:rsid w:val="00546B45"/>
    <w:rsid w:val="00555F24"/>
    <w:rsid w:val="00556D0C"/>
    <w:rsid w:val="00557487"/>
    <w:rsid w:val="00565595"/>
    <w:rsid w:val="00570E8F"/>
    <w:rsid w:val="005762D9"/>
    <w:rsid w:val="00580F1B"/>
    <w:rsid w:val="00597E3A"/>
    <w:rsid w:val="005A1228"/>
    <w:rsid w:val="005B0B4E"/>
    <w:rsid w:val="005D47E4"/>
    <w:rsid w:val="005D4FEB"/>
    <w:rsid w:val="005D5589"/>
    <w:rsid w:val="005F2C67"/>
    <w:rsid w:val="0060500D"/>
    <w:rsid w:val="00640A46"/>
    <w:rsid w:val="00653D24"/>
    <w:rsid w:val="00662575"/>
    <w:rsid w:val="00667CFE"/>
    <w:rsid w:val="006834EC"/>
    <w:rsid w:val="00683A6E"/>
    <w:rsid w:val="006A2190"/>
    <w:rsid w:val="006B140F"/>
    <w:rsid w:val="006C4B15"/>
    <w:rsid w:val="006C4E18"/>
    <w:rsid w:val="006C7E14"/>
    <w:rsid w:val="006E7B65"/>
    <w:rsid w:val="006F4952"/>
    <w:rsid w:val="006F4CEC"/>
    <w:rsid w:val="0070336A"/>
    <w:rsid w:val="00707D90"/>
    <w:rsid w:val="00714E3A"/>
    <w:rsid w:val="00721420"/>
    <w:rsid w:val="00725169"/>
    <w:rsid w:val="0072677D"/>
    <w:rsid w:val="0074199E"/>
    <w:rsid w:val="0074577B"/>
    <w:rsid w:val="00763364"/>
    <w:rsid w:val="0076510A"/>
    <w:rsid w:val="00773E44"/>
    <w:rsid w:val="00775167"/>
    <w:rsid w:val="007903A7"/>
    <w:rsid w:val="00796B53"/>
    <w:rsid w:val="007A3B08"/>
    <w:rsid w:val="007A5C64"/>
    <w:rsid w:val="007B4C04"/>
    <w:rsid w:val="007B57EB"/>
    <w:rsid w:val="007C15C1"/>
    <w:rsid w:val="007C47CB"/>
    <w:rsid w:val="007C672A"/>
    <w:rsid w:val="007E0BBD"/>
    <w:rsid w:val="007E1B21"/>
    <w:rsid w:val="007E4474"/>
    <w:rsid w:val="007F799E"/>
    <w:rsid w:val="00802EA7"/>
    <w:rsid w:val="008122EB"/>
    <w:rsid w:val="00812451"/>
    <w:rsid w:val="0081361C"/>
    <w:rsid w:val="00815158"/>
    <w:rsid w:val="00816E40"/>
    <w:rsid w:val="008201F6"/>
    <w:rsid w:val="00823C0A"/>
    <w:rsid w:val="008351D4"/>
    <w:rsid w:val="00851F14"/>
    <w:rsid w:val="0087377B"/>
    <w:rsid w:val="008A7613"/>
    <w:rsid w:val="008C1A64"/>
    <w:rsid w:val="008C340E"/>
    <w:rsid w:val="008D6C52"/>
    <w:rsid w:val="008E4726"/>
    <w:rsid w:val="008F4F88"/>
    <w:rsid w:val="0090099F"/>
    <w:rsid w:val="00907E16"/>
    <w:rsid w:val="009166A8"/>
    <w:rsid w:val="0092496A"/>
    <w:rsid w:val="009342D5"/>
    <w:rsid w:val="00941FB4"/>
    <w:rsid w:val="00942649"/>
    <w:rsid w:val="00951450"/>
    <w:rsid w:val="00951626"/>
    <w:rsid w:val="00984F06"/>
    <w:rsid w:val="009945E4"/>
    <w:rsid w:val="009C506B"/>
    <w:rsid w:val="009D03EB"/>
    <w:rsid w:val="009E3DF5"/>
    <w:rsid w:val="009E3F7C"/>
    <w:rsid w:val="00A04158"/>
    <w:rsid w:val="00A078C8"/>
    <w:rsid w:val="00A134F4"/>
    <w:rsid w:val="00A25B9A"/>
    <w:rsid w:val="00A27533"/>
    <w:rsid w:val="00A31174"/>
    <w:rsid w:val="00A403EB"/>
    <w:rsid w:val="00A42509"/>
    <w:rsid w:val="00A429E1"/>
    <w:rsid w:val="00A4520F"/>
    <w:rsid w:val="00A52B23"/>
    <w:rsid w:val="00A54727"/>
    <w:rsid w:val="00A57EFB"/>
    <w:rsid w:val="00A60FA1"/>
    <w:rsid w:val="00A643F8"/>
    <w:rsid w:val="00A76E6A"/>
    <w:rsid w:val="00A9122A"/>
    <w:rsid w:val="00AA4D57"/>
    <w:rsid w:val="00AA7C7E"/>
    <w:rsid w:val="00AC3809"/>
    <w:rsid w:val="00AC62E9"/>
    <w:rsid w:val="00AD535B"/>
    <w:rsid w:val="00AE113D"/>
    <w:rsid w:val="00AE40E2"/>
    <w:rsid w:val="00AF0760"/>
    <w:rsid w:val="00AF4E03"/>
    <w:rsid w:val="00B027F7"/>
    <w:rsid w:val="00B03B15"/>
    <w:rsid w:val="00B0779E"/>
    <w:rsid w:val="00B07A1F"/>
    <w:rsid w:val="00B116ED"/>
    <w:rsid w:val="00B268B0"/>
    <w:rsid w:val="00B42E22"/>
    <w:rsid w:val="00B509CB"/>
    <w:rsid w:val="00B51E29"/>
    <w:rsid w:val="00B5559D"/>
    <w:rsid w:val="00B57958"/>
    <w:rsid w:val="00B64C3C"/>
    <w:rsid w:val="00BA206D"/>
    <w:rsid w:val="00BA7D54"/>
    <w:rsid w:val="00BA7EAD"/>
    <w:rsid w:val="00BB2CFA"/>
    <w:rsid w:val="00BB4E75"/>
    <w:rsid w:val="00BB5449"/>
    <w:rsid w:val="00BC035F"/>
    <w:rsid w:val="00BC53B5"/>
    <w:rsid w:val="00BC6D11"/>
    <w:rsid w:val="00BD48ED"/>
    <w:rsid w:val="00BF0C87"/>
    <w:rsid w:val="00C03D8B"/>
    <w:rsid w:val="00C055E2"/>
    <w:rsid w:val="00C0678E"/>
    <w:rsid w:val="00C32F23"/>
    <w:rsid w:val="00C35625"/>
    <w:rsid w:val="00C5256B"/>
    <w:rsid w:val="00C72BF9"/>
    <w:rsid w:val="00C75FBD"/>
    <w:rsid w:val="00C83DEE"/>
    <w:rsid w:val="00C86283"/>
    <w:rsid w:val="00C8728F"/>
    <w:rsid w:val="00C94142"/>
    <w:rsid w:val="00CC332D"/>
    <w:rsid w:val="00CE0373"/>
    <w:rsid w:val="00CE3AD2"/>
    <w:rsid w:val="00CF4DF0"/>
    <w:rsid w:val="00CF6E1C"/>
    <w:rsid w:val="00D11E91"/>
    <w:rsid w:val="00D32B82"/>
    <w:rsid w:val="00D373DA"/>
    <w:rsid w:val="00D40AE6"/>
    <w:rsid w:val="00D42809"/>
    <w:rsid w:val="00D4458E"/>
    <w:rsid w:val="00D44A0E"/>
    <w:rsid w:val="00D46235"/>
    <w:rsid w:val="00D632E9"/>
    <w:rsid w:val="00D6501A"/>
    <w:rsid w:val="00D67460"/>
    <w:rsid w:val="00D71722"/>
    <w:rsid w:val="00D76A4E"/>
    <w:rsid w:val="00DA1BA1"/>
    <w:rsid w:val="00DB37A8"/>
    <w:rsid w:val="00DB3B57"/>
    <w:rsid w:val="00DC3153"/>
    <w:rsid w:val="00DE07A5"/>
    <w:rsid w:val="00DE3A27"/>
    <w:rsid w:val="00DF0FC8"/>
    <w:rsid w:val="00E17667"/>
    <w:rsid w:val="00E350F9"/>
    <w:rsid w:val="00E351EB"/>
    <w:rsid w:val="00E4132C"/>
    <w:rsid w:val="00E44472"/>
    <w:rsid w:val="00E46013"/>
    <w:rsid w:val="00E73BCE"/>
    <w:rsid w:val="00E851A9"/>
    <w:rsid w:val="00E96889"/>
    <w:rsid w:val="00EB0B99"/>
    <w:rsid w:val="00EB4FB7"/>
    <w:rsid w:val="00EC65F7"/>
    <w:rsid w:val="00EC72F7"/>
    <w:rsid w:val="00ED0943"/>
    <w:rsid w:val="00ED226F"/>
    <w:rsid w:val="00EF687D"/>
    <w:rsid w:val="00F136FE"/>
    <w:rsid w:val="00F22844"/>
    <w:rsid w:val="00F537D4"/>
    <w:rsid w:val="00F56A67"/>
    <w:rsid w:val="00F75887"/>
    <w:rsid w:val="00F75A4C"/>
    <w:rsid w:val="00F8071D"/>
    <w:rsid w:val="00F83151"/>
    <w:rsid w:val="00FB0FA9"/>
    <w:rsid w:val="00FB2608"/>
    <w:rsid w:val="00FB73FE"/>
    <w:rsid w:val="00FC10FC"/>
    <w:rsid w:val="00FC1712"/>
    <w:rsid w:val="00FD2B39"/>
    <w:rsid w:val="00FD3092"/>
    <w:rsid w:val="01D120D3"/>
    <w:rsid w:val="01D774EA"/>
    <w:rsid w:val="01DB59BA"/>
    <w:rsid w:val="025263E9"/>
    <w:rsid w:val="02E776F4"/>
    <w:rsid w:val="055A65D5"/>
    <w:rsid w:val="05B30127"/>
    <w:rsid w:val="05C706B8"/>
    <w:rsid w:val="06BB427D"/>
    <w:rsid w:val="079E3568"/>
    <w:rsid w:val="09B20737"/>
    <w:rsid w:val="09D14B65"/>
    <w:rsid w:val="0A950D96"/>
    <w:rsid w:val="0AAB6AF7"/>
    <w:rsid w:val="0D207BE7"/>
    <w:rsid w:val="0D752173"/>
    <w:rsid w:val="0F88122E"/>
    <w:rsid w:val="132F0080"/>
    <w:rsid w:val="136A10B9"/>
    <w:rsid w:val="14172444"/>
    <w:rsid w:val="14E52206"/>
    <w:rsid w:val="15044878"/>
    <w:rsid w:val="15874D58"/>
    <w:rsid w:val="15962639"/>
    <w:rsid w:val="15DA3D07"/>
    <w:rsid w:val="16013C9E"/>
    <w:rsid w:val="165D2447"/>
    <w:rsid w:val="17FFD7D1"/>
    <w:rsid w:val="183421EA"/>
    <w:rsid w:val="19375EE1"/>
    <w:rsid w:val="19A70C8C"/>
    <w:rsid w:val="1A824F3A"/>
    <w:rsid w:val="1B4F0594"/>
    <w:rsid w:val="1D6C6F93"/>
    <w:rsid w:val="1DAEC261"/>
    <w:rsid w:val="1DD9E384"/>
    <w:rsid w:val="1DDB787F"/>
    <w:rsid w:val="1E0D7210"/>
    <w:rsid w:val="1E7FB18F"/>
    <w:rsid w:val="1EFB1093"/>
    <w:rsid w:val="1F377767"/>
    <w:rsid w:val="1F6F5F94"/>
    <w:rsid w:val="1F821C01"/>
    <w:rsid w:val="20AE0E87"/>
    <w:rsid w:val="20AF102F"/>
    <w:rsid w:val="213353E6"/>
    <w:rsid w:val="2189138A"/>
    <w:rsid w:val="21D37C6C"/>
    <w:rsid w:val="22B432B1"/>
    <w:rsid w:val="22F62969"/>
    <w:rsid w:val="232B1304"/>
    <w:rsid w:val="242F5520"/>
    <w:rsid w:val="24311161"/>
    <w:rsid w:val="250550E5"/>
    <w:rsid w:val="25114189"/>
    <w:rsid w:val="262C0D60"/>
    <w:rsid w:val="26D7C948"/>
    <w:rsid w:val="26DA25CB"/>
    <w:rsid w:val="281628C5"/>
    <w:rsid w:val="284E0390"/>
    <w:rsid w:val="29B953D8"/>
    <w:rsid w:val="2A2E4796"/>
    <w:rsid w:val="2AD77072"/>
    <w:rsid w:val="2BAB2742"/>
    <w:rsid w:val="2C5A7AC4"/>
    <w:rsid w:val="2CD8427D"/>
    <w:rsid w:val="2CE96A9F"/>
    <w:rsid w:val="2DB41456"/>
    <w:rsid w:val="2DEF40CA"/>
    <w:rsid w:val="2E964751"/>
    <w:rsid w:val="2F187741"/>
    <w:rsid w:val="2F545D0A"/>
    <w:rsid w:val="2F579125"/>
    <w:rsid w:val="2F7F6FB2"/>
    <w:rsid w:val="30123667"/>
    <w:rsid w:val="313233E1"/>
    <w:rsid w:val="31F42769"/>
    <w:rsid w:val="32D41824"/>
    <w:rsid w:val="331C7403"/>
    <w:rsid w:val="33260EE8"/>
    <w:rsid w:val="336D7809"/>
    <w:rsid w:val="337C316B"/>
    <w:rsid w:val="343F2A23"/>
    <w:rsid w:val="34511DE2"/>
    <w:rsid w:val="34D310B7"/>
    <w:rsid w:val="35633ED7"/>
    <w:rsid w:val="359017F5"/>
    <w:rsid w:val="366A35E2"/>
    <w:rsid w:val="36D82B86"/>
    <w:rsid w:val="373152D9"/>
    <w:rsid w:val="38B02349"/>
    <w:rsid w:val="39525488"/>
    <w:rsid w:val="39A643A6"/>
    <w:rsid w:val="3AD33C97"/>
    <w:rsid w:val="3B126F91"/>
    <w:rsid w:val="3B191B5E"/>
    <w:rsid w:val="3B533330"/>
    <w:rsid w:val="3B5953EB"/>
    <w:rsid w:val="3BDA307A"/>
    <w:rsid w:val="3BDA477E"/>
    <w:rsid w:val="3C805325"/>
    <w:rsid w:val="3DDB8C02"/>
    <w:rsid w:val="3E6D7B2B"/>
    <w:rsid w:val="3E79E361"/>
    <w:rsid w:val="3F5F337A"/>
    <w:rsid w:val="3FD4553C"/>
    <w:rsid w:val="405E3BCF"/>
    <w:rsid w:val="409B34A8"/>
    <w:rsid w:val="427E64D5"/>
    <w:rsid w:val="4312439E"/>
    <w:rsid w:val="439F1AC0"/>
    <w:rsid w:val="45246198"/>
    <w:rsid w:val="45502E04"/>
    <w:rsid w:val="46BE6A2C"/>
    <w:rsid w:val="46C155A5"/>
    <w:rsid w:val="47401ABD"/>
    <w:rsid w:val="47540C0E"/>
    <w:rsid w:val="47FBB222"/>
    <w:rsid w:val="495D76D5"/>
    <w:rsid w:val="4A1B4023"/>
    <w:rsid w:val="4AAA17BF"/>
    <w:rsid w:val="4ACC5ED4"/>
    <w:rsid w:val="4D7C4E47"/>
    <w:rsid w:val="4DBFD1F3"/>
    <w:rsid w:val="4DED6EE6"/>
    <w:rsid w:val="4E3C0F01"/>
    <w:rsid w:val="4E7665AA"/>
    <w:rsid w:val="4F2567DF"/>
    <w:rsid w:val="4FF108B5"/>
    <w:rsid w:val="505321EA"/>
    <w:rsid w:val="50646F5B"/>
    <w:rsid w:val="50F61422"/>
    <w:rsid w:val="51CB31D9"/>
    <w:rsid w:val="52650DED"/>
    <w:rsid w:val="535B3F9E"/>
    <w:rsid w:val="54207E43"/>
    <w:rsid w:val="543B7510"/>
    <w:rsid w:val="544E23BA"/>
    <w:rsid w:val="561072C2"/>
    <w:rsid w:val="57D75010"/>
    <w:rsid w:val="58C12AF6"/>
    <w:rsid w:val="59A90173"/>
    <w:rsid w:val="5A0E1D6B"/>
    <w:rsid w:val="5A8400D6"/>
    <w:rsid w:val="5B3E042E"/>
    <w:rsid w:val="5B7FE5D2"/>
    <w:rsid w:val="5C2A418D"/>
    <w:rsid w:val="5CC06E38"/>
    <w:rsid w:val="5D5A7075"/>
    <w:rsid w:val="5D610403"/>
    <w:rsid w:val="5E4F64AE"/>
    <w:rsid w:val="5EEA406E"/>
    <w:rsid w:val="5F7FBA6F"/>
    <w:rsid w:val="5FDF592D"/>
    <w:rsid w:val="5FFB03F0"/>
    <w:rsid w:val="5FFB1492"/>
    <w:rsid w:val="603D2C93"/>
    <w:rsid w:val="60BA67A8"/>
    <w:rsid w:val="61EE5FDE"/>
    <w:rsid w:val="634405AB"/>
    <w:rsid w:val="634F21F3"/>
    <w:rsid w:val="63D660BE"/>
    <w:rsid w:val="63FBA4F5"/>
    <w:rsid w:val="642C488E"/>
    <w:rsid w:val="66865F97"/>
    <w:rsid w:val="68C241B6"/>
    <w:rsid w:val="68FFFAC7"/>
    <w:rsid w:val="69E46BF2"/>
    <w:rsid w:val="6A2B7DCF"/>
    <w:rsid w:val="6A75407D"/>
    <w:rsid w:val="6AFB712E"/>
    <w:rsid w:val="6CF505BA"/>
    <w:rsid w:val="6DC8635F"/>
    <w:rsid w:val="6FDE8B1B"/>
    <w:rsid w:val="70CB7405"/>
    <w:rsid w:val="71725145"/>
    <w:rsid w:val="71795A6F"/>
    <w:rsid w:val="7182618D"/>
    <w:rsid w:val="72FD9D02"/>
    <w:rsid w:val="736E2E0B"/>
    <w:rsid w:val="73EBF838"/>
    <w:rsid w:val="74FF992B"/>
    <w:rsid w:val="75DE6261"/>
    <w:rsid w:val="765D061C"/>
    <w:rsid w:val="76FC5B2A"/>
    <w:rsid w:val="77A60483"/>
    <w:rsid w:val="77C413CA"/>
    <w:rsid w:val="78171094"/>
    <w:rsid w:val="793B5B55"/>
    <w:rsid w:val="7B9232B5"/>
    <w:rsid w:val="7BB75966"/>
    <w:rsid w:val="7BBEC48B"/>
    <w:rsid w:val="7BEEAC15"/>
    <w:rsid w:val="7CBE4238"/>
    <w:rsid w:val="7CC320E9"/>
    <w:rsid w:val="7CDC5B66"/>
    <w:rsid w:val="7D124E1E"/>
    <w:rsid w:val="7DFB57CD"/>
    <w:rsid w:val="7EBF466E"/>
    <w:rsid w:val="7F216128"/>
    <w:rsid w:val="7F3BD3A2"/>
    <w:rsid w:val="7F5F3B56"/>
    <w:rsid w:val="7F6000C3"/>
    <w:rsid w:val="7F65F5A4"/>
    <w:rsid w:val="7F6F9AA3"/>
    <w:rsid w:val="7FA66286"/>
    <w:rsid w:val="7FAA7590"/>
    <w:rsid w:val="7FCBE816"/>
    <w:rsid w:val="8B7F2720"/>
    <w:rsid w:val="9575F762"/>
    <w:rsid w:val="9FBFC65C"/>
    <w:rsid w:val="A6FD01DE"/>
    <w:rsid w:val="A777A452"/>
    <w:rsid w:val="ABFE7664"/>
    <w:rsid w:val="ADBD81F8"/>
    <w:rsid w:val="ADDFBE30"/>
    <w:rsid w:val="AFDCFC43"/>
    <w:rsid w:val="B77EDC41"/>
    <w:rsid w:val="BBD9CAA9"/>
    <w:rsid w:val="BDB65790"/>
    <w:rsid w:val="BFA695A3"/>
    <w:rsid w:val="BFDEA8FB"/>
    <w:rsid w:val="BFF52B22"/>
    <w:rsid w:val="C77E3C9A"/>
    <w:rsid w:val="C7DD6A54"/>
    <w:rsid w:val="CBFBBFB4"/>
    <w:rsid w:val="CFFF28BC"/>
    <w:rsid w:val="D7FD47C2"/>
    <w:rsid w:val="DAFCC3C7"/>
    <w:rsid w:val="DB825008"/>
    <w:rsid w:val="DFFB5655"/>
    <w:rsid w:val="E0CE4FDD"/>
    <w:rsid w:val="E2EE8896"/>
    <w:rsid w:val="E3DFA25C"/>
    <w:rsid w:val="E5FB9B2E"/>
    <w:rsid w:val="EA55ED3F"/>
    <w:rsid w:val="EBBDC273"/>
    <w:rsid w:val="EDE7A799"/>
    <w:rsid w:val="EECFC647"/>
    <w:rsid w:val="EFB595C1"/>
    <w:rsid w:val="F3E2AF73"/>
    <w:rsid w:val="F4598C9E"/>
    <w:rsid w:val="F46AF191"/>
    <w:rsid w:val="F5B9C27D"/>
    <w:rsid w:val="FADF6C8F"/>
    <w:rsid w:val="FB3F7BFD"/>
    <w:rsid w:val="FBEBDCE7"/>
    <w:rsid w:val="FBEF47C7"/>
    <w:rsid w:val="FBEFA951"/>
    <w:rsid w:val="FBFBE40B"/>
    <w:rsid w:val="FDC51E01"/>
    <w:rsid w:val="FDFBFB75"/>
    <w:rsid w:val="FE55ADAA"/>
    <w:rsid w:val="FEEF135F"/>
    <w:rsid w:val="FF670486"/>
    <w:rsid w:val="FF7CE787"/>
    <w:rsid w:val="FF7D661D"/>
    <w:rsid w:val="FFCCC403"/>
    <w:rsid w:val="FFDCF1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next w:val="1"/>
    <w:qFormat/>
    <w:uiPriority w:val="0"/>
    <w:pPr>
      <w:spacing w:before="380" w:after="140" w:line="288" w:lineRule="auto"/>
      <w:outlineLvl w:val="0"/>
    </w:pPr>
    <w:rPr>
      <w:rFonts w:ascii="Arial" w:hAnsi="Arial" w:eastAsia="等线" w:cs="Arial"/>
      <w:b/>
      <w:bCs/>
      <w:sz w:val="36"/>
      <w:szCs w:val="36"/>
      <w:lang w:val="en-US" w:eastAsia="zh-CN" w:bidi="ar-SA"/>
    </w:rPr>
  </w:style>
  <w:style w:type="paragraph" w:styleId="3">
    <w:name w:val="heading 2"/>
    <w:next w:val="1"/>
    <w:qFormat/>
    <w:uiPriority w:val="0"/>
    <w:pPr>
      <w:spacing w:before="320" w:after="120" w:line="288" w:lineRule="auto"/>
      <w:outlineLvl w:val="1"/>
    </w:pPr>
    <w:rPr>
      <w:rFonts w:ascii="Arial" w:hAnsi="Arial" w:eastAsia="等线" w:cs="Arial"/>
      <w:b/>
      <w:bCs/>
      <w:sz w:val="32"/>
      <w:szCs w:val="32"/>
      <w:lang w:val="en-US" w:eastAsia="zh-CN" w:bidi="ar-SA"/>
    </w:rPr>
  </w:style>
  <w:style w:type="paragraph" w:styleId="4">
    <w:name w:val="heading 3"/>
    <w:next w:val="1"/>
    <w:qFormat/>
    <w:uiPriority w:val="0"/>
    <w:pPr>
      <w:spacing w:before="300" w:after="120" w:line="288" w:lineRule="auto"/>
      <w:outlineLvl w:val="2"/>
    </w:pPr>
    <w:rPr>
      <w:rFonts w:ascii="Arial" w:hAnsi="Arial" w:eastAsia="等线" w:cs="Arial"/>
      <w:b/>
      <w:bCs/>
      <w:sz w:val="30"/>
      <w:szCs w:val="30"/>
      <w:lang w:val="en-US" w:eastAsia="zh-CN" w:bidi="ar-SA"/>
    </w:rPr>
  </w:style>
  <w:style w:type="paragraph" w:styleId="5">
    <w:name w:val="heading 4"/>
    <w:next w:val="1"/>
    <w:qFormat/>
    <w:uiPriority w:val="0"/>
    <w:pPr>
      <w:spacing w:before="260" w:after="120" w:line="288" w:lineRule="auto"/>
      <w:outlineLvl w:val="3"/>
    </w:pPr>
    <w:rPr>
      <w:rFonts w:ascii="Arial" w:hAnsi="Arial" w:eastAsia="等线" w:cs="Arial"/>
      <w:b/>
      <w:bCs/>
      <w:sz w:val="28"/>
      <w:szCs w:val="28"/>
      <w:lang w:val="en-US" w:eastAsia="zh-CN" w:bidi="ar-SA"/>
    </w:rPr>
  </w:style>
  <w:style w:type="paragraph" w:styleId="6">
    <w:name w:val="heading 5"/>
    <w:next w:val="1"/>
    <w:qFormat/>
    <w:uiPriority w:val="0"/>
    <w:pPr>
      <w:spacing w:before="240" w:after="120" w:line="288" w:lineRule="auto"/>
      <w:outlineLvl w:val="4"/>
    </w:pPr>
    <w:rPr>
      <w:rFonts w:ascii="Arial" w:hAnsi="Arial" w:eastAsia="等线" w:cs="Arial"/>
      <w:b/>
      <w:bCs/>
      <w:sz w:val="24"/>
      <w:szCs w:val="24"/>
      <w:lang w:val="en-US" w:eastAsia="zh-CN" w:bidi="ar-SA"/>
    </w:rPr>
  </w:style>
  <w:style w:type="paragraph" w:styleId="7">
    <w:name w:val="heading 6"/>
    <w:next w:val="1"/>
    <w:qFormat/>
    <w:uiPriority w:val="0"/>
    <w:pPr>
      <w:spacing w:before="240" w:after="120" w:line="288" w:lineRule="auto"/>
      <w:outlineLvl w:val="5"/>
    </w:pPr>
    <w:rPr>
      <w:rFonts w:ascii="Arial" w:hAnsi="Arial" w:eastAsia="等线" w:cs="Arial"/>
      <w:b/>
      <w:bCs/>
      <w:sz w:val="24"/>
      <w:szCs w:val="24"/>
      <w:lang w:val="en-US" w:eastAsia="zh-CN" w:bidi="ar-SA"/>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1"/>
    <w:qFormat/>
    <w:uiPriority w:val="0"/>
    <w:pPr>
      <w:jc w:val="left"/>
    </w:pPr>
  </w:style>
  <w:style w:type="paragraph" w:styleId="9">
    <w:name w:val="Body Text"/>
    <w:basedOn w:val="1"/>
    <w:next w:val="10"/>
    <w:link w:val="32"/>
    <w:qFormat/>
    <w:uiPriority w:val="0"/>
    <w:pPr>
      <w:spacing w:after="120"/>
    </w:pPr>
  </w:style>
  <w:style w:type="paragraph" w:styleId="10">
    <w:name w:val="Title"/>
    <w:basedOn w:val="1"/>
    <w:next w:val="1"/>
    <w:qFormat/>
    <w:uiPriority w:val="0"/>
    <w:pPr>
      <w:spacing w:before="480" w:after="480" w:line="288" w:lineRule="auto"/>
    </w:pPr>
    <w:rPr>
      <w:rFonts w:ascii="Arial" w:hAnsi="Arial" w:eastAsia="等线" w:cs="Arial"/>
      <w:b/>
      <w:bCs/>
      <w:sz w:val="52"/>
      <w:szCs w:val="52"/>
    </w:rPr>
  </w:style>
  <w:style w:type="paragraph" w:styleId="11">
    <w:name w:val="Body Text Indent"/>
    <w:basedOn w:val="1"/>
    <w:semiHidden/>
    <w:unhideWhenUsed/>
    <w:qFormat/>
    <w:uiPriority w:val="99"/>
    <w:pPr>
      <w:spacing w:after="120"/>
      <w:ind w:left="420" w:leftChars="200"/>
    </w:pPr>
  </w:style>
  <w:style w:type="paragraph" w:styleId="12">
    <w:name w:val="toc 3"/>
    <w:basedOn w:val="1"/>
    <w:next w:val="1"/>
    <w:autoRedefine/>
    <w:qFormat/>
    <w:uiPriority w:val="0"/>
    <w:pPr>
      <w:ind w:left="840" w:leftChars="400"/>
    </w:pPr>
  </w:style>
  <w:style w:type="paragraph" w:styleId="13">
    <w:name w:val="Plain Text"/>
    <w:basedOn w:val="1"/>
    <w:qFormat/>
    <w:uiPriority w:val="0"/>
    <w:rPr>
      <w:rFonts w:ascii="宋体" w:hAnsi="Courier New"/>
      <w:szCs w:val="21"/>
    </w:rPr>
  </w:style>
  <w:style w:type="paragraph" w:styleId="14">
    <w:name w:val="Balloon Text"/>
    <w:basedOn w:val="1"/>
    <w:link w:val="69"/>
    <w:qFormat/>
    <w:uiPriority w:val="0"/>
    <w:rPr>
      <w:sz w:val="18"/>
      <w:szCs w:val="18"/>
    </w:rPr>
  </w:style>
  <w:style w:type="paragraph" w:styleId="15">
    <w:name w:val="footer"/>
    <w:basedOn w:val="1"/>
    <w:qFormat/>
    <w:uiPriority w:val="99"/>
    <w:pPr>
      <w:tabs>
        <w:tab w:val="center" w:pos="4153"/>
        <w:tab w:val="right" w:pos="8306"/>
      </w:tabs>
      <w:snapToGrid w:val="0"/>
      <w:jc w:val="left"/>
    </w:pPr>
    <w:rPr>
      <w:rFonts w:ascii="Times New Roman" w:hAnsi="Times New Roman"/>
      <w:sz w:val="18"/>
      <w:szCs w:val="18"/>
    </w:rPr>
  </w:style>
  <w:style w:type="paragraph" w:styleId="16">
    <w:name w:val="header"/>
    <w:basedOn w:val="1"/>
    <w:link w:val="68"/>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style>
  <w:style w:type="paragraph" w:styleId="18">
    <w:name w:val="footnote text"/>
    <w:link w:val="33"/>
    <w:semiHidden/>
    <w:unhideWhenUsed/>
    <w:qFormat/>
    <w:uiPriority w:val="99"/>
    <w:rPr>
      <w:rFonts w:asciiTheme="minorHAnsi" w:hAnsiTheme="minorHAnsi" w:eastAsiaTheme="minorEastAsia" w:cstheme="minorBidi"/>
      <w:lang w:val="en-US" w:eastAsia="zh-CN" w:bidi="ar-SA"/>
    </w:rPr>
  </w:style>
  <w:style w:type="paragraph" w:styleId="19">
    <w:name w:val="toc 2"/>
    <w:basedOn w:val="1"/>
    <w:next w:val="1"/>
    <w:unhideWhenUsed/>
    <w:qFormat/>
    <w:uiPriority w:val="39"/>
    <w:pPr>
      <w:ind w:left="420" w:leftChars="200"/>
    </w:pPr>
  </w:style>
  <w:style w:type="paragraph" w:styleId="20">
    <w:name w:val="Normal (Web)"/>
    <w:basedOn w:val="1"/>
    <w:qFormat/>
    <w:uiPriority w:val="0"/>
    <w:pPr>
      <w:spacing w:beforeAutospacing="1" w:afterAutospacing="1"/>
      <w:jc w:val="left"/>
    </w:pPr>
    <w:rPr>
      <w:rFonts w:cs="Times New Roman"/>
      <w:sz w:val="24"/>
    </w:rPr>
  </w:style>
  <w:style w:type="paragraph" w:styleId="21">
    <w:name w:val="annotation subject"/>
    <w:basedOn w:val="8"/>
    <w:next w:val="8"/>
    <w:link w:val="71"/>
    <w:qFormat/>
    <w:uiPriority w:val="0"/>
    <w:rPr>
      <w:b/>
      <w:bCs/>
    </w:rPr>
  </w:style>
  <w:style w:type="paragraph" w:styleId="22">
    <w:name w:val="Body Text First Indent"/>
    <w:basedOn w:val="9"/>
    <w:link w:val="70"/>
    <w:qFormat/>
    <w:uiPriority w:val="0"/>
    <w:pPr>
      <w:ind w:firstLine="420" w:firstLineChars="100"/>
    </w:pPr>
  </w:style>
  <w:style w:type="paragraph" w:styleId="23">
    <w:name w:val="Body Text First Indent 2"/>
    <w:basedOn w:val="11"/>
    <w:semiHidden/>
    <w:unhideWhenUsed/>
    <w:qFormat/>
    <w:uiPriority w:val="99"/>
    <w:pPr>
      <w:ind w:firstLine="420" w:firstLineChars="200"/>
    </w:pPr>
  </w:style>
  <w:style w:type="table" w:styleId="25">
    <w:name w:val="Table Grid"/>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7">
    <w:name w:val="Strong"/>
    <w:basedOn w:val="26"/>
    <w:qFormat/>
    <w:uiPriority w:val="0"/>
    <w:rPr>
      <w:b/>
    </w:rPr>
  </w:style>
  <w:style w:type="character" w:styleId="28">
    <w:name w:val="Hyperlink"/>
    <w:unhideWhenUsed/>
    <w:qFormat/>
    <w:uiPriority w:val="99"/>
    <w:rPr>
      <w:color w:val="0563C1"/>
      <w:u w:val="single"/>
    </w:rPr>
  </w:style>
  <w:style w:type="character" w:styleId="29">
    <w:name w:val="annotation reference"/>
    <w:basedOn w:val="26"/>
    <w:qFormat/>
    <w:uiPriority w:val="0"/>
    <w:rPr>
      <w:sz w:val="21"/>
      <w:szCs w:val="21"/>
    </w:rPr>
  </w:style>
  <w:style w:type="character" w:styleId="30">
    <w:name w:val="footnote reference"/>
    <w:semiHidden/>
    <w:unhideWhenUsed/>
    <w:qFormat/>
    <w:uiPriority w:val="99"/>
    <w:rPr>
      <w:vertAlign w:val="superscript"/>
    </w:rPr>
  </w:style>
  <w:style w:type="character" w:customStyle="1" w:styleId="31">
    <w:name w:val="批注文字 Char"/>
    <w:basedOn w:val="26"/>
    <w:link w:val="8"/>
    <w:qFormat/>
    <w:uiPriority w:val="0"/>
    <w:rPr>
      <w:rFonts w:asciiTheme="minorHAnsi" w:hAnsiTheme="minorHAnsi" w:eastAsiaTheme="minorEastAsia" w:cstheme="minorBidi"/>
      <w:sz w:val="21"/>
      <w:szCs w:val="22"/>
    </w:rPr>
  </w:style>
  <w:style w:type="character" w:customStyle="1" w:styleId="32">
    <w:name w:val="正文文本 Char"/>
    <w:basedOn w:val="26"/>
    <w:link w:val="9"/>
    <w:qFormat/>
    <w:uiPriority w:val="0"/>
    <w:rPr>
      <w:rFonts w:asciiTheme="minorHAnsi" w:hAnsiTheme="minorHAnsi" w:eastAsiaTheme="minorEastAsia" w:cstheme="minorBidi"/>
      <w:sz w:val="21"/>
      <w:szCs w:val="22"/>
    </w:rPr>
  </w:style>
  <w:style w:type="character" w:customStyle="1" w:styleId="33">
    <w:name w:val="脚注文本 Char"/>
    <w:link w:val="18"/>
    <w:semiHidden/>
    <w:unhideWhenUsed/>
    <w:qFormat/>
    <w:uiPriority w:val="99"/>
    <w:rPr>
      <w:sz w:val="20"/>
      <w:szCs w:val="20"/>
    </w:rPr>
  </w:style>
  <w:style w:type="paragraph" w:styleId="34">
    <w:name w:val="List Paragraph"/>
    <w:qFormat/>
    <w:uiPriority w:val="0"/>
    <w:rPr>
      <w:rFonts w:asciiTheme="minorHAnsi" w:hAnsiTheme="minorHAnsi" w:eastAsiaTheme="minorEastAsia" w:cstheme="minorBidi"/>
      <w:sz w:val="21"/>
      <w:szCs w:val="22"/>
      <w:lang w:val="en-US" w:eastAsia="zh-CN" w:bidi="ar-SA"/>
    </w:rPr>
  </w:style>
  <w:style w:type="paragraph" w:customStyle="1" w:styleId="35">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36">
    <w:name w:val="_Style 14"/>
    <w:qFormat/>
    <w:uiPriority w:val="0"/>
    <w:pPr>
      <w:spacing w:before="120" w:after="120" w:line="288" w:lineRule="auto"/>
    </w:pPr>
    <w:rPr>
      <w:rFonts w:ascii="Arial" w:hAnsi="Arial" w:eastAsia="等线" w:cs="Arial"/>
      <w:color w:val="8F959E"/>
      <w:sz w:val="22"/>
      <w:szCs w:val="22"/>
      <w:lang w:val="en-US" w:eastAsia="zh-CN" w:bidi="ar-SA"/>
    </w:rPr>
  </w:style>
  <w:style w:type="paragraph" w:customStyle="1" w:styleId="3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38">
    <w:name w:val="标准文件_文件编号"/>
    <w:basedOn w:val="39"/>
    <w:qFormat/>
    <w:uiPriority w:val="0"/>
    <w:pPr>
      <w:framePr w:w="9356" w:h="624" w:hRule="exact" w:hSpace="181" w:vSpace="181" w:wrap="auto" w:vAnchor="page" w:hAnchor="page" w:x="1419" w:y="3284"/>
      <w:wordWrap w:val="0"/>
      <w:spacing w:line="280" w:lineRule="exact"/>
      <w:jc w:val="right"/>
    </w:pPr>
    <w:rPr>
      <w:rFonts w:ascii="黑体" w:eastAsia="黑体"/>
      <w:bCs/>
      <w:sz w:val="28"/>
      <w:szCs w:val="28"/>
    </w:rPr>
  </w:style>
  <w:style w:type="paragraph" w:customStyle="1" w:styleId="3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0">
    <w:name w:val="标准文件_替换文件编号"/>
    <w:basedOn w:val="38"/>
    <w:qFormat/>
    <w:uiPriority w:val="0"/>
    <w:pPr>
      <w:framePr/>
      <w:spacing w:before="57"/>
    </w:pPr>
    <w:rPr>
      <w:sz w:val="21"/>
    </w:rPr>
  </w:style>
  <w:style w:type="paragraph" w:customStyle="1" w:styleId="41">
    <w:name w:val="标准文件_文件名称"/>
    <w:basedOn w:val="1"/>
    <w:next w:val="1"/>
    <w:qFormat/>
    <w:uiPriority w:val="0"/>
    <w:pPr>
      <w:framePr w:w="9639" w:h="6976" w:hRule="exact" w:wrap="auto" w:vAnchor="page" w:hAnchor="page" w:y="6408"/>
      <w:widowControl/>
      <w:spacing w:line="700" w:lineRule="exact"/>
      <w:jc w:val="center"/>
    </w:pPr>
    <w:rPr>
      <w:rFonts w:ascii="黑体" w:hAnsi="黑体" w:eastAsia="黑体"/>
      <w:bCs/>
      <w:sz w:val="52"/>
      <w:szCs w:val="20"/>
    </w:rPr>
  </w:style>
  <w:style w:type="paragraph" w:customStyle="1" w:styleId="42">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43">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sz w:val="28"/>
      <w:szCs w:val="20"/>
    </w:rPr>
  </w:style>
  <w:style w:type="paragraph" w:customStyle="1" w:styleId="44">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sz w:val="28"/>
      <w:szCs w:val="20"/>
    </w:rPr>
  </w:style>
  <w:style w:type="paragraph" w:customStyle="1" w:styleId="45">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w w:val="135"/>
      <w:sz w:val="36"/>
      <w:szCs w:val="20"/>
    </w:rPr>
  </w:style>
  <w:style w:type="character" w:customStyle="1" w:styleId="46">
    <w:name w:val="发布"/>
    <w:basedOn w:val="26"/>
    <w:qFormat/>
    <w:uiPriority w:val="0"/>
    <w:rPr>
      <w:rFonts w:ascii="黑体" w:eastAsia="黑体"/>
      <w:spacing w:val="85"/>
      <w:w w:val="100"/>
      <w:position w:val="3"/>
      <w:sz w:val="28"/>
      <w:szCs w:val="28"/>
    </w:rPr>
  </w:style>
  <w:style w:type="character" w:customStyle="1" w:styleId="47">
    <w:name w:val="前言标题 Char"/>
    <w:link w:val="48"/>
    <w:qFormat/>
    <w:uiPriority w:val="0"/>
    <w:rPr>
      <w:rFonts w:ascii="黑体" w:hAnsi="Times New Roman" w:eastAsia="黑体" w:cs="Times New Roman"/>
      <w:sz w:val="32"/>
      <w:lang w:val="en-US" w:eastAsia="zh-CN" w:bidi="ar-SA"/>
    </w:rPr>
  </w:style>
  <w:style w:type="paragraph" w:customStyle="1" w:styleId="48">
    <w:name w:val="前言标题"/>
    <w:next w:val="1"/>
    <w:link w:val="47"/>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9">
    <w:name w:val="ZW"/>
    <w:basedOn w:val="1"/>
    <w:qFormat/>
    <w:uiPriority w:val="0"/>
    <w:pPr>
      <w:ind w:firstLine="1148" w:firstLineChars="200"/>
    </w:pPr>
    <w:rPr>
      <w:rFonts w:ascii="Times New Roman" w:hAnsi="Times New Roman"/>
    </w:rPr>
  </w:style>
  <w:style w:type="paragraph" w:customStyle="1" w:styleId="50">
    <w:name w:val="正文标题"/>
    <w:basedOn w:val="1"/>
    <w:qFormat/>
    <w:uiPriority w:val="0"/>
    <w:pPr>
      <w:spacing w:before="567" w:after="680"/>
      <w:jc w:val="center"/>
    </w:pPr>
    <w:rPr>
      <w:rFonts w:hint="eastAsia" w:ascii="Times New Roman" w:hAnsi="Times New Roman" w:eastAsia="黑体" w:cs="黑体"/>
      <w:w w:val="95"/>
      <w:sz w:val="32"/>
      <w:szCs w:val="32"/>
    </w:rPr>
  </w:style>
  <w:style w:type="paragraph" w:customStyle="1" w:styleId="51">
    <w:name w:val="标准文件_参考文献标题"/>
    <w:basedOn w:val="1"/>
    <w:next w:val="1"/>
    <w:qFormat/>
    <w:uiPriority w:val="0"/>
    <w:pPr>
      <w:widowControl/>
      <w:shd w:val="clear" w:color="FFFFFF" w:fill="FFFFFF"/>
      <w:spacing w:before="560" w:after="50" w:afterLines="50"/>
      <w:jc w:val="center"/>
      <w:outlineLvl w:val="0"/>
    </w:pPr>
    <w:rPr>
      <w:rFonts w:ascii="黑体" w:eastAsia="黑体"/>
    </w:rPr>
  </w:style>
  <w:style w:type="paragraph" w:customStyle="1" w:styleId="5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53">
    <w:name w:val="标准文件_页眉偶数页"/>
    <w:basedOn w:val="52"/>
    <w:next w:val="1"/>
    <w:qFormat/>
    <w:uiPriority w:val="0"/>
    <w:pPr>
      <w:jc w:val="left"/>
    </w:p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章标题"/>
    <w:next w:val="1"/>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7">
    <w:name w:val="标准文件_一级无标题"/>
    <w:basedOn w:val="58"/>
    <w:qFormat/>
    <w:uiPriority w:val="0"/>
    <w:pPr>
      <w:spacing w:before="0" w:beforeLines="0" w:after="0" w:afterLines="0"/>
      <w:outlineLvl w:val="9"/>
    </w:pPr>
    <w:rPr>
      <w:rFonts w:ascii="宋体" w:eastAsia="宋体"/>
    </w:rPr>
  </w:style>
  <w:style w:type="paragraph" w:customStyle="1" w:styleId="58">
    <w:name w:val="标准文件_一级条标题"/>
    <w:basedOn w:val="56"/>
    <w:next w:val="1"/>
    <w:qFormat/>
    <w:uiPriority w:val="0"/>
    <w:pPr>
      <w:spacing w:before="50" w:beforeLines="50" w:after="50" w:afterLines="50"/>
      <w:outlineLvl w:val="1"/>
    </w:pPr>
  </w:style>
  <w:style w:type="character" w:customStyle="1" w:styleId="59">
    <w:name w:val="font41"/>
    <w:basedOn w:val="26"/>
    <w:qFormat/>
    <w:uiPriority w:val="0"/>
    <w:rPr>
      <w:rFonts w:hint="eastAsia" w:ascii="宋体" w:hAnsi="宋体" w:eastAsia="宋体" w:cs="宋体"/>
      <w:color w:val="000000"/>
      <w:sz w:val="16"/>
      <w:szCs w:val="16"/>
      <w:u w:val="none"/>
    </w:rPr>
  </w:style>
  <w:style w:type="character" w:customStyle="1" w:styleId="60">
    <w:name w:val="font21"/>
    <w:basedOn w:val="26"/>
    <w:qFormat/>
    <w:uiPriority w:val="0"/>
    <w:rPr>
      <w:rFonts w:hint="eastAsia" w:ascii="仿宋" w:hAnsi="仿宋" w:eastAsia="仿宋" w:cs="仿宋"/>
      <w:color w:val="000000"/>
      <w:sz w:val="16"/>
      <w:szCs w:val="16"/>
      <w:u w:val="none"/>
    </w:rPr>
  </w:style>
  <w:style w:type="character" w:customStyle="1" w:styleId="61">
    <w:name w:val="font51"/>
    <w:basedOn w:val="26"/>
    <w:qFormat/>
    <w:uiPriority w:val="0"/>
    <w:rPr>
      <w:rFonts w:hint="eastAsia" w:ascii="宋体" w:hAnsi="宋体" w:eastAsia="宋体" w:cs="宋体"/>
      <w:color w:val="000000"/>
      <w:sz w:val="16"/>
      <w:szCs w:val="16"/>
      <w:u w:val="none"/>
    </w:rPr>
  </w:style>
  <w:style w:type="character" w:customStyle="1" w:styleId="62">
    <w:name w:val="font31"/>
    <w:basedOn w:val="26"/>
    <w:qFormat/>
    <w:uiPriority w:val="0"/>
    <w:rPr>
      <w:rFonts w:hint="eastAsia" w:ascii="仿宋" w:hAnsi="仿宋" w:eastAsia="仿宋" w:cs="仿宋"/>
      <w:color w:val="000000"/>
      <w:sz w:val="16"/>
      <w:szCs w:val="16"/>
      <w:u w:val="none"/>
    </w:rPr>
  </w:style>
  <w:style w:type="paragraph" w:customStyle="1" w:styleId="63">
    <w:name w:val="书稿正文"/>
    <w:basedOn w:val="1"/>
    <w:qFormat/>
    <w:uiPriority w:val="0"/>
    <w:pPr>
      <w:spacing w:line="360" w:lineRule="auto"/>
      <w:ind w:firstLine="480" w:firstLineChars="200"/>
    </w:pPr>
    <w:rPr>
      <w:rFonts w:hint="eastAsia" w:ascii="Times New Roman" w:hAnsi="Times New Roman" w:eastAsia="宋体" w:cs="Times New Roman"/>
      <w:color w:val="000000"/>
      <w:sz w:val="24"/>
    </w:rPr>
  </w:style>
  <w:style w:type="paragraph" w:customStyle="1" w:styleId="64">
    <w:name w:val="标准文件_二级无标题"/>
    <w:basedOn w:val="65"/>
    <w:qFormat/>
    <w:uiPriority w:val="0"/>
    <w:pPr>
      <w:spacing w:before="0" w:beforeLines="0" w:after="0" w:afterLines="0"/>
      <w:outlineLvl w:val="9"/>
    </w:pPr>
    <w:rPr>
      <w:rFonts w:ascii="宋体" w:eastAsia="宋体"/>
    </w:rPr>
  </w:style>
  <w:style w:type="paragraph" w:customStyle="1" w:styleId="65">
    <w:name w:val="标准文件_二级条标题"/>
    <w:next w:val="1"/>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font61"/>
    <w:basedOn w:val="26"/>
    <w:qFormat/>
    <w:uiPriority w:val="0"/>
    <w:rPr>
      <w:rFonts w:ascii="宋体" w:hAnsi="宋体" w:eastAsia="宋体" w:cs="宋体"/>
      <w:b/>
      <w:bCs/>
      <w:color w:val="000000"/>
      <w:sz w:val="22"/>
      <w:szCs w:val="22"/>
      <w:u w:val="none"/>
    </w:rPr>
  </w:style>
  <w:style w:type="paragraph" w:customStyle="1" w:styleId="67">
    <w:name w:val="样式 正文 + 首行缩进:  2 字符"/>
    <w:basedOn w:val="1"/>
    <w:qFormat/>
    <w:uiPriority w:val="0"/>
    <w:pPr>
      <w:spacing w:line="360" w:lineRule="auto"/>
      <w:ind w:firstLine="880" w:firstLineChars="200"/>
      <w:jc w:val="left"/>
    </w:pPr>
    <w:rPr>
      <w:rFonts w:ascii="宋体" w:hAnsi="宋体"/>
    </w:rPr>
  </w:style>
  <w:style w:type="character" w:customStyle="1" w:styleId="68">
    <w:name w:val="页眉 Char"/>
    <w:basedOn w:val="26"/>
    <w:link w:val="16"/>
    <w:qFormat/>
    <w:uiPriority w:val="0"/>
    <w:rPr>
      <w:rFonts w:asciiTheme="minorHAnsi" w:hAnsiTheme="minorHAnsi" w:eastAsiaTheme="minorEastAsia" w:cstheme="minorBidi"/>
      <w:sz w:val="18"/>
      <w:szCs w:val="18"/>
    </w:rPr>
  </w:style>
  <w:style w:type="character" w:customStyle="1" w:styleId="69">
    <w:name w:val="批注框文本 Char"/>
    <w:basedOn w:val="26"/>
    <w:link w:val="14"/>
    <w:qFormat/>
    <w:uiPriority w:val="0"/>
    <w:rPr>
      <w:rFonts w:asciiTheme="minorHAnsi" w:hAnsiTheme="minorHAnsi" w:eastAsiaTheme="minorEastAsia" w:cstheme="minorBidi"/>
      <w:sz w:val="18"/>
      <w:szCs w:val="18"/>
    </w:rPr>
  </w:style>
  <w:style w:type="character" w:customStyle="1" w:styleId="70">
    <w:name w:val="正文首行缩进 Char"/>
    <w:basedOn w:val="32"/>
    <w:link w:val="22"/>
    <w:qFormat/>
    <w:uiPriority w:val="0"/>
    <w:rPr>
      <w:rFonts w:asciiTheme="minorHAnsi" w:hAnsiTheme="minorHAnsi" w:eastAsiaTheme="minorEastAsia" w:cstheme="minorBidi"/>
      <w:sz w:val="21"/>
      <w:szCs w:val="22"/>
    </w:rPr>
  </w:style>
  <w:style w:type="character" w:customStyle="1" w:styleId="71">
    <w:name w:val="批注主题 Char"/>
    <w:basedOn w:val="31"/>
    <w:link w:val="21"/>
    <w:qFormat/>
    <w:uiPriority w:val="0"/>
    <w:rPr>
      <w:rFonts w:asciiTheme="minorHAnsi" w:hAnsiTheme="minorHAnsi" w:eastAsiaTheme="minorEastAsia" w:cstheme="minorBidi"/>
      <w:b/>
      <w:bCs/>
      <w:sz w:val="21"/>
      <w:szCs w:val="2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7b360817-5221-46bc-9fb5-e8aa5fd8661d</errorID>
      <errorWord>中</errorWord>
      <group>L1_Word</group>
      <groupName>字词问题</groupName>
      <ability>L2_Typo</ability>
      <abilityName>字词错误</abilityName>
      <candidateList>
        <item>中可</item>
      </candidateList>
      <explain/>
      <paraID>6CFC4AEE</paraID>
      <start>9</start>
      <end>10</end>
      <status>ignored</status>
      <modifiedWord/>
      <trackRevisions>false</trackRevisions>
    </reviewItem>
    <reviewItem>
      <errorID>ce6786d2-b429-47fd-8d84-05dc3b64b9b3</errorID>
      <errorWord>(</errorWord>
      <group>L1_Format</group>
      <groupName>格式问题</groupName>
      <ability>L2_HalfPunc</ability>
      <abilityName>全半角检查</abilityName>
      <candidateList>
        <item>（</item>
      </candidateList>
      <explain>文本全半角错误。</explain>
      <paraID>6F2B4845</paraID>
      <start>12</start>
      <end>13</end>
      <status>ignored</status>
      <modifiedWord/>
      <trackRevisions>false</trackRevisions>
    </reviewItem>
    <reviewItem>
      <errorID>6d367d33-c699-448c-862c-ac3d1b8d447b</errorID>
      <errorWord>)</errorWord>
      <group>L1_Format</group>
      <groupName>格式问题</groupName>
      <ability>L2_HalfPunc</ability>
      <abilityName>全半角检查</abilityName>
      <candidateList>
        <item>）</item>
      </candidateList>
      <explain>文本全半角错误。</explain>
      <paraID>6F2B4845</paraID>
      <start>16</start>
      <end>17</end>
      <status>ignored</status>
      <modifiedWord/>
      <trackRevisions>false</trackRevisions>
    </reviewItem>
    <reviewItem>
      <errorID>33c94016-44a8-42c3-a406-cba4591829ff</errorID>
      <errorWord>,</errorWord>
      <group>L1_Format</group>
      <groupName>格式问题</groupName>
      <ability>L2_HalfPunc</ability>
      <abilityName>全半角检查</abilityName>
      <candidateList>
        <item>，</item>
      </candidateList>
      <explain>文本全半角错误。</explain>
      <paraID> 4B1171C</paraID>
      <start>43</start>
      <end>44</end>
      <status>ignored</status>
      <modifiedWord/>
      <trackRevisions>false</trackRevisions>
    </reviewItem>
    <reviewItem>
      <errorID>6eba3d6c-b3fd-4ca4-b625-a70295339cda</errorID>
      <errorWord>投入试用</errorWord>
      <group>L1_Word</group>
      <groupName>字词问题</groupName>
      <ability>L2_Typo</ability>
      <abilityName>字词错误</abilityName>
      <candidateList>
        <item>投入使用</item>
      </candidateList>
      <explain>存在发音相同字词的误用。</explain>
      <paraID>33041A36</paraID>
      <start>88</start>
      <end>92</end>
      <status>ignored</status>
      <modifiedWord/>
      <trackRevisions>false</trackRevisions>
    </reviewItem>
    <reviewItem>
      <errorID>f5933076-47af-4701-b385-ed4db87e7951</errorID>
      <errorWord>噪音</errorWord>
      <group>L1_Word</group>
      <groupName>字词问题</groupName>
      <ability>L2_Alias</ability>
      <abilityName>也作/曾用词</abilityName>
      <candidateList>
        <item>噪声</item>
      </candidateList>
      <explain>词汇[噪音]为不规范表述或旧称，其规范书面表述为[噪声]。</explain>
      <paraID>3A10A8BE</paraID>
      <start>17</start>
      <end>19</end>
      <status>ignored</status>
      <modifiedWord/>
      <trackRevisions>false</trackRevisions>
    </reviewItem>
    <reviewItem>
      <errorID>475ed885-3728-40a6-b73a-46f379b5606c</errorID>
      <errorWord>使用</errorWord>
      <group>L1_Grammar</group>
      <groupName>语法问题</groupName>
      <ability>L2_Grammar</ability>
      <abilityName>语法错误</abilityName>
      <candidateList>
        <item>采取</item>
      </candidateList>
      <explain>“使用～措施”搭配不当，建议修改为“采取～措施”。</explain>
      <paraID>31849534</paraID>
      <start>32</start>
      <end>34</end>
      <status>ignored</status>
      <modifiedWord/>
      <trackRevisions>false</trackRevisions>
    </reviewItem>
    <reviewItem>
      <errorID>60cceb41-f368-46e7-bde6-574f7778d120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563D07CC</paraID>
      <start>28</start>
      <end>29</end>
      <status>ignored</status>
      <modifiedWord/>
      <trackRevisions>false</trackRevisions>
    </reviewItem>
    <reviewItem>
      <errorID>5003df95-c713-4b0f-935e-22cd60afe2df</errorID>
      <errorWord>应</errorWord>
      <group>L1_Word</group>
      <groupName>字词问题</groupName>
      <ability>L2_Typo</ability>
      <abilityName>字词错误</abilityName>
      <candidateList>
        <item>应当</item>
      </candidateList>
      <explain/>
      <paraID>6664AAE5</paraID>
      <start>45</start>
      <end>46</end>
      <status>ignored</status>
      <modifiedWord/>
      <trackRevisions>false</trackRevisions>
    </reviewItem>
    <reviewItem>
      <errorID>53581195-715c-4e00-9e0d-cf439bae7f8e</errorID>
      <errorWord>(</errorWord>
      <group>L1_Format</group>
      <groupName>格式问题</groupName>
      <ability>L2_HalfPunc</ability>
      <abilityName>全半角检查</abilityName>
      <candidateList>
        <item>（</item>
      </candidateList>
      <explain>文本全半角错误。</explain>
      <paraID>77A14FB2</paraID>
      <start>17</start>
      <end>18</end>
      <status>ignored</status>
      <modifiedWord/>
      <trackRevisions>false</trackRevisions>
    </reviewItem>
    <reviewItem>
      <errorID>706cac0b-7ca1-4f32-8dca-654f82e92c5b</errorID>
      <errorWord>)</errorWord>
      <group>L1_Format</group>
      <groupName>格式问题</groupName>
      <ability>L2_HalfPunc</ability>
      <abilityName>全半角检查</abilityName>
      <candidateList>
        <item>）</item>
      </candidateList>
      <explain>文本全半角错误。</explain>
      <paraID>77A14FB2</paraID>
      <start>20</start>
      <end>21</end>
      <status>ignored</status>
      <modifiedWord/>
      <trackRevisions>false</trackRevisions>
    </reviewItem>
    <reviewItem>
      <errorID>b95549c9-795b-4690-8494-d1f4d30f3527</errorID>
      <errorWord>占地而积</errorWord>
      <group>L1_Word</group>
      <groupName>字词问题</groupName>
      <ability>L2_Typo</ability>
      <abilityName>字词错误</abilityName>
      <candidateList>
        <item>占地面积</item>
      </candidateList>
      <explain/>
      <paraID>77A14FB2</paraID>
      <start>37</start>
      <end>41</end>
      <status>modified</status>
      <modifiedWord>占地面积</modifiedWord>
      <trackRevisions>false</trackRevisions>
    </reviewItem>
    <reviewItem>
      <errorID>421a21a1-f144-4279-aec4-04009d81d1ae</errorID>
      <errorWord>(</errorWord>
      <group>L1_Format</group>
      <groupName>格式问题</groupName>
      <ability>L2_HalfPunc</ability>
      <abilityName>全半角检查</abilityName>
      <candidateList>
        <item>（</item>
      </candidateList>
      <explain>文本全半角错误。</explain>
      <paraID>3964F62A</paraID>
      <start>10</start>
      <end>11</end>
      <status>unmodified</status>
      <modifiedWord/>
      <trackRevisions>false</trackRevisions>
    </reviewItem>
    <reviewItem>
      <errorID>526706af-61ad-4928-874b-4941f40101a7</errorID>
      <errorWord>)</errorWord>
      <group>L1_Format</group>
      <groupName>格式问题</groupName>
      <ability>L2_HalfPunc</ability>
      <abilityName>全半角检查</abilityName>
      <candidateList>
        <item>）</item>
      </candidateList>
      <explain>文本全半角错误。</explain>
      <paraID>3964F62A</paraID>
      <start>13</start>
      <end>14</end>
      <status>unmodified</status>
      <modifiedWord/>
      <trackRevisions>false</trackRevisions>
    </reviewItem>
    <reviewItem>
      <errorID>d4890d74-6c9d-4069-bb25-a7316687969a</errorID>
      <errorWord>直执</errorWord>
      <group>L1_Word</group>
      <groupName>字词问题</groupName>
      <ability>L2_Typo</ability>
      <abilityName>字词错误</abilityName>
      <candidateList>
        <item>直接</item>
      </candidateList>
      <explain>〈形〉不经过中间事物的（跟“间接”相对）：～关系｜～领导｜～阅读外文书籍。</explain>
      <paraID>765C4324</paraID>
      <start>15</start>
      <end>17</end>
      <status>modified</status>
      <modifiedWord>直接</modifiedWord>
      <trackRevisions>false</trackRevisions>
    </reviewItem>
    <reviewItem>
      <errorID>9b097e5f-2908-4ba8-a4ea-d489583c62cc</errorID>
      <errorWord>~</errorWord>
      <group>L1_Format</group>
      <groupName>格式问题</groupName>
      <ability>L2_HalfPunc</ability>
      <abilityName>全半角检查</abilityName>
      <candidateList>
        <item>～</item>
      </candidateList>
      <explain>文本全半角错误。</explain>
      <paraID>6BCBF420</paraID>
      <start>12</start>
      <end>13</end>
      <status>unmodified</status>
      <modifiedWord/>
      <trackRevisions>false</trackRevisions>
    </reviewItem>
    <reviewItem>
      <errorID>d8d26311-09b7-458f-b435-62317e459e50</errorID>
      <errorWord>层</errorWord>
      <group>L1_Word</group>
      <groupName>字词问题</groupName>
      <ability>L2_Typo</ability>
      <abilityName>字词错误</abilityName>
      <candidateList>
        <item>层等</item>
      </candidateList>
      <explain/>
      <paraID>1DE23A96</paraID>
      <start>16</start>
      <end>18</end>
      <status>modified</status>
      <modifiedWord>层等</modifiedWord>
      <trackRevisions>false</trackRevisions>
    </reviewItem>
    <reviewItem>
      <errorID>c8405923-7acc-4125-bb68-b05aef4a7481</errorID>
      <errorWord>扩大头</errorWord>
      <group>L1_Word</group>
      <groupName>字词问题</groupName>
      <ability>L2_Typo</ability>
      <abilityName>字词错误</abilityName>
      <candidateList>
        <item>扩大</item>
      </candidateList>
      <explain/>
      <paraID>21BDDB64</paraID>
      <start>16</start>
      <end>18</end>
      <status>modified</status>
      <modifiedWord>扩大</modifiedWord>
      <trackRevisions>false</trackRevisions>
    </reviewItem>
    <reviewItem>
      <errorID>b66857ac-c35e-4c0c-8933-e6ee468d0f88</errorID>
      <errorWord>地质的</errorWord>
      <group>L1_Word</group>
      <groupName>字词问题</groupName>
      <ability>L2_Typo</ability>
      <abilityName>字词错误</abilityName>
      <candidateList>
        <item>地质</item>
      </candidateList>
      <explain/>
      <paraID>5D7FBA99</paraID>
      <start>15</start>
      <end>17</end>
      <status>modified</status>
      <modifiedWord>地质</modifiedWord>
      <trackRevisions>false</trackRevisions>
    </reviewItem>
    <reviewItem>
      <errorID>e03535b9-ccd9-43dd-b680-bcae9222132a</errorID>
      <errorWord>无需设置</errorWord>
      <group>L1_Word</group>
      <groupName>字词问题</groupName>
      <ability>L2_Alias</ability>
      <abilityName>也作/曾用词</abilityName>
      <candidateList>
        <item>无须设置</item>
      </candidateList>
      <explain>词汇[无需设置]为不规范表述或旧称，其规范书面表述为[无须设置]。</explain>
      <paraID>1D5CC6B9</paraID>
      <start>23</start>
      <end>27</end>
      <status>modified</status>
      <modifiedWord>无须设置</modifiedWord>
      <trackRevisions>false</trackRevisions>
    </reviewItem>
    <reviewItem>
      <errorID>47f11c41-ec5e-47c0-9d5d-9ca51639da27</errorID>
      <errorWord>起质量限制器</errorWord>
      <group>L1_Knowledge</group>
      <groupName>知识性问题</groupName>
      <ability>L2_Term</ability>
      <abilityName>专业术语</abilityName>
      <candidateList>
        <item>起重量限制器</item>
      </candidateList>
      <explain/>
      <paraID>73445D31</paraID>
      <start>58</start>
      <end>64</end>
      <status>modified</status>
      <modifiedWord>起重量限制器</modifiedWord>
      <trackRevisions>false</trackRevisions>
    </reviewItem>
    <reviewItem>
      <errorID>01e7b523-c5df-4bbe-8e9b-d1d6512b0f64</errorID>
      <errorWord>。</errorWord>
      <group>L1_Punc</group>
      <groupName>标点问题</groupName>
      <ability>L2_Punc</ability>
      <abilityName>标点符号检查</abilityName>
      <candidateList/>
      <explain/>
      <paraID> 37B473D</paraID>
      <start>19</start>
      <end>20</end>
      <status>unmodified</status>
      <modifiedWord/>
      <trackRevisions>false</trackRevisions>
    </reviewItem>
    <reviewItem>
      <errorID>0fb179c4-b501-4e3d-9da9-18e2f8db605f</errorID>
      <errorWord>，</errorWord>
      <group>L1_Word</group>
      <groupName>字词问题</groupName>
      <ability>L2_Typo</ability>
      <abilityName>字词错误</abilityName>
      <candidateList>
        <item>，具</item>
      </candidateList>
      <explain/>
      <paraID>4E5C1E1A</paraID>
      <start>105</start>
      <end>107</end>
      <status>modified</status>
      <modifiedWord>，具</modifiedWord>
      <trackRevisions>false</trackRevisions>
    </reviewItem>
    <reviewItem>
      <errorID>c72f9040-2c2d-4076-af15-482ba60ddb44</errorID>
      <errorWord>噪音</errorWord>
      <group>L1_Word</group>
      <groupName>字词问题</groupName>
      <ability>L2_Alias</ability>
      <abilityName>也作/曾用词</abilityName>
      <candidateList>
        <item>噪声</item>
      </candidateList>
      <explain>词汇[噪音]为不规范表述或旧称，其规范书面表述为[噪声]。</explain>
      <paraID>448D9714</paraID>
      <start>32</start>
      <end>34</end>
      <status>ignored</status>
      <modifiedWord/>
      <trackRevisions>false</trackRevisions>
    </reviewItem>
    <reviewItem>
      <errorID>b6a451d0-4b9e-4273-bf70-2af38b230c3b</errorID>
      <errorWord>噪音</errorWord>
      <group>L1_Word</group>
      <groupName>字词问题</groupName>
      <ability>L2_Alias</ability>
      <abilityName>也作/曾用词</abilityName>
      <candidateList>
        <item>噪声</item>
      </candidateList>
      <explain>词汇[噪音]为不规范表述或旧称，其规范书面表述为[噪声]。</explain>
      <paraID>248884D4</paraID>
      <start>73</start>
      <end>75</end>
      <status>ignored</status>
      <modifiedWord/>
      <trackRevisions>false</trackRevisions>
    </reviewItem>
    <reviewItem>
      <errorID>54be9817-e8ef-4fe7-bcc5-12dfbdd8d67a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76A3ED1D</paraID>
      <start>7</start>
      <end>8</end>
      <status>unmodified</status>
      <modifiedWord/>
      <trackRevisions>false</trackRevisions>
    </reviewItem>
    <reviewItem>
      <errorID>8eb4c7a9-bfe9-410e-851c-0bf83610e17b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E8CB4E7</paraID>
      <start>7</start>
      <end>8</end>
      <status>unmodified</status>
      <modifiedWord/>
      <trackRevisions>false</trackRevisions>
    </reviewItem>
    <reviewItem>
      <errorID>110ab235-4b0f-4ae6-8d2c-158cc342e99a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5ABA87CA</paraID>
      <start>62</start>
      <end>63</end>
      <status>unmodified</status>
      <modifiedWord/>
      <trackRevisions>false</trackRevisions>
    </reviewItem>
    <reviewItem>
      <errorID>1ca64a4f-1311-4909-8ca4-fd1d929025f2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3A36D338</paraID>
      <start>7</start>
      <end>8</end>
      <status>unmodified</status>
      <modifiedWord/>
      <trackRevisions>false</trackRevisions>
    </reviewItem>
    <reviewItem>
      <errorID>61694d7e-6683-4fd9-9b05-2f2990fe9a45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17C3683C</paraID>
      <start>57</start>
      <end>58</end>
      <status>unmodified</status>
      <modifiedWord/>
      <trackRevisions>false</trackRevisions>
    </reviewItem>
    <reviewItem>
      <errorID>adb23b90-03d9-48b1-ae61-e899de22a4fb</errorID>
      <errorWord>,</errorWord>
      <group>L1_Format</group>
      <groupName>格式问题</groupName>
      <ability>L2_HalfPunc</ability>
      <abilityName>全半角检查</abilityName>
      <candidateList>
        <item>，</item>
      </candidateList>
      <explain>文本全半角错误。</explain>
      <paraID>37F7524C</paraID>
      <start>26</start>
      <end>27</end>
      <status>unmodified</status>
      <modifiedWord/>
      <trackRevisions>false</trackRevisions>
    </reviewItem>
    <reviewItem>
      <errorID>85424c17-c761-4bb7-b22a-8edff6d26e03</errorID>
      <errorWord>,</errorWord>
      <group>L1_Format</group>
      <groupName>格式问题</groupName>
      <ability>L2_HalfPunc</ability>
      <abilityName>全半角检查</abilityName>
      <candidateList>
        <item>，</item>
      </candidateList>
      <explain>文本全半角错误。</explain>
      <paraID>37F7524C</paraID>
      <start>39</start>
      <end>40</end>
      <status>unmodified</status>
      <modifiedWord/>
      <trackRevisions>false</trackRevisions>
    </reviewItem>
    <reviewItem>
      <errorID>bb643285-71f3-4480-a2f8-89159b2e1c1d</errorID>
      <errorWord>,</errorWord>
      <group>L1_Format</group>
      <groupName>格式问题</groupName>
      <ability>L2_HalfPunc</ability>
      <abilityName>全半角检查</abilityName>
      <candidateList>
        <item>，</item>
      </candidateList>
      <explain>文本全半角错误。</explain>
      <paraID>37F7524C</paraID>
      <start>49</start>
      <end>50</end>
      <status>unmodified</status>
      <modifiedWord/>
      <trackRevisions>false</trackRevisions>
    </reviewItem>
    <reviewItem>
      <errorID>58a2efec-e928-48c4-80ea-1aea990a5b7e</errorID>
      <errorWord>用</errorWord>
      <group>L1_Word</group>
      <groupName>字词问题</groupName>
      <ability>L2_Typo</ability>
      <abilityName>字词错误</abilityName>
      <candidateList>
        <item>用于</item>
      </candidateList>
      <explain/>
      <paraID>6B2829EE</paraID>
      <start>25</start>
      <end>27</end>
      <status>modified</status>
      <modifiedWord>用于</modifiedWord>
      <trackRevisions>false</trackRevisions>
    </reviewItem>
    <reviewItem>
      <errorID>63d0ffff-5050-4f82-8f07-107bdc2754ad</errorID>
      <errorWord>工程</errorWord>
      <group>L1_Word</group>
      <groupName>字词问题</groupName>
      <ability>L2_Typo</ability>
      <abilityName>字词错误</abilityName>
      <candidateList>
        <item>工</item>
      </candidateList>
      <explain/>
      <paraID> 8E5C48C</paraID>
      <start>12</start>
      <end>14</end>
      <status>ignored</status>
      <modifiedWord/>
      <trackRevisions>false</trackRevisions>
    </reviewItem>
    <reviewItem>
      <errorID>ba8690ec-2536-4f3c-8a41-19becc4418b2</errorID>
      <errorWord>减</errorWord>
      <group>L1_Word</group>
      <groupName>字词问题</groupName>
      <ability>L2_Typo</ability>
      <abilityName>字词错误</abilityName>
      <candidateList>
        <item>减少</item>
      </candidateList>
      <explain>〈动〉减去一部分：～人员｜～麻烦｜工作中的缺点～了。</explain>
      <paraID>157C7247</paraID>
      <start>80</start>
      <end>82</end>
      <status>modified</status>
      <modifiedWord>减少</modifiedWord>
      <trackRevisions>false</trackRevisions>
    </reviewItem>
    <reviewItem>
      <errorID>4c6d0273-e804-48db-beee-c59f3ca73642</errorID>
      <errorWord>、</errorWord>
      <group>L1_Word</group>
      <groupName>字词问题</groupName>
      <ability>L2_Typo</ability>
      <abilityName>字词错误</abilityName>
      <candidateList>
        <item>、对</item>
      </candidateList>
      <explain/>
      <paraID>4F0A78DF</paraID>
      <start>52</start>
      <end>54</end>
      <status>modified</status>
      <modifiedWord>、对</modifiedWord>
      <trackRevisions>false</trackRevisions>
    </reviewItem>
    <reviewItem>
      <errorID>00bc3b3a-bf4c-4a08-9893-d8aa969c1b03</errorID>
      <errorWord>;</errorWord>
      <group>L1_Format</group>
      <groupName>格式问题</groupName>
      <ability>L2_HalfPunc</ability>
      <abilityName>全半角检查</abilityName>
      <candidateList>
        <item>；</item>
      </candidateList>
      <explain>文本全半角错误。</explain>
      <paraID>4F0A78DF</paraID>
      <start>135</start>
      <end>136</end>
      <status>unmodified</status>
      <modifiedWord/>
      <trackRevisions>false</trackRevisions>
    </reviewItem>
    <reviewItem>
      <errorID>5c25003e-eb71-4a58-b10c-d5db02078f1a</errorID>
      <errorWord>用</errorWord>
      <group>L1_Word</group>
      <groupName>字词问题</groupName>
      <ability>L2_Typo</ability>
      <abilityName>字词错误</abilityName>
      <candidateList>
        <item>用于</item>
      </candidateList>
      <explain/>
      <paraID>677E8663</paraID>
      <start>79</start>
      <end>81</end>
      <status>modified</status>
      <modifiedWord>用于</modifiedWord>
      <trackRevisions>false</trackRevisions>
    </reviewItem>
    <reviewItem>
      <errorID>c5e869ba-a74c-48e3-a785-bbe955de352d</errorID>
      <errorWord>，</errorWord>
      <group>L1_Word</group>
      <groupName>字词问题</groupName>
      <ability>L2_Typo</ability>
      <abilityName>字词错误</abilityName>
      <candidateList>
        <item>，具</item>
      </candidateList>
      <explain/>
      <paraID>5BFF846E</paraID>
      <start>26</start>
      <end>28</end>
      <status>modified</status>
      <modifiedWord>，具</modifiedWord>
      <trackRevisions>false</trackRevisions>
    </reviewItem>
    <reviewItem>
      <errorID>c3ee66e4-afaf-445c-8a9d-f566fb84672e</errorID>
      <errorWord>噪音</errorWord>
      <group>L1_Word</group>
      <groupName>字词问题</groupName>
      <ability>L2_Alias</ability>
      <abilityName>也作/曾用词</abilityName>
      <candidateList>
        <item>噪声</item>
      </candidateList>
      <explain>词汇[噪音]为不规范表述或旧称，其规范书面表述为[噪声]。</explain>
      <paraID>424A72C6</paraID>
      <start>19</start>
      <end>21</end>
      <status>ignored</status>
      <modifiedWord/>
      <trackRevisions>false</trackRevisions>
    </reviewItem>
    <reviewItem>
      <errorID>2eb04165-c228-429d-bcf4-0cc7517f7397</errorID>
      <errorWord>无噪音</errorWord>
      <group>L1_Word</group>
      <groupName>字词问题</groupName>
      <ability>L2_Alias</ability>
      <abilityName>也作/曾用词</abilityName>
      <candidateList>
        <item>无噪声</item>
      </candidateList>
      <explain>词汇[无噪音]为不规范表述或旧称，其规范书面表述为[无噪声]。</explain>
      <paraID>52171CDA</paraID>
      <start>46</start>
      <end>49</end>
      <status>ignored</status>
      <modifiedWord/>
      <trackRevisions>false</trackRevisions>
    </reviewItem>
    <reviewItem>
      <errorID>fa0a0666-2d05-426d-af89-c83507c44674</errorID>
      <errorWord>使用</errorWord>
      <group>L1_Word</group>
      <groupName>字词问题</groupName>
      <ability>L2_Typo</ability>
      <abilityName>字词错误</abilityName>
      <candidateList>
        <item>适用</item>
      </candidateList>
      <explain>〈形〉适合使用：这套耕作方法，在我们这个地区也完全～。</explain>
      <paraID>2876F754</paraID>
      <start>0</start>
      <end>2</end>
      <status>modified</status>
      <modifiedWord>适用</modifiedWord>
      <trackRevisions>false</trackRevisions>
    </reviewItem>
    <reviewItem>
      <errorID>dabaa88d-f657-49e4-b331-798540945d24</errorID>
      <errorWord>业</errorWord>
      <group>L1_Word</group>
      <groupName>字词问题</groupName>
      <ability>L2_Typo</ability>
      <abilityName>字词错误</abilityName>
      <candidateList>
        <item>业风</item>
      </candidateList>
      <explain/>
      <paraID>2A39810F</paraID>
      <start>32</start>
      <end>34</end>
      <status>modified</status>
      <modifiedWord>业风</modifiedWord>
      <trackRevisions>false</trackRevisions>
    </reviewItem>
    <reviewItem>
      <errorID>c5ee3e3e-b7bb-4636-af4d-f68bf47916af</errorID>
      <errorWord>冲</errorWord>
      <group>L1_Word</group>
      <groupName>字词问题</groupName>
      <ability>L2_Typo</ability>
      <abilityName>字词错误</abilityName>
      <candidateList>
        <item>充</item>
      </candidateList>
      <explain/>
      <paraID>45257F32</paraID>
      <start>34</start>
      <end>35</end>
      <status>modified</status>
      <modifiedWord>充</modifiedWord>
      <trackRevisions>false</trackRevisions>
    </reviewItem>
    <reviewItem>
      <errorID>3798a6f6-6c06-444d-b1bf-e6b2c703d2e9</errorID>
      <errorWord>泄露</errorWord>
      <group>L1_Word</group>
      <groupName>字词问题</groupName>
      <ability>L2_Typo</ability>
      <abilityName>字词错误</abilityName>
      <candidateList>
        <item>泄漏</item>
      </candidateList>
      <explain/>
      <paraID>7C9F312B</paraID>
      <start>83</start>
      <end>85</end>
      <status>modified</status>
      <modifiedWord>泄漏</modifiedWord>
      <trackRevisions>false</trackRevisions>
    </reviewItem>
    <reviewItem>
      <errorID>667d7044-4b5a-4c79-b7a3-2bf15d6ce770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1B5321F3</paraID>
      <start>72</start>
      <end>73</end>
      <status>unmodified</status>
      <modifiedWord/>
      <trackRevisions>false</trackRevisions>
    </reviewItem>
    <reviewItem>
      <errorID>0273c9c0-b239-4673-ad75-35d7658af1c8</errorID>
      <errorWord>:</errorWord>
      <group>L1_Format</group>
      <groupName>格式问题</groupName>
      <ability>L2_HalfPunc</ability>
      <abilityName>全半角检查</abilityName>
      <candidateList>
        <item>：</item>
      </candidateList>
      <explain>文本全半角错误。</explain>
      <paraID>3A12B8B0</paraID>
      <start>4</start>
      <end>5</end>
      <status>unmodified</status>
      <modifiedWord/>
      <trackRevisions>false</trackRevisions>
    </reviewItem>
    <reviewItem>
      <errorID>32334386-9740-4f37-a843-e44665214515</errorID>
      <errorWord>:</errorWord>
      <group>L1_Format</group>
      <groupName>格式问题</groupName>
      <ability>L2_HalfPunc</ability>
      <abilityName>全半角检查</abilityName>
      <candidateList>
        <item>：</item>
      </candidateList>
      <explain>文本全半角错误。</explain>
      <paraID>519B02BC</paraID>
      <start>6</start>
      <end>7</end>
      <status>unmodified</status>
      <modifiedWord/>
      <trackRevisions>false</trackRevisions>
    </reviewItem>
    <reviewItem>
      <errorID>381b4682-adf1-48f2-bf6e-9529154c1632</errorID>
      <errorWord>:</errorWord>
      <group>L1_Format</group>
      <groupName>格式问题</groupName>
      <ability>L2_HalfPunc</ability>
      <abilityName>全半角检查</abilityName>
      <candidateList>
        <item>：</item>
      </candidateList>
      <explain>文本全半角错误。</explain>
      <paraID>58E4503C</paraID>
      <start>6</start>
      <end>7</end>
      <status>unmodified</status>
      <modifiedWord/>
      <trackRevisions>false</trackRevisions>
    </reviewItem>
    <reviewItem>
      <errorID>2f0ae7ae-3b03-48d7-8790-4d5a01b05c63</errorID>
      <errorWord>:</errorWord>
      <group>L1_Format</group>
      <groupName>格式问题</groupName>
      <ability>L2_HalfPunc</ability>
      <abilityName>全半角检查</abilityName>
      <candidateList>
        <item>：</item>
      </candidateList>
      <explain>文本全半角错误。</explain>
      <paraID>7506BB90</paraID>
      <start>6</start>
      <end>7</end>
      <status>unmodified</status>
      <modifiedWord/>
      <trackRevisions>false</trackRevisions>
    </reviewItem>
    <reviewItem>
      <errorID>e1323d39-119e-4117-a9ad-d64f77ca35c7</errorID>
      <errorWord>速速</errorWord>
      <group>L1_Word</group>
      <groupName>字词问题</groupName>
      <ability>L2_Typo</ability>
      <abilityName>字词错误</abilityName>
      <candidateList>
        <item>速</item>
      </candidateList>
      <explain/>
      <paraID>2B3B1E82</paraID>
      <start>6</start>
      <end>7</end>
      <status>modified</status>
      <modifiedWord>速</modifiedWord>
      <trackRevisions>false</trackRevisions>
    </reviewItem>
    <reviewItem>
      <errorID>df4aeb4f-89ef-4bd8-839d-c10742fccdb9</errorID>
      <errorWord>:</errorWord>
      <group>L1_Format</group>
      <groupName>格式问题</groupName>
      <ability>L2_HalfPunc</ability>
      <abilityName>全半角检查</abilityName>
      <candidateList>
        <item>：</item>
      </candidateList>
      <explain>文本全半角错误。</explain>
      <paraID>2B3B1E82</paraID>
      <start>7</start>
      <end>8</end>
      <status>unmodified</status>
      <modifiedWord/>
      <trackRevisions>false</trackRevisions>
    </reviewItem>
    <reviewItem>
      <errorID>1b0ee4fb-29fd-4b81-89fb-764cc24a7a2a</errorID>
      <errorWord>:</errorWord>
      <group>L1_Format</group>
      <groupName>格式问题</groupName>
      <ability>L2_HalfPunc</ability>
      <abilityName>全半角检查</abilityName>
      <candidateList>
        <item>：</item>
      </candidateList>
      <explain>文本全半角错误。</explain>
      <paraID>37CC24E9</paraID>
      <start>8</start>
      <end>9</end>
      <status>unmodified</status>
      <modifiedWord/>
      <trackRevisions>false</trackRevisions>
    </reviewItem>
    <reviewItem>
      <errorID>22450f40-2675-458b-b7bf-11569b08b425</errorID>
      <errorWord>液压捶</errorWord>
      <group>L1_Word</group>
      <groupName>字词问题</groupName>
      <ability>L2_Typo</ability>
      <abilityName>字词错误</abilityName>
      <candidateList>
        <item>液压锤</item>
      </candidateList>
      <explain/>
      <paraID> 9C201FD</paraID>
      <start>0</start>
      <end>3</end>
      <status>modified</status>
      <modifiedWord>液压锤</modifiedWord>
      <trackRevisions>false</trackRevisions>
    </reviewItem>
    <reviewItem>
      <errorID>80be4303-8c54-45c5-a24e-7294f5a06c2f</errorID>
      <errorWord>；；</errorWord>
      <group>L1_Punc</group>
      <groupName>标点问题</groupName>
      <ability>L2_Punc</ability>
      <abilityName>标点符号检查</abilityName>
      <candidateList>
        <item>；</item>
      </candidateList>
      <explain/>
      <paraID>76E1C338</paraID>
      <start>7</start>
      <end>9</end>
      <status>unmodified</status>
      <modifiedWord/>
      <trackRevisions>false</trackRevisions>
    </reviewItem>
    <reviewItem>
      <errorID>f9214385-5274-477a-8660-218f42832348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1DDE93F5</paraID>
      <start>6</start>
      <end>7</end>
      <status>unmodified</status>
      <modifiedWord/>
      <trackRevisions>false</trackRevisions>
    </reviewItem>
    <reviewItem>
      <errorID>7425b3dd-07b7-4665-9ad0-78d3d140def1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1CE65B33</paraID>
      <start>12</start>
      <end>13</end>
      <status>unmodified</status>
      <modifiedWord/>
      <trackRevisions>false</trackRevisions>
    </reviewItem>
    <reviewItem>
      <errorID>500f4374-fc3f-47a3-87c8-c30df2f4835e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2B272FFD</paraID>
      <start>12</start>
      <end>13</end>
      <status>unmodified</status>
      <modifiedWord/>
      <trackRevisions>false</trackRevisions>
    </reviewItem>
    <reviewItem>
      <errorID>b9c80ee0-0001-4440-9d0c-7ab02b39c95d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68BD3562</paraID>
      <start>12</start>
      <end>13</end>
      <status>unmodified</status>
      <modifiedWord/>
      <trackRevisions>false</trackRevisions>
    </reviewItem>
    <reviewItem>
      <errorID>69c0138c-2faf-4e8d-9676-070a3ece18a9</errorID>
      <errorWord>:</errorWord>
      <group>L1_Format</group>
      <groupName>格式问题</groupName>
      <ability>L2_HalfPunc</ability>
      <abilityName>全半角检查</abilityName>
      <candidateList>
        <item>：</item>
      </candidateList>
      <explain>文本全半角错误。</explain>
      <paraID>66887082</paraID>
      <start>4</start>
      <end>5</end>
      <status>unmodified</status>
      <modifiedWord/>
      <trackRevisions>false</trackRevisions>
    </reviewItem>
    <reviewItem>
      <errorID>df6344d7-2ef3-4c9d-9709-85045ab72e62</errorID>
      <errorWord>外挂</errorWord>
      <group>L1_Sensitive</group>
      <groupName>敏感问题</groupName>
      <ability>L2_Prohibited</ability>
      <abilityName>违禁内容</abilityName>
      <candidateList/>
      <explain>【违禁内容】句中涉及国家法律明令禁止的违禁内容，请注意甄别。</explain>
      <paraID>658409E5</paraID>
      <start>2</start>
      <end>4</end>
      <status>ignored</status>
      <modifiedWord/>
      <trackRevisions>false</trackRevisions>
    </reviewItem>
    <reviewItem>
      <errorID>34f9535f-0cb5-4870-874c-ebbff7706120</errorID>
      <errorWord>:</errorWord>
      <group>L1_Format</group>
      <groupName>格式问题</groupName>
      <ability>L2_HalfPunc</ability>
      <abilityName>全半角检查</abilityName>
      <candidateList>
        <item>：</item>
      </candidateList>
      <explain>文本全半角错误。</explain>
      <paraID>6047D707</paraID>
      <start>7</start>
      <end>8</end>
      <status>unmodified</status>
      <modifiedWord/>
      <trackRevisions>false</trackRevisions>
    </reviewItem>
    <reviewItem>
      <errorID>05dc52c2-8453-4e1a-9e1a-2323696c25c8</errorID>
      <errorWord>;</errorWord>
      <group>L1_Format</group>
      <groupName>格式问题</groupName>
      <ability>L2_HalfPunc</ability>
      <abilityName>全半角检查</abilityName>
      <candidateList>
        <item>；</item>
      </candidateList>
      <explain>文本全半角错误。</explain>
      <paraID>6047D707</paraID>
      <start>17</start>
      <end>18</end>
      <status>unmodified</status>
      <modifiedWord/>
      <trackRevisions>false</trackRevisions>
    </reviewItem>
    <reviewItem>
      <errorID>c10716fa-a407-4292-bced-1256dbc5d4a4</errorID>
      <errorWord>:</errorWord>
      <group>L1_Format</group>
      <groupName>格式问题</groupName>
      <ability>L2_HalfPunc</ability>
      <abilityName>全半角检查</abilityName>
      <candidateList>
        <item>：</item>
      </candidateList>
      <explain>文本全半角错误。</explain>
      <paraID>59C55771</paraID>
      <start>7</start>
      <end>8</end>
      <status>unmodified</status>
      <modifiedWord/>
      <trackRevisions>false</trackRevisions>
    </reviewItem>
    <reviewItem>
      <errorID>e32eb086-ac8c-428e-a17b-6692812ab3b7</errorID>
      <errorWord>;</errorWord>
      <group>L1_Format</group>
      <groupName>格式问题</groupName>
      <ability>L2_HalfPunc</ability>
      <abilityName>全半角检查</abilityName>
      <candidateList>
        <item>；</item>
      </candidateList>
      <explain>文本全半角错误。</explain>
      <paraID>59C55771</paraID>
      <start>17</start>
      <end>18</end>
      <status>unmodified</status>
      <modifiedWord/>
      <trackRevisions>false</trackRevisions>
    </reviewItem>
    <reviewItem>
      <errorID>963fa791-a0da-48d1-816e-5e517f012452</errorID>
      <errorWord>:</errorWord>
      <group>L1_Format</group>
      <groupName>格式问题</groupName>
      <ability>L2_HalfPunc</ability>
      <abilityName>全半角检查</abilityName>
      <candidateList>
        <item>：</item>
      </candidateList>
      <explain>文本全半角错误。</explain>
      <paraID>5D7F0D81</paraID>
      <start>7</start>
      <end>8</end>
      <status>unmodified</status>
      <modifiedWord/>
      <trackRevisions>false</trackRevisions>
    </reviewItem>
    <reviewItem>
      <errorID>1a368ee8-836d-4133-99ab-69da1e9a3b5b</errorID>
      <errorWord>;</errorWord>
      <group>L1_Format</group>
      <groupName>格式问题</groupName>
      <ability>L2_HalfPunc</ability>
      <abilityName>全半角检查</abilityName>
      <candidateList>
        <item>；</item>
      </candidateList>
      <explain>文本全半角错误。</explain>
      <paraID>5D7F0D81</paraID>
      <start>17</start>
      <end>18</end>
      <status>unmodified</status>
      <modifiedWord/>
      <trackRevisions>false</trackRevisions>
    </reviewItem>
    <reviewItem>
      <errorID>4d7802e1-4f77-40ee-82d8-b1338cdb19aa</errorID>
      <errorWord>~</errorWord>
      <group>L1_Format</group>
      <groupName>格式问题</groupName>
      <ability>L2_HalfPunc</ability>
      <abilityName>全半角检查</abilityName>
      <candidateList>
        <item>～</item>
      </candidateList>
      <explain>文本全半角错误。</explain>
      <paraID>262A237A</paraID>
      <start>5</start>
      <end>6</end>
      <status>unmodified</status>
      <modifiedWord/>
      <trackRevisions>false</trackRevisions>
    </reviewItem>
    <reviewItem>
      <errorID>c9fcaf48-2ec5-431f-b79c-b8e68741532b</errorID>
      <errorWord>~</errorWord>
      <group>L1_Format</group>
      <groupName>格式问题</groupName>
      <ability>L2_HalfPunc</ability>
      <abilityName>全半角检查</abilityName>
      <candidateList>
        <item>～</item>
      </candidateList>
      <explain>文本全半角错误。</explain>
      <paraID>435CD08D</paraID>
      <start>6</start>
      <end>7</end>
      <status>unmodified</status>
      <modifiedWord/>
      <trackRevisions>false</trackRevisions>
    </reviewItem>
    <reviewItem>
      <errorID>3bc28ae7-2b56-4149-bbed-98046873a4f6</errorID>
      <errorWord>~</errorWord>
      <group>L1_Format</group>
      <groupName>格式问题</groupName>
      <ability>L2_HalfPunc</ability>
      <abilityName>全半角检查</abilityName>
      <candidateList>
        <item>～</item>
      </candidateList>
      <explain>文本全半角错误。</explain>
      <paraID>2D9700C6</paraID>
      <start>5</start>
      <end>6</end>
      <status>unmodified</status>
      <modifiedWord/>
      <trackRevisions>false</trackRevisions>
    </reviewItem>
    <reviewItem>
      <errorID>0be68795-0410-449a-831c-153af13a7fd2</errorID>
      <errorWord>~</errorWord>
      <group>L1_Format</group>
      <groupName>格式问题</groupName>
      <ability>L2_HalfPunc</ability>
      <abilityName>全半角检查</abilityName>
      <candidateList>
        <item>～</item>
      </candidateList>
      <explain>文本全半角错误。</explain>
      <paraID>6FD21CB5</paraID>
      <start>9</start>
      <end>10</end>
      <status>unmodified</status>
      <modifiedWord/>
      <trackRevisions>false</trackRevisions>
    </reviewItem>
    <reviewItem>
      <errorID>bf849226-d554-46f9-8cf5-0a053711165a</errorID>
      <errorWord>:</errorWord>
      <group>L1_Format</group>
      <groupName>格式问题</groupName>
      <ability>L2_HalfPunc</ability>
      <abilityName>全半角检查</abilityName>
      <candidateList>
        <item>：</item>
      </candidateList>
      <explain>文本全半角错误。</explain>
      <paraID>453FB4A7</paraID>
      <start>6</start>
      <end>7</end>
      <status>unmodified</status>
      <modifiedWord/>
      <trackRevisions>false</trackRevisions>
    </reviewItem>
    <reviewItem>
      <errorID>6daf81a8-3dad-4823-9139-72f744e32d29</errorID>
      <errorWord>~</errorWord>
      <group>L1_Format</group>
      <groupName>格式问题</groupName>
      <ability>L2_HalfPunc</ability>
      <abilityName>全半角检查</abilityName>
      <candidateList>
        <item>～</item>
      </candidateList>
      <explain>文本全半角错误。</explain>
      <paraID>345983F5</paraID>
      <start>6</start>
      <end>7</end>
      <status>unmodified</status>
      <modifiedWord/>
      <trackRevisions>false</trackRevisions>
    </reviewItem>
    <reviewItem>
      <errorID>fb5ce453-50d8-4495-b554-d6d73ebae4d4</errorID>
      <errorWord>~</errorWord>
      <group>L1_Format</group>
      <groupName>格式问题</groupName>
      <ability>L2_HalfPunc</ability>
      <abilityName>全半角检查</abilityName>
      <candidateList>
        <item>～</item>
      </candidateList>
      <explain>文本全半角错误。</explain>
      <paraID> 81A3760</paraID>
      <start>6</start>
      <end>7</end>
      <status>unmodified</status>
      <modifiedWord/>
      <trackRevisions>false</trackRevisions>
    </reviewItem>
    <reviewItem>
      <errorID>754e14f6-fb56-46cd-8a6b-f23a49449f6c</errorID>
      <errorWord>~</errorWord>
      <group>L1_Format</group>
      <groupName>格式问题</groupName>
      <ability>L2_HalfPunc</ability>
      <abilityName>全半角检查</abilityName>
      <candidateList>
        <item>～</item>
      </candidateList>
      <explain>文本全半角错误。</explain>
      <paraID>5E737137</paraID>
      <start>7</start>
      <end>8</end>
      <status>unmodified</status>
      <modifiedWord/>
      <trackRevisions>false</trackRevisions>
    </reviewItem>
    <reviewItem>
      <errorID>ca876f6a-82aa-4516-8d78-fbf08c64cd63</errorID>
      <errorWord>~</errorWord>
      <group>L1_Format</group>
      <groupName>格式问题</groupName>
      <ability>L2_HalfPunc</ability>
      <abilityName>全半角检查</abilityName>
      <candidateList>
        <item>～</item>
      </candidateList>
      <explain>文本全半角错误。</explain>
      <paraID>141C992D</paraID>
      <start>6</start>
      <end>7</end>
      <status>unmodified</status>
      <modifiedWord/>
      <trackRevisions>false</trackRevisions>
    </reviewItem>
    <reviewItem>
      <errorID>4ccc2085-d26c-4595-b4cc-25189a388c03</errorID>
      <errorWord>kw</errorWord>
      <group>L1_Word</group>
      <groupName>字词问题</groupName>
      <ability>L2_Typo</ability>
      <abilityName>字词错误</abilityName>
      <candidateList>
        <item>kW</item>
      </candidateList>
      <explain/>
      <paraID>7F207857</paraID>
      <start>55</start>
      <end>57</end>
      <status>modified</status>
      <modifiedWord>kW</modifiedWord>
      <trackRevisions>false</trackRevisions>
    </reviewItem>
    <reviewItem>
      <errorID>30758b22-2662-44b2-a813-c0196345fd72</errorID>
      <errorWord>kw</errorWord>
      <group>L1_Word</group>
      <groupName>字词问题</groupName>
      <ability>L2_Typo</ability>
      <abilityName>字词错误</abilityName>
      <candidateList>
        <item>kW</item>
      </candidateList>
      <explain/>
      <paraID>12133069</paraID>
      <start>58</start>
      <end>60</end>
      <status>modified</status>
      <modifiedWord>kW</modifiedWord>
      <trackRevisions>false</trackRevisions>
    </reviewItem>
    <reviewItem>
      <errorID>f88e5bab-8496-48b5-b755-d0a241ee0e10</errorID>
      <errorWord>kw</errorWord>
      <group>L1_Word</group>
      <groupName>字词问题</groupName>
      <ability>L2_Typo</ability>
      <abilityName>字词错误</abilityName>
      <candidateList>
        <item>kW</item>
      </candidateList>
      <explain/>
      <paraID>380894D5</paraID>
      <start>58</start>
      <end>60</end>
      <status>modified</status>
      <modifiedWord>kW</modifiedWord>
      <trackRevisions>false</trackRevisions>
    </reviewItem>
    <reviewItem>
      <errorID>d2169363-d994-4b9d-bc35-9f178ef4f773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15A2E7B4</paraID>
      <start>14</start>
      <end>15</end>
      <status>unmodified</status>
      <modifiedWord/>
      <trackRevisions>false</trackRevisions>
    </reviewItem>
    <reviewItem>
      <errorID>dfdb9ab7-46ec-41d4-9dc9-04ade86481fd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15A2E7B4</paraID>
      <start>38</start>
      <end>39</end>
      <status>unmodified</status>
      <modifiedWord/>
      <trackRevisions>false</trackRevisions>
    </reviewItem>
    <reviewItem>
      <errorID>bce6c53a-2e83-4fb5-8dba-0c29bdfe205a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15A2E7B4</paraID>
      <start>57</start>
      <end>58</end>
      <status>unmodified</status>
      <modifiedWord/>
      <trackRevisions>false</trackRevisions>
    </reviewItem>
    <reviewItem>
      <errorID>ccf44187-43c7-4de0-8bb8-25aed1d9a706</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3C18058B</paraID>
      <start>10</start>
      <end>11</end>
      <status>unmodified</status>
      <modifiedWord/>
      <trackRevisions>false</trackRevisions>
    </reviewItem>
    <reviewItem>
      <errorID>b5148f76-d87a-47bb-ae8f-20336172b6ae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3C18058B</paraID>
      <start>14</start>
      <end>15</end>
      <status>unmodified</status>
      <modifiedWord/>
      <trackRevisions>false</trackRevisions>
    </reviewItem>
    <reviewItem>
      <errorID>3a847062-f2c1-4d10-8d2e-9f79badba0ac</errorID>
      <errorWord>23%~40%</errorWord>
      <group>L1_Knowledge</group>
      <groupName>知识性问题</groupName>
      <ability>L2_Knowledge</ability>
      <abilityName>其他知识</abilityName>
      <candidateList>
        <item>23%～40%</item>
      </candidateList>
      <explain>1. “23%~40%”中的单位“%”仅出现在后一个数字上，容易引起歧义；根据《现代汉语标点符号数字用法规范手册》，数字表示范围两边需要使用统一的格式。2. 根据标点国标 4.13 中的规则，数字、时间或地域连接符应使用（视觉上更长的）“—”或“～”。</explain>
      <paraID>2FA045C6</paraID>
      <start>3</start>
      <end>10</end>
      <status>modified</status>
      <modifiedWord>23%～40%</modifiedWord>
      <trackRevisions>false</trackRevisions>
    </reviewItem>
    <reviewItem>
      <errorID>18154d5a-9cba-48f2-816d-7b98b4d51cbd</errorID>
      <errorWord>~</errorWord>
      <group>L1_Format</group>
      <groupName>格式问题</groupName>
      <ability>L2_HalfPunc</ability>
      <abilityName>全半角检查</abilityName>
      <candidateList>
        <item>～</item>
      </candidateList>
      <explain>文本全半角错误。</explain>
      <paraID>3E7C8249</paraID>
      <start>11</start>
      <end>12</end>
      <status>unmodified</status>
      <modifiedWord/>
      <trackRevisions>false</trackRevisions>
    </reviewItem>
    <reviewItem>
      <errorID>fe308ccf-c29b-493f-9b9d-119558b28cd1</errorID>
      <errorWord>~</errorWord>
      <group>L1_Format</group>
      <groupName>格式问题</groupName>
      <ability>L2_HalfPunc</ability>
      <abilityName>全半角检查</abilityName>
      <candidateList>
        <item>～</item>
      </candidateList>
      <explain>文本全半角错误。</explain>
      <paraID>7160CBED</paraID>
      <start>8</start>
      <end>9</end>
      <status>unmodified</status>
      <modifiedWord/>
      <trackRevisions>false</trackRevisions>
    </reviewItem>
    <reviewItem>
      <errorID>5cee25f6-79f7-4afe-b07f-8c43b0e7b13d</errorID>
      <errorWord>~</errorWord>
      <group>L1_Format</group>
      <groupName>格式问题</groupName>
      <ability>L2_HalfPunc</ability>
      <abilityName>全半角检查</abilityName>
      <candidateList>
        <item>～</item>
      </candidateList>
      <explain>文本全半角错误。</explain>
      <paraID> 9943B75</paraID>
      <start>7</start>
      <end>8</end>
      <status>unmodified</status>
      <modifiedWord/>
      <trackRevisions>false</trackRevisions>
    </reviewItem>
    <reviewItem>
      <errorID>deedabc8-573f-48f5-baa1-dc82997ba228</errorID>
      <errorWord>~</errorWord>
      <group>L1_Format</group>
      <groupName>格式问题</groupName>
      <ability>L2_HalfPunc</ability>
      <abilityName>全半角检查</abilityName>
      <candidateList>
        <item>～</item>
      </candidateList>
      <explain>文本全半角错误。</explain>
      <paraID>7D6A7CEB</paraID>
      <start>5</start>
      <end>6</end>
      <status>unmodified</status>
      <modifiedWord/>
      <trackRevisions>false</trackRevisions>
    </reviewItem>
    <reviewItem>
      <errorID>d3a09fd0-3e9b-49bb-89ba-4f36551fdab0</errorID>
      <errorWord>~</errorWord>
      <group>L1_Format</group>
      <groupName>格式问题</groupName>
      <ability>L2_HalfPunc</ability>
      <abilityName>全半角检查</abilityName>
      <candidateList>
        <item>～</item>
      </candidateList>
      <explain>文本全半角错误。</explain>
      <paraID>3687613C</paraID>
      <start>8</start>
      <end>9</end>
      <status>unmodified</status>
      <modifiedWord/>
      <trackRevisions>false</trackRevisions>
    </reviewItem>
    <reviewItem>
      <errorID>1cab65fb-afa3-4b6b-b133-374b02cb95d1</errorID>
      <errorWord>~</errorWord>
      <group>L1_Format</group>
      <groupName>格式问题</groupName>
      <ability>L2_HalfPunc</ability>
      <abilityName>全半角检查</abilityName>
      <candidateList>
        <item>～</item>
      </candidateList>
      <explain>文本全半角错误。</explain>
      <paraID> E13F81B</paraID>
      <start>9</start>
      <end>10</end>
      <status>unmodified</status>
      <modifiedWord/>
      <trackRevisions>false</trackRevisions>
    </reviewItem>
    <reviewItem>
      <errorID>72688333-d7a5-4aab-ad98-03b58cd87262</errorID>
      <errorWord>~</errorWord>
      <group>L1_Format</group>
      <groupName>格式问题</groupName>
      <ability>L2_HalfPunc</ability>
      <abilityName>全半角检查</abilityName>
      <candidateList>
        <item>～</item>
      </candidateList>
      <explain>文本全半角错误。</explain>
      <paraID>58DD2518</paraID>
      <start>7</start>
      <end>8</end>
      <status>unmodified</status>
      <modifiedWord/>
      <trackRevisions>false</trackRevisions>
    </reviewItem>
    <reviewItem>
      <errorID>1e0fd7d2-ef81-4a3f-8af4-3b105d85080d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2386B9F0</paraID>
      <start>5</start>
      <end>6</end>
      <status>unmodified</status>
      <modifiedWord/>
      <trackRevisions>false</trackRevisions>
    </reviewItem>
    <reviewItem>
      <errorID>d80e600d-1c17-4304-972c-b5ff49072542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607654EC</paraID>
      <start>7</start>
      <end>8</end>
      <status>unmodified</status>
      <modifiedWord/>
      <trackRevisions>false</trackRevisions>
    </reviewItem>
    <reviewItem>
      <errorID>bdade870-1e9b-4d84-9a46-cfbd4771c92e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2AF767A0</paraID>
      <start>5</start>
      <end>6</end>
      <status>unmodified</status>
      <modifiedWord/>
      <trackRevisions>false</trackRevisions>
    </reviewItem>
    <reviewItem>
      <errorID>c4a5cf63-7b8e-4710-a30a-c1d71e9091f8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2A79445F</paraID>
      <start>5</start>
      <end>6</end>
      <status>unmodified</status>
      <modifiedWord/>
      <trackRevisions>false</trackRevisions>
    </reviewItem>
    <reviewItem>
      <errorID>dddb876a-ddc5-4e50-b1b9-7bf616ab451d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4044B1D7</paraID>
      <start>5</start>
      <end>6</end>
      <status>unmodified</status>
      <modifiedWord/>
      <trackRevisions>false</trackRevisions>
    </reviewItem>
    <reviewItem>
      <errorID>d386f661-259b-4751-a2c0-d8ca49e686fc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5CD99324</paraID>
      <start>9</start>
      <end>10</end>
      <status>unmodified</status>
      <modifiedWord/>
      <trackRevisions>false</trackRevisions>
    </reviewItem>
    <reviewItem>
      <errorID>9886ec39-3716-4534-9327-c3e1250bb35c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56AF62CA</paraID>
      <start>8</start>
      <end>9</end>
      <status>unmodified</status>
      <modifiedWord/>
      <trackRevisions>false</trackRevisions>
    </reviewItem>
    <reviewItem>
      <errorID>c28a5ecb-8d91-4901-8b23-91fe5300643f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6144FC5C</paraID>
      <start>7</start>
      <end>8</end>
      <status>unmodified</status>
      <modifiedWord/>
      <trackRevisions>false</trackRevisions>
    </reviewItem>
    <reviewItem>
      <errorID>02b5b4e4-a140-40e4-a246-0b9df0e2d131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6023F317</paraID>
      <start>7</start>
      <end>8</end>
      <status>unmodified</status>
      <modifiedWord/>
      <trackRevisions>false</trackRevisions>
    </reviewItem>
    <reviewItem>
      <errorID>0b42b094-fe40-48c2-a734-06d39140eb0e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980E64A</paraID>
      <start>8</start>
      <end>9</end>
      <status>unmodified</status>
      <modifiedWord/>
      <trackRevisions>false</trackRevisions>
    </reviewItem>
    <reviewItem>
      <errorID>6c76a7f4-3753-4ec0-8cce-e6cbe3d182d4</errorID>
      <errorWord>:</errorWord>
      <group>L1_Format</group>
      <groupName>格式问题</groupName>
      <ability>L2_HalfPunc</ability>
      <abilityName>全半角检查</abilityName>
      <candidateList>
        <item>：</item>
      </candidateList>
      <explain>文本全半角错误。</explain>
      <paraID>7E789003</paraID>
      <start>6</start>
      <end>7</end>
      <status>unmodified</status>
      <modifiedWord/>
      <trackRevisions>false</trackRevisions>
    </reviewItem>
    <reviewItem>
      <errorID>da227733-cb96-467c-9197-8bea89aa7eae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7306067F</paraID>
      <start>8</start>
      <end>9</end>
      <status>unmodified</status>
      <modifiedWord/>
      <trackRevisions>false</trackRevisions>
    </reviewItem>
    <reviewItem>
      <errorID>e60a7e8a-fd0c-459e-907c-e366f4acc50b</errorID>
      <errorWord>:</errorWord>
      <group>L1_Format</group>
      <groupName>格式问题</groupName>
      <ability>L2_HalfPunc</ability>
      <abilityName>全半角检查</abilityName>
      <candidateList>
        <item>：</item>
      </candidateList>
      <explain>文本全半角错误。</explain>
      <paraID>776EC0DD</paraID>
      <start>4</start>
      <end>5</end>
      <status>unmodified</status>
      <modifiedWord/>
      <trackRevisions>false</trackRevisions>
    </reviewItem>
    <reviewItem>
      <errorID>d8a9e279-8544-40b1-8936-ac758c3f1a9b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776EC0DD</paraID>
      <start>10</start>
      <end>11</end>
      <status>unmodified</status>
      <modifiedWord/>
      <trackRevisions>false</trackRevisions>
    </reviewItem>
    <reviewItem>
      <errorID>d4921f0f-8a72-4c20-827f-d89608baf449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76E4192B</paraID>
      <start>7</start>
      <end>8</end>
      <status>unmodified</status>
      <modifiedWord/>
      <trackRevisions>false</trackRevisions>
    </reviewItem>
    <reviewItem>
      <errorID>08f5a058-a132-4c3d-a623-9899691b3f95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7ED8409B</paraID>
      <start>10</start>
      <end>11</end>
      <status>unmodified</status>
      <modifiedWord/>
      <trackRevisions>false</trackRevisions>
    </reviewItem>
    <reviewItem>
      <errorID>df6bc299-9ffe-47e6-b9b7-f5108f179537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7ED8409B</paraID>
      <start>31</start>
      <end>32</end>
      <status>unmodified</status>
      <modifiedWord/>
      <trackRevisions>false</trackRevisions>
    </reviewItem>
    <reviewItem>
      <errorID>884e9aa3-019f-44ea-81af-351ea7cd83d1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7ED8409B</paraID>
      <start>47</start>
      <end>48</end>
      <status>unmodified</status>
      <modifiedWord/>
      <trackRevisions>false</trackRevisions>
    </reviewItem>
    <reviewItem>
      <errorID>ce9fe03f-5b88-4a96-8f03-d10ca81aee6b</errorID>
      <errorWord>,</errorWord>
      <group>L1_Format</group>
      <groupName>格式问题</groupName>
      <ability>L2_HalfPunc</ability>
      <abilityName>全半角检查</abilityName>
      <candidateList>
        <item>，</item>
      </candidateList>
      <explain>文本全半角错误。</explain>
      <paraID>305CD4E9</paraID>
      <start>11</start>
      <end>12</end>
      <status>unmodified</status>
      <modifiedWord/>
      <trackRevisions>false</trackRevisions>
    </reviewItem>
    <reviewItem>
      <errorID>bcd5af69-ba14-40a5-9156-69b682fc9366</errorID>
      <errorWord>:</errorWord>
      <group>L1_Format</group>
      <groupName>格式问题</groupName>
      <ability>L2_HalfPunc</ability>
      <abilityName>全半角检查</abilityName>
      <candidateList>
        <item>：</item>
      </candidateList>
      <explain>文本全半角错误。</explain>
      <paraID>568054B2</paraID>
      <start>6</start>
      <end>7</end>
      <status>unmodified</status>
      <modifiedWord/>
      <trackRevisions>false</trackRevisions>
    </reviewItem>
    <reviewItem>
      <errorID>952f544c-4de7-4390-b6d2-30cc936b2d23</errorID>
      <errorWord>:</errorWord>
      <group>L1_Format</group>
      <groupName>格式问题</groupName>
      <ability>L2_HalfPunc</ability>
      <abilityName>全半角检查</abilityName>
      <candidateList>
        <item>：</item>
      </candidateList>
      <explain>文本全半角错误。</explain>
      <paraID>32315802</paraID>
      <start>10</start>
      <end>11</end>
      <status>unmodified</status>
      <modifiedWord/>
      <trackRevisions>false</trackRevisions>
    </reviewItem>
    <reviewItem>
      <errorID>79ed1efb-a4fb-4f48-bc5f-fff6ecc01d76</errorID>
      <errorWord>:</errorWord>
      <group>L1_Format</group>
      <groupName>格式问题</groupName>
      <ability>L2_HalfPunc</ability>
      <abilityName>全半角检查</abilityName>
      <candidateList>
        <item>：</item>
      </candidateList>
      <explain>文本全半角错误。</explain>
      <paraID>241652FF</paraID>
      <start>4</start>
      <end>5</end>
      <status>unmodified</status>
      <modifiedWord/>
      <trackRevisions>false</trackRevisions>
    </reviewItem>
    <reviewItem>
      <errorID>291eda39-cb09-4f09-9a2d-f33214891d1b</errorID>
      <errorWord>:</errorWord>
      <group>L1_Format</group>
      <groupName>格式问题</groupName>
      <ability>L2_HalfPunc</ability>
      <abilityName>全半角检查</abilityName>
      <candidateList>
        <item>：</item>
      </candidateList>
      <explain>文本全半角错误。</explain>
      <paraID>5EE9411F</paraID>
      <start>6</start>
      <end>7</end>
      <status>unmodified</status>
      <modifiedWord/>
      <trackRevisions>false</trackRevisions>
    </reviewItem>
    <reviewItem>
      <errorID>8196c781-ba67-4ef0-b74b-48a59c9d0c12</errorID>
      <errorWord>:</errorWord>
      <group>L1_Format</group>
      <groupName>格式问题</groupName>
      <ability>L2_HalfPunc</ability>
      <abilityName>全半角检查</abilityName>
      <candidateList>
        <item>：</item>
      </candidateList>
      <explain>文本全半角错误。</explain>
      <paraID>6FEB241D</paraID>
      <start>4</start>
      <end>5</end>
      <status>unmodified</status>
      <modifiedWord/>
      <trackRevisions>false</trackRevisions>
    </reviewItem>
    <reviewItem>
      <errorID>6ab9eb35-cbef-4a0e-a262-b783998094a5</errorID>
      <errorWord>:</errorWord>
      <group>L1_Format</group>
      <groupName>格式问题</groupName>
      <ability>L2_HalfPunc</ability>
      <abilityName>全半角检查</abilityName>
      <candidateList>
        <item>：</item>
      </candidateList>
      <explain>文本全半角错误。</explain>
      <paraID>2FAB27B7</paraID>
      <start>2</start>
      <end>3</end>
      <status>unmodified</status>
      <modifiedWord/>
      <trackRevisions>false</trackRevisions>
    </reviewItem>
    <reviewItem>
      <errorID>6f306dd5-f381-4152-ab1a-78d204de4500</errorID>
      <errorWord>:</errorWord>
      <group>L1_Format</group>
      <groupName>格式问题</groupName>
      <ability>L2_HalfPunc</ability>
      <abilityName>全半角检查</abilityName>
      <candidateList>
        <item>：</item>
      </candidateList>
      <explain>文本全半角错误。</explain>
      <paraID>645A6677</paraID>
      <start>6</start>
      <end>7</end>
      <status>unmodified</status>
      <modifiedWord/>
      <trackRevisions>false</trackRevisions>
    </reviewItem>
    <reviewItem>
      <errorID>7bc84119-0403-4c38-ad51-84f02771e087</errorID>
      <errorWord>:</errorWord>
      <group>L1_Format</group>
      <groupName>格式问题</groupName>
      <ability>L2_HalfPunc</ability>
      <abilityName>全半角检查</abilityName>
      <candidateList>
        <item>：</item>
      </candidateList>
      <explain>文本全半角错误。</explain>
      <paraID>538CC43E</paraID>
      <start>4</start>
      <end>5</end>
      <status>unmodified</status>
      <modifiedWord/>
      <trackRevisions>false</trackRevisions>
    </reviewItem>
    <reviewItem>
      <errorID>36cc8d8c-acd5-4f8b-82cb-74a59d91b01f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348DE2F4</paraID>
      <start>8</start>
      <end>9</end>
      <status>unmodified</status>
      <modifiedWord/>
      <trackRevisions>false</trackRevisions>
    </reviewItem>
    <reviewItem>
      <errorID>dd0dbefc-7065-4d8a-ac38-80b69a58af4f</errorID>
      <errorWord>震动</errorWord>
      <group>L1_Word</group>
      <groupName>字词问题</groupName>
      <ability>L2_Typo</ability>
      <abilityName>字词错误</abilityName>
      <candidateList>
        <item>振动</item>
      </candidateList>
      <explain>〈动〉物体通过一个中心位置，不断作往复运动。摆的运动就是振动。也叫振荡。</explain>
      <paraID>13130621</paraID>
      <start>0</start>
      <end>2</end>
      <status>modified</status>
      <modifiedWord>振动</modifiedWord>
      <trackRevisions>false</trackRevisions>
    </reviewItem>
    <reviewItem>
      <errorID>11dfe1e5-519b-485d-a343-6ba6b36d2de2</errorID>
      <errorWord>震幅</errorWord>
      <group>L1_Word</group>
      <groupName>字词问题</groupName>
      <ability>L2_Typo</ability>
      <abilityName>字词错误</abilityName>
      <candidateList>
        <item>振幅</item>
      </candidateList>
      <explain/>
      <paraID> B26A2AD</paraID>
      <start>0</start>
      <end>2</end>
      <status>ignored</status>
      <modifiedWord/>
      <trackRevisions>false</trackRevisions>
    </reviewItem>
    <reviewItem>
      <errorID>77933941-973c-4008-a072-c1e59d54fa96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7E4B3C35</paraID>
      <start>8</start>
      <end>9</end>
      <status>unmodified</status>
      <modifiedWord/>
      <trackRevisions>false</trackRevisions>
    </reviewItem>
    <reviewItem>
      <errorID>045e8dc8-1c34-4342-9d13-b5106ec1f9f1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6FD49F0D</paraID>
      <start>10</start>
      <end>11</end>
      <status>unmodified</status>
      <modifiedWord/>
      <trackRevisions>false</trackRevisions>
    </reviewItem>
    <reviewItem>
      <errorID>63ffc0c1-4988-4764-ac7b-c84c90021300</errorID>
      <errorWord>管经</errorWord>
      <group>L1_Word</group>
      <groupName>字词问题</groupName>
      <ability>L2_Typo</ability>
      <abilityName>字词错误</abilityName>
      <candidateList>
        <item>管径</item>
      </candidateList>
      <explain/>
      <paraID>2B5EC448</paraID>
      <start>2</start>
      <end>4</end>
      <status>modified</status>
      <modifiedWord>管径</modifiedWord>
      <trackRevisions>false</trackRevisions>
    </reviewItem>
    <reviewItem>
      <errorID>56ee13df-04cb-45c7-b269-7f16fa0dec17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499F5936</paraID>
      <start>4</start>
      <end>5</end>
      <status>unmodified</status>
      <modifiedWord/>
      <trackRevisions>false</trackRevisions>
    </reviewItem>
    <reviewItem>
      <errorID>22d3847e-d1fd-4032-8313-4b7109171b1d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23635278</paraID>
      <start>11</start>
      <end>12</end>
      <status>unmodified</status>
      <modifiedWord/>
      <trackRevisions>false</trackRevisions>
    </reviewItem>
    <reviewItem>
      <errorID>c19ebdad-2821-4466-ae2e-5ea1abe36493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6AF4F843</paraID>
      <start>9</start>
      <end>10</end>
      <status>unmodified</status>
      <modifiedWord/>
      <trackRevisions>false</trackRevisions>
    </reviewItem>
    <reviewItem>
      <errorID>01be7be3-8131-4126-ba51-95e11a6f26dc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184E8418</paraID>
      <start>4</start>
      <end>5</end>
      <status>unmodified</status>
      <modifiedWord/>
      <trackRevisions>false</trackRevisions>
    </reviewItem>
    <reviewItem>
      <errorID>69c7ef15-95ad-402b-84e4-e46b3a50e30d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184E8418</paraID>
      <start>17</start>
      <end>18</end>
      <status>unmodified</status>
      <modifiedWord/>
      <trackRevisions>false</trackRevisions>
    </reviewItem>
    <reviewItem>
      <errorID>513633f8-9d6c-4188-817d-3099e259ff4c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184E8418</paraID>
      <start>31</start>
      <end>32</end>
      <status>unmodified</status>
      <modifiedWord/>
      <trackRevisions>false</trackRevisions>
    </reviewItem>
    <reviewItem>
      <errorID>8d7f5be6-44a4-4507-b768-b4173f0cff66</errorID>
      <errorWord>~</errorWord>
      <group>L1_Format</group>
      <groupName>格式问题</groupName>
      <ability>L2_HalfPunc</ability>
      <abilityName>全半角检查</abilityName>
      <candidateList>
        <item>～</item>
      </candidateList>
      <explain>文本全半角错误。</explain>
      <paraID>35D00EA7</paraID>
      <start>4</start>
      <end>5</end>
      <status>unmodified</status>
      <modifiedWord/>
      <trackRevisions>false</trackRevisions>
    </reviewItem>
    <reviewItem>
      <errorID>97ad04d0-f29b-41ba-bfce-b3e4cd6197a1</errorID>
      <errorWord>~</errorWord>
      <group>L1_Format</group>
      <groupName>格式问题</groupName>
      <ability>L2_HalfPunc</ability>
      <abilityName>全半角检查</abilityName>
      <candidateList>
        <item>～</item>
      </candidateList>
      <explain>文本全半角错误。</explain>
      <paraID>35D00EA7</paraID>
      <start>17</start>
      <end>18</end>
      <status>unmodified</status>
      <modifiedWord/>
      <trackRevisions>false</trackRevisions>
    </reviewItem>
    <reviewItem>
      <errorID>ac912276-8723-49c0-a92c-60a29f15e11a</errorID>
      <errorWord>~</errorWord>
      <group>L1_Format</group>
      <groupName>格式问题</groupName>
      <ability>L2_HalfPunc</ability>
      <abilityName>全半角检查</abilityName>
      <candidateList>
        <item>～</item>
      </candidateList>
      <explain>文本全半角错误。</explain>
      <paraID>35D00EA7</paraID>
      <start>31</start>
      <end>32</end>
      <status>unmodified</status>
      <modifiedWord/>
      <trackRevisions>false</trackRevisions>
    </reviewItem>
    <reviewItem>
      <errorID>6a483bf5-a195-4832-8169-809afc094265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16AE9448</paraID>
      <start>10</start>
      <end>11</end>
      <status>unmodified</status>
      <modifiedWord/>
      <trackRevisions>false</trackRevisions>
    </reviewItem>
    <reviewItem>
      <errorID>7b71175c-8d09-4fde-9379-d98f5574161b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5BEE00B5</paraID>
      <start>7</start>
      <end>8</end>
      <status>unmodified</status>
      <modifiedWord/>
      <trackRevisions>false</trackRevisions>
    </reviewItem>
    <reviewItem>
      <errorID>84e63b97-33ed-4289-800a-f6d381c78e8a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33749E4D</paraID>
      <start>6</start>
      <end>7</end>
      <status>unmodified</status>
      <modifiedWord/>
      <trackRevisions>false</trackRevisions>
    </reviewItem>
    <reviewItem>
      <errorID>9d861828-4ab9-4780-9462-08fc849d66d5</errorID>
      <errorWord>扭距</errorWord>
      <group>L1_Word</group>
      <groupName>字词问题</groupName>
      <ability>L2_Typo</ability>
      <abilityName>字词错误</abilityName>
      <candidateList>
        <item>扭矩</item>
      </candidateList>
      <explain/>
      <paraID> 1BF8646</paraID>
      <start>8</start>
      <end>10</end>
      <status>modified</status>
      <modifiedWord>扭矩</modifiedWord>
      <trackRevisions>false</trackRevisions>
    </reviewItem>
    <reviewItem>
      <errorID>f666fda5-bc5b-47ad-b532-3fe41db9b335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EC44FDE</paraID>
      <start>6</start>
      <end>7</end>
      <status>unmodified</status>
      <modifiedWord/>
      <trackRevisions>false</trackRevisions>
    </reviewItem>
    <reviewItem>
      <errorID>24d24501-d1e7-4c78-97f8-696c8fef25fa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7E0F6CAC</paraID>
      <start>6</start>
      <end>7</end>
      <status>unmodified</status>
      <modifiedWord/>
      <trackRevisions>false</trackRevisions>
    </reviewItem>
    <reviewItem>
      <errorID>a6c0ebb8-6c74-4436-8ed7-6585cbe49acb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3EFE7CB9</paraID>
      <start>6</start>
      <end>7</end>
      <status>unmodified</status>
      <modifiedWord/>
      <trackRevisions>false</trackRevisions>
    </reviewItem>
    <reviewItem>
      <errorID>9d2851cf-6b21-4f08-a7f8-ef2e3a7638ed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1E38C994</paraID>
      <start>5</start>
      <end>6</end>
      <status>unmodified</status>
      <modifiedWord/>
      <trackRevisions>false</trackRevisions>
    </reviewItem>
    <reviewItem>
      <errorID>bb1d589e-d358-483d-80a9-c07cd25163f3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39DD216B</paraID>
      <start>8</start>
      <end>9</end>
      <status>unmodified</status>
      <modifiedWord/>
      <trackRevisions>false</trackRevisions>
    </reviewItem>
    <reviewItem>
      <errorID>20d40083-11d3-4172-9e72-08273ebbc137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374591FF</paraID>
      <start>6</start>
      <end>7</end>
      <status>unmodified</status>
      <modifiedWord/>
      <trackRevisions>false</trackRevisions>
    </reviewItem>
    <reviewItem>
      <errorID>457233b2-5967-4acb-a17a-d71551d15f96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50114802</paraID>
      <start>5</start>
      <end>6</end>
      <status>unmodified</status>
      <modifiedWord/>
      <trackRevisions>false</trackRevisions>
    </reviewItem>
    <reviewItem>
      <errorID>8e70ce15-65e6-414e-9b2e-64858daa9684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6AF9AB0D</paraID>
      <start>7</start>
      <end>8</end>
      <status>unmodified</status>
      <modifiedWord/>
      <trackRevisions>false</trackRevisions>
    </reviewItem>
    <reviewItem>
      <errorID>deee4fb4-8c22-4c05-bd8d-b269f224b646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7C4A28F5</paraID>
      <start>8</start>
      <end>9</end>
      <status>unmodified</status>
      <modifiedWord/>
      <trackRevisions>false</trackRevisions>
    </reviewItem>
    <reviewItem>
      <errorID>83e5f2ea-c7af-41aa-a30c-46b1d91f360f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61EB7AF1</paraID>
      <start>7</start>
      <end>8</end>
      <status>unmodified</status>
      <modifiedWord/>
      <trackRevisions>false</trackRevisions>
    </reviewItem>
    <reviewItem>
      <errorID>ee635d18-3393-4e6b-80b2-41aa887d38a5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33AC0E3A</paraID>
      <start>9</start>
      <end>10</end>
      <status>unmodified</status>
      <modifiedWord/>
      <trackRevisions>false</trackRevisions>
    </reviewItem>
    <reviewItem>
      <errorID>34723bf5-7ba3-4283-a6cd-6acf34777263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7C7BBC59</paraID>
      <start>7</start>
      <end>8</end>
      <status>unmodified</status>
      <modifiedWord/>
      <trackRevisions>false</trackRevisions>
    </reviewItem>
    <reviewItem>
      <errorID>5bdef976-011f-43fa-af2e-60d9d797599c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2E11F461</paraID>
      <start>6</start>
      <end>7</end>
      <status>unmodified</status>
      <modifiedWord/>
      <trackRevisions>false</trackRevisions>
    </reviewItem>
    <reviewItem>
      <errorID>c80b57d6-91ae-47ab-be32-732888885ec3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78A066AC</paraID>
      <start>6</start>
      <end>7</end>
      <status>unmodified</status>
      <modifiedWord/>
      <trackRevisions>false</trackRevisions>
    </reviewItem>
    <reviewItem>
      <errorID>a033bbac-2728-4855-8044-283b9f39eeff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7400418E</paraID>
      <start>6</start>
      <end>7</end>
      <status>unmodified</status>
      <modifiedWord/>
      <trackRevisions>false</trackRevisions>
    </reviewItem>
    <reviewItem>
      <errorID>ccca2fc4-6278-4901-87f3-1400cab3e3b0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1BC9559F</paraID>
      <start>6</start>
      <end>7</end>
      <status>unmodified</status>
      <modifiedWord/>
      <trackRevisions>false</trackRevisions>
    </reviewItem>
    <reviewItem>
      <errorID>2b7939ff-312a-4b88-9e00-4a5ff041c58c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18A7813D</paraID>
      <start>10</start>
      <end>11</end>
      <status>unmodified</status>
      <modifiedWord/>
      <trackRevisions>false</trackRevisions>
    </reviewItem>
    <reviewItem>
      <errorID>aa02a39a-384e-45fb-ba07-71121cb1b4b2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41A414FB</paraID>
      <start>8</start>
      <end>9</end>
      <status>unmodified</status>
      <modifiedWord/>
      <trackRevisions>false</trackRevisions>
    </reviewItem>
    <reviewItem>
      <errorID>232529a0-72e1-4ebc-b323-5347ed341808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7E7FD4A</paraID>
      <start>10</start>
      <end>11</end>
      <status>unmodified</status>
      <modifiedWord/>
      <trackRevisions>false</trackRevisions>
    </reviewItem>
    <reviewItem>
      <errorID>26f18e40-6215-4193-9cc2-68dd34dbb4f7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1DBDE1F5</paraID>
      <start>8</start>
      <end>9</end>
      <status>unmodified</status>
      <modifiedWord/>
      <trackRevisions>false</trackRevisions>
    </reviewItem>
    <reviewItem>
      <errorID>874837f9-7960-4913-a745-07a70b8dff55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3D93730B</paraID>
      <start>6</start>
      <end>7</end>
      <status>unmodified</status>
      <modifiedWord/>
      <trackRevisions>false</trackRevisions>
    </reviewItem>
    <reviewItem>
      <errorID>b75a72b4-9291-4063-8470-7b0b5d4dd288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58A30B03</paraID>
      <start>3</start>
      <end>4</end>
      <status>unmodified</status>
      <modifiedWord/>
      <trackRevisions>false</trackRevisions>
    </reviewItem>
    <reviewItem>
      <errorID>5b1fd05f-b5e5-4a57-a777-bbf691221956</errorID>
      <errorWord>:</errorWord>
      <group>L1_Format</group>
      <groupName>格式问题</groupName>
      <ability>L2_HalfPunc</ability>
      <abilityName>全半角检查</abilityName>
      <candidateList>
        <item>：</item>
      </candidateList>
      <explain>文本全半角错误。</explain>
      <paraID>6A525F18</paraID>
      <start>4</start>
      <end>5</end>
      <status>unmodified</status>
      <modifiedWord/>
      <trackRevisions>false</trackRevisions>
    </reviewItem>
    <reviewItem>
      <errorID>55e400c7-5031-41ed-a513-dc501bcc50e4</errorID>
      <errorWord>:</errorWord>
      <group>L1_Format</group>
      <groupName>格式问题</groupName>
      <ability>L2_HalfPunc</ability>
      <abilityName>全半角检查</abilityName>
      <candidateList>
        <item>：</item>
      </candidateList>
      <explain>文本全半角错误。</explain>
      <paraID>6F9C9B96</paraID>
      <start>4</start>
      <end>5</end>
      <status>unmodified</status>
      <modifiedWord/>
      <trackRevisions>false</trackRevisions>
    </reviewItem>
    <reviewItem>
      <errorID>14b8e449-b03d-4157-8709-86e9e90f1724</errorID>
      <errorWord>:</errorWord>
      <group>L1_Format</group>
      <groupName>格式问题</groupName>
      <ability>L2_HalfPunc</ability>
      <abilityName>全半角检查</abilityName>
      <candidateList>
        <item>：</item>
      </candidateList>
      <explain>文本全半角错误。</explain>
      <paraID>4385F1D8</paraID>
      <start>4</start>
      <end>5</end>
      <status>unmodified</status>
      <modifiedWord/>
      <trackRevisions>false</trackRevisions>
    </reviewItem>
    <reviewItem>
      <errorID>b23d93f5-459b-433c-81b2-4caf8b2526b5</errorID>
      <errorWord>:</errorWord>
      <group>L1_Format</group>
      <groupName>格式问题</groupName>
      <ability>L2_HalfPunc</ability>
      <abilityName>全半角检查</abilityName>
      <candidateList>
        <item>：</item>
      </candidateList>
      <explain>文本全半角错误。</explain>
      <paraID>391CFE48</paraID>
      <start>4</start>
      <end>5</end>
      <status>unmodified</status>
      <modifiedWord/>
      <trackRevisions>false</trackRevisions>
    </reviewItem>
    <reviewItem>
      <errorID>d952050a-5291-49ac-bc7b-5a9a72041884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2572CF79</paraID>
      <start>8</start>
      <end>9</end>
      <status>unmodified</status>
      <modifiedWord/>
      <trackRevisions>false</trackRevisions>
    </reviewItem>
    <reviewItem>
      <errorID>da8f5e10-36c5-43fe-b1f6-e4da707fc728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34FAA1DC</paraID>
      <start>6</start>
      <end>7</end>
      <status>unmodified</status>
      <modifiedWord/>
      <trackRevisions>false</trackRevisions>
    </reviewItem>
    <reviewItem>
      <errorID>adab3019-e602-4ec5-aa54-b8113c9a360f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5A0E0C7F</paraID>
      <start>7</start>
      <end>8</end>
      <status>unmodified</status>
      <modifiedWord/>
      <trackRevisions>false</trackRevisions>
    </reviewItem>
    <reviewItem>
      <errorID>4b822973-deca-4e76-87bd-9597803e8e96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143A3590</paraID>
      <start>6</start>
      <end>7</end>
      <status>unmodified</status>
      <modifiedWord/>
      <trackRevisions>false</trackRevisions>
    </reviewItem>
    <reviewItem>
      <errorID>c51b97e1-65b3-4fbe-bef7-1610a321850c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7D4758F5</paraID>
      <start>8</start>
      <end>9</end>
      <status>unmodified</status>
      <modifiedWord/>
      <trackRevisions>false</trackRevisions>
    </reviewItem>
    <reviewItem>
      <errorID>d3f629ac-f183-4462-8e3e-60ff9521f35f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84A2EC1</paraID>
      <start>7</start>
      <end>8</end>
      <status>unmodified</status>
      <modifiedWord/>
      <trackRevisions>false</trackRevisions>
    </reviewItem>
    <reviewItem>
      <errorID>00e6f692-675b-407a-b534-ad7cd1a182a2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7B9D74C3</paraID>
      <start>7</start>
      <end>8</end>
      <status>unmodified</status>
      <modifiedWord/>
      <trackRevisions>false</trackRevisions>
    </reviewItem>
    <reviewItem>
      <errorID>b1c6343f-d7fc-4312-9885-4b9e67b7b177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3ADE3EC7</paraID>
      <start>7</start>
      <end>8</end>
      <status>unmodified</status>
      <modifiedWord/>
      <trackRevisions>false</trackRevisions>
    </reviewItem>
    <reviewItem>
      <errorID>c88e14d9-d27f-47da-b92a-b620728495f4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5DCA86F1</paraID>
      <start>6</start>
      <end>7</end>
      <status>unmodified</status>
      <modifiedWord/>
      <trackRevisions>false</trackRevisions>
    </reviewItem>
    <reviewItem>
      <errorID>a29de972-9917-4c24-9c6a-48fcf3e41236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E07E035</paraID>
      <start>8</start>
      <end>9</end>
      <status>unmodified</status>
      <modifiedWord/>
      <trackRevisions>false</trackRevisions>
    </reviewItem>
    <reviewItem>
      <errorID>3fe55f1c-b4dc-4eb3-a47a-c048ffe0114d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1774AD5</paraID>
      <start>7</start>
      <end>8</end>
      <status>unmodified</status>
      <modifiedWord/>
      <trackRevisions>false</trackRevisions>
    </reviewItem>
    <reviewItem>
      <errorID>b039ecc0-2a55-407f-9344-4e88773b0b6f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73F06F7</paraID>
      <start>8</start>
      <end>9</end>
      <status>unmodified</status>
      <modifiedWord/>
      <trackRevisions>false</trackRevisions>
    </reviewItem>
    <reviewItem>
      <errorID>234043c4-ce4e-4ea6-bd38-1fbe38d11bbe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17D3FFC2</paraID>
      <start>6</start>
      <end>7</end>
      <status>unmodified</status>
      <modifiedWord/>
      <trackRevisions>false</trackRevisions>
    </reviewItem>
    <reviewItem>
      <errorID>54ef1ab3-36f6-4cef-b2f3-55424575b4f1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67803A81</paraID>
      <start>8</start>
      <end>9</end>
      <status>unmodified</status>
      <modifiedWord/>
      <trackRevisions>false</trackRevisions>
    </reviewItem>
    <reviewItem>
      <errorID>879c3fc7-d3fb-4cc2-9d6e-4736893ee419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27EF17AE</paraID>
      <start>7</start>
      <end>8</end>
      <status>unmodified</status>
      <modifiedWord/>
      <trackRevisions>false</trackRevisions>
    </reviewItem>
    <reviewItem>
      <errorID>bb954c3a-3ca9-4496-a9c2-056c62b211ae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6268A196</paraID>
      <start>8</start>
      <end>9</end>
      <status>unmodified</status>
      <modifiedWord/>
      <trackRevisions>false</trackRevisions>
    </reviewItem>
    <reviewItem>
      <errorID>65a8daa2-ea24-4e39-b87e-b0545c12c15f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439FD2A7</paraID>
      <start>7</start>
      <end>8</end>
      <status>unmodified</status>
      <modifiedWord/>
      <trackRevisions>false</trackRevisions>
    </reviewItem>
    <reviewItem>
      <errorID>f0294124-a05e-493e-a1c2-bc4b4d9c2218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3A22CB44</paraID>
      <start>8</start>
      <end>9</end>
      <status>unmodified</status>
      <modifiedWord/>
      <trackRevisions>false</trackRevisions>
    </reviewItem>
    <reviewItem>
      <errorID>1d9efe32-811d-4341-94b2-ebe9679b3282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4CCBF46C</paraID>
      <start>8</start>
      <end>9</end>
      <status>unmodified</status>
      <modifiedWord/>
      <trackRevisions>false</trackRevisions>
    </reviewItem>
    <reviewItem>
      <errorID>67951ee2-c920-46f0-a3a3-21ddf9fcddea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58DF45A6</paraID>
      <start>9</start>
      <end>10</end>
      <status>unmodified</status>
      <modifiedWord/>
      <trackRevisions>false</trackRevisions>
    </reviewItem>
    <reviewItem>
      <errorID>ecd42d70-bfa2-44ad-893b-c0b4de59712a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58DF45A6</paraID>
      <start>16</start>
      <end>17</end>
      <status>unmodified</status>
      <modifiedWord/>
      <trackRevisions>false</trackRevisions>
    </reviewItem>
    <reviewItem>
      <errorID>e3d3bb99-b6d4-43ab-93fa-459d1c8c7dc0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7F55BCE3</paraID>
      <start>11</start>
      <end>12</end>
      <status>unmodified</status>
      <modifiedWord/>
      <trackRevisions>false</trackRevisions>
    </reviewItem>
    <reviewItem>
      <errorID>9ada4eb3-1839-4021-84bd-d2d9e4c31a0c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7F55BCE3</paraID>
      <start>20</start>
      <end>21</end>
      <status>unmodified</status>
      <modifiedWord/>
      <trackRevisions>false</trackRevisions>
    </reviewItem>
    <reviewItem>
      <errorID>c09d6d9c-8bb8-4ce0-91a4-5ad54616ddc8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7F55BCE3</paraID>
      <start>29</start>
      <end>30</end>
      <status>unmodified</status>
      <modifiedWord/>
      <trackRevisions>false</trackRevisions>
    </reviewItem>
    <reviewItem>
      <errorID>7fa75726-2273-4c72-8973-cfe7acc335a9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1FCA7A21</paraID>
      <start>17</start>
      <end>18</end>
      <status>unmodified</status>
      <modifiedWord/>
      <trackRevisions>false</trackRevisions>
    </reviewItem>
    <reviewItem>
      <errorID>ae9bf368-9276-4d28-841e-85dd040d061e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51F6D04D</paraID>
      <start>10</start>
      <end>11</end>
      <status>unmodified</status>
      <modifiedWord/>
      <trackRevisions>false</trackRevisions>
    </reviewItem>
    <reviewItem>
      <errorID>ba16df5f-c435-451a-8da6-2e50e225f2d9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457F73CA</paraID>
      <start>8</start>
      <end>9</end>
      <status>unmodified</status>
      <modifiedWord/>
      <trackRevisions>false</trackRevisions>
    </reviewItem>
    <reviewItem>
      <errorID>869dd540-20d9-4f9d-a489-f2db3b194baf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7CC7344D</paraID>
      <start>8</start>
      <end>9</end>
      <status>unmodified</status>
      <modifiedWord/>
      <trackRevisions>false</trackRevisions>
    </reviewItem>
    <reviewItem>
      <errorID>74fbf0a6-2f5a-4d36-9879-88ebd6f755c7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1E605735</paraID>
      <start>8</start>
      <end>9</end>
      <status>unmodified</status>
      <modifiedWord/>
      <trackRevisions>false</trackRevisions>
    </reviewItem>
    <reviewItem>
      <errorID>ed0ddf24-01fe-43d3-a105-35114b318be1</errorID>
      <errorWord>:</errorWord>
      <group>L1_Format</group>
      <groupName>格式问题</groupName>
      <ability>L2_HalfPunc</ability>
      <abilityName>全半角检查</abilityName>
      <candidateList>
        <item>：</item>
      </candidateList>
      <explain>文本全半角错误。</explain>
      <paraID>53D6743E</paraID>
      <start>4</start>
      <end>5</end>
      <status>unmodified</status>
      <modifiedWord/>
      <trackRevisions>false</trackRevisions>
    </reviewItem>
    <reviewItem>
      <errorID>247480a8-a5bb-4594-a244-d5139ab578b4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6CD215D6</paraID>
      <start>8</start>
      <end>9</end>
      <status>unmodified</status>
      <modifiedWord/>
      <trackRevisions>false</trackRevisions>
    </reviewItem>
    <reviewItem>
      <errorID>629985eb-44e5-4f6d-b21b-30ae3cbe1b12</errorID>
      <errorWord>:</errorWord>
      <group>L1_Format</group>
      <groupName>格式问题</groupName>
      <ability>L2_HalfPunc</ability>
      <abilityName>全半角检查</abilityName>
      <candidateList>
        <item>：</item>
      </candidateList>
      <explain>文本全半角错误。</explain>
      <paraID>14D5A2E3</paraID>
      <start>2</start>
      <end>3</end>
      <status>unmodified</status>
      <modifiedWord/>
      <trackRevisions>false</trackRevisions>
    </reviewItem>
    <reviewItem>
      <errorID>9c37296a-85eb-4344-8f37-b01f053352e0</errorID>
      <errorWord>:</errorWord>
      <group>L1_Format</group>
      <groupName>格式问题</groupName>
      <ability>L2_HalfPunc</ability>
      <abilityName>全半角检查</abilityName>
      <candidateList>
        <item>：</item>
      </candidateList>
      <explain>文本全半角错误。</explain>
      <paraID>2494BBF0</paraID>
      <start>4</start>
      <end>5</end>
      <status>unmodified</status>
      <modifiedWord/>
      <trackRevisions>false</trackRevisions>
    </reviewItem>
    <reviewItem>
      <errorID>2ed4c72f-6be0-4f8a-82ff-be43d65f9c57</errorID>
      <errorWord>:</errorWord>
      <group>L1_Format</group>
      <groupName>格式问题</groupName>
      <ability>L2_HalfPunc</ability>
      <abilityName>全半角检查</abilityName>
      <candidateList>
        <item>：</item>
      </candidateList>
      <explain>文本全半角错误。</explain>
      <paraID>703E459D</paraID>
      <start>4</start>
      <end>5</end>
      <status>unmodified</status>
      <modifiedWord/>
      <trackRevisions>false</trackRevisions>
    </reviewItem>
    <reviewItem>
      <errorID>8cf00320-9d66-4a0b-9652-1a6fda9b1e47</errorID>
      <errorWord>:</errorWord>
      <group>L1_Format</group>
      <groupName>格式问题</groupName>
      <ability>L2_HalfPunc</ability>
      <abilityName>全半角检查</abilityName>
      <candidateList>
        <item>：</item>
      </candidateList>
      <explain>文本全半角错误。</explain>
      <paraID>59467067</paraID>
      <start>5</start>
      <end>6</end>
      <status>unmodified</status>
      <modifiedWord/>
      <trackRevisions>false</trackRevisions>
    </reviewItem>
    <reviewItem>
      <errorID>dcee8e03-74a1-4bfa-80ab-ecd3d3e38c21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4268D8B8</paraID>
      <start>8</start>
      <end>9</end>
      <status>unmodified</status>
      <modifiedWord/>
      <trackRevisions>false</trackRevisions>
    </reviewItem>
    <reviewItem>
      <errorID>741119f1-6140-470c-91c9-951285d3d53d</errorID>
      <errorWord>:</errorWord>
      <group>L1_Format</group>
      <groupName>格式问题</groupName>
      <ability>L2_HalfPunc</ability>
      <abilityName>全半角检查</abilityName>
      <candidateList>
        <item>：</item>
      </candidateList>
      <explain>文本全半角错误。</explain>
      <paraID>40253122</paraID>
      <start>4</start>
      <end>5</end>
      <status>unmodified</status>
      <modifiedWord/>
      <trackRevisions>false</trackRevisions>
    </reviewItem>
    <reviewItem>
      <errorID>15f97576-5b30-4475-b072-be74bc71c404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41F13B4B</paraID>
      <start>8</start>
      <end>9</end>
      <status>unmodified</status>
      <modifiedWord/>
      <trackRevisions>false</trackRevisions>
    </reviewItem>
    <reviewItem>
      <errorID>7a5612dd-42e0-46ed-aed1-e2334377e599</errorID>
      <errorWord>:</errorWord>
      <group>L1_Format</group>
      <groupName>格式问题</groupName>
      <ability>L2_HalfPunc</ability>
      <abilityName>全半角检查</abilityName>
      <candidateList>
        <item>：</item>
      </candidateList>
      <explain>文本全半角错误。</explain>
      <paraID>439236F9</paraID>
      <start>4</start>
      <end>5</end>
      <status>unmodified</status>
      <modifiedWord/>
      <trackRevisions>false</trackRevisions>
    </reviewItem>
    <reviewItem>
      <errorID>6f7df880-f5a4-404a-a807-12996af3cca8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439236F9</paraID>
      <start>8</start>
      <end>9</end>
      <status>unmodified</status>
      <modifiedWord/>
      <trackRevisions>false</trackRevisions>
    </reviewItem>
    <reviewItem>
      <errorID>9867b381-5a89-4544-afab-6bf5c437422f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4EDFE19A</paraID>
      <start>14</start>
      <end>15</end>
      <status>unmodified</status>
      <modifiedWord/>
      <trackRevisions>false</trackRevisions>
    </reviewItem>
    <reviewItem>
      <errorID>065966e0-75c0-4bc0-9ccc-ed3272aadcd9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5791475C</paraID>
      <start>8</start>
      <end>9</end>
      <status>unmodified</status>
      <modifiedWord/>
      <trackRevisions>false</trackRevisions>
    </reviewItem>
    <reviewItem>
      <errorID>5bc7f540-9799-4476-9bc2-61ea9012df53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5791475C</paraID>
      <start>27</start>
      <end>28</end>
      <status>unmodified</status>
      <modifiedWord/>
      <trackRevisions>false</trackRevisions>
    </reviewItem>
    <reviewItem>
      <errorID>6b70da48-96c0-4494-a6a8-9f8e46128a8b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625BC68D</paraID>
      <start>16</start>
      <end>17</end>
      <status>unmodified</status>
      <modifiedWord/>
      <trackRevisions>false</trackRevisions>
    </reviewItem>
    <reviewItem>
      <errorID>346f213c-8cb3-4c56-8022-6d4d5c5bafe2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5FF9DB97</paraID>
      <start>8</start>
      <end>9</end>
      <status>unmodified</status>
      <modifiedWord/>
      <trackRevisions>false</trackRevisions>
    </reviewItem>
    <reviewItem>
      <errorID>e6f285ad-2805-44ba-a9ea-e5ea8b3d2d3a</errorID>
      <errorWord>:</errorWord>
      <group>L1_Format</group>
      <groupName>格式问题</groupName>
      <ability>L2_HalfPunc</ability>
      <abilityName>全半角检查</abilityName>
      <candidateList>
        <item>：</item>
      </candidateList>
      <explain>文本全半角错误。</explain>
      <paraID>5FF9DB97</paraID>
      <start>18</start>
      <end>19</end>
      <status>unmodified</status>
      <modifiedWord/>
      <trackRevisions>false</trackRevisions>
    </reviewItem>
    <reviewItem>
      <errorID>fb337cd8-f074-4be2-9792-95f13f5ac73d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3032EB2F</paraID>
      <start>7</start>
      <end>8</end>
      <status>unmodified</status>
      <modifiedWord/>
      <trackRevisions>false</trackRevisions>
    </reviewItem>
    <reviewItem>
      <errorID>8f3022ea-0688-4c2c-a2a2-7d51fe382ace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70295724</paraID>
      <start>7</start>
      <end>8</end>
      <status>unmodified</status>
      <modifiedWord/>
      <trackRevisions>false</trackRevisions>
    </reviewItem>
    <reviewItem>
      <errorID>387ccf3f-12fd-4228-994b-da1e8fa878da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3BF776CF</paraID>
      <start>12</start>
      <end>13</end>
      <status>unmodified</status>
      <modifiedWord/>
      <trackRevisions>false</trackRevisions>
    </reviewItem>
    <reviewItem>
      <errorID>13933955-5293-4a0b-b6c3-c48e8cfd1d77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1AA6A3E8</paraID>
      <start>6</start>
      <end>7</end>
      <status>unmodified</status>
      <modifiedWord/>
      <trackRevisions>false</trackRevisions>
    </reviewItem>
    <reviewItem>
      <errorID>162325c6-b64a-40a7-a4e7-cd0a5cd7f5f9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58822D85</paraID>
      <start>9</start>
      <end>10</end>
      <status>unmodified</status>
      <modifiedWord/>
      <trackRevisions>false</trackRevisions>
    </reviewItem>
    <reviewItem>
      <errorID>a1690562-5a46-4736-a8fa-f266324c531d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259BF37A</paraID>
      <start>7</start>
      <end>8</end>
      <status>unmodified</status>
      <modifiedWord/>
      <trackRevisions>false</trackRevisions>
    </reviewItem>
    <reviewItem>
      <errorID>11e07215-cc83-4188-8b24-d68d5da94b5e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74D99696</paraID>
      <start>8</start>
      <end>9</end>
      <status>unmodified</status>
      <modifiedWord/>
      <trackRevisions>false</trackRevisions>
    </reviewItem>
    <reviewItem>
      <errorID>445c2029-c8f8-4eef-ac49-f238eb5b4ea6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99F580B</paraID>
      <start>7</start>
      <end>8</end>
      <status>unmodified</status>
      <modifiedWord/>
      <trackRevisions>false</trackRevisions>
    </reviewItem>
    <reviewItem>
      <errorID>f124d41a-4d88-48b2-a2e0-c55f8aaa67b9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73F2C1</paraID>
      <start>8</start>
      <end>9</end>
      <status>unmodified</status>
      <modifiedWord/>
      <trackRevisions>false</trackRevisions>
    </reviewItem>
    <reviewItem>
      <errorID>5b073d4f-28a7-4d27-9843-8e93974fa91a</errorID>
      <errorWord>(</errorWord>
      <group>L1_Format</group>
      <groupName>格式问题</groupName>
      <ability>L2_HalfPunc</ability>
      <abilityName>全半角检查</abilityName>
      <candidateList>
        <item>（</item>
      </candidateList>
      <explain>文本全半角错误。</explain>
      <paraID>7091FD49</paraID>
      <start>12</start>
      <end>13</end>
      <status>unmodified</status>
      <modifiedWord/>
      <trackRevisions>false</trackRevisions>
    </reviewItem>
    <reviewItem>
      <errorID>4126478e-19d3-48b6-9f17-20028f59c998</errorID>
      <errorWord>)</errorWord>
      <group>L1_Format</group>
      <groupName>格式问题</groupName>
      <ability>L2_HalfPunc</ability>
      <abilityName>全半角检查</abilityName>
      <candidateList>
        <item>）</item>
      </candidateList>
      <explain>文本全半角错误。</explain>
      <paraID>7091FD49</paraID>
      <start>26</start>
      <end>27</end>
      <status>unmodified</status>
      <modifiedWord/>
      <trackRevisions>false</trackRevisions>
    </reviewItem>
    <reviewItem>
      <errorID>85997057-3145-4ddc-84bb-95b95473b210</errorID>
      <errorWord>(</errorWord>
      <group>L1_Format</group>
      <groupName>格式问题</groupName>
      <ability>L2_HalfPunc</ability>
      <abilityName>全半角检查</abilityName>
      <candidateList>
        <item>（</item>
      </candidateList>
      <explain>文本全半角错误。</explain>
      <paraID>71FF6337</paraID>
      <start>27</start>
      <end>28</end>
      <status>unmodified</status>
      <modifiedWord/>
      <trackRevisions>false</trackRevisions>
    </reviewItem>
    <reviewItem>
      <errorID>91328b58-bfbe-4a5e-965c-b251f66bd461</errorID>
      <errorWord>)</errorWord>
      <group>L1_Format</group>
      <groupName>格式问题</groupName>
      <ability>L2_HalfPunc</ability>
      <abilityName>全半角检查</abilityName>
      <candidateList>
        <item>）</item>
      </candidateList>
      <explain>文本全半角错误。</explain>
      <paraID>71FF6337</paraID>
      <start>38</start>
      <end>39</end>
      <status>unmodified</status>
      <modifiedWord/>
      <trackRevisions>false</trackRevisions>
    </reviewItem>
    <reviewItem>
      <errorID>c305cf03-18df-40e3-9420-318d5a8237c2</errorID>
      <errorWord>(</errorWord>
      <group>L1_Format</group>
      <groupName>格式问题</groupName>
      <ability>L2_HalfPunc</ability>
      <abilityName>全半角检查</abilityName>
      <candidateList>
        <item>（</item>
      </candidateList>
      <explain>文本全半角错误。</explain>
      <paraID>71FF6337</paraID>
      <start>46</start>
      <end>47</end>
      <status>unmodified</status>
      <modifiedWord/>
      <trackRevisions>false</trackRevisions>
    </reviewItem>
    <reviewItem>
      <errorID>8cd419f0-c7a1-445c-b172-f923eb297f6a</errorID>
      <errorWord>)</errorWord>
      <group>L1_Format</group>
      <groupName>格式问题</groupName>
      <ability>L2_HalfPunc</ability>
      <abilityName>全半角检查</abilityName>
      <candidateList>
        <item>）</item>
      </candidateList>
      <explain>文本全半角错误。</explain>
      <paraID>71FF6337</paraID>
      <start>53</start>
      <end>54</end>
      <status>unmodified</status>
      <modifiedWord/>
      <trackRevisions>false</trackRevisions>
    </reviewItem>
    <reviewItem>
      <errorID>39b3aefa-a078-405c-8165-f6d997c9fe79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2DA7BF09</paraID>
      <start>7</start>
      <end>8</end>
      <status>unmodified</status>
      <modifiedWord/>
      <trackRevisions>false</trackRevisions>
    </reviewItem>
    <reviewItem>
      <errorID>e8b47517-2e08-4e75-a606-845f4e7d4a92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5594964F</paraID>
      <start>28</start>
      <end>29</end>
      <status>unmodified</status>
      <modifiedWord/>
      <trackRevisions>false</trackRevisions>
    </reviewItem>
    <reviewItem>
      <errorID>4194ec94-5832-404f-9bd0-2169aae1243a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5594964F</paraID>
      <start>37</start>
      <end>38</end>
      <status>unmodified</status>
      <modifiedWord/>
      <trackRevisions>false</trackRevisions>
    </reviewItem>
    <reviewItem>
      <errorID>e63616eb-f013-4b31-9a0a-c778007bb57b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5196361D</paraID>
      <start>25</start>
      <end>26</end>
      <status>unmodified</status>
      <modifiedWord/>
      <trackRevisions>false</trackRevisions>
    </reviewItem>
    <reviewItem>
      <errorID>d504978f-ba0b-4c0a-8016-0aefe510d91f</errorID>
      <errorWord>,</errorWord>
      <group>L1_Format</group>
      <groupName>格式问题</groupName>
      <ability>L2_HalfPunc</ability>
      <abilityName>全半角检查</abilityName>
      <candidateList>
        <item>，</item>
      </candidateList>
      <explain>文本全半角错误。</explain>
      <paraID>6619DAD7</paraID>
      <start>8</start>
      <end>9</end>
      <status>unmodified</status>
      <modifiedWord/>
      <trackRevisions>false</trackRevisions>
    </reviewItem>
    <reviewItem>
      <errorID>8d3a18c1-73ef-4f0d-bb47-2c2b4cb4a2fb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6619DAD7</paraID>
      <start>25</start>
      <end>26</end>
      <status>unmodified</status>
      <modifiedWord/>
      <trackRevisions>false</trackRevisions>
    </reviewItem>
    <reviewItem>
      <errorID>a12a1173-5908-43e1-b4ea-ee235ed8ab25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336735E9</paraID>
      <start>9</start>
      <end>10</end>
      <status>unmodified</status>
      <modifiedWord/>
      <trackRevisions>false</trackRevisions>
    </reviewItem>
    <reviewItem>
      <errorID>2e55c51a-3664-44e7-8cfc-4f20270db02d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1F9E648C</paraID>
      <start>9</start>
      <end>10</end>
      <status>unmodified</status>
      <modifiedWord/>
      <trackRevisions>false</trackRevisions>
    </reviewItem>
    <reviewItem>
      <errorID>fb0c3f3a-b26c-42b0-8379-49ac7f822bae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5ECB6B10</paraID>
      <start>9</start>
      <end>10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91E700-6377-4341-86A0-90CBE7AD2D17}">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10292</Words>
  <Characters>11364</Characters>
  <Lines>108</Lines>
  <Paragraphs>30</Paragraphs>
  <TotalTime>0</TotalTime>
  <ScaleCrop>false</ScaleCrop>
  <LinksUpToDate>false</LinksUpToDate>
  <CharactersWithSpaces>11686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2026-04-23T06:26:00Z</dcterms:created>
  <dc:creator>Un-named</dc:creator>
  <cp:lastModifiedBy>王嵩</cp:lastModifiedBy>
  <dcterms:modified xsi:type="dcterms:W3CDTF">2026-04-23T08:12:43Z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789DC64DFBBE4771A840E15E30271DD0_13</vt:lpwstr>
  </property>
  <property fmtid="{D5CDD505-2E9C-101B-9397-08002B2CF9AE}" pid="4" name="KSOTemplateDocerSaveRecord">
    <vt:lpwstr>eyJoZGlkIjoiNDYyNGFiOWVjNmUyNDJkMjQ4ZjU3YWM4YTY1MmJjYzMiLCJ1c2VySWQiOiIxNTgwMzA1OTc1In0=</vt:lpwstr>
  </property>
</Properties>
</file>