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E1F32F">
      <w:pPr>
        <w:ind w:firstLine="0" w:firstLineChars="0"/>
        <w:jc w:val="left"/>
        <w:rPr>
          <w:rFonts w:hint="eastAsia" w:ascii="黑体" w:hAnsi="黑体" w:eastAsia="黑体" w:cs="黑体"/>
          <w:sz w:val="32"/>
          <w:szCs w:val="32"/>
          <w:lang w:eastAsia="zh-CN"/>
        </w:rPr>
      </w:pPr>
      <w:bookmarkStart w:id="0" w:name="_Toc4246"/>
      <w:r>
        <w:rPr>
          <w:rFonts w:hint="eastAsia" w:ascii="黑体" w:hAnsi="黑体" w:eastAsia="黑体" w:cs="黑体"/>
          <w:sz w:val="32"/>
          <w:szCs w:val="32"/>
        </w:rPr>
        <w:t>附件</w:t>
      </w:r>
      <w:r>
        <w:rPr>
          <w:rFonts w:hint="eastAsia" w:ascii="黑体" w:hAnsi="黑体" w:eastAsia="黑体" w:cs="黑体"/>
          <w:sz w:val="32"/>
          <w:szCs w:val="32"/>
          <w:lang w:val="en-US" w:eastAsia="zh-CN"/>
        </w:rPr>
        <w:t>4</w:t>
      </w:r>
    </w:p>
    <w:p w14:paraId="06057E49">
      <w:pPr>
        <w:ind w:firstLine="0" w:firstLineChars="0"/>
        <w:jc w:val="center"/>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中国电力建设企业协会团体标准</w:t>
      </w:r>
    </w:p>
    <w:p w14:paraId="3E10F3A8">
      <w:pPr>
        <w:ind w:firstLine="0" w:firstLineChars="0"/>
        <w:jc w:val="center"/>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w:t>
      </w:r>
      <w:r>
        <w:rPr>
          <w:rFonts w:hint="eastAsia" w:ascii="方正小标宋_GBK" w:hAnsi="方正小标宋_GBK" w:eastAsia="方正小标宋_GBK" w:cs="方正小标宋_GBK"/>
          <w:sz w:val="44"/>
          <w:szCs w:val="44"/>
          <w:lang w:eastAsia="zh-CN"/>
        </w:rPr>
        <w:t>电力钢结构带锈涂装施工及验收规范</w:t>
      </w:r>
      <w:r>
        <w:rPr>
          <w:rFonts w:hint="eastAsia" w:ascii="方正小标宋_GBK" w:hAnsi="方正小标宋_GBK" w:eastAsia="方正小标宋_GBK" w:cs="方正小标宋_GBK"/>
          <w:sz w:val="44"/>
          <w:szCs w:val="44"/>
        </w:rPr>
        <w:t>》</w:t>
      </w:r>
    </w:p>
    <w:p w14:paraId="3595944C">
      <w:pPr>
        <w:ind w:firstLine="0" w:firstLineChars="0"/>
        <w:jc w:val="center"/>
        <w:rPr>
          <w:rFonts w:hint="eastAsia" w:ascii="方正小标宋_GBK" w:hAnsi="方正小标宋_GBK" w:eastAsia="方正小标宋_GBK" w:cs="方正小标宋_GBK"/>
          <w:sz w:val="44"/>
          <w:szCs w:val="44"/>
        </w:rPr>
      </w:pPr>
      <w:r>
        <w:rPr>
          <w:rFonts w:hint="eastAsia" w:ascii="方正小标宋_GBK" w:hAnsi="方正小标宋_GBK" w:eastAsia="方正小标宋_GBK" w:cs="方正小标宋_GBK"/>
          <w:sz w:val="44"/>
          <w:szCs w:val="44"/>
        </w:rPr>
        <w:t>编制说</w:t>
      </w:r>
      <w:bookmarkStart w:id="20" w:name="_GoBack"/>
      <w:bookmarkEnd w:id="20"/>
      <w:r>
        <w:rPr>
          <w:rFonts w:hint="eastAsia" w:ascii="方正小标宋_GBK" w:hAnsi="方正小标宋_GBK" w:eastAsia="方正小标宋_GBK" w:cs="方正小标宋_GBK"/>
          <w:sz w:val="44"/>
          <w:szCs w:val="44"/>
        </w:rPr>
        <w:t>明</w:t>
      </w:r>
    </w:p>
    <w:p w14:paraId="79543DDF">
      <w:pPr>
        <w:pStyle w:val="2"/>
        <w:rPr>
          <w:rFonts w:cs="Times New Roman"/>
        </w:rPr>
      </w:pPr>
      <w:r>
        <w:rPr>
          <w:rFonts w:hint="eastAsia" w:cs="Times New Roman"/>
        </w:rPr>
        <w:t>工作简况</w:t>
      </w:r>
      <w:bookmarkEnd w:id="0"/>
    </w:p>
    <w:p w14:paraId="5DA2006B">
      <w:pPr>
        <w:pStyle w:val="3"/>
      </w:pPr>
      <w:bookmarkStart w:id="1" w:name="_Toc28169"/>
      <w:r>
        <w:rPr>
          <w:rFonts w:hint="eastAsia" w:cs="Times New Roman"/>
        </w:rPr>
        <w:t>任务来源</w:t>
      </w:r>
      <w:bookmarkEnd w:id="1"/>
    </w:p>
    <w:p w14:paraId="15E7817E">
      <w:pPr>
        <w:widowControl/>
        <w:ind w:firstLine="560"/>
        <w:jc w:val="left"/>
        <w:rPr>
          <w:rFonts w:hint="eastAsia" w:eastAsia="仿宋_GB2312" w:cs="Times New Roman"/>
          <w:lang w:eastAsia="zh-CN"/>
        </w:rPr>
      </w:pPr>
      <w:r>
        <w:rPr>
          <w:rFonts w:hint="eastAsia" w:cs="Times New Roman"/>
        </w:rPr>
        <w:t>根据中国电力建设企业协会《关于印发202</w:t>
      </w:r>
      <w:r>
        <w:rPr>
          <w:rFonts w:hint="eastAsia" w:cs="Times New Roman"/>
          <w:lang w:val="en-US" w:eastAsia="zh-CN"/>
        </w:rPr>
        <w:t>5</w:t>
      </w:r>
      <w:r>
        <w:rPr>
          <w:rFonts w:hint="eastAsia" w:cs="Times New Roman"/>
        </w:rPr>
        <w:t>年第</w:t>
      </w:r>
      <w:r>
        <w:rPr>
          <w:rFonts w:hint="eastAsia" w:cs="Times New Roman"/>
          <w:lang w:eastAsia="zh-CN"/>
        </w:rPr>
        <w:t>一</w:t>
      </w:r>
      <w:r>
        <w:rPr>
          <w:rFonts w:hint="eastAsia" w:cs="Times New Roman"/>
        </w:rPr>
        <w:t>批中国电力建设企业协会标准制定计划的通知》（中电建协〔202</w:t>
      </w:r>
      <w:r>
        <w:rPr>
          <w:rFonts w:hint="eastAsia" w:cs="Times New Roman"/>
          <w:lang w:val="en-US" w:eastAsia="zh-CN"/>
        </w:rPr>
        <w:t>5</w:t>
      </w:r>
      <w:r>
        <w:rPr>
          <w:rFonts w:hint="eastAsia" w:cs="Times New Roman"/>
        </w:rPr>
        <w:t>〕</w:t>
      </w:r>
      <w:r>
        <w:rPr>
          <w:rFonts w:hint="eastAsia" w:cs="Times New Roman"/>
          <w:lang w:val="en-US" w:eastAsia="zh-CN"/>
        </w:rPr>
        <w:t>131</w:t>
      </w:r>
      <w:r>
        <w:rPr>
          <w:rFonts w:hint="eastAsia" w:cs="Times New Roman"/>
        </w:rPr>
        <w:t>号），中国电力建设企业协会标准化管理委员会表决通过</w:t>
      </w:r>
      <w:r>
        <w:rPr>
          <w:rFonts w:hint="eastAsia" w:cs="Times New Roman"/>
          <w:lang w:val="en-US" w:eastAsia="zh-CN"/>
        </w:rPr>
        <w:t>2025</w:t>
      </w:r>
      <w:r>
        <w:rPr>
          <w:rFonts w:hint="eastAsia" w:cs="Times New Roman"/>
        </w:rPr>
        <w:t>年第</w:t>
      </w:r>
      <w:r>
        <w:rPr>
          <w:rFonts w:hint="eastAsia" w:cs="Times New Roman"/>
          <w:lang w:eastAsia="zh-CN"/>
        </w:rPr>
        <w:t>一</w:t>
      </w:r>
      <w:r>
        <w:rPr>
          <w:rFonts w:hint="eastAsia" w:cs="Times New Roman"/>
        </w:rPr>
        <w:t>批中国电力建设企业协会团体标准制定计划，《</w:t>
      </w:r>
      <w:r>
        <w:rPr>
          <w:rFonts w:hint="eastAsia" w:cs="Times New Roman"/>
          <w:lang w:eastAsia="zh-CN"/>
        </w:rPr>
        <w:t>电力钢结构带锈涂装施工及验收规范</w:t>
      </w:r>
      <w:r>
        <w:rPr>
          <w:rFonts w:hint="eastAsia" w:cs="Times New Roman"/>
        </w:rPr>
        <w:t>》（计划编号：</w:t>
      </w:r>
      <w:r>
        <w:rPr>
          <w:spacing w:val="-1"/>
        </w:rPr>
        <w:t>T/CEPCA 2025100</w:t>
      </w:r>
      <w:r>
        <w:rPr>
          <w:rFonts w:hint="eastAsia" w:cs="Times New Roman"/>
        </w:rPr>
        <w:t>）（以下简称“本标准”）由中国电力建设企业协会标准化管理委员会负责管辖，</w:t>
      </w:r>
      <w:r>
        <w:rPr>
          <w:rFonts w:hint="eastAsia" w:cs="Times New Roman"/>
          <w:lang w:eastAsia="zh-CN"/>
        </w:rPr>
        <w:t>深圳市嘉达节能环保科技有限公司</w:t>
      </w:r>
      <w:r>
        <w:rPr>
          <w:rFonts w:hint="eastAsia" w:cs="Times New Roman"/>
        </w:rPr>
        <w:t>牵头组织开展编制工作</w:t>
      </w:r>
      <w:r>
        <w:rPr>
          <w:rFonts w:hint="eastAsia" w:cs="Times New Roman"/>
          <w:lang w:eastAsia="zh-CN"/>
        </w:rPr>
        <w:t>。</w:t>
      </w:r>
    </w:p>
    <w:p w14:paraId="7828126D">
      <w:pPr>
        <w:pStyle w:val="3"/>
      </w:pPr>
      <w:r>
        <w:rPr>
          <w:rFonts w:hint="eastAsia"/>
        </w:rPr>
        <w:t>制定背景</w:t>
      </w:r>
    </w:p>
    <w:p w14:paraId="41C0B914">
      <w:pPr>
        <w:widowControl/>
        <w:ind w:firstLine="560"/>
        <w:jc w:val="left"/>
        <w:rPr>
          <w:rFonts w:hint="eastAsia"/>
          <w:lang w:val="en-US" w:eastAsia="zh-CN"/>
        </w:rPr>
      </w:pPr>
      <w:r>
        <w:rPr>
          <w:rFonts w:hint="eastAsia"/>
          <w:lang w:val="en-US" w:eastAsia="zh-CN"/>
        </w:rPr>
        <w:t>在电力工程领域，钢结构作为核心支撑结构，广泛应用于输电塔、主厂房刚架、管道支架、设备支撑等关键部位，其运行安全性直接关系到电力系统的稳定供电。电力钢结构长期处于复杂多样的服役环境中，部分设备位于沿海、工业区、湿热地区等特殊区域，面临着高温、高湿、高盐雾、工业污染物侵蚀等多重腐蚀风险，同时在安装储运过程中易出现锈蚀预处理不彻底、现场补涂难度大等问题，导致钢结构表面及连接节点极易发生锈蚀、涂层脱落等腐蚀失效现象。</w:t>
      </w:r>
    </w:p>
    <w:p w14:paraId="6BF4FFB6">
      <w:pPr>
        <w:widowControl/>
        <w:ind w:firstLine="560"/>
        <w:jc w:val="left"/>
        <w:rPr>
          <w:rFonts w:hint="eastAsia"/>
          <w:lang w:val="en-US" w:eastAsia="zh-CN"/>
        </w:rPr>
      </w:pPr>
      <w:r>
        <w:rPr>
          <w:rFonts w:hint="eastAsia"/>
          <w:lang w:val="en-US" w:eastAsia="zh-CN"/>
        </w:rPr>
        <w:t>目前，电力钢结构带锈涂装施工及验收主要参照《工业建筑防腐蚀设计标准》（GB/T 50046）、《钢结构工程施工质量验收标准》（GB 50205）等通用标准执行，但此类标准缺乏针对电力行业钢结构带锈涂装的专项技术要求。由于电力钢结构的服役工况、腐蚀环境特殊性（如部分区域盐雾浓度高、工业粉尘多）、带锈涂装工艺特性（如除锈等级控制、涂层兼容性要求）等均有别于其他行业，通用标准在指导实际工程时存在明显局限性：一是带锈涂装的基面处理等级、涂料选型与配套方案缺乏统一规范，导致施工中出现除锈不达标、涂层结合力不足等问题；二是施工工艺参数无明确界定，易引发涂层流挂、针孔、返锈等质量缺陷；三是检验验收指标不统一，导致验收结果缺乏客观性和可比性；四是安全环保要求未结合电力工程现场特点细化，存在挥发性有机物排放超标、施工安全隐患等风险。</w:t>
      </w:r>
    </w:p>
    <w:p w14:paraId="039E5AD9">
      <w:pPr>
        <w:widowControl/>
        <w:ind w:firstLine="560"/>
        <w:jc w:val="left"/>
        <w:rPr>
          <w:rFonts w:cs="Times New Roman"/>
        </w:rPr>
      </w:pPr>
      <w:r>
        <w:rPr>
          <w:rFonts w:hint="eastAsia"/>
          <w:lang w:val="en-US" w:eastAsia="zh-CN"/>
        </w:rPr>
        <w:t>上述问题直接导致电力钢结构带锈涂装工程质量参差不齐，部分工程出现涂层过早失效、防腐维护频率过高、运维成本激增等情况，甚至引发钢结构强度下降、安全事故隐患，严重影响电力系统的稳定运行和能源保供可靠性。因此，制定专门针对电力钢结构带锈涂装施工及验收的规范，明确带锈涂装的材料要求、工艺参数、检验标准和验收流程，填补电力行业专项标准空白，对于提升带锈涂装工程质量、延长电力钢结构使用寿命、降低运维成本、保障电力系统安全稳定运行具有重要意义。</w:t>
      </w:r>
    </w:p>
    <w:p w14:paraId="44F67DE7">
      <w:pPr>
        <w:pStyle w:val="3"/>
      </w:pPr>
      <w:bookmarkStart w:id="2" w:name="_Toc9511"/>
      <w:r>
        <w:rPr>
          <w:rFonts w:hint="eastAsia"/>
        </w:rPr>
        <w:t>编制单位</w:t>
      </w:r>
      <w:bookmarkEnd w:id="2"/>
    </w:p>
    <w:p w14:paraId="49BC517B">
      <w:pPr>
        <w:widowControl/>
        <w:ind w:firstLine="560"/>
        <w:jc w:val="left"/>
        <w:rPr>
          <w:sz w:val="16"/>
          <w:szCs w:val="16"/>
          <w:highlight w:val="none"/>
        </w:rPr>
      </w:pPr>
      <w:r>
        <w:rPr>
          <w:rFonts w:hint="eastAsia" w:cs="Times New Roman"/>
          <w:highlight w:val="none"/>
        </w:rPr>
        <w:t>本标准主要起草单位为</w:t>
      </w:r>
      <w:r>
        <w:rPr>
          <w:rFonts w:hint="eastAsia" w:cs="Times New Roman"/>
          <w:highlight w:val="none"/>
          <w:lang w:eastAsia="zh-CN"/>
        </w:rPr>
        <w:t>深圳市嘉达节能环保科技有限公司</w:t>
      </w:r>
      <w:r>
        <w:rPr>
          <w:rFonts w:hint="eastAsia" w:cs="Times New Roman"/>
          <w:highlight w:val="none"/>
        </w:rPr>
        <w:t>，为完成团体标准编制工作，牵头单位联合</w:t>
      </w:r>
      <w:r>
        <w:rPr>
          <w:rFonts w:hint="eastAsia" w:cs="Times New Roman"/>
          <w:highlight w:val="none"/>
          <w:lang w:eastAsia="zh-CN"/>
        </w:rPr>
        <w:t>国网电力工程研究院、北京中电建科技发展集团有限责任公司、国网甘肃电力公司、国网西藏电力有限公司、海南电网有限责任公司、国网浙江电力建设公司、广东能源发展有限公司、国网福建省电力有限公司建设分公司、深圳市深能海洋能源有限公司、深圳能源光明电力有限公司、海南电网能源发展有限公司、中国华电集团有限公司福建分公司、中国长江三峡集团有限公司海南分公司、中国能源建设集团广东省电力设计研究院有限公司、中国电力工程顾问集团华北电力设计院有限公司、中国电建集团华东勘测设计研究院有限公司、浙江省海洋风电发展有限公司、中国能源建设集团安徽电力建设第二工程有限公司、深圳市输变电工程有限公司、中国能源建设集团广东火电工程有限公司、中国电建集团山东电力建设第一工程有限公司、华能海南发电股份有限公司清洁能源分公司、中国电建集团海南电力设计研究院有限公司、深圳供电局有限公司、深圳市威彦达工程监理有限公司、中国长江三峡集团有限公司福建分公司、大唐海南能源开发有限公司、深圳市嘉达新型城镇建设有限公司、北京国电德胜工程项目管理有限公司</w:t>
      </w:r>
      <w:r>
        <w:rPr>
          <w:rFonts w:hint="eastAsia" w:cs="Times New Roman"/>
          <w:highlight w:val="none"/>
        </w:rPr>
        <w:t>共</w:t>
      </w:r>
      <w:r>
        <w:rPr>
          <w:rFonts w:hint="eastAsia" w:cs="Times New Roman"/>
          <w:highlight w:val="none"/>
          <w:lang w:val="en-US" w:eastAsia="zh-CN"/>
        </w:rPr>
        <w:t>29</w:t>
      </w:r>
      <w:r>
        <w:rPr>
          <w:rFonts w:hint="eastAsia" w:cs="Times New Roman"/>
          <w:highlight w:val="none"/>
        </w:rPr>
        <w:t>家单位成立标准编制组，</w:t>
      </w:r>
      <w:r>
        <w:rPr>
          <w:rFonts w:cs="Times New Roman"/>
          <w:highlight w:val="none"/>
        </w:rPr>
        <w:t>共同完成标准的起草编制工作</w:t>
      </w:r>
      <w:r>
        <w:rPr>
          <w:rFonts w:hint="eastAsia" w:cs="Times New Roman"/>
          <w:highlight w:val="none"/>
        </w:rPr>
        <w:t>。</w:t>
      </w:r>
    </w:p>
    <w:p w14:paraId="190E8687">
      <w:pPr>
        <w:pStyle w:val="3"/>
      </w:pPr>
      <w:bookmarkStart w:id="3" w:name="_Toc15641"/>
      <w:r>
        <w:rPr>
          <w:rFonts w:hint="eastAsia"/>
        </w:rPr>
        <w:t>主要工作过程</w:t>
      </w:r>
      <w:bookmarkEnd w:id="3"/>
    </w:p>
    <w:p w14:paraId="673E87A1">
      <w:pPr>
        <w:ind w:firstLine="560"/>
        <w:rPr>
          <w:highlight w:val="none"/>
        </w:rPr>
      </w:pPr>
      <w:r>
        <w:rPr>
          <w:rFonts w:hint="eastAsia"/>
          <w:highlight w:val="none"/>
        </w:rPr>
        <w:t>202</w:t>
      </w:r>
      <w:r>
        <w:rPr>
          <w:rFonts w:hint="eastAsia"/>
          <w:highlight w:val="none"/>
          <w:lang w:val="en-US" w:eastAsia="zh-CN"/>
        </w:rPr>
        <w:t>5</w:t>
      </w:r>
      <w:r>
        <w:rPr>
          <w:rFonts w:hint="eastAsia"/>
          <w:highlight w:val="none"/>
        </w:rPr>
        <w:t>年8月至</w:t>
      </w:r>
      <w:r>
        <w:rPr>
          <w:rFonts w:hint="eastAsia"/>
          <w:highlight w:val="none"/>
          <w:lang w:val="en-US" w:eastAsia="zh-CN"/>
        </w:rPr>
        <w:t>11</w:t>
      </w:r>
      <w:r>
        <w:rPr>
          <w:rFonts w:hint="eastAsia"/>
          <w:highlight w:val="none"/>
        </w:rPr>
        <w:t>月，工作组广泛收集资料，完善标准编制的方向、范围、框架及提纲；</w:t>
      </w:r>
    </w:p>
    <w:p w14:paraId="0066AB32">
      <w:pPr>
        <w:ind w:firstLine="560"/>
        <w:rPr>
          <w:highlight w:val="none"/>
        </w:rPr>
      </w:pPr>
      <w:r>
        <w:rPr>
          <w:rFonts w:hint="eastAsia"/>
          <w:highlight w:val="none"/>
        </w:rPr>
        <w:t>202</w:t>
      </w:r>
      <w:r>
        <w:rPr>
          <w:rFonts w:hint="eastAsia"/>
          <w:highlight w:val="none"/>
          <w:lang w:val="en-US" w:eastAsia="zh-CN"/>
        </w:rPr>
        <w:t>5</w:t>
      </w:r>
      <w:r>
        <w:rPr>
          <w:rFonts w:hint="eastAsia"/>
          <w:highlight w:val="none"/>
        </w:rPr>
        <w:t>年</w:t>
      </w:r>
      <w:r>
        <w:rPr>
          <w:rFonts w:hint="eastAsia"/>
          <w:highlight w:val="none"/>
          <w:lang w:val="en-US" w:eastAsia="zh-CN"/>
        </w:rPr>
        <w:t>11</w:t>
      </w:r>
      <w:r>
        <w:rPr>
          <w:rFonts w:hint="eastAsia"/>
          <w:highlight w:val="none"/>
        </w:rPr>
        <w:t>月</w:t>
      </w:r>
      <w:r>
        <w:rPr>
          <w:rFonts w:hint="eastAsia"/>
          <w:highlight w:val="none"/>
          <w:lang w:val="en-US" w:eastAsia="zh-CN"/>
        </w:rPr>
        <w:t>29</w:t>
      </w:r>
      <w:r>
        <w:rPr>
          <w:rFonts w:hint="eastAsia"/>
          <w:highlight w:val="none"/>
        </w:rPr>
        <w:t>至</w:t>
      </w:r>
      <w:r>
        <w:rPr>
          <w:rFonts w:hint="eastAsia"/>
          <w:highlight w:val="none"/>
          <w:lang w:val="en-US" w:eastAsia="zh-CN"/>
        </w:rPr>
        <w:t>30</w:t>
      </w:r>
      <w:r>
        <w:rPr>
          <w:rFonts w:hint="eastAsia"/>
          <w:highlight w:val="none"/>
        </w:rPr>
        <w:t>日，在</w:t>
      </w:r>
      <w:r>
        <w:rPr>
          <w:rFonts w:hint="eastAsia"/>
          <w:highlight w:val="none"/>
          <w:lang w:eastAsia="zh-CN"/>
        </w:rPr>
        <w:t>广东省深圳市</w:t>
      </w:r>
      <w:r>
        <w:rPr>
          <w:rFonts w:hint="eastAsia"/>
          <w:highlight w:val="none"/>
        </w:rPr>
        <w:t>组织召开标准启动会暨初稿讨论会，明确标准大纲、编制分工及后续编写工作计划；</w:t>
      </w:r>
    </w:p>
    <w:p w14:paraId="66588D30">
      <w:pPr>
        <w:ind w:firstLine="560"/>
        <w:rPr>
          <w:highlight w:val="none"/>
        </w:rPr>
      </w:pPr>
      <w:r>
        <w:rPr>
          <w:rFonts w:hint="eastAsia"/>
          <w:highlight w:val="none"/>
        </w:rPr>
        <w:t>202</w:t>
      </w:r>
      <w:r>
        <w:rPr>
          <w:rFonts w:hint="eastAsia"/>
          <w:highlight w:val="none"/>
          <w:lang w:val="en-US" w:eastAsia="zh-CN"/>
        </w:rPr>
        <w:t>6</w:t>
      </w:r>
      <w:r>
        <w:rPr>
          <w:rFonts w:hint="eastAsia"/>
          <w:highlight w:val="none"/>
        </w:rPr>
        <w:t>年</w:t>
      </w:r>
      <w:r>
        <w:rPr>
          <w:rFonts w:hint="eastAsia"/>
          <w:highlight w:val="none"/>
          <w:lang w:val="en-US" w:eastAsia="zh-CN"/>
        </w:rPr>
        <w:t>1</w:t>
      </w:r>
      <w:r>
        <w:rPr>
          <w:rFonts w:hint="eastAsia"/>
          <w:highlight w:val="none"/>
        </w:rPr>
        <w:t>月</w:t>
      </w:r>
      <w:r>
        <w:rPr>
          <w:rFonts w:hint="eastAsia"/>
          <w:highlight w:val="none"/>
          <w:lang w:val="en-US" w:eastAsia="zh-CN"/>
        </w:rPr>
        <w:t>21</w:t>
      </w:r>
      <w:r>
        <w:rPr>
          <w:rFonts w:hint="eastAsia"/>
          <w:highlight w:val="none"/>
        </w:rPr>
        <w:t>日</w:t>
      </w:r>
      <w:r>
        <w:rPr>
          <w:rFonts w:hint="eastAsia"/>
          <w:highlight w:val="none"/>
          <w:lang w:eastAsia="zh-CN"/>
        </w:rPr>
        <w:t>至</w:t>
      </w:r>
      <w:r>
        <w:rPr>
          <w:rFonts w:hint="eastAsia"/>
          <w:highlight w:val="none"/>
          <w:lang w:val="en-US" w:eastAsia="zh-CN"/>
        </w:rPr>
        <w:t>23日</w:t>
      </w:r>
      <w:r>
        <w:rPr>
          <w:rFonts w:hint="eastAsia"/>
          <w:highlight w:val="none"/>
        </w:rPr>
        <w:t>，</w:t>
      </w:r>
      <w:r>
        <w:rPr>
          <w:rFonts w:hint="eastAsia"/>
          <w:highlight w:val="none"/>
          <w:lang w:eastAsia="zh-CN"/>
        </w:rPr>
        <w:t>在广东省广州市</w:t>
      </w:r>
      <w:r>
        <w:rPr>
          <w:rFonts w:hint="eastAsia"/>
          <w:highlight w:val="none"/>
        </w:rPr>
        <w:t>组织召开讨论会，梳理各章节条目，进一步完善标准内容；</w:t>
      </w:r>
    </w:p>
    <w:p w14:paraId="4821CA71">
      <w:pPr>
        <w:ind w:firstLine="560"/>
        <w:rPr>
          <w:rFonts w:hint="eastAsia"/>
          <w:highlight w:val="none"/>
        </w:rPr>
      </w:pPr>
      <w:r>
        <w:rPr>
          <w:rFonts w:hint="eastAsia"/>
          <w:highlight w:val="none"/>
        </w:rPr>
        <w:t>202</w:t>
      </w:r>
      <w:r>
        <w:rPr>
          <w:rFonts w:hint="eastAsia"/>
          <w:highlight w:val="none"/>
          <w:lang w:val="en-US" w:eastAsia="zh-CN"/>
        </w:rPr>
        <w:t>6</w:t>
      </w:r>
      <w:r>
        <w:rPr>
          <w:rFonts w:hint="eastAsia"/>
          <w:highlight w:val="none"/>
        </w:rPr>
        <w:t>年</w:t>
      </w:r>
      <w:r>
        <w:rPr>
          <w:rFonts w:hint="eastAsia"/>
          <w:highlight w:val="none"/>
          <w:lang w:val="en-US" w:eastAsia="zh-CN"/>
        </w:rPr>
        <w:t>3</w:t>
      </w:r>
      <w:r>
        <w:rPr>
          <w:rFonts w:hint="eastAsia"/>
          <w:highlight w:val="none"/>
        </w:rPr>
        <w:t>月</w:t>
      </w:r>
      <w:r>
        <w:rPr>
          <w:rFonts w:hint="eastAsia"/>
          <w:highlight w:val="none"/>
          <w:lang w:val="en-US" w:eastAsia="zh-CN"/>
        </w:rPr>
        <w:t>28</w:t>
      </w:r>
      <w:r>
        <w:rPr>
          <w:rFonts w:hint="eastAsia"/>
          <w:highlight w:val="none"/>
        </w:rPr>
        <w:t>日</w:t>
      </w:r>
      <w:r>
        <w:rPr>
          <w:rFonts w:hint="eastAsia"/>
          <w:highlight w:val="none"/>
          <w:lang w:eastAsia="zh-CN"/>
        </w:rPr>
        <w:t>至</w:t>
      </w:r>
      <w:r>
        <w:rPr>
          <w:rFonts w:hint="eastAsia"/>
          <w:highlight w:val="none"/>
          <w:lang w:val="en-US" w:eastAsia="zh-CN"/>
        </w:rPr>
        <w:t>29日</w:t>
      </w:r>
      <w:r>
        <w:rPr>
          <w:rFonts w:hint="eastAsia"/>
          <w:highlight w:val="none"/>
        </w:rPr>
        <w:t>，在</w:t>
      </w:r>
      <w:r>
        <w:rPr>
          <w:rFonts w:hint="eastAsia"/>
          <w:highlight w:val="none"/>
          <w:lang w:eastAsia="zh-CN"/>
        </w:rPr>
        <w:t>海南</w:t>
      </w:r>
      <w:r>
        <w:rPr>
          <w:rFonts w:hint="eastAsia"/>
          <w:highlight w:val="none"/>
        </w:rPr>
        <w:t>省</w:t>
      </w:r>
      <w:r>
        <w:rPr>
          <w:rFonts w:hint="eastAsia"/>
          <w:highlight w:val="none"/>
          <w:lang w:eastAsia="zh-CN"/>
        </w:rPr>
        <w:t>海口</w:t>
      </w:r>
      <w:r>
        <w:rPr>
          <w:rFonts w:hint="eastAsia"/>
          <w:highlight w:val="none"/>
        </w:rPr>
        <w:t>市组织召开标准征求意见稿定稿会，经与会人员充分讨论，形成会议纪要明确标准具体修改意见及下一步工作安排；</w:t>
      </w:r>
    </w:p>
    <w:p w14:paraId="6DC4A7B2">
      <w:pPr>
        <w:pStyle w:val="14"/>
        <w:rPr>
          <w:rFonts w:hint="default"/>
          <w:lang w:val="en-US" w:eastAsia="zh-CN"/>
        </w:rPr>
      </w:pPr>
      <w:r>
        <w:rPr>
          <w:rFonts w:hint="eastAsia"/>
          <w:lang w:val="en-US" w:eastAsia="zh-CN"/>
        </w:rPr>
        <w:t>2026年4月，中国电力建设企业协会发布征求意见的相关通知，开展公开及定向征求意见工作。</w:t>
      </w:r>
    </w:p>
    <w:p w14:paraId="6714E5C9">
      <w:pPr>
        <w:pStyle w:val="2"/>
        <w:rPr>
          <w:rFonts w:cs="Times New Roman"/>
        </w:rPr>
      </w:pPr>
      <w:bookmarkStart w:id="4" w:name="_Toc15523"/>
      <w:r>
        <w:rPr>
          <w:rFonts w:hint="eastAsia" w:ascii="仿宋_GB2312" w:hAnsi="仿宋_GB2312" w:cs="仿宋_GB2312"/>
        </w:rPr>
        <w:t>标准编制原则、主要内容及其确定依据</w:t>
      </w:r>
      <w:bookmarkEnd w:id="4"/>
    </w:p>
    <w:p w14:paraId="1AF905FD">
      <w:pPr>
        <w:pStyle w:val="3"/>
      </w:pPr>
      <w:bookmarkStart w:id="5" w:name="_Toc11305"/>
      <w:r>
        <w:rPr>
          <w:rFonts w:hint="eastAsia"/>
        </w:rPr>
        <w:t>编制原则</w:t>
      </w:r>
      <w:bookmarkEnd w:id="5"/>
    </w:p>
    <w:p w14:paraId="7B4AA29A">
      <w:pPr>
        <w:numPr>
          <w:ilvl w:val="0"/>
          <w:numId w:val="2"/>
        </w:numPr>
        <w:ind w:firstLine="560" w:firstLineChars="200"/>
        <w:rPr>
          <w:rFonts w:cs="Times New Roman"/>
        </w:rPr>
      </w:pPr>
      <w:r>
        <w:rPr>
          <w:rFonts w:hint="eastAsia" w:cs="Times New Roman"/>
        </w:rPr>
        <w:t>先进性原则</w:t>
      </w:r>
    </w:p>
    <w:p w14:paraId="1561A3FE">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cs="Times New Roman"/>
        </w:rPr>
      </w:pPr>
      <w:r>
        <w:rPr>
          <w:rFonts w:hint="eastAsia"/>
        </w:rPr>
        <w:t>标准工作组聚焦电力钢结构带锈涂装的行业特性与技术痛点，结合电力工程中钢结构的服役环境（如沿海高盐雾、工业区高污染、湿热地区高湿度）、结构类型（如输电塔、主厂房刚架、管道支架）及带锈涂装工艺特点，针对性制定技术要求。重点解决通用标准在电力场景中适用性不足的问题，明确带锈涂装的材料选型、基面处理、施工控制、检验验收等专项要求，确保标准能直接指导电力工程实践。</w:t>
      </w:r>
    </w:p>
    <w:p w14:paraId="2A627EEF">
      <w:pPr>
        <w:numPr>
          <w:ilvl w:val="0"/>
          <w:numId w:val="2"/>
        </w:numPr>
        <w:ind w:firstLine="560" w:firstLineChars="200"/>
        <w:rPr>
          <w:rFonts w:cs="Times New Roman"/>
        </w:rPr>
      </w:pPr>
      <w:r>
        <w:rPr>
          <w:rFonts w:hint="eastAsia" w:cs="Times New Roman"/>
        </w:rPr>
        <w:t>科学性原则</w:t>
      </w:r>
    </w:p>
    <w:p w14:paraId="752DF197">
      <w:pPr>
        <w:ind w:firstLine="560"/>
      </w:pPr>
      <w:r>
        <w:rPr>
          <w:rFonts w:hint="eastAsia"/>
        </w:rPr>
        <w:t>本标准依据工程建设相关法律法规、技术标准以及</w:t>
      </w:r>
      <w:r>
        <w:rPr>
          <w:rFonts w:hint="eastAsia"/>
          <w:lang w:eastAsia="zh-CN"/>
        </w:rPr>
        <w:t>带锈涂料防腐涂装</w:t>
      </w:r>
      <w:r>
        <w:rPr>
          <w:rFonts w:hint="eastAsia"/>
        </w:rPr>
        <w:t>的特点，充分总结现有工程的</w:t>
      </w:r>
      <w:r>
        <w:rPr>
          <w:rFonts w:hint="eastAsia"/>
          <w:lang w:eastAsia="zh-CN"/>
        </w:rPr>
        <w:t>试验</w:t>
      </w:r>
      <w:r>
        <w:rPr>
          <w:rFonts w:hint="eastAsia"/>
        </w:rPr>
        <w:t>、</w:t>
      </w:r>
      <w:r>
        <w:rPr>
          <w:rFonts w:hint="eastAsia"/>
          <w:lang w:eastAsia="zh-CN"/>
        </w:rPr>
        <w:t>施工</w:t>
      </w:r>
      <w:r>
        <w:rPr>
          <w:rFonts w:hint="eastAsia"/>
        </w:rPr>
        <w:t>及</w:t>
      </w:r>
      <w:r>
        <w:rPr>
          <w:rFonts w:hint="eastAsia"/>
          <w:lang w:eastAsia="zh-CN"/>
        </w:rPr>
        <w:t>验收经验</w:t>
      </w:r>
      <w:r>
        <w:rPr>
          <w:rFonts w:hint="eastAsia"/>
        </w:rPr>
        <w:t>，确保标准内容科学合理。</w:t>
      </w:r>
    </w:p>
    <w:p w14:paraId="031A8A89">
      <w:pPr>
        <w:numPr>
          <w:ilvl w:val="0"/>
          <w:numId w:val="2"/>
        </w:numPr>
        <w:ind w:firstLine="560" w:firstLineChars="200"/>
        <w:rPr>
          <w:rFonts w:cs="Times New Roman"/>
        </w:rPr>
      </w:pPr>
      <w:r>
        <w:rPr>
          <w:rFonts w:hint="eastAsia" w:cs="Times New Roman"/>
        </w:rPr>
        <w:t>可行性原则</w:t>
      </w:r>
    </w:p>
    <w:p w14:paraId="1B42FED6">
      <w:pPr>
        <w:ind w:firstLine="560"/>
        <w:rPr>
          <w:rFonts w:cs="Times New Roman"/>
        </w:rPr>
      </w:pPr>
      <w:r>
        <w:rPr>
          <w:rFonts w:hint="eastAsia"/>
        </w:rPr>
        <w:t>本标准所提技术要求均不低于国家现行标准，并与国家现行标准、国家及地方法律法规政策保持协调一致，条款规定明确、清晰无歧义，可满足指导工程建设及应用推广的要求。</w:t>
      </w:r>
    </w:p>
    <w:p w14:paraId="0782EB47">
      <w:pPr>
        <w:numPr>
          <w:ilvl w:val="0"/>
          <w:numId w:val="2"/>
        </w:numPr>
        <w:ind w:firstLine="560" w:firstLineChars="200"/>
        <w:rPr>
          <w:rFonts w:cs="Times New Roman"/>
        </w:rPr>
      </w:pPr>
      <w:bookmarkStart w:id="6" w:name="OLE_LINK6"/>
      <w:r>
        <w:rPr>
          <w:rFonts w:hint="eastAsia" w:cs="Times New Roman"/>
        </w:rPr>
        <w:t>规范性原则</w:t>
      </w:r>
    </w:p>
    <w:p w14:paraId="050E99D1">
      <w:pPr>
        <w:ind w:firstLine="560"/>
      </w:pPr>
      <w:r>
        <w:rPr>
          <w:rFonts w:hint="eastAsia"/>
        </w:rPr>
        <w:t>本标准严格按照《标准化工作导则 第1部分：标准化文件的结构和起草规则》（GB/T 1.1-2020）的规定编写，并符合《标准起草规则》（GB/T 20001）系列标准中的相关规定。</w:t>
      </w:r>
    </w:p>
    <w:p w14:paraId="23B80539">
      <w:pPr>
        <w:pStyle w:val="3"/>
      </w:pPr>
      <w:bookmarkStart w:id="7" w:name="_Toc3302"/>
      <w:r>
        <w:rPr>
          <w:rFonts w:hint="eastAsia"/>
        </w:rPr>
        <w:t>标准框架</w:t>
      </w:r>
      <w:bookmarkEnd w:id="7"/>
    </w:p>
    <w:p w14:paraId="0ABFA668">
      <w:pPr>
        <w:ind w:firstLine="560"/>
      </w:pPr>
      <w:r>
        <w:rPr>
          <w:rFonts w:hint="eastAsia"/>
        </w:rPr>
        <w:t>本标准的主要内容框架如表1。</w:t>
      </w:r>
    </w:p>
    <w:p w14:paraId="17B03E40">
      <w:pPr>
        <w:spacing w:line="240" w:lineRule="auto"/>
        <w:ind w:firstLine="0" w:firstLineChars="0"/>
        <w:jc w:val="center"/>
      </w:pPr>
      <w:r>
        <w:rPr>
          <w:rFonts w:hint="eastAsia"/>
        </w:rPr>
        <w:t>表1 标准主要内容框架</w:t>
      </w:r>
    </w:p>
    <w:tbl>
      <w:tblPr>
        <w:tblStyle w:val="20"/>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2268"/>
        <w:gridCol w:w="5103"/>
      </w:tblGrid>
      <w:tr w14:paraId="61CAF3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846" w:type="dxa"/>
            <w:tcBorders>
              <w:tl2br w:val="nil"/>
              <w:tr2bl w:val="nil"/>
            </w:tcBorders>
            <w:vAlign w:val="center"/>
          </w:tcPr>
          <w:p w14:paraId="3EB1228A">
            <w:pPr>
              <w:spacing w:line="240" w:lineRule="auto"/>
              <w:ind w:firstLine="0" w:firstLineChars="0"/>
              <w:jc w:val="center"/>
              <w:rPr>
                <w:rFonts w:ascii="仿宋_GB2312"/>
                <w:b/>
                <w:sz w:val="24"/>
                <w:szCs w:val="24"/>
              </w:rPr>
            </w:pPr>
            <w:r>
              <w:rPr>
                <w:rFonts w:hint="eastAsia" w:ascii="仿宋_GB2312"/>
                <w:b/>
                <w:sz w:val="24"/>
                <w:szCs w:val="24"/>
              </w:rPr>
              <w:t>序号</w:t>
            </w:r>
          </w:p>
        </w:tc>
        <w:tc>
          <w:tcPr>
            <w:tcW w:w="2268" w:type="dxa"/>
            <w:tcBorders>
              <w:tl2br w:val="nil"/>
              <w:tr2bl w:val="nil"/>
            </w:tcBorders>
            <w:vAlign w:val="center"/>
          </w:tcPr>
          <w:p w14:paraId="127214FE">
            <w:pPr>
              <w:spacing w:line="240" w:lineRule="auto"/>
              <w:ind w:firstLine="0" w:firstLineChars="0"/>
              <w:jc w:val="center"/>
              <w:rPr>
                <w:rFonts w:ascii="仿宋_GB2312"/>
                <w:b/>
                <w:sz w:val="24"/>
                <w:szCs w:val="24"/>
              </w:rPr>
            </w:pPr>
            <w:r>
              <w:rPr>
                <w:rFonts w:hint="eastAsia" w:ascii="仿宋_GB2312"/>
                <w:b/>
                <w:sz w:val="24"/>
                <w:szCs w:val="24"/>
              </w:rPr>
              <w:t>要素类型</w:t>
            </w:r>
          </w:p>
        </w:tc>
        <w:tc>
          <w:tcPr>
            <w:tcW w:w="5103" w:type="dxa"/>
            <w:tcBorders>
              <w:tl2br w:val="nil"/>
              <w:tr2bl w:val="nil"/>
            </w:tcBorders>
            <w:vAlign w:val="center"/>
          </w:tcPr>
          <w:p w14:paraId="2D5E17C6">
            <w:pPr>
              <w:spacing w:line="240" w:lineRule="auto"/>
              <w:ind w:firstLine="0" w:firstLineChars="0"/>
              <w:jc w:val="center"/>
              <w:rPr>
                <w:rFonts w:ascii="仿宋_GB2312"/>
                <w:b/>
                <w:sz w:val="24"/>
                <w:szCs w:val="24"/>
              </w:rPr>
            </w:pPr>
            <w:r>
              <w:rPr>
                <w:rFonts w:hint="eastAsia" w:ascii="仿宋_GB2312"/>
                <w:b/>
                <w:sz w:val="24"/>
                <w:szCs w:val="24"/>
              </w:rPr>
              <w:t>要素编排</w:t>
            </w:r>
          </w:p>
        </w:tc>
      </w:tr>
      <w:tr w14:paraId="6235DB8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restart"/>
            <w:tcBorders>
              <w:tl2br w:val="nil"/>
              <w:tr2bl w:val="nil"/>
            </w:tcBorders>
            <w:vAlign w:val="center"/>
          </w:tcPr>
          <w:p w14:paraId="333457F9">
            <w:pPr>
              <w:spacing w:line="240" w:lineRule="auto"/>
              <w:ind w:firstLine="0" w:firstLineChars="0"/>
              <w:jc w:val="center"/>
              <w:rPr>
                <w:rFonts w:ascii="仿宋_GB2312"/>
                <w:sz w:val="24"/>
                <w:szCs w:val="24"/>
              </w:rPr>
            </w:pPr>
            <w:r>
              <w:rPr>
                <w:rFonts w:ascii="仿宋_GB2312"/>
                <w:sz w:val="24"/>
                <w:szCs w:val="24"/>
              </w:rPr>
              <w:t>1</w:t>
            </w:r>
          </w:p>
        </w:tc>
        <w:tc>
          <w:tcPr>
            <w:tcW w:w="2268" w:type="dxa"/>
            <w:vMerge w:val="restart"/>
            <w:tcBorders>
              <w:tl2br w:val="nil"/>
              <w:tr2bl w:val="nil"/>
            </w:tcBorders>
            <w:vAlign w:val="center"/>
          </w:tcPr>
          <w:p w14:paraId="2284EE58">
            <w:pPr>
              <w:spacing w:line="240" w:lineRule="auto"/>
              <w:ind w:firstLine="0" w:firstLineChars="0"/>
              <w:jc w:val="center"/>
              <w:rPr>
                <w:rFonts w:ascii="仿宋_GB2312"/>
                <w:sz w:val="24"/>
                <w:szCs w:val="24"/>
              </w:rPr>
            </w:pPr>
            <w:r>
              <w:rPr>
                <w:rFonts w:hint="eastAsia" w:ascii="仿宋_GB2312"/>
                <w:sz w:val="24"/>
                <w:szCs w:val="24"/>
              </w:rPr>
              <w:t>资料性概述要素</w:t>
            </w:r>
          </w:p>
        </w:tc>
        <w:tc>
          <w:tcPr>
            <w:tcW w:w="5103" w:type="dxa"/>
            <w:tcBorders>
              <w:tl2br w:val="nil"/>
              <w:tr2bl w:val="nil"/>
            </w:tcBorders>
            <w:vAlign w:val="center"/>
          </w:tcPr>
          <w:p w14:paraId="7E3E88CD">
            <w:pPr>
              <w:spacing w:line="240" w:lineRule="auto"/>
              <w:ind w:firstLine="0" w:firstLineChars="0"/>
              <w:jc w:val="center"/>
              <w:rPr>
                <w:rFonts w:ascii="仿宋_GB2312"/>
                <w:sz w:val="24"/>
                <w:szCs w:val="24"/>
              </w:rPr>
            </w:pPr>
            <w:r>
              <w:rPr>
                <w:rFonts w:hint="eastAsia" w:ascii="仿宋_GB2312"/>
                <w:sz w:val="24"/>
                <w:szCs w:val="24"/>
              </w:rPr>
              <w:t>封面</w:t>
            </w:r>
          </w:p>
        </w:tc>
      </w:tr>
      <w:tr w14:paraId="0084BB4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3F3EA9EF">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1938B67E">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0DC8F5D2">
            <w:pPr>
              <w:spacing w:line="240" w:lineRule="auto"/>
              <w:ind w:firstLine="0" w:firstLineChars="0"/>
              <w:jc w:val="center"/>
              <w:rPr>
                <w:rFonts w:ascii="仿宋_GB2312"/>
                <w:sz w:val="24"/>
                <w:szCs w:val="24"/>
              </w:rPr>
            </w:pPr>
            <w:r>
              <w:rPr>
                <w:rFonts w:hint="eastAsia" w:ascii="仿宋_GB2312"/>
                <w:sz w:val="24"/>
                <w:szCs w:val="24"/>
              </w:rPr>
              <w:t>目次</w:t>
            </w:r>
          </w:p>
        </w:tc>
      </w:tr>
      <w:tr w14:paraId="56D8537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1817DDA1">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6D48E95F">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3D6D9582">
            <w:pPr>
              <w:spacing w:line="240" w:lineRule="auto"/>
              <w:ind w:firstLine="0" w:firstLineChars="0"/>
              <w:jc w:val="center"/>
              <w:rPr>
                <w:rFonts w:ascii="仿宋_GB2312"/>
                <w:sz w:val="24"/>
                <w:szCs w:val="24"/>
              </w:rPr>
            </w:pPr>
            <w:r>
              <w:rPr>
                <w:rFonts w:hint="eastAsia" w:ascii="仿宋_GB2312"/>
                <w:sz w:val="24"/>
                <w:szCs w:val="24"/>
              </w:rPr>
              <w:t>前言</w:t>
            </w:r>
          </w:p>
        </w:tc>
      </w:tr>
      <w:tr w14:paraId="2EE0D24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restart"/>
            <w:tcBorders>
              <w:tl2br w:val="nil"/>
              <w:tr2bl w:val="nil"/>
            </w:tcBorders>
            <w:vAlign w:val="center"/>
          </w:tcPr>
          <w:p w14:paraId="1B9B7096">
            <w:pPr>
              <w:spacing w:line="240" w:lineRule="auto"/>
              <w:ind w:firstLine="0" w:firstLineChars="0"/>
              <w:jc w:val="center"/>
              <w:rPr>
                <w:rFonts w:hint="eastAsia" w:ascii="仿宋_GB2312" w:eastAsia="仿宋_GB2312"/>
                <w:sz w:val="24"/>
                <w:szCs w:val="24"/>
                <w:lang w:val="en-US" w:eastAsia="zh-CN"/>
              </w:rPr>
            </w:pPr>
            <w:r>
              <w:rPr>
                <w:rFonts w:hint="eastAsia" w:ascii="仿宋_GB2312"/>
                <w:sz w:val="24"/>
                <w:szCs w:val="24"/>
                <w:lang w:val="en-US" w:eastAsia="zh-CN"/>
              </w:rPr>
              <w:t>2</w:t>
            </w:r>
          </w:p>
        </w:tc>
        <w:tc>
          <w:tcPr>
            <w:tcW w:w="2268" w:type="dxa"/>
            <w:vMerge w:val="restart"/>
            <w:tcBorders>
              <w:tl2br w:val="nil"/>
              <w:tr2bl w:val="nil"/>
            </w:tcBorders>
            <w:vAlign w:val="center"/>
          </w:tcPr>
          <w:p w14:paraId="26C9AAA2">
            <w:pPr>
              <w:spacing w:line="240" w:lineRule="auto"/>
              <w:ind w:firstLine="0" w:firstLineChars="0"/>
              <w:jc w:val="center"/>
              <w:rPr>
                <w:rFonts w:hint="eastAsia" w:ascii="仿宋_GB2312" w:eastAsia="仿宋_GB2312"/>
                <w:sz w:val="24"/>
                <w:szCs w:val="24"/>
                <w:lang w:eastAsia="zh-CN"/>
              </w:rPr>
            </w:pPr>
            <w:r>
              <w:rPr>
                <w:rFonts w:hint="eastAsia" w:ascii="仿宋_GB2312"/>
                <w:sz w:val="24"/>
                <w:szCs w:val="24"/>
                <w:lang w:eastAsia="zh-CN"/>
              </w:rPr>
              <w:t>规范性一般要素</w:t>
            </w:r>
          </w:p>
        </w:tc>
        <w:tc>
          <w:tcPr>
            <w:tcW w:w="5103" w:type="dxa"/>
            <w:tcBorders>
              <w:tl2br w:val="nil"/>
              <w:tr2bl w:val="nil"/>
            </w:tcBorders>
            <w:vAlign w:val="center"/>
          </w:tcPr>
          <w:p w14:paraId="6F145929">
            <w:pPr>
              <w:spacing w:line="240" w:lineRule="auto"/>
              <w:ind w:firstLine="0" w:firstLineChars="0"/>
              <w:jc w:val="center"/>
              <w:rPr>
                <w:rFonts w:ascii="仿宋_GB2312"/>
                <w:sz w:val="24"/>
                <w:szCs w:val="24"/>
              </w:rPr>
            </w:pPr>
            <w:r>
              <w:rPr>
                <w:rFonts w:hint="eastAsia" w:ascii="仿宋_GB2312"/>
                <w:sz w:val="24"/>
                <w:szCs w:val="24"/>
              </w:rPr>
              <w:t>范围</w:t>
            </w:r>
          </w:p>
        </w:tc>
      </w:tr>
      <w:tr w14:paraId="0AAB38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7F3841F9">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2632F9DF">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264A26DB">
            <w:pPr>
              <w:spacing w:line="240" w:lineRule="auto"/>
              <w:ind w:firstLine="0" w:firstLineChars="0"/>
              <w:jc w:val="center"/>
              <w:rPr>
                <w:rFonts w:ascii="仿宋_GB2312"/>
                <w:sz w:val="24"/>
                <w:szCs w:val="24"/>
              </w:rPr>
            </w:pPr>
            <w:r>
              <w:rPr>
                <w:rFonts w:hint="eastAsia" w:ascii="仿宋_GB2312"/>
                <w:sz w:val="24"/>
                <w:szCs w:val="24"/>
              </w:rPr>
              <w:t>规范性引用文件</w:t>
            </w:r>
          </w:p>
        </w:tc>
      </w:tr>
      <w:tr w14:paraId="09051D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restart"/>
            <w:tcBorders>
              <w:tl2br w:val="nil"/>
              <w:tr2bl w:val="nil"/>
            </w:tcBorders>
            <w:vAlign w:val="center"/>
          </w:tcPr>
          <w:p w14:paraId="66D8C857">
            <w:pPr>
              <w:spacing w:line="240" w:lineRule="auto"/>
              <w:ind w:firstLine="0" w:firstLineChars="0"/>
              <w:jc w:val="center"/>
              <w:rPr>
                <w:rFonts w:ascii="仿宋_GB2312"/>
                <w:sz w:val="24"/>
                <w:szCs w:val="24"/>
              </w:rPr>
            </w:pPr>
            <w:r>
              <w:rPr>
                <w:rFonts w:ascii="仿宋_GB2312"/>
                <w:sz w:val="24"/>
                <w:szCs w:val="24"/>
              </w:rPr>
              <w:t>3</w:t>
            </w:r>
          </w:p>
        </w:tc>
        <w:tc>
          <w:tcPr>
            <w:tcW w:w="2268" w:type="dxa"/>
            <w:vMerge w:val="restart"/>
            <w:tcBorders>
              <w:tl2br w:val="nil"/>
              <w:tr2bl w:val="nil"/>
            </w:tcBorders>
            <w:vAlign w:val="center"/>
          </w:tcPr>
          <w:p w14:paraId="56ADEC1D">
            <w:pPr>
              <w:spacing w:line="240" w:lineRule="auto"/>
              <w:ind w:firstLine="0" w:firstLineChars="0"/>
              <w:jc w:val="center"/>
              <w:rPr>
                <w:rFonts w:ascii="仿宋_GB2312"/>
                <w:sz w:val="24"/>
                <w:szCs w:val="24"/>
              </w:rPr>
            </w:pPr>
            <w:r>
              <w:rPr>
                <w:rFonts w:hint="eastAsia" w:ascii="仿宋_GB2312"/>
                <w:sz w:val="24"/>
                <w:szCs w:val="24"/>
              </w:rPr>
              <w:t>规范性技术要素</w:t>
            </w:r>
          </w:p>
        </w:tc>
        <w:tc>
          <w:tcPr>
            <w:tcW w:w="5103" w:type="dxa"/>
            <w:tcBorders>
              <w:tl2br w:val="nil"/>
              <w:tr2bl w:val="nil"/>
            </w:tcBorders>
            <w:vAlign w:val="center"/>
          </w:tcPr>
          <w:p w14:paraId="515C3F75">
            <w:pPr>
              <w:spacing w:line="240" w:lineRule="auto"/>
              <w:ind w:firstLine="0" w:firstLineChars="0"/>
              <w:jc w:val="center"/>
              <w:rPr>
                <w:rFonts w:ascii="仿宋_GB2312"/>
                <w:sz w:val="24"/>
                <w:szCs w:val="24"/>
              </w:rPr>
            </w:pPr>
            <w:r>
              <w:rPr>
                <w:rFonts w:hint="eastAsia" w:ascii="仿宋_GB2312"/>
                <w:sz w:val="24"/>
                <w:szCs w:val="24"/>
              </w:rPr>
              <w:t>术语和定义</w:t>
            </w:r>
          </w:p>
        </w:tc>
      </w:tr>
      <w:tr w14:paraId="6E1860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1A91B08D">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70A5B188">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17712431">
            <w:pPr>
              <w:spacing w:line="240" w:lineRule="auto"/>
              <w:ind w:firstLine="0" w:firstLineChars="0"/>
              <w:jc w:val="center"/>
              <w:rPr>
                <w:rFonts w:ascii="仿宋_GB2312"/>
                <w:sz w:val="24"/>
                <w:szCs w:val="24"/>
              </w:rPr>
            </w:pPr>
            <w:r>
              <w:rPr>
                <w:rFonts w:hint="eastAsia" w:ascii="仿宋_GB2312"/>
                <w:sz w:val="24"/>
                <w:szCs w:val="24"/>
              </w:rPr>
              <w:t>基本规定</w:t>
            </w:r>
          </w:p>
        </w:tc>
      </w:tr>
      <w:tr w14:paraId="597BAC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080A133E">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1F004620">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22782FFD">
            <w:pPr>
              <w:spacing w:line="240" w:lineRule="auto"/>
              <w:ind w:firstLine="0" w:firstLineChars="0"/>
              <w:jc w:val="center"/>
              <w:rPr>
                <w:rFonts w:hint="eastAsia" w:ascii="仿宋_GB2312" w:eastAsia="仿宋_GB2312"/>
                <w:sz w:val="24"/>
                <w:szCs w:val="24"/>
                <w:lang w:eastAsia="zh-CN"/>
              </w:rPr>
            </w:pPr>
            <w:r>
              <w:rPr>
                <w:rFonts w:hint="eastAsia" w:ascii="仿宋_GB2312"/>
                <w:sz w:val="24"/>
                <w:szCs w:val="24"/>
                <w:lang w:eastAsia="zh-CN"/>
              </w:rPr>
              <w:t>材料</w:t>
            </w:r>
          </w:p>
        </w:tc>
      </w:tr>
      <w:tr w14:paraId="7AC6DB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47A873AF">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3F569BE6">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34E5B426">
            <w:pPr>
              <w:spacing w:line="240" w:lineRule="auto"/>
              <w:ind w:firstLine="0" w:firstLineChars="0"/>
              <w:jc w:val="center"/>
              <w:rPr>
                <w:rFonts w:hint="eastAsia" w:ascii="仿宋_GB2312" w:eastAsia="仿宋_GB2312"/>
                <w:sz w:val="24"/>
                <w:szCs w:val="24"/>
                <w:lang w:eastAsia="zh-CN"/>
              </w:rPr>
            </w:pPr>
            <w:r>
              <w:rPr>
                <w:rFonts w:hint="eastAsia" w:ascii="仿宋_GB2312"/>
                <w:sz w:val="24"/>
                <w:szCs w:val="24"/>
                <w:lang w:eastAsia="zh-CN"/>
              </w:rPr>
              <w:t>技术要求</w:t>
            </w:r>
          </w:p>
        </w:tc>
      </w:tr>
      <w:tr w14:paraId="5190872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56EFA74A">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60D374DE">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443EEC3F">
            <w:pPr>
              <w:spacing w:line="240" w:lineRule="auto"/>
              <w:ind w:firstLine="0" w:firstLineChars="0"/>
              <w:jc w:val="center"/>
              <w:rPr>
                <w:rFonts w:hint="eastAsia" w:ascii="仿宋_GB2312" w:eastAsia="仿宋_GB2312"/>
                <w:sz w:val="24"/>
                <w:szCs w:val="24"/>
                <w:lang w:eastAsia="zh-CN"/>
              </w:rPr>
            </w:pPr>
            <w:r>
              <w:rPr>
                <w:rFonts w:hint="eastAsia" w:ascii="仿宋_GB2312"/>
                <w:sz w:val="24"/>
                <w:szCs w:val="24"/>
                <w:lang w:eastAsia="zh-CN"/>
              </w:rPr>
              <w:t>施工工艺</w:t>
            </w:r>
          </w:p>
        </w:tc>
      </w:tr>
      <w:tr w14:paraId="0627C1F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7BC66D44">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6770D653">
            <w:pPr>
              <w:spacing w:line="240" w:lineRule="auto"/>
              <w:ind w:firstLine="0" w:firstLineChars="0"/>
              <w:jc w:val="center"/>
              <w:rPr>
                <w:rFonts w:ascii="仿宋_GB2312"/>
                <w:sz w:val="24"/>
                <w:szCs w:val="24"/>
              </w:rPr>
            </w:pPr>
          </w:p>
        </w:tc>
        <w:tc>
          <w:tcPr>
            <w:tcW w:w="5103" w:type="dxa"/>
            <w:tcBorders>
              <w:tl2br w:val="nil"/>
              <w:tr2bl w:val="nil"/>
            </w:tcBorders>
            <w:vAlign w:val="center"/>
          </w:tcPr>
          <w:p w14:paraId="28381D6C">
            <w:pPr>
              <w:spacing w:line="240" w:lineRule="auto"/>
              <w:ind w:firstLine="0" w:firstLineChars="0"/>
              <w:jc w:val="center"/>
              <w:rPr>
                <w:rFonts w:hint="eastAsia" w:ascii="仿宋_GB2312" w:eastAsia="仿宋_GB2312"/>
                <w:sz w:val="24"/>
                <w:szCs w:val="24"/>
                <w:lang w:eastAsia="zh-CN"/>
              </w:rPr>
            </w:pPr>
            <w:r>
              <w:rPr>
                <w:rFonts w:hint="eastAsia" w:ascii="仿宋_GB2312"/>
                <w:sz w:val="24"/>
                <w:szCs w:val="24"/>
                <w:lang w:eastAsia="zh-CN"/>
              </w:rPr>
              <w:t>试验检验</w:t>
            </w:r>
          </w:p>
        </w:tc>
      </w:tr>
      <w:tr w14:paraId="51629BE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48B1AFF9">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755E90AF">
            <w:pPr>
              <w:spacing w:line="240" w:lineRule="auto"/>
              <w:ind w:firstLine="0" w:firstLineChars="0"/>
              <w:jc w:val="center"/>
              <w:rPr>
                <w:rFonts w:ascii="仿宋_GB2312"/>
                <w:sz w:val="24"/>
                <w:szCs w:val="24"/>
              </w:rPr>
            </w:pPr>
          </w:p>
        </w:tc>
        <w:tc>
          <w:tcPr>
            <w:tcW w:w="5103" w:type="dxa"/>
            <w:tcBorders>
              <w:tl2br w:val="nil"/>
              <w:tr2bl w:val="nil"/>
            </w:tcBorders>
            <w:shd w:val="clear" w:color="auto" w:fill="auto"/>
            <w:vAlign w:val="center"/>
          </w:tcPr>
          <w:p w14:paraId="3C496570">
            <w:pPr>
              <w:spacing w:line="240" w:lineRule="auto"/>
              <w:ind w:firstLine="0" w:firstLineChars="0"/>
              <w:jc w:val="center"/>
              <w:rPr>
                <w:rFonts w:hint="eastAsia" w:ascii="仿宋_GB2312"/>
                <w:sz w:val="24"/>
                <w:szCs w:val="24"/>
                <w:lang w:eastAsia="zh-CN"/>
              </w:rPr>
            </w:pPr>
            <w:r>
              <w:rPr>
                <w:rFonts w:hint="eastAsia" w:ascii="仿宋_GB2312"/>
                <w:sz w:val="24"/>
                <w:szCs w:val="24"/>
                <w:lang w:eastAsia="zh-CN"/>
              </w:rPr>
              <w:t>验收</w:t>
            </w:r>
          </w:p>
        </w:tc>
      </w:tr>
      <w:tr w14:paraId="6AD7F34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restart"/>
            <w:tcBorders>
              <w:tl2br w:val="nil"/>
              <w:tr2bl w:val="nil"/>
            </w:tcBorders>
            <w:vAlign w:val="center"/>
          </w:tcPr>
          <w:p w14:paraId="54C72135">
            <w:pPr>
              <w:spacing w:line="240" w:lineRule="auto"/>
              <w:ind w:firstLine="0" w:firstLineChars="0"/>
              <w:jc w:val="center"/>
              <w:rPr>
                <w:rFonts w:ascii="仿宋_GB2312"/>
                <w:sz w:val="24"/>
                <w:szCs w:val="24"/>
              </w:rPr>
            </w:pPr>
            <w:r>
              <w:rPr>
                <w:rFonts w:ascii="仿宋_GB2312"/>
                <w:sz w:val="24"/>
                <w:szCs w:val="24"/>
              </w:rPr>
              <w:t>4</w:t>
            </w:r>
          </w:p>
        </w:tc>
        <w:tc>
          <w:tcPr>
            <w:tcW w:w="2268" w:type="dxa"/>
            <w:vMerge w:val="restart"/>
            <w:tcBorders>
              <w:tl2br w:val="nil"/>
              <w:tr2bl w:val="nil"/>
            </w:tcBorders>
            <w:vAlign w:val="center"/>
          </w:tcPr>
          <w:p w14:paraId="509EBA24">
            <w:pPr>
              <w:spacing w:line="240" w:lineRule="auto"/>
              <w:ind w:firstLine="0" w:firstLineChars="0"/>
              <w:jc w:val="center"/>
              <w:rPr>
                <w:rFonts w:ascii="仿宋_GB2312"/>
                <w:sz w:val="24"/>
                <w:szCs w:val="24"/>
              </w:rPr>
            </w:pPr>
            <w:r>
              <w:rPr>
                <w:rFonts w:hint="eastAsia" w:ascii="仿宋_GB2312"/>
                <w:sz w:val="24"/>
                <w:szCs w:val="24"/>
              </w:rPr>
              <w:t>规范性补充要素</w:t>
            </w:r>
          </w:p>
        </w:tc>
        <w:tc>
          <w:tcPr>
            <w:tcW w:w="5103" w:type="dxa"/>
            <w:tcBorders>
              <w:tl2br w:val="nil"/>
              <w:tr2bl w:val="nil"/>
            </w:tcBorders>
            <w:shd w:val="clear" w:color="auto" w:fill="auto"/>
            <w:vAlign w:val="center"/>
          </w:tcPr>
          <w:p w14:paraId="27281D09">
            <w:pPr>
              <w:spacing w:line="240" w:lineRule="auto"/>
              <w:ind w:firstLine="0" w:firstLineChars="0"/>
              <w:jc w:val="center"/>
              <w:rPr>
                <w:rFonts w:hint="eastAsia" w:ascii="仿宋_GB2312" w:eastAsia="仿宋_GB2312"/>
                <w:sz w:val="24"/>
                <w:szCs w:val="24"/>
                <w:lang w:eastAsia="zh-CN"/>
              </w:rPr>
            </w:pPr>
            <w:r>
              <w:rPr>
                <w:rFonts w:hint="eastAsia" w:ascii="仿宋_GB2312"/>
                <w:sz w:val="24"/>
                <w:szCs w:val="24"/>
              </w:rPr>
              <w:t xml:space="preserve">附录A </w:t>
            </w:r>
            <w:r>
              <w:rPr>
                <w:rFonts w:hint="eastAsia" w:ascii="仿宋_GB2312"/>
                <w:sz w:val="24"/>
                <w:szCs w:val="24"/>
                <w:lang w:eastAsia="zh-CN"/>
              </w:rPr>
              <w:t>基面情况方案参照表</w:t>
            </w:r>
          </w:p>
        </w:tc>
      </w:tr>
      <w:tr w14:paraId="593479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19D23B27">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19D2458F">
            <w:pPr>
              <w:spacing w:line="240" w:lineRule="auto"/>
              <w:ind w:firstLine="0" w:firstLineChars="0"/>
              <w:jc w:val="center"/>
              <w:rPr>
                <w:rFonts w:ascii="仿宋_GB2312"/>
                <w:sz w:val="24"/>
                <w:szCs w:val="24"/>
              </w:rPr>
            </w:pPr>
          </w:p>
        </w:tc>
        <w:tc>
          <w:tcPr>
            <w:tcW w:w="5103" w:type="dxa"/>
            <w:tcBorders>
              <w:tl2br w:val="nil"/>
              <w:tr2bl w:val="nil"/>
            </w:tcBorders>
            <w:shd w:val="clear" w:color="auto" w:fill="auto"/>
            <w:vAlign w:val="center"/>
          </w:tcPr>
          <w:p w14:paraId="2D77770D">
            <w:pPr>
              <w:spacing w:line="240" w:lineRule="auto"/>
              <w:ind w:firstLine="0" w:firstLineChars="0"/>
              <w:jc w:val="center"/>
              <w:rPr>
                <w:rFonts w:hint="eastAsia" w:ascii="仿宋_GB2312" w:eastAsia="仿宋_GB2312"/>
                <w:sz w:val="24"/>
                <w:szCs w:val="24"/>
                <w:lang w:eastAsia="zh-CN"/>
              </w:rPr>
            </w:pPr>
            <w:r>
              <w:rPr>
                <w:rFonts w:hint="eastAsia" w:ascii="仿宋_GB2312"/>
                <w:sz w:val="24"/>
                <w:szCs w:val="24"/>
              </w:rPr>
              <w:t xml:space="preserve">附录B </w:t>
            </w:r>
            <w:r>
              <w:rPr>
                <w:rFonts w:hint="eastAsia" w:ascii="仿宋_GB2312"/>
                <w:sz w:val="24"/>
                <w:szCs w:val="24"/>
                <w:lang w:eastAsia="zh-CN"/>
              </w:rPr>
              <w:t>常用防腐涂层配套</w:t>
            </w:r>
          </w:p>
        </w:tc>
      </w:tr>
      <w:tr w14:paraId="4B54697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6701DD87">
            <w:pPr>
              <w:spacing w:line="240" w:lineRule="auto"/>
              <w:ind w:firstLine="0" w:firstLineChars="0"/>
              <w:jc w:val="center"/>
              <w:rPr>
                <w:rFonts w:ascii="仿宋_GB2312"/>
                <w:sz w:val="24"/>
                <w:szCs w:val="24"/>
              </w:rPr>
            </w:pPr>
            <w:bookmarkStart w:id="8" w:name="_Toc9388"/>
          </w:p>
        </w:tc>
        <w:tc>
          <w:tcPr>
            <w:tcW w:w="2268" w:type="dxa"/>
            <w:vMerge w:val="continue"/>
            <w:tcBorders>
              <w:tl2br w:val="nil"/>
              <w:tr2bl w:val="nil"/>
            </w:tcBorders>
            <w:vAlign w:val="center"/>
          </w:tcPr>
          <w:p w14:paraId="0819F29C">
            <w:pPr>
              <w:spacing w:line="240" w:lineRule="auto"/>
              <w:ind w:firstLine="0" w:firstLineChars="0"/>
              <w:jc w:val="center"/>
              <w:rPr>
                <w:rFonts w:ascii="仿宋_GB2312"/>
                <w:sz w:val="24"/>
                <w:szCs w:val="24"/>
              </w:rPr>
            </w:pPr>
          </w:p>
        </w:tc>
        <w:tc>
          <w:tcPr>
            <w:tcW w:w="5103" w:type="dxa"/>
            <w:tcBorders>
              <w:tl2br w:val="nil"/>
              <w:tr2bl w:val="nil"/>
            </w:tcBorders>
            <w:shd w:val="clear" w:color="auto" w:fill="auto"/>
            <w:vAlign w:val="center"/>
          </w:tcPr>
          <w:p w14:paraId="327C1119">
            <w:pPr>
              <w:spacing w:line="240" w:lineRule="auto"/>
              <w:ind w:firstLine="0" w:firstLineChars="0"/>
              <w:jc w:val="center"/>
              <w:rPr>
                <w:rFonts w:hint="default" w:ascii="仿宋_GB2312"/>
                <w:sz w:val="24"/>
                <w:szCs w:val="24"/>
                <w:lang w:val="en-US" w:eastAsia="zh-CN"/>
              </w:rPr>
            </w:pPr>
            <w:r>
              <w:rPr>
                <w:rFonts w:hint="eastAsia" w:ascii="仿宋_GB2312"/>
                <w:sz w:val="24"/>
                <w:szCs w:val="24"/>
                <w:lang w:val="en-US" w:eastAsia="zh-CN"/>
              </w:rPr>
              <w:t>附录C 防腐涂层配套产品</w:t>
            </w:r>
          </w:p>
        </w:tc>
      </w:tr>
      <w:tr w14:paraId="6D1A7C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846" w:type="dxa"/>
            <w:vMerge w:val="continue"/>
            <w:tcBorders>
              <w:tl2br w:val="nil"/>
              <w:tr2bl w:val="nil"/>
            </w:tcBorders>
            <w:vAlign w:val="center"/>
          </w:tcPr>
          <w:p w14:paraId="367FF18F">
            <w:pPr>
              <w:spacing w:line="240" w:lineRule="auto"/>
              <w:ind w:firstLine="0" w:firstLineChars="0"/>
              <w:jc w:val="center"/>
              <w:rPr>
                <w:rFonts w:ascii="仿宋_GB2312"/>
                <w:sz w:val="24"/>
                <w:szCs w:val="24"/>
              </w:rPr>
            </w:pPr>
          </w:p>
        </w:tc>
        <w:tc>
          <w:tcPr>
            <w:tcW w:w="2268" w:type="dxa"/>
            <w:vMerge w:val="continue"/>
            <w:tcBorders>
              <w:tl2br w:val="nil"/>
              <w:tr2bl w:val="nil"/>
            </w:tcBorders>
            <w:vAlign w:val="center"/>
          </w:tcPr>
          <w:p w14:paraId="363E9627">
            <w:pPr>
              <w:spacing w:line="240" w:lineRule="auto"/>
              <w:ind w:firstLine="0" w:firstLineChars="0"/>
              <w:jc w:val="center"/>
              <w:rPr>
                <w:rFonts w:ascii="仿宋_GB2312"/>
                <w:sz w:val="24"/>
                <w:szCs w:val="24"/>
              </w:rPr>
            </w:pPr>
          </w:p>
        </w:tc>
        <w:tc>
          <w:tcPr>
            <w:tcW w:w="5103" w:type="dxa"/>
            <w:tcBorders>
              <w:tl2br w:val="nil"/>
              <w:tr2bl w:val="nil"/>
            </w:tcBorders>
            <w:shd w:val="clear" w:color="auto" w:fill="auto"/>
            <w:vAlign w:val="center"/>
          </w:tcPr>
          <w:p w14:paraId="5D4F17F4">
            <w:pPr>
              <w:spacing w:line="240" w:lineRule="auto"/>
              <w:ind w:firstLine="0" w:firstLineChars="0"/>
              <w:jc w:val="center"/>
              <w:rPr>
                <w:rFonts w:hint="eastAsia" w:ascii="仿宋_GB2312"/>
                <w:sz w:val="24"/>
                <w:szCs w:val="24"/>
                <w:lang w:val="en-US" w:eastAsia="zh-CN"/>
              </w:rPr>
            </w:pPr>
            <w:r>
              <w:rPr>
                <w:rFonts w:hint="eastAsia" w:ascii="仿宋_GB2312"/>
                <w:sz w:val="24"/>
                <w:szCs w:val="24"/>
                <w:lang w:val="en-US" w:eastAsia="zh-CN"/>
              </w:rPr>
              <w:t>附录D 钢构件防腐涂料涂装工程检验批质量验收记录</w:t>
            </w:r>
          </w:p>
        </w:tc>
      </w:tr>
    </w:tbl>
    <w:p w14:paraId="2BDB9FCC">
      <w:pPr>
        <w:pStyle w:val="3"/>
      </w:pPr>
      <w:r>
        <w:rPr>
          <w:rFonts w:hint="eastAsia"/>
        </w:rPr>
        <w:t>主要内容</w:t>
      </w:r>
      <w:bookmarkEnd w:id="8"/>
    </w:p>
    <w:p w14:paraId="671EBE7C">
      <w:pPr>
        <w:ind w:firstLine="560"/>
      </w:pPr>
      <w:r>
        <w:t>本标准适用于电力工程中大气环境下各类电力钢结构（包括输电塔、主厂房刚架、管道支架、设备支撑钢结构等）的带锈涂装施工及质量验收，规定了带锈涂装的材料要求、技术要求、施工工艺、试验检验及验收的全流程技术规范，旨在提升电力钢结构带锈涂装的施工质量与防腐效果，降低运维成本，保障电力系统安全稳定运行。正文内容共包括</w:t>
      </w:r>
      <w:r>
        <w:rPr>
          <w:rFonts w:hint="eastAsia"/>
          <w:lang w:val="en-US" w:eastAsia="zh-CN"/>
        </w:rPr>
        <w:t>9</w:t>
      </w:r>
      <w:r>
        <w:t>个</w:t>
      </w:r>
      <w:r>
        <w:rPr>
          <w:rFonts w:hint="eastAsia"/>
        </w:rPr>
        <w:t>主要</w:t>
      </w:r>
      <w:r>
        <w:t>章节及</w:t>
      </w:r>
      <w:r>
        <w:rPr>
          <w:rFonts w:hint="eastAsia"/>
          <w:lang w:val="en-US" w:eastAsia="zh-CN"/>
        </w:rPr>
        <w:t>3</w:t>
      </w:r>
      <w:r>
        <w:t>个</w:t>
      </w:r>
      <w:r>
        <w:rPr>
          <w:rFonts w:hint="eastAsia"/>
        </w:rPr>
        <w:t>规范性引用</w:t>
      </w:r>
      <w:r>
        <w:t>附录，主要章节包括：范围、规范性引用文件、术语和定义、</w:t>
      </w:r>
      <w:r>
        <w:rPr>
          <w:rFonts w:hint="eastAsia"/>
          <w:lang w:eastAsia="zh-CN"/>
        </w:rPr>
        <w:t>基本</w:t>
      </w:r>
      <w:r>
        <w:t>规定、</w:t>
      </w:r>
      <w:r>
        <w:rPr>
          <w:rFonts w:hint="eastAsia"/>
          <w:lang w:eastAsia="zh-CN"/>
        </w:rPr>
        <w:t>材料</w:t>
      </w:r>
      <w:r>
        <w:t>、</w:t>
      </w:r>
      <w:r>
        <w:rPr>
          <w:rFonts w:hint="eastAsia"/>
          <w:lang w:eastAsia="zh-CN"/>
        </w:rPr>
        <w:t>技术要求</w:t>
      </w:r>
      <w:r>
        <w:t>、</w:t>
      </w:r>
      <w:r>
        <w:rPr>
          <w:rFonts w:hint="eastAsia"/>
          <w:lang w:eastAsia="zh-CN"/>
        </w:rPr>
        <w:t>施工工艺</w:t>
      </w:r>
      <w:r>
        <w:t>、</w:t>
      </w:r>
      <w:r>
        <w:rPr>
          <w:rFonts w:hint="eastAsia"/>
          <w:lang w:eastAsia="zh-CN"/>
        </w:rPr>
        <w:t>试验检验、验收</w:t>
      </w:r>
      <w:r>
        <w:rPr>
          <w:rFonts w:hint="eastAsia"/>
        </w:rPr>
        <w:t>；规范性引用</w:t>
      </w:r>
      <w:r>
        <w:t>附录包括：</w:t>
      </w:r>
      <w:r>
        <w:rPr>
          <w:rFonts w:hint="eastAsia"/>
          <w:lang w:eastAsia="zh-CN"/>
        </w:rPr>
        <w:t>基面情况方案参照表、常用防腐涂层配套、防腐涂层配套产品和钢构件防腐涂料涂装工程检验批质量验收记录。</w:t>
      </w:r>
      <w:r>
        <w:rPr>
          <w:rFonts w:hint="eastAsia"/>
        </w:rPr>
        <w:t>标准参考了</w:t>
      </w:r>
      <w:r>
        <w:rPr>
          <w:rFonts w:hint="eastAsia"/>
          <w:lang w:eastAsia="zh-CN"/>
        </w:rPr>
        <w:t>《工业建筑防腐蚀设计标准》（</w:t>
      </w:r>
      <w:r>
        <w:rPr>
          <w:rFonts w:hint="eastAsia"/>
          <w:lang w:val="en-US" w:eastAsia="zh-CN"/>
        </w:rPr>
        <w:t>GB/T 50046</w:t>
      </w:r>
      <w:r>
        <w:rPr>
          <w:rFonts w:hint="eastAsia"/>
          <w:lang w:eastAsia="zh-CN"/>
        </w:rPr>
        <w:t>）《钢结构工程施工质量验收规范》（</w:t>
      </w:r>
      <w:r>
        <w:rPr>
          <w:rFonts w:hint="eastAsia"/>
          <w:lang w:val="en-US" w:eastAsia="zh-CN"/>
        </w:rPr>
        <w:t>GB 50205</w:t>
      </w:r>
      <w:r>
        <w:rPr>
          <w:rFonts w:hint="eastAsia"/>
          <w:lang w:eastAsia="zh-CN"/>
        </w:rPr>
        <w:t>）、</w:t>
      </w:r>
      <w:r>
        <w:t>《建筑防腐蚀工程施工规范》（GB 50212）</w:t>
      </w:r>
      <w:r>
        <w:rPr>
          <w:rFonts w:hint="eastAsia"/>
          <w:lang w:eastAsia="zh-CN"/>
        </w:rPr>
        <w:t>等建筑防腐蚀及钢结构工程领域现行成熟标准，引用了《涂装作业安全规程》（</w:t>
      </w:r>
      <w:r>
        <w:rPr>
          <w:rFonts w:hint="eastAsia"/>
          <w:lang w:val="en-US" w:eastAsia="zh-CN"/>
        </w:rPr>
        <w:t>GB 7691</w:t>
      </w:r>
      <w:r>
        <w:rPr>
          <w:rFonts w:hint="eastAsia"/>
          <w:lang w:eastAsia="zh-CN"/>
        </w:rPr>
        <w:t>）等相关国家及行业标准的技术条款结合电力钢结构带锈涂装的工艺特性与行业需求进行创新和完善，主要技术内容包括</w:t>
      </w:r>
      <w:r>
        <w:rPr>
          <w:rFonts w:hint="eastAsia"/>
        </w:rPr>
        <w:t>：</w:t>
      </w:r>
    </w:p>
    <w:p w14:paraId="12157FD0">
      <w:pPr>
        <w:numPr>
          <w:ilvl w:val="0"/>
          <w:numId w:val="3"/>
        </w:numPr>
        <w:ind w:firstLine="560" w:firstLineChars="200"/>
        <w:rPr>
          <w:rFonts w:cs="Times New Roman"/>
          <w:highlight w:val="none"/>
        </w:rPr>
      </w:pPr>
      <w:r>
        <w:rPr>
          <w:rFonts w:hint="eastAsia" w:cs="Times New Roman"/>
          <w:highlight w:val="none"/>
        </w:rPr>
        <w:t>明确对电力钢结构、带锈涂装、带锈涂装防腐蚀涂层结构、带锈涂装底面合一材料等核心术语给出统一、清晰的定义，规范行业技术表述；明确标准适用场景、不适用场景及基本执行原则，统一设计、施工、监理、检测、验收各方的理解与执行口径；</w:t>
      </w:r>
    </w:p>
    <w:p w14:paraId="785D1353">
      <w:pPr>
        <w:numPr>
          <w:ilvl w:val="0"/>
          <w:numId w:val="3"/>
        </w:numPr>
        <w:ind w:firstLine="560" w:firstLineChars="200"/>
        <w:rPr>
          <w:rFonts w:cs="Times New Roman"/>
          <w:highlight w:val="none"/>
        </w:rPr>
      </w:pPr>
      <w:r>
        <w:rPr>
          <w:rFonts w:hint="eastAsia" w:cs="Times New Roman"/>
          <w:highlight w:val="none"/>
          <w:lang w:eastAsia="zh-CN"/>
        </w:rPr>
        <w:t>系统规定带锈涂装所用底层涂料、中间层涂料、面层涂料、底面合一涂料、稀释剂、修补材料的选用原则、质量指标、配套兼容性与环保安全要求</w:t>
      </w:r>
      <w:r>
        <w:rPr>
          <w:rFonts w:hint="eastAsia" w:cs="Times New Roman"/>
          <w:highlight w:val="none"/>
        </w:rPr>
        <w:t>；</w:t>
      </w:r>
    </w:p>
    <w:p w14:paraId="4F0143A6">
      <w:pPr>
        <w:numPr>
          <w:ilvl w:val="0"/>
          <w:numId w:val="3"/>
        </w:numPr>
        <w:ind w:firstLine="560" w:firstLineChars="200"/>
        <w:rPr>
          <w:rFonts w:cs="Times New Roman"/>
          <w:highlight w:val="none"/>
        </w:rPr>
      </w:pPr>
      <w:r>
        <w:rPr>
          <w:rFonts w:hint="eastAsia" w:cs="Times New Roman"/>
          <w:highlight w:val="none"/>
          <w:lang w:eastAsia="zh-CN"/>
        </w:rPr>
        <w:t>按GB/T 19292.1《</w:t>
      </w:r>
      <w:r>
        <w:t>金属和合金的腐蚀 大气腐蚀性 第1部分：分类、测定和评估</w:t>
      </w:r>
      <w:r>
        <w:rPr>
          <w:rFonts w:hint="eastAsia" w:cs="Times New Roman"/>
          <w:highlight w:val="none"/>
          <w:lang w:eastAsia="zh-CN"/>
        </w:rPr>
        <w:t>》将大气腐蚀环境划分为C1~C</w:t>
      </w:r>
      <w:r>
        <w:rPr>
          <w:rFonts w:hint="eastAsia" w:cs="Times New Roman"/>
          <w:highlight w:val="none"/>
          <w:lang w:val="en-US" w:eastAsia="zh-CN"/>
        </w:rPr>
        <w:t>5</w:t>
      </w:r>
      <w:r>
        <w:rPr>
          <w:rFonts w:hint="eastAsia" w:cs="Times New Roman"/>
          <w:highlight w:val="none"/>
          <w:lang w:eastAsia="zh-CN"/>
        </w:rPr>
        <w:t>等级，结合电力工程沿海高盐雾、工业污染、湿热高温等特点，明确不同腐蚀环境下的技术指标；</w:t>
      </w:r>
    </w:p>
    <w:p w14:paraId="3EC74A96">
      <w:pPr>
        <w:numPr>
          <w:ilvl w:val="0"/>
          <w:numId w:val="3"/>
        </w:numPr>
        <w:ind w:firstLine="560" w:firstLineChars="200"/>
        <w:rPr>
          <w:rFonts w:cs="Times New Roman"/>
          <w:highlight w:val="none"/>
        </w:rPr>
      </w:pPr>
      <w:r>
        <w:rPr>
          <w:rFonts w:hint="eastAsia" w:cs="Times New Roman"/>
          <w:highlight w:val="none"/>
        </w:rPr>
        <w:t>提出不同腐蚀环境、不同设计工作年限下的带锈涂装涂层配套方案，明确涂层构造、材料选型与干膜厚度要求，结合沿海、工业、湿热等典型电力工程服役环境，形成与设计寿命相匹配的涂层体系，确保防腐效果、耐久年限与工程实际需求高度契合，同时兼顾施工经济性与可实现性；</w:t>
      </w:r>
    </w:p>
    <w:p w14:paraId="47B516A1">
      <w:pPr>
        <w:numPr>
          <w:ilvl w:val="0"/>
          <w:numId w:val="3"/>
        </w:numPr>
        <w:ind w:firstLine="560" w:firstLineChars="200"/>
        <w:rPr>
          <w:rFonts w:cs="Times New Roman"/>
          <w:highlight w:val="none"/>
        </w:rPr>
      </w:pPr>
      <w:r>
        <w:rPr>
          <w:rFonts w:hint="eastAsia" w:cs="Times New Roman"/>
          <w:highlight w:val="none"/>
          <w:lang w:eastAsia="zh-CN"/>
        </w:rPr>
        <w:t>规范带锈涂装施工的环境条件、表面处理工艺、涂料调配方法、涂装作业流程及安全环保措施，对施工准备、基面处理、涂料配制、预涂、喷涂、刷涂、辊涂、涂层固化、膜厚控制、修补与成品保护等全流程工序进行系统性约束，重点强化复杂部位、高空作业、潮湿环境下的施工控制要求，确保施工过程规范、质量稳定、安全可控；</w:t>
      </w:r>
    </w:p>
    <w:p w14:paraId="0F5CBF9E">
      <w:pPr>
        <w:numPr>
          <w:ilvl w:val="0"/>
          <w:numId w:val="3"/>
        </w:numPr>
        <w:ind w:firstLine="560" w:firstLineChars="200"/>
        <w:rPr>
          <w:rFonts w:cs="Times New Roman"/>
          <w:highlight w:val="none"/>
        </w:rPr>
      </w:pPr>
      <w:r>
        <w:rPr>
          <w:rFonts w:hint="eastAsia" w:cs="Times New Roman"/>
          <w:highlight w:val="none"/>
          <w:lang w:eastAsia="zh-CN"/>
        </w:rPr>
        <w:t>规范全流程质量检验要求，明确原材料检验、施工过程检验、基底检验、涂装完工检验的检验项目、检测方法、合格标准与抽样规则，覆盖涂料性能、表面处理质量、涂层外观、厚度、附着力、针孔等关键指标，形成覆盖施工全过程的质量检验体系，保证工程质量可检测、可判定、可追溯</w:t>
      </w:r>
      <w:r>
        <w:rPr>
          <w:rFonts w:hint="eastAsia" w:cs="Times New Roman"/>
          <w:highlight w:val="none"/>
          <w:lang w:val="en-US" w:eastAsia="zh-CN"/>
        </w:rPr>
        <w:t>;</w:t>
      </w:r>
    </w:p>
    <w:p w14:paraId="20D36C0D">
      <w:pPr>
        <w:numPr>
          <w:ilvl w:val="0"/>
          <w:numId w:val="3"/>
        </w:numPr>
        <w:ind w:firstLine="560" w:firstLineChars="200"/>
        <w:rPr>
          <w:rFonts w:cs="Times New Roman"/>
          <w:highlight w:val="none"/>
        </w:rPr>
      </w:pPr>
      <w:r>
        <w:rPr>
          <w:rFonts w:cs="Times New Roman"/>
          <w:highlight w:val="none"/>
          <w:lang w:val="en-US" w:eastAsia="zh-CN"/>
        </w:rPr>
        <w:t>建立分阶段验收体系，规定基层验收、材料验收、涂装施工验收、成品验收的具体要求，明确验收资料组成、验收程序、检验批划分原则与不合格项处置方式，将验收流程与电力工程建设管理模式相衔接，确保验收工作规范化、标准化、可落地，同时配套统一的验收记录表格，提升工程管理与归档效率。</w:t>
      </w:r>
    </w:p>
    <w:p w14:paraId="42DC2BE5">
      <w:pPr>
        <w:pStyle w:val="3"/>
        <w:rPr>
          <w:highlight w:val="none"/>
        </w:rPr>
      </w:pPr>
      <w:bookmarkStart w:id="9" w:name="_Toc6038"/>
      <w:r>
        <w:rPr>
          <w:rFonts w:hint="eastAsia"/>
          <w:highlight w:val="none"/>
        </w:rPr>
        <w:t>主要内容确定依据</w:t>
      </w:r>
    </w:p>
    <w:p w14:paraId="12D28F07">
      <w:pPr>
        <w:numPr>
          <w:ilvl w:val="0"/>
          <w:numId w:val="4"/>
        </w:numPr>
        <w:ind w:firstLine="560" w:firstLineChars="200"/>
        <w:rPr>
          <w:highlight w:val="none"/>
        </w:rPr>
      </w:pPr>
      <w:r>
        <w:rPr>
          <w:rFonts w:hint="eastAsia"/>
          <w:highlight w:val="none"/>
          <w:lang w:eastAsia="zh-CN"/>
        </w:rPr>
        <w:t>腐蚀环境等级与技术要求</w:t>
      </w:r>
    </w:p>
    <w:p w14:paraId="565ADB2A">
      <w:pPr>
        <w:ind w:firstLine="560"/>
        <w:rPr>
          <w:rFonts w:hint="eastAsia" w:eastAsia="仿宋_GB2312"/>
          <w:lang w:val="en-US" w:eastAsia="zh-CN"/>
        </w:rPr>
      </w:pPr>
      <w:r>
        <w:rPr>
          <w:rFonts w:hint="eastAsia" w:cs="Times New Roman"/>
          <w:highlight w:val="none"/>
          <w:lang w:eastAsia="zh-CN"/>
        </w:rPr>
        <w:t>GB/T 19292.1</w:t>
      </w:r>
      <w:r>
        <w:rPr>
          <w:rFonts w:hint="eastAsia"/>
        </w:rPr>
        <w:t>依据金属标准试样在大气环境中暴晒第一年后的腐蚀损失测试结果将大气腐蚀环境等级分为C1-C</w:t>
      </w:r>
      <w:r>
        <w:rPr>
          <w:rFonts w:hint="eastAsia"/>
          <w:lang w:val="en-US" w:eastAsia="zh-CN"/>
        </w:rPr>
        <w:t>5五</w:t>
      </w:r>
      <w:r>
        <w:rPr>
          <w:rFonts w:hint="eastAsia"/>
        </w:rPr>
        <w:t>个等级</w:t>
      </w:r>
      <w:r>
        <w:rPr>
          <w:rFonts w:hint="eastAsia"/>
          <w:lang w:eastAsia="zh-CN"/>
        </w:rPr>
        <w:t>。</w:t>
      </w:r>
    </w:p>
    <w:p w14:paraId="0207B725">
      <w:pPr>
        <w:ind w:firstLine="560"/>
      </w:pPr>
      <w:r>
        <w:rPr>
          <w:rFonts w:hint="eastAsia"/>
          <w:lang w:val="en-US" w:eastAsia="zh-CN"/>
        </w:rPr>
        <w:t>技术要求方面，参考《工业建筑防腐蚀设计标准》（GB/T 50046）中对表面处理、涂层配套的核心要求，结合带锈涂装“除锈转化与防腐一体化”的工艺特性，明确钢材表面初始锈蚀等级、除锈及表面粗糙度等指标。涂层配套方案基于腐蚀环境等级与设计工作年限（8年、10年、15年），参考《带锈涂装涂料》（HG/T 4845）等标准的涂料性能要求，通过工程实践验证筛选出无机改性聚氨酯、氟碳、聚硅氧烷等耐候性、耐腐蚀性优异的涂料组合，明确各涂层干膜厚度及构造类型，确保防护效果与设计寿命匹配。</w:t>
      </w:r>
    </w:p>
    <w:p w14:paraId="68315667">
      <w:pPr>
        <w:numPr>
          <w:ilvl w:val="0"/>
          <w:numId w:val="4"/>
        </w:numPr>
        <w:ind w:firstLine="560" w:firstLineChars="200"/>
      </w:pPr>
      <w:r>
        <w:rPr>
          <w:rFonts w:hint="eastAsia"/>
          <w:lang w:eastAsia="zh-CN"/>
        </w:rPr>
        <w:t>施</w:t>
      </w:r>
      <w:r>
        <w:rPr>
          <w:rFonts w:hint="eastAsia"/>
          <w:shd w:val="clear"/>
          <w:lang w:eastAsia="zh-CN"/>
        </w:rPr>
        <w:t>工工</w:t>
      </w:r>
      <w:r>
        <w:rPr>
          <w:rFonts w:hint="eastAsia"/>
          <w:lang w:eastAsia="zh-CN"/>
        </w:rPr>
        <w:t>艺</w:t>
      </w:r>
    </w:p>
    <w:p w14:paraId="120CAD71">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rPr>
      </w:pPr>
      <w:r>
        <w:rPr>
          <w:rFonts w:hint="eastAsia"/>
        </w:rPr>
        <w:t>燃煤</w:t>
      </w:r>
      <w:r>
        <w:rPr>
          <w:rFonts w:hint="eastAsia"/>
          <w:lang w:val="en-US" w:eastAsia="zh-CN"/>
        </w:rPr>
        <w:t>施工工艺的制定以《钢结构工程施工规范》（GB 50755）、《建筑防腐蚀工程施工规范》（GB 50212）等现行标准为基础，结合电力钢结构带锈涂装的施工难点与行业实践经验优化完善。环境条件要求参考涂料产品通用施工要求及电力工程现场施工环境特点确定，确保涂层成膜质量。</w:t>
      </w:r>
    </w:p>
    <w:p w14:paraId="587C5F40">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rPr>
      </w:pPr>
      <w:r>
        <w:rPr>
          <w:rFonts w:hint="eastAsia"/>
          <w:lang w:val="en-US" w:eastAsia="zh-CN"/>
        </w:rPr>
        <w:t>表面处理工艺结合带锈涂装的基面特性，明确喷射、手工 / 动力工具等除锈方法的适用场景与操作要点，规定焊缝、边角等特殊部位的打磨、预涂要求，解决特殊部位易漏涂、涂层附着力不足的问题。涂料调配与涂装方法参考双组分/多组分涂料的施工特性，明确混合比例、熟化时间、适用期及刷涂、辊涂、无气喷涂的操作参数，同时融入电力工程安全管理要求，细化防火防爆、环保处置等措施，确保施工过程安全合规。</w:t>
      </w:r>
    </w:p>
    <w:p w14:paraId="688E166D">
      <w:pPr>
        <w:numPr>
          <w:ilvl w:val="0"/>
          <w:numId w:val="4"/>
        </w:numPr>
        <w:ind w:firstLine="560" w:firstLineChars="200"/>
      </w:pPr>
      <w:r>
        <w:rPr>
          <w:rFonts w:hint="eastAsia"/>
          <w:lang w:eastAsia="zh-CN"/>
        </w:rPr>
        <w:t>试验检验和验收</w:t>
      </w:r>
    </w:p>
    <w:p w14:paraId="202CE50F">
      <w:pPr>
        <w:ind w:firstLine="560"/>
        <w:rPr>
          <w:rFonts w:hint="eastAsia"/>
        </w:rPr>
      </w:pPr>
      <w:r>
        <w:rPr>
          <w:rFonts w:hint="eastAsia"/>
          <w:lang w:val="en-US" w:eastAsia="zh-CN"/>
        </w:rPr>
        <w:t>试验检验要求参考《色漆和清漆 拉开法附着力试验》（GB/T 5210）、《色漆和清漆 划格试验》（GB/T 9286）等标准的检测方法，结合带锈涂装的质量控制重点，确定原材料检验（含转锈性能、附着力、耐盐雾性等核心指标）、施工过程检验（环境条件、涂料配比、湿膜厚度）、基底检验（锈蚀等级、除锈等级、清洁度）及完工检验（涂层外观、厚度、附着力、针孔）的项目与合格标准。其中，涂层附着力指标、厚度允许偏差等关键参数，通过多座电力工程钢结构带锈涂装的试验验证确定，确保指标科学可行。</w:t>
      </w:r>
    </w:p>
    <w:p w14:paraId="7B900DE9">
      <w:pPr>
        <w:ind w:firstLine="560"/>
        <w:rPr>
          <w:rFonts w:hint="eastAsia" w:eastAsia="仿宋_GB2312"/>
          <w:lang w:eastAsia="zh-CN"/>
        </w:rPr>
      </w:pPr>
      <w:r>
        <w:rPr>
          <w:rFonts w:hint="eastAsia"/>
          <w:lang w:val="en-US" w:eastAsia="zh-CN"/>
        </w:rPr>
        <w:t>验收体系参考《钢结构工程施工质量验收标准》（GB 50205）的分阶段验收逻辑，结合电力工程质量管理要求，建立全流程验收模式，明确各阶段验收主体、内容与程序。验收资料要求（含质量证明文件、施工记录、检测报告等）依据电力工程档案管理规范确定，不合格项处置方式参考行业内质量问题处理惯例，确保验收结果可追溯、质量问题整改到位，保障电力钢结构带锈涂装工程质量符合设计要求与安全运行需求。</w:t>
      </w:r>
    </w:p>
    <w:p w14:paraId="31DD67C2">
      <w:pPr>
        <w:pStyle w:val="2"/>
        <w:shd w:val="clear"/>
      </w:pPr>
      <w:r>
        <w:rPr>
          <w:rFonts w:hint="eastAsia" w:ascii="仿宋_GB2312" w:hAnsi="仿宋_GB2312" w:cs="仿宋_GB2312"/>
        </w:rPr>
        <w:t>试验验证的分析、综述报告，技术经济论证，预期的经济效益、社会效益和生态效益</w:t>
      </w:r>
      <w:bookmarkEnd w:id="9"/>
    </w:p>
    <w:p w14:paraId="5B4A9F9F">
      <w:pPr>
        <w:pStyle w:val="3"/>
      </w:pPr>
      <w:r>
        <w:rPr>
          <w:rFonts w:hint="eastAsia"/>
        </w:rPr>
        <w:t>验证分析、综述报告</w:t>
      </w:r>
    </w:p>
    <w:p w14:paraId="573473A5">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textAlignment w:val="auto"/>
        <w:rPr>
          <w:rFonts w:hint="eastAsia"/>
          <w:lang w:val="en-US" w:eastAsia="zh-CN"/>
        </w:rPr>
      </w:pPr>
      <w:r>
        <w:rPr>
          <w:rFonts w:hint="eastAsia"/>
          <w:lang w:val="en-US" w:eastAsia="zh-CN"/>
        </w:rPr>
        <w:t>为确保为确保《电力钢结构带锈涂装施工及验收规范》技术路线科学、指标合理、贴合工程实际，编制组围绕电力钢结构带锈涂装技术开展了长期系统性的腐蚀机理研究、室内外性能试验、现场工艺验证与多场景工程应用跟踪，形成全面、完整、可靠的技术支撑依据。长期以来，参编单位结合火电、输变电、海上风电、沿海电站、工业园区电站等不同类型电力工程特点，针对沿海高盐雾、内陆湿热、工业污染区、高温高湿等典型服役环境，系统开展了带锈转化涂料性能评价、涂层配套体系优化、表面处理工艺改进、涂装工序控制及长期耐久性评价等研究工作，完成了大量室内老化试验、盐雾试验、湿热试验、附着力测试、耐介质测试及现场实测试验，充分验证了带锈涂装材料在锈层转化、钝化封闭、附着力提升、耐蚀耐候等方面的关键性能，确定了适用于电力工程的材料选型、基面处理等级、施工控制参数与检验验收指标。相关带锈涂装技术与涂层配套体系已在国内多项电力工程中得到成熟应用，覆盖输电铁塔、主厂房钢架、管道支架、设备支撑、冷却塔构件、循环水系统钢结构等各类构件，经过多年实际运行检验，可有效实现锈层稳定转化、阻隔腐蚀介质侵入、提高涂层附着力、减少早期返锈与涂层脱落等问题，工程应用效果稳定可靠。综合试验数据与工程实践表明，带锈涂装技术能够适应电力钢结构现场除锈难度大、施工条件受限、高空作业多、维修不便等现实情况，在简化施工工序、缩短工期、降低成本、提升防腐质量、延长维护周期等方面优势显著，技术成熟可行、经济合理、安全可靠，具备全行业推广应用价值，可为本次标准编制提供充分、可信的试验依据与实践支撑。</w:t>
      </w:r>
    </w:p>
    <w:p w14:paraId="26149636">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jc w:val="center"/>
        <w:textAlignment w:val="auto"/>
      </w:pPr>
      <w:r>
        <w:drawing>
          <wp:inline distT="0" distB="0" distL="114300" distR="114300">
            <wp:extent cx="1565275" cy="1393190"/>
            <wp:effectExtent l="0" t="0" r="15875" b="1651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2"/>
                    <a:stretch>
                      <a:fillRect/>
                    </a:stretch>
                  </pic:blipFill>
                  <pic:spPr>
                    <a:xfrm>
                      <a:off x="0" y="0"/>
                      <a:ext cx="1565275" cy="1393190"/>
                    </a:xfrm>
                    <a:prstGeom prst="rect">
                      <a:avLst/>
                    </a:prstGeom>
                  </pic:spPr>
                </pic:pic>
              </a:graphicData>
            </a:graphic>
          </wp:inline>
        </w:drawing>
      </w:r>
      <w:r>
        <w:drawing>
          <wp:inline distT="0" distB="0" distL="114300" distR="114300">
            <wp:extent cx="1626870" cy="1379220"/>
            <wp:effectExtent l="0" t="0" r="11430" b="11430"/>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13"/>
                    <a:stretch>
                      <a:fillRect/>
                    </a:stretch>
                  </pic:blipFill>
                  <pic:spPr>
                    <a:xfrm>
                      <a:off x="0" y="0"/>
                      <a:ext cx="1626870" cy="1379220"/>
                    </a:xfrm>
                    <a:prstGeom prst="rect">
                      <a:avLst/>
                    </a:prstGeom>
                  </pic:spPr>
                </pic:pic>
              </a:graphicData>
            </a:graphic>
          </wp:inline>
        </w:drawing>
      </w:r>
    </w:p>
    <w:p w14:paraId="5048618A">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jc w:val="center"/>
        <w:textAlignment w:val="auto"/>
      </w:pPr>
      <w:r>
        <w:drawing>
          <wp:inline distT="0" distB="0" distL="114300" distR="114300">
            <wp:extent cx="1558925" cy="1392555"/>
            <wp:effectExtent l="0" t="0" r="3175" b="17145"/>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14"/>
                    <a:stretch>
                      <a:fillRect/>
                    </a:stretch>
                  </pic:blipFill>
                  <pic:spPr>
                    <a:xfrm>
                      <a:off x="0" y="0"/>
                      <a:ext cx="1558925" cy="1392555"/>
                    </a:xfrm>
                    <a:prstGeom prst="rect">
                      <a:avLst/>
                    </a:prstGeom>
                  </pic:spPr>
                </pic:pic>
              </a:graphicData>
            </a:graphic>
          </wp:inline>
        </w:drawing>
      </w:r>
      <w:r>
        <w:drawing>
          <wp:inline distT="0" distB="0" distL="114300" distR="114300">
            <wp:extent cx="1623060" cy="1396365"/>
            <wp:effectExtent l="0" t="0" r="15240" b="13335"/>
            <wp:docPr id="2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15"/>
                    <a:stretch>
                      <a:fillRect/>
                    </a:stretch>
                  </pic:blipFill>
                  <pic:spPr>
                    <a:xfrm>
                      <a:off x="0" y="0"/>
                      <a:ext cx="1623060" cy="1396365"/>
                    </a:xfrm>
                    <a:prstGeom prst="rect">
                      <a:avLst/>
                    </a:prstGeom>
                  </pic:spPr>
                </pic:pic>
              </a:graphicData>
            </a:graphic>
          </wp:inline>
        </w:drawing>
      </w:r>
    </w:p>
    <w:p w14:paraId="4DF8DDB7">
      <w:pPr>
        <w:keepNext w:val="0"/>
        <w:keepLines w:val="0"/>
        <w:pageBreakBefore w:val="0"/>
        <w:widowControl w:val="0"/>
        <w:numPr>
          <w:ilvl w:val="0"/>
          <w:numId w:val="0"/>
        </w:numPr>
        <w:kinsoku/>
        <w:wordWrap/>
        <w:overflowPunct/>
        <w:topLinePunct w:val="0"/>
        <w:autoSpaceDE/>
        <w:autoSpaceDN/>
        <w:bidi w:val="0"/>
        <w:adjustRightInd w:val="0"/>
        <w:snapToGrid w:val="0"/>
        <w:ind w:firstLine="560" w:firstLineChars="200"/>
        <w:jc w:val="center"/>
        <w:textAlignment w:val="auto"/>
      </w:pPr>
      <w:r>
        <w:drawing>
          <wp:inline distT="0" distB="0" distL="114300" distR="114300">
            <wp:extent cx="1555750" cy="1383030"/>
            <wp:effectExtent l="0" t="0" r="6350" b="7620"/>
            <wp:docPr id="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pic:cNvPicPr>
                      <a:picLocks noChangeAspect="1"/>
                    </pic:cNvPicPr>
                  </pic:nvPicPr>
                  <pic:blipFill>
                    <a:blip r:embed="rId16"/>
                    <a:stretch>
                      <a:fillRect/>
                    </a:stretch>
                  </pic:blipFill>
                  <pic:spPr>
                    <a:xfrm>
                      <a:off x="0" y="0"/>
                      <a:ext cx="1555750" cy="1383030"/>
                    </a:xfrm>
                    <a:prstGeom prst="rect">
                      <a:avLst/>
                    </a:prstGeom>
                  </pic:spPr>
                </pic:pic>
              </a:graphicData>
            </a:graphic>
          </wp:inline>
        </w:drawing>
      </w:r>
      <w:r>
        <w:drawing>
          <wp:inline distT="0" distB="0" distL="114300" distR="114300">
            <wp:extent cx="1074420" cy="1386840"/>
            <wp:effectExtent l="0" t="0" r="11430" b="381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7"/>
                    <a:stretch>
                      <a:fillRect/>
                    </a:stretch>
                  </pic:blipFill>
                  <pic:spPr>
                    <a:xfrm>
                      <a:off x="0" y="0"/>
                      <a:ext cx="1074420" cy="1386840"/>
                    </a:xfrm>
                    <a:prstGeom prst="rect">
                      <a:avLst/>
                    </a:prstGeom>
                  </pic:spPr>
                </pic:pic>
              </a:graphicData>
            </a:graphic>
          </wp:inline>
        </w:drawing>
      </w:r>
    </w:p>
    <w:p w14:paraId="4D4B40BE">
      <w:pPr>
        <w:pStyle w:val="11"/>
        <w:keepNext w:val="0"/>
        <w:keepLines w:val="0"/>
        <w:pageBreakBefore w:val="0"/>
        <w:widowControl w:val="0"/>
        <w:numPr>
          <w:ilvl w:val="0"/>
          <w:numId w:val="0"/>
        </w:numPr>
        <w:kinsoku/>
        <w:wordWrap/>
        <w:overflowPunct/>
        <w:topLinePunct w:val="0"/>
        <w:autoSpaceDE/>
        <w:autoSpaceDN/>
        <w:bidi w:val="0"/>
        <w:adjustRightInd w:val="0"/>
        <w:snapToGrid w:val="0"/>
        <w:ind w:firstLine="400" w:firstLineChars="200"/>
        <w:jc w:val="center"/>
        <w:textAlignment w:val="auto"/>
        <w:rPr>
          <w:rFonts w:hint="eastAsia"/>
          <w:lang w:eastAsia="zh-CN"/>
        </w:rPr>
      </w:pPr>
      <w:r>
        <w:t xml:space="preserve">图 </w:t>
      </w:r>
      <w:r>
        <w:fldChar w:fldCharType="begin"/>
      </w:r>
      <w:r>
        <w:instrText xml:space="preserve"> SEQ 图 \* ARABIC </w:instrText>
      </w:r>
      <w:r>
        <w:fldChar w:fldCharType="separate"/>
      </w:r>
      <w:r>
        <w:t>1</w:t>
      </w:r>
      <w:r>
        <w:fldChar w:fldCharType="end"/>
      </w:r>
      <w:r>
        <w:rPr>
          <w:rFonts w:hint="eastAsia"/>
          <w:lang w:eastAsia="zh-CN"/>
        </w:rPr>
        <w:t>带锈涂装前及一年后对比（左：涂装前；右：涂装1年后）</w:t>
      </w:r>
    </w:p>
    <w:p w14:paraId="28374409">
      <w:pPr>
        <w:jc w:val="center"/>
        <w:rPr>
          <w:sz w:val="28"/>
          <w:szCs w:val="28"/>
        </w:rPr>
      </w:pPr>
      <w:r>
        <w:rPr>
          <w:sz w:val="28"/>
          <w:szCs w:val="28"/>
        </w:rPr>
        <w:drawing>
          <wp:inline distT="0" distB="0" distL="0" distR="0">
            <wp:extent cx="1466850" cy="2714625"/>
            <wp:effectExtent l="0" t="0" r="0" b="9525"/>
            <wp:docPr id="65214357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43572" name="图片 14"/>
                    <pic:cNvPicPr>
                      <a:picLocks noChangeAspect="1" noChangeArrowheads="1"/>
                    </pic:cNvPicPr>
                  </pic:nvPicPr>
                  <pic:blipFill>
                    <a:blip r:embed="rId18" cstate="print">
                      <a:extLst>
                        <a:ext uri="{28A0092B-C50C-407E-A947-70E740481C1C}">
                          <a14:useLocalDpi xmlns:a14="http://schemas.microsoft.com/office/drawing/2010/main" val="0"/>
                        </a:ext>
                      </a:extLst>
                    </a:blip>
                    <a:srcRect l="26543" t="12778" r="22954" b="6131"/>
                    <a:stretch>
                      <a:fillRect/>
                    </a:stretch>
                  </pic:blipFill>
                  <pic:spPr>
                    <a:xfrm>
                      <a:off x="0" y="0"/>
                      <a:ext cx="1466850" cy="2714625"/>
                    </a:xfrm>
                    <a:prstGeom prst="rect">
                      <a:avLst/>
                    </a:prstGeom>
                    <a:noFill/>
                    <a:ln>
                      <a:noFill/>
                    </a:ln>
                  </pic:spPr>
                </pic:pic>
              </a:graphicData>
            </a:graphic>
          </wp:inline>
        </w:drawing>
      </w:r>
      <w:r>
        <w:rPr>
          <w:sz w:val="28"/>
          <w:szCs w:val="28"/>
        </w:rPr>
        <w:drawing>
          <wp:inline distT="0" distB="0" distL="0" distR="0">
            <wp:extent cx="1441450" cy="2717800"/>
            <wp:effectExtent l="0" t="0" r="6350" b="6350"/>
            <wp:docPr id="5889983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99836" name="图片 13"/>
                    <pic:cNvPicPr>
                      <a:picLocks noChangeAspect="1" noChangeArrowheads="1"/>
                    </pic:cNvPicPr>
                  </pic:nvPicPr>
                  <pic:blipFill>
                    <a:blip r:embed="rId19" cstate="print">
                      <a:extLst>
                        <a:ext uri="{28A0092B-C50C-407E-A947-70E740481C1C}">
                          <a14:useLocalDpi xmlns:a14="http://schemas.microsoft.com/office/drawing/2010/main" val="0"/>
                        </a:ext>
                      </a:extLst>
                    </a:blip>
                    <a:srcRect l="23636" t="16563" r="24318" b="3545"/>
                    <a:stretch>
                      <a:fillRect/>
                    </a:stretch>
                  </pic:blipFill>
                  <pic:spPr>
                    <a:xfrm>
                      <a:off x="0" y="0"/>
                      <a:ext cx="1441450" cy="2717800"/>
                    </a:xfrm>
                    <a:prstGeom prst="rect">
                      <a:avLst/>
                    </a:prstGeom>
                    <a:noFill/>
                    <a:ln>
                      <a:noFill/>
                    </a:ln>
                  </pic:spPr>
                </pic:pic>
              </a:graphicData>
            </a:graphic>
          </wp:inline>
        </w:drawing>
      </w:r>
    </w:p>
    <w:p w14:paraId="6B643591">
      <w:pPr>
        <w:pStyle w:val="11"/>
        <w:jc w:val="center"/>
        <w:rPr>
          <w:rFonts w:hint="eastAsia"/>
          <w:lang w:eastAsia="zh-CN"/>
        </w:rPr>
      </w:pPr>
      <w:r>
        <w:t xml:space="preserve">图 </w:t>
      </w:r>
      <w:r>
        <w:fldChar w:fldCharType="begin"/>
      </w:r>
      <w:r>
        <w:instrText xml:space="preserve"> SEQ 图 \* ARABIC </w:instrText>
      </w:r>
      <w:r>
        <w:fldChar w:fldCharType="separate"/>
      </w:r>
      <w:r>
        <w:t>2</w:t>
      </w:r>
      <w:r>
        <w:fldChar w:fldCharType="end"/>
      </w:r>
      <w:r>
        <w:rPr>
          <w:rFonts w:hint="eastAsia"/>
          <w:lang w:eastAsia="zh-CN"/>
        </w:rPr>
        <w:t>耐盐雾前后对比效果图（左：测试前；右：测试30天后）</w:t>
      </w:r>
    </w:p>
    <w:p w14:paraId="4288A6F5">
      <w:pPr>
        <w:rPr>
          <w:sz w:val="28"/>
          <w:szCs w:val="28"/>
        </w:rPr>
      </w:pPr>
      <w:r>
        <w:rPr>
          <w:sz w:val="28"/>
          <w:szCs w:val="28"/>
        </w:rPr>
        <w:drawing>
          <wp:inline distT="0" distB="0" distL="0" distR="0">
            <wp:extent cx="2112010" cy="2302510"/>
            <wp:effectExtent l="0" t="0" r="2540" b="2540"/>
            <wp:docPr id="145884957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849574" name="图片 12"/>
                    <pic:cNvPicPr>
                      <a:picLocks noChangeAspect="1" noChangeArrowheads="1"/>
                    </pic:cNvPicPr>
                  </pic:nvPicPr>
                  <pic:blipFill>
                    <a:blip r:embed="rId20">
                      <a:extLst>
                        <a:ext uri="{28A0092B-C50C-407E-A947-70E740481C1C}">
                          <a14:useLocalDpi xmlns:a14="http://schemas.microsoft.com/office/drawing/2010/main" val="0"/>
                        </a:ext>
                      </a:extLst>
                    </a:blip>
                    <a:srcRect l="4301"/>
                    <a:stretch>
                      <a:fillRect/>
                    </a:stretch>
                  </pic:blipFill>
                  <pic:spPr>
                    <a:xfrm>
                      <a:off x="0" y="0"/>
                      <a:ext cx="2112010" cy="2302510"/>
                    </a:xfrm>
                    <a:prstGeom prst="rect">
                      <a:avLst/>
                    </a:prstGeom>
                    <a:noFill/>
                    <a:ln>
                      <a:noFill/>
                    </a:ln>
                  </pic:spPr>
                </pic:pic>
              </a:graphicData>
            </a:graphic>
          </wp:inline>
        </w:drawing>
      </w:r>
      <w:r>
        <w:rPr>
          <w:sz w:val="28"/>
          <w:szCs w:val="28"/>
        </w:rPr>
        <w:drawing>
          <wp:inline distT="0" distB="0" distL="0" distR="0">
            <wp:extent cx="2143760" cy="2322830"/>
            <wp:effectExtent l="0" t="0" r="8890" b="1270"/>
            <wp:docPr id="141281088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810883" name="图片 11"/>
                    <pic:cNvPicPr>
                      <a:picLocks noChangeAspect="1" noChangeArrowheads="1"/>
                    </pic:cNvPicPr>
                  </pic:nvPicPr>
                  <pic:blipFill>
                    <a:blip r:embed="rId21">
                      <a:extLst>
                        <a:ext uri="{28A0092B-C50C-407E-A947-70E740481C1C}">
                          <a14:useLocalDpi xmlns:a14="http://schemas.microsoft.com/office/drawing/2010/main" val="0"/>
                        </a:ext>
                      </a:extLst>
                    </a:blip>
                    <a:srcRect l="5428"/>
                    <a:stretch>
                      <a:fillRect/>
                    </a:stretch>
                  </pic:blipFill>
                  <pic:spPr>
                    <a:xfrm>
                      <a:off x="0" y="0"/>
                      <a:ext cx="2143760" cy="2322830"/>
                    </a:xfrm>
                    <a:prstGeom prst="rect">
                      <a:avLst/>
                    </a:prstGeom>
                    <a:noFill/>
                    <a:ln>
                      <a:noFill/>
                    </a:ln>
                  </pic:spPr>
                </pic:pic>
              </a:graphicData>
            </a:graphic>
          </wp:inline>
        </w:drawing>
      </w:r>
    </w:p>
    <w:p w14:paraId="24FB936C">
      <w:pPr>
        <w:pStyle w:val="11"/>
        <w:jc w:val="center"/>
        <w:rPr>
          <w:rFonts w:hint="eastAsia" w:eastAsia="仿宋_GB2312"/>
          <w:sz w:val="28"/>
          <w:szCs w:val="28"/>
          <w:lang w:val="en-US" w:eastAsia="zh-CN"/>
        </w:rPr>
      </w:pPr>
      <w:r>
        <w:t xml:space="preserve">图 </w:t>
      </w:r>
      <w:r>
        <w:fldChar w:fldCharType="begin"/>
      </w:r>
      <w:r>
        <w:instrText xml:space="preserve"> SEQ 图 \* ARABIC </w:instrText>
      </w:r>
      <w:r>
        <w:fldChar w:fldCharType="separate"/>
      </w:r>
      <w:r>
        <w:t>3</w:t>
      </w:r>
      <w:r>
        <w:fldChar w:fldCharType="end"/>
      </w:r>
      <w:r>
        <w:rPr>
          <w:rFonts w:hint="eastAsia"/>
          <w:lang w:eastAsia="zh-CN"/>
        </w:rPr>
        <w:t>耐磨试验效果图（</w:t>
      </w:r>
      <w:r>
        <w:rPr>
          <w:rFonts w:hint="eastAsia"/>
          <w:lang w:val="en-US" w:eastAsia="zh-CN"/>
        </w:rPr>
        <w:t>500转磨损后，失重0.024g</w:t>
      </w:r>
      <w:r>
        <w:rPr>
          <w:rFonts w:hint="eastAsia"/>
          <w:lang w:eastAsia="zh-CN"/>
        </w:rPr>
        <w:t>）</w:t>
      </w:r>
    </w:p>
    <w:p w14:paraId="333E1162">
      <w:pPr>
        <w:pStyle w:val="3"/>
      </w:pPr>
      <w:bookmarkStart w:id="10" w:name="_Toc14088"/>
      <w:r>
        <w:rPr>
          <w:rFonts w:hint="eastAsia"/>
        </w:rPr>
        <w:t>验证情况</w:t>
      </w:r>
      <w:bookmarkEnd w:id="10"/>
    </w:p>
    <w:bookmarkEnd w:id="6"/>
    <w:p w14:paraId="073711B3">
      <w:pPr>
        <w:ind w:firstLine="560"/>
        <w:rPr>
          <w:rFonts w:hint="eastAsia"/>
          <w:highlight w:val="none"/>
        </w:rPr>
      </w:pPr>
      <w:r>
        <w:rPr>
          <w:rFonts w:hint="eastAsia"/>
          <w:highlight w:val="none"/>
          <w:lang w:val="en-US" w:eastAsia="zh-CN"/>
        </w:rPr>
        <w:t>本标准所确定的带锈涂装材料配套、基面处理要求、施工工艺参数及检验验收指标，均来自参编单位长期技术积累与工程实践，并已在沿海燃煤电厂、内陆电站、输变电铁塔、主厂房钢架、管道支架、设备支撑钢结构等各类电力工程中广泛应用，覆盖高盐雾、高湿热、工业污染等多种典型服役环境，经过多年实际运行检验，形成了完整且可靠的工程验证数据。</w:t>
      </w:r>
    </w:p>
    <w:p w14:paraId="35E514F0">
      <w:pPr>
        <w:ind w:firstLine="560"/>
        <w:rPr>
          <w:highlight w:val="yellow"/>
        </w:rPr>
      </w:pPr>
      <w:r>
        <w:rPr>
          <w:rFonts w:hint="eastAsia"/>
          <w:highlight w:val="none"/>
          <w:lang w:val="en-US" w:eastAsia="zh-CN"/>
        </w:rPr>
        <w:t>工程应用效果显示，按本标准技术体系实施的带锈涂装工程，可稳定实现锈层转化、钝化封闭与长效防腐一体化，涂层附着力、耐盐雾性、耐湿热性、耐候性等关键性能均满足设计要求，有效解决了电力钢结构现场除锈不彻底、涂层易脱落、早期返锈、维护成本高等突出问题。多项在用电厂监测数据表明，带锈涂装可明显延长防腐保护周期、降低高空作业频次、减少年度运维投入，工程质量可靠、安全效益与经济效益显著，充分证明本标准各项技术要求科学合理、成熟可行，具备在全行业推广应用的实践基础。</w:t>
      </w:r>
    </w:p>
    <w:p w14:paraId="7A43C94E">
      <w:pPr>
        <w:pStyle w:val="3"/>
      </w:pPr>
      <w:bookmarkStart w:id="11" w:name="_Toc15689"/>
      <w:r>
        <w:rPr>
          <w:rFonts w:hint="eastAsia"/>
        </w:rPr>
        <w:t>预期</w:t>
      </w:r>
      <w:bookmarkEnd w:id="11"/>
      <w:r>
        <w:rPr>
          <w:rFonts w:hint="eastAsia"/>
        </w:rPr>
        <w:t>效益</w:t>
      </w:r>
    </w:p>
    <w:p w14:paraId="03FCA891">
      <w:pPr>
        <w:ind w:firstLine="560"/>
      </w:pPr>
      <w:r>
        <w:rPr>
          <w:rFonts w:hint="eastAsia"/>
        </w:rPr>
        <w:t>本标准预期达到以下效果：</w:t>
      </w:r>
    </w:p>
    <w:p w14:paraId="424A24D4">
      <w:pPr>
        <w:numPr>
          <w:ilvl w:val="0"/>
          <w:numId w:val="5"/>
        </w:numPr>
        <w:ind w:firstLine="560" w:firstLineChars="200"/>
      </w:pPr>
      <w:r>
        <w:t>统一电力钢结构带锈涂装施工与验收技术要求，规范材料选型、基面处理、施工工艺及质量检验流程，全面提升电力钢结构防腐工程质量，延长结构使用寿命，降低腐蚀失效风险，保障电力系统长期安全稳定运行。</w:t>
      </w:r>
    </w:p>
    <w:p w14:paraId="34DA4B55">
      <w:pPr>
        <w:numPr>
          <w:ilvl w:val="0"/>
          <w:numId w:val="5"/>
        </w:numPr>
        <w:ind w:firstLine="560" w:firstLineChars="200"/>
      </w:pPr>
      <w:r>
        <w:t>简化现场除锈工序、缩短施工周期、减少重复维修频次，显著降低电力钢结构防腐全生命周期运维成本，提升发电、输电、变电等各类电力工程的经济效益与运营效率。</w:t>
      </w:r>
    </w:p>
    <w:p w14:paraId="733CF094">
      <w:pPr>
        <w:numPr>
          <w:ilvl w:val="0"/>
          <w:numId w:val="5"/>
        </w:numPr>
        <w:ind w:firstLine="560" w:firstLineChars="200"/>
      </w:pPr>
      <w:r>
        <w:t>填补电力行业带锈涂装专项标准空白，推动防腐技术规范化、标准化应用，带动环保型带锈涂料、高性能防腐涂层等相关产业升级，促进电力工程绿色施工与高质量发展。</w:t>
      </w:r>
    </w:p>
    <w:p w14:paraId="61CD3D15">
      <w:pPr>
        <w:pStyle w:val="2"/>
      </w:pPr>
      <w:bookmarkStart w:id="12" w:name="_Toc24462"/>
      <w:bookmarkStart w:id="13" w:name="_Toc19962"/>
      <w:r>
        <w:rPr>
          <w:rFonts w:hint="eastAsia" w:ascii="仿宋_GB2312" w:hAnsi="仿宋_GB2312" w:cs="仿宋_GB2312"/>
        </w:rPr>
        <w:t>与国际、国内同类标准技术内容的对比情况，或者与测试的样品、样机的有关数据对比情况</w:t>
      </w:r>
      <w:bookmarkEnd w:id="12"/>
    </w:p>
    <w:p w14:paraId="44FDD372">
      <w:pPr>
        <w:pStyle w:val="3"/>
      </w:pPr>
      <w:bookmarkStart w:id="14" w:name="_Toc5053"/>
      <w:r>
        <w:rPr>
          <w:rFonts w:hint="eastAsia"/>
        </w:rPr>
        <w:t>与同类标准技术内容对比情况</w:t>
      </w:r>
      <w:bookmarkEnd w:id="14"/>
    </w:p>
    <w:p w14:paraId="6292F16E">
      <w:pPr>
        <w:ind w:firstLine="560"/>
        <w:rPr>
          <w:rFonts w:hint="eastAsia"/>
        </w:rPr>
      </w:pPr>
      <w:r>
        <w:rPr>
          <w:rFonts w:hint="eastAsia"/>
        </w:rPr>
        <w:t>目前</w:t>
      </w:r>
      <w:r>
        <w:rPr>
          <w:rFonts w:hint="eastAsia"/>
          <w:lang w:val="en-US" w:eastAsia="zh-CN"/>
        </w:rPr>
        <w:t>目前，国内电力钢结构带锈涂装施工与验收主要依据GB/T 50046《工业建筑防腐蚀设计标准》、GB 50205《钢结构工程施工质量验收标准》、GB 50212《建筑防腐蚀工程施工规范》等通用标准，以及HG/T 4845《带锈涂装涂料》等材料类专项标准执行，国际上通常参考ISO 12944系列防护涂料标准。</w:t>
      </w:r>
    </w:p>
    <w:p w14:paraId="0339C073">
      <w:pPr>
        <w:ind w:firstLine="560"/>
        <w:rPr>
          <w:rFonts w:hint="eastAsia"/>
        </w:rPr>
      </w:pPr>
      <w:r>
        <w:rPr>
          <w:rFonts w:hint="eastAsia"/>
          <w:lang w:val="en-US" w:eastAsia="zh-CN"/>
        </w:rPr>
        <w:t>经对比，现有同类标准存在适用范围广、行业针对性不强、技术条款分散等问题，未充分结合电力钢结构服役环境特殊、结构形式多样、现场施工条件复杂等特点，对带锈涂装 “除锈转化一体化” 的工艺特性缺乏针对性规定，难以满足电力工程精细化管控需求。主要差异与优势体现在：(1) 适用场景更聚焦。同类标准为通用工业建筑或钢结构防腐蚀规范，未考虑电力行业沿海高盐雾、工业重污染、高空密集节点等特殊工况；本标准专门面向输电塔、主厂房钢架、管道支架、设备支撑等电力钢结构，针对性更强。(2) 技术体系更完整。同类标准多单独规定材料性能、表面处理或通用验收要求，未形成闭环；本标准构建材料—技术要求—施工工艺—试验检验—验收全流程规范，覆盖从基面处理到成品交付的全过程管控。(3) 关键指标更明确。同类标准未细化带锈涂装的锈蚀等级、除锈等级、涂层配套、特殊部位处理等核心参数；本标准结合电力工程实践，明确不同腐蚀等级、不同设计使用年限下的涂层体系、干膜厚度、附着力、验收规则，可直接落地执行。(4) 安全环保更贴合。同类标准未结合电力施工现场特点提出安全与环保要求；本标准强化防火防爆、VOC 控制、粉尘治理、有限空间作业等内容，更符合电力工程现场管理规定。</w:t>
      </w:r>
    </w:p>
    <w:p w14:paraId="288B2CB5">
      <w:pPr>
        <w:ind w:firstLine="560"/>
        <w:rPr>
          <w:rFonts w:hint="eastAsia"/>
        </w:rPr>
      </w:pPr>
      <w:r>
        <w:rPr>
          <w:rFonts w:hint="eastAsia"/>
          <w:lang w:val="en-US" w:eastAsia="zh-CN"/>
        </w:rPr>
        <w:t>综上，本标准在吸收现有标准核心技术内容的基础上，补齐电力行业专项标准空白，实现从“通用规范”向“电力场景专用”升级，技术内容更系统、指标更清晰、操作性更强，能够有效解决现行标准在电力钢结构带锈涂装工程中适用性不足的问题。</w:t>
      </w:r>
    </w:p>
    <w:p w14:paraId="628CC86C">
      <w:pPr>
        <w:pStyle w:val="3"/>
      </w:pPr>
      <w:bookmarkStart w:id="15" w:name="_Toc8969"/>
      <w:r>
        <w:rPr>
          <w:rFonts w:hint="eastAsia"/>
        </w:rPr>
        <w:t>采用国际标准情况</w:t>
      </w:r>
      <w:bookmarkEnd w:id="15"/>
    </w:p>
    <w:p w14:paraId="4092D56E">
      <w:pPr>
        <w:ind w:firstLine="560"/>
      </w:pPr>
      <w:r>
        <w:rPr>
          <w:rFonts w:hint="eastAsia"/>
        </w:rPr>
        <w:t>本标准引用</w:t>
      </w:r>
      <w:r>
        <w:rPr>
          <w:rFonts w:hint="eastAsia"/>
          <w:lang w:eastAsia="zh-CN"/>
        </w:rPr>
        <w:t>国际标准</w:t>
      </w:r>
      <w:r>
        <w:rPr>
          <w:rFonts w:hint="eastAsia"/>
          <w:lang w:val="en-US" w:eastAsia="zh-CN"/>
        </w:rPr>
        <w:t>ISO 4628《色漆和清漆 漆膜老化的评定 缺陷的变化程度、数量和大小规定》</w:t>
      </w:r>
      <w:r>
        <w:rPr>
          <w:rFonts w:hint="eastAsia"/>
        </w:rPr>
        <w:t>。</w:t>
      </w:r>
    </w:p>
    <w:p w14:paraId="4EF19D76">
      <w:pPr>
        <w:pStyle w:val="2"/>
        <w:rPr>
          <w:rFonts w:hint="eastAsia" w:ascii="仿宋_GB2312" w:hAnsi="仿宋_GB2312" w:cs="仿宋_GB2312"/>
        </w:rPr>
      </w:pPr>
      <w:r>
        <w:rPr>
          <w:rFonts w:hint="eastAsia" w:ascii="仿宋_GB2312" w:hAnsi="仿宋_GB2312" w:cs="仿宋_GB2312"/>
        </w:rPr>
        <w:t>以国际、国内标准为基础的起草情况，以及是否合规引用或者采用相关标准，并说明未采用相关标准的原因</w:t>
      </w:r>
    </w:p>
    <w:p w14:paraId="10101025">
      <w:pPr>
        <w:widowControl/>
        <w:spacing w:line="560" w:lineRule="exact"/>
        <w:ind w:firstLine="560"/>
        <w:jc w:val="left"/>
      </w:pPr>
      <w:r>
        <w:rPr>
          <w:rFonts w:hint="eastAsia" w:ascii="仿宋_GB2312" w:hAnsi="仿宋_GB2312" w:cs="仿宋_GB2312"/>
        </w:rPr>
        <w:t>未有以国际、国内标准为基础的起草情况。</w:t>
      </w:r>
    </w:p>
    <w:p w14:paraId="1BCFB31A">
      <w:pPr>
        <w:pStyle w:val="2"/>
        <w:rPr>
          <w:rFonts w:hint="eastAsia" w:ascii="仿宋_GB2312" w:hAnsi="仿宋_GB2312" w:cs="仿宋_GB2312"/>
        </w:rPr>
      </w:pPr>
      <w:r>
        <w:rPr>
          <w:rFonts w:hint="eastAsia" w:ascii="仿宋_GB2312" w:hAnsi="仿宋_GB2312" w:cs="仿宋_GB2312"/>
        </w:rPr>
        <w:t>与现行法律法规、强制性标准及其他标准的关系</w:t>
      </w:r>
    </w:p>
    <w:p w14:paraId="7D12C93E">
      <w:pPr>
        <w:ind w:firstLine="560"/>
      </w:pPr>
      <w:r>
        <w:t>本标准的编制严格遵循国家现行的法律法规，如《中华人民共和国建筑法》《中华人民共和国安全生产法》等，确保工程建设活动合法合规。在与国家</w:t>
      </w:r>
      <w:r>
        <w:rPr>
          <w:rFonts w:hint="eastAsia"/>
        </w:rPr>
        <w:t>现行</w:t>
      </w:r>
      <w:r>
        <w:t>标准的关系方面，充分考虑并衔接了钢结构防腐蚀相关工程领域的现行标准，如《工业建筑防腐蚀设计标准》（GB/T 50046）、《建筑防腐蚀工程施工规范》（GB 50212）、《钢结构工程施工质量验收标准》（GB 50205）《工业设备及管道防腐蚀工程施工规范》（GB 50726）等强制性标准保持一致，明确表面处理、涂层质量、施工安全等核心要求不低于强制性标准规定；引用《</w:t>
      </w:r>
      <w:r>
        <w:rPr>
          <w:rFonts w:hint="eastAsia"/>
          <w:lang w:eastAsia="zh-CN"/>
        </w:rPr>
        <w:t>带锈涂装用水性涂料</w:t>
      </w:r>
      <w:r>
        <w:t xml:space="preserve">》（HG/T </w:t>
      </w:r>
      <w:r>
        <w:rPr>
          <w:rFonts w:hint="eastAsia"/>
          <w:lang w:val="en-US" w:eastAsia="zh-CN"/>
        </w:rPr>
        <w:t>5173</w:t>
      </w:r>
      <w:r>
        <w:t>）《色漆和清漆 拉开法附着力试验》（GB/T 5210）《涂装作业安全规程》（GB 7691）等专项标准的技术指标，规范涂料性能、试验方法、安全操作等内容；参考</w:t>
      </w:r>
      <w:r>
        <w:rPr>
          <w:rFonts w:hint="eastAsia"/>
          <w:lang w:eastAsia="zh-CN"/>
        </w:rPr>
        <w:t>了</w:t>
      </w:r>
      <w:r>
        <w:t>《钢结构工程施工规范》（GB 50755）等推荐性标准的先进理念，结合电力行业特性细化腐蚀环境分级、涂层配套方案、特殊部位处理等专项要求。本标准在关键技术指标、施工工艺要求、安全环保措施、检验验收规则等方面，均与上述标准保持协调一致，未低于现行标准的强制性要求；同时，针对电力钢结构带锈涂装的行业特殊性，在腐蚀环境等级划分、涂层配套方案、特殊部位施工要点、电力场景适配性要求等方面进行了专项补充和细化，既确保了与现有标准体系的有效衔接，又填补了电力行业带锈涂装施工及验收专项标准的空白，是对我国电力钢结构防腐蚀技术标准体系的完善和补充，为电力工程中带锈涂装工程的规范实施提供了更具针对性的技术依据。</w:t>
      </w:r>
    </w:p>
    <w:p w14:paraId="714CBFBF">
      <w:pPr>
        <w:pStyle w:val="2"/>
        <w:rPr>
          <w:highlight w:val="none"/>
        </w:rPr>
      </w:pPr>
      <w:r>
        <w:rPr>
          <w:rFonts w:hint="eastAsia" w:ascii="仿宋_GB2312" w:hAnsi="仿宋_GB2312" w:cs="仿宋_GB2312"/>
          <w:highlight w:val="none"/>
        </w:rPr>
        <w:t>重大分歧意见的处理经过和依</w:t>
      </w:r>
      <w:r>
        <w:rPr>
          <w:rFonts w:hint="eastAsia"/>
          <w:highlight w:val="none"/>
        </w:rPr>
        <w:t>据</w:t>
      </w:r>
      <w:bookmarkEnd w:id="13"/>
    </w:p>
    <w:p w14:paraId="65FB37C8">
      <w:pPr>
        <w:ind w:firstLine="560"/>
        <w:rPr>
          <w:highlight w:val="none"/>
        </w:rPr>
      </w:pPr>
      <w:r>
        <w:rPr>
          <w:highlight w:val="none"/>
        </w:rPr>
        <w:t>本标准编制过程中</w:t>
      </w:r>
      <w:r>
        <w:rPr>
          <w:rFonts w:hint="eastAsia"/>
          <w:highlight w:val="none"/>
        </w:rPr>
        <w:t>暂</w:t>
      </w:r>
      <w:r>
        <w:rPr>
          <w:highlight w:val="none"/>
        </w:rPr>
        <w:t>无重大分歧意见。</w:t>
      </w:r>
    </w:p>
    <w:p w14:paraId="56950897">
      <w:pPr>
        <w:pStyle w:val="2"/>
      </w:pPr>
      <w:bookmarkStart w:id="16" w:name="_Toc16905"/>
      <w:r>
        <w:rPr>
          <w:rFonts w:hint="eastAsia" w:ascii="仿宋_GB2312" w:hAnsi="仿宋_GB2312" w:cs="仿宋_GB2312"/>
        </w:rPr>
        <w:t>涉及专利的有关说</w:t>
      </w:r>
      <w:r>
        <w:rPr>
          <w:rFonts w:hint="eastAsia"/>
        </w:rPr>
        <w:t>明</w:t>
      </w:r>
      <w:bookmarkEnd w:id="16"/>
    </w:p>
    <w:p w14:paraId="40039E00">
      <w:pPr>
        <w:ind w:firstLine="560"/>
      </w:pPr>
      <w:r>
        <w:rPr>
          <w:rFonts w:hint="eastAsia"/>
        </w:rPr>
        <w:t>本标准编制过程中，未识别出涉及专利的内容。</w:t>
      </w:r>
    </w:p>
    <w:p w14:paraId="6C0EA7FF">
      <w:pPr>
        <w:pStyle w:val="2"/>
      </w:pPr>
      <w:bookmarkStart w:id="17" w:name="_Toc27030"/>
      <w:bookmarkStart w:id="18" w:name="_Toc18400"/>
      <w:r>
        <w:rPr>
          <w:rFonts w:hint="eastAsia" w:ascii="仿宋_GB2312" w:hAnsi="仿宋_GB2312" w:cs="仿宋_GB2312"/>
        </w:rPr>
        <w:t>实施标准的要求，以及组织措施、技术措施、过渡期和实施日期的建议等措施建议</w:t>
      </w:r>
      <w:bookmarkEnd w:id="17"/>
    </w:p>
    <w:p w14:paraId="4274E7D6">
      <w:pPr>
        <w:numPr>
          <w:ilvl w:val="0"/>
          <w:numId w:val="6"/>
        </w:numPr>
        <w:ind w:firstLine="560" w:firstLineChars="200"/>
      </w:pPr>
      <w:r>
        <w:t>建议</w:t>
      </w:r>
      <w:r>
        <w:rPr>
          <w:rFonts w:hint="eastAsia"/>
        </w:rPr>
        <w:t>中电建协</w:t>
      </w:r>
      <w:r>
        <w:t>组织</w:t>
      </w:r>
      <w:r>
        <w:rPr>
          <w:rFonts w:hint="eastAsia"/>
        </w:rPr>
        <w:t>相关会员单位如设计院</w:t>
      </w:r>
      <w:r>
        <w:t>、施工单位、监理单位、生产</w:t>
      </w:r>
      <w:r>
        <w:rPr>
          <w:rFonts w:hint="eastAsia"/>
        </w:rPr>
        <w:t>厂家</w:t>
      </w:r>
      <w:r>
        <w:t>、</w:t>
      </w:r>
      <w:r>
        <w:rPr>
          <w:rFonts w:hint="eastAsia"/>
        </w:rPr>
        <w:t>电厂、</w:t>
      </w:r>
      <w:r>
        <w:t>质量监督机构等开展标准培训活动，详细解读标准内容，使从业人员深入理解和掌握标准要求，提高其质量意识和执行能力</w:t>
      </w:r>
      <w:r>
        <w:rPr>
          <w:rFonts w:hint="eastAsia"/>
        </w:rPr>
        <w:t>；</w:t>
      </w:r>
    </w:p>
    <w:p w14:paraId="3D4D9324">
      <w:pPr>
        <w:numPr>
          <w:ilvl w:val="0"/>
          <w:numId w:val="6"/>
        </w:numPr>
        <w:ind w:firstLine="560" w:firstLineChars="200"/>
      </w:pPr>
      <w:r>
        <w:rPr>
          <w:rFonts w:hint="eastAsia"/>
        </w:rPr>
        <w:t>为协会会员单位</w:t>
      </w:r>
      <w:r>
        <w:t>提供后期技术指导和服务，定期收集整理企业在执行标准过程中遇到的问题，及时予以反馈和解答，确保新标准应用过渡平稳、有序，避免因标准更新对工程建设、电站运营造成不利影响。</w:t>
      </w:r>
    </w:p>
    <w:bookmarkEnd w:id="18"/>
    <w:p w14:paraId="431D144D">
      <w:pPr>
        <w:pStyle w:val="2"/>
      </w:pPr>
      <w:bookmarkStart w:id="19" w:name="_Toc18419"/>
      <w:r>
        <w:rPr>
          <w:rFonts w:hint="eastAsia" w:ascii="仿宋_GB2312" w:hAnsi="仿宋_GB2312" w:cs="仿宋_GB2312"/>
        </w:rPr>
        <w:t>其他应当说明的事</w:t>
      </w:r>
      <w:r>
        <w:rPr>
          <w:rFonts w:hint="eastAsia"/>
        </w:rPr>
        <w:t>项</w:t>
      </w:r>
      <w:bookmarkEnd w:id="19"/>
    </w:p>
    <w:p w14:paraId="1CE5A470">
      <w:pPr>
        <w:ind w:firstLine="560"/>
      </w:pPr>
      <w:r>
        <w:t>无。</w:t>
      </w:r>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5812E409-558F-4A32-AC43-CF12347C5A6A}"/>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panose1 w:val="02010609030101010101"/>
    <w:charset w:val="86"/>
    <w:family w:val="auto"/>
    <w:pitch w:val="default"/>
    <w:sig w:usb0="00000001" w:usb1="080E0000" w:usb2="00000000" w:usb3="00000000" w:csb0="00040000" w:csb1="00000000"/>
    <w:embedRegular r:id="rId2" w:fontKey="{5158DFD5-CAB9-4BC8-A611-981F3E2BB8C6}"/>
  </w:font>
  <w:font w:name="方正小标宋_GBK">
    <w:panose1 w:val="03000509000000000000"/>
    <w:charset w:val="86"/>
    <w:family w:val="auto"/>
    <w:pitch w:val="default"/>
    <w:sig w:usb0="00000001" w:usb1="080E0000" w:usb2="00000000" w:usb3="00000000" w:csb0="00040000" w:csb1="00000000"/>
    <w:embedRegular r:id="rId3" w:fontKey="{335F0FD7-AFEE-4E2A-B00D-D0A5D2C1524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07712E">
    <w:pPr>
      <w:pStyle w:val="15"/>
      <w:ind w:firstLine="0" w:firstLineChars="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E9FF5B">
                          <w:pPr>
                            <w:pStyle w:val="15"/>
                            <w:ind w:firstLine="0" w:firstLineChars="0"/>
                          </w:pPr>
                          <w:r>
                            <w:t xml:space="preserve">第 </w:t>
                          </w:r>
                          <w:r>
                            <w:fldChar w:fldCharType="begin"/>
                          </w:r>
                          <w:r>
                            <w:instrText xml:space="preserve"> PAGE  \* MERGEFORMAT </w:instrText>
                          </w:r>
                          <w:r>
                            <w:fldChar w:fldCharType="separate"/>
                          </w:r>
                          <w:r>
                            <w:t>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36E9FF5B">
                    <w:pPr>
                      <w:pStyle w:val="15"/>
                      <w:ind w:firstLine="0" w:firstLineChars="0"/>
                    </w:pPr>
                    <w:r>
                      <w:t xml:space="preserve">第 </w:t>
                    </w:r>
                    <w:r>
                      <w:fldChar w:fldCharType="begin"/>
                    </w:r>
                    <w:r>
                      <w:instrText xml:space="preserve"> PAGE  \* MERGEFORMAT </w:instrText>
                    </w:r>
                    <w:r>
                      <w:fldChar w:fldCharType="separate"/>
                    </w:r>
                    <w:r>
                      <w:t>1</w:t>
                    </w:r>
                    <w:r>
                      <w:fldChar w:fldCharType="end"/>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A8FCCE">
    <w:pPr>
      <w:pStyle w:val="15"/>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FAD04">
    <w:pPr>
      <w:pStyle w:val="15"/>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9B8572">
    <w:pPr>
      <w:pStyle w:val="16"/>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A80E6E">
    <w:pPr>
      <w:pStyle w:val="16"/>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EF7DCF">
    <w:pPr>
      <w:pStyle w:val="16"/>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4D77BF"/>
    <w:multiLevelType w:val="singleLevel"/>
    <w:tmpl w:val="834D77BF"/>
    <w:lvl w:ilvl="0" w:tentative="0">
      <w:start w:val="1"/>
      <w:numFmt w:val="decimal"/>
      <w:suff w:val="space"/>
      <w:lvlText w:val="(%1)"/>
      <w:lvlJc w:val="left"/>
      <w:pPr>
        <w:ind w:left="0" w:firstLine="40"/>
      </w:pPr>
      <w:rPr>
        <w:rFonts w:hint="default"/>
      </w:rPr>
    </w:lvl>
  </w:abstractNum>
  <w:abstractNum w:abstractNumId="1">
    <w:nsid w:val="97885138"/>
    <w:multiLevelType w:val="singleLevel"/>
    <w:tmpl w:val="97885138"/>
    <w:lvl w:ilvl="0" w:tentative="0">
      <w:start w:val="1"/>
      <w:numFmt w:val="decimal"/>
      <w:suff w:val="space"/>
      <w:lvlText w:val="(%1)"/>
      <w:lvlJc w:val="left"/>
      <w:pPr>
        <w:ind w:left="0" w:firstLine="40"/>
      </w:pPr>
      <w:rPr>
        <w:rFonts w:hint="default"/>
      </w:rPr>
    </w:lvl>
  </w:abstractNum>
  <w:abstractNum w:abstractNumId="2">
    <w:nsid w:val="9EFEFD4B"/>
    <w:multiLevelType w:val="multilevel"/>
    <w:tmpl w:val="9EFEFD4B"/>
    <w:lvl w:ilvl="0" w:tentative="0">
      <w:start w:val="1"/>
      <w:numFmt w:val="decimal"/>
      <w:pStyle w:val="2"/>
      <w:suff w:val="space"/>
      <w:lvlText w:val="%1."/>
      <w:lvlJc w:val="left"/>
      <w:pPr>
        <w:tabs>
          <w:tab w:val="left" w:pos="420"/>
        </w:tabs>
        <w:ind w:left="0" w:firstLine="0"/>
      </w:pPr>
      <w:rPr>
        <w:rFonts w:hint="default"/>
      </w:rPr>
    </w:lvl>
    <w:lvl w:ilvl="1" w:tentative="0">
      <w:start w:val="1"/>
      <w:numFmt w:val="decimal"/>
      <w:pStyle w:val="3"/>
      <w:suff w:val="space"/>
      <w:lvlText w:val="%1.%2."/>
      <w:lvlJc w:val="left"/>
      <w:pPr>
        <w:tabs>
          <w:tab w:val="left" w:pos="420"/>
        </w:tabs>
        <w:ind w:left="575" w:hanging="575"/>
      </w:pPr>
      <w:rPr>
        <w:rFonts w:hint="default"/>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3">
    <w:nsid w:val="2F816502"/>
    <w:multiLevelType w:val="singleLevel"/>
    <w:tmpl w:val="2F816502"/>
    <w:lvl w:ilvl="0" w:tentative="0">
      <w:start w:val="1"/>
      <w:numFmt w:val="decimal"/>
      <w:suff w:val="space"/>
      <w:lvlText w:val="(%1)"/>
      <w:lvlJc w:val="left"/>
      <w:pPr>
        <w:ind w:left="0" w:firstLine="40"/>
      </w:pPr>
      <w:rPr>
        <w:rFonts w:hint="default"/>
      </w:rPr>
    </w:lvl>
  </w:abstractNum>
  <w:abstractNum w:abstractNumId="4">
    <w:nsid w:val="4F14A989"/>
    <w:multiLevelType w:val="singleLevel"/>
    <w:tmpl w:val="4F14A989"/>
    <w:lvl w:ilvl="0" w:tentative="0">
      <w:start w:val="1"/>
      <w:numFmt w:val="decimal"/>
      <w:suff w:val="space"/>
      <w:lvlText w:val="(%1)"/>
      <w:lvlJc w:val="left"/>
      <w:pPr>
        <w:ind w:left="0" w:firstLine="40"/>
      </w:pPr>
      <w:rPr>
        <w:rFonts w:hint="default"/>
      </w:rPr>
    </w:lvl>
  </w:abstractNum>
  <w:abstractNum w:abstractNumId="5">
    <w:nsid w:val="6EF4D273"/>
    <w:multiLevelType w:val="singleLevel"/>
    <w:tmpl w:val="6EF4D273"/>
    <w:lvl w:ilvl="0" w:tentative="0">
      <w:start w:val="1"/>
      <w:numFmt w:val="decimal"/>
      <w:suff w:val="space"/>
      <w:lvlText w:val="(%1)"/>
      <w:lvlJc w:val="left"/>
      <w:pPr>
        <w:ind w:left="0" w:firstLine="40"/>
      </w:pPr>
      <w:rPr>
        <w:rFonts w:hint="default"/>
      </w:rPr>
    </w:lvl>
  </w:abstractNum>
  <w:num w:numId="1">
    <w:abstractNumId w:val="2"/>
  </w:num>
  <w:num w:numId="2">
    <w:abstractNumId w:val="3"/>
  </w:num>
  <w:num w:numId="3">
    <w:abstractNumId w:val="5"/>
  </w:num>
  <w:num w:numId="4">
    <w:abstractNumId w:val="0"/>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A6AF3"/>
    <w:rsid w:val="0001731D"/>
    <w:rsid w:val="000A6AF3"/>
    <w:rsid w:val="000E0A04"/>
    <w:rsid w:val="001620FB"/>
    <w:rsid w:val="001D6757"/>
    <w:rsid w:val="001E301F"/>
    <w:rsid w:val="00220AB3"/>
    <w:rsid w:val="002B6923"/>
    <w:rsid w:val="00361243"/>
    <w:rsid w:val="00372764"/>
    <w:rsid w:val="00541492"/>
    <w:rsid w:val="005624BD"/>
    <w:rsid w:val="0058725C"/>
    <w:rsid w:val="00624748"/>
    <w:rsid w:val="00694825"/>
    <w:rsid w:val="006D459F"/>
    <w:rsid w:val="006E50B2"/>
    <w:rsid w:val="00714940"/>
    <w:rsid w:val="007A3AA5"/>
    <w:rsid w:val="0094634A"/>
    <w:rsid w:val="00983751"/>
    <w:rsid w:val="00B564A2"/>
    <w:rsid w:val="00C156D2"/>
    <w:rsid w:val="00C32E82"/>
    <w:rsid w:val="00D55106"/>
    <w:rsid w:val="00D6154A"/>
    <w:rsid w:val="00DA0EB6"/>
    <w:rsid w:val="00E03BFE"/>
    <w:rsid w:val="00E13308"/>
    <w:rsid w:val="00E30B8C"/>
    <w:rsid w:val="00E5714E"/>
    <w:rsid w:val="00EB74EB"/>
    <w:rsid w:val="00F016A4"/>
    <w:rsid w:val="00F110DB"/>
    <w:rsid w:val="00F365FE"/>
    <w:rsid w:val="00F40F57"/>
    <w:rsid w:val="00F72850"/>
    <w:rsid w:val="00F76616"/>
    <w:rsid w:val="00FB2FE5"/>
    <w:rsid w:val="01017FB5"/>
    <w:rsid w:val="010319AE"/>
    <w:rsid w:val="01C866F9"/>
    <w:rsid w:val="01D02219"/>
    <w:rsid w:val="020D16B3"/>
    <w:rsid w:val="02937581"/>
    <w:rsid w:val="02C14713"/>
    <w:rsid w:val="045B2E31"/>
    <w:rsid w:val="04AB77B1"/>
    <w:rsid w:val="04BA64C7"/>
    <w:rsid w:val="04C94AE8"/>
    <w:rsid w:val="05034C87"/>
    <w:rsid w:val="05164BE7"/>
    <w:rsid w:val="0536539A"/>
    <w:rsid w:val="05383DBD"/>
    <w:rsid w:val="060C4B01"/>
    <w:rsid w:val="060F2843"/>
    <w:rsid w:val="069C2465"/>
    <w:rsid w:val="06FC3783"/>
    <w:rsid w:val="06FC4B75"/>
    <w:rsid w:val="070908F3"/>
    <w:rsid w:val="078E0669"/>
    <w:rsid w:val="08331281"/>
    <w:rsid w:val="085375B8"/>
    <w:rsid w:val="087864F3"/>
    <w:rsid w:val="08871049"/>
    <w:rsid w:val="08950021"/>
    <w:rsid w:val="089B6AD3"/>
    <w:rsid w:val="08D87811"/>
    <w:rsid w:val="091650F7"/>
    <w:rsid w:val="092E0A5A"/>
    <w:rsid w:val="095B721E"/>
    <w:rsid w:val="09646A02"/>
    <w:rsid w:val="09731C0E"/>
    <w:rsid w:val="0A2F0514"/>
    <w:rsid w:val="0AC97FC1"/>
    <w:rsid w:val="0B1722BE"/>
    <w:rsid w:val="0B2D2264"/>
    <w:rsid w:val="0B560EAA"/>
    <w:rsid w:val="0B5E62B6"/>
    <w:rsid w:val="0B8F3202"/>
    <w:rsid w:val="0B9F6D1F"/>
    <w:rsid w:val="0BBC0D77"/>
    <w:rsid w:val="0C9C373F"/>
    <w:rsid w:val="0CB664E7"/>
    <w:rsid w:val="0CB9746C"/>
    <w:rsid w:val="0D4E75B4"/>
    <w:rsid w:val="0D970F3A"/>
    <w:rsid w:val="0E154680"/>
    <w:rsid w:val="0ECA47AE"/>
    <w:rsid w:val="0F4920A4"/>
    <w:rsid w:val="0F663BD2"/>
    <w:rsid w:val="0F6D0FDF"/>
    <w:rsid w:val="0F764482"/>
    <w:rsid w:val="0F9828FD"/>
    <w:rsid w:val="0F9C62AB"/>
    <w:rsid w:val="0FC6750B"/>
    <w:rsid w:val="0FF254C5"/>
    <w:rsid w:val="103D4F2D"/>
    <w:rsid w:val="10537FD8"/>
    <w:rsid w:val="10B65D95"/>
    <w:rsid w:val="11553EA2"/>
    <w:rsid w:val="11597885"/>
    <w:rsid w:val="11954480"/>
    <w:rsid w:val="11A045A7"/>
    <w:rsid w:val="11BF2AAD"/>
    <w:rsid w:val="11CA68BF"/>
    <w:rsid w:val="123526EB"/>
    <w:rsid w:val="12371472"/>
    <w:rsid w:val="12985838"/>
    <w:rsid w:val="13092A2C"/>
    <w:rsid w:val="13A52641"/>
    <w:rsid w:val="13D20946"/>
    <w:rsid w:val="140838EB"/>
    <w:rsid w:val="141241FB"/>
    <w:rsid w:val="14322531"/>
    <w:rsid w:val="14871C3B"/>
    <w:rsid w:val="14B73B0A"/>
    <w:rsid w:val="150455A7"/>
    <w:rsid w:val="152B22BE"/>
    <w:rsid w:val="15B45E0E"/>
    <w:rsid w:val="15FF01DE"/>
    <w:rsid w:val="165C08BD"/>
    <w:rsid w:val="1706015E"/>
    <w:rsid w:val="173E0892"/>
    <w:rsid w:val="174156B7"/>
    <w:rsid w:val="17A440D7"/>
    <w:rsid w:val="17AB3A62"/>
    <w:rsid w:val="17B346F1"/>
    <w:rsid w:val="17F52BDC"/>
    <w:rsid w:val="183A58CF"/>
    <w:rsid w:val="18501FF1"/>
    <w:rsid w:val="18870497"/>
    <w:rsid w:val="188846F6"/>
    <w:rsid w:val="193070E1"/>
    <w:rsid w:val="194C6A11"/>
    <w:rsid w:val="19CC27E2"/>
    <w:rsid w:val="1A2728A7"/>
    <w:rsid w:val="1A364410"/>
    <w:rsid w:val="1B933969"/>
    <w:rsid w:val="1BF765EF"/>
    <w:rsid w:val="1C045905"/>
    <w:rsid w:val="1C224EB5"/>
    <w:rsid w:val="1C7A627F"/>
    <w:rsid w:val="1CD37257"/>
    <w:rsid w:val="1D567831"/>
    <w:rsid w:val="1D584F32"/>
    <w:rsid w:val="1DCE45FC"/>
    <w:rsid w:val="1DD847C6"/>
    <w:rsid w:val="1E480DAA"/>
    <w:rsid w:val="1F3754B9"/>
    <w:rsid w:val="1F485A62"/>
    <w:rsid w:val="208C6FF3"/>
    <w:rsid w:val="21525AB7"/>
    <w:rsid w:val="219A172E"/>
    <w:rsid w:val="21A76846"/>
    <w:rsid w:val="21C328F3"/>
    <w:rsid w:val="21CD1190"/>
    <w:rsid w:val="21F31232"/>
    <w:rsid w:val="232B5A8E"/>
    <w:rsid w:val="23C27E3A"/>
    <w:rsid w:val="247B17E7"/>
    <w:rsid w:val="249B3E4F"/>
    <w:rsid w:val="24B23EBF"/>
    <w:rsid w:val="256B35BC"/>
    <w:rsid w:val="258E02F8"/>
    <w:rsid w:val="25A869D6"/>
    <w:rsid w:val="25E53F57"/>
    <w:rsid w:val="265754CC"/>
    <w:rsid w:val="2664225A"/>
    <w:rsid w:val="288A4510"/>
    <w:rsid w:val="28983825"/>
    <w:rsid w:val="289912A7"/>
    <w:rsid w:val="28991DCC"/>
    <w:rsid w:val="28AC0BBA"/>
    <w:rsid w:val="28D42E04"/>
    <w:rsid w:val="28DC1C2C"/>
    <w:rsid w:val="28ED45B4"/>
    <w:rsid w:val="28F519C1"/>
    <w:rsid w:val="290B6CC3"/>
    <w:rsid w:val="294813D7"/>
    <w:rsid w:val="29AC49A7"/>
    <w:rsid w:val="29AF6870"/>
    <w:rsid w:val="29FF78F4"/>
    <w:rsid w:val="2A3D5B54"/>
    <w:rsid w:val="2A575D85"/>
    <w:rsid w:val="2A6145B4"/>
    <w:rsid w:val="2AB35024"/>
    <w:rsid w:val="2ABC352B"/>
    <w:rsid w:val="2ACB7893"/>
    <w:rsid w:val="2B17315A"/>
    <w:rsid w:val="2B675C22"/>
    <w:rsid w:val="2BC74CE2"/>
    <w:rsid w:val="2BEF3474"/>
    <w:rsid w:val="2C7460FF"/>
    <w:rsid w:val="2C7C7C88"/>
    <w:rsid w:val="2C933131"/>
    <w:rsid w:val="2CA67D76"/>
    <w:rsid w:val="2CBF7478"/>
    <w:rsid w:val="2D3F104B"/>
    <w:rsid w:val="2D975300"/>
    <w:rsid w:val="2E2272E9"/>
    <w:rsid w:val="2E2627B5"/>
    <w:rsid w:val="2E7312D9"/>
    <w:rsid w:val="2E9F5C62"/>
    <w:rsid w:val="2EAB7F1D"/>
    <w:rsid w:val="2EB61B31"/>
    <w:rsid w:val="2FFB336C"/>
    <w:rsid w:val="30002DCD"/>
    <w:rsid w:val="30062758"/>
    <w:rsid w:val="3011436C"/>
    <w:rsid w:val="303B061C"/>
    <w:rsid w:val="3146605C"/>
    <w:rsid w:val="31704E8B"/>
    <w:rsid w:val="31F8678B"/>
    <w:rsid w:val="321855CA"/>
    <w:rsid w:val="327A5A60"/>
    <w:rsid w:val="332D5503"/>
    <w:rsid w:val="33AF005B"/>
    <w:rsid w:val="33B82EE9"/>
    <w:rsid w:val="33E85C36"/>
    <w:rsid w:val="34153F6D"/>
    <w:rsid w:val="350D15E3"/>
    <w:rsid w:val="351126E2"/>
    <w:rsid w:val="35316ED2"/>
    <w:rsid w:val="358878E1"/>
    <w:rsid w:val="35A93699"/>
    <w:rsid w:val="35C57746"/>
    <w:rsid w:val="361A6E50"/>
    <w:rsid w:val="361F020D"/>
    <w:rsid w:val="36AA0CBD"/>
    <w:rsid w:val="36C80ABF"/>
    <w:rsid w:val="36FE6867"/>
    <w:rsid w:val="373A70A6"/>
    <w:rsid w:val="378E0F6A"/>
    <w:rsid w:val="38677D19"/>
    <w:rsid w:val="386808FA"/>
    <w:rsid w:val="38CC1C3C"/>
    <w:rsid w:val="38FE3951"/>
    <w:rsid w:val="398D4278"/>
    <w:rsid w:val="39DD52FC"/>
    <w:rsid w:val="3A3A1E13"/>
    <w:rsid w:val="3A5F274A"/>
    <w:rsid w:val="3A8E3939"/>
    <w:rsid w:val="3AAA7E69"/>
    <w:rsid w:val="3AC64396"/>
    <w:rsid w:val="3B496768"/>
    <w:rsid w:val="3B807F2C"/>
    <w:rsid w:val="3B820DE6"/>
    <w:rsid w:val="3B877BF8"/>
    <w:rsid w:val="3BA36CCD"/>
    <w:rsid w:val="3BB6700C"/>
    <w:rsid w:val="3BE556D1"/>
    <w:rsid w:val="3C3812D4"/>
    <w:rsid w:val="3CEF1407"/>
    <w:rsid w:val="3D4F6EA2"/>
    <w:rsid w:val="3DE06791"/>
    <w:rsid w:val="3E1127E3"/>
    <w:rsid w:val="3E315296"/>
    <w:rsid w:val="3E5E28E2"/>
    <w:rsid w:val="3EEA46C5"/>
    <w:rsid w:val="3EF8725E"/>
    <w:rsid w:val="3F096DC9"/>
    <w:rsid w:val="3F53403F"/>
    <w:rsid w:val="3F7953EA"/>
    <w:rsid w:val="3FD014BF"/>
    <w:rsid w:val="3FEF1D74"/>
    <w:rsid w:val="40250BC9"/>
    <w:rsid w:val="403768E5"/>
    <w:rsid w:val="41506B37"/>
    <w:rsid w:val="416937DF"/>
    <w:rsid w:val="41BC7AF1"/>
    <w:rsid w:val="41E6662C"/>
    <w:rsid w:val="421B164C"/>
    <w:rsid w:val="42585666"/>
    <w:rsid w:val="42714011"/>
    <w:rsid w:val="431F542F"/>
    <w:rsid w:val="4323756C"/>
    <w:rsid w:val="432F1CE7"/>
    <w:rsid w:val="43310BCC"/>
    <w:rsid w:val="438F3164"/>
    <w:rsid w:val="43AA1790"/>
    <w:rsid w:val="44480394"/>
    <w:rsid w:val="448A4681"/>
    <w:rsid w:val="455428F4"/>
    <w:rsid w:val="455F7B5C"/>
    <w:rsid w:val="45F261D2"/>
    <w:rsid w:val="46001944"/>
    <w:rsid w:val="46220A20"/>
    <w:rsid w:val="466B4B97"/>
    <w:rsid w:val="476E50DC"/>
    <w:rsid w:val="4873716A"/>
    <w:rsid w:val="495E477C"/>
    <w:rsid w:val="498639D7"/>
    <w:rsid w:val="49C20FC1"/>
    <w:rsid w:val="4A1F73E8"/>
    <w:rsid w:val="4A2026A9"/>
    <w:rsid w:val="4A2B43F6"/>
    <w:rsid w:val="4A4C2273"/>
    <w:rsid w:val="4A6E0229"/>
    <w:rsid w:val="4B44280B"/>
    <w:rsid w:val="4B4751DB"/>
    <w:rsid w:val="4B71290D"/>
    <w:rsid w:val="4B8B2F80"/>
    <w:rsid w:val="4BBF2155"/>
    <w:rsid w:val="4BC154F0"/>
    <w:rsid w:val="4BC701B7"/>
    <w:rsid w:val="4C411429"/>
    <w:rsid w:val="4C763652"/>
    <w:rsid w:val="4C9435C3"/>
    <w:rsid w:val="4CA73517"/>
    <w:rsid w:val="4CB218CC"/>
    <w:rsid w:val="4CBA3ACA"/>
    <w:rsid w:val="4CC4300C"/>
    <w:rsid w:val="4D3F60F3"/>
    <w:rsid w:val="4D436175"/>
    <w:rsid w:val="4E1B4E0F"/>
    <w:rsid w:val="4E677B04"/>
    <w:rsid w:val="4F010800"/>
    <w:rsid w:val="4F416B96"/>
    <w:rsid w:val="4F485E9E"/>
    <w:rsid w:val="5000564D"/>
    <w:rsid w:val="5050032E"/>
    <w:rsid w:val="507254DD"/>
    <w:rsid w:val="50C75416"/>
    <w:rsid w:val="5131339E"/>
    <w:rsid w:val="532661FA"/>
    <w:rsid w:val="532F0545"/>
    <w:rsid w:val="53B474B1"/>
    <w:rsid w:val="54060DDF"/>
    <w:rsid w:val="54373AB8"/>
    <w:rsid w:val="546C6511"/>
    <w:rsid w:val="548C2213"/>
    <w:rsid w:val="54C54621"/>
    <w:rsid w:val="54F6179A"/>
    <w:rsid w:val="55351035"/>
    <w:rsid w:val="55937A20"/>
    <w:rsid w:val="56B227F1"/>
    <w:rsid w:val="56C9049F"/>
    <w:rsid w:val="57A10251"/>
    <w:rsid w:val="57A90EE1"/>
    <w:rsid w:val="57B204EC"/>
    <w:rsid w:val="57E24DA3"/>
    <w:rsid w:val="57ED06D1"/>
    <w:rsid w:val="583C0450"/>
    <w:rsid w:val="589715D5"/>
    <w:rsid w:val="58F24258"/>
    <w:rsid w:val="58F84A43"/>
    <w:rsid w:val="59346469"/>
    <w:rsid w:val="59564420"/>
    <w:rsid w:val="59620232"/>
    <w:rsid w:val="59A66C15"/>
    <w:rsid w:val="59ED0903"/>
    <w:rsid w:val="5A5B4884"/>
    <w:rsid w:val="5A67147B"/>
    <w:rsid w:val="5AB854FB"/>
    <w:rsid w:val="5ACE4F06"/>
    <w:rsid w:val="5AFD3265"/>
    <w:rsid w:val="5B260E18"/>
    <w:rsid w:val="5BAA6E73"/>
    <w:rsid w:val="5BAE7E92"/>
    <w:rsid w:val="5BC975D5"/>
    <w:rsid w:val="5BEF797A"/>
    <w:rsid w:val="5C370801"/>
    <w:rsid w:val="5C80137C"/>
    <w:rsid w:val="5CBB6CB0"/>
    <w:rsid w:val="5CD72D5D"/>
    <w:rsid w:val="5CE65575"/>
    <w:rsid w:val="5D3D2C52"/>
    <w:rsid w:val="5D3E3A06"/>
    <w:rsid w:val="5D43537A"/>
    <w:rsid w:val="5D7E76D7"/>
    <w:rsid w:val="5E0D2DD9"/>
    <w:rsid w:val="5EE04437"/>
    <w:rsid w:val="5EF12152"/>
    <w:rsid w:val="5FD223D6"/>
    <w:rsid w:val="60392E2E"/>
    <w:rsid w:val="61DA7617"/>
    <w:rsid w:val="62991BCC"/>
    <w:rsid w:val="62DF1126"/>
    <w:rsid w:val="63310B98"/>
    <w:rsid w:val="63581F04"/>
    <w:rsid w:val="63BA450E"/>
    <w:rsid w:val="63F2555F"/>
    <w:rsid w:val="64482C14"/>
    <w:rsid w:val="647C2169"/>
    <w:rsid w:val="648C045C"/>
    <w:rsid w:val="64D34D76"/>
    <w:rsid w:val="650023C2"/>
    <w:rsid w:val="65026AFE"/>
    <w:rsid w:val="650F096B"/>
    <w:rsid w:val="65262602"/>
    <w:rsid w:val="652A1008"/>
    <w:rsid w:val="65341918"/>
    <w:rsid w:val="65841133"/>
    <w:rsid w:val="65BE2F61"/>
    <w:rsid w:val="65D43A20"/>
    <w:rsid w:val="66AD24F1"/>
    <w:rsid w:val="67061813"/>
    <w:rsid w:val="67600C28"/>
    <w:rsid w:val="677F2E67"/>
    <w:rsid w:val="678C2C25"/>
    <w:rsid w:val="67CB3B5A"/>
    <w:rsid w:val="67F307F2"/>
    <w:rsid w:val="68A05C2F"/>
    <w:rsid w:val="68D76E5D"/>
    <w:rsid w:val="691F787B"/>
    <w:rsid w:val="69C266CE"/>
    <w:rsid w:val="6A892D47"/>
    <w:rsid w:val="6A8D534D"/>
    <w:rsid w:val="6AAA4E8C"/>
    <w:rsid w:val="6ADD0B5E"/>
    <w:rsid w:val="6AF27431"/>
    <w:rsid w:val="6B730548"/>
    <w:rsid w:val="6B953B90"/>
    <w:rsid w:val="6C0341C4"/>
    <w:rsid w:val="6C303DC2"/>
    <w:rsid w:val="6C991B71"/>
    <w:rsid w:val="6CC13DA5"/>
    <w:rsid w:val="6CD1301A"/>
    <w:rsid w:val="6CD27D15"/>
    <w:rsid w:val="6CF60B65"/>
    <w:rsid w:val="6D033D67"/>
    <w:rsid w:val="6D162D88"/>
    <w:rsid w:val="6DAA7AA1"/>
    <w:rsid w:val="6DAB327B"/>
    <w:rsid w:val="6DE90B62"/>
    <w:rsid w:val="6E436899"/>
    <w:rsid w:val="6F245066"/>
    <w:rsid w:val="6F2C357A"/>
    <w:rsid w:val="6F352D82"/>
    <w:rsid w:val="6F7D69F9"/>
    <w:rsid w:val="6F7E447B"/>
    <w:rsid w:val="6F8B7F0D"/>
    <w:rsid w:val="6F917C18"/>
    <w:rsid w:val="70167E72"/>
    <w:rsid w:val="704C35C5"/>
    <w:rsid w:val="705C33D8"/>
    <w:rsid w:val="70CE09B6"/>
    <w:rsid w:val="70E62748"/>
    <w:rsid w:val="71320B17"/>
    <w:rsid w:val="716345F2"/>
    <w:rsid w:val="72190E55"/>
    <w:rsid w:val="721A055A"/>
    <w:rsid w:val="726A28C4"/>
    <w:rsid w:val="728B087B"/>
    <w:rsid w:val="7298621E"/>
    <w:rsid w:val="736827E7"/>
    <w:rsid w:val="737E1108"/>
    <w:rsid w:val="73AB0CD2"/>
    <w:rsid w:val="73B260DF"/>
    <w:rsid w:val="74460B51"/>
    <w:rsid w:val="74507755"/>
    <w:rsid w:val="7468238A"/>
    <w:rsid w:val="74FB7D02"/>
    <w:rsid w:val="75B6202C"/>
    <w:rsid w:val="76C92DEE"/>
    <w:rsid w:val="76F31A34"/>
    <w:rsid w:val="771A5176"/>
    <w:rsid w:val="77234781"/>
    <w:rsid w:val="77416EDC"/>
    <w:rsid w:val="7764686F"/>
    <w:rsid w:val="776D38FC"/>
    <w:rsid w:val="77727D83"/>
    <w:rsid w:val="779E40CB"/>
    <w:rsid w:val="77A14B15"/>
    <w:rsid w:val="77AE3DED"/>
    <w:rsid w:val="77BC1433"/>
    <w:rsid w:val="77C84DC0"/>
    <w:rsid w:val="78913A5E"/>
    <w:rsid w:val="78A06277"/>
    <w:rsid w:val="78A551F0"/>
    <w:rsid w:val="78BB2C66"/>
    <w:rsid w:val="78D750CC"/>
    <w:rsid w:val="78DE2519"/>
    <w:rsid w:val="78F76C86"/>
    <w:rsid w:val="7908577F"/>
    <w:rsid w:val="793379E4"/>
    <w:rsid w:val="794B2E8D"/>
    <w:rsid w:val="79AF2BB1"/>
    <w:rsid w:val="79D60872"/>
    <w:rsid w:val="79DE7E7D"/>
    <w:rsid w:val="7A882894"/>
    <w:rsid w:val="7B191C40"/>
    <w:rsid w:val="7B8E7BC4"/>
    <w:rsid w:val="7B9A3006"/>
    <w:rsid w:val="7C14589E"/>
    <w:rsid w:val="7C344B14"/>
    <w:rsid w:val="7C4C4F8D"/>
    <w:rsid w:val="7C5D6F97"/>
    <w:rsid w:val="7CE56DD3"/>
    <w:rsid w:val="7D55752F"/>
    <w:rsid w:val="7D921C5C"/>
    <w:rsid w:val="7EBC7D7B"/>
    <w:rsid w:val="7EC44CC7"/>
    <w:rsid w:val="7F342EBD"/>
    <w:rsid w:val="7F7469E7"/>
    <w:rsid w:val="7FB1158D"/>
    <w:rsid w:val="7FD129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360" w:lineRule="auto"/>
      <w:ind w:firstLine="883" w:firstLineChars="200"/>
      <w:jc w:val="both"/>
    </w:pPr>
    <w:rPr>
      <w:rFonts w:ascii="Times New Roman" w:hAnsi="Times New Roman" w:eastAsia="仿宋_GB2312" w:cstheme="minorBidi"/>
      <w:kern w:val="2"/>
      <w:sz w:val="28"/>
      <w:szCs w:val="28"/>
      <w:lang w:val="en-US" w:eastAsia="zh-CN" w:bidi="ar-SA"/>
    </w:rPr>
  </w:style>
  <w:style w:type="paragraph" w:styleId="2">
    <w:name w:val="heading 1"/>
    <w:basedOn w:val="1"/>
    <w:next w:val="3"/>
    <w:qFormat/>
    <w:uiPriority w:val="0"/>
    <w:pPr>
      <w:keepNext/>
      <w:keepLines/>
      <w:numPr>
        <w:ilvl w:val="0"/>
        <w:numId w:val="1"/>
      </w:numPr>
      <w:outlineLvl w:val="0"/>
    </w:pPr>
    <w:rPr>
      <w:b/>
      <w:kern w:val="44"/>
      <w:sz w:val="32"/>
      <w:szCs w:val="32"/>
    </w:rPr>
  </w:style>
  <w:style w:type="paragraph" w:styleId="3">
    <w:name w:val="heading 2"/>
    <w:basedOn w:val="1"/>
    <w:next w:val="1"/>
    <w:unhideWhenUsed/>
    <w:qFormat/>
    <w:uiPriority w:val="0"/>
    <w:pPr>
      <w:keepNext/>
      <w:keepLines/>
      <w:numPr>
        <w:ilvl w:val="1"/>
        <w:numId w:val="1"/>
      </w:numPr>
      <w:ind w:firstLineChars="0"/>
      <w:outlineLvl w:val="1"/>
    </w:pPr>
    <w:rPr>
      <w:rFonts w:eastAsia="黑体"/>
    </w:rPr>
  </w:style>
  <w:style w:type="paragraph" w:styleId="4">
    <w:name w:val="heading 3"/>
    <w:basedOn w:val="1"/>
    <w:next w:val="1"/>
    <w:unhideWhenUsed/>
    <w:qFormat/>
    <w:uiPriority w:val="0"/>
    <w:pPr>
      <w:keepNext/>
      <w:keepLines/>
      <w:numPr>
        <w:ilvl w:val="2"/>
        <w:numId w:val="1"/>
      </w:numPr>
      <w:tabs>
        <w:tab w:val="left" w:pos="420"/>
      </w:tabs>
      <w:ind w:firstLineChars="0"/>
      <w:outlineLvl w:val="2"/>
    </w:pPr>
  </w:style>
  <w:style w:type="paragraph" w:styleId="5">
    <w:name w:val="heading 4"/>
    <w:basedOn w:val="1"/>
    <w:next w:val="1"/>
    <w:semiHidden/>
    <w:unhideWhenUsed/>
    <w:qFormat/>
    <w:uiPriority w:val="0"/>
    <w:pPr>
      <w:keepNext/>
      <w:keepLines/>
      <w:numPr>
        <w:ilvl w:val="3"/>
        <w:numId w:val="1"/>
      </w:numPr>
      <w:tabs>
        <w:tab w:val="left" w:pos="420"/>
      </w:tabs>
      <w:spacing w:before="280" w:after="290" w:line="372" w:lineRule="auto"/>
      <w:ind w:firstLineChars="0"/>
      <w:outlineLvl w:val="3"/>
    </w:pPr>
    <w:rPr>
      <w:rFonts w:ascii="Arial" w:hAnsi="Arial" w:eastAsia="黑体"/>
      <w:b/>
    </w:rPr>
  </w:style>
  <w:style w:type="paragraph" w:styleId="6">
    <w:name w:val="heading 5"/>
    <w:basedOn w:val="1"/>
    <w:next w:val="1"/>
    <w:semiHidden/>
    <w:unhideWhenUsed/>
    <w:qFormat/>
    <w:uiPriority w:val="0"/>
    <w:pPr>
      <w:keepNext/>
      <w:keepLines/>
      <w:numPr>
        <w:ilvl w:val="4"/>
        <w:numId w:val="1"/>
      </w:numPr>
      <w:spacing w:before="280" w:after="290" w:line="372" w:lineRule="auto"/>
      <w:ind w:firstLineChars="0"/>
      <w:outlineLvl w:val="4"/>
    </w:pPr>
    <w:rPr>
      <w:b/>
    </w:rPr>
  </w:style>
  <w:style w:type="paragraph" w:styleId="7">
    <w:name w:val="heading 6"/>
    <w:basedOn w:val="1"/>
    <w:next w:val="1"/>
    <w:semiHidden/>
    <w:unhideWhenUsed/>
    <w:qFormat/>
    <w:uiPriority w:val="0"/>
    <w:pPr>
      <w:keepNext/>
      <w:keepLines/>
      <w:numPr>
        <w:ilvl w:val="5"/>
        <w:numId w:val="1"/>
      </w:numPr>
      <w:spacing w:before="240" w:after="64" w:line="317" w:lineRule="auto"/>
      <w:ind w:firstLineChars="0"/>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after="64" w:line="317" w:lineRule="auto"/>
      <w:ind w:firstLineChars="0"/>
      <w:outlineLvl w:val="6"/>
    </w:pPr>
    <w:rPr>
      <w:b/>
      <w:sz w:val="24"/>
    </w:rPr>
  </w:style>
  <w:style w:type="paragraph" w:styleId="9">
    <w:name w:val="heading 8"/>
    <w:basedOn w:val="1"/>
    <w:next w:val="1"/>
    <w:semiHidden/>
    <w:unhideWhenUsed/>
    <w:qFormat/>
    <w:uiPriority w:val="0"/>
    <w:pPr>
      <w:keepNext/>
      <w:keepLines/>
      <w:numPr>
        <w:ilvl w:val="7"/>
        <w:numId w:val="1"/>
      </w:numPr>
      <w:spacing w:before="240" w:after="64" w:line="317" w:lineRule="auto"/>
      <w:ind w:firstLineChars="0"/>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after="64" w:line="317" w:lineRule="auto"/>
      <w:ind w:firstLineChars="0"/>
      <w:outlineLvl w:val="8"/>
    </w:pPr>
    <w:rPr>
      <w:rFonts w:ascii="Arial" w:hAnsi="Arial" w:eastAsia="黑体"/>
      <w:sz w:val="21"/>
    </w:r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11">
    <w:name w:val="caption"/>
    <w:basedOn w:val="1"/>
    <w:next w:val="1"/>
    <w:semiHidden/>
    <w:unhideWhenUsed/>
    <w:qFormat/>
    <w:uiPriority w:val="0"/>
    <w:rPr>
      <w:rFonts w:ascii="Arial" w:hAnsi="Arial" w:eastAsia="黑体"/>
      <w:sz w:val="20"/>
    </w:rPr>
  </w:style>
  <w:style w:type="paragraph" w:styleId="12">
    <w:name w:val="Body Text"/>
    <w:basedOn w:val="1"/>
    <w:unhideWhenUsed/>
    <w:qFormat/>
    <w:uiPriority w:val="99"/>
    <w:pPr>
      <w:autoSpaceDE w:val="0"/>
      <w:autoSpaceDN w:val="0"/>
      <w:ind w:left="480"/>
      <w:jc w:val="left"/>
    </w:pPr>
    <w:rPr>
      <w:rFonts w:hint="eastAsia" w:ascii="宋体" w:hAnsi="宋体"/>
      <w:kern w:val="0"/>
      <w:sz w:val="32"/>
      <w:szCs w:val="32"/>
    </w:rPr>
  </w:style>
  <w:style w:type="paragraph" w:styleId="13">
    <w:name w:val="toc 3"/>
    <w:basedOn w:val="1"/>
    <w:next w:val="1"/>
    <w:qFormat/>
    <w:uiPriority w:val="0"/>
    <w:pPr>
      <w:ind w:left="840" w:leftChars="400"/>
    </w:pPr>
  </w:style>
  <w:style w:type="paragraph" w:styleId="14">
    <w:name w:val="Plain Text"/>
    <w:basedOn w:val="1"/>
    <w:qFormat/>
    <w:uiPriority w:val="0"/>
    <w:pPr>
      <w:tabs>
        <w:tab w:val="left" w:pos="-945"/>
      </w:tabs>
    </w:pPr>
    <w:rPr>
      <w:rFonts w:ascii="宋体" w:hAnsi="Courier New"/>
    </w:rPr>
  </w:style>
  <w:style w:type="paragraph" w:styleId="15">
    <w:name w:val="footer"/>
    <w:basedOn w:val="1"/>
    <w:qFormat/>
    <w:uiPriority w:val="0"/>
    <w:pPr>
      <w:tabs>
        <w:tab w:val="center" w:pos="4153"/>
        <w:tab w:val="right" w:pos="8306"/>
      </w:tabs>
      <w:jc w:val="left"/>
    </w:pPr>
    <w:rPr>
      <w:sz w:val="18"/>
    </w:rPr>
  </w:style>
  <w:style w:type="paragraph" w:styleId="1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pacing w:line="240" w:lineRule="auto"/>
    </w:pPr>
    <w:rPr>
      <w:sz w:val="18"/>
    </w:rPr>
  </w:style>
  <w:style w:type="paragraph" w:styleId="17">
    <w:name w:val="toc 1"/>
    <w:basedOn w:val="1"/>
    <w:next w:val="1"/>
    <w:qFormat/>
    <w:uiPriority w:val="0"/>
    <w:pPr>
      <w:ind w:firstLine="0" w:firstLineChars="0"/>
    </w:pPr>
  </w:style>
  <w:style w:type="paragraph" w:styleId="18">
    <w:name w:val="toc 2"/>
    <w:basedOn w:val="1"/>
    <w:next w:val="1"/>
    <w:qFormat/>
    <w:uiPriority w:val="0"/>
    <w:pPr>
      <w:ind w:left="420" w:leftChars="200" w:firstLine="0" w:firstLineChars="0"/>
    </w:pPr>
  </w:style>
  <w:style w:type="table" w:styleId="20">
    <w:name w:val="Table Grid"/>
    <w:basedOn w:val="1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2">
    <w:name w:val="Strong"/>
    <w:basedOn w:val="21"/>
    <w:qFormat/>
    <w:uiPriority w:val="0"/>
    <w:rPr>
      <w:b/>
    </w:rPr>
  </w:style>
  <w:style w:type="paragraph" w:customStyle="1" w:styleId="23">
    <w:name w:val="全文标题"/>
    <w:basedOn w:val="1"/>
    <w:qFormat/>
    <w:uiPriority w:val="0"/>
    <w:pPr>
      <w:spacing w:line="480" w:lineRule="auto"/>
    </w:pPr>
    <w:rPr>
      <w:rFonts w:eastAsia="黑体" w:asciiTheme="minorHAnsi" w:hAnsiTheme="minorHAnsi"/>
      <w:b/>
      <w:sz w:val="44"/>
    </w:rPr>
  </w:style>
  <w:style w:type="paragraph" w:customStyle="1" w:styleId="24">
    <w:name w:val="样式 宋体 四号 行距: 最小值 24 磅"/>
    <w:basedOn w:val="1"/>
    <w:qFormat/>
    <w:uiPriority w:val="0"/>
    <w:pPr>
      <w:spacing w:line="480" w:lineRule="atLeast"/>
      <w:ind w:firstLine="480"/>
    </w:pPr>
    <w:rPr>
      <w:rFonts w:cs="Times New Roman"/>
      <w:color w:val="FF0000"/>
      <w:sz w:val="24"/>
      <w:szCs w:val="24"/>
    </w:rPr>
  </w:style>
  <w:style w:type="paragraph" w:customStyle="1" w:styleId="25">
    <w:name w:val="手动目录 1"/>
    <w:qFormat/>
    <w:uiPriority w:val="0"/>
    <w:rPr>
      <w:rFonts w:ascii="Times New Roman" w:hAnsi="Times New Roman" w:eastAsia="仿宋_GB2312" w:cs="Times New Roman"/>
      <w:sz w:val="28"/>
      <w:lang w:val="en-US" w:eastAsia="zh-CN" w:bidi="ar-SA"/>
    </w:rPr>
  </w:style>
  <w:style w:type="paragraph" w:customStyle="1" w:styleId="26">
    <w:name w:val="手动目录 2"/>
    <w:qFormat/>
    <w:uiPriority w:val="0"/>
    <w:pPr>
      <w:ind w:firstLine="883" w:firstLineChars="200"/>
    </w:pPr>
    <w:rPr>
      <w:rFonts w:ascii="Times New Roman" w:hAnsi="Times New Roman" w:eastAsia="仿宋_GB2312" w:cs="Times New Roman"/>
      <w:sz w:val="28"/>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15</Pages>
  <Words>7872</Words>
  <Characters>8132</Characters>
  <Lines>163</Lines>
  <Paragraphs>117</Paragraphs>
  <TotalTime>2</TotalTime>
  <ScaleCrop>false</ScaleCrop>
  <LinksUpToDate>false</LinksUpToDate>
  <CharactersWithSpaces>8189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2024-11-06T06:57:00Z</dcterms:created>
  <dc:creator>铁维纯</dc:creator>
  <cp:lastModifiedBy>王嵩</cp:lastModifiedBy>
  <dcterms:modified xsi:type="dcterms:W3CDTF">2026-04-23T05:59:23Z</dcterms:modified>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B15523975A084CCAB025B73137D0D77D_13</vt:lpwstr>
  </property>
  <property fmtid="{D5CDD505-2E9C-101B-9397-08002B2CF9AE}" pid="4" name="KSOTemplateDocerSaveRecord">
    <vt:lpwstr>eyJoZGlkIjoiNDYyNGFiOWVjNmUyNDJkMjQ4ZjU3YWM4YTY1MmJjYzMiLCJ1c2VySWQiOiIxNTgwMzA1OTc1In0=</vt:lpwstr>
  </property>
</Properties>
</file>