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A42683">
      <w:pPr>
        <w:pStyle w:val="53"/>
        <w:framePr w:w="9639" w:h="624" w:hRule="exact" w:hSpace="181" w:vSpace="181" w:wrap="around" w:hAnchor="page" w:x="1279" w:y="2384"/>
        <w:rPr>
          <w:rFonts w:hint="default" w:ascii="Times New Roman" w:hAnsi="Times New Roman" w:eastAsia="黑体" w:cs="Times New Roman"/>
          <w:color w:val="auto"/>
          <w:w w:val="110"/>
          <w:szCs w:val="52"/>
          <w:highlight w:val="none"/>
        </w:rPr>
      </w:pPr>
      <w:bookmarkStart w:id="0" w:name="_Hlk26473981"/>
      <w:r>
        <w:rPr>
          <w:rFonts w:hint="default" w:ascii="Times New Roman" w:hAnsi="Times New Roman" w:eastAsia="黑体" w:cs="Times New Roman"/>
          <w:color w:val="auto"/>
          <w:w w:val="110"/>
          <w:szCs w:val="52"/>
          <w:highlight w:val="none"/>
        </w:rPr>
        <w:t xml:space="preserve"> 团体标准</w:t>
      </w:r>
    </w:p>
    <w:bookmarkEnd w:id="0"/>
    <w:p w14:paraId="35B767DC">
      <w:pPr>
        <w:pStyle w:val="198"/>
        <w:framePr w:y="3141"/>
        <w:ind w:firstLine="560"/>
        <w:rPr>
          <w:rFonts w:hint="default" w:ascii="Times New Roman" w:hAnsi="Times New Roman" w:eastAsia="方正小标宋_GBK" w:cs="Times New Roman"/>
          <w:color w:val="auto"/>
          <w:highlight w:val="none"/>
          <w:lang w:eastAsia="zh-CN"/>
        </w:rPr>
      </w:pPr>
      <w:r>
        <w:rPr>
          <w:rFonts w:hint="default" w:ascii="Times New Roman" w:hAnsi="Times New Roman" w:eastAsia="方正小标宋_GBK" w:cs="Times New Roman"/>
          <w:color w:val="auto"/>
          <w:highlight w:val="none"/>
        </w:rPr>
        <w:t>T/CEPCA XXXX—</w:t>
      </w:r>
      <w:r>
        <w:rPr>
          <w:rFonts w:hint="eastAsia" w:ascii="Times New Roman" w:eastAsia="方正小标宋_GBK" w:cs="Times New Roman"/>
          <w:color w:val="auto"/>
          <w:highlight w:val="none"/>
          <w:lang w:val="en-US" w:eastAsia="zh-CN"/>
        </w:rPr>
        <w:t>2026</w:t>
      </w:r>
    </w:p>
    <w:p w14:paraId="55948F56">
      <w:pPr>
        <w:pStyle w:val="199"/>
        <w:framePr w:y="3141"/>
        <w:ind w:firstLine="420"/>
        <w:rPr>
          <w:rFonts w:hint="default" w:ascii="Times New Roman" w:hAnsi="Times New Roman" w:cs="Times New Roman"/>
          <w:color w:val="auto"/>
          <w:highlight w:val="none"/>
        </w:rPr>
      </w:pPr>
    </w:p>
    <w:p w14:paraId="1F7F8F5F">
      <w:pPr>
        <w:pStyle w:val="199"/>
        <w:framePr w:y="3141"/>
        <w:ind w:firstLine="420"/>
        <w:rPr>
          <w:rFonts w:hint="default" w:ascii="Times New Roman" w:hAnsi="Times New Roman" w:cs="Times New Roman"/>
          <w:color w:val="auto"/>
          <w:highlight w:val="none"/>
        </w:rPr>
      </w:pPr>
    </w:p>
    <w:p w14:paraId="1986455D">
      <w:pPr>
        <w:pBdr>
          <w:top w:val="none" w:sz="0" w:space="0"/>
          <w:left w:val="none" w:sz="0" w:space="0"/>
          <w:bottom w:val="none" w:sz="0" w:space="0"/>
          <w:right w:val="none" w:sz="0" w:space="0"/>
        </w:pBdr>
        <w:spacing w:line="240" w:lineRule="auto"/>
        <w:rPr>
          <w:rFonts w:hint="eastAsia" w:ascii="黑体" w:hAnsi="黑体" w:eastAsia="黑体"/>
          <w:kern w:val="0"/>
          <w:sz w:val="10"/>
          <w:szCs w:val="10"/>
        </w:rPr>
      </w:pPr>
      <w:bookmarkStart w:id="133" w:name="_GoBack"/>
      <w:bookmarkEnd w:id="133"/>
      <w:r>
        <w:rPr>
          <w:sz w:val="28"/>
        </w:rPr>
        <mc:AlternateContent>
          <mc:Choice Requires="wps">
            <w:drawing>
              <wp:anchor distT="0" distB="0" distL="114300" distR="114300" simplePos="0" relativeHeight="251663360" behindDoc="0" locked="0" layoutInCell="1" allowOverlap="1">
                <wp:simplePos x="0" y="0"/>
                <wp:positionH relativeFrom="column">
                  <wp:posOffset>-901700</wp:posOffset>
                </wp:positionH>
                <wp:positionV relativeFrom="paragraph">
                  <wp:posOffset>-1162050</wp:posOffset>
                </wp:positionV>
                <wp:extent cx="914400" cy="470535"/>
                <wp:effectExtent l="0" t="0" r="0" b="0"/>
                <wp:wrapNone/>
                <wp:docPr id="9" name="文本框 9"/>
                <wp:cNvGraphicFramePr/>
                <a:graphic xmlns:a="http://schemas.openxmlformats.org/drawingml/2006/main">
                  <a:graphicData uri="http://schemas.microsoft.com/office/word/2010/wordprocessingShape">
                    <wps:wsp>
                      <wps:cNvSpPr txBox="1"/>
                      <wps:spPr>
                        <a:xfrm>
                          <a:off x="0" y="0"/>
                          <a:ext cx="914400" cy="47053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B6F5C9">
                            <w:pP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附件3</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1pt;margin-top:-91.5pt;height:37.05pt;width:72pt;z-index:251663360;mso-width-relative:page;mso-height-relative:page;" filled="f" stroked="f" coordsize="21600,21600" o:gfxdata="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9tVW2dkAAAAMAQAADwAAAAAAAAABACAAAAAiAAAAZHJzL2Rv&#10;d25yZXYueG1sUEsBAhQAFAAAAAgAh07iQAPIUeo5AgAAZQQAAA4AAAAAAAAAAQAgAAAAKAEAAGRy&#10;cy9lMm9Eb2MueG1sUEsFBgAAAAAGAAYAWQEAANMFAAAAAA==&#10;">
                <v:fill on="f" focussize="0,0"/>
                <v:stroke on="f" weight="0.5pt"/>
                <v:imagedata o:title=""/>
                <o:lock v:ext="edit" aspectratio="f"/>
                <v:textbox>
                  <w:txbxContent>
                    <w:p w14:paraId="25B6F5C9">
                      <w:pP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附件3</w:t>
                      </w:r>
                    </w:p>
                  </w:txbxContent>
                </v:textbox>
              </v:shape>
            </w:pict>
          </mc:Fallback>
        </mc:AlternateContent>
      </w:r>
      <w:r>
        <w:rPr>
          <w:rFonts w:hint="default" w:ascii="Times New Roman" w:hAnsi="Times New Roman" w:cs="Times New Roman"/>
          <w:color w:val="auto"/>
          <w:sz w:val="10"/>
          <w:highlight w:val="none"/>
        </w:rPr>
        <mc:AlternateContent>
          <mc:Choice Requires="wps">
            <w:drawing>
              <wp:anchor distT="0" distB="0" distL="114300" distR="114300" simplePos="0" relativeHeight="251661312" behindDoc="0" locked="0" layoutInCell="1" allowOverlap="1">
                <wp:simplePos x="0" y="0"/>
                <wp:positionH relativeFrom="column">
                  <wp:posOffset>-61595</wp:posOffset>
                </wp:positionH>
                <wp:positionV relativeFrom="paragraph">
                  <wp:posOffset>-854710</wp:posOffset>
                </wp:positionV>
                <wp:extent cx="1737360" cy="133477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737360" cy="13347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78840D">
                            <w:pPr>
                              <w:adjustRightInd/>
                              <w:spacing w:line="240" w:lineRule="auto"/>
                              <w:rPr>
                                <w:rFonts w:hint="eastAsia" w:ascii="方正公文小标宋" w:hAnsi="方正公文小标宋" w:eastAsia="方正公文小标宋" w:cs="方正公文小标宋"/>
                                <w:b/>
                                <w:bCs/>
                                <w:color w:val="000000" w:themeColor="text1"/>
                                <w:kern w:val="0"/>
                                <w:sz w:val="18"/>
                                <w:szCs w:val="18"/>
                                <w14:textFill>
                                  <w14:solidFill>
                                    <w14:schemeClr w14:val="tx1"/>
                                  </w14:solidFill>
                                </w14:textFill>
                              </w:rPr>
                            </w:pPr>
                            <w:r>
                              <w:rPr>
                                <w:rFonts w:hint="eastAsia" w:ascii="方正公文小标宋" w:hAnsi="方正公文小标宋" w:eastAsia="方正公文小标宋" w:cs="方正公文小标宋"/>
                                <w:b/>
                                <w:bCs/>
                                <w:color w:val="000000" w:themeColor="text1"/>
                                <w:kern w:val="0"/>
                                <w:sz w:val="18"/>
                                <w:szCs w:val="18"/>
                                <w14:textFill>
                                  <w14:solidFill>
                                    <w14:schemeClr w14:val="tx1"/>
                                  </w14:solidFill>
                                </w14:textFill>
                              </w:rPr>
                              <w:t xml:space="preserve">ICS  </w:t>
                            </w:r>
                            <w:r>
                              <w:rPr>
                                <w:rFonts w:hint="eastAsia" w:ascii="Malgun Gothic" w:hAnsi="Malgun Gothic" w:eastAsia="Malgun Gothic" w:cs="Malgun Gothic"/>
                                <w:color w:val="000000" w:themeColor="text1"/>
                                <w:kern w:val="0"/>
                                <w:sz w:val="18"/>
                                <w:szCs w:val="18"/>
                                <w14:textFill>
                                  <w14:solidFill>
                                    <w14:schemeClr w14:val="tx1"/>
                                  </w14:solidFill>
                                </w14:textFill>
                              </w:rPr>
                              <w:t>2</w:t>
                            </w:r>
                            <w:r>
                              <w:rPr>
                                <w:rFonts w:hint="eastAsia" w:ascii="Malgun Gothic" w:hAnsi="Malgun Gothic" w:cs="Malgun Gothic"/>
                                <w:color w:val="000000" w:themeColor="text1"/>
                                <w:kern w:val="0"/>
                                <w:sz w:val="18"/>
                                <w:szCs w:val="18"/>
                                <w14:textFill>
                                  <w14:solidFill>
                                    <w14:schemeClr w14:val="tx1"/>
                                  </w14:solidFill>
                                </w14:textFill>
                              </w:rPr>
                              <w:t>7</w:t>
                            </w:r>
                            <w:r>
                              <w:rPr>
                                <w:rFonts w:hint="eastAsia" w:ascii="Malgun Gothic" w:hAnsi="Malgun Gothic" w:eastAsia="Malgun Gothic" w:cs="Malgun Gothic"/>
                                <w:color w:val="000000" w:themeColor="text1"/>
                                <w:kern w:val="0"/>
                                <w:sz w:val="18"/>
                                <w:szCs w:val="18"/>
                                <w14:textFill>
                                  <w14:solidFill>
                                    <w14:schemeClr w14:val="tx1"/>
                                  </w14:solidFill>
                                </w14:textFill>
                              </w:rPr>
                              <w:t>.</w:t>
                            </w:r>
                            <w:r>
                              <w:rPr>
                                <w:rFonts w:hint="eastAsia" w:ascii="Malgun Gothic" w:hAnsi="Malgun Gothic" w:cs="Malgun Gothic"/>
                                <w:color w:val="000000" w:themeColor="text1"/>
                                <w:kern w:val="0"/>
                                <w:sz w:val="18"/>
                                <w:szCs w:val="18"/>
                                <w14:textFill>
                                  <w14:solidFill>
                                    <w14:schemeClr w14:val="tx1"/>
                                  </w14:solidFill>
                                </w14:textFill>
                              </w:rPr>
                              <w:t>01</w:t>
                            </w:r>
                            <w:r>
                              <w:rPr>
                                <w:rFonts w:hint="eastAsia" w:ascii="Malgun Gothic" w:hAnsi="Malgun Gothic" w:eastAsia="Malgun Gothic" w:cs="Malgun Gothic"/>
                                <w:color w:val="000000" w:themeColor="text1"/>
                                <w:kern w:val="0"/>
                                <w:sz w:val="18"/>
                                <w:szCs w:val="18"/>
                                <w14:textFill>
                                  <w14:solidFill>
                                    <w14:schemeClr w14:val="tx1"/>
                                  </w14:solidFill>
                                </w14:textFill>
                              </w:rPr>
                              <w:t>0</w:t>
                            </w:r>
                          </w:p>
                          <w:p w14:paraId="02BB9387">
                            <w:pPr>
                              <w:adjustRightInd/>
                              <w:spacing w:line="240" w:lineRule="auto"/>
                              <w:rPr>
                                <w:rFonts w:hint="eastAsia" w:ascii="方正公文小标宋" w:hAnsi="方正公文小标宋" w:eastAsia="方正公文小标宋" w:cs="方正公文小标宋"/>
                                <w:b/>
                                <w:bCs/>
                                <w:color w:val="000000" w:themeColor="text1"/>
                                <w:kern w:val="0"/>
                                <w:sz w:val="18"/>
                                <w:szCs w:val="18"/>
                                <w14:textFill>
                                  <w14:solidFill>
                                    <w14:schemeClr w14:val="tx1"/>
                                  </w14:solidFill>
                                </w14:textFill>
                              </w:rPr>
                            </w:pPr>
                            <w:r>
                              <w:rPr>
                                <w:rFonts w:hint="eastAsia" w:ascii="方正公文小标宋" w:hAnsi="方正公文小标宋" w:eastAsia="方正公文小标宋" w:cs="方正公文小标宋"/>
                                <w:b/>
                                <w:bCs/>
                                <w:color w:val="000000" w:themeColor="text1"/>
                                <w:kern w:val="0"/>
                                <w:sz w:val="18"/>
                                <w:szCs w:val="18"/>
                                <w14:textFill>
                                  <w14:solidFill>
                                    <w14:schemeClr w14:val="tx1"/>
                                  </w14:solidFill>
                                </w14:textFill>
                              </w:rPr>
                              <w:t>CCS  F 01</w:t>
                            </w:r>
                          </w:p>
                          <w:p w14:paraId="54E2D7F3">
                            <w:pPr>
                              <w:rPr>
                                <w:rFonts w:ascii="Malgun Gothic" w:hAnsi="Malgun Gothic" w:eastAsia="Malgun Gothic" w:cs="Malgun Gothic"/>
                                <w:color w:val="000000" w:themeColor="text1"/>
                                <w:kern w:val="0"/>
                                <w:sz w:val="18"/>
                                <w:szCs w:val="18"/>
                                <w14:textFill>
                                  <w14:solidFill>
                                    <w14:schemeClr w14:val="tx1"/>
                                  </w14:solidFill>
                                </w14:textFill>
                              </w:rPr>
                            </w:pPr>
                            <w:r>
                              <w:rPr>
                                <w:rFonts w:hint="eastAsia" w:ascii="方正公文小标宋" w:hAnsi="方正公文小标宋" w:eastAsia="方正公文小标宋" w:cs="方正公文小标宋"/>
                                <w:b/>
                                <w:bCs/>
                                <w:color w:val="000000" w:themeColor="text1"/>
                                <w:kern w:val="0"/>
                                <w:sz w:val="18"/>
                                <w:szCs w:val="18"/>
                                <w14:textFill>
                                  <w14:solidFill>
                                    <w14:schemeClr w14:val="tx1"/>
                                  </w14:solidFill>
                                </w14:textFill>
                              </w:rPr>
                              <w:t xml:space="preserve">CS  </w:t>
                            </w:r>
                            <w:r>
                              <w:rPr>
                                <w:rFonts w:hint="eastAsia" w:ascii="Malgun Gothic" w:hAnsi="Malgun Gothic" w:eastAsia="Malgun Gothic" w:cs="Malgun Gothic"/>
                                <w:color w:val="000000" w:themeColor="text1"/>
                                <w:kern w:val="0"/>
                                <w:sz w:val="18"/>
                                <w:szCs w:val="18"/>
                                <w14:textFill>
                                  <w14:solidFill>
                                    <w14:schemeClr w14:val="tx1"/>
                                  </w14:solidFill>
                                </w14:textFill>
                              </w:rPr>
                              <w:t>2</w:t>
                            </w:r>
                            <w:r>
                              <w:rPr>
                                <w:rFonts w:hint="eastAsia" w:ascii="Malgun Gothic" w:hAnsi="Malgun Gothic" w:cs="Malgun Gothic"/>
                                <w:color w:val="000000" w:themeColor="text1"/>
                                <w:kern w:val="0"/>
                                <w:sz w:val="18"/>
                                <w:szCs w:val="18"/>
                                <w14:textFill>
                                  <w14:solidFill>
                                    <w14:schemeClr w14:val="tx1"/>
                                  </w14:solidFill>
                                </w14:textFill>
                              </w:rPr>
                              <w:t>7</w:t>
                            </w:r>
                            <w:r>
                              <w:rPr>
                                <w:rFonts w:hint="eastAsia" w:ascii="Malgun Gothic" w:hAnsi="Malgun Gothic" w:eastAsia="Malgun Gothic" w:cs="Malgun Gothic"/>
                                <w:color w:val="000000" w:themeColor="text1"/>
                                <w:kern w:val="0"/>
                                <w:sz w:val="18"/>
                                <w:szCs w:val="18"/>
                                <w14:textFill>
                                  <w14:solidFill>
                                    <w14:schemeClr w14:val="tx1"/>
                                  </w14:solidFill>
                                </w14:textFill>
                              </w:rPr>
                              <w:t>.</w:t>
                            </w:r>
                            <w:r>
                              <w:rPr>
                                <w:rFonts w:hint="eastAsia" w:ascii="Malgun Gothic" w:hAnsi="Malgun Gothic" w:cs="Malgun Gothic"/>
                                <w:color w:val="000000" w:themeColor="text1"/>
                                <w:kern w:val="0"/>
                                <w:sz w:val="18"/>
                                <w:szCs w:val="18"/>
                                <w14:textFill>
                                  <w14:solidFill>
                                    <w14:schemeClr w14:val="tx1"/>
                                  </w14:solidFill>
                                </w14:textFill>
                              </w:rPr>
                              <w:t>01</w:t>
                            </w:r>
                            <w:r>
                              <w:rPr>
                                <w:rFonts w:hint="eastAsia" w:ascii="Malgun Gothic" w:hAnsi="Malgun Gothic" w:eastAsia="Malgun Gothic" w:cs="Malgun Gothic"/>
                                <w:color w:val="000000" w:themeColor="text1"/>
                                <w:kern w:val="0"/>
                                <w:sz w:val="18"/>
                                <w:szCs w:val="18"/>
                                <w14:textFill>
                                  <w14:solidFill>
                                    <w14:schemeClr w14:val="tx1"/>
                                  </w14:solidFill>
                                </w14:textFill>
                              </w:rPr>
                              <w:t>0</w:t>
                            </w:r>
                          </w:p>
                          <w:p w14:paraId="7763FA28">
                            <w:pPr>
                              <w:rPr>
                                <w:rFonts w:ascii="Malgun Gothic" w:hAnsi="Malgun Gothic" w:eastAsia="Malgun Gothic" w:cs="Malgun Gothic"/>
                                <w:color w:val="000000" w:themeColor="text1"/>
                                <w:kern w:val="0"/>
                                <w:sz w:val="18"/>
                                <w:szCs w:val="18"/>
                                <w14:textFill>
                                  <w14:solidFill>
                                    <w14:schemeClr w14:val="tx1"/>
                                  </w14:solidFill>
                                </w14:textFill>
                              </w:rPr>
                            </w:pPr>
                            <w:r>
                              <w:rPr>
                                <w:rFonts w:hint="eastAsia" w:ascii="方正公文小标宋" w:hAnsi="方正公文小标宋" w:eastAsia="方正公文小标宋" w:cs="方正公文小标宋"/>
                                <w:b/>
                                <w:bCs/>
                                <w:color w:val="000000" w:themeColor="text1"/>
                                <w:kern w:val="0"/>
                                <w:sz w:val="18"/>
                                <w:szCs w:val="18"/>
                                <w14:textFill>
                                  <w14:solidFill>
                                    <w14:schemeClr w14:val="tx1"/>
                                  </w14:solidFill>
                                </w14:textFill>
                              </w:rPr>
                              <w:t>CCS  F 01</w:t>
                            </w:r>
                          </w:p>
                          <w:p w14:paraId="57798F17">
                            <w:pPr>
                              <w:rPr>
                                <w:rFonts w:ascii="Times New Roman" w:hAnsi="Times New Roman"/>
                              </w:rPr>
                            </w:pPr>
                            <w:r>
                              <w:rPr>
                                <w:rFonts w:hint="eastAsia" w:ascii="Times New Roman" w:hAnsi="Times New Roman"/>
                              </w:rPr>
                              <w:drawing>
                                <wp:inline distT="0" distB="0" distL="114300" distR="114300">
                                  <wp:extent cx="657225" cy="657225"/>
                                  <wp:effectExtent l="0" t="0" r="9525" b="9525"/>
                                  <wp:docPr id="11" name="图片 11" descr="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标1"/>
                                          <pic:cNvPicPr>
                                            <a:picLocks noChangeAspect="1"/>
                                          </pic:cNvPicPr>
                                        </pic:nvPicPr>
                                        <pic:blipFill>
                                          <a:blip r:embed="rId15"/>
                                          <a:stretch>
                                            <a:fillRect/>
                                          </a:stretch>
                                        </pic:blipFill>
                                        <pic:spPr>
                                          <a:xfrm>
                                            <a:off x="0" y="0"/>
                                            <a:ext cx="657225" cy="657225"/>
                                          </a:xfrm>
                                          <a:prstGeom prst="rect">
                                            <a:avLst/>
                                          </a:prstGeom>
                                        </pic:spPr>
                                      </pic:pic>
                                    </a:graphicData>
                                  </a:graphic>
                                </wp:inline>
                              </w:drawing>
                            </w:r>
                          </w:p>
                          <w:p w14:paraId="1E0C19B0">
                            <w:pPr>
                              <w:rPr>
                                <w:rFonts w:ascii="Times New Roman" w:hAnsi="Times New Roman"/>
                              </w:rPr>
                            </w:pPr>
                          </w:p>
                          <w:p w14:paraId="3EB3467B">
                            <w:pPr>
                              <w:rPr>
                                <w:rFonts w:ascii="Times New Roman" w:hAnsi="Times New Roman"/>
                              </w:rPr>
                            </w:pPr>
                          </w:p>
                          <w:p w14:paraId="1DBBF565">
                            <w:pPr>
                              <w:rPr>
                                <w:rFonts w:ascii="Times New Roman" w:hAnsi="Times New Roman"/>
                              </w:rPr>
                            </w:pPr>
                          </w:p>
                          <w:p w14:paraId="3E8EAFCA">
                            <w:pPr>
                              <w:rPr>
                                <w:rFonts w:ascii="Times New Roman" w:hAnsi="Times New Roman"/>
                              </w:rPr>
                            </w:pPr>
                          </w:p>
                          <w:p w14:paraId="0E787804">
                            <w:pPr>
                              <w:rPr>
                                <w:rFonts w:ascii="Times New Roman" w:hAnsi="Times New Roma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85pt;margin-top:-67.3pt;height:105.1pt;width:136.8pt;z-index:251661312;mso-width-relative:page;mso-height-relative:page;" filled="f" stroked="f" coordsize="21600,21600" o:gfxdata="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lYUvMd0AAAAKAQAADwAAAAAAAAABACAAAAAiAAAA&#10;ZHJzL2Rvd25yZXYueG1sUEsBAhQAFAAAAAgAh07iQLJq4FU7AgAAZwQAAA4AAAAAAAAAAQAgAAAA&#10;LAEAAGRycy9lMm9Eb2MueG1sUEsFBgAAAAAGAAYAWQEAANkFAAAAAA==&#10;">
                <v:fill on="f" focussize="0,0"/>
                <v:stroke on="f" weight="0.5pt"/>
                <v:imagedata o:title=""/>
                <o:lock v:ext="edit" aspectratio="f"/>
                <v:textbox>
                  <w:txbxContent>
                    <w:p w14:paraId="5E78840D">
                      <w:pPr>
                        <w:adjustRightInd/>
                        <w:spacing w:line="240" w:lineRule="auto"/>
                        <w:rPr>
                          <w:rFonts w:hint="eastAsia" w:ascii="方正公文小标宋" w:hAnsi="方正公文小标宋" w:eastAsia="方正公文小标宋" w:cs="方正公文小标宋"/>
                          <w:b/>
                          <w:bCs/>
                          <w:color w:val="000000" w:themeColor="text1"/>
                          <w:kern w:val="0"/>
                          <w:sz w:val="18"/>
                          <w:szCs w:val="18"/>
                          <w14:textFill>
                            <w14:solidFill>
                              <w14:schemeClr w14:val="tx1"/>
                            </w14:solidFill>
                          </w14:textFill>
                        </w:rPr>
                      </w:pPr>
                      <w:r>
                        <w:rPr>
                          <w:rFonts w:hint="eastAsia" w:ascii="方正公文小标宋" w:hAnsi="方正公文小标宋" w:eastAsia="方正公文小标宋" w:cs="方正公文小标宋"/>
                          <w:b/>
                          <w:bCs/>
                          <w:color w:val="000000" w:themeColor="text1"/>
                          <w:kern w:val="0"/>
                          <w:sz w:val="18"/>
                          <w:szCs w:val="18"/>
                          <w14:textFill>
                            <w14:solidFill>
                              <w14:schemeClr w14:val="tx1"/>
                            </w14:solidFill>
                          </w14:textFill>
                        </w:rPr>
                        <w:t xml:space="preserve">ICS  </w:t>
                      </w:r>
                      <w:r>
                        <w:rPr>
                          <w:rFonts w:hint="eastAsia" w:ascii="Malgun Gothic" w:hAnsi="Malgun Gothic" w:eastAsia="Malgun Gothic" w:cs="Malgun Gothic"/>
                          <w:color w:val="000000" w:themeColor="text1"/>
                          <w:kern w:val="0"/>
                          <w:sz w:val="18"/>
                          <w:szCs w:val="18"/>
                          <w14:textFill>
                            <w14:solidFill>
                              <w14:schemeClr w14:val="tx1"/>
                            </w14:solidFill>
                          </w14:textFill>
                        </w:rPr>
                        <w:t>2</w:t>
                      </w:r>
                      <w:r>
                        <w:rPr>
                          <w:rFonts w:hint="eastAsia" w:ascii="Malgun Gothic" w:hAnsi="Malgun Gothic" w:cs="Malgun Gothic"/>
                          <w:color w:val="000000" w:themeColor="text1"/>
                          <w:kern w:val="0"/>
                          <w:sz w:val="18"/>
                          <w:szCs w:val="18"/>
                          <w14:textFill>
                            <w14:solidFill>
                              <w14:schemeClr w14:val="tx1"/>
                            </w14:solidFill>
                          </w14:textFill>
                        </w:rPr>
                        <w:t>7</w:t>
                      </w:r>
                      <w:r>
                        <w:rPr>
                          <w:rFonts w:hint="eastAsia" w:ascii="Malgun Gothic" w:hAnsi="Malgun Gothic" w:eastAsia="Malgun Gothic" w:cs="Malgun Gothic"/>
                          <w:color w:val="000000" w:themeColor="text1"/>
                          <w:kern w:val="0"/>
                          <w:sz w:val="18"/>
                          <w:szCs w:val="18"/>
                          <w14:textFill>
                            <w14:solidFill>
                              <w14:schemeClr w14:val="tx1"/>
                            </w14:solidFill>
                          </w14:textFill>
                        </w:rPr>
                        <w:t>.</w:t>
                      </w:r>
                      <w:r>
                        <w:rPr>
                          <w:rFonts w:hint="eastAsia" w:ascii="Malgun Gothic" w:hAnsi="Malgun Gothic" w:cs="Malgun Gothic"/>
                          <w:color w:val="000000" w:themeColor="text1"/>
                          <w:kern w:val="0"/>
                          <w:sz w:val="18"/>
                          <w:szCs w:val="18"/>
                          <w14:textFill>
                            <w14:solidFill>
                              <w14:schemeClr w14:val="tx1"/>
                            </w14:solidFill>
                          </w14:textFill>
                        </w:rPr>
                        <w:t>01</w:t>
                      </w:r>
                      <w:r>
                        <w:rPr>
                          <w:rFonts w:hint="eastAsia" w:ascii="Malgun Gothic" w:hAnsi="Malgun Gothic" w:eastAsia="Malgun Gothic" w:cs="Malgun Gothic"/>
                          <w:color w:val="000000" w:themeColor="text1"/>
                          <w:kern w:val="0"/>
                          <w:sz w:val="18"/>
                          <w:szCs w:val="18"/>
                          <w14:textFill>
                            <w14:solidFill>
                              <w14:schemeClr w14:val="tx1"/>
                            </w14:solidFill>
                          </w14:textFill>
                        </w:rPr>
                        <w:t>0</w:t>
                      </w:r>
                    </w:p>
                    <w:p w14:paraId="02BB9387">
                      <w:pPr>
                        <w:adjustRightInd/>
                        <w:spacing w:line="240" w:lineRule="auto"/>
                        <w:rPr>
                          <w:rFonts w:hint="eastAsia" w:ascii="方正公文小标宋" w:hAnsi="方正公文小标宋" w:eastAsia="方正公文小标宋" w:cs="方正公文小标宋"/>
                          <w:b/>
                          <w:bCs/>
                          <w:color w:val="000000" w:themeColor="text1"/>
                          <w:kern w:val="0"/>
                          <w:sz w:val="18"/>
                          <w:szCs w:val="18"/>
                          <w14:textFill>
                            <w14:solidFill>
                              <w14:schemeClr w14:val="tx1"/>
                            </w14:solidFill>
                          </w14:textFill>
                        </w:rPr>
                      </w:pPr>
                      <w:r>
                        <w:rPr>
                          <w:rFonts w:hint="eastAsia" w:ascii="方正公文小标宋" w:hAnsi="方正公文小标宋" w:eastAsia="方正公文小标宋" w:cs="方正公文小标宋"/>
                          <w:b/>
                          <w:bCs/>
                          <w:color w:val="000000" w:themeColor="text1"/>
                          <w:kern w:val="0"/>
                          <w:sz w:val="18"/>
                          <w:szCs w:val="18"/>
                          <w14:textFill>
                            <w14:solidFill>
                              <w14:schemeClr w14:val="tx1"/>
                            </w14:solidFill>
                          </w14:textFill>
                        </w:rPr>
                        <w:t>CCS  F 01</w:t>
                      </w:r>
                    </w:p>
                    <w:p w14:paraId="54E2D7F3">
                      <w:pPr>
                        <w:rPr>
                          <w:rFonts w:ascii="Malgun Gothic" w:hAnsi="Malgun Gothic" w:eastAsia="Malgun Gothic" w:cs="Malgun Gothic"/>
                          <w:color w:val="000000" w:themeColor="text1"/>
                          <w:kern w:val="0"/>
                          <w:sz w:val="18"/>
                          <w:szCs w:val="18"/>
                          <w14:textFill>
                            <w14:solidFill>
                              <w14:schemeClr w14:val="tx1"/>
                            </w14:solidFill>
                          </w14:textFill>
                        </w:rPr>
                      </w:pPr>
                      <w:r>
                        <w:rPr>
                          <w:rFonts w:hint="eastAsia" w:ascii="方正公文小标宋" w:hAnsi="方正公文小标宋" w:eastAsia="方正公文小标宋" w:cs="方正公文小标宋"/>
                          <w:b/>
                          <w:bCs/>
                          <w:color w:val="000000" w:themeColor="text1"/>
                          <w:kern w:val="0"/>
                          <w:sz w:val="18"/>
                          <w:szCs w:val="18"/>
                          <w14:textFill>
                            <w14:solidFill>
                              <w14:schemeClr w14:val="tx1"/>
                            </w14:solidFill>
                          </w14:textFill>
                        </w:rPr>
                        <w:t xml:space="preserve">CS  </w:t>
                      </w:r>
                      <w:r>
                        <w:rPr>
                          <w:rFonts w:hint="eastAsia" w:ascii="Malgun Gothic" w:hAnsi="Malgun Gothic" w:eastAsia="Malgun Gothic" w:cs="Malgun Gothic"/>
                          <w:color w:val="000000" w:themeColor="text1"/>
                          <w:kern w:val="0"/>
                          <w:sz w:val="18"/>
                          <w:szCs w:val="18"/>
                          <w14:textFill>
                            <w14:solidFill>
                              <w14:schemeClr w14:val="tx1"/>
                            </w14:solidFill>
                          </w14:textFill>
                        </w:rPr>
                        <w:t>2</w:t>
                      </w:r>
                      <w:r>
                        <w:rPr>
                          <w:rFonts w:hint="eastAsia" w:ascii="Malgun Gothic" w:hAnsi="Malgun Gothic" w:cs="Malgun Gothic"/>
                          <w:color w:val="000000" w:themeColor="text1"/>
                          <w:kern w:val="0"/>
                          <w:sz w:val="18"/>
                          <w:szCs w:val="18"/>
                          <w14:textFill>
                            <w14:solidFill>
                              <w14:schemeClr w14:val="tx1"/>
                            </w14:solidFill>
                          </w14:textFill>
                        </w:rPr>
                        <w:t>7</w:t>
                      </w:r>
                      <w:r>
                        <w:rPr>
                          <w:rFonts w:hint="eastAsia" w:ascii="Malgun Gothic" w:hAnsi="Malgun Gothic" w:eastAsia="Malgun Gothic" w:cs="Malgun Gothic"/>
                          <w:color w:val="000000" w:themeColor="text1"/>
                          <w:kern w:val="0"/>
                          <w:sz w:val="18"/>
                          <w:szCs w:val="18"/>
                          <w14:textFill>
                            <w14:solidFill>
                              <w14:schemeClr w14:val="tx1"/>
                            </w14:solidFill>
                          </w14:textFill>
                        </w:rPr>
                        <w:t>.</w:t>
                      </w:r>
                      <w:r>
                        <w:rPr>
                          <w:rFonts w:hint="eastAsia" w:ascii="Malgun Gothic" w:hAnsi="Malgun Gothic" w:cs="Malgun Gothic"/>
                          <w:color w:val="000000" w:themeColor="text1"/>
                          <w:kern w:val="0"/>
                          <w:sz w:val="18"/>
                          <w:szCs w:val="18"/>
                          <w14:textFill>
                            <w14:solidFill>
                              <w14:schemeClr w14:val="tx1"/>
                            </w14:solidFill>
                          </w14:textFill>
                        </w:rPr>
                        <w:t>01</w:t>
                      </w:r>
                      <w:r>
                        <w:rPr>
                          <w:rFonts w:hint="eastAsia" w:ascii="Malgun Gothic" w:hAnsi="Malgun Gothic" w:eastAsia="Malgun Gothic" w:cs="Malgun Gothic"/>
                          <w:color w:val="000000" w:themeColor="text1"/>
                          <w:kern w:val="0"/>
                          <w:sz w:val="18"/>
                          <w:szCs w:val="18"/>
                          <w14:textFill>
                            <w14:solidFill>
                              <w14:schemeClr w14:val="tx1"/>
                            </w14:solidFill>
                          </w14:textFill>
                        </w:rPr>
                        <w:t>0</w:t>
                      </w:r>
                    </w:p>
                    <w:p w14:paraId="7763FA28">
                      <w:pPr>
                        <w:rPr>
                          <w:rFonts w:ascii="Malgun Gothic" w:hAnsi="Malgun Gothic" w:eastAsia="Malgun Gothic" w:cs="Malgun Gothic"/>
                          <w:color w:val="000000" w:themeColor="text1"/>
                          <w:kern w:val="0"/>
                          <w:sz w:val="18"/>
                          <w:szCs w:val="18"/>
                          <w14:textFill>
                            <w14:solidFill>
                              <w14:schemeClr w14:val="tx1"/>
                            </w14:solidFill>
                          </w14:textFill>
                        </w:rPr>
                      </w:pPr>
                      <w:r>
                        <w:rPr>
                          <w:rFonts w:hint="eastAsia" w:ascii="方正公文小标宋" w:hAnsi="方正公文小标宋" w:eastAsia="方正公文小标宋" w:cs="方正公文小标宋"/>
                          <w:b/>
                          <w:bCs/>
                          <w:color w:val="000000" w:themeColor="text1"/>
                          <w:kern w:val="0"/>
                          <w:sz w:val="18"/>
                          <w:szCs w:val="18"/>
                          <w14:textFill>
                            <w14:solidFill>
                              <w14:schemeClr w14:val="tx1"/>
                            </w14:solidFill>
                          </w14:textFill>
                        </w:rPr>
                        <w:t>CCS  F 01</w:t>
                      </w:r>
                    </w:p>
                    <w:p w14:paraId="57798F17">
                      <w:pPr>
                        <w:rPr>
                          <w:rFonts w:ascii="Times New Roman" w:hAnsi="Times New Roman"/>
                        </w:rPr>
                      </w:pPr>
                      <w:r>
                        <w:rPr>
                          <w:rFonts w:hint="eastAsia" w:ascii="Times New Roman" w:hAnsi="Times New Roman"/>
                        </w:rPr>
                        <w:drawing>
                          <wp:inline distT="0" distB="0" distL="114300" distR="114300">
                            <wp:extent cx="657225" cy="657225"/>
                            <wp:effectExtent l="0" t="0" r="9525" b="9525"/>
                            <wp:docPr id="11" name="图片 11" descr="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标1"/>
                                    <pic:cNvPicPr>
                                      <a:picLocks noChangeAspect="1"/>
                                    </pic:cNvPicPr>
                                  </pic:nvPicPr>
                                  <pic:blipFill>
                                    <a:blip r:embed="rId15"/>
                                    <a:stretch>
                                      <a:fillRect/>
                                    </a:stretch>
                                  </pic:blipFill>
                                  <pic:spPr>
                                    <a:xfrm>
                                      <a:off x="0" y="0"/>
                                      <a:ext cx="657225" cy="657225"/>
                                    </a:xfrm>
                                    <a:prstGeom prst="rect">
                                      <a:avLst/>
                                    </a:prstGeom>
                                  </pic:spPr>
                                </pic:pic>
                              </a:graphicData>
                            </a:graphic>
                          </wp:inline>
                        </w:drawing>
                      </w:r>
                    </w:p>
                    <w:p w14:paraId="1E0C19B0">
                      <w:pPr>
                        <w:rPr>
                          <w:rFonts w:ascii="Times New Roman" w:hAnsi="Times New Roman"/>
                        </w:rPr>
                      </w:pPr>
                    </w:p>
                    <w:p w14:paraId="3EB3467B">
                      <w:pPr>
                        <w:rPr>
                          <w:rFonts w:ascii="Times New Roman" w:hAnsi="Times New Roman"/>
                        </w:rPr>
                      </w:pPr>
                    </w:p>
                    <w:p w14:paraId="1DBBF565">
                      <w:pPr>
                        <w:rPr>
                          <w:rFonts w:ascii="Times New Roman" w:hAnsi="Times New Roman"/>
                        </w:rPr>
                      </w:pPr>
                    </w:p>
                    <w:p w14:paraId="3E8EAFCA">
                      <w:pPr>
                        <w:rPr>
                          <w:rFonts w:ascii="Times New Roman" w:hAnsi="Times New Roman"/>
                        </w:rPr>
                      </w:pPr>
                    </w:p>
                    <w:p w14:paraId="0E787804">
                      <w:pPr>
                        <w:rPr>
                          <w:rFonts w:ascii="Times New Roman" w:hAnsi="Times New Roman"/>
                        </w:rPr>
                      </w:pPr>
                    </w:p>
                  </w:txbxContent>
                </v:textbox>
              </v:shape>
            </w:pict>
          </mc:Fallback>
        </mc:AlternateContent>
      </w:r>
      <w:r>
        <w:rPr>
          <w:rFonts w:hint="default" w:ascii="Times New Roman" w:hAnsi="Times New Roman" w:eastAsia="黑体" w:cs="Times New Roman"/>
          <w:color w:val="auto"/>
          <w:kern w:val="0"/>
          <w:sz w:val="10"/>
          <w:szCs w:val="10"/>
          <w:highlight w:val="none"/>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4fvj&#10;GOUBAACsAwAADgAAAAAAAAABACAAAAAnAQAAZHJzL2Uyb0RvYy54bWxQSwUGAAAAAAYABgBZAQAA&#10;fgUAAAAA&#10;">
                <v:fill on="f" focussize="0,0"/>
                <v:stroke color="#000000" joinstyle="round"/>
                <v:imagedata o:title=""/>
                <o:lock v:ext="edit" aspectratio="f"/>
              </v:line>
            </w:pict>
          </mc:Fallback>
        </mc:AlternateContent>
      </w:r>
    </w:p>
    <w:p w14:paraId="4F1FC472">
      <w:pPr>
        <w:pStyle w:val="53"/>
        <w:framePr w:w="9639" w:h="6976" w:hRule="exact" w:hSpace="0" w:vSpace="0" w:wrap="around" w:hAnchor="page" w:y="6408"/>
        <w:jc w:val="center"/>
        <w:rPr>
          <w:rFonts w:hint="eastAsia" w:ascii="黑体" w:hAnsi="黑体" w:eastAsia="黑体"/>
          <w:b w:val="0"/>
          <w:bCs w:val="0"/>
          <w:w w:val="100"/>
        </w:rPr>
      </w:pPr>
    </w:p>
    <w:p w14:paraId="48A5AC16">
      <w:pPr>
        <w:keepNext w:val="0"/>
        <w:keepLines w:val="0"/>
        <w:pageBreakBefore w:val="0"/>
        <w:framePr w:w="10302" w:h="6974" w:hRule="exact" w:wrap="around" w:vAnchor="page" w:hAnchor="page" w:x="710" w:y="5746" w:anchorLock="1"/>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240" w:lineRule="auto"/>
        <w:ind w:left="0" w:firstLine="0" w:firstLineChars="0"/>
        <w:jc w:val="center"/>
        <w:textAlignment w:val="auto"/>
        <w:rPr>
          <w:rFonts w:hint="default" w:ascii="Times New Roman" w:hAnsi="Times New Roman" w:eastAsia="宋体" w:cs="Times New Roman"/>
          <w:color w:val="auto"/>
          <w:szCs w:val="24"/>
          <w:highlight w:val="none"/>
          <w:lang w:val="en-US"/>
        </w:rPr>
      </w:pPr>
      <w:r>
        <w:rPr>
          <w:rFonts w:hint="eastAsia" w:ascii="Times New Roman" w:hAnsi="Times New Roman" w:eastAsia="黑体" w:cs="Times New Roman"/>
          <w:bCs/>
          <w:color w:val="auto"/>
          <w:sz w:val="52"/>
          <w:szCs w:val="20"/>
          <w:highlight w:val="none"/>
          <w:lang w:val="en-US" w:eastAsia="zh-CN"/>
        </w:rPr>
        <w:t>电力钢结构带锈涂装施工及验收规范</w:t>
      </w:r>
    </w:p>
    <w:p w14:paraId="2CB90D4A">
      <w:pPr>
        <w:framePr w:w="10302" w:h="6974" w:hRule="exact" w:wrap="around" w:vAnchor="page" w:hAnchor="page" w:x="710" w:y="5746" w:anchorLock="1"/>
        <w:widowControl w:val="0"/>
        <w:pBdr>
          <w:top w:val="none" w:color="auto" w:sz="0" w:space="0"/>
          <w:left w:val="none" w:color="auto" w:sz="0" w:space="0"/>
          <w:bottom w:val="none" w:color="auto" w:sz="0" w:space="0"/>
          <w:right w:val="none" w:color="auto" w:sz="0" w:space="0"/>
        </w:pBdr>
        <w:spacing w:line="360" w:lineRule="exact"/>
        <w:ind w:firstLine="420"/>
        <w:jc w:val="center"/>
        <w:textAlignment w:val="bottom"/>
        <w:rPr>
          <w:rFonts w:hint="default" w:ascii="Times New Roman" w:hAnsi="Times New Roman" w:eastAsia="黑体" w:cs="Times New Roman"/>
          <w:color w:val="auto"/>
          <w:sz w:val="28"/>
          <w:szCs w:val="28"/>
          <w:highlight w:val="none"/>
          <w:lang w:val="en-US" w:eastAsia="zh-CN" w:bidi="ar-SA"/>
        </w:rPr>
      </w:pPr>
      <w:r>
        <w:rPr>
          <w:rFonts w:hint="eastAsia" w:ascii="Times New Roman" w:hAnsi="Times New Roman" w:eastAsia="黑体" w:cs="Times New Roman"/>
          <w:b/>
          <w:bCs/>
          <w:color w:val="auto"/>
          <w:sz w:val="28"/>
          <w:szCs w:val="28"/>
          <w:highlight w:val="none"/>
          <w:lang w:val="en-US" w:eastAsia="zh-CN" w:bidi="ar-SA"/>
        </w:rPr>
        <w:t>Specification for Construction and Acceptance of Coating on Ruaty Substrate for Electric Power Steel Structure</w:t>
      </w:r>
      <w:r>
        <w:rPr>
          <w:rFonts w:hint="default" w:ascii="Times New Roman" w:hAnsi="Times New Roman" w:eastAsia="黑体" w:cs="Times New Roman"/>
          <w:b/>
          <w:bCs/>
          <w:color w:val="auto"/>
          <w:sz w:val="28"/>
          <w:szCs w:val="28"/>
          <w:highlight w:val="none"/>
          <w:lang w:val="en-US" w:eastAsia="zh-CN" w:bidi="ar-SA"/>
        </w:rPr>
        <w:t xml:space="preserve"> </w:t>
      </w:r>
    </w:p>
    <w:p w14:paraId="63148309">
      <w:pPr>
        <w:framePr w:w="10302" w:h="6974" w:hRule="exact" w:wrap="around" w:vAnchor="page" w:hAnchor="page" w:x="710" w:y="5746" w:anchorLock="1"/>
        <w:widowControl w:val="0"/>
        <w:pBdr>
          <w:top w:val="none" w:color="auto" w:sz="0" w:space="0"/>
          <w:left w:val="none" w:color="auto" w:sz="0" w:space="0"/>
          <w:bottom w:val="none" w:color="auto" w:sz="0" w:space="0"/>
          <w:right w:val="none" w:color="auto" w:sz="0" w:space="0"/>
        </w:pBdr>
        <w:spacing w:line="360" w:lineRule="exact"/>
        <w:ind w:firstLine="420"/>
        <w:jc w:val="center"/>
        <w:textAlignment w:val="bottom"/>
        <w:rPr>
          <w:rFonts w:hint="default" w:ascii="Times New Roman" w:hAnsi="Times New Roman" w:eastAsia="黑体" w:cs="Times New Roman"/>
          <w:color w:val="auto"/>
          <w:sz w:val="28"/>
          <w:szCs w:val="28"/>
          <w:highlight w:val="none"/>
          <w:lang w:val="en-US" w:eastAsia="zh-CN" w:bidi="ar-SA"/>
        </w:rPr>
      </w:pPr>
      <w:r>
        <w:rPr>
          <w:rFonts w:hint="default" w:ascii="Times New Roman" w:hAnsi="Times New Roman" w:eastAsia="黑体" w:cs="Times New Roman"/>
          <w:b/>
          <w:bCs/>
          <w:color w:val="auto"/>
          <w:sz w:val="28"/>
          <w:szCs w:val="28"/>
          <w:highlight w:val="none"/>
          <w:lang w:val="en-US" w:eastAsia="zh-CN" w:bidi="ar-SA"/>
        </w:rPr>
        <w:t xml:space="preserve"> </w:t>
      </w:r>
    </w:p>
    <w:p w14:paraId="60E0F490">
      <w:pPr>
        <w:framePr w:w="10302" w:h="6974" w:hRule="exact" w:wrap="around" w:vAnchor="page" w:hAnchor="page" w:x="710" w:y="5746" w:anchorLock="1"/>
        <w:widowControl w:val="0"/>
        <w:pBdr>
          <w:top w:val="none" w:color="auto" w:sz="0" w:space="0"/>
          <w:left w:val="none" w:color="auto" w:sz="0" w:space="0"/>
          <w:bottom w:val="none" w:color="auto" w:sz="0" w:space="0"/>
          <w:right w:val="none" w:color="auto" w:sz="0" w:space="0"/>
        </w:pBdr>
        <w:spacing w:before="440" w:after="160" w:line="360" w:lineRule="exact"/>
        <w:ind w:firstLine="480"/>
        <w:jc w:val="center"/>
        <w:textAlignment w:val="bottom"/>
        <w:rPr>
          <w:rFonts w:hint="default" w:ascii="Times New Roman" w:hAnsi="Times New Roman" w:eastAsia="宋体" w:cs="Times New Roman"/>
          <w:b/>
          <w:bCs w:val="0"/>
          <w:color w:val="auto"/>
          <w:sz w:val="24"/>
          <w:szCs w:val="28"/>
          <w:highlight w:val="none"/>
          <w:lang w:val="en-US" w:eastAsia="zh-CN" w:bidi="ar-SA"/>
        </w:rPr>
      </w:pPr>
      <w:r>
        <w:rPr>
          <w:rFonts w:hint="default" w:ascii="Times New Roman" w:hAnsi="Times New Roman" w:eastAsia="新宋体" w:cs="Times New Roman"/>
          <w:b/>
          <w:bCs w:val="0"/>
          <w:color w:val="auto"/>
          <w:sz w:val="36"/>
          <w:szCs w:val="36"/>
          <w:highlight w:val="none"/>
          <w:lang w:val="en-US" w:eastAsia="zh-CN" w:bidi="ar-SA"/>
        </w:rPr>
        <w:t>（</w:t>
      </w:r>
      <w:r>
        <w:rPr>
          <w:rFonts w:hint="eastAsia" w:ascii="Times New Roman" w:hAnsi="Times New Roman" w:eastAsia="新宋体" w:cs="Times New Roman"/>
          <w:b/>
          <w:bCs w:val="0"/>
          <w:color w:val="auto"/>
          <w:sz w:val="36"/>
          <w:szCs w:val="36"/>
          <w:highlight w:val="none"/>
          <w:lang w:val="en-US" w:eastAsia="zh-CN" w:bidi="ar-SA"/>
        </w:rPr>
        <w:t>征求意见稿</w:t>
      </w:r>
      <w:r>
        <w:rPr>
          <w:rFonts w:hint="default" w:ascii="Times New Roman" w:hAnsi="Times New Roman" w:eastAsia="新宋体" w:cs="Times New Roman"/>
          <w:b/>
          <w:bCs w:val="0"/>
          <w:color w:val="auto"/>
          <w:sz w:val="36"/>
          <w:szCs w:val="36"/>
          <w:highlight w:val="none"/>
          <w:lang w:val="en-US" w:eastAsia="zh-CN" w:bidi="ar-SA"/>
        </w:rPr>
        <w:t>）</w:t>
      </w:r>
    </w:p>
    <w:p w14:paraId="61FCBEF4">
      <w:pPr>
        <w:framePr w:w="10302" w:h="6974" w:hRule="exact" w:wrap="around" w:vAnchor="page" w:hAnchor="page" w:x="710" w:y="5746" w:anchorLock="1"/>
        <w:widowControl w:val="0"/>
        <w:pBdr>
          <w:top w:val="none" w:color="auto" w:sz="0" w:space="0"/>
          <w:left w:val="none" w:color="auto" w:sz="0" w:space="0"/>
          <w:bottom w:val="none" w:color="auto" w:sz="0" w:space="0"/>
          <w:right w:val="none" w:color="auto" w:sz="0" w:space="0"/>
        </w:pBdr>
        <w:spacing w:before="180" w:line="240" w:lineRule="atLeast"/>
        <w:ind w:firstLine="420"/>
        <w:jc w:val="center"/>
        <w:textAlignment w:val="bottom"/>
        <w:rPr>
          <w:rFonts w:hint="default" w:ascii="Times New Roman" w:hAnsi="Times New Roman" w:eastAsia="宋体" w:cs="Times New Roman"/>
          <w:color w:val="auto"/>
          <w:sz w:val="21"/>
          <w:szCs w:val="28"/>
          <w:highlight w:val="none"/>
          <w:lang w:val="en-US" w:eastAsia="zh-CN" w:bidi="ar-SA"/>
        </w:rPr>
      </w:pPr>
    </w:p>
    <w:p w14:paraId="49301A88">
      <w:pPr>
        <w:framePr w:w="10302" w:h="6974" w:hRule="exact" w:wrap="around" w:vAnchor="page" w:hAnchor="page" w:x="710" w:y="5746" w:anchorLock="1"/>
        <w:widowControl w:val="0"/>
        <w:pBdr>
          <w:top w:val="none" w:color="auto" w:sz="0" w:space="0"/>
          <w:left w:val="none" w:color="auto" w:sz="0" w:space="0"/>
          <w:bottom w:val="none" w:color="auto" w:sz="0" w:space="0"/>
          <w:right w:val="none" w:color="auto" w:sz="0" w:space="0"/>
        </w:pBdr>
        <w:spacing w:before="954" w:beforeLines="300" w:after="95" w:afterLines="30" w:line="240" w:lineRule="auto"/>
        <w:ind w:firstLine="422"/>
        <w:jc w:val="center"/>
        <w:textAlignment w:val="bottom"/>
        <w:rPr>
          <w:rFonts w:hint="default" w:ascii="Times New Roman" w:hAnsi="Times New Roman" w:eastAsia="宋体" w:cs="Times New Roman"/>
          <w:b/>
          <w:color w:val="auto"/>
          <w:sz w:val="21"/>
          <w:szCs w:val="28"/>
          <w:highlight w:val="none"/>
          <w:lang w:val="en-US" w:eastAsia="zh-CN" w:bidi="ar-SA"/>
        </w:rPr>
      </w:pPr>
    </w:p>
    <w:p w14:paraId="1BF3FD88">
      <w:pPr>
        <w:pStyle w:val="196"/>
        <w:framePr w:wrap="around" w:y="14176"/>
        <w:pBdr>
          <w:top w:val="none" w:color="auto" w:sz="0" w:space="0"/>
          <w:left w:val="none" w:color="auto" w:sz="0" w:space="0"/>
          <w:bottom w:val="none" w:color="auto" w:sz="0" w:space="0"/>
          <w:right w:val="none" w:color="auto" w:sz="0" w:space="0"/>
        </w:pBdr>
        <w:rPr>
          <w:rFonts w:hint="default" w:ascii="Times New Roman" w:hAnsi="Times New Roman" w:cs="Times New Roman"/>
          <w:color w:val="auto"/>
          <w:highlight w:val="none"/>
        </w:rPr>
      </w:pPr>
      <w:r>
        <w:rPr>
          <w:rFonts w:hint="eastAsia" w:cs="Times New Roman"/>
          <w:b/>
          <w:bCs/>
          <w:color w:val="auto"/>
          <w:highlight w:val="none"/>
          <w:lang w:val="en-US" w:eastAsia="zh-CN"/>
        </w:rPr>
        <w:t>2026</w:t>
      </w:r>
      <w:r>
        <w:rPr>
          <w:rFonts w:hint="default" w:ascii="Times New Roman" w:hAnsi="Times New Roman" w:cs="Times New Roman"/>
          <w:b/>
          <w:bCs/>
          <w:color w:val="auto"/>
          <w:highlight w:val="none"/>
        </w:rPr>
        <w:t xml:space="preserve"> - XX - XX 发布</w:t>
      </w:r>
    </w:p>
    <w:p w14:paraId="7C7FD074">
      <w:pPr>
        <w:pStyle w:val="196"/>
        <w:framePr w:wrap="around" w:y="14176"/>
        <w:pBdr>
          <w:top w:val="none" w:color="auto" w:sz="0" w:space="0"/>
          <w:left w:val="none" w:color="auto" w:sz="0" w:space="0"/>
          <w:bottom w:val="none" w:color="auto" w:sz="0" w:space="0"/>
          <w:right w:val="none" w:color="auto" w:sz="0" w:space="0"/>
        </w:pBdr>
        <w:ind w:left="5250"/>
        <w:rPr>
          <w:rFonts w:hint="default" w:ascii="Times New Roman" w:hAnsi="Times New Roman" w:cs="Times New Roman"/>
          <w:color w:val="auto"/>
          <w:highlight w:val="none"/>
        </w:rPr>
      </w:pPr>
      <w:r>
        <w:rPr>
          <w:rFonts w:hint="default" w:ascii="Times New Roman" w:hAnsi="Times New Roman" w:cs="Times New Roman"/>
          <w:color w:val="auto"/>
          <w:highlight w:val="none"/>
        </w:rPr>
        <w:t xml:space="preserve"> - </w:t>
      </w:r>
      <w:r>
        <w:rPr>
          <w:rFonts w:hint="default" w:ascii="Times New Roman" w:hAnsi="Times New Roman" w:cs="Times New Roman"/>
          <w:color w:val="auto"/>
          <w:highlight w:val="none"/>
        </w:rPr>
        <w:fldChar w:fldCharType="begin">
          <w:ffData>
            <w:name w:val="PLSH_DATE_M"/>
            <w:enabled/>
            <w:calcOnExit w:val="0"/>
            <w:textInput>
              <w:default w:val="XX"/>
              <w:maxLength w:val="2"/>
            </w:textInput>
          </w:ffData>
        </w:fldChar>
      </w:r>
      <w:bookmarkStart w:id="1" w:name="PLSH_DATE_M"/>
      <w:r>
        <w:rPr>
          <w:rFonts w:hint="default" w:ascii="Times New Roman" w:hAnsi="Times New Roman" w:cs="Times New Roman"/>
          <w:color w:val="auto"/>
          <w:highlight w:val="none"/>
        </w:rPr>
        <w:instrText xml:space="preserve"> FORMTEXT </w:instrText>
      </w:r>
      <w:r>
        <w:rPr>
          <w:rFonts w:hint="default" w:ascii="Times New Roman" w:hAnsi="Times New Roman" w:cs="Times New Roman"/>
          <w:color w:val="auto"/>
          <w:highlight w:val="none"/>
        </w:rPr>
        <w:fldChar w:fldCharType="separate"/>
      </w:r>
      <w:r>
        <w:rPr>
          <w:rFonts w:hint="default" w:ascii="Times New Roman" w:hAnsi="Times New Roman" w:cs="Times New Roman"/>
          <w:color w:val="auto"/>
          <w:highlight w:val="none"/>
        </w:rPr>
        <w:t>XX</w:t>
      </w:r>
      <w:r>
        <w:rPr>
          <w:rFonts w:hint="default" w:ascii="Times New Roman" w:hAnsi="Times New Roman" w:cs="Times New Roman"/>
          <w:color w:val="auto"/>
          <w:highlight w:val="none"/>
        </w:rPr>
        <w:fldChar w:fldCharType="end"/>
      </w:r>
      <w:bookmarkEnd w:id="1"/>
      <w:r>
        <w:rPr>
          <w:rFonts w:hint="default" w:ascii="Times New Roman" w:hAnsi="Times New Roman" w:cs="Times New Roman"/>
          <w:color w:val="auto"/>
          <w:highlight w:val="none"/>
        </w:rPr>
        <w:t xml:space="preserve"> - </w:t>
      </w:r>
      <w:r>
        <w:rPr>
          <w:rFonts w:hint="default" w:ascii="Times New Roman" w:hAnsi="Times New Roman" w:cs="Times New Roman"/>
          <w:color w:val="auto"/>
          <w:highlight w:val="none"/>
        </w:rPr>
        <w:fldChar w:fldCharType="begin">
          <w:ffData>
            <w:name w:val="PLSH_DATE_D"/>
            <w:enabled/>
            <w:calcOnExit w:val="0"/>
            <w:textInput>
              <w:default w:val="XX"/>
              <w:maxLength w:val="2"/>
            </w:textInput>
          </w:ffData>
        </w:fldChar>
      </w:r>
      <w:bookmarkStart w:id="2" w:name="PLSH_DATE_D"/>
      <w:r>
        <w:rPr>
          <w:rFonts w:hint="default" w:ascii="Times New Roman" w:hAnsi="Times New Roman" w:cs="Times New Roman"/>
          <w:color w:val="auto"/>
          <w:highlight w:val="none"/>
        </w:rPr>
        <w:instrText xml:space="preserve"> FORMTEXT </w:instrText>
      </w:r>
      <w:r>
        <w:rPr>
          <w:rFonts w:hint="default" w:ascii="Times New Roman" w:hAnsi="Times New Roman" w:cs="Times New Roman"/>
          <w:color w:val="auto"/>
          <w:highlight w:val="none"/>
        </w:rPr>
        <w:fldChar w:fldCharType="separate"/>
      </w:r>
      <w:r>
        <w:rPr>
          <w:rFonts w:hint="default" w:ascii="Times New Roman" w:hAnsi="Times New Roman" w:cs="Times New Roman"/>
          <w:color w:val="auto"/>
          <w:highlight w:val="none"/>
        </w:rPr>
        <w:t>XX</w:t>
      </w:r>
      <w:r>
        <w:rPr>
          <w:rFonts w:hint="default" w:ascii="Times New Roman" w:hAnsi="Times New Roman" w:cs="Times New Roman"/>
          <w:color w:val="auto"/>
          <w:highlight w:val="none"/>
        </w:rPr>
        <w:fldChar w:fldCharType="end"/>
      </w:r>
      <w:bookmarkEnd w:id="2"/>
      <w:r>
        <w:rPr>
          <w:rFonts w:hint="default" w:ascii="Times New Roman" w:hAnsi="Times New Roman" w:cs="Times New Roman"/>
          <w:color w:val="auto"/>
          <w:highlight w:val="none"/>
        </w:rPr>
        <w:t>发布</w:t>
      </w:r>
    </w:p>
    <w:p w14:paraId="66328FA8">
      <w:pPr>
        <w:pStyle w:val="197"/>
        <w:framePr w:wrap="around" w:y="14176"/>
        <w:pBdr>
          <w:top w:val="none" w:color="auto" w:sz="0" w:space="0"/>
          <w:left w:val="none" w:color="auto" w:sz="0" w:space="0"/>
          <w:bottom w:val="none" w:color="auto" w:sz="0" w:space="0"/>
          <w:right w:val="none" w:color="auto" w:sz="0" w:space="0"/>
        </w:pBdr>
        <w:rPr>
          <w:rFonts w:hint="default" w:ascii="Times New Roman" w:hAnsi="Times New Roman" w:cs="Times New Roman"/>
          <w:b/>
          <w:bCs/>
          <w:color w:val="auto"/>
          <w:highlight w:val="none"/>
        </w:rPr>
      </w:pPr>
      <w:r>
        <w:rPr>
          <w:rFonts w:hint="default" w:cs="Times New Roman"/>
          <w:b/>
          <w:bCs/>
          <w:color w:val="auto"/>
          <w:highlight w:val="none"/>
          <w:lang w:val="en-US" w:eastAsia="zh-CN"/>
        </w:rPr>
        <w:t>2026</w:t>
      </w:r>
      <w:r>
        <w:rPr>
          <w:rFonts w:hint="eastAsia" w:cs="Times New Roman"/>
          <w:b/>
          <w:bCs/>
          <w:color w:val="auto"/>
          <w:highlight w:val="none"/>
          <w:lang w:val="en-US" w:eastAsia="zh-CN"/>
        </w:rPr>
        <w:t xml:space="preserve"> </w:t>
      </w:r>
      <w:r>
        <w:rPr>
          <w:rFonts w:hint="default" w:ascii="Times New Roman" w:hAnsi="Times New Roman" w:cs="Times New Roman"/>
          <w:b/>
          <w:bCs/>
          <w:color w:val="auto"/>
          <w:highlight w:val="none"/>
        </w:rPr>
        <w:t>- XX - XX 实施</w:t>
      </w:r>
    </w:p>
    <w:p w14:paraId="7CF55EF7">
      <w:pPr>
        <w:pStyle w:val="154"/>
        <w:framePr w:h="1084" w:hRule="exact" w:hSpace="181" w:vSpace="181" w:wrap="around" w:vAnchor="page" w:hAnchor="page" w:x="2460" w:y="15046"/>
        <w:rPr>
          <w:rFonts w:hint="default" w:ascii="Times New Roman" w:hAnsi="Times New Roman" w:cs="Times New Roman"/>
          <w:b/>
          <w:bCs/>
          <w:color w:val="auto"/>
          <w:w w:val="100"/>
          <w:sz w:val="28"/>
          <w:highlight w:val="none"/>
        </w:rPr>
      </w:pPr>
      <w:r>
        <w:rPr>
          <w:rFonts w:hint="default" w:ascii="Times New Roman" w:hAnsi="Times New Roman" w:cs="Times New Roman"/>
          <w:b/>
          <w:bCs/>
          <w:color w:val="auto"/>
          <w:w w:val="100"/>
          <w:sz w:val="28"/>
          <w:highlight w:val="none"/>
        </w:rPr>
        <w:t>中国电力建设企业协会</w:t>
      </w:r>
    </w:p>
    <w:p w14:paraId="1260ED3D">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default" w:ascii="Times New Roman" w:hAnsi="Times New Roman" w:cs="Times New Roman"/>
          <w:color w:val="auto"/>
          <w:sz w:val="28"/>
          <w:highlight w:val="none"/>
        </w:rPr>
        <mc:AlternateContent>
          <mc:Choice Requires="wps">
            <w:drawing>
              <wp:anchor distT="0" distB="0" distL="114300" distR="114300" simplePos="0" relativeHeight="251662336" behindDoc="0" locked="0" layoutInCell="1" allowOverlap="1">
                <wp:simplePos x="0" y="0"/>
                <wp:positionH relativeFrom="column">
                  <wp:posOffset>3998595</wp:posOffset>
                </wp:positionH>
                <wp:positionV relativeFrom="paragraph">
                  <wp:posOffset>8233410</wp:posOffset>
                </wp:positionV>
                <wp:extent cx="726440" cy="415290"/>
                <wp:effectExtent l="0" t="0" r="0" b="0"/>
                <wp:wrapNone/>
                <wp:docPr id="8" name="文本框 8"/>
                <wp:cNvGraphicFramePr/>
                <a:graphic xmlns:a="http://schemas.openxmlformats.org/drawingml/2006/main">
                  <a:graphicData uri="http://schemas.microsoft.com/office/word/2010/wordprocessingShape">
                    <wps:wsp>
                      <wps:cNvSpPr txBox="1"/>
                      <wps:spPr>
                        <a:xfrm>
                          <a:off x="0" y="0"/>
                          <a:ext cx="726440" cy="4152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073DCE">
                            <w:r>
                              <w:rPr>
                                <w:rFonts w:hint="eastAsia" w:ascii="黑体" w:hAnsi="黑体" w:eastAsia="黑体" w:cs="黑体"/>
                                <w:b/>
                                <w:bCs/>
                                <w:sz w:val="28"/>
                              </w:rPr>
                              <w:t>发  布</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14.85pt;margin-top:648.3pt;height:32.7pt;width:57.2pt;z-index:251662336;mso-width-relative:page;mso-height-relative:page;" filled="f" stroked="f" coordsize="21600,21600" o:gfxdata="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Uu5VId0AAAANAQAADwAAAAAAAAABACAAAAAiAAAA&#10;ZHJzL2Rvd25yZXYueG1sUEsBAhQAFAAAAAgAh07iQPVrbgU7AgAAZQQAAA4AAAAAAAAAAQAgAAAA&#10;LAEAAGRycy9lMm9Eb2MueG1sUEsFBgAAAAAGAAYAWQEAANkFAAAAAA==&#10;">
                <v:fill on="f" focussize="0,0"/>
                <v:stroke on="f" weight="0.5pt"/>
                <v:imagedata o:title=""/>
                <o:lock v:ext="edit" aspectratio="f"/>
                <v:textbox>
                  <w:txbxContent>
                    <w:p w14:paraId="4C073DCE">
                      <w:r>
                        <w:rPr>
                          <w:rFonts w:hint="eastAsia" w:ascii="黑体" w:hAnsi="黑体" w:eastAsia="黑体" w:cs="黑体"/>
                          <w:b/>
                          <w:bCs/>
                          <w:sz w:val="28"/>
                        </w:rPr>
                        <w:t>发  布</w:t>
                      </w:r>
                    </w:p>
                  </w:txbxContent>
                </v:textbox>
              </v:shape>
            </w:pict>
          </mc:Fallback>
        </mc:AlternateContent>
      </w:r>
      <w:r>
        <w:rPr>
          <w:rFonts w:hint="eastAsia" w:ascii="宋体" w:hAnsi="宋体"/>
          <w:sz w:val="28"/>
          <w:szCs w:val="28"/>
        </w:rPr>
        <mc:AlternateContent>
          <mc:Choice Requires="wps">
            <w:drawing>
              <wp:anchor distT="0" distB="0" distL="114300" distR="114300" simplePos="0" relativeHeight="251659264"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59264;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B79F85B">
      <w:pPr>
        <w:pStyle w:val="94"/>
        <w:spacing w:after="360"/>
      </w:pPr>
      <w:bookmarkStart w:id="3" w:name="BookMark1"/>
      <w:bookmarkStart w:id="4" w:name="_Toc226548541"/>
      <w:bookmarkStart w:id="5" w:name="_Toc223615556"/>
      <w:bookmarkStart w:id="6" w:name="_Toc223615572"/>
      <w:bookmarkStart w:id="7" w:name="_Toc223697435"/>
      <w:bookmarkStart w:id="8" w:name="_Toc223697465"/>
      <w:bookmarkStart w:id="9" w:name="_Toc225345377"/>
      <w:bookmarkStart w:id="10" w:name="_Toc223708324"/>
      <w:bookmarkStart w:id="11" w:name="_Toc227569865"/>
      <w:r>
        <w:rPr>
          <w:rFonts w:hint="eastAsia"/>
          <w:spacing w:val="320"/>
        </w:rPr>
        <w:t>目</w:t>
      </w:r>
      <w:r>
        <w:rPr>
          <w:rFonts w:hint="eastAsia"/>
        </w:rPr>
        <w:t>次</w:t>
      </w:r>
    </w:p>
    <w:p w14:paraId="01398192">
      <w:pPr>
        <w:pStyle w:val="21"/>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w:instrText>
      </w:r>
      <w:r>
        <w:fldChar w:fldCharType="separate"/>
      </w:r>
      <w:r>
        <w:fldChar w:fldCharType="begin"/>
      </w:r>
      <w:r>
        <w:instrText xml:space="preserve"> HYPERLINK \l "_Toc227577021" </w:instrText>
      </w:r>
      <w:r>
        <w:fldChar w:fldCharType="separate"/>
      </w:r>
      <w:r>
        <w:rPr>
          <w:rStyle w:val="34"/>
          <w:rFonts w:hint="eastAsia"/>
        </w:rPr>
        <w:t>前言</w:t>
      </w:r>
      <w:r>
        <w:rPr>
          <w:rFonts w:hint="eastAsia"/>
        </w:rPr>
        <w:tab/>
      </w:r>
      <w:r>
        <w:rPr>
          <w:rFonts w:hint="eastAsia"/>
        </w:rPr>
        <w:fldChar w:fldCharType="begin"/>
      </w:r>
      <w:r>
        <w:rPr>
          <w:rFonts w:hint="eastAsia"/>
        </w:rPr>
        <w:instrText xml:space="preserve"> </w:instrText>
      </w:r>
      <w:r>
        <w:instrText xml:space="preserve">PAGEREF _Toc227577021 \h</w:instrText>
      </w:r>
      <w:r>
        <w:rPr>
          <w:rFonts w:hint="eastAsia"/>
        </w:rPr>
        <w:instrText xml:space="preserve"> </w:instrText>
      </w:r>
      <w:r>
        <w:rPr>
          <w:rFonts w:hint="eastAsia"/>
        </w:rPr>
        <w:fldChar w:fldCharType="separate"/>
      </w:r>
      <w:r>
        <w:t>II</w:t>
      </w:r>
      <w:r>
        <w:rPr>
          <w:rFonts w:hint="eastAsia"/>
        </w:rPr>
        <w:fldChar w:fldCharType="end"/>
      </w:r>
      <w:r>
        <w:rPr>
          <w:rFonts w:hint="eastAsia"/>
        </w:rPr>
        <w:fldChar w:fldCharType="end"/>
      </w:r>
    </w:p>
    <w:p w14:paraId="162C6E98">
      <w:pPr>
        <w:pStyle w:val="21"/>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"_Toc227577022" </w:instrText>
      </w:r>
      <w:r>
        <w:fldChar w:fldCharType="separate"/>
      </w:r>
      <w:r>
        <w:rPr>
          <w:rStyle w:val="34"/>
          <w:rFonts w:hint="eastAsia"/>
        </w:rPr>
        <w:t>1</w:t>
      </w:r>
      <w:r>
        <w:rPr>
          <w:rStyle w:val="34"/>
        </w:rPr>
        <w:t xml:space="preserve"> </w:t>
      </w:r>
      <w:r>
        <w:rPr>
          <w:rStyle w:val="34"/>
          <w:rFonts w:hint="eastAsia"/>
        </w:rPr>
        <w:t xml:space="preserve"> 范围</w:t>
      </w:r>
      <w:r>
        <w:rPr>
          <w:rFonts w:hint="eastAsia"/>
        </w:rPr>
        <w:tab/>
      </w:r>
      <w:r>
        <w:rPr>
          <w:rFonts w:hint="eastAsia"/>
        </w:rPr>
        <w:fldChar w:fldCharType="begin"/>
      </w:r>
      <w:r>
        <w:rPr>
          <w:rFonts w:hint="eastAsia"/>
        </w:rPr>
        <w:instrText xml:space="preserve"> </w:instrText>
      </w:r>
      <w:r>
        <w:instrText xml:space="preserve">PAGEREF _Toc227577022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419B8BAC">
      <w:pPr>
        <w:pStyle w:val="21"/>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"_Toc227577023" </w:instrText>
      </w:r>
      <w:r>
        <w:fldChar w:fldCharType="separate"/>
      </w:r>
      <w:r>
        <w:rPr>
          <w:rStyle w:val="34"/>
          <w:rFonts w:hint="eastAsia"/>
        </w:rPr>
        <w:t>2</w:t>
      </w:r>
      <w:r>
        <w:rPr>
          <w:rStyle w:val="34"/>
        </w:rPr>
        <w:t xml:space="preserve"> </w:t>
      </w:r>
      <w:r>
        <w:rPr>
          <w:rStyle w:val="34"/>
          <w:rFonts w:hint="eastAsia"/>
        </w:rPr>
        <w:t xml:space="preserve"> 规范性引用文件</w:t>
      </w:r>
      <w:r>
        <w:rPr>
          <w:rFonts w:hint="eastAsia"/>
        </w:rPr>
        <w:tab/>
      </w:r>
      <w:r>
        <w:rPr>
          <w:rFonts w:hint="eastAsia"/>
        </w:rPr>
        <w:fldChar w:fldCharType="begin"/>
      </w:r>
      <w:r>
        <w:rPr>
          <w:rFonts w:hint="eastAsia"/>
        </w:rPr>
        <w:instrText xml:space="preserve"> </w:instrText>
      </w:r>
      <w:r>
        <w:instrText xml:space="preserve">PAGEREF _Toc227577023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74A0B49">
      <w:pPr>
        <w:pStyle w:val="21"/>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"_Toc227577024" </w:instrText>
      </w:r>
      <w:r>
        <w:fldChar w:fldCharType="separate"/>
      </w:r>
      <w:r>
        <w:rPr>
          <w:rStyle w:val="34"/>
          <w:rFonts w:hint="eastAsia"/>
        </w:rPr>
        <w:t>3</w:t>
      </w:r>
      <w:r>
        <w:rPr>
          <w:rStyle w:val="34"/>
        </w:rPr>
        <w:t xml:space="preserve"> </w:t>
      </w:r>
      <w:r>
        <w:rPr>
          <w:rStyle w:val="34"/>
          <w:rFonts w:hint="eastAsia"/>
        </w:rPr>
        <w:t xml:space="preserve"> 术语和定义</w:t>
      </w:r>
      <w:r>
        <w:rPr>
          <w:rFonts w:hint="eastAsia"/>
        </w:rPr>
        <w:tab/>
      </w:r>
      <w:r>
        <w:rPr>
          <w:rFonts w:hint="eastAsia"/>
        </w:rPr>
        <w:fldChar w:fldCharType="begin"/>
      </w:r>
      <w:r>
        <w:rPr>
          <w:rFonts w:hint="eastAsia"/>
        </w:rPr>
        <w:instrText xml:space="preserve"> </w:instrText>
      </w:r>
      <w:r>
        <w:instrText xml:space="preserve">PAGEREF _Toc227577024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3E9F9762">
      <w:pPr>
        <w:pStyle w:val="21"/>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"_Toc227577025" </w:instrText>
      </w:r>
      <w:r>
        <w:fldChar w:fldCharType="separate"/>
      </w:r>
      <w:r>
        <w:rPr>
          <w:rStyle w:val="34"/>
          <w:rFonts w:hint="eastAsia"/>
        </w:rPr>
        <w:t>4</w:t>
      </w:r>
      <w:r>
        <w:rPr>
          <w:rStyle w:val="34"/>
        </w:rPr>
        <w:t xml:space="preserve"> </w:t>
      </w:r>
      <w:r>
        <w:rPr>
          <w:rStyle w:val="34"/>
          <w:rFonts w:hint="eastAsia"/>
        </w:rPr>
        <w:t xml:space="preserve"> 基本规定</w:t>
      </w:r>
      <w:r>
        <w:rPr>
          <w:rFonts w:hint="eastAsia"/>
        </w:rPr>
        <w:tab/>
      </w:r>
      <w:r>
        <w:rPr>
          <w:rFonts w:hint="eastAsia"/>
        </w:rPr>
        <w:fldChar w:fldCharType="begin"/>
      </w:r>
      <w:r>
        <w:rPr>
          <w:rFonts w:hint="eastAsia"/>
        </w:rPr>
        <w:instrText xml:space="preserve"> </w:instrText>
      </w:r>
      <w:r>
        <w:instrText xml:space="preserve">PAGEREF _Toc227577025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0B7F565C">
      <w:pPr>
        <w:pStyle w:val="21"/>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"_Toc227577026" </w:instrText>
      </w:r>
      <w:r>
        <w:fldChar w:fldCharType="separate"/>
      </w:r>
      <w:r>
        <w:rPr>
          <w:rStyle w:val="34"/>
          <w:rFonts w:hint="eastAsia"/>
        </w:rPr>
        <w:t>5</w:t>
      </w:r>
      <w:r>
        <w:rPr>
          <w:rStyle w:val="34"/>
        </w:rPr>
        <w:t xml:space="preserve"> </w:t>
      </w:r>
      <w:r>
        <w:rPr>
          <w:rStyle w:val="34"/>
          <w:rFonts w:hint="eastAsia"/>
        </w:rPr>
        <w:t xml:space="preserve"> 材料</w:t>
      </w:r>
      <w:r>
        <w:rPr>
          <w:rFonts w:hint="eastAsia"/>
        </w:rPr>
        <w:tab/>
      </w:r>
      <w:r>
        <w:rPr>
          <w:rFonts w:hint="eastAsia"/>
        </w:rPr>
        <w:fldChar w:fldCharType="begin"/>
      </w:r>
      <w:r>
        <w:rPr>
          <w:rFonts w:hint="eastAsia"/>
        </w:rPr>
        <w:instrText xml:space="preserve"> </w:instrText>
      </w:r>
      <w:r>
        <w:instrText xml:space="preserve">PAGEREF _Toc227577026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2F20AD0A">
      <w:pPr>
        <w:pStyle w:val="21"/>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"_Toc227577027" </w:instrText>
      </w:r>
      <w:r>
        <w:fldChar w:fldCharType="separate"/>
      </w:r>
      <w:r>
        <w:rPr>
          <w:rStyle w:val="34"/>
          <w:rFonts w:hint="eastAsia"/>
        </w:rPr>
        <w:t>6</w:t>
      </w:r>
      <w:r>
        <w:rPr>
          <w:rStyle w:val="34"/>
        </w:rPr>
        <w:t xml:space="preserve"> </w:t>
      </w:r>
      <w:r>
        <w:rPr>
          <w:rStyle w:val="34"/>
          <w:rFonts w:hint="eastAsia"/>
        </w:rPr>
        <w:t xml:space="preserve"> 技术要求</w:t>
      </w:r>
      <w:r>
        <w:rPr>
          <w:rFonts w:hint="eastAsia"/>
        </w:rPr>
        <w:tab/>
      </w:r>
      <w:r>
        <w:rPr>
          <w:rFonts w:hint="eastAsia"/>
        </w:rPr>
        <w:fldChar w:fldCharType="begin"/>
      </w:r>
      <w:r>
        <w:rPr>
          <w:rFonts w:hint="eastAsia"/>
        </w:rPr>
        <w:instrText xml:space="preserve"> </w:instrText>
      </w:r>
      <w:r>
        <w:instrText xml:space="preserve">PAGEREF _Toc227577027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139B1328">
      <w:pPr>
        <w:pStyle w:val="21"/>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"_Toc227577028" </w:instrText>
      </w:r>
      <w:r>
        <w:fldChar w:fldCharType="separate"/>
      </w:r>
      <w:r>
        <w:rPr>
          <w:rStyle w:val="34"/>
          <w:rFonts w:hint="eastAsia"/>
        </w:rPr>
        <w:t>7</w:t>
      </w:r>
      <w:r>
        <w:rPr>
          <w:rStyle w:val="34"/>
        </w:rPr>
        <w:t xml:space="preserve"> </w:t>
      </w:r>
      <w:r>
        <w:rPr>
          <w:rStyle w:val="34"/>
          <w:rFonts w:hint="eastAsia"/>
        </w:rPr>
        <w:t xml:space="preserve"> 施工工艺</w:t>
      </w:r>
      <w:r>
        <w:rPr>
          <w:rFonts w:hint="eastAsia"/>
        </w:rPr>
        <w:tab/>
      </w:r>
      <w:r>
        <w:rPr>
          <w:rFonts w:hint="eastAsia"/>
        </w:rPr>
        <w:fldChar w:fldCharType="begin"/>
      </w:r>
      <w:r>
        <w:rPr>
          <w:rFonts w:hint="eastAsia"/>
        </w:rPr>
        <w:instrText xml:space="preserve"> </w:instrText>
      </w:r>
      <w:r>
        <w:instrText xml:space="preserve">PAGEREF _Toc227577028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3F3A93B0">
      <w:pPr>
        <w:pStyle w:val="21"/>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"_Toc227577029" </w:instrText>
      </w:r>
      <w:r>
        <w:fldChar w:fldCharType="separate"/>
      </w:r>
      <w:r>
        <w:rPr>
          <w:rStyle w:val="34"/>
          <w:rFonts w:hint="eastAsia"/>
        </w:rPr>
        <w:t>8</w:t>
      </w:r>
      <w:r>
        <w:rPr>
          <w:rStyle w:val="34"/>
        </w:rPr>
        <w:t xml:space="preserve"> </w:t>
      </w:r>
      <w:r>
        <w:rPr>
          <w:rStyle w:val="34"/>
          <w:rFonts w:hint="eastAsia"/>
        </w:rPr>
        <w:t xml:space="preserve"> 试验检验</w:t>
      </w:r>
      <w:r>
        <w:rPr>
          <w:rFonts w:hint="eastAsia"/>
        </w:rPr>
        <w:tab/>
      </w:r>
      <w:r>
        <w:rPr>
          <w:rFonts w:hint="eastAsia"/>
        </w:rPr>
        <w:fldChar w:fldCharType="begin"/>
      </w:r>
      <w:r>
        <w:rPr>
          <w:rFonts w:hint="eastAsia"/>
        </w:rPr>
        <w:instrText xml:space="preserve"> </w:instrText>
      </w:r>
      <w:r>
        <w:instrText xml:space="preserve">PAGEREF _Toc227577029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45409C95">
      <w:pPr>
        <w:pStyle w:val="21"/>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"_Toc227577030" </w:instrText>
      </w:r>
      <w:r>
        <w:fldChar w:fldCharType="separate"/>
      </w:r>
      <w:r>
        <w:rPr>
          <w:rStyle w:val="34"/>
          <w:rFonts w:hint="eastAsia"/>
        </w:rPr>
        <w:t>9</w:t>
      </w:r>
      <w:r>
        <w:rPr>
          <w:rStyle w:val="34"/>
        </w:rPr>
        <w:t xml:space="preserve"> </w:t>
      </w:r>
      <w:r>
        <w:rPr>
          <w:rStyle w:val="34"/>
          <w:rFonts w:hint="eastAsia"/>
        </w:rPr>
        <w:t xml:space="preserve"> 验收</w:t>
      </w:r>
      <w:r>
        <w:rPr>
          <w:rFonts w:hint="eastAsia"/>
        </w:rPr>
        <w:tab/>
      </w:r>
      <w:r>
        <w:rPr>
          <w:rFonts w:hint="eastAsia"/>
        </w:rPr>
        <w:fldChar w:fldCharType="begin"/>
      </w:r>
      <w:r>
        <w:rPr>
          <w:rFonts w:hint="eastAsia"/>
        </w:rPr>
        <w:instrText xml:space="preserve"> </w:instrText>
      </w:r>
      <w:r>
        <w:instrText xml:space="preserve">PAGEREF _Toc227577030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14:paraId="5AC3CB35">
      <w:pPr>
        <w:pStyle w:val="21"/>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"_Toc227577031" </w:instrText>
      </w:r>
      <w:r>
        <w:fldChar w:fldCharType="separate"/>
      </w:r>
      <w:r>
        <w:rPr>
          <w:rStyle w:val="34"/>
          <w:rFonts w:hint="eastAsia"/>
        </w:rPr>
        <w:t>附录A（规范性）</w:t>
      </w:r>
      <w:r>
        <w:rPr>
          <w:rStyle w:val="34"/>
        </w:rPr>
        <w:t xml:space="preserve"> </w:t>
      </w:r>
      <w:r>
        <w:rPr>
          <w:rStyle w:val="34"/>
          <w:rFonts w:hint="eastAsia"/>
        </w:rPr>
        <w:t xml:space="preserve"> 基面情况方案参照表</w:t>
      </w:r>
      <w:r>
        <w:rPr>
          <w:rFonts w:hint="eastAsia"/>
        </w:rPr>
        <w:tab/>
      </w:r>
      <w:r>
        <w:rPr>
          <w:rFonts w:hint="eastAsia"/>
        </w:rPr>
        <w:fldChar w:fldCharType="begin"/>
      </w:r>
      <w:r>
        <w:rPr>
          <w:rFonts w:hint="eastAsia"/>
        </w:rPr>
        <w:instrText xml:space="preserve"> </w:instrText>
      </w:r>
      <w:r>
        <w:instrText xml:space="preserve">PAGEREF _Toc227577031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14:paraId="24578A3F">
      <w:pPr>
        <w:pStyle w:val="21"/>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"_Toc227577032" </w:instrText>
      </w:r>
      <w:r>
        <w:fldChar w:fldCharType="separate"/>
      </w:r>
      <w:r>
        <w:rPr>
          <w:rStyle w:val="34"/>
          <w:rFonts w:hint="eastAsia"/>
        </w:rPr>
        <w:t>附录B（规范性）</w:t>
      </w:r>
      <w:r>
        <w:rPr>
          <w:rStyle w:val="34"/>
        </w:rPr>
        <w:t xml:space="preserve"> </w:t>
      </w:r>
      <w:r>
        <w:rPr>
          <w:rStyle w:val="34"/>
          <w:rFonts w:hint="eastAsia"/>
        </w:rPr>
        <w:t xml:space="preserve"> 常用防腐涂层配套</w:t>
      </w:r>
      <w:r>
        <w:rPr>
          <w:rFonts w:hint="eastAsia"/>
        </w:rPr>
        <w:tab/>
      </w:r>
      <w:r>
        <w:rPr>
          <w:rFonts w:hint="eastAsia"/>
        </w:rPr>
        <w:fldChar w:fldCharType="begin"/>
      </w:r>
      <w:r>
        <w:rPr>
          <w:rFonts w:hint="eastAsia"/>
        </w:rPr>
        <w:instrText xml:space="preserve"> </w:instrText>
      </w:r>
      <w:r>
        <w:instrText xml:space="preserve">PAGEREF _Toc227577032 \h</w:instrText>
      </w:r>
      <w:r>
        <w:rPr>
          <w:rFonts w:hint="eastAsia"/>
        </w:rPr>
        <w:instrText xml:space="preserve"> </w:instrText>
      </w:r>
      <w:r>
        <w:rPr>
          <w:rFonts w:hint="eastAsia"/>
        </w:rPr>
        <w:fldChar w:fldCharType="separate"/>
      </w:r>
      <w:r>
        <w:t>13</w:t>
      </w:r>
      <w:r>
        <w:rPr>
          <w:rFonts w:hint="eastAsia"/>
        </w:rPr>
        <w:fldChar w:fldCharType="end"/>
      </w:r>
      <w:r>
        <w:rPr>
          <w:rFonts w:hint="eastAsia"/>
        </w:rPr>
        <w:fldChar w:fldCharType="end"/>
      </w:r>
    </w:p>
    <w:p w14:paraId="4D5F4C22">
      <w:pPr>
        <w:pStyle w:val="21"/>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"_Toc227577033" </w:instrText>
      </w:r>
      <w:r>
        <w:fldChar w:fldCharType="separate"/>
      </w:r>
      <w:r>
        <w:rPr>
          <w:rStyle w:val="34"/>
          <w:rFonts w:hint="eastAsia"/>
        </w:rPr>
        <w:t>附录C（规范性）</w:t>
      </w:r>
      <w:r>
        <w:rPr>
          <w:rStyle w:val="34"/>
        </w:rPr>
        <w:t xml:space="preserve"> </w:t>
      </w:r>
      <w:r>
        <w:rPr>
          <w:rStyle w:val="34"/>
          <w:rFonts w:hint="eastAsia"/>
        </w:rPr>
        <w:t xml:space="preserve"> 防腐涂层配套产品性能要求</w:t>
      </w:r>
      <w:r>
        <w:rPr>
          <w:rFonts w:hint="eastAsia"/>
        </w:rPr>
        <w:tab/>
      </w:r>
      <w:r>
        <w:rPr>
          <w:rFonts w:hint="eastAsia"/>
        </w:rPr>
        <w:fldChar w:fldCharType="begin"/>
      </w:r>
      <w:r>
        <w:rPr>
          <w:rFonts w:hint="eastAsia"/>
        </w:rPr>
        <w:instrText xml:space="preserve"> </w:instrText>
      </w:r>
      <w:r>
        <w:instrText xml:space="preserve">PAGEREF _Toc227577033 \h</w:instrText>
      </w:r>
      <w:r>
        <w:rPr>
          <w:rFonts w:hint="eastAsia"/>
        </w:rPr>
        <w:instrText xml:space="preserve"> </w:instrText>
      </w:r>
      <w:r>
        <w:rPr>
          <w:rFonts w:hint="eastAsia"/>
        </w:rPr>
        <w:fldChar w:fldCharType="separate"/>
      </w:r>
      <w:r>
        <w:t>15</w:t>
      </w:r>
      <w:r>
        <w:rPr>
          <w:rFonts w:hint="eastAsia"/>
        </w:rPr>
        <w:fldChar w:fldCharType="end"/>
      </w:r>
      <w:r>
        <w:rPr>
          <w:rFonts w:hint="eastAsia"/>
        </w:rPr>
        <w:fldChar w:fldCharType="end"/>
      </w:r>
    </w:p>
    <w:p w14:paraId="5BF8857F">
      <w:pPr>
        <w:pStyle w:val="21"/>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"_Toc227577034" </w:instrText>
      </w:r>
      <w:r>
        <w:fldChar w:fldCharType="separate"/>
      </w:r>
      <w:r>
        <w:rPr>
          <w:rStyle w:val="34"/>
          <w:rFonts w:hint="eastAsia"/>
        </w:rPr>
        <w:t>附录D（资料性）</w:t>
      </w:r>
      <w:r>
        <w:rPr>
          <w:rStyle w:val="34"/>
        </w:rPr>
        <w:t xml:space="preserve"> </w:t>
      </w:r>
      <w:r>
        <w:rPr>
          <w:rStyle w:val="34"/>
          <w:rFonts w:hint="eastAsia"/>
        </w:rPr>
        <w:t xml:space="preserve"> 钢构件防腐涂料涂装工程检验批质量验收记录</w:t>
      </w:r>
      <w:r>
        <w:rPr>
          <w:rFonts w:hint="eastAsia"/>
        </w:rPr>
        <w:tab/>
      </w:r>
      <w:r>
        <w:rPr>
          <w:rFonts w:hint="eastAsia"/>
        </w:rPr>
        <w:fldChar w:fldCharType="begin"/>
      </w:r>
      <w:r>
        <w:rPr>
          <w:rFonts w:hint="eastAsia"/>
        </w:rPr>
        <w:instrText xml:space="preserve"> </w:instrText>
      </w:r>
      <w:r>
        <w:instrText xml:space="preserve">PAGEREF _Toc227577034 \h</w:instrText>
      </w:r>
      <w:r>
        <w:rPr>
          <w:rFonts w:hint="eastAsia"/>
        </w:rPr>
        <w:instrText xml:space="preserve"> </w:instrText>
      </w:r>
      <w:r>
        <w:rPr>
          <w:rFonts w:hint="eastAsia"/>
        </w:rPr>
        <w:fldChar w:fldCharType="separate"/>
      </w:r>
      <w:r>
        <w:t>20</w:t>
      </w:r>
      <w:r>
        <w:rPr>
          <w:rFonts w:hint="eastAsia"/>
        </w:rPr>
        <w:fldChar w:fldCharType="end"/>
      </w:r>
      <w:r>
        <w:rPr>
          <w:rFonts w:hint="eastAsia"/>
        </w:rPr>
        <w:fldChar w:fldCharType="end"/>
      </w:r>
    </w:p>
    <w:p w14:paraId="68264E79">
      <w:pPr>
        <w:pStyle w:val="94"/>
        <w:spacing w:after="36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3"/>
    <w:p w14:paraId="209D6308">
      <w:pPr>
        <w:pStyle w:val="92"/>
        <w:spacing w:before="560" w:after="360"/>
      </w:pPr>
      <w:bookmarkStart w:id="12" w:name="_Toc227577021"/>
      <w:bookmarkStart w:id="13" w:name="BookMark2"/>
      <w:r>
        <w:rPr>
          <w:rFonts w:hint="eastAsia"/>
          <w:spacing w:val="320"/>
        </w:rPr>
        <w:t>前</w:t>
      </w:r>
      <w:r>
        <w:rPr>
          <w:rFonts w:hint="eastAsia"/>
        </w:rPr>
        <w:t>言</w:t>
      </w:r>
      <w:bookmarkEnd w:id="4"/>
      <w:bookmarkEnd w:id="5"/>
      <w:bookmarkEnd w:id="6"/>
      <w:bookmarkEnd w:id="7"/>
      <w:bookmarkEnd w:id="8"/>
      <w:bookmarkEnd w:id="9"/>
      <w:bookmarkEnd w:id="10"/>
      <w:bookmarkEnd w:id="11"/>
      <w:bookmarkEnd w:id="12"/>
    </w:p>
    <w:p w14:paraId="50ECF309">
      <w:pPr>
        <w:pStyle w:val="59"/>
        <w:ind w:firstLine="420"/>
      </w:pPr>
      <w:r>
        <w:rPr>
          <w:rFonts w:hint="eastAsia"/>
        </w:rPr>
        <w:t>本文件按照GB/T 1.1—2020《标准化工作导则  第1部分：标准化文件的结构和起草规则》的规定起草。</w:t>
      </w:r>
    </w:p>
    <w:p w14:paraId="2D3484E6">
      <w:pPr>
        <w:ind w:firstLine="420" w:firstLineChars="200"/>
      </w:pPr>
      <w:r>
        <w:rPr>
          <w:rFonts w:hint="eastAsia"/>
        </w:rPr>
        <w:t>请注意本文件的某些内容可能涉及专利。本文件的发布机构不承担识别专利的责任。</w:t>
      </w:r>
    </w:p>
    <w:p w14:paraId="52DB4338">
      <w:pPr>
        <w:pStyle w:val="59"/>
        <w:ind w:firstLine="420"/>
      </w:pPr>
      <w:r>
        <w:rPr>
          <w:rFonts w:hint="eastAsia"/>
        </w:rPr>
        <w:t>本文件由中国电力建设企业协会提出。</w:t>
      </w:r>
    </w:p>
    <w:p w14:paraId="40AEA91D">
      <w:pPr>
        <w:pStyle w:val="59"/>
        <w:ind w:firstLine="420"/>
      </w:pPr>
      <w:r>
        <w:rPr>
          <w:rFonts w:hint="eastAsia"/>
        </w:rPr>
        <w:t>本文件由中国电力建设企业协会标准化管理委员会提出并归口。</w:t>
      </w:r>
    </w:p>
    <w:p w14:paraId="079A9B59">
      <w:pPr>
        <w:pStyle w:val="59"/>
        <w:ind w:firstLine="420"/>
      </w:pPr>
      <w:r>
        <w:rPr>
          <w:rFonts w:hint="eastAsia"/>
        </w:rPr>
        <w:t>本文件起草单位：</w:t>
      </w:r>
    </w:p>
    <w:p w14:paraId="514668B1">
      <w:pPr>
        <w:pStyle w:val="59"/>
        <w:ind w:firstLine="420"/>
      </w:pPr>
      <w:r>
        <w:rPr>
          <w:rFonts w:hint="eastAsia"/>
        </w:rPr>
        <w:t>本文件主要起草人：</w:t>
      </w:r>
    </w:p>
    <w:p w14:paraId="152B3375">
      <w:pPr>
        <w:pStyle w:val="59"/>
        <w:ind w:firstLine="420"/>
      </w:pPr>
      <w:r>
        <w:rPr>
          <w:rFonts w:hint="eastAsia"/>
        </w:rPr>
        <w:t>本文件在执行过程中的意见或建议反馈至中国电力建设企业协会标准化管理中心（北京市丰台区西四环南路35号中都科技大厦3层，100166）</w:t>
      </w:r>
    </w:p>
    <w:p w14:paraId="3561CB39">
      <w:pPr>
        <w:pStyle w:val="59"/>
        <w:ind w:firstLine="420"/>
      </w:pPr>
    </w:p>
    <w:p w14:paraId="03BE1AA2">
      <w:pPr>
        <w:pStyle w:val="59"/>
        <w:ind w:firstLine="420"/>
        <w:sectPr>
          <w:pgSz w:w="11906" w:h="16838"/>
          <w:pgMar w:top="1928" w:right="1134" w:bottom="1134" w:left="1134" w:header="1418" w:footer="1134" w:gutter="284"/>
          <w:pgNumType w:fmt="upperRoman"/>
          <w:cols w:space="425" w:num="1"/>
          <w:formProt w:val="0"/>
          <w:docGrid w:linePitch="312" w:charSpace="0"/>
        </w:sectPr>
      </w:pPr>
    </w:p>
    <w:bookmarkEnd w:id="13"/>
    <w:p w14:paraId="2F1072EC">
      <w:pPr>
        <w:spacing w:line="20" w:lineRule="exact"/>
        <w:jc w:val="center"/>
        <w:rPr>
          <w:rFonts w:hint="eastAsia" w:ascii="黑体" w:hAnsi="黑体" w:eastAsia="黑体"/>
          <w:sz w:val="32"/>
          <w:szCs w:val="32"/>
        </w:rPr>
      </w:pPr>
      <w:bookmarkStart w:id="14" w:name="BookMark4"/>
    </w:p>
    <w:p w14:paraId="251598CF">
      <w:pPr>
        <w:spacing w:line="20" w:lineRule="exact"/>
        <w:jc w:val="center"/>
        <w:rPr>
          <w:rFonts w:hint="eastAsia" w:ascii="黑体" w:hAnsi="黑体" w:eastAsia="黑体"/>
          <w:sz w:val="32"/>
          <w:szCs w:val="32"/>
        </w:rPr>
      </w:pPr>
    </w:p>
    <w:sdt>
      <w:sdtPr>
        <w:tag w:val="NEW_STAND_NAME"/>
        <w:id w:val="595910757"/>
        <w:lock w:val="sdtLocked"/>
        <w:placeholder>
          <w:docPart w:val="F6B003AFEFA7413FA94435240E86FD21"/>
        </w:placeholder>
      </w:sdtPr>
      <w:sdtContent>
        <w:p w14:paraId="48940535">
          <w:pPr>
            <w:pStyle w:val="180"/>
            <w:spacing w:before="240" w:beforeLines="100" w:after="528" w:afterLines="220"/>
            <w:rPr>
              <w:rFonts w:hint="eastAsia"/>
            </w:rPr>
          </w:pPr>
          <w:bookmarkStart w:id="15" w:name="NEW_STAND_NAME"/>
          <w:r>
            <w:rPr>
              <w:rFonts w:hint="eastAsia"/>
            </w:rPr>
            <w:t>电力钢结构带锈涂装施工及验收规范</w:t>
          </w:r>
        </w:p>
      </w:sdtContent>
    </w:sdt>
    <w:bookmarkEnd w:id="15"/>
    <w:p w14:paraId="71988B15">
      <w:pPr>
        <w:pStyle w:val="107"/>
        <w:spacing w:before="240" w:after="240"/>
      </w:pPr>
      <w:bookmarkStart w:id="16" w:name="_Toc17233325"/>
      <w:bookmarkStart w:id="17" w:name="_Toc227569866"/>
      <w:bookmarkStart w:id="18" w:name="_Toc24884218"/>
      <w:bookmarkStart w:id="19" w:name="_Toc17233333"/>
      <w:bookmarkStart w:id="20" w:name="_Toc26986530"/>
      <w:bookmarkStart w:id="21" w:name="_Toc223615557"/>
      <w:bookmarkStart w:id="22" w:name="_Toc223517249"/>
      <w:bookmarkStart w:id="23" w:name="_Toc223708325"/>
      <w:bookmarkStart w:id="24" w:name="_Toc227577022"/>
      <w:bookmarkStart w:id="25" w:name="_Toc226548542"/>
      <w:bookmarkStart w:id="26" w:name="_Toc26648465"/>
      <w:bookmarkStart w:id="27" w:name="_Toc26986771"/>
      <w:bookmarkStart w:id="28" w:name="_Toc223697436"/>
      <w:bookmarkStart w:id="29" w:name="_Toc225345378"/>
      <w:bookmarkStart w:id="30" w:name="_Toc223615573"/>
      <w:bookmarkStart w:id="31" w:name="_Toc26718930"/>
      <w:bookmarkStart w:id="32" w:name="_Toc24884211"/>
      <w:bookmarkStart w:id="33" w:name="_Toc223697466"/>
      <w:bookmarkStart w:id="34" w:name="_Toc97192964"/>
      <w:r>
        <w:rPr>
          <w:rFonts w:hint="eastAsia"/>
        </w:rPr>
        <w:t>范围</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041C93C0">
      <w:pPr>
        <w:pStyle w:val="59"/>
        <w:ind w:firstLine="420"/>
      </w:pPr>
      <w:bookmarkStart w:id="35" w:name="_Toc26648466"/>
      <w:bookmarkStart w:id="36" w:name="_Toc24884212"/>
      <w:bookmarkStart w:id="37" w:name="_Toc17233326"/>
      <w:bookmarkStart w:id="38" w:name="_Toc24884219"/>
      <w:bookmarkStart w:id="39" w:name="_Toc17233334"/>
      <w:r>
        <w:rPr>
          <w:rFonts w:hint="eastAsia"/>
        </w:rPr>
        <w:t>本文件规定了电力钢构件带锈涂装的防腐材料、技术要求、施工工艺、试验检验及验收。</w:t>
      </w:r>
    </w:p>
    <w:p w14:paraId="575CEE9C">
      <w:pPr>
        <w:pStyle w:val="59"/>
        <w:ind w:firstLine="420"/>
      </w:pPr>
      <w:r>
        <w:rPr>
          <w:rFonts w:hint="eastAsia"/>
        </w:rPr>
        <w:t>本文件适用于电力钢构件带锈涂装施工及验收</w:t>
      </w:r>
    </w:p>
    <w:p w14:paraId="233AC9EA">
      <w:pPr>
        <w:pStyle w:val="107"/>
        <w:spacing w:before="240" w:after="240"/>
      </w:pPr>
      <w:bookmarkStart w:id="40" w:name="_Toc223708326"/>
      <w:bookmarkStart w:id="41" w:name="_Toc227569867"/>
      <w:bookmarkStart w:id="42" w:name="_Toc223697437"/>
      <w:bookmarkStart w:id="43" w:name="_Toc227577023"/>
      <w:bookmarkStart w:id="44" w:name="_Toc223697467"/>
      <w:bookmarkStart w:id="45" w:name="_Toc226548543"/>
      <w:bookmarkStart w:id="46" w:name="_Toc223615558"/>
      <w:bookmarkStart w:id="47" w:name="_Toc223517250"/>
      <w:bookmarkStart w:id="48" w:name="_Toc223615574"/>
      <w:bookmarkStart w:id="49" w:name="_Toc26718931"/>
      <w:bookmarkStart w:id="50" w:name="_Toc26986772"/>
      <w:bookmarkStart w:id="51" w:name="_Toc97192965"/>
      <w:bookmarkStart w:id="52" w:name="_Toc225345379"/>
      <w:bookmarkStart w:id="53" w:name="_Toc26986531"/>
      <w:r>
        <w:rPr>
          <w:rFonts w:hint="eastAsia"/>
        </w:rPr>
        <w:t>规范性引用文件</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sdt>
      <w:sdtPr>
        <w:rPr>
          <w:rFonts w:hint="eastAsia"/>
        </w:rPr>
        <w:id w:val="715848253"/>
        <w:placeholder>
          <w:docPart w:val="4CD6BDB533CC493E942EFEE363E65A5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2160D76C">
          <w:pPr>
            <w:pStyle w:val="59"/>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B3513AB">
      <w:pPr>
        <w:pStyle w:val="59"/>
        <w:ind w:firstLine="420"/>
      </w:pPr>
      <w:r>
        <w:t>GB 30981 工业防护涂料中有害物质限量</w:t>
      </w:r>
    </w:p>
    <w:p w14:paraId="5E403AE5">
      <w:pPr>
        <w:pStyle w:val="59"/>
        <w:ind w:firstLine="420"/>
      </w:pPr>
      <w:r>
        <w:t>GB 50205 钢结构工程施工质量验收标准</w:t>
      </w:r>
    </w:p>
    <w:p w14:paraId="612050BC">
      <w:pPr>
        <w:pStyle w:val="59"/>
        <w:ind w:firstLine="420"/>
      </w:pPr>
      <w:r>
        <w:t>GB 50212 建筑防腐蚀工程施工规范</w:t>
      </w:r>
    </w:p>
    <w:p w14:paraId="2FC62B91">
      <w:pPr>
        <w:pStyle w:val="59"/>
        <w:ind w:firstLine="420"/>
      </w:pPr>
      <w:r>
        <w:t>GB 50726 工业设备及管道防腐蚀工程施工规范</w:t>
      </w:r>
    </w:p>
    <w:p w14:paraId="60822966">
      <w:pPr>
        <w:pStyle w:val="59"/>
        <w:ind w:firstLine="420"/>
      </w:pPr>
      <w:r>
        <w:t>GB 50755 钢结构工程施工规范</w:t>
      </w:r>
    </w:p>
    <w:p w14:paraId="7C7B1215">
      <w:pPr>
        <w:pStyle w:val="59"/>
        <w:ind w:firstLine="420"/>
      </w:pPr>
      <w:r>
        <w:t>GB/T 1725 色漆、清漆和塑料 不挥发物含量的测定</w:t>
      </w:r>
    </w:p>
    <w:p w14:paraId="18719C47">
      <w:pPr>
        <w:pStyle w:val="59"/>
        <w:ind w:firstLine="420"/>
      </w:pPr>
      <w:r>
        <w:t xml:space="preserve">GB/T 1728 </w:t>
      </w:r>
      <w:r>
        <w:rPr>
          <w:rFonts w:hint="eastAsia"/>
        </w:rPr>
        <w:t>漆膜</w:t>
      </w:r>
      <w:r>
        <w:t>、</w:t>
      </w:r>
      <w:r>
        <w:rPr>
          <w:rFonts w:hint="eastAsia"/>
        </w:rPr>
        <w:t>腻子膜</w:t>
      </w:r>
      <w:r>
        <w:t>干燥时间测定</w:t>
      </w:r>
      <w:r>
        <w:rPr>
          <w:rFonts w:hint="eastAsia"/>
        </w:rPr>
        <w:t>法</w:t>
      </w:r>
    </w:p>
    <w:p w14:paraId="598511F4">
      <w:pPr>
        <w:pStyle w:val="59"/>
        <w:ind w:firstLine="420"/>
      </w:pPr>
      <w:r>
        <w:t>GB/T 1732 漆</w:t>
      </w:r>
      <w:r>
        <w:rPr>
          <w:rFonts w:hint="eastAsia"/>
        </w:rPr>
        <w:t>膜</w:t>
      </w:r>
      <w:r>
        <w:t>耐冲击测定</w:t>
      </w:r>
      <w:r>
        <w:rPr>
          <w:rFonts w:hint="eastAsia"/>
        </w:rPr>
        <w:t>法</w:t>
      </w:r>
    </w:p>
    <w:p w14:paraId="610EA664">
      <w:pPr>
        <w:pStyle w:val="59"/>
        <w:ind w:firstLine="420"/>
      </w:pPr>
      <w:r>
        <w:t>GB/T 1733-1993 色漆和清漆 耐水性的测定 浸水法</w:t>
      </w:r>
    </w:p>
    <w:p w14:paraId="0A1221A0">
      <w:pPr>
        <w:pStyle w:val="59"/>
        <w:ind w:firstLine="420"/>
      </w:pPr>
      <w:r>
        <w:rPr>
          <w:rFonts w:hint="eastAsia"/>
        </w:rPr>
        <w:t>GB/T 1740 漆膜耐湿热测定法</w:t>
      </w:r>
    </w:p>
    <w:p w14:paraId="74A09BB0">
      <w:pPr>
        <w:pStyle w:val="59"/>
        <w:ind w:firstLine="420"/>
      </w:pPr>
      <w:r>
        <w:t>GB/T 1766 色漆和清漆 涂层老化的评级方法</w:t>
      </w:r>
    </w:p>
    <w:p w14:paraId="5081A15A">
      <w:pPr>
        <w:pStyle w:val="59"/>
        <w:ind w:firstLine="420"/>
      </w:pPr>
      <w:r>
        <w:rPr>
          <w:rFonts w:hint="eastAsia"/>
        </w:rPr>
        <w:t>GB/T 1865-2009 色漆和清漆 人工气候老化和人工辐射曝露 滤过的氙弧辐射</w:t>
      </w:r>
    </w:p>
    <w:p w14:paraId="1817E1A0">
      <w:pPr>
        <w:pStyle w:val="59"/>
        <w:ind w:firstLine="420"/>
      </w:pPr>
      <w:r>
        <w:t>GB/T 5210 色漆和清漆 拉开法附着力试验</w:t>
      </w:r>
    </w:p>
    <w:p w14:paraId="67376820">
      <w:pPr>
        <w:pStyle w:val="59"/>
        <w:ind w:firstLine="420"/>
      </w:pPr>
      <w:r>
        <w:rPr>
          <w:rFonts w:hint="eastAsia"/>
        </w:rPr>
        <w:t>GB/T 6742 色漆和清漆 弯曲试验（圆柱轴）</w:t>
      </w:r>
    </w:p>
    <w:p w14:paraId="53A28BE2">
      <w:pPr>
        <w:pStyle w:val="59"/>
        <w:ind w:firstLine="420"/>
      </w:pPr>
      <w:r>
        <w:t>GB/T 8923.1 涂覆涂料前钢材表面处理 表面清洁度的目视评定 第1部分：未涂覆过的钢材表面和全面清除原有涂层后的钢材表面的锈蚀等级和处理等级</w:t>
      </w:r>
    </w:p>
    <w:p w14:paraId="1DDD4B66">
      <w:pPr>
        <w:pStyle w:val="59"/>
        <w:ind w:firstLine="420"/>
      </w:pPr>
      <w:r>
        <w:rPr>
          <w:rFonts w:hint="eastAsia"/>
        </w:rPr>
        <w:t>GB/T 9264 色漆和清漆 抗流挂性评定</w:t>
      </w:r>
    </w:p>
    <w:p w14:paraId="4DA249EB">
      <w:pPr>
        <w:pStyle w:val="59"/>
        <w:ind w:firstLine="420"/>
      </w:pPr>
      <w:r>
        <w:t>GB/T 9274</w:t>
      </w:r>
      <w:r>
        <w:rPr>
          <w:rFonts w:hint="eastAsia"/>
        </w:rPr>
        <w:t>-1988</w:t>
      </w:r>
      <w:r>
        <w:t xml:space="preserve"> 色漆和清漆 耐液体介质的测定</w:t>
      </w:r>
    </w:p>
    <w:p w14:paraId="65FA893F">
      <w:pPr>
        <w:pStyle w:val="59"/>
        <w:ind w:firstLine="420"/>
      </w:pPr>
      <w:r>
        <w:t>GB/T 9286 色漆和清漆 划格试验</w:t>
      </w:r>
    </w:p>
    <w:p w14:paraId="57701DA9">
      <w:pPr>
        <w:pStyle w:val="59"/>
        <w:ind w:firstLine="420"/>
      </w:pPr>
      <w:r>
        <w:rPr>
          <w:rFonts w:hint="eastAsia"/>
        </w:rPr>
        <w:t>GB/T 10125 人造气氛腐蚀试验 盐雾试验</w:t>
      </w:r>
    </w:p>
    <w:p w14:paraId="032ECC31">
      <w:pPr>
        <w:pStyle w:val="59"/>
        <w:ind w:firstLine="420"/>
      </w:pPr>
      <w:r>
        <w:t>GB/T 13288.2 涂覆涂料前钢材表面处理 喷射清理后的钢材表面粗糙度特性 第2部分：磨料喷射清理后钢材表面粗糙度等级的测定方法 比较样块法</w:t>
      </w:r>
    </w:p>
    <w:p w14:paraId="355C2794">
      <w:pPr>
        <w:pStyle w:val="59"/>
        <w:ind w:firstLine="420"/>
      </w:pPr>
      <w:r>
        <w:t>GB/T 18570.3 涂覆涂料前钢材表面处理 表面清洁度的评定试验 第3部分：涂覆涂料前钢材表面的灰尘评定（压敏粘带法）</w:t>
      </w:r>
    </w:p>
    <w:p w14:paraId="2B671FF4">
      <w:pPr>
        <w:pStyle w:val="59"/>
        <w:ind w:firstLine="420"/>
      </w:pPr>
      <w:r>
        <w:t>GB/T 19292.1 金属和合金的腐蚀 大气腐蚀性 第1部分：分类、测定和评估</w:t>
      </w:r>
    </w:p>
    <w:p w14:paraId="2E418D30">
      <w:pPr>
        <w:pStyle w:val="59"/>
        <w:ind w:firstLine="420"/>
      </w:pPr>
      <w:r>
        <w:t>GB/T 31586.1 防护涂料体系对钢结构的防腐蚀保护 涂层附着力/内聚力（破坏强度）的评定和验收准则 第1部分：拉开法试验</w:t>
      </w:r>
    </w:p>
    <w:p w14:paraId="23D23119">
      <w:pPr>
        <w:pStyle w:val="59"/>
        <w:ind w:firstLine="420"/>
      </w:pPr>
      <w:r>
        <w:t>GB/T 31586.2 防护涂料体系对钢结构的防腐蚀保护 涂层附着力/内聚力（破坏强度）的评定和验收准则 第2部分：划格试验和划叉试验</w:t>
      </w:r>
    </w:p>
    <w:p w14:paraId="51B24A92">
      <w:pPr>
        <w:pStyle w:val="59"/>
        <w:ind w:firstLine="420"/>
      </w:pPr>
      <w:r>
        <w:t>GB</w:t>
      </w:r>
      <w:r>
        <w:rPr>
          <w:rFonts w:hint="eastAsia"/>
        </w:rPr>
        <w:t>/T</w:t>
      </w:r>
      <w:r>
        <w:t xml:space="preserve"> 50046 工业建筑防腐蚀设计标准</w:t>
      </w:r>
    </w:p>
    <w:p w14:paraId="3FE3AF9C">
      <w:pPr>
        <w:pStyle w:val="59"/>
        <w:ind w:firstLine="420"/>
      </w:pPr>
      <w:r>
        <w:rPr>
          <w:rFonts w:hint="eastAsia"/>
        </w:rPr>
        <w:t xml:space="preserve">GB/T 50224 </w:t>
      </w:r>
      <w:r>
        <w:t>建筑防腐蚀工程施工质量验收标准</w:t>
      </w:r>
    </w:p>
    <w:p w14:paraId="1CD4D515">
      <w:pPr>
        <w:pStyle w:val="59"/>
        <w:ind w:firstLine="420"/>
      </w:pPr>
      <w:r>
        <w:t xml:space="preserve">HG/T 2454 </w:t>
      </w:r>
      <w:r>
        <w:rPr>
          <w:rFonts w:hint="eastAsia"/>
        </w:rPr>
        <w:t>溶剂型</w:t>
      </w:r>
      <w:r>
        <w:t>聚氨酯</w:t>
      </w:r>
      <w:r>
        <w:rPr>
          <w:rFonts w:hint="eastAsia"/>
        </w:rPr>
        <w:t>涂料（双组分）</w:t>
      </w:r>
    </w:p>
    <w:p w14:paraId="2BFF3F34">
      <w:pPr>
        <w:pStyle w:val="59"/>
        <w:ind w:firstLine="420"/>
      </w:pPr>
      <w:r>
        <w:t xml:space="preserve">HG/T 3792 </w:t>
      </w:r>
      <w:r>
        <w:rPr>
          <w:rFonts w:hint="eastAsia"/>
        </w:rPr>
        <w:t>交联型</w:t>
      </w:r>
      <w:r>
        <w:t>氟</w:t>
      </w:r>
      <w:r>
        <w:rPr>
          <w:rFonts w:hint="eastAsia"/>
        </w:rPr>
        <w:t>树脂涂料</w:t>
      </w:r>
    </w:p>
    <w:p w14:paraId="7A2866AF">
      <w:pPr>
        <w:pStyle w:val="59"/>
        <w:ind w:firstLine="420"/>
      </w:pPr>
      <w:r>
        <w:t>HG/T 4755 聚硅氧烷涂料</w:t>
      </w:r>
    </w:p>
    <w:p w14:paraId="7AF83BA3">
      <w:pPr>
        <w:pStyle w:val="59"/>
        <w:ind w:firstLine="420"/>
      </w:pPr>
      <w:r>
        <w:t>ISO 4628 色漆和清漆 漆膜老化的评定 缺陷的</w:t>
      </w:r>
      <w:r>
        <w:rPr>
          <w:rFonts w:hint="eastAsia"/>
        </w:rPr>
        <w:t>变化程度、</w:t>
      </w:r>
      <w:r>
        <w:t>数量和大小</w:t>
      </w:r>
      <w:r>
        <w:rPr>
          <w:rFonts w:hint="eastAsia"/>
        </w:rPr>
        <w:t>规定</w:t>
      </w:r>
    </w:p>
    <w:p w14:paraId="2014C3FE">
      <w:pPr>
        <w:pStyle w:val="107"/>
        <w:spacing w:before="240" w:after="240"/>
      </w:pPr>
      <w:bookmarkStart w:id="54" w:name="_Toc227577024"/>
      <w:bookmarkStart w:id="55" w:name="_Toc227569868"/>
      <w:bookmarkStart w:id="56" w:name="_Toc225345380"/>
      <w:bookmarkStart w:id="57" w:name="_Toc223697438"/>
      <w:bookmarkStart w:id="58" w:name="_Toc223697468"/>
      <w:bookmarkStart w:id="59" w:name="_Toc223708327"/>
      <w:bookmarkStart w:id="60" w:name="_Toc223517251"/>
      <w:bookmarkStart w:id="61" w:name="_Toc97192966"/>
      <w:bookmarkStart w:id="62" w:name="_Toc223615575"/>
      <w:bookmarkStart w:id="63" w:name="_Toc223615559"/>
      <w:bookmarkStart w:id="64" w:name="_Toc226548544"/>
      <w:r>
        <w:rPr>
          <w:rFonts w:hint="eastAsia"/>
          <w:szCs w:val="21"/>
        </w:rPr>
        <w:t>术语和定义</w:t>
      </w:r>
      <w:bookmarkEnd w:id="54"/>
      <w:bookmarkEnd w:id="55"/>
      <w:bookmarkEnd w:id="56"/>
      <w:bookmarkEnd w:id="57"/>
      <w:bookmarkEnd w:id="58"/>
      <w:bookmarkEnd w:id="59"/>
      <w:bookmarkEnd w:id="60"/>
      <w:bookmarkEnd w:id="61"/>
      <w:bookmarkEnd w:id="62"/>
      <w:bookmarkEnd w:id="63"/>
      <w:bookmarkEnd w:id="64"/>
    </w:p>
    <w:sdt>
      <w:sdtPr>
        <w:id w:val="-1909835108"/>
        <w:placeholder>
          <w:docPart w:val="7C791E9776CF44D287A6834D8C2C43FC"/>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7AFB0C7">
          <w:pPr>
            <w:pStyle w:val="59"/>
            <w:ind w:firstLine="420"/>
          </w:pPr>
          <w:bookmarkStart w:id="65" w:name="_Toc26986532"/>
          <w:bookmarkEnd w:id="65"/>
          <w:r>
            <w:t>下列术语和定义适用于本文件。</w:t>
          </w:r>
        </w:p>
      </w:sdtContent>
    </w:sdt>
    <w:p w14:paraId="0A1DA367">
      <w:pPr>
        <w:pStyle w:val="226"/>
        <w:ind w:left="420" w:hanging="420" w:hangingChars="200"/>
        <w:rPr>
          <w:rFonts w:cs="宋体"/>
        </w:rPr>
      </w:pPr>
      <w:r>
        <w:rPr>
          <w:rFonts w:ascii="黑体" w:hAnsi="黑体" w:eastAsia="黑体"/>
        </w:rPr>
        <w:br w:type="textWrapping"/>
      </w:r>
      <w:r>
        <w:rPr>
          <w:rFonts w:hint="eastAsia" w:ascii="黑体" w:hAnsi="黑体" w:eastAsia="黑体"/>
        </w:rPr>
        <w:t xml:space="preserve">钢结构 </w:t>
      </w:r>
      <w:r>
        <w:rPr>
          <w:rFonts w:ascii="Times New Roman" w:eastAsia="黑体"/>
        </w:rPr>
        <w:t>steel structure</w:t>
      </w:r>
    </w:p>
    <w:p w14:paraId="2E12697B">
      <w:pPr>
        <w:pStyle w:val="59"/>
        <w:ind w:firstLine="420"/>
      </w:pPr>
      <w:r>
        <w:rPr>
          <w:rFonts w:hint="eastAsia"/>
        </w:rPr>
        <w:t>以钢板、钢管、热轧型钢或冷加工成型的型钢通过焊接、铆钉或螺栓连接而成的结构。</w:t>
      </w:r>
    </w:p>
    <w:p w14:paraId="13655CF7">
      <w:pPr>
        <w:pStyle w:val="108"/>
        <w:spacing w:before="120" w:after="120"/>
        <w:rPr>
          <w:rFonts w:ascii="Times New Roman"/>
        </w:rPr>
      </w:pPr>
      <w:r>
        <w:rPr>
          <w:rFonts w:hint="eastAsia"/>
        </w:rPr>
        <w:t xml:space="preserve">电力钢结构 </w:t>
      </w:r>
      <w:r>
        <w:rPr>
          <w:rFonts w:hint="eastAsia" w:ascii="Times New Roman"/>
        </w:rPr>
        <w:t>e</w:t>
      </w:r>
      <w:r>
        <w:rPr>
          <w:rFonts w:ascii="Times New Roman"/>
        </w:rPr>
        <w:t>lectric power project steel structure</w:t>
      </w:r>
    </w:p>
    <w:p w14:paraId="32AC3BEF">
      <w:pPr>
        <w:pStyle w:val="59"/>
        <w:ind w:firstLine="420"/>
      </w:pPr>
      <w:r>
        <w:t>电力</w:t>
      </w:r>
      <w:r>
        <w:rPr>
          <w:rFonts w:hint="eastAsia"/>
        </w:rPr>
        <w:t>工程中采用的</w:t>
      </w:r>
      <w:r>
        <w:t>钢结构</w:t>
      </w:r>
      <w:r>
        <w:rPr>
          <w:rFonts w:hint="eastAsia"/>
        </w:rPr>
        <w:t>。</w:t>
      </w:r>
    </w:p>
    <w:p w14:paraId="14840F40">
      <w:pPr>
        <w:pStyle w:val="226"/>
        <w:ind w:left="420" w:hanging="420" w:hangingChars="200"/>
        <w:rPr>
          <w:rFonts w:eastAsia="黑体" w:cs="黑体"/>
        </w:rPr>
      </w:pPr>
      <w:r>
        <w:rPr>
          <w:rFonts w:ascii="黑体" w:hAnsi="黑体" w:eastAsia="黑体"/>
        </w:rPr>
        <w:br w:type="textWrapping"/>
      </w:r>
      <w:r>
        <w:rPr>
          <w:rFonts w:hint="eastAsia" w:ascii="黑体" w:hAnsi="黑体" w:eastAsia="黑体"/>
        </w:rPr>
        <w:t xml:space="preserve">带锈涂装 </w:t>
      </w:r>
      <w:r>
        <w:rPr>
          <w:rFonts w:hint="eastAsia" w:ascii="Times New Roman" w:eastAsia="黑体"/>
        </w:rPr>
        <w:t>c</w:t>
      </w:r>
      <w:r>
        <w:rPr>
          <w:rFonts w:ascii="Times New Roman" w:eastAsia="黑体"/>
        </w:rPr>
        <w:t>oating on rusty substrate</w:t>
      </w:r>
    </w:p>
    <w:p w14:paraId="2949D268">
      <w:pPr>
        <w:pStyle w:val="59"/>
        <w:ind w:firstLine="420"/>
      </w:pPr>
      <w:r>
        <w:rPr>
          <w:rFonts w:hint="eastAsia"/>
        </w:rPr>
        <w:t>电力钢构件表面无需彻底除锈，采用</w:t>
      </w:r>
      <w:r>
        <w:rPr>
          <w:rFonts w:hint="eastAsia" w:cs="宋体"/>
          <w:shd w:val="clear" w:color="auto" w:fill="FFFFFF"/>
        </w:rPr>
        <w:t>带锈转化涂料在达标锈蚀基层直接施工，实现除锈转化与防腐</w:t>
      </w:r>
      <w:r>
        <w:rPr>
          <w:rFonts w:cs="宋体"/>
          <w:shd w:val="clear" w:color="auto" w:fill="FFFFFF"/>
        </w:rPr>
        <w:br w:type="textWrapping"/>
      </w:r>
      <w:r>
        <w:rPr>
          <w:rFonts w:hint="eastAsia" w:cs="宋体"/>
          <w:shd w:val="clear" w:color="auto" w:fill="FFFFFF"/>
        </w:rPr>
        <w:t>防护一体化的涂装工艺。</w:t>
      </w:r>
      <w:r>
        <w:rPr>
          <w:rFonts w:hint="eastAsia" w:cs="Arial"/>
        </w:rPr>
        <w:t xml:space="preserve"> </w:t>
      </w:r>
    </w:p>
    <w:p w14:paraId="1019B68D">
      <w:pPr>
        <w:pStyle w:val="226"/>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 xml:space="preserve">带锈涂装防腐蚀涂层结构 </w:t>
      </w:r>
      <w:r>
        <w:rPr>
          <w:rFonts w:hint="eastAsia" w:ascii="Times New Roman" w:eastAsia="黑体"/>
        </w:rPr>
        <w:t>a</w:t>
      </w:r>
      <w:r>
        <w:rPr>
          <w:rFonts w:ascii="Times New Roman" w:eastAsia="黑体"/>
        </w:rPr>
        <w:t>nti-corrosion coating structure with rust coating</w:t>
      </w:r>
    </w:p>
    <w:p w14:paraId="457CFFBC">
      <w:pPr>
        <w:pStyle w:val="59"/>
        <w:ind w:firstLine="420"/>
      </w:pPr>
      <w:r>
        <w:rPr>
          <w:rFonts w:hint="eastAsia"/>
        </w:rPr>
        <w:t>以带锈转化涂料为底涂，与防腐中间层涂料和防腐面层涂料构成，具有相容性的复合涂层。</w:t>
      </w:r>
    </w:p>
    <w:p w14:paraId="676BB832">
      <w:pPr>
        <w:pStyle w:val="226"/>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 xml:space="preserve">带锈涂装底面合一材料 </w:t>
      </w:r>
      <w:r>
        <w:rPr>
          <w:rFonts w:hint="eastAsia" w:ascii="Times New Roman" w:eastAsia="黑体"/>
        </w:rPr>
        <w:t>r</w:t>
      </w:r>
      <w:r>
        <w:rPr>
          <w:rFonts w:ascii="Times New Roman" w:eastAsia="黑体"/>
        </w:rPr>
        <w:t>ust-tolerant priming – Topcoat integrated anticorrosive coating</w:t>
      </w:r>
    </w:p>
    <w:p w14:paraId="2A863B65">
      <w:pPr>
        <w:pStyle w:val="59"/>
        <w:ind w:firstLine="420"/>
      </w:pPr>
      <w:r>
        <w:rPr>
          <w:rFonts w:hint="eastAsia"/>
        </w:rPr>
        <w:t>可直接涂覆于带锈钢铁结构表面，能同时具备底漆的防锈钝化功能和面漆的耐候保护与装饰功能，且能形成完整保护膜的材料。</w:t>
      </w:r>
    </w:p>
    <w:p w14:paraId="7AA15460">
      <w:pPr>
        <w:pStyle w:val="107"/>
        <w:spacing w:before="240" w:after="240"/>
      </w:pPr>
      <w:bookmarkStart w:id="66" w:name="_Toc223615576"/>
      <w:bookmarkStart w:id="67" w:name="_Toc223708328"/>
      <w:bookmarkStart w:id="68" w:name="_Toc227577025"/>
      <w:bookmarkStart w:id="69" w:name="_Toc223615560"/>
      <w:bookmarkStart w:id="70" w:name="_Toc226548545"/>
      <w:bookmarkStart w:id="71" w:name="_Toc225345381"/>
      <w:bookmarkStart w:id="72" w:name="_Toc223697439"/>
      <w:bookmarkStart w:id="73" w:name="_Toc227569869"/>
      <w:bookmarkStart w:id="74" w:name="_Toc223697469"/>
      <w:r>
        <w:rPr>
          <w:rFonts w:hint="eastAsia"/>
        </w:rPr>
        <w:t>基本规定</w:t>
      </w:r>
      <w:bookmarkEnd w:id="66"/>
      <w:bookmarkEnd w:id="67"/>
      <w:bookmarkEnd w:id="68"/>
      <w:bookmarkEnd w:id="69"/>
      <w:bookmarkEnd w:id="70"/>
      <w:bookmarkEnd w:id="71"/>
      <w:bookmarkEnd w:id="72"/>
      <w:bookmarkEnd w:id="73"/>
      <w:bookmarkEnd w:id="74"/>
      <w:bookmarkStart w:id="75" w:name="_Toc223615561"/>
      <w:bookmarkEnd w:id="75"/>
    </w:p>
    <w:p w14:paraId="1A2EDA0B">
      <w:pPr>
        <w:pStyle w:val="165"/>
      </w:pPr>
      <w:r>
        <w:rPr>
          <w:rFonts w:hint="eastAsia"/>
        </w:rPr>
        <w:t>带锈防腐涂装所用材料应具有产品质量证明文件，其质量和材料性能应合格、有效、配套，进场前应完成验收与检验。</w:t>
      </w:r>
      <w:bookmarkStart w:id="76" w:name="_Toc223615562"/>
      <w:bookmarkEnd w:id="76"/>
    </w:p>
    <w:p w14:paraId="126F9285">
      <w:pPr>
        <w:pStyle w:val="165"/>
      </w:pPr>
      <w:r>
        <w:rPr>
          <w:rFonts w:hint="eastAsia"/>
        </w:rPr>
        <w:t>钢构件带锈涂装施工的环境温度宜为5℃～38℃,相对湿度应不大于85%,且钢构件的表面温度应高于周围空气的露点温度3℃以上。涂装作业环境条件应满足涂料产品说明书要求。</w:t>
      </w:r>
    </w:p>
    <w:p w14:paraId="5D54A679">
      <w:pPr>
        <w:pStyle w:val="165"/>
      </w:pPr>
      <w:r>
        <w:rPr>
          <w:rFonts w:hint="eastAsia"/>
        </w:rPr>
        <w:t>施工单位应编制相应施工方案，完成技术交底，带锈涂装方案应根据钢构件基面情况，按照</w:t>
      </w:r>
      <w:r>
        <w:rPr>
          <w:rFonts w:hint="eastAsia"/>
          <w:highlight w:val="yellow"/>
        </w:rPr>
        <w:t>附录A</w:t>
      </w:r>
      <w:r>
        <w:rPr>
          <w:rFonts w:hint="eastAsia"/>
        </w:rPr>
        <w:t>要求编制。</w:t>
      </w:r>
    </w:p>
    <w:p w14:paraId="1383459A">
      <w:pPr>
        <w:pStyle w:val="165"/>
      </w:pPr>
      <w:r>
        <w:rPr>
          <w:rFonts w:hint="eastAsia"/>
        </w:rPr>
        <w:t>带锈涂装工艺的选用应综合考虑结构的重要性、所处腐蚀介质环境、设计工作年限、维护条件及全寿命周期成本等要素。</w:t>
      </w:r>
    </w:p>
    <w:p w14:paraId="2E11F006">
      <w:pPr>
        <w:pStyle w:val="165"/>
      </w:pPr>
      <w:r>
        <w:rPr>
          <w:rFonts w:hint="eastAsia"/>
        </w:rPr>
        <w:t>涂料、涂装道数、涂层厚度均应满足设计要求,相邻二道涂层的施工间隔时间应符合涂料产品说明书要求。设计文件无要求时,涂层干膜总厚度应满足</w:t>
      </w:r>
      <w:r>
        <w:rPr>
          <w:rFonts w:hint="eastAsia"/>
          <w:highlight w:val="yellow"/>
        </w:rPr>
        <w:t>附录B</w:t>
      </w:r>
      <w:r>
        <w:rPr>
          <w:rFonts w:hint="eastAsia"/>
        </w:rPr>
        <w:t>的要求。</w:t>
      </w:r>
    </w:p>
    <w:p w14:paraId="0131F02C">
      <w:pPr>
        <w:pStyle w:val="165"/>
      </w:pPr>
      <w:r>
        <w:rPr>
          <w:rFonts w:hint="eastAsia"/>
        </w:rPr>
        <w:t>施工全过程应满足安全、环保、职业健康要求。</w:t>
      </w:r>
    </w:p>
    <w:p w14:paraId="73D7813A">
      <w:pPr>
        <w:pStyle w:val="165"/>
      </w:pPr>
      <w:r>
        <w:rPr>
          <w:rFonts w:hint="eastAsia"/>
        </w:rPr>
        <w:t>待涂装前的涂层缺陷程度应按ISO 4628《色漆和清漆 涂层老化的评定 缺陷的变化程度、数量和大小规定》第1部分至第6部分的规定来评定。宜给出与原有涂层有关的补充性资料,包括涂层体系类型、制造厂名、腐蚀性污染物、附着力、涂膜厚度和修复涂覆次数。</w:t>
      </w:r>
    </w:p>
    <w:p w14:paraId="2D858595">
      <w:pPr>
        <w:pStyle w:val="165"/>
      </w:pPr>
      <w:r>
        <w:rPr>
          <w:rFonts w:hint="eastAsia"/>
        </w:rPr>
        <w:t>钢构件涂装材料应考虑与原涂层的兼容性,施工前进行兼容性试验，验证涂层间附着力和结合性，试验合格后方可施工。</w:t>
      </w:r>
    </w:p>
    <w:p w14:paraId="76627FB7">
      <w:pPr>
        <w:pStyle w:val="165"/>
      </w:pPr>
      <w:r>
        <w:rPr>
          <w:rFonts w:hint="eastAsia"/>
        </w:rPr>
        <w:t>带锈涂装应按检验批、分项工程组织验收，资料应完整、真实、可追溯。</w:t>
      </w:r>
    </w:p>
    <w:p w14:paraId="3BCA8079">
      <w:pPr>
        <w:pStyle w:val="107"/>
        <w:spacing w:before="240" w:after="240"/>
      </w:pPr>
      <w:bookmarkStart w:id="77" w:name="_Toc223697470"/>
      <w:bookmarkStart w:id="78" w:name="_Toc227569870"/>
      <w:bookmarkStart w:id="79" w:name="_Toc223615571"/>
      <w:bookmarkStart w:id="80" w:name="_Toc225345382"/>
      <w:bookmarkStart w:id="81" w:name="_Toc226548546"/>
      <w:bookmarkStart w:id="82" w:name="_Toc223615577"/>
      <w:bookmarkStart w:id="83" w:name="_Toc227577026"/>
      <w:bookmarkStart w:id="84" w:name="_Toc223697440"/>
      <w:bookmarkStart w:id="85" w:name="_Toc223708329"/>
      <w:r>
        <w:rPr>
          <w:rFonts w:hint="eastAsia"/>
        </w:rPr>
        <w:t>材料</w:t>
      </w:r>
      <w:bookmarkEnd w:id="77"/>
      <w:bookmarkEnd w:id="78"/>
      <w:bookmarkEnd w:id="79"/>
      <w:bookmarkEnd w:id="80"/>
      <w:bookmarkEnd w:id="81"/>
      <w:bookmarkEnd w:id="82"/>
      <w:bookmarkEnd w:id="83"/>
      <w:bookmarkEnd w:id="84"/>
      <w:bookmarkEnd w:id="85"/>
    </w:p>
    <w:p w14:paraId="62AF787F">
      <w:pPr>
        <w:pStyle w:val="168"/>
      </w:pPr>
      <w:r>
        <w:rPr>
          <w:rFonts w:hint="eastAsia"/>
        </w:rPr>
        <w:t>所用材料不应使用醇酸涂料，且宜由同一生产厂家提供，由不同厂家提供时，应进行兼容性测试。</w:t>
      </w:r>
    </w:p>
    <w:p w14:paraId="00AE987A">
      <w:pPr>
        <w:pStyle w:val="168"/>
      </w:pPr>
      <w:r>
        <w:rPr>
          <w:rFonts w:hint="eastAsia"/>
        </w:rPr>
        <w:t xml:space="preserve">所用材料应符合GB </w:t>
      </w:r>
      <w:r>
        <w:t>30981</w:t>
      </w:r>
      <w:r>
        <w:rPr>
          <w:rFonts w:hint="eastAsia"/>
        </w:rPr>
        <w:t>《工业防护涂料中有害物质限量》的有害物质限量要求。</w:t>
      </w:r>
    </w:p>
    <w:p w14:paraId="451C28DB">
      <w:pPr>
        <w:pStyle w:val="168"/>
      </w:pPr>
      <w:r>
        <w:rPr>
          <w:rFonts w:hint="eastAsia"/>
        </w:rPr>
        <w:t>底层涂料应具有防腐性能。</w:t>
      </w:r>
    </w:p>
    <w:p w14:paraId="64583DA9">
      <w:pPr>
        <w:pStyle w:val="168"/>
      </w:pPr>
      <w:r>
        <w:rPr>
          <w:rFonts w:hint="eastAsia"/>
        </w:rPr>
        <w:t>中间层涂料应具有屏蔽性。</w:t>
      </w:r>
    </w:p>
    <w:p w14:paraId="28427B7A">
      <w:pPr>
        <w:pStyle w:val="168"/>
      </w:pPr>
      <w:r>
        <w:rPr>
          <w:rFonts w:hint="eastAsia"/>
        </w:rPr>
        <w:t>面层涂料应具有耐候性、耐化学介质性和装饰性。</w:t>
      </w:r>
    </w:p>
    <w:p w14:paraId="1987AD32">
      <w:pPr>
        <w:pStyle w:val="168"/>
      </w:pPr>
      <w:r>
        <w:rPr>
          <w:rFonts w:hint="eastAsia"/>
        </w:rPr>
        <w:t>底面合一涂料应具有防腐性能、屏蔽性、耐候性、耐化学介质性和装饰性。</w:t>
      </w:r>
    </w:p>
    <w:p w14:paraId="050C21A6">
      <w:pPr>
        <w:pStyle w:val="168"/>
      </w:pPr>
      <w:r>
        <w:rPr>
          <w:rFonts w:hint="eastAsia"/>
        </w:rPr>
        <w:t>稀释剂应符合国家相关环保和安全标准，且与涂料配套。</w:t>
      </w:r>
    </w:p>
    <w:p w14:paraId="3D737F8C">
      <w:pPr>
        <w:pStyle w:val="168"/>
      </w:pPr>
      <w:r>
        <w:rPr>
          <w:rFonts w:hint="eastAsia"/>
        </w:rPr>
        <w:t>用于涂层局部损伤修补的材料，性能应与原设计涂层体系相匹配，优先采用专用修补材料。</w:t>
      </w:r>
    </w:p>
    <w:p w14:paraId="12F0F813">
      <w:pPr>
        <w:pStyle w:val="168"/>
      </w:pPr>
      <w:r>
        <w:rPr>
          <w:rFonts w:hint="eastAsia"/>
        </w:rPr>
        <w:t>防腐涂层配套产品性能应满足</w:t>
      </w:r>
      <w:r>
        <w:rPr>
          <w:rFonts w:hint="eastAsia"/>
          <w:shd w:val="clear" w:color="auto" w:fill="FFFF00"/>
        </w:rPr>
        <w:t>附录C</w:t>
      </w:r>
      <w:r>
        <w:rPr>
          <w:rFonts w:hint="eastAsia"/>
        </w:rPr>
        <w:t>的技术要求。</w:t>
      </w:r>
    </w:p>
    <w:p w14:paraId="4169BF0E">
      <w:pPr>
        <w:pStyle w:val="107"/>
        <w:spacing w:before="240" w:after="240"/>
      </w:pPr>
      <w:bookmarkStart w:id="86" w:name="_Toc223697471"/>
      <w:bookmarkStart w:id="87" w:name="_Toc226548547"/>
      <w:bookmarkStart w:id="88" w:name="_Toc223708330"/>
      <w:bookmarkStart w:id="89" w:name="_Toc227569871"/>
      <w:bookmarkStart w:id="90" w:name="_Toc225345383"/>
      <w:bookmarkStart w:id="91" w:name="_Toc223697441"/>
      <w:bookmarkStart w:id="92" w:name="_Toc227577027"/>
      <w:r>
        <w:rPr>
          <w:rFonts w:hint="eastAsia"/>
        </w:rPr>
        <w:t>技术要求</w:t>
      </w:r>
      <w:bookmarkEnd w:id="86"/>
      <w:bookmarkEnd w:id="87"/>
      <w:bookmarkEnd w:id="88"/>
      <w:bookmarkEnd w:id="89"/>
      <w:bookmarkEnd w:id="90"/>
      <w:bookmarkEnd w:id="91"/>
      <w:bookmarkEnd w:id="92"/>
    </w:p>
    <w:p w14:paraId="10D340E0">
      <w:pPr>
        <w:pStyle w:val="108"/>
        <w:spacing w:before="120" w:after="120"/>
      </w:pPr>
      <w:r>
        <w:rPr>
          <w:rFonts w:hint="eastAsia"/>
        </w:rPr>
        <w:t>腐蚀环境的分类</w:t>
      </w:r>
    </w:p>
    <w:p w14:paraId="136C7B1D">
      <w:pPr>
        <w:pStyle w:val="68"/>
        <w:spacing w:before="120" w:after="120"/>
      </w:pPr>
      <w:r>
        <w:rPr>
          <w:rFonts w:hint="eastAsia"/>
        </w:rPr>
        <w:t>分类原则</w:t>
      </w:r>
    </w:p>
    <w:p w14:paraId="43BBC1AE">
      <w:pPr>
        <w:pStyle w:val="59"/>
        <w:ind w:firstLine="420"/>
      </w:pPr>
      <w:r>
        <w:rPr>
          <w:rFonts w:hint="eastAsia"/>
        </w:rPr>
        <w:t>钢构件腐蚀环境应根据介质形态（大气、气态介质）、腐蚀强度、典型应用场景进行分类，同一环境存在多种介质时，按腐蚀性等级最高者确定。</w:t>
      </w:r>
    </w:p>
    <w:p w14:paraId="15020841">
      <w:pPr>
        <w:pStyle w:val="68"/>
        <w:spacing w:before="120" w:after="120"/>
      </w:pPr>
      <w:r>
        <w:rPr>
          <w:rFonts w:hint="eastAsia"/>
        </w:rPr>
        <w:t>大气环境腐蚀分类</w:t>
      </w:r>
    </w:p>
    <w:p w14:paraId="0A036980">
      <w:pPr>
        <w:pStyle w:val="59"/>
        <w:ind w:firstLine="420"/>
      </w:pPr>
      <w:r>
        <w:rPr>
          <w:rFonts w:hint="eastAsia"/>
        </w:rPr>
        <w:t>大气环境腐蚀等级分类应按GB/T 19292.1《金属和合金的腐蚀 大气腐蚀性 第1部分：分类、测定和评估》执行。</w:t>
      </w:r>
    </w:p>
    <w:p w14:paraId="3FF31CB5">
      <w:pPr>
        <w:pStyle w:val="108"/>
        <w:spacing w:before="120" w:after="120"/>
      </w:pPr>
      <w:r>
        <w:rPr>
          <w:rFonts w:hint="eastAsia"/>
        </w:rPr>
        <w:t>表面处理</w:t>
      </w:r>
    </w:p>
    <w:p w14:paraId="6CA110FC">
      <w:pPr>
        <w:pStyle w:val="68"/>
        <w:spacing w:before="120" w:after="120"/>
      </w:pPr>
      <w:r>
        <w:rPr>
          <w:rFonts w:hint="eastAsia"/>
        </w:rPr>
        <w:t>表面锈蚀等级和除锈等级</w:t>
      </w:r>
    </w:p>
    <w:p w14:paraId="7A158D74">
      <w:pPr>
        <w:pStyle w:val="167"/>
      </w:pPr>
      <w:r>
        <w:t>钢</w:t>
      </w:r>
      <w:r>
        <w:rPr>
          <w:rFonts w:hint="eastAsia"/>
        </w:rPr>
        <w:t>构件</w:t>
      </w:r>
      <w:r>
        <w:t>表面初始锈蚀等级</w:t>
      </w:r>
      <w:r>
        <w:rPr>
          <w:rFonts w:hint="eastAsia"/>
          <w:szCs w:val="21"/>
        </w:rPr>
        <w:t>不应低于GB/T 8923.1《涂覆涂料前钢材表面处理 表面清洁度的目视评定 第1部分：为涂覆过的钢材表面和全面清除原有涂层后的钢材表面的锈蚀等级和处理等级》规定的</w:t>
      </w:r>
      <w:r>
        <w:t>C级；薄壁钢</w:t>
      </w:r>
      <w:r>
        <w:rPr>
          <w:rFonts w:hint="eastAsia"/>
        </w:rPr>
        <w:t>构件</w:t>
      </w:r>
      <w:r>
        <w:t>（厚度≤6mm）或重要承重钢</w:t>
      </w:r>
      <w:r>
        <w:rPr>
          <w:rFonts w:hint="eastAsia"/>
        </w:rPr>
        <w:t>构件</w:t>
      </w:r>
      <w:r>
        <w:t>（如主厂房</w:t>
      </w:r>
      <w:r>
        <w:rPr>
          <w:rFonts w:hint="eastAsia"/>
        </w:rPr>
        <w:t>钢</w:t>
      </w:r>
      <w:r>
        <w:t>架、输电塔主杆）初始锈蚀等级不</w:t>
      </w:r>
      <w:r>
        <w:rPr>
          <w:rFonts w:hint="eastAsia"/>
        </w:rPr>
        <w:t>应</w:t>
      </w:r>
      <w:r>
        <w:t>低于B级。</w:t>
      </w:r>
    </w:p>
    <w:p w14:paraId="27E0895D">
      <w:pPr>
        <w:pStyle w:val="167"/>
      </w:pPr>
      <w:r>
        <w:rPr>
          <w:rFonts w:hint="eastAsia"/>
        </w:rPr>
        <w:t>带锈防腐蚀涂装前，钢构件表面除锈等级应符合设计要求，设计无要求时满足以下要求：</w:t>
      </w:r>
    </w:p>
    <w:p w14:paraId="6C026FC0">
      <w:pPr>
        <w:pStyle w:val="177"/>
      </w:pPr>
      <w:r>
        <w:rPr>
          <w:rFonts w:hint="eastAsia"/>
          <w:szCs w:val="21"/>
        </w:rPr>
        <w:t>采用喷射清理时，除锈等级应达到</w:t>
      </w:r>
      <w:r>
        <w:t xml:space="preserve"> Sa</w:t>
      </w:r>
      <w:r>
        <w:rPr>
          <w:rFonts w:hint="eastAsia" w:eastAsiaTheme="minorEastAsia"/>
        </w:rPr>
        <w:t>1</w:t>
      </w:r>
      <w:r>
        <w:rPr>
          <w:rFonts w:hint="eastAsia"/>
        </w:rPr>
        <w:t>级；</w:t>
      </w:r>
    </w:p>
    <w:p w14:paraId="34861715">
      <w:pPr>
        <w:pStyle w:val="177"/>
      </w:pPr>
      <w:r>
        <w:rPr>
          <w:rFonts w:hint="eastAsia"/>
          <w:szCs w:val="21"/>
        </w:rPr>
        <w:t>采用手工或动力工具清理时，除锈等级应达到</w:t>
      </w:r>
      <w:r>
        <w:rPr>
          <w:rFonts w:hint="eastAsia"/>
        </w:rPr>
        <w:t>St2级。</w:t>
      </w:r>
    </w:p>
    <w:p w14:paraId="17303DB3">
      <w:pPr>
        <w:pStyle w:val="68"/>
        <w:spacing w:before="120" w:after="120"/>
      </w:pPr>
      <w:r>
        <w:rPr>
          <w:rFonts w:hint="eastAsia"/>
        </w:rPr>
        <w:t>表面粗糙度</w:t>
      </w:r>
    </w:p>
    <w:p w14:paraId="30BBB0EE">
      <w:pPr>
        <w:pStyle w:val="59"/>
        <w:ind w:firstLine="420"/>
        <w:rPr>
          <w:rFonts w:hint="eastAsia" w:ascii="宋体" w:hAnsi="宋体" w:cs="宋体"/>
          <w:szCs w:val="21"/>
        </w:rPr>
      </w:pPr>
      <w:r>
        <w:rPr>
          <w:rFonts w:hint="eastAsia"/>
        </w:rPr>
        <w:t>钢构件的表面粗糙度应在</w:t>
      </w:r>
      <w:r>
        <w:rPr>
          <w:rFonts w:hint="eastAsia"/>
          <w:highlight w:val="yellow"/>
        </w:rPr>
        <w:t>30μm ~ 75μm</w:t>
      </w:r>
      <w:r>
        <w:rPr>
          <w:rFonts w:hint="eastAsia"/>
        </w:rPr>
        <w:t>范围内，且不应大于干漆膜厚度的1/3</w:t>
      </w:r>
      <w:r>
        <w:rPr>
          <w:rFonts w:hint="eastAsia" w:ascii="宋体" w:hAnsi="宋体" w:cs="宋体"/>
          <w:szCs w:val="21"/>
        </w:rPr>
        <w:t>。</w:t>
      </w:r>
    </w:p>
    <w:p w14:paraId="2B7F5714">
      <w:pPr>
        <w:pStyle w:val="68"/>
        <w:spacing w:before="120" w:after="120"/>
      </w:pPr>
      <w:r>
        <w:rPr>
          <w:rFonts w:hint="eastAsia"/>
        </w:rPr>
        <w:t>表面清洁度</w:t>
      </w:r>
    </w:p>
    <w:p w14:paraId="4F3C7215">
      <w:pPr>
        <w:pStyle w:val="59"/>
        <w:ind w:firstLine="420"/>
        <w:rPr>
          <w:szCs w:val="21"/>
        </w:rPr>
      </w:pPr>
      <w:r>
        <w:rPr>
          <w:rFonts w:hint="eastAsia"/>
          <w:szCs w:val="21"/>
        </w:rPr>
        <w:t>在不放大的情况下观察时，表面应无可见的油、脂和污物，并且没有附着不牢的氧化皮、铁锈、涂层和外来杂质。</w:t>
      </w:r>
    </w:p>
    <w:p w14:paraId="5CF164F9">
      <w:pPr>
        <w:pStyle w:val="68"/>
        <w:spacing w:before="120" w:after="120"/>
      </w:pPr>
      <w:r>
        <w:rPr>
          <w:rFonts w:hint="eastAsia"/>
        </w:rPr>
        <w:t>特殊部位处理</w:t>
      </w:r>
    </w:p>
    <w:p w14:paraId="33BB7A07">
      <w:pPr>
        <w:pStyle w:val="59"/>
        <w:ind w:firstLine="420"/>
      </w:pPr>
      <w:r>
        <w:rPr>
          <w:rFonts w:hint="eastAsia"/>
        </w:rPr>
        <w:t>特殊部位处理应满足以下要求：</w:t>
      </w:r>
    </w:p>
    <w:p w14:paraId="3A4522A7">
      <w:pPr>
        <w:pStyle w:val="177"/>
        <w:numPr>
          <w:ilvl w:val="0"/>
          <w:numId w:val="32"/>
        </w:numPr>
      </w:pPr>
      <w:r>
        <w:rPr>
          <w:rFonts w:hint="eastAsia"/>
        </w:rPr>
        <w:t>焊缝两侧100mm范围内除锈等级应与主体结构一致</w:t>
      </w:r>
      <w:r>
        <w:t>；</w:t>
      </w:r>
    </w:p>
    <w:p w14:paraId="094F3EC8">
      <w:pPr>
        <w:pStyle w:val="177"/>
        <w:numPr>
          <w:ilvl w:val="0"/>
          <w:numId w:val="32"/>
        </w:numPr>
      </w:pPr>
      <w:r>
        <w:rPr>
          <w:rFonts w:hint="eastAsia"/>
          <w:szCs w:val="21"/>
        </w:rPr>
        <w:t>无设计要求时，钢构件自由边上的尖角应无毛刺。</w:t>
      </w:r>
      <w:r>
        <w:t xml:space="preserve"> </w:t>
      </w:r>
    </w:p>
    <w:p w14:paraId="40283787">
      <w:pPr>
        <w:pStyle w:val="108"/>
        <w:spacing w:before="120" w:after="120"/>
      </w:pPr>
      <w:r>
        <w:rPr>
          <w:rFonts w:hint="eastAsia"/>
        </w:rPr>
        <w:t>涂装要求</w:t>
      </w:r>
    </w:p>
    <w:p w14:paraId="61E70AB6">
      <w:pPr>
        <w:pStyle w:val="68"/>
        <w:spacing w:before="120" w:after="120"/>
      </w:pPr>
      <w:r>
        <w:rPr>
          <w:rFonts w:hint="eastAsia"/>
        </w:rPr>
        <w:t>涂层配套要求</w:t>
      </w:r>
    </w:p>
    <w:p w14:paraId="7792CBB2">
      <w:pPr>
        <w:pStyle w:val="59"/>
        <w:ind w:firstLine="420"/>
      </w:pPr>
      <w:r>
        <w:t>涂层</w:t>
      </w:r>
      <w:r>
        <w:rPr>
          <w:rFonts w:hint="eastAsia"/>
        </w:rPr>
        <w:t>配套及厚度应根据腐蚀环境等级</w:t>
      </w:r>
      <w:r>
        <w:t>、</w:t>
      </w:r>
      <w:r>
        <w:rPr>
          <w:rFonts w:hint="eastAsia"/>
        </w:rPr>
        <w:t>设计工作年限确定，满足</w:t>
      </w:r>
      <w:r>
        <w:rPr>
          <w:rFonts w:hint="eastAsia"/>
          <w:highlight w:val="yellow"/>
        </w:rPr>
        <w:t>附录B</w:t>
      </w:r>
      <w:r>
        <w:rPr>
          <w:rFonts w:hint="eastAsia"/>
        </w:rPr>
        <w:t>要求。</w:t>
      </w:r>
    </w:p>
    <w:p w14:paraId="559D54DD">
      <w:pPr>
        <w:pStyle w:val="68"/>
        <w:spacing w:before="120" w:after="120"/>
      </w:pPr>
      <w:r>
        <w:rPr>
          <w:rFonts w:hint="eastAsia"/>
        </w:rPr>
        <w:t>特殊部位涂装设计</w:t>
      </w:r>
    </w:p>
    <w:p w14:paraId="0FCD7D07">
      <w:pPr>
        <w:pStyle w:val="167"/>
      </w:pPr>
      <w:r>
        <w:rPr>
          <w:rFonts w:hint="eastAsia"/>
        </w:rPr>
        <w:t>焊缝部位</w:t>
      </w:r>
      <w:r>
        <w:t>应进行预涂，</w:t>
      </w:r>
      <w:r>
        <w:rPr>
          <w:rFonts w:hint="eastAsia"/>
        </w:rPr>
        <w:t>底层</w:t>
      </w:r>
      <w:r>
        <w:t>预涂厚度不</w:t>
      </w:r>
      <w:r>
        <w:rPr>
          <w:rFonts w:hint="eastAsia"/>
        </w:rPr>
        <w:t>小于</w:t>
      </w:r>
      <w:r>
        <w:t>40μm，</w:t>
      </w:r>
      <w:r>
        <w:rPr>
          <w:rFonts w:hint="eastAsia"/>
        </w:rPr>
        <w:t>预涂后再按正常涂层配套完成后续涂装；焊缝处涂层应连续</w:t>
      </w:r>
      <w:r>
        <w:t>、</w:t>
      </w:r>
      <w:r>
        <w:rPr>
          <w:rFonts w:hint="eastAsia"/>
        </w:rPr>
        <w:t>均匀，无漏涂</w:t>
      </w:r>
      <w:r>
        <w:t>、</w:t>
      </w:r>
      <w:r>
        <w:rPr>
          <w:rFonts w:hint="eastAsia"/>
        </w:rPr>
        <w:t>针孔</w:t>
      </w:r>
      <w:r>
        <w:t>、</w:t>
      </w:r>
      <w:r>
        <w:rPr>
          <w:rFonts w:hint="eastAsia"/>
        </w:rPr>
        <w:t>气泡等缺陷</w:t>
      </w:r>
      <w:r>
        <w:t>。</w:t>
      </w:r>
    </w:p>
    <w:p w14:paraId="594227BE">
      <w:pPr>
        <w:pStyle w:val="167"/>
      </w:pPr>
      <w:r>
        <w:rPr>
          <w:rFonts w:hint="eastAsia"/>
        </w:rPr>
        <w:t>边角部位</w:t>
      </w:r>
      <w:r>
        <w:t>打磨圆滑后，应加涂一遍，该部位总干膜厚度宜比平面部位增加</w:t>
      </w:r>
      <w:r>
        <w:rPr>
          <w:rFonts w:hint="eastAsia"/>
        </w:rPr>
        <w:t>10%</w:t>
      </w:r>
      <w:r>
        <w:t>-</w:t>
      </w:r>
      <w:r>
        <w:rPr>
          <w:rFonts w:hint="eastAsia"/>
        </w:rPr>
        <w:t>2</w:t>
      </w:r>
      <w:r>
        <w:t>0%。</w:t>
      </w:r>
    </w:p>
    <w:p w14:paraId="59FB98AF">
      <w:pPr>
        <w:pStyle w:val="167"/>
      </w:pPr>
      <w:r>
        <w:rPr>
          <w:rFonts w:hint="eastAsia"/>
        </w:rPr>
        <w:t>高强螺栓</w:t>
      </w:r>
      <w:r>
        <w:t>设计要求涂装</w:t>
      </w:r>
      <w:r>
        <w:rPr>
          <w:rFonts w:hint="eastAsia"/>
        </w:rPr>
        <w:t>连接面时</w:t>
      </w:r>
      <w:r>
        <w:t>，应采用不影响摩擦系数的防腐涂层或带锈底漆薄涂，涂装后摩擦系数应符合设计要求</w:t>
      </w:r>
      <w:r>
        <w:rPr>
          <w:rFonts w:hint="eastAsia"/>
        </w:rPr>
        <w:t>，高强螺栓连接副外表面应在终拧后涂装</w:t>
      </w:r>
      <w:r>
        <w:t>。</w:t>
      </w:r>
    </w:p>
    <w:p w14:paraId="241D6AA9">
      <w:pPr>
        <w:pStyle w:val="68"/>
        <w:spacing w:before="120" w:after="120"/>
      </w:pPr>
      <w:r>
        <w:rPr>
          <w:rFonts w:hint="eastAsia"/>
        </w:rPr>
        <w:t>施工工艺参数要求</w:t>
      </w:r>
    </w:p>
    <w:p w14:paraId="17919D41">
      <w:pPr>
        <w:pStyle w:val="167"/>
      </w:pPr>
      <w:r>
        <w:rPr>
          <w:rFonts w:hint="eastAsia"/>
        </w:rPr>
        <w:t>基材表面温度应在 5℃</w:t>
      </w:r>
      <w:r>
        <w:t>~35</w:t>
      </w:r>
      <w:r>
        <w:rPr>
          <w:rFonts w:hint="eastAsia"/>
        </w:rPr>
        <w:t>℃ 之间，且至少高于露点温度 3℃。环境相对湿度不宜大于 85%。</w:t>
      </w:r>
    </w:p>
    <w:p w14:paraId="484A8182">
      <w:pPr>
        <w:pStyle w:val="167"/>
      </w:pPr>
      <w:r>
        <w:rPr>
          <w:rFonts w:hint="eastAsia"/>
        </w:rPr>
        <w:t>双组分</w:t>
      </w:r>
      <w:r>
        <w:t>或多组份涂料</w:t>
      </w:r>
      <w:r>
        <w:rPr>
          <w:rFonts w:hint="eastAsia"/>
        </w:rPr>
        <w:t>应</w:t>
      </w:r>
      <w:r>
        <w:t>按照</w:t>
      </w:r>
      <w:r>
        <w:rPr>
          <w:rFonts w:hint="eastAsia"/>
        </w:rPr>
        <w:t>涂料</w:t>
      </w:r>
      <w:r>
        <w:t>产品说明书规定的</w:t>
      </w:r>
      <w:r>
        <w:rPr>
          <w:rFonts w:hint="eastAsia"/>
        </w:rPr>
        <w:t>比例</w:t>
      </w:r>
      <w:r>
        <w:t>进行调配。使用机械工具充分搅拌，并在规定的适用期内用完。严禁使用非配套稀释剂。</w:t>
      </w:r>
    </w:p>
    <w:p w14:paraId="6D572939">
      <w:pPr>
        <w:pStyle w:val="167"/>
      </w:pPr>
      <w:r>
        <w:rPr>
          <w:rFonts w:hint="eastAsia"/>
        </w:rPr>
        <w:t>涂装方法宜</w:t>
      </w:r>
      <w:r>
        <w:t>采用刷涂、辊涂或无气喷涂。施工时应保证涂层均匀、无漏涂、无流挂。涂装间隔时间应</w:t>
      </w:r>
      <w:r>
        <w:rPr>
          <w:rFonts w:hint="eastAsia"/>
        </w:rPr>
        <w:t>按照涂料</w:t>
      </w:r>
      <w:r>
        <w:t>产品说明书要求</w:t>
      </w:r>
      <w:r>
        <w:rPr>
          <w:rFonts w:hint="eastAsia"/>
        </w:rPr>
        <w:t>。</w:t>
      </w:r>
    </w:p>
    <w:p w14:paraId="43D5571C">
      <w:pPr>
        <w:pStyle w:val="107"/>
        <w:spacing w:before="240" w:after="240"/>
      </w:pPr>
      <w:bookmarkStart w:id="93" w:name="_Toc227569872"/>
      <w:bookmarkStart w:id="94" w:name="_Toc223697442"/>
      <w:bookmarkStart w:id="95" w:name="_Toc223697472"/>
      <w:bookmarkStart w:id="96" w:name="_Toc223708331"/>
      <w:bookmarkStart w:id="97" w:name="_Toc227577028"/>
      <w:bookmarkStart w:id="98" w:name="_Toc225345384"/>
      <w:bookmarkStart w:id="99" w:name="_Toc226548548"/>
      <w:r>
        <w:rPr>
          <w:rFonts w:hint="eastAsia"/>
        </w:rPr>
        <w:t>施工工艺</w:t>
      </w:r>
      <w:bookmarkEnd w:id="93"/>
      <w:bookmarkEnd w:id="94"/>
      <w:bookmarkEnd w:id="95"/>
      <w:bookmarkEnd w:id="96"/>
      <w:bookmarkEnd w:id="97"/>
      <w:bookmarkEnd w:id="98"/>
      <w:bookmarkEnd w:id="99"/>
    </w:p>
    <w:p w14:paraId="6A7B9A1F">
      <w:pPr>
        <w:pStyle w:val="108"/>
        <w:spacing w:before="120" w:after="120"/>
      </w:pPr>
      <w:r>
        <w:rPr>
          <w:rFonts w:hint="eastAsia"/>
        </w:rPr>
        <w:t>一般规定</w:t>
      </w:r>
    </w:p>
    <w:p w14:paraId="22D48602">
      <w:pPr>
        <w:pStyle w:val="168"/>
      </w:pPr>
      <w:r>
        <w:rPr>
          <w:rFonts w:hint="eastAsia"/>
        </w:rPr>
        <w:t>钢构件</w:t>
      </w:r>
      <w:r>
        <w:rPr>
          <w:rFonts w:hint="eastAsia"/>
          <w:color w:val="000000" w:themeColor="text1"/>
          <w14:textFill>
            <w14:solidFill>
              <w14:schemeClr w14:val="tx1"/>
            </w14:solidFill>
          </w14:textFill>
        </w:rPr>
        <w:t>带锈涂装工程的施工，应符合</w:t>
      </w:r>
      <w:r>
        <w:rPr>
          <w:color w:val="000000" w:themeColor="text1"/>
          <w14:textFill>
            <w14:solidFill>
              <w14:schemeClr w14:val="tx1"/>
            </w14:solidFill>
          </w14:textFill>
        </w:rPr>
        <w:t>GB</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50755</w:t>
      </w:r>
      <w:r>
        <w:rPr>
          <w:rFonts w:hint="eastAsia"/>
          <w:color w:val="000000" w:themeColor="text1"/>
          <w14:textFill>
            <w14:solidFill>
              <w14:schemeClr w14:val="tx1"/>
            </w14:solidFill>
          </w14:textFill>
        </w:rPr>
        <w:t>《钢结构工程施工规范》、</w:t>
      </w:r>
      <w:r>
        <w:rPr>
          <w:color w:val="000000" w:themeColor="text1"/>
          <w14:textFill>
            <w14:solidFill>
              <w14:schemeClr w14:val="tx1"/>
            </w14:solidFill>
          </w14:textFill>
        </w:rPr>
        <w:t>GB</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50205</w:t>
      </w:r>
      <w:r>
        <w:rPr>
          <w:rFonts w:hint="eastAsia"/>
          <w:color w:val="000000" w:themeColor="text1"/>
          <w14:textFill>
            <w14:solidFill>
              <w14:schemeClr w14:val="tx1"/>
            </w14:solidFill>
          </w14:textFill>
        </w:rPr>
        <w:t>《钢结构施工质量验收规范》、</w:t>
      </w:r>
      <w:r>
        <w:rPr>
          <w:color w:val="000000" w:themeColor="text1"/>
          <w14:textFill>
            <w14:solidFill>
              <w14:schemeClr w14:val="tx1"/>
            </w14:solidFill>
          </w14:textFill>
        </w:rPr>
        <w:t>GB</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50212</w:t>
      </w:r>
      <w:r>
        <w:rPr>
          <w:rFonts w:hint="eastAsia"/>
          <w:color w:val="000000" w:themeColor="text1"/>
          <w14:textFill>
            <w14:solidFill>
              <w14:schemeClr w14:val="tx1"/>
            </w14:solidFill>
          </w14:textFill>
        </w:rPr>
        <w:t>《建筑防腐蚀工程施工规范》及</w:t>
      </w:r>
      <w:r>
        <w:rPr>
          <w:color w:val="000000" w:themeColor="text1"/>
          <w14:textFill>
            <w14:solidFill>
              <w14:schemeClr w14:val="tx1"/>
            </w14:solidFill>
          </w14:textFill>
        </w:rPr>
        <w:t>GB</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50726</w:t>
      </w:r>
      <w:r>
        <w:rPr>
          <w:rFonts w:hint="eastAsia"/>
          <w:color w:val="000000" w:themeColor="text1"/>
          <w14:textFill>
            <w14:solidFill>
              <w14:schemeClr w14:val="tx1"/>
            </w14:solidFill>
          </w14:textFill>
        </w:rPr>
        <w:t>《工业设备及管道防腐蚀工程施工规范》等的有关规定。</w:t>
      </w:r>
    </w:p>
    <w:p w14:paraId="4E25C009">
      <w:pPr>
        <w:pStyle w:val="168"/>
      </w:pPr>
      <w:r>
        <w:rPr>
          <w:rFonts w:hint="eastAsia"/>
        </w:rPr>
        <w:t>钢构件带锈涂装的施工，所用材料应具有产品质量证明文件，并经验收；需要送检时当送检合格后方可使用。</w:t>
      </w:r>
    </w:p>
    <w:p w14:paraId="1944F3C9">
      <w:pPr>
        <w:pStyle w:val="168"/>
      </w:pPr>
      <w:r>
        <w:rPr>
          <w:rFonts w:hint="eastAsia"/>
        </w:rPr>
        <w:t>施工时环境温度宜为5℃～38℃，空气相对湿度不大于85%（或按涂料产品说明书要求），基材表面温度应高于露点3℃以上。</w:t>
      </w:r>
    </w:p>
    <w:p w14:paraId="054929AF">
      <w:pPr>
        <w:pStyle w:val="168"/>
      </w:pPr>
      <w:r>
        <w:rPr>
          <w:rFonts w:hint="eastAsia"/>
        </w:rPr>
        <w:t>严禁在雨、雪、雾、风力大于5级和扬沙天气等进行露天施工。</w:t>
      </w:r>
    </w:p>
    <w:p w14:paraId="62D0D2DF">
      <w:pPr>
        <w:pStyle w:val="168"/>
      </w:pPr>
      <w:r>
        <w:rPr>
          <w:rFonts w:hint="eastAsia"/>
        </w:rPr>
        <w:t>夏季高温时应避免阳光直射下的施工，必要时采取遮阳措施。</w:t>
      </w:r>
    </w:p>
    <w:p w14:paraId="0036ACFA">
      <w:pPr>
        <w:pStyle w:val="108"/>
        <w:spacing w:before="120" w:after="120"/>
      </w:pPr>
      <w:r>
        <w:rPr>
          <w:rFonts w:hint="eastAsia"/>
        </w:rPr>
        <w:t>表面处理</w:t>
      </w:r>
    </w:p>
    <w:p w14:paraId="4C969EE1">
      <w:pPr>
        <w:pStyle w:val="168"/>
      </w:pPr>
      <w:r>
        <w:rPr>
          <w:rFonts w:hint="eastAsia"/>
          <w:szCs w:val="21"/>
        </w:rPr>
        <w:t>钢构件表面在涂装前应进行表面处理，技术要求应符合6.2规定。</w:t>
      </w:r>
    </w:p>
    <w:p w14:paraId="4959F016">
      <w:pPr>
        <w:pStyle w:val="168"/>
        <w:rPr>
          <w:szCs w:val="21"/>
        </w:rPr>
      </w:pPr>
      <w:r>
        <w:rPr>
          <w:rFonts w:hint="eastAsia"/>
          <w:szCs w:val="21"/>
        </w:rPr>
        <w:t>已除锈的钢构件表面，带锈底漆涂装时间不应超过4h。</w:t>
      </w:r>
    </w:p>
    <w:p w14:paraId="1A5C55C2">
      <w:pPr>
        <w:pStyle w:val="168"/>
        <w:rPr>
          <w:szCs w:val="21"/>
        </w:rPr>
      </w:pPr>
      <w:r>
        <w:rPr>
          <w:rFonts w:hint="eastAsia"/>
          <w:szCs w:val="21"/>
        </w:rPr>
        <w:t>钢构件表面处理可采用喷射、手工或动力工具等处理方法。</w:t>
      </w:r>
    </w:p>
    <w:p w14:paraId="6352BE2E">
      <w:pPr>
        <w:pStyle w:val="168"/>
      </w:pPr>
      <w:r>
        <w:rPr>
          <w:rFonts w:hint="eastAsia"/>
          <w:szCs w:val="21"/>
        </w:rPr>
        <w:t>喷射处理后的钢构件表面清洁度等级不应低于GB/T 8923.1规定的Sa1级；对于腐</w:t>
      </w:r>
      <w:r>
        <w:rPr>
          <w:szCs w:val="21"/>
        </w:rPr>
        <w:t>蚀环境苛刻或重要的构件，宜达到</w:t>
      </w:r>
      <w:r>
        <w:rPr>
          <w:rFonts w:hint="eastAsia"/>
          <w:szCs w:val="21"/>
        </w:rPr>
        <w:t>Sa2</w:t>
      </w:r>
      <w:r>
        <w:rPr>
          <w:szCs w:val="21"/>
        </w:rPr>
        <w:t>级。表面粗糙度（Rz）应控制在</w:t>
      </w:r>
      <w:r>
        <w:rPr>
          <w:rFonts w:hint="eastAsia"/>
          <w:szCs w:val="21"/>
        </w:rPr>
        <w:t>30μm～75μm</w:t>
      </w:r>
      <w:r>
        <w:rPr>
          <w:szCs w:val="21"/>
        </w:rPr>
        <w:t>范围内，并应符合涂料供应商的要求</w:t>
      </w:r>
      <w:r>
        <w:rPr>
          <w:rFonts w:hAnsi="宋体" w:cs="宋体"/>
          <w:color w:val="0F1115"/>
          <w:szCs w:val="21"/>
        </w:rPr>
        <w:t>。</w:t>
      </w:r>
    </w:p>
    <w:p w14:paraId="7856C838">
      <w:pPr>
        <w:pStyle w:val="168"/>
      </w:pPr>
      <w:r>
        <w:rPr>
          <w:rFonts w:hint="eastAsia" w:hAnsi="宋体" w:cs="宋体"/>
          <w:color w:val="0F1115"/>
          <w:szCs w:val="21"/>
        </w:rPr>
        <w:t>喷射处理的磨料包括</w:t>
      </w:r>
      <w:r>
        <w:rPr>
          <w:rFonts w:hAnsi="宋体" w:cs="宋体"/>
          <w:color w:val="0F1115"/>
          <w:szCs w:val="21"/>
        </w:rPr>
        <w:t>金属磨料</w:t>
      </w:r>
      <w:r>
        <w:rPr>
          <w:rFonts w:hint="eastAsia" w:hAnsi="宋体" w:cs="宋体"/>
          <w:color w:val="0F1115"/>
          <w:szCs w:val="21"/>
        </w:rPr>
        <w:t>、非</w:t>
      </w:r>
      <w:r>
        <w:rPr>
          <w:rFonts w:hAnsi="宋体" w:cs="宋体"/>
          <w:color w:val="0F1115"/>
          <w:szCs w:val="21"/>
        </w:rPr>
        <w:t>金属磨料</w:t>
      </w:r>
      <w:r>
        <w:rPr>
          <w:rFonts w:hint="eastAsia" w:hAnsi="宋体" w:cs="宋体"/>
          <w:color w:val="0F1115"/>
          <w:szCs w:val="21"/>
        </w:rPr>
        <w:t>，</w:t>
      </w:r>
      <w:r>
        <w:rPr>
          <w:rFonts w:hAnsi="宋体" w:cs="宋体"/>
          <w:color w:val="0F1115"/>
          <w:szCs w:val="21"/>
        </w:rPr>
        <w:t>金属磨料</w:t>
      </w:r>
      <w:r>
        <w:rPr>
          <w:rFonts w:hint="eastAsia" w:hAnsi="宋体" w:cs="宋体"/>
          <w:color w:val="0F1115"/>
          <w:szCs w:val="21"/>
        </w:rPr>
        <w:t>包括</w:t>
      </w:r>
      <w:r>
        <w:rPr>
          <w:rFonts w:hAnsi="宋体" w:cs="宋体"/>
          <w:color w:val="0F1115"/>
          <w:szCs w:val="21"/>
        </w:rPr>
        <w:t>钢丸、钢砂</w:t>
      </w:r>
      <w:r>
        <w:rPr>
          <w:rFonts w:hint="eastAsia" w:hAnsi="宋体" w:cs="宋体"/>
          <w:color w:val="0F1115"/>
          <w:szCs w:val="21"/>
        </w:rPr>
        <w:t>等，</w:t>
      </w:r>
      <w:r>
        <w:rPr>
          <w:rFonts w:hAnsi="宋体" w:cs="宋体"/>
          <w:color w:val="0F1115"/>
          <w:szCs w:val="21"/>
        </w:rPr>
        <w:t>非金属磨料</w:t>
      </w:r>
      <w:r>
        <w:rPr>
          <w:rFonts w:hint="eastAsia" w:hAnsi="宋体" w:cs="宋体"/>
          <w:color w:val="0F1115"/>
          <w:szCs w:val="21"/>
        </w:rPr>
        <w:t>多使用</w:t>
      </w:r>
      <w:r>
        <w:rPr>
          <w:rFonts w:hAnsi="宋体" w:cs="宋体"/>
          <w:color w:val="0F1115"/>
          <w:szCs w:val="21"/>
        </w:rPr>
        <w:t>石英砂</w:t>
      </w:r>
      <w:r>
        <w:rPr>
          <w:rFonts w:hint="eastAsia" w:hAnsi="宋体" w:cs="宋体"/>
          <w:color w:val="0F1115"/>
          <w:szCs w:val="21"/>
        </w:rPr>
        <w:t>。磨料应清洁、干燥。磨料的种类和粒度应根据钢构件表面的原始锈蚀程度、设计文件或涂装专项方案所要求的喷射工艺、清洁度和表面粗糙度进行选择。壁厚大于或等于4mm的钢构件可选用粒度0</w:t>
      </w:r>
      <w:r>
        <w:rPr>
          <w:rFonts w:hAnsi="宋体" w:cs="宋体"/>
          <w:color w:val="0F1115"/>
          <w:szCs w:val="21"/>
        </w:rPr>
        <w:t>.5</w:t>
      </w:r>
      <w:r>
        <w:rPr>
          <w:rFonts w:hint="eastAsia" w:hAnsi="宋体" w:cs="宋体"/>
          <w:color w:val="0F1115"/>
          <w:szCs w:val="21"/>
        </w:rPr>
        <w:t>mm～1</w:t>
      </w:r>
      <w:r>
        <w:rPr>
          <w:rFonts w:hAnsi="宋体" w:cs="宋体"/>
          <w:color w:val="0F1115"/>
          <w:szCs w:val="21"/>
        </w:rPr>
        <w:t>.5</w:t>
      </w:r>
      <w:r>
        <w:rPr>
          <w:rFonts w:hint="eastAsia" w:hAnsi="宋体" w:cs="宋体"/>
          <w:color w:val="0F1115"/>
          <w:szCs w:val="21"/>
        </w:rPr>
        <w:t>mm的磨料，壁厚小于4mm的钢构件宜选用粒度较小的磨料。</w:t>
      </w:r>
    </w:p>
    <w:p w14:paraId="344C008F">
      <w:pPr>
        <w:pStyle w:val="168"/>
      </w:pPr>
      <w:r>
        <w:rPr>
          <w:rFonts w:hAnsi="宋体" w:cs="宋体"/>
          <w:color w:val="0F1115"/>
          <w:szCs w:val="21"/>
        </w:rPr>
        <w:t>对于无法进行喷射清理的局部区域（如焊缝、边角、修补处），可采用角向砂轮机（配砂轮片或纤维磨盘）、钢丝轮、针枪、除锈锤等动力工具</w:t>
      </w:r>
      <w:r>
        <w:rPr>
          <w:rFonts w:hint="eastAsia" w:hAnsi="宋体" w:cs="宋体"/>
          <w:color w:val="0F1115"/>
          <w:szCs w:val="21"/>
        </w:rPr>
        <w:t>进行处理</w:t>
      </w:r>
      <w:r>
        <w:rPr>
          <w:rFonts w:hAnsi="宋体" w:cs="宋体"/>
          <w:color w:val="0F1115"/>
          <w:szCs w:val="21"/>
        </w:rPr>
        <w:t>，并应扩大处理区域，形成平滑过渡。打磨宜形成一定的表面粗糙</w:t>
      </w:r>
      <w:r>
        <w:rPr>
          <w:rFonts w:hint="eastAsia" w:hAnsi="宋体" w:cs="宋体"/>
          <w:color w:val="0F1115"/>
          <w:szCs w:val="21"/>
        </w:rPr>
        <w:t>度</w:t>
      </w:r>
      <w:r>
        <w:rPr>
          <w:rFonts w:hint="eastAsia" w:ascii="Times New Roman" w:eastAsiaTheme="minorEastAsia"/>
          <w:kern w:val="2"/>
          <w:szCs w:val="21"/>
        </w:rPr>
        <w:t>。</w:t>
      </w:r>
    </w:p>
    <w:p w14:paraId="62BE3D4C">
      <w:pPr>
        <w:pStyle w:val="168"/>
      </w:pPr>
      <w:r>
        <w:rPr>
          <w:rFonts w:hint="eastAsia" w:hAnsi="宋体" w:cs="宋体"/>
          <w:color w:val="0F1115"/>
          <w:szCs w:val="21"/>
        </w:rPr>
        <w:t>局部修补、小面积作业或无法采用喷射处理的区域，可使用钢丝刷、铲刀、刮刀、砂纸（布）等手工工具，手动清除</w:t>
      </w:r>
      <w:r>
        <w:rPr>
          <w:rFonts w:hAnsi="宋体" w:cs="宋体"/>
          <w:color w:val="0F1115"/>
          <w:szCs w:val="21"/>
        </w:rPr>
        <w:t>钢</w:t>
      </w:r>
      <w:r>
        <w:rPr>
          <w:rFonts w:hint="eastAsia" w:hAnsi="宋体" w:cs="宋体"/>
          <w:color w:val="0F1115"/>
          <w:szCs w:val="21"/>
        </w:rPr>
        <w:t>构件</w:t>
      </w:r>
      <w:r>
        <w:rPr>
          <w:rFonts w:hAnsi="宋体" w:cs="宋体"/>
          <w:color w:val="0F1115"/>
          <w:szCs w:val="21"/>
        </w:rPr>
        <w:t>表面松动的氧化皮、浮锈、旧漆皮及污物</w:t>
      </w:r>
      <w:r>
        <w:rPr>
          <w:rFonts w:hint="eastAsia" w:hAnsi="宋体" w:cs="宋体"/>
          <w:color w:val="0F1115"/>
          <w:szCs w:val="21"/>
        </w:rPr>
        <w:t>。</w:t>
      </w:r>
    </w:p>
    <w:p w14:paraId="37427429">
      <w:pPr>
        <w:pStyle w:val="168"/>
      </w:pPr>
      <w:r>
        <w:rPr>
          <w:rFonts w:hAnsi="宋体" w:cs="宋体"/>
          <w:color w:val="0F1115"/>
          <w:szCs w:val="21"/>
        </w:rPr>
        <w:t>表面清理后应用干燥洁净的压缩空气清除浮尘和碎屑</w:t>
      </w:r>
      <w:r>
        <w:rPr>
          <w:rFonts w:hint="eastAsia" w:hAnsi="宋体" w:cs="宋体"/>
          <w:color w:val="0F1115"/>
          <w:szCs w:val="21"/>
        </w:rPr>
        <w:t>，必要时采用溶剂清洗。</w:t>
      </w:r>
    </w:p>
    <w:p w14:paraId="0B6F23C9">
      <w:pPr>
        <w:pStyle w:val="108"/>
        <w:spacing w:before="120" w:after="120"/>
      </w:pPr>
      <w:r>
        <w:rPr>
          <w:rFonts w:hint="eastAsia"/>
        </w:rPr>
        <w:t>涂装施工</w:t>
      </w:r>
    </w:p>
    <w:p w14:paraId="41BC9629">
      <w:pPr>
        <w:pStyle w:val="168"/>
      </w:pPr>
      <w:r>
        <w:rPr>
          <w:rFonts w:hint="eastAsia"/>
        </w:rPr>
        <w:t>施工人员应进行技术与安全交底。</w:t>
      </w:r>
    </w:p>
    <w:p w14:paraId="7AD968F3">
      <w:pPr>
        <w:pStyle w:val="168"/>
      </w:pPr>
      <w:r>
        <w:rPr>
          <w:rFonts w:hint="eastAsia"/>
        </w:rPr>
        <w:t>材料复查与调配要求：</w:t>
      </w:r>
    </w:p>
    <w:p w14:paraId="019C2C1D">
      <w:pPr>
        <w:pStyle w:val="177"/>
        <w:numPr>
          <w:ilvl w:val="0"/>
          <w:numId w:val="33"/>
        </w:numPr>
      </w:pPr>
      <w:r>
        <w:rPr>
          <w:rFonts w:hint="eastAsia"/>
        </w:rPr>
        <w:t>核对涂料品种、牌号、颜色、批次及数量，确保与设计要求和表面处理等级相匹配。检查产品有效期。</w:t>
      </w:r>
    </w:p>
    <w:p w14:paraId="5F55157F">
      <w:pPr>
        <w:pStyle w:val="177"/>
        <w:numPr>
          <w:ilvl w:val="0"/>
          <w:numId w:val="33"/>
        </w:numPr>
      </w:pPr>
      <w:r>
        <w:rPr>
          <w:rFonts w:hint="eastAsia"/>
          <w:strike w:val="0"/>
        </w:rPr>
        <w:t>应</w:t>
      </w:r>
      <w:r>
        <w:rPr>
          <w:rFonts w:hint="eastAsia"/>
        </w:rPr>
        <w:t>按产品说明书提供的技术数据规定的比例，使用动力搅拌器将基料与固化剂混合，并充分搅拌均匀，调配后需静置熟化规定时间后方可使用。</w:t>
      </w:r>
    </w:p>
    <w:p w14:paraId="5E26957C">
      <w:pPr>
        <w:pStyle w:val="177"/>
        <w:numPr>
          <w:ilvl w:val="0"/>
          <w:numId w:val="33"/>
        </w:numPr>
      </w:pPr>
      <w:r>
        <w:rPr>
          <w:rFonts w:hint="eastAsia"/>
        </w:rPr>
        <w:t>应在涂料规定的适用期内用完,不得使用超出适用期或已胶化的涂料。</w:t>
      </w:r>
    </w:p>
    <w:p w14:paraId="09418E04">
      <w:pPr>
        <w:pStyle w:val="177"/>
        <w:numPr>
          <w:ilvl w:val="0"/>
          <w:numId w:val="33"/>
        </w:numPr>
      </w:pPr>
      <w:r>
        <w:rPr>
          <w:rFonts w:hint="eastAsia"/>
        </w:rPr>
        <w:t>使用配套的专用稀释剂，添加量不得超过涂料产品说明书规定的最大允许比例</w:t>
      </w:r>
      <w:r>
        <w:rPr>
          <w:rFonts w:hint="eastAsia"/>
          <w:strike w:val="0"/>
        </w:rPr>
        <w:t>。</w:t>
      </w:r>
    </w:p>
    <w:p w14:paraId="32F1EC5F">
      <w:pPr>
        <w:pStyle w:val="68"/>
        <w:spacing w:before="120" w:after="120"/>
      </w:pPr>
      <w:r>
        <w:rPr>
          <w:rFonts w:hint="eastAsia"/>
        </w:rPr>
        <w:t>施工方法与工艺控制</w:t>
      </w:r>
    </w:p>
    <w:p w14:paraId="0605C5D7">
      <w:pPr>
        <w:pStyle w:val="167"/>
      </w:pPr>
      <w:r>
        <w:rPr>
          <w:rFonts w:hint="eastAsia"/>
        </w:rPr>
        <w:t>预涂要求：</w:t>
      </w:r>
    </w:p>
    <w:p w14:paraId="26838DF7">
      <w:pPr>
        <w:pStyle w:val="177"/>
        <w:numPr>
          <w:ilvl w:val="0"/>
          <w:numId w:val="34"/>
        </w:numPr>
      </w:pPr>
      <w:r>
        <w:rPr>
          <w:rFonts w:hint="eastAsia"/>
        </w:rPr>
        <w:t>对于焊缝、切口、孔洞、螺栓连接处、边角及所有不易喷涂到的部位，应采用刷涂方式进行预涂。</w:t>
      </w:r>
    </w:p>
    <w:p w14:paraId="1FEA13CD">
      <w:pPr>
        <w:pStyle w:val="177"/>
        <w:numPr>
          <w:ilvl w:val="0"/>
          <w:numId w:val="34"/>
        </w:numPr>
      </w:pPr>
      <w:r>
        <w:rPr>
          <w:rFonts w:hint="eastAsia"/>
        </w:rPr>
        <w:t>预涂应在喷涂底漆前进行。</w:t>
      </w:r>
    </w:p>
    <w:p w14:paraId="7206557E">
      <w:pPr>
        <w:pStyle w:val="168"/>
      </w:pPr>
      <w:r>
        <w:rPr>
          <w:rFonts w:hint="eastAsia"/>
        </w:rPr>
        <w:t>施工方法：</w:t>
      </w:r>
    </w:p>
    <w:p w14:paraId="780AC18D">
      <w:pPr>
        <w:pStyle w:val="112"/>
        <w:numPr>
          <w:ilvl w:val="1"/>
          <w:numId w:val="35"/>
        </w:numPr>
      </w:pPr>
      <w:r>
        <w:rPr>
          <w:rFonts w:hint="eastAsia"/>
        </w:rPr>
        <w:t>刷涂与辊涂：</w:t>
      </w:r>
    </w:p>
    <w:p w14:paraId="4FB024F3">
      <w:pPr>
        <w:pStyle w:val="112"/>
        <w:numPr>
          <w:ilvl w:val="0"/>
          <w:numId w:val="0"/>
        </w:numPr>
        <w:ind w:left="1276"/>
      </w:pPr>
      <w:r>
        <w:rPr>
          <w:rFonts w:hint="eastAsia"/>
        </w:rPr>
        <w:t>适用于小面积、复杂结构、修补或预涂。要求用力均匀，纵横交错涂刷，涂料应渗透入锈层和缝隙。</w:t>
      </w:r>
    </w:p>
    <w:p w14:paraId="33865951">
      <w:pPr>
        <w:pStyle w:val="112"/>
      </w:pPr>
      <w:r>
        <w:rPr>
          <w:rFonts w:hint="eastAsia"/>
        </w:rPr>
        <w:t>无气喷涂：</w:t>
      </w:r>
    </w:p>
    <w:p w14:paraId="441D4680">
      <w:pPr>
        <w:pStyle w:val="112"/>
        <w:numPr>
          <w:ilvl w:val="0"/>
          <w:numId w:val="0"/>
        </w:numPr>
        <w:ind w:left="1276"/>
      </w:pPr>
      <w:r>
        <w:rPr>
          <w:rFonts w:hint="eastAsia"/>
        </w:rPr>
        <w:t>适用于大面积平整区域，效率高，成膜质量好。控制喷涂压力、喷枪口径、喷距（通常30～50cm）、移动速度必须根据涂料粘度和所需膜厚进行优化，避免流挂、干喷或膜厚不足。喷涂轨迹应有50%的重叠，确保厚度均匀。</w:t>
      </w:r>
    </w:p>
    <w:p w14:paraId="322680AE">
      <w:pPr>
        <w:pStyle w:val="108"/>
        <w:spacing w:before="120" w:after="120"/>
      </w:pPr>
      <w:r>
        <w:rPr>
          <w:rFonts w:hint="eastAsia"/>
        </w:rPr>
        <w:t>涂装工艺</w:t>
      </w:r>
    </w:p>
    <w:p w14:paraId="0A23676F">
      <w:pPr>
        <w:pStyle w:val="68"/>
        <w:spacing w:before="120" w:after="120"/>
      </w:pPr>
      <w:r>
        <w:rPr>
          <w:rFonts w:hint="eastAsia"/>
        </w:rPr>
        <w:t>预涂工艺</w:t>
      </w:r>
    </w:p>
    <w:p w14:paraId="0B43C719">
      <w:pPr>
        <w:pStyle w:val="59"/>
        <w:ind w:firstLine="420"/>
      </w:pPr>
      <w:r>
        <w:rPr>
          <w:rFonts w:hint="eastAsia"/>
        </w:rPr>
        <w:t>在喷涂底层涂料之前，所有焊缝、角焊缝、自由边、切孔、螺栓连接面、难以喷涂的角落及工具无法处理的缝隙，应采用刷涂法，使涂料渗透到所有缝隙和凹陷处。</w:t>
      </w:r>
    </w:p>
    <w:p w14:paraId="4239BF48">
      <w:pPr>
        <w:pStyle w:val="68"/>
        <w:spacing w:before="120" w:after="120"/>
      </w:pPr>
      <w:r>
        <w:rPr>
          <w:rFonts w:hint="eastAsia"/>
        </w:rPr>
        <w:t>喷涂工艺</w:t>
      </w:r>
    </w:p>
    <w:p w14:paraId="3C6C05A6">
      <w:pPr>
        <w:pStyle w:val="59"/>
        <w:ind w:firstLine="420"/>
      </w:pPr>
      <w:r>
        <w:rPr>
          <w:rFonts w:hint="eastAsia"/>
        </w:rPr>
        <w:t>喷涂设备应根据涂料粘度、固体份和所需膜厚选择，喷涂压力宜为10MPa～2</w:t>
      </w:r>
      <w:r>
        <w:t>0</w:t>
      </w:r>
      <w:r>
        <w:rPr>
          <w:rFonts w:hint="eastAsia"/>
        </w:rPr>
        <w:t>MPa。型钢背面、密集构件，应调整角度或使用扇形喷枪，确保覆盖。</w:t>
      </w:r>
    </w:p>
    <w:p w14:paraId="172178A4">
      <w:pPr>
        <w:pStyle w:val="68"/>
        <w:spacing w:before="120" w:after="120"/>
      </w:pPr>
      <w:r>
        <w:rPr>
          <w:rFonts w:hint="eastAsia"/>
        </w:rPr>
        <w:t>刷涂、辊涂工艺</w:t>
      </w:r>
    </w:p>
    <w:p w14:paraId="7A1DDC0E">
      <w:pPr>
        <w:pStyle w:val="59"/>
        <w:ind w:firstLine="420"/>
      </w:pPr>
      <w:r>
        <w:rPr>
          <w:rFonts w:hint="eastAsia"/>
        </w:rPr>
        <w:t>小面积、复杂结构、修补或预涂，采用刷涂或辊涂。刷涂应纵横交错进行，最后沿一个方向理平；辊涂应采用“W”或“M”形路径滚动，最后沿垂直方向滚平，避免产生气泡。</w:t>
      </w:r>
    </w:p>
    <w:p w14:paraId="668FF2EE">
      <w:pPr>
        <w:pStyle w:val="108"/>
        <w:spacing w:before="120" w:after="120"/>
      </w:pPr>
      <w:r>
        <w:rPr>
          <w:rFonts w:hint="eastAsia"/>
        </w:rPr>
        <w:t>安全和环境保护</w:t>
      </w:r>
    </w:p>
    <w:p w14:paraId="3B677964">
      <w:pPr>
        <w:pStyle w:val="68"/>
        <w:spacing w:before="120" w:after="120"/>
      </w:pPr>
      <w:r>
        <w:rPr>
          <w:rFonts w:hint="eastAsia"/>
        </w:rPr>
        <w:t>安全要求</w:t>
      </w:r>
    </w:p>
    <w:p w14:paraId="0BA8BE82">
      <w:pPr>
        <w:pStyle w:val="167"/>
      </w:pPr>
      <w:r>
        <w:rPr>
          <w:rFonts w:hint="eastAsia"/>
        </w:rPr>
        <w:t>涂料及稀释剂应存放在专用库房内，不应与其他材料混放。挥发性物料应密封保存。</w:t>
      </w:r>
    </w:p>
    <w:p w14:paraId="63A13826">
      <w:pPr>
        <w:pStyle w:val="167"/>
      </w:pPr>
      <w:r>
        <w:rPr>
          <w:rFonts w:hint="eastAsia"/>
        </w:rPr>
        <w:t>涂料库房必须通风良好，设置防雷、接地设施和“严禁烟火”标志，严禁住人。库内不应存放易燃易爆物品，不同涂料应分类摆放。库房应与生活区、动火区保持安全距离，并悬挂“消防重点部位”标识。</w:t>
      </w:r>
    </w:p>
    <w:p w14:paraId="3AF3E91D">
      <w:pPr>
        <w:pStyle w:val="167"/>
      </w:pPr>
      <w:r>
        <w:rPr>
          <w:rFonts w:hint="eastAsia"/>
        </w:rPr>
        <w:t>调配场所必须通风良好，严禁烟火，并配备足量消防器材。</w:t>
      </w:r>
    </w:p>
    <w:p w14:paraId="3A42D92C">
      <w:pPr>
        <w:pStyle w:val="167"/>
      </w:pPr>
      <w:r>
        <w:rPr>
          <w:rFonts w:hint="eastAsia"/>
        </w:rPr>
        <w:t>调配涂料应在下风方向进行，操作人员位于上风侧，距明火或易燃物不应小于10米。</w:t>
      </w:r>
    </w:p>
    <w:p w14:paraId="31924C72">
      <w:pPr>
        <w:pStyle w:val="167"/>
      </w:pPr>
      <w:r>
        <w:rPr>
          <w:rFonts w:hint="eastAsia"/>
        </w:rPr>
        <w:t>不应在工作面大量存放涂料和稀释剂，涂料容器非使用时应密闭。</w:t>
      </w:r>
    </w:p>
    <w:p w14:paraId="548B74A0">
      <w:pPr>
        <w:pStyle w:val="167"/>
      </w:pPr>
      <w:r>
        <w:rPr>
          <w:rFonts w:hint="eastAsia"/>
        </w:rPr>
        <w:t>作业人员应正确使用劳动防护用品。在密闭空间内施工，应按照有限空间作业规定进行。</w:t>
      </w:r>
    </w:p>
    <w:p w14:paraId="0505F558">
      <w:pPr>
        <w:pStyle w:val="167"/>
      </w:pPr>
      <w:r>
        <w:rPr>
          <w:rFonts w:hint="eastAsia"/>
        </w:rPr>
        <w:t>涂装作业应避免与动火作业立体交叉施工。不应擅自进入起重作业区。</w:t>
      </w:r>
    </w:p>
    <w:p w14:paraId="50A1F4EE">
      <w:pPr>
        <w:pStyle w:val="68"/>
        <w:spacing w:before="120" w:after="120"/>
      </w:pPr>
      <w:r>
        <w:rPr>
          <w:rFonts w:hint="eastAsia"/>
        </w:rPr>
        <w:t>环境保护</w:t>
      </w:r>
    </w:p>
    <w:p w14:paraId="703E1EA2">
      <w:pPr>
        <w:pStyle w:val="167"/>
      </w:pPr>
      <w:r>
        <w:rPr>
          <w:rFonts w:hint="eastAsia"/>
        </w:rPr>
        <w:t>钢构件表面喷射清理宜在密闭喷砂房内进行，并配备除尘系统。现场固定场所作业应采取有效围挡和除尘措施。现场大型构件处理时，应采取局部粉尘控制措施。</w:t>
      </w:r>
    </w:p>
    <w:p w14:paraId="1A2A1455">
      <w:pPr>
        <w:pStyle w:val="167"/>
      </w:pPr>
      <w:r>
        <w:rPr>
          <w:rFonts w:hint="eastAsia"/>
        </w:rPr>
        <w:t>施工过程中应对废气、废水、固废及噪声进行控制，产生的危废品应按相关规定处理。</w:t>
      </w:r>
    </w:p>
    <w:p w14:paraId="5B5AAE82">
      <w:pPr>
        <w:pStyle w:val="107"/>
        <w:spacing w:before="240" w:after="240"/>
      </w:pPr>
      <w:bookmarkStart w:id="100" w:name="_Toc227569873"/>
      <w:bookmarkStart w:id="101" w:name="_Toc223708332"/>
      <w:bookmarkStart w:id="102" w:name="_Toc223697443"/>
      <w:bookmarkStart w:id="103" w:name="_Toc223697473"/>
      <w:bookmarkStart w:id="104" w:name="_Toc225345385"/>
      <w:bookmarkStart w:id="105" w:name="_Toc227577029"/>
      <w:bookmarkStart w:id="106" w:name="_Toc226548549"/>
      <w:r>
        <w:rPr>
          <w:rFonts w:hint="eastAsia"/>
        </w:rPr>
        <w:t>试验检验</w:t>
      </w:r>
      <w:bookmarkEnd w:id="100"/>
      <w:bookmarkEnd w:id="101"/>
      <w:bookmarkEnd w:id="102"/>
      <w:bookmarkEnd w:id="103"/>
      <w:bookmarkEnd w:id="104"/>
      <w:bookmarkEnd w:id="105"/>
      <w:bookmarkEnd w:id="106"/>
    </w:p>
    <w:p w14:paraId="40E5A2D1">
      <w:pPr>
        <w:pStyle w:val="108"/>
        <w:spacing w:before="120" w:after="120"/>
      </w:pPr>
      <w:r>
        <w:rPr>
          <w:rFonts w:hint="eastAsia"/>
        </w:rPr>
        <w:t>表面处理检验</w:t>
      </w:r>
    </w:p>
    <w:p w14:paraId="44A413DA">
      <w:pPr>
        <w:pStyle w:val="168"/>
      </w:pPr>
      <w:r>
        <w:rPr>
          <w:rFonts w:hint="eastAsia"/>
          <w:color w:val="000000" w:themeColor="text1"/>
          <w14:textFill>
            <w14:solidFill>
              <w14:schemeClr w14:val="tx1"/>
            </w14:solidFill>
          </w14:textFill>
        </w:rPr>
        <w:t>钢构件表面除锈等级应采用GB/T 8923.1规定的图片对照观察检查，检查结果应符合</w:t>
      </w:r>
      <w:r>
        <w:rPr>
          <w:rFonts w:hint="eastAsia" w:cs="宋体"/>
          <w:color w:val="000000" w:themeColor="text1"/>
          <w14:textFill>
            <w14:solidFill>
              <w14:schemeClr w14:val="tx1"/>
            </w14:solidFill>
          </w14:textFill>
        </w:rPr>
        <w:t>GB/T 50046</w:t>
      </w:r>
      <w:r>
        <w:rPr>
          <w:rFonts w:hint="eastAsia"/>
          <w:color w:val="000000" w:themeColor="text1"/>
          <w14:textFill>
            <w14:solidFill>
              <w14:schemeClr w14:val="tx1"/>
            </w14:solidFill>
          </w14:textFill>
        </w:rPr>
        <w:t>的规定。</w:t>
      </w:r>
    </w:p>
    <w:p w14:paraId="659A698F">
      <w:pPr>
        <w:pStyle w:val="168"/>
      </w:pPr>
      <w:r>
        <w:rPr>
          <w:rFonts w:hint="eastAsia"/>
          <w:color w:val="000000" w:themeColor="text1"/>
          <w14:textFill>
            <w14:solidFill>
              <w14:schemeClr w14:val="tx1"/>
            </w14:solidFill>
          </w14:textFill>
        </w:rPr>
        <w:t>钢构件表面灰尘等级按GB/T 18570.3《</w:t>
      </w:r>
      <w:r>
        <w:rPr>
          <w:color w:val="000000" w:themeColor="text1"/>
          <w14:textFill>
            <w14:solidFill>
              <w14:schemeClr w14:val="tx1"/>
            </w14:solidFill>
          </w14:textFill>
        </w:rPr>
        <w:t>涂覆涂料前钢材表面处理 表面清洁度的评定试验 第3部分：涂覆涂料前钢材表面的灰尘评定（压敏粘带法）</w:t>
      </w:r>
      <w:r>
        <w:rPr>
          <w:rFonts w:hint="eastAsia"/>
          <w:color w:val="000000" w:themeColor="text1"/>
          <w14:textFill>
            <w14:solidFill>
              <w14:schemeClr w14:val="tx1"/>
            </w14:solidFill>
          </w14:textFill>
        </w:rPr>
        <w:t>》进行检测，检验结果应达到2级及以上的要求。</w:t>
      </w:r>
    </w:p>
    <w:p w14:paraId="6FD08B35">
      <w:pPr>
        <w:pStyle w:val="168"/>
      </w:pPr>
      <w:r>
        <w:rPr>
          <w:rFonts w:hint="eastAsia"/>
          <w:color w:val="000000" w:themeColor="text1"/>
          <w14:textFill>
            <w14:solidFill>
              <w14:schemeClr w14:val="tx1"/>
            </w14:solidFill>
          </w14:textFill>
        </w:rPr>
        <w:t>C5环境现场施工时，宜对表面可溶性盐分进行检测，表面可溶性盐分氯化物残留量不应高于7µg/cm</w:t>
      </w:r>
      <w:r>
        <w:rPr>
          <w:rFonts w:hint="eastAsia"/>
          <w:color w:val="000000" w:themeColor="text1"/>
          <w:vertAlign w:val="superscript"/>
          <w14:textFill>
            <w14:solidFill>
              <w14:schemeClr w14:val="tx1"/>
            </w14:solidFill>
          </w14:textFill>
        </w:rPr>
        <w:t>2</w:t>
      </w:r>
      <w:r>
        <w:rPr>
          <w:rFonts w:hint="eastAsia"/>
          <w:color w:val="000000" w:themeColor="text1"/>
          <w14:textFill>
            <w14:solidFill>
              <w14:schemeClr w14:val="tx1"/>
            </w14:solidFill>
          </w14:textFill>
        </w:rPr>
        <w:t>。</w:t>
      </w:r>
    </w:p>
    <w:p w14:paraId="2E795E8D">
      <w:pPr>
        <w:pStyle w:val="108"/>
        <w:spacing w:before="120" w:after="120"/>
      </w:pPr>
      <w:r>
        <w:rPr>
          <w:rFonts w:hint="eastAsia"/>
        </w:rPr>
        <w:t>原材料检验</w:t>
      </w:r>
    </w:p>
    <w:p w14:paraId="012D0917">
      <w:pPr>
        <w:pStyle w:val="168"/>
      </w:pPr>
      <w:r>
        <w:rPr>
          <w:rFonts w:hint="eastAsia"/>
        </w:rPr>
        <w:t>带锈涂装材料检验方法应符合表1的规定。</w:t>
      </w:r>
    </w:p>
    <w:p w14:paraId="37C25DDF">
      <w:pPr>
        <w:pStyle w:val="115"/>
        <w:spacing w:before="120" w:after="120"/>
      </w:pPr>
      <w:r>
        <w:rPr>
          <w:rFonts w:hint="eastAsia"/>
        </w:rPr>
        <w:t>带锈涂装底层材料性能检验方法</w:t>
      </w:r>
    </w:p>
    <w:tbl>
      <w:tblPr>
        <w:tblStyle w:val="2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7"/>
        <w:gridCol w:w="2033"/>
        <w:gridCol w:w="6670"/>
      </w:tblGrid>
      <w:tr w14:paraId="098CF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453" w:type="pct"/>
            <w:vAlign w:val="center"/>
          </w:tcPr>
          <w:p w14:paraId="3697F56D">
            <w:pPr>
              <w:snapToGrid w:val="0"/>
              <w:jc w:val="center"/>
              <w:outlineLvl w:val="1"/>
              <w:rPr>
                <w:rFonts w:hint="eastAsia" w:ascii="宋体" w:hAnsi="宋体" w:cs="黑体"/>
              </w:rPr>
            </w:pPr>
            <w:r>
              <w:rPr>
                <w:rFonts w:hint="eastAsia" w:ascii="宋体" w:hAnsi="宋体" w:cs="黑体"/>
              </w:rPr>
              <w:t>序号</w:t>
            </w:r>
          </w:p>
        </w:tc>
        <w:tc>
          <w:tcPr>
            <w:tcW w:w="1062" w:type="pct"/>
            <w:vAlign w:val="center"/>
          </w:tcPr>
          <w:p w14:paraId="7EAF2B7D">
            <w:pPr>
              <w:snapToGrid w:val="0"/>
              <w:jc w:val="center"/>
              <w:outlineLvl w:val="1"/>
              <w:rPr>
                <w:rFonts w:hint="eastAsia" w:ascii="宋体" w:hAnsi="宋体" w:cs="黑体"/>
              </w:rPr>
            </w:pPr>
            <w:r>
              <w:rPr>
                <w:rFonts w:hint="eastAsia" w:ascii="宋体" w:hAnsi="宋体" w:cs="黑体"/>
              </w:rPr>
              <w:t>检验项目</w:t>
            </w:r>
          </w:p>
        </w:tc>
        <w:tc>
          <w:tcPr>
            <w:tcW w:w="3485" w:type="pct"/>
            <w:vAlign w:val="center"/>
          </w:tcPr>
          <w:p w14:paraId="212452E6">
            <w:pPr>
              <w:snapToGrid w:val="0"/>
              <w:jc w:val="center"/>
              <w:outlineLvl w:val="1"/>
              <w:rPr>
                <w:rFonts w:hint="eastAsia" w:ascii="宋体" w:hAnsi="宋体" w:cs="黑体"/>
              </w:rPr>
            </w:pPr>
            <w:r>
              <w:rPr>
                <w:rFonts w:hint="eastAsia" w:ascii="宋体" w:hAnsi="宋体" w:cs="黑体"/>
              </w:rPr>
              <w:t>检验方法</w:t>
            </w:r>
          </w:p>
        </w:tc>
      </w:tr>
      <w:tr w14:paraId="11204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 w:type="pct"/>
            <w:vAlign w:val="center"/>
          </w:tcPr>
          <w:p w14:paraId="00140069">
            <w:pPr>
              <w:snapToGrid w:val="0"/>
              <w:jc w:val="center"/>
              <w:outlineLvl w:val="1"/>
              <w:rPr>
                <w:rFonts w:hint="eastAsia" w:ascii="宋体" w:hAnsi="宋体" w:cs="黑体"/>
              </w:rPr>
            </w:pPr>
            <w:r>
              <w:rPr>
                <w:rFonts w:hint="eastAsia" w:ascii="宋体" w:hAnsi="宋体" w:cs="黑体"/>
              </w:rPr>
              <w:t>1</w:t>
            </w:r>
          </w:p>
        </w:tc>
        <w:tc>
          <w:tcPr>
            <w:tcW w:w="1062" w:type="pct"/>
            <w:vAlign w:val="center"/>
          </w:tcPr>
          <w:p w14:paraId="1A6063C9">
            <w:pPr>
              <w:snapToGrid w:val="0"/>
              <w:jc w:val="center"/>
              <w:outlineLvl w:val="1"/>
              <w:rPr>
                <w:rFonts w:hint="eastAsia" w:ascii="宋体" w:hAnsi="宋体" w:cs="黑体"/>
              </w:rPr>
            </w:pPr>
            <w:r>
              <w:rPr>
                <w:rFonts w:hint="eastAsia" w:ascii="宋体" w:hAnsi="宋体" w:cs="黑体"/>
              </w:rPr>
              <w:t>在容器中状态</w:t>
            </w:r>
          </w:p>
        </w:tc>
        <w:tc>
          <w:tcPr>
            <w:tcW w:w="3485" w:type="pct"/>
            <w:vAlign w:val="center"/>
          </w:tcPr>
          <w:p w14:paraId="7EE0CCDD">
            <w:pPr>
              <w:snapToGrid w:val="0"/>
              <w:jc w:val="center"/>
              <w:outlineLvl w:val="1"/>
              <w:rPr>
                <w:rFonts w:hint="eastAsia" w:ascii="宋体" w:hAnsi="宋体" w:cs="黑体"/>
              </w:rPr>
            </w:pPr>
            <w:r>
              <w:rPr>
                <w:rFonts w:hint="eastAsia" w:ascii="宋体" w:hAnsi="宋体" w:cs="黑体"/>
              </w:rPr>
              <w:t>打开容器，用调刀或搅拌棒搅拌，允许底部有沉淀，若经搅拌易于混合均匀，可评为“搅拌混合后无硬块，呈均匀状态”。</w:t>
            </w:r>
          </w:p>
        </w:tc>
      </w:tr>
      <w:tr w14:paraId="4F854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 w:type="pct"/>
            <w:vAlign w:val="center"/>
          </w:tcPr>
          <w:p w14:paraId="1E43023B">
            <w:pPr>
              <w:snapToGrid w:val="0"/>
              <w:jc w:val="center"/>
              <w:outlineLvl w:val="1"/>
              <w:rPr>
                <w:rFonts w:hint="eastAsia" w:ascii="宋体" w:hAnsi="宋体" w:cs="黑体"/>
              </w:rPr>
            </w:pPr>
            <w:r>
              <w:rPr>
                <w:rFonts w:hint="eastAsia" w:ascii="宋体" w:hAnsi="宋体" w:cs="黑体"/>
              </w:rPr>
              <w:t>2</w:t>
            </w:r>
          </w:p>
        </w:tc>
        <w:tc>
          <w:tcPr>
            <w:tcW w:w="1062" w:type="pct"/>
            <w:vAlign w:val="center"/>
          </w:tcPr>
          <w:p w14:paraId="0BB9668E">
            <w:pPr>
              <w:snapToGrid w:val="0"/>
              <w:jc w:val="center"/>
              <w:outlineLvl w:val="1"/>
              <w:rPr>
                <w:rFonts w:hint="eastAsia" w:ascii="宋体" w:hAnsi="宋体" w:cs="黑体"/>
              </w:rPr>
            </w:pPr>
            <w:r>
              <w:rPr>
                <w:rFonts w:hint="eastAsia" w:ascii="宋体" w:hAnsi="宋体" w:cs="黑体"/>
              </w:rPr>
              <w:t>不挥发物含量</w:t>
            </w:r>
          </w:p>
        </w:tc>
        <w:tc>
          <w:tcPr>
            <w:tcW w:w="3485" w:type="pct"/>
            <w:vAlign w:val="center"/>
          </w:tcPr>
          <w:p w14:paraId="62A0163F">
            <w:pPr>
              <w:snapToGrid w:val="0"/>
              <w:outlineLvl w:val="1"/>
              <w:rPr>
                <w:rFonts w:hint="eastAsia" w:ascii="宋体" w:hAnsi="宋体" w:cs="黑体"/>
              </w:rPr>
            </w:pPr>
            <w:r>
              <w:rPr>
                <w:rFonts w:hint="eastAsia" w:ascii="宋体" w:hAnsi="宋体" w:cs="黑体"/>
              </w:rPr>
              <w:t>应符合GB/T 1725《色漆、清漆和塑料 不挥发物含量的测定》规定，</w:t>
            </w:r>
          </w:p>
          <w:p w14:paraId="328265B9">
            <w:pPr>
              <w:snapToGrid w:val="0"/>
              <w:jc w:val="center"/>
              <w:outlineLvl w:val="1"/>
              <w:rPr>
                <w:rFonts w:hint="eastAsia" w:ascii="宋体" w:hAnsi="宋体" w:cs="黑体"/>
              </w:rPr>
            </w:pPr>
            <w:r>
              <w:rPr>
                <w:rFonts w:hint="eastAsia" w:ascii="宋体" w:hAnsi="宋体" w:cs="黑体"/>
              </w:rPr>
              <w:t>烘烤温度为（105±2）℃，烘烤时间为2h</w:t>
            </w:r>
          </w:p>
        </w:tc>
      </w:tr>
      <w:tr w14:paraId="68650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 w:type="pct"/>
            <w:vAlign w:val="center"/>
          </w:tcPr>
          <w:p w14:paraId="47090C99">
            <w:pPr>
              <w:snapToGrid w:val="0"/>
              <w:jc w:val="center"/>
              <w:outlineLvl w:val="1"/>
              <w:rPr>
                <w:rFonts w:hint="eastAsia" w:ascii="宋体" w:hAnsi="宋体" w:cs="黑体"/>
              </w:rPr>
            </w:pPr>
            <w:r>
              <w:rPr>
                <w:rFonts w:hint="eastAsia" w:ascii="宋体" w:hAnsi="宋体" w:cs="黑体"/>
              </w:rPr>
              <w:t>3</w:t>
            </w:r>
          </w:p>
        </w:tc>
        <w:tc>
          <w:tcPr>
            <w:tcW w:w="1062" w:type="pct"/>
            <w:vAlign w:val="center"/>
          </w:tcPr>
          <w:p w14:paraId="413535B4">
            <w:pPr>
              <w:snapToGrid w:val="0"/>
              <w:jc w:val="center"/>
              <w:outlineLvl w:val="1"/>
              <w:rPr>
                <w:rFonts w:hint="eastAsia" w:ascii="宋体" w:hAnsi="宋体" w:cs="黑体"/>
              </w:rPr>
            </w:pPr>
            <w:r>
              <w:rPr>
                <w:rFonts w:hint="eastAsia" w:ascii="宋体" w:hAnsi="宋体" w:cs="黑体"/>
              </w:rPr>
              <w:t>耐冲击性</w:t>
            </w:r>
          </w:p>
        </w:tc>
        <w:tc>
          <w:tcPr>
            <w:tcW w:w="3485" w:type="pct"/>
            <w:vAlign w:val="center"/>
          </w:tcPr>
          <w:p w14:paraId="315A185A">
            <w:pPr>
              <w:snapToGrid w:val="0"/>
              <w:jc w:val="center"/>
              <w:outlineLvl w:val="1"/>
              <w:rPr>
                <w:rFonts w:hint="eastAsia" w:ascii="宋体" w:hAnsi="宋体" w:cs="黑体"/>
              </w:rPr>
            </w:pPr>
            <w:r>
              <w:rPr>
                <w:rFonts w:hint="eastAsia" w:ascii="宋体" w:hAnsi="宋体" w:cs="黑体"/>
              </w:rPr>
              <w:t>应符合GB/T 1732《漆膜耐冲击测定法》规定。</w:t>
            </w:r>
          </w:p>
        </w:tc>
      </w:tr>
      <w:tr w14:paraId="7DAE6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 w:type="pct"/>
            <w:vAlign w:val="center"/>
          </w:tcPr>
          <w:p w14:paraId="06A3BE30">
            <w:pPr>
              <w:snapToGrid w:val="0"/>
              <w:jc w:val="center"/>
              <w:outlineLvl w:val="1"/>
              <w:rPr>
                <w:rFonts w:hint="eastAsia" w:ascii="宋体" w:hAnsi="宋体" w:cs="黑体"/>
              </w:rPr>
            </w:pPr>
            <w:r>
              <w:rPr>
                <w:rFonts w:hint="eastAsia" w:ascii="宋体" w:hAnsi="宋体" w:cs="黑体"/>
              </w:rPr>
              <w:t>4</w:t>
            </w:r>
          </w:p>
        </w:tc>
        <w:tc>
          <w:tcPr>
            <w:tcW w:w="1062" w:type="pct"/>
            <w:vAlign w:val="center"/>
          </w:tcPr>
          <w:p w14:paraId="52C3F3E7">
            <w:pPr>
              <w:snapToGrid w:val="0"/>
              <w:jc w:val="center"/>
              <w:outlineLvl w:val="1"/>
              <w:rPr>
                <w:rFonts w:hint="eastAsia" w:ascii="宋体" w:hAnsi="宋体" w:cs="黑体"/>
              </w:rPr>
            </w:pPr>
            <w:r>
              <w:rPr>
                <w:rFonts w:hint="eastAsia" w:ascii="宋体" w:hAnsi="宋体" w:cs="黑体"/>
              </w:rPr>
              <w:t>弯曲试验</w:t>
            </w:r>
          </w:p>
        </w:tc>
        <w:tc>
          <w:tcPr>
            <w:tcW w:w="3485" w:type="pct"/>
            <w:vAlign w:val="center"/>
          </w:tcPr>
          <w:p w14:paraId="4270D529">
            <w:pPr>
              <w:snapToGrid w:val="0"/>
              <w:jc w:val="center"/>
              <w:outlineLvl w:val="1"/>
              <w:rPr>
                <w:rFonts w:hint="eastAsia" w:ascii="宋体" w:hAnsi="宋体" w:cs="黑体"/>
              </w:rPr>
            </w:pPr>
            <w:r>
              <w:rPr>
                <w:rFonts w:hint="eastAsia" w:ascii="宋体" w:hAnsi="宋体" w:cs="黑体"/>
              </w:rPr>
              <w:t>应符合GB/T 6742《色漆和清漆 弯曲试验（圆柱轴）》规定。</w:t>
            </w:r>
          </w:p>
        </w:tc>
      </w:tr>
      <w:tr w14:paraId="37D9B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 w:type="pct"/>
            <w:vAlign w:val="center"/>
          </w:tcPr>
          <w:p w14:paraId="262B3A81">
            <w:pPr>
              <w:snapToGrid w:val="0"/>
              <w:jc w:val="center"/>
              <w:outlineLvl w:val="1"/>
              <w:rPr>
                <w:rFonts w:hint="eastAsia" w:ascii="宋体" w:hAnsi="宋体" w:cs="黑体"/>
              </w:rPr>
            </w:pPr>
            <w:r>
              <w:rPr>
                <w:rFonts w:hint="eastAsia" w:ascii="宋体" w:hAnsi="宋体" w:cs="黑体"/>
              </w:rPr>
              <w:t>5</w:t>
            </w:r>
          </w:p>
        </w:tc>
        <w:tc>
          <w:tcPr>
            <w:tcW w:w="1062" w:type="pct"/>
            <w:vAlign w:val="center"/>
          </w:tcPr>
          <w:p w14:paraId="63703204">
            <w:pPr>
              <w:snapToGrid w:val="0"/>
              <w:jc w:val="center"/>
              <w:outlineLvl w:val="1"/>
              <w:rPr>
                <w:rFonts w:hint="eastAsia" w:ascii="宋体" w:hAnsi="宋体" w:cs="黑体"/>
              </w:rPr>
            </w:pPr>
            <w:r>
              <w:rPr>
                <w:rFonts w:hint="eastAsia" w:ascii="宋体" w:hAnsi="宋体" w:cs="黑体"/>
              </w:rPr>
              <w:t>干燥时间</w:t>
            </w:r>
          </w:p>
        </w:tc>
        <w:tc>
          <w:tcPr>
            <w:tcW w:w="3485" w:type="pct"/>
            <w:vAlign w:val="center"/>
          </w:tcPr>
          <w:p w14:paraId="623BA469">
            <w:pPr>
              <w:snapToGrid w:val="0"/>
              <w:jc w:val="center"/>
              <w:outlineLvl w:val="1"/>
              <w:rPr>
                <w:rFonts w:hint="eastAsia" w:ascii="宋体" w:hAnsi="宋体" w:cs="黑体"/>
              </w:rPr>
            </w:pPr>
            <w:r>
              <w:rPr>
                <w:rFonts w:hint="eastAsia" w:ascii="宋体" w:hAnsi="宋体" w:cs="黑体"/>
              </w:rPr>
              <w:t>应符合GB/T 1728《漆膜、腻子膜干燥时间测定法</w:t>
            </w:r>
            <w:r>
              <w:rPr>
                <w:rFonts w:ascii="Times New Roman" w:hAnsi="Times New Roman"/>
              </w:rPr>
              <w:t>‌</w:t>
            </w:r>
            <w:r>
              <w:rPr>
                <w:rFonts w:hint="eastAsia" w:ascii="宋体" w:hAnsi="宋体" w:cs="黑体"/>
              </w:rPr>
              <w:t>》规定，</w:t>
            </w:r>
          </w:p>
          <w:p w14:paraId="251F2BA2">
            <w:pPr>
              <w:snapToGrid w:val="0"/>
              <w:jc w:val="center"/>
              <w:outlineLvl w:val="1"/>
              <w:rPr>
                <w:rFonts w:hint="eastAsia" w:ascii="宋体" w:hAnsi="宋体" w:cs="黑体"/>
              </w:rPr>
            </w:pPr>
            <w:r>
              <w:rPr>
                <w:rFonts w:hint="eastAsia" w:ascii="宋体" w:hAnsi="宋体" w:cs="黑体"/>
              </w:rPr>
              <w:t>其中表干采用指触法，实干采用压滤纸法。</w:t>
            </w:r>
          </w:p>
        </w:tc>
      </w:tr>
      <w:tr w14:paraId="51AF6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 w:type="pct"/>
            <w:vAlign w:val="center"/>
          </w:tcPr>
          <w:p w14:paraId="365CA954">
            <w:pPr>
              <w:snapToGrid w:val="0"/>
              <w:jc w:val="center"/>
              <w:outlineLvl w:val="1"/>
              <w:rPr>
                <w:rFonts w:hint="eastAsia" w:ascii="宋体" w:hAnsi="宋体" w:cs="黑体"/>
              </w:rPr>
            </w:pPr>
            <w:r>
              <w:rPr>
                <w:rFonts w:ascii="宋体" w:hAnsi="宋体" w:cs="黑体"/>
              </w:rPr>
              <w:t>6</w:t>
            </w:r>
          </w:p>
        </w:tc>
        <w:tc>
          <w:tcPr>
            <w:tcW w:w="1062" w:type="pct"/>
            <w:vAlign w:val="center"/>
          </w:tcPr>
          <w:p w14:paraId="1BD8D1FC">
            <w:pPr>
              <w:snapToGrid w:val="0"/>
              <w:jc w:val="center"/>
              <w:outlineLvl w:val="1"/>
              <w:rPr>
                <w:rFonts w:hint="eastAsia" w:ascii="宋体" w:hAnsi="宋体" w:cs="黑体"/>
              </w:rPr>
            </w:pPr>
            <w:r>
              <w:rPr>
                <w:rFonts w:hint="eastAsia" w:ascii="宋体" w:hAnsi="宋体" w:cs="黑体"/>
              </w:rPr>
              <w:t>划格试验</w:t>
            </w:r>
          </w:p>
          <w:p w14:paraId="67FC7B8C">
            <w:pPr>
              <w:snapToGrid w:val="0"/>
              <w:jc w:val="center"/>
              <w:outlineLvl w:val="1"/>
              <w:rPr>
                <w:rFonts w:hint="eastAsia" w:ascii="宋体" w:hAnsi="宋体" w:cs="黑体"/>
              </w:rPr>
            </w:pPr>
            <w:r>
              <w:rPr>
                <w:rFonts w:hint="eastAsia" w:ascii="宋体" w:hAnsi="宋体" w:cs="黑体"/>
              </w:rPr>
              <w:t>（划格间距2mm）</w:t>
            </w:r>
          </w:p>
        </w:tc>
        <w:tc>
          <w:tcPr>
            <w:tcW w:w="3485" w:type="pct"/>
            <w:vAlign w:val="center"/>
          </w:tcPr>
          <w:p w14:paraId="5C1CA33E">
            <w:pPr>
              <w:snapToGrid w:val="0"/>
              <w:jc w:val="center"/>
              <w:outlineLvl w:val="1"/>
              <w:rPr>
                <w:rFonts w:hint="eastAsia" w:ascii="宋体" w:hAnsi="宋体" w:cs="黑体"/>
              </w:rPr>
            </w:pPr>
            <w:r>
              <w:rPr>
                <w:rFonts w:hint="eastAsia" w:ascii="宋体" w:hAnsi="宋体" w:cs="黑体"/>
              </w:rPr>
              <w:t>应符合GB/T 9286《色漆和清漆 划格试验》规定。</w:t>
            </w:r>
          </w:p>
        </w:tc>
      </w:tr>
      <w:tr w14:paraId="1B4F5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 w:type="pct"/>
            <w:vAlign w:val="center"/>
          </w:tcPr>
          <w:p w14:paraId="50CC3F63">
            <w:pPr>
              <w:snapToGrid w:val="0"/>
              <w:jc w:val="center"/>
              <w:outlineLvl w:val="1"/>
              <w:rPr>
                <w:rFonts w:hint="eastAsia" w:ascii="宋体" w:hAnsi="宋体" w:cs="黑体"/>
              </w:rPr>
            </w:pPr>
            <w:r>
              <w:rPr>
                <w:rFonts w:ascii="宋体" w:hAnsi="宋体" w:cs="黑体"/>
              </w:rPr>
              <w:t>7</w:t>
            </w:r>
          </w:p>
        </w:tc>
        <w:tc>
          <w:tcPr>
            <w:tcW w:w="1062" w:type="pct"/>
            <w:vAlign w:val="center"/>
          </w:tcPr>
          <w:p w14:paraId="46A88B76">
            <w:pPr>
              <w:snapToGrid w:val="0"/>
              <w:jc w:val="center"/>
              <w:outlineLvl w:val="1"/>
              <w:rPr>
                <w:rFonts w:hint="eastAsia" w:ascii="宋体" w:hAnsi="宋体" w:cs="黑体"/>
              </w:rPr>
            </w:pPr>
            <w:r>
              <w:rPr>
                <w:rFonts w:hint="eastAsia" w:ascii="宋体" w:hAnsi="宋体" w:cs="黑体"/>
              </w:rPr>
              <w:t>耐水性</w:t>
            </w:r>
          </w:p>
        </w:tc>
        <w:tc>
          <w:tcPr>
            <w:tcW w:w="3485" w:type="pct"/>
            <w:vAlign w:val="center"/>
          </w:tcPr>
          <w:p w14:paraId="4AFB072E">
            <w:pPr>
              <w:snapToGrid w:val="0"/>
              <w:jc w:val="center"/>
              <w:outlineLvl w:val="1"/>
              <w:rPr>
                <w:rFonts w:hint="eastAsia" w:ascii="宋体" w:hAnsi="宋体" w:cs="黑体"/>
              </w:rPr>
            </w:pPr>
            <w:r>
              <w:rPr>
                <w:rFonts w:hint="eastAsia" w:ascii="宋体" w:hAnsi="宋体" w:cs="黑体"/>
              </w:rPr>
              <w:t>应符合GB/T 1733-1993《色漆和清漆 耐水性的测定 浸水法》中甲法规定。试板测试前需进行封边和封背。将3块试板浸入水中，试验结束后取出样板观察。如3块样板中有2块为出现起泡、生锈、开裂、剥落、明显变色等涂膜病态现象，则评定为“无异常”。如出现以上涂膜病态现象，应按GB/T 1766《色漆和清漆 涂层老化的评级方法》进行描述。</w:t>
            </w:r>
          </w:p>
        </w:tc>
      </w:tr>
      <w:tr w14:paraId="58A52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 w:type="pct"/>
            <w:vAlign w:val="center"/>
          </w:tcPr>
          <w:p w14:paraId="4EBC55C0">
            <w:pPr>
              <w:snapToGrid w:val="0"/>
              <w:jc w:val="center"/>
              <w:outlineLvl w:val="1"/>
              <w:rPr>
                <w:rFonts w:hint="eastAsia" w:ascii="宋体" w:hAnsi="宋体" w:cs="黑体"/>
              </w:rPr>
            </w:pPr>
            <w:r>
              <w:rPr>
                <w:rFonts w:ascii="宋体" w:hAnsi="宋体" w:cs="黑体"/>
              </w:rPr>
              <w:t>8</w:t>
            </w:r>
          </w:p>
        </w:tc>
        <w:tc>
          <w:tcPr>
            <w:tcW w:w="1062" w:type="pct"/>
            <w:vAlign w:val="center"/>
          </w:tcPr>
          <w:p w14:paraId="2A3298B8">
            <w:pPr>
              <w:snapToGrid w:val="0"/>
              <w:jc w:val="center"/>
              <w:outlineLvl w:val="1"/>
              <w:rPr>
                <w:rFonts w:hint="eastAsia" w:ascii="宋体" w:hAnsi="宋体" w:cs="黑体"/>
              </w:rPr>
            </w:pPr>
            <w:r>
              <w:rPr>
                <w:rFonts w:hint="eastAsia" w:ascii="宋体" w:hAnsi="宋体" w:cs="黑体"/>
              </w:rPr>
              <w:t>耐盐水性</w:t>
            </w:r>
          </w:p>
        </w:tc>
        <w:tc>
          <w:tcPr>
            <w:tcW w:w="3485" w:type="pct"/>
            <w:vAlign w:val="center"/>
          </w:tcPr>
          <w:p w14:paraId="721988E2">
            <w:pPr>
              <w:snapToGrid w:val="0"/>
              <w:jc w:val="center"/>
              <w:outlineLvl w:val="1"/>
              <w:rPr>
                <w:rFonts w:hint="eastAsia" w:ascii="宋体" w:hAnsi="宋体" w:cs="黑体"/>
              </w:rPr>
            </w:pPr>
            <w:r>
              <w:rPr>
                <w:rFonts w:hint="eastAsia" w:ascii="宋体" w:hAnsi="宋体" w:cs="黑体"/>
              </w:rPr>
              <w:t>应符合GB/T 9274-1988《色漆和清漆 耐液体介质的测定》中甲法规定。浸入3%（质量分数）的氯化钠溶液中，试验结束后取出样板观察，如3块样板中有2块为出现起泡、生锈、开裂、剥落、明显变色等涂膜病态现象，则评定为“无异常”。如出现以上涂膜病态现象，应按GB/T 1766进行描述。</w:t>
            </w:r>
          </w:p>
        </w:tc>
      </w:tr>
      <w:tr w14:paraId="509BA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 w:type="pct"/>
            <w:vAlign w:val="center"/>
          </w:tcPr>
          <w:p w14:paraId="541197EA">
            <w:pPr>
              <w:snapToGrid w:val="0"/>
              <w:jc w:val="center"/>
              <w:outlineLvl w:val="1"/>
              <w:rPr>
                <w:rFonts w:hint="eastAsia" w:ascii="宋体" w:hAnsi="宋体" w:cs="黑体"/>
              </w:rPr>
            </w:pPr>
            <w:r>
              <w:rPr>
                <w:rFonts w:ascii="宋体" w:hAnsi="宋体" w:cs="黑体"/>
              </w:rPr>
              <w:t>9</w:t>
            </w:r>
          </w:p>
        </w:tc>
        <w:tc>
          <w:tcPr>
            <w:tcW w:w="1062" w:type="pct"/>
            <w:vAlign w:val="center"/>
          </w:tcPr>
          <w:p w14:paraId="41FDCFAA">
            <w:pPr>
              <w:snapToGrid w:val="0"/>
              <w:jc w:val="center"/>
              <w:outlineLvl w:val="1"/>
              <w:rPr>
                <w:rFonts w:hint="eastAsia" w:ascii="宋体" w:hAnsi="宋体" w:cs="黑体"/>
              </w:rPr>
            </w:pPr>
            <w:r>
              <w:rPr>
                <w:rFonts w:hint="eastAsia" w:ascii="宋体" w:hAnsi="宋体" w:cs="黑体"/>
              </w:rPr>
              <w:t>耐湿热性</w:t>
            </w:r>
          </w:p>
        </w:tc>
        <w:tc>
          <w:tcPr>
            <w:tcW w:w="3485" w:type="pct"/>
            <w:vAlign w:val="center"/>
          </w:tcPr>
          <w:p w14:paraId="41147690">
            <w:pPr>
              <w:snapToGrid w:val="0"/>
              <w:jc w:val="center"/>
              <w:outlineLvl w:val="1"/>
              <w:rPr>
                <w:rFonts w:hint="eastAsia" w:ascii="宋体" w:hAnsi="宋体" w:cs="黑体"/>
              </w:rPr>
            </w:pPr>
            <w:r>
              <w:rPr>
                <w:rFonts w:hint="eastAsia" w:ascii="宋体" w:hAnsi="宋体" w:cs="黑体"/>
              </w:rPr>
              <w:t>应符合GB/T 1740《漆膜耐湿热测定法》规定。如出现起泡、生锈、</w:t>
            </w:r>
          </w:p>
          <w:p w14:paraId="491548EE">
            <w:pPr>
              <w:snapToGrid w:val="0"/>
              <w:jc w:val="center"/>
              <w:outlineLvl w:val="1"/>
              <w:rPr>
                <w:rFonts w:hint="eastAsia" w:ascii="宋体" w:hAnsi="宋体" w:cs="黑体"/>
              </w:rPr>
            </w:pPr>
            <w:r>
              <w:rPr>
                <w:rFonts w:hint="eastAsia" w:ascii="宋体" w:hAnsi="宋体" w:cs="黑体"/>
              </w:rPr>
              <w:t>开裂和剥落等涂膜病态现象，应按GB/T 1766进行描述。</w:t>
            </w:r>
          </w:p>
        </w:tc>
      </w:tr>
      <w:tr w14:paraId="2A57B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 w:type="pct"/>
            <w:vAlign w:val="center"/>
          </w:tcPr>
          <w:p w14:paraId="7F0B5931">
            <w:pPr>
              <w:snapToGrid w:val="0"/>
              <w:jc w:val="center"/>
              <w:outlineLvl w:val="1"/>
              <w:rPr>
                <w:rFonts w:hint="eastAsia" w:ascii="宋体" w:hAnsi="宋体" w:cs="黑体"/>
              </w:rPr>
            </w:pPr>
            <w:r>
              <w:rPr>
                <w:rFonts w:ascii="宋体" w:hAnsi="宋体" w:cs="黑体"/>
              </w:rPr>
              <w:t>10</w:t>
            </w:r>
          </w:p>
        </w:tc>
        <w:tc>
          <w:tcPr>
            <w:tcW w:w="1062" w:type="pct"/>
            <w:vAlign w:val="center"/>
          </w:tcPr>
          <w:p w14:paraId="7169B7A4">
            <w:pPr>
              <w:snapToGrid w:val="0"/>
              <w:jc w:val="center"/>
              <w:outlineLvl w:val="1"/>
              <w:rPr>
                <w:rFonts w:hint="eastAsia" w:ascii="宋体" w:hAnsi="宋体" w:cs="黑体"/>
              </w:rPr>
            </w:pPr>
            <w:r>
              <w:rPr>
                <w:rFonts w:hint="eastAsia" w:ascii="宋体" w:hAnsi="宋体" w:cs="黑体"/>
              </w:rPr>
              <w:t>耐盐雾性</w:t>
            </w:r>
          </w:p>
        </w:tc>
        <w:tc>
          <w:tcPr>
            <w:tcW w:w="3485" w:type="pct"/>
            <w:vAlign w:val="center"/>
          </w:tcPr>
          <w:p w14:paraId="7FB6FEBE">
            <w:pPr>
              <w:snapToGrid w:val="0"/>
              <w:jc w:val="center"/>
              <w:outlineLvl w:val="1"/>
              <w:rPr>
                <w:rFonts w:hint="eastAsia" w:ascii="宋体" w:hAnsi="宋体" w:cs="黑体"/>
              </w:rPr>
            </w:pPr>
            <w:r>
              <w:rPr>
                <w:rFonts w:hint="eastAsia" w:ascii="宋体" w:hAnsi="宋体" w:cs="黑体"/>
              </w:rPr>
              <w:t>应符合GB/T 10125《人造气氛腐蚀试验 盐雾试验》规定（试板不划线）。应按GB/T 1766进行描述并评级。</w:t>
            </w:r>
          </w:p>
        </w:tc>
      </w:tr>
    </w:tbl>
    <w:p w14:paraId="02D72B41">
      <w:pPr>
        <w:pStyle w:val="168"/>
        <w:numPr>
          <w:ilvl w:val="0"/>
          <w:numId w:val="0"/>
        </w:numPr>
      </w:pPr>
    </w:p>
    <w:p w14:paraId="13A303E1">
      <w:pPr>
        <w:pStyle w:val="168"/>
      </w:pPr>
      <w:r>
        <w:rPr>
          <w:rFonts w:hint="eastAsia"/>
        </w:rPr>
        <w:t>界面中间层材料检验方法应符合表2的规定。</w:t>
      </w:r>
    </w:p>
    <w:p w14:paraId="6FD8891B">
      <w:pPr>
        <w:pStyle w:val="115"/>
        <w:spacing w:before="120" w:after="120"/>
      </w:pPr>
      <w:r>
        <w:rPr>
          <w:rFonts w:hint="eastAsia"/>
        </w:rPr>
        <w:t>界面中间层材料检验方法</w:t>
      </w:r>
    </w:p>
    <w:tbl>
      <w:tblPr>
        <w:tblStyle w:val="2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2"/>
        <w:gridCol w:w="2088"/>
        <w:gridCol w:w="6670"/>
      </w:tblGrid>
      <w:tr w14:paraId="5B72B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424" w:type="pct"/>
            <w:vAlign w:val="center"/>
          </w:tcPr>
          <w:p w14:paraId="6110D4C1">
            <w:pPr>
              <w:snapToGrid w:val="0"/>
              <w:jc w:val="center"/>
              <w:outlineLvl w:val="1"/>
              <w:rPr>
                <w:rFonts w:hint="eastAsia" w:ascii="宋体" w:hAnsi="宋体" w:cs="宋体"/>
              </w:rPr>
            </w:pPr>
            <w:r>
              <w:rPr>
                <w:rFonts w:hint="eastAsia" w:ascii="宋体" w:hAnsi="宋体" w:cs="宋体"/>
              </w:rPr>
              <w:t>序号</w:t>
            </w:r>
          </w:p>
        </w:tc>
        <w:tc>
          <w:tcPr>
            <w:tcW w:w="1091" w:type="pct"/>
            <w:vAlign w:val="center"/>
          </w:tcPr>
          <w:p w14:paraId="5DBEEB5E">
            <w:pPr>
              <w:snapToGrid w:val="0"/>
              <w:jc w:val="center"/>
              <w:outlineLvl w:val="1"/>
              <w:rPr>
                <w:rFonts w:hint="eastAsia" w:ascii="宋体" w:hAnsi="宋体" w:cs="宋体"/>
              </w:rPr>
            </w:pPr>
            <w:r>
              <w:rPr>
                <w:rFonts w:hint="eastAsia" w:ascii="宋体" w:hAnsi="宋体" w:cs="宋体"/>
              </w:rPr>
              <w:t>检验项目</w:t>
            </w:r>
          </w:p>
        </w:tc>
        <w:tc>
          <w:tcPr>
            <w:tcW w:w="3486" w:type="pct"/>
            <w:vAlign w:val="center"/>
          </w:tcPr>
          <w:p w14:paraId="00586DA3">
            <w:pPr>
              <w:snapToGrid w:val="0"/>
              <w:jc w:val="center"/>
              <w:outlineLvl w:val="1"/>
              <w:rPr>
                <w:rFonts w:hint="eastAsia" w:ascii="宋体" w:hAnsi="宋体" w:cs="宋体"/>
              </w:rPr>
            </w:pPr>
            <w:r>
              <w:rPr>
                <w:rFonts w:hint="eastAsia" w:ascii="宋体" w:hAnsi="宋体" w:cs="宋体"/>
              </w:rPr>
              <w:t>检验方法</w:t>
            </w:r>
          </w:p>
        </w:tc>
      </w:tr>
      <w:tr w14:paraId="09BB8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vAlign w:val="center"/>
          </w:tcPr>
          <w:p w14:paraId="5BBD87CD">
            <w:pPr>
              <w:snapToGrid w:val="0"/>
              <w:jc w:val="center"/>
              <w:outlineLvl w:val="1"/>
              <w:rPr>
                <w:rFonts w:ascii="Times New Roman" w:hAnsi="Times New Roman" w:eastAsiaTheme="minorEastAsia"/>
              </w:rPr>
            </w:pPr>
            <w:r>
              <w:rPr>
                <w:rFonts w:ascii="Times New Roman" w:hAnsi="Times New Roman" w:eastAsiaTheme="minorEastAsia"/>
              </w:rPr>
              <w:t>1</w:t>
            </w:r>
          </w:p>
        </w:tc>
        <w:tc>
          <w:tcPr>
            <w:tcW w:w="1091" w:type="pct"/>
            <w:vAlign w:val="center"/>
          </w:tcPr>
          <w:p w14:paraId="110F9FDD">
            <w:pPr>
              <w:snapToGrid w:val="0"/>
              <w:jc w:val="center"/>
              <w:outlineLvl w:val="1"/>
              <w:rPr>
                <w:rFonts w:hint="eastAsia" w:ascii="宋体" w:hAnsi="宋体" w:cs="黑体"/>
              </w:rPr>
            </w:pPr>
            <w:r>
              <w:rPr>
                <w:rFonts w:hint="eastAsia" w:ascii="宋体" w:hAnsi="宋体" w:cs="黑体"/>
              </w:rPr>
              <w:t>在容器中状态</w:t>
            </w:r>
          </w:p>
        </w:tc>
        <w:tc>
          <w:tcPr>
            <w:tcW w:w="3486" w:type="pct"/>
            <w:vAlign w:val="center"/>
          </w:tcPr>
          <w:p w14:paraId="1F749357">
            <w:pPr>
              <w:snapToGrid w:val="0"/>
              <w:jc w:val="center"/>
              <w:outlineLvl w:val="1"/>
              <w:rPr>
                <w:rFonts w:hint="eastAsia" w:ascii="宋体" w:hAnsi="宋体" w:cs="黑体"/>
              </w:rPr>
            </w:pPr>
            <w:r>
              <w:rPr>
                <w:rFonts w:hint="eastAsia" w:ascii="宋体" w:hAnsi="宋体" w:cs="黑体"/>
              </w:rPr>
              <w:t>打开容器，用调刀或搅拌棒搅拌，允许底部有沉淀，</w:t>
            </w:r>
          </w:p>
          <w:p w14:paraId="564530F8">
            <w:pPr>
              <w:snapToGrid w:val="0"/>
              <w:jc w:val="center"/>
              <w:outlineLvl w:val="1"/>
              <w:rPr>
                <w:rFonts w:hint="eastAsia" w:ascii="宋体" w:hAnsi="宋体" w:cs="黑体"/>
              </w:rPr>
            </w:pPr>
            <w:r>
              <w:rPr>
                <w:rFonts w:hint="eastAsia" w:ascii="宋体" w:hAnsi="宋体" w:cs="黑体"/>
              </w:rPr>
              <w:t>若经搅拌易于混合均匀，可评为“搅拌混合后无硬块，呈均匀状态”。</w:t>
            </w:r>
          </w:p>
          <w:p w14:paraId="3774750F">
            <w:pPr>
              <w:snapToGrid w:val="0"/>
              <w:jc w:val="center"/>
              <w:outlineLvl w:val="1"/>
              <w:rPr>
                <w:rFonts w:hint="eastAsia" w:ascii="宋体" w:hAnsi="宋体" w:cs="黑体"/>
              </w:rPr>
            </w:pPr>
            <w:r>
              <w:rPr>
                <w:rFonts w:hint="eastAsia" w:ascii="宋体" w:hAnsi="宋体" w:cs="黑体"/>
              </w:rPr>
              <w:t>主剂和固化剂应分别测试。</w:t>
            </w:r>
          </w:p>
        </w:tc>
      </w:tr>
      <w:tr w14:paraId="080D3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vAlign w:val="center"/>
          </w:tcPr>
          <w:p w14:paraId="7A4C3AE2">
            <w:pPr>
              <w:snapToGrid w:val="0"/>
              <w:jc w:val="center"/>
              <w:outlineLvl w:val="1"/>
              <w:rPr>
                <w:rFonts w:ascii="Times New Roman" w:hAnsi="Times New Roman" w:eastAsiaTheme="minorEastAsia"/>
              </w:rPr>
            </w:pPr>
            <w:r>
              <w:rPr>
                <w:rFonts w:ascii="Times New Roman" w:hAnsi="Times New Roman" w:eastAsiaTheme="minorEastAsia"/>
              </w:rPr>
              <w:t>2</w:t>
            </w:r>
          </w:p>
        </w:tc>
        <w:tc>
          <w:tcPr>
            <w:tcW w:w="1091" w:type="pct"/>
            <w:vAlign w:val="center"/>
          </w:tcPr>
          <w:p w14:paraId="597BEA4F">
            <w:pPr>
              <w:snapToGrid w:val="0"/>
              <w:jc w:val="center"/>
              <w:outlineLvl w:val="1"/>
              <w:rPr>
                <w:rFonts w:hint="eastAsia" w:ascii="宋体" w:hAnsi="宋体" w:cs="黑体"/>
              </w:rPr>
            </w:pPr>
            <w:r>
              <w:rPr>
                <w:rFonts w:hint="eastAsia" w:ascii="宋体" w:hAnsi="宋体" w:cs="黑体"/>
              </w:rPr>
              <w:t>不挥发物含量</w:t>
            </w:r>
          </w:p>
        </w:tc>
        <w:tc>
          <w:tcPr>
            <w:tcW w:w="3486" w:type="pct"/>
            <w:vAlign w:val="center"/>
          </w:tcPr>
          <w:p w14:paraId="01D8BC6F">
            <w:pPr>
              <w:snapToGrid w:val="0"/>
              <w:jc w:val="center"/>
              <w:outlineLvl w:val="1"/>
              <w:rPr>
                <w:rFonts w:hint="eastAsia" w:ascii="宋体" w:hAnsi="宋体" w:cs="黑体"/>
              </w:rPr>
            </w:pPr>
            <w:r>
              <w:rPr>
                <w:rFonts w:hint="eastAsia" w:ascii="宋体" w:hAnsi="宋体" w:cs="黑体"/>
              </w:rPr>
              <w:t>应符合GB/T 1725规定，烘烤温度为（120±2）℃，</w:t>
            </w:r>
          </w:p>
          <w:p w14:paraId="72C198BB">
            <w:pPr>
              <w:snapToGrid w:val="0"/>
              <w:jc w:val="center"/>
              <w:outlineLvl w:val="1"/>
              <w:rPr>
                <w:rFonts w:hint="eastAsia" w:ascii="宋体" w:hAnsi="宋体" w:cs="黑体"/>
              </w:rPr>
            </w:pPr>
            <w:r>
              <w:rPr>
                <w:rFonts w:hint="eastAsia" w:ascii="宋体" w:hAnsi="宋体" w:cs="黑体"/>
              </w:rPr>
              <w:t>烘烤时间为1h，试样量为2g。</w:t>
            </w:r>
          </w:p>
        </w:tc>
      </w:tr>
      <w:tr w14:paraId="0FFB9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vAlign w:val="center"/>
          </w:tcPr>
          <w:p w14:paraId="7DFBFA0F">
            <w:pPr>
              <w:snapToGrid w:val="0"/>
              <w:jc w:val="center"/>
              <w:outlineLvl w:val="1"/>
              <w:rPr>
                <w:rFonts w:ascii="Times New Roman" w:hAnsi="Times New Roman" w:eastAsiaTheme="minorEastAsia"/>
              </w:rPr>
            </w:pPr>
            <w:r>
              <w:rPr>
                <w:rFonts w:ascii="Times New Roman" w:hAnsi="Times New Roman" w:eastAsiaTheme="minorEastAsia"/>
              </w:rPr>
              <w:t>3</w:t>
            </w:r>
          </w:p>
        </w:tc>
        <w:tc>
          <w:tcPr>
            <w:tcW w:w="1091" w:type="pct"/>
            <w:vAlign w:val="center"/>
          </w:tcPr>
          <w:p w14:paraId="46B51C5E">
            <w:pPr>
              <w:snapToGrid w:val="0"/>
              <w:jc w:val="center"/>
              <w:outlineLvl w:val="1"/>
              <w:rPr>
                <w:rFonts w:hint="eastAsia" w:ascii="宋体" w:hAnsi="宋体" w:cs="黑体"/>
              </w:rPr>
            </w:pPr>
            <w:r>
              <w:rPr>
                <w:rFonts w:hint="eastAsia" w:ascii="宋体" w:hAnsi="宋体" w:cs="黑体"/>
              </w:rPr>
              <w:t>流挂性</w:t>
            </w:r>
          </w:p>
        </w:tc>
        <w:tc>
          <w:tcPr>
            <w:tcW w:w="3486" w:type="pct"/>
            <w:vAlign w:val="center"/>
          </w:tcPr>
          <w:p w14:paraId="2D0E12FF">
            <w:pPr>
              <w:snapToGrid w:val="0"/>
              <w:jc w:val="center"/>
              <w:outlineLvl w:val="1"/>
              <w:rPr>
                <w:rFonts w:hint="eastAsia" w:ascii="宋体" w:hAnsi="宋体" w:cs="黑体"/>
              </w:rPr>
            </w:pPr>
            <w:r>
              <w:rPr>
                <w:rFonts w:hint="eastAsia" w:ascii="宋体" w:hAnsi="宋体" w:cs="黑体"/>
              </w:rPr>
              <w:t>将主剂和固化剂按产品规定的比例混合，搅拌均匀，在23℃±2℃条件下熟化30min后按GB/T 9264《色漆和清漆 抗流挂性评定》规定进行。</w:t>
            </w:r>
          </w:p>
        </w:tc>
      </w:tr>
      <w:tr w14:paraId="7DA84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vAlign w:val="center"/>
          </w:tcPr>
          <w:p w14:paraId="4253ACA4">
            <w:pPr>
              <w:snapToGrid w:val="0"/>
              <w:jc w:val="center"/>
              <w:outlineLvl w:val="1"/>
              <w:rPr>
                <w:rFonts w:ascii="Times New Roman" w:hAnsi="Times New Roman" w:eastAsiaTheme="minorEastAsia"/>
              </w:rPr>
            </w:pPr>
            <w:r>
              <w:rPr>
                <w:rFonts w:ascii="Times New Roman" w:hAnsi="Times New Roman" w:eastAsiaTheme="minorEastAsia"/>
              </w:rPr>
              <w:t>4</w:t>
            </w:r>
          </w:p>
        </w:tc>
        <w:tc>
          <w:tcPr>
            <w:tcW w:w="1091" w:type="pct"/>
            <w:vAlign w:val="center"/>
          </w:tcPr>
          <w:p w14:paraId="1F12D736">
            <w:pPr>
              <w:snapToGrid w:val="0"/>
              <w:jc w:val="center"/>
              <w:outlineLvl w:val="1"/>
              <w:rPr>
                <w:rFonts w:hint="eastAsia" w:ascii="宋体" w:hAnsi="宋体" w:cs="黑体"/>
              </w:rPr>
            </w:pPr>
            <w:r>
              <w:rPr>
                <w:rFonts w:hint="eastAsia" w:ascii="宋体" w:hAnsi="宋体" w:cs="黑体"/>
              </w:rPr>
              <w:t>干燥时间</w:t>
            </w:r>
          </w:p>
        </w:tc>
        <w:tc>
          <w:tcPr>
            <w:tcW w:w="3486" w:type="pct"/>
            <w:vAlign w:val="center"/>
          </w:tcPr>
          <w:p w14:paraId="30D6FEF8">
            <w:pPr>
              <w:snapToGrid w:val="0"/>
              <w:jc w:val="center"/>
              <w:outlineLvl w:val="1"/>
              <w:rPr>
                <w:rFonts w:hint="eastAsia" w:ascii="宋体" w:hAnsi="宋体" w:cs="黑体"/>
              </w:rPr>
            </w:pPr>
            <w:r>
              <w:rPr>
                <w:rFonts w:hint="eastAsia" w:ascii="宋体" w:hAnsi="宋体" w:cs="黑体"/>
              </w:rPr>
              <w:t>应符合GB/T 1728规定，</w:t>
            </w:r>
          </w:p>
          <w:p w14:paraId="43004D74">
            <w:pPr>
              <w:snapToGrid w:val="0"/>
              <w:jc w:val="center"/>
              <w:outlineLvl w:val="1"/>
              <w:rPr>
                <w:rFonts w:hint="eastAsia" w:ascii="宋体" w:hAnsi="宋体" w:cs="黑体"/>
              </w:rPr>
            </w:pPr>
            <w:r>
              <w:rPr>
                <w:rFonts w:hint="eastAsia" w:ascii="宋体" w:hAnsi="宋体" w:cs="黑体"/>
              </w:rPr>
              <w:t>其中表干采用指触法，实干采用压滤纸法。</w:t>
            </w:r>
          </w:p>
        </w:tc>
      </w:tr>
      <w:tr w14:paraId="55243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vAlign w:val="center"/>
          </w:tcPr>
          <w:p w14:paraId="3AE27D63">
            <w:pPr>
              <w:snapToGrid w:val="0"/>
              <w:jc w:val="center"/>
              <w:outlineLvl w:val="1"/>
              <w:rPr>
                <w:rFonts w:ascii="Times New Roman" w:hAnsi="Times New Roman" w:eastAsiaTheme="minorEastAsia"/>
              </w:rPr>
            </w:pPr>
            <w:r>
              <w:rPr>
                <w:rFonts w:ascii="Times New Roman" w:hAnsi="Times New Roman" w:eastAsiaTheme="minorEastAsia"/>
              </w:rPr>
              <w:t>5</w:t>
            </w:r>
          </w:p>
        </w:tc>
        <w:tc>
          <w:tcPr>
            <w:tcW w:w="1091" w:type="pct"/>
            <w:vAlign w:val="center"/>
          </w:tcPr>
          <w:p w14:paraId="1DF11ECD">
            <w:pPr>
              <w:snapToGrid w:val="0"/>
              <w:jc w:val="center"/>
              <w:outlineLvl w:val="1"/>
              <w:rPr>
                <w:rFonts w:hint="eastAsia" w:ascii="宋体" w:hAnsi="宋体" w:cs="黑体"/>
              </w:rPr>
            </w:pPr>
            <w:r>
              <w:rPr>
                <w:rFonts w:hint="eastAsia" w:ascii="宋体" w:hAnsi="宋体" w:cs="黑体"/>
              </w:rPr>
              <w:t>弯曲试验</w:t>
            </w:r>
          </w:p>
        </w:tc>
        <w:tc>
          <w:tcPr>
            <w:tcW w:w="3486" w:type="pct"/>
            <w:vAlign w:val="center"/>
          </w:tcPr>
          <w:p w14:paraId="46375E29">
            <w:pPr>
              <w:snapToGrid w:val="0"/>
              <w:jc w:val="center"/>
              <w:outlineLvl w:val="1"/>
              <w:rPr>
                <w:rFonts w:hint="eastAsia" w:ascii="宋体" w:hAnsi="宋体" w:cs="黑体"/>
              </w:rPr>
            </w:pPr>
            <w:r>
              <w:rPr>
                <w:rFonts w:hint="eastAsia" w:ascii="宋体" w:hAnsi="宋体" w:cs="黑体"/>
              </w:rPr>
              <w:t>应符合GB/T 6742规定。</w:t>
            </w:r>
          </w:p>
        </w:tc>
      </w:tr>
      <w:tr w14:paraId="7E07E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vAlign w:val="center"/>
          </w:tcPr>
          <w:p w14:paraId="68E6B7D8">
            <w:pPr>
              <w:snapToGrid w:val="0"/>
              <w:jc w:val="center"/>
              <w:outlineLvl w:val="1"/>
              <w:rPr>
                <w:rFonts w:ascii="Times New Roman" w:hAnsi="Times New Roman" w:eastAsiaTheme="minorEastAsia"/>
              </w:rPr>
            </w:pPr>
            <w:r>
              <w:rPr>
                <w:rFonts w:ascii="Times New Roman" w:hAnsi="Times New Roman" w:eastAsiaTheme="minorEastAsia"/>
              </w:rPr>
              <w:t>7</w:t>
            </w:r>
          </w:p>
        </w:tc>
        <w:tc>
          <w:tcPr>
            <w:tcW w:w="1091" w:type="pct"/>
            <w:vAlign w:val="center"/>
          </w:tcPr>
          <w:p w14:paraId="7627BE65">
            <w:pPr>
              <w:snapToGrid w:val="0"/>
              <w:jc w:val="center"/>
              <w:outlineLvl w:val="1"/>
              <w:rPr>
                <w:rFonts w:hint="eastAsia" w:ascii="宋体" w:hAnsi="宋体" w:cs="黑体"/>
              </w:rPr>
            </w:pPr>
            <w:r>
              <w:rPr>
                <w:rFonts w:hint="eastAsia" w:ascii="宋体" w:hAnsi="宋体" w:cs="黑体"/>
              </w:rPr>
              <w:t>耐冲击</w:t>
            </w:r>
          </w:p>
        </w:tc>
        <w:tc>
          <w:tcPr>
            <w:tcW w:w="3486" w:type="pct"/>
            <w:vAlign w:val="center"/>
          </w:tcPr>
          <w:p w14:paraId="6DC01C3A">
            <w:pPr>
              <w:snapToGrid w:val="0"/>
              <w:jc w:val="center"/>
              <w:outlineLvl w:val="1"/>
              <w:rPr>
                <w:rFonts w:hint="eastAsia" w:ascii="宋体" w:hAnsi="宋体" w:cs="黑体"/>
              </w:rPr>
            </w:pPr>
            <w:r>
              <w:rPr>
                <w:rFonts w:hint="eastAsia" w:ascii="宋体" w:hAnsi="宋体" w:cs="黑体"/>
              </w:rPr>
              <w:t>应符合GB/T 1732规定。</w:t>
            </w:r>
          </w:p>
        </w:tc>
      </w:tr>
      <w:tr w14:paraId="3A423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vAlign w:val="center"/>
          </w:tcPr>
          <w:p w14:paraId="0F4A91F9">
            <w:pPr>
              <w:snapToGrid w:val="0"/>
              <w:jc w:val="center"/>
              <w:outlineLvl w:val="1"/>
              <w:rPr>
                <w:rFonts w:ascii="Times New Roman" w:hAnsi="Times New Roman" w:eastAsiaTheme="minorEastAsia"/>
              </w:rPr>
            </w:pPr>
            <w:r>
              <w:rPr>
                <w:rFonts w:ascii="Times New Roman" w:hAnsi="Times New Roman" w:eastAsiaTheme="minorEastAsia"/>
              </w:rPr>
              <w:t>8</w:t>
            </w:r>
          </w:p>
        </w:tc>
        <w:tc>
          <w:tcPr>
            <w:tcW w:w="1091" w:type="pct"/>
            <w:vAlign w:val="center"/>
          </w:tcPr>
          <w:p w14:paraId="3ACEB188">
            <w:pPr>
              <w:snapToGrid w:val="0"/>
              <w:jc w:val="center"/>
              <w:outlineLvl w:val="1"/>
              <w:rPr>
                <w:rFonts w:hint="eastAsia" w:ascii="宋体" w:hAnsi="宋体" w:cs="黑体"/>
              </w:rPr>
            </w:pPr>
            <w:r>
              <w:rPr>
                <w:rFonts w:hint="eastAsia" w:ascii="宋体" w:hAnsi="宋体" w:cs="黑体"/>
              </w:rPr>
              <w:t>附着力</w:t>
            </w:r>
          </w:p>
        </w:tc>
        <w:tc>
          <w:tcPr>
            <w:tcW w:w="3486" w:type="pct"/>
            <w:vAlign w:val="center"/>
          </w:tcPr>
          <w:p w14:paraId="267D9177">
            <w:pPr>
              <w:snapToGrid w:val="0"/>
              <w:jc w:val="center"/>
              <w:outlineLvl w:val="1"/>
              <w:rPr>
                <w:rFonts w:hint="eastAsia" w:ascii="宋体" w:hAnsi="宋体" w:cs="黑体"/>
              </w:rPr>
            </w:pPr>
            <w:r>
              <w:rPr>
                <w:rFonts w:hint="eastAsia" w:ascii="宋体" w:hAnsi="宋体" w:cs="黑体"/>
              </w:rPr>
              <w:t>应符合GB/T 5210《色漆和清漆 拉开法附着力试验》规定，采用直径为20mm的试柱，上、下两个试柱与试板同轴心对接进行试验。</w:t>
            </w:r>
          </w:p>
        </w:tc>
      </w:tr>
      <w:tr w14:paraId="12958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vAlign w:val="center"/>
          </w:tcPr>
          <w:p w14:paraId="19D0E9E5">
            <w:pPr>
              <w:snapToGrid w:val="0"/>
              <w:jc w:val="center"/>
              <w:outlineLvl w:val="1"/>
              <w:rPr>
                <w:rFonts w:ascii="Times New Roman" w:hAnsi="Times New Roman" w:eastAsiaTheme="minorEastAsia"/>
              </w:rPr>
            </w:pPr>
            <w:r>
              <w:rPr>
                <w:rFonts w:ascii="Times New Roman" w:hAnsi="Times New Roman" w:eastAsiaTheme="minorEastAsia"/>
              </w:rPr>
              <w:t>9</w:t>
            </w:r>
          </w:p>
        </w:tc>
        <w:tc>
          <w:tcPr>
            <w:tcW w:w="1091" w:type="pct"/>
            <w:vAlign w:val="center"/>
          </w:tcPr>
          <w:p w14:paraId="7EA9A5C4">
            <w:pPr>
              <w:snapToGrid w:val="0"/>
              <w:jc w:val="center"/>
              <w:outlineLvl w:val="1"/>
              <w:rPr>
                <w:rFonts w:hint="eastAsia" w:ascii="宋体" w:hAnsi="宋体" w:cs="黑体"/>
              </w:rPr>
            </w:pPr>
            <w:r>
              <w:rPr>
                <w:rFonts w:hint="eastAsia" w:ascii="宋体" w:hAnsi="宋体" w:cs="黑体"/>
              </w:rPr>
              <w:t>与原涂层适应性</w:t>
            </w:r>
          </w:p>
        </w:tc>
        <w:tc>
          <w:tcPr>
            <w:tcW w:w="3486" w:type="pct"/>
            <w:vAlign w:val="center"/>
          </w:tcPr>
          <w:p w14:paraId="4D495D84">
            <w:pPr>
              <w:snapToGrid w:val="0"/>
              <w:jc w:val="center"/>
              <w:outlineLvl w:val="1"/>
              <w:rPr>
                <w:rFonts w:hint="eastAsia" w:ascii="宋体" w:hAnsi="宋体" w:cs="黑体"/>
              </w:rPr>
            </w:pPr>
            <w:r>
              <w:rPr>
                <w:rFonts w:hint="eastAsia" w:ascii="宋体" w:hAnsi="宋体" w:cs="黑体"/>
              </w:rPr>
              <w:t>对与涂层进行表面清理，打磨去除、鼓泡、开裂、粉化等不良涂层，除去表面油污、灰尘等附着物，涂刷一道界面中间层材料，若易施工不咬起，室温条件下放置7d后，目视观察涂膜，不渗色、不开裂，无明显缩孔、流挂或其他病态现象，涂膜均匀，则判定与原涂层适应性符合要求。</w:t>
            </w:r>
          </w:p>
        </w:tc>
      </w:tr>
    </w:tbl>
    <w:p w14:paraId="0C819924">
      <w:pPr>
        <w:pStyle w:val="168"/>
        <w:numPr>
          <w:ilvl w:val="3"/>
          <w:numId w:val="0"/>
        </w:numPr>
      </w:pPr>
    </w:p>
    <w:p w14:paraId="62DCB4E5">
      <w:pPr>
        <w:pStyle w:val="168"/>
      </w:pPr>
      <w:r>
        <w:rPr>
          <w:rFonts w:hint="eastAsia"/>
        </w:rPr>
        <w:t>氧云铁中间漆材料检验方法应符合表3的规定。</w:t>
      </w:r>
    </w:p>
    <w:p w14:paraId="4814A595">
      <w:pPr>
        <w:pStyle w:val="115"/>
        <w:spacing w:before="120" w:after="120"/>
      </w:pPr>
      <w:r>
        <w:rPr>
          <w:rFonts w:hint="eastAsia"/>
        </w:rPr>
        <w:t>环氧云铁中间漆材料检验方法</w:t>
      </w:r>
    </w:p>
    <w:tbl>
      <w:tblPr>
        <w:tblStyle w:val="2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1927"/>
        <w:gridCol w:w="6684"/>
      </w:tblGrid>
      <w:tr w14:paraId="2EC68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501" w:type="pct"/>
            <w:tcBorders>
              <w:top w:val="single" w:color="auto" w:sz="4" w:space="0"/>
              <w:left w:val="single" w:color="auto" w:sz="4" w:space="0"/>
              <w:bottom w:val="single" w:color="auto" w:sz="4" w:space="0"/>
              <w:right w:val="single" w:color="auto" w:sz="4" w:space="0"/>
            </w:tcBorders>
            <w:vAlign w:val="center"/>
          </w:tcPr>
          <w:p w14:paraId="5B2130A6">
            <w:pPr>
              <w:pStyle w:val="59"/>
              <w:ind w:firstLine="0" w:firstLineChars="0"/>
              <w:jc w:val="center"/>
            </w:pPr>
            <w:r>
              <w:rPr>
                <w:rFonts w:hint="eastAsia"/>
              </w:rPr>
              <w:t>序号</w:t>
            </w:r>
          </w:p>
        </w:tc>
        <w:tc>
          <w:tcPr>
            <w:tcW w:w="1007" w:type="pct"/>
            <w:tcBorders>
              <w:top w:val="single" w:color="auto" w:sz="4" w:space="0"/>
              <w:left w:val="nil"/>
              <w:bottom w:val="single" w:color="auto" w:sz="4" w:space="0"/>
              <w:right w:val="single" w:color="auto" w:sz="4" w:space="0"/>
            </w:tcBorders>
            <w:vAlign w:val="center"/>
          </w:tcPr>
          <w:p w14:paraId="2354433F">
            <w:pPr>
              <w:pStyle w:val="59"/>
              <w:ind w:firstLine="0" w:firstLineChars="0"/>
              <w:jc w:val="center"/>
            </w:pPr>
            <w:r>
              <w:rPr>
                <w:rFonts w:hint="eastAsia"/>
              </w:rPr>
              <w:t>检验项目</w:t>
            </w:r>
          </w:p>
        </w:tc>
        <w:tc>
          <w:tcPr>
            <w:tcW w:w="3492" w:type="pct"/>
            <w:tcBorders>
              <w:top w:val="single" w:color="auto" w:sz="4" w:space="0"/>
              <w:left w:val="nil"/>
              <w:bottom w:val="single" w:color="auto" w:sz="4" w:space="0"/>
              <w:right w:val="single" w:color="auto" w:sz="4" w:space="0"/>
            </w:tcBorders>
            <w:vAlign w:val="center"/>
          </w:tcPr>
          <w:p w14:paraId="72A493C9">
            <w:pPr>
              <w:pStyle w:val="59"/>
              <w:ind w:firstLine="0" w:firstLineChars="0"/>
              <w:jc w:val="center"/>
            </w:pPr>
            <w:r>
              <w:rPr>
                <w:rFonts w:hint="eastAsia"/>
              </w:rPr>
              <w:t>检验方法</w:t>
            </w:r>
          </w:p>
        </w:tc>
      </w:tr>
      <w:tr w14:paraId="72A9A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1" w:type="pct"/>
            <w:tcBorders>
              <w:top w:val="single" w:color="auto" w:sz="4" w:space="0"/>
              <w:left w:val="single" w:color="auto" w:sz="4" w:space="0"/>
              <w:bottom w:val="single" w:color="auto" w:sz="4" w:space="0"/>
              <w:right w:val="single" w:color="auto" w:sz="4" w:space="0"/>
            </w:tcBorders>
            <w:vAlign w:val="center"/>
          </w:tcPr>
          <w:p w14:paraId="111AEA41">
            <w:pPr>
              <w:pStyle w:val="59"/>
              <w:ind w:firstLine="0" w:firstLineChars="0"/>
              <w:jc w:val="center"/>
            </w:pPr>
            <w:r>
              <w:rPr>
                <w:rFonts w:hint="eastAsia"/>
              </w:rPr>
              <w:t>1</w:t>
            </w:r>
          </w:p>
        </w:tc>
        <w:tc>
          <w:tcPr>
            <w:tcW w:w="1007" w:type="pct"/>
            <w:tcBorders>
              <w:top w:val="single" w:color="auto" w:sz="4" w:space="0"/>
              <w:left w:val="nil"/>
              <w:bottom w:val="single" w:color="auto" w:sz="4" w:space="0"/>
              <w:right w:val="single" w:color="auto" w:sz="4" w:space="0"/>
            </w:tcBorders>
            <w:vAlign w:val="center"/>
          </w:tcPr>
          <w:p w14:paraId="50996E85">
            <w:pPr>
              <w:pStyle w:val="59"/>
              <w:ind w:firstLine="0" w:firstLineChars="0"/>
              <w:jc w:val="center"/>
            </w:pPr>
            <w:r>
              <w:rPr>
                <w:rFonts w:hint="eastAsia"/>
              </w:rPr>
              <w:t>在容器中状态</w:t>
            </w:r>
          </w:p>
        </w:tc>
        <w:tc>
          <w:tcPr>
            <w:tcW w:w="3492" w:type="pct"/>
            <w:tcBorders>
              <w:top w:val="single" w:color="auto" w:sz="4" w:space="0"/>
              <w:left w:val="nil"/>
              <w:bottom w:val="single" w:color="auto" w:sz="4" w:space="0"/>
              <w:right w:val="single" w:color="auto" w:sz="4" w:space="0"/>
            </w:tcBorders>
            <w:vAlign w:val="center"/>
          </w:tcPr>
          <w:p w14:paraId="2931B2EB">
            <w:pPr>
              <w:pStyle w:val="59"/>
              <w:ind w:firstLine="0" w:firstLineChars="0"/>
              <w:jc w:val="center"/>
            </w:pPr>
            <w:r>
              <w:rPr>
                <w:rFonts w:hint="eastAsia"/>
              </w:rPr>
              <w:t>打开容器，用调刀或搅拌棒搅拌，允许底部有沉淀，若经搅拌易于混合均匀，可评为“搅拌混合后无硬块，呈均匀状态”。主剂和固化剂应分别测试。</w:t>
            </w:r>
          </w:p>
        </w:tc>
      </w:tr>
      <w:tr w14:paraId="1A613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1" w:type="pct"/>
            <w:tcBorders>
              <w:top w:val="single" w:color="auto" w:sz="4" w:space="0"/>
              <w:left w:val="single" w:color="auto" w:sz="4" w:space="0"/>
              <w:bottom w:val="single" w:color="auto" w:sz="4" w:space="0"/>
              <w:right w:val="single" w:color="auto" w:sz="4" w:space="0"/>
            </w:tcBorders>
            <w:vAlign w:val="center"/>
          </w:tcPr>
          <w:p w14:paraId="71DC56AE">
            <w:pPr>
              <w:pStyle w:val="59"/>
              <w:ind w:firstLine="0" w:firstLineChars="0"/>
              <w:jc w:val="center"/>
            </w:pPr>
            <w:r>
              <w:rPr>
                <w:rFonts w:hint="eastAsia"/>
              </w:rPr>
              <w:t>2</w:t>
            </w:r>
          </w:p>
        </w:tc>
        <w:tc>
          <w:tcPr>
            <w:tcW w:w="1007" w:type="pct"/>
            <w:tcBorders>
              <w:top w:val="single" w:color="auto" w:sz="4" w:space="0"/>
              <w:left w:val="nil"/>
              <w:bottom w:val="single" w:color="auto" w:sz="4" w:space="0"/>
              <w:right w:val="single" w:color="auto" w:sz="4" w:space="0"/>
            </w:tcBorders>
            <w:vAlign w:val="center"/>
          </w:tcPr>
          <w:p w14:paraId="2CF6340B">
            <w:pPr>
              <w:pStyle w:val="59"/>
              <w:ind w:firstLine="0" w:firstLineChars="0"/>
              <w:jc w:val="center"/>
            </w:pPr>
            <w:r>
              <w:rPr>
                <w:rFonts w:hint="eastAsia"/>
              </w:rPr>
              <w:t>不挥发物含量</w:t>
            </w:r>
          </w:p>
        </w:tc>
        <w:tc>
          <w:tcPr>
            <w:tcW w:w="3492" w:type="pct"/>
            <w:tcBorders>
              <w:top w:val="single" w:color="auto" w:sz="4" w:space="0"/>
              <w:left w:val="nil"/>
              <w:bottom w:val="single" w:color="auto" w:sz="4" w:space="0"/>
              <w:right w:val="single" w:color="auto" w:sz="4" w:space="0"/>
            </w:tcBorders>
            <w:vAlign w:val="center"/>
          </w:tcPr>
          <w:p w14:paraId="7C3753F2">
            <w:pPr>
              <w:pStyle w:val="59"/>
              <w:ind w:firstLine="0" w:firstLineChars="0"/>
              <w:jc w:val="center"/>
            </w:pPr>
            <w:r>
              <w:rPr>
                <w:rFonts w:hint="eastAsia"/>
              </w:rPr>
              <w:t>应符合GB/T 1725规定，烘烤温度为（120±2）℃，</w:t>
            </w:r>
          </w:p>
          <w:p w14:paraId="719C75D4">
            <w:pPr>
              <w:pStyle w:val="59"/>
              <w:ind w:firstLine="0" w:firstLineChars="0"/>
              <w:jc w:val="center"/>
            </w:pPr>
            <w:r>
              <w:rPr>
                <w:rFonts w:hint="eastAsia"/>
              </w:rPr>
              <w:t>烘烤时间为1h，试样量为2g。</w:t>
            </w:r>
          </w:p>
        </w:tc>
      </w:tr>
      <w:tr w14:paraId="57E68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1" w:type="pct"/>
            <w:tcBorders>
              <w:top w:val="single" w:color="auto" w:sz="4" w:space="0"/>
              <w:left w:val="single" w:color="auto" w:sz="4" w:space="0"/>
              <w:bottom w:val="single" w:color="auto" w:sz="4" w:space="0"/>
              <w:right w:val="single" w:color="auto" w:sz="4" w:space="0"/>
            </w:tcBorders>
            <w:vAlign w:val="center"/>
          </w:tcPr>
          <w:p w14:paraId="1F76B39D">
            <w:pPr>
              <w:pStyle w:val="59"/>
              <w:ind w:firstLine="0" w:firstLineChars="0"/>
              <w:jc w:val="center"/>
            </w:pPr>
            <w:r>
              <w:rPr>
                <w:rFonts w:hint="eastAsia"/>
              </w:rPr>
              <w:t>3</w:t>
            </w:r>
          </w:p>
        </w:tc>
        <w:tc>
          <w:tcPr>
            <w:tcW w:w="1007" w:type="pct"/>
            <w:tcBorders>
              <w:top w:val="single" w:color="auto" w:sz="4" w:space="0"/>
              <w:left w:val="nil"/>
              <w:bottom w:val="single" w:color="auto" w:sz="4" w:space="0"/>
              <w:right w:val="single" w:color="auto" w:sz="4" w:space="0"/>
            </w:tcBorders>
            <w:vAlign w:val="center"/>
          </w:tcPr>
          <w:p w14:paraId="27D543D6">
            <w:pPr>
              <w:pStyle w:val="59"/>
              <w:ind w:firstLine="0" w:firstLineChars="0"/>
              <w:jc w:val="center"/>
            </w:pPr>
            <w:r>
              <w:rPr>
                <w:rFonts w:hint="eastAsia"/>
              </w:rPr>
              <w:t>流挂性</w:t>
            </w:r>
          </w:p>
        </w:tc>
        <w:tc>
          <w:tcPr>
            <w:tcW w:w="3492" w:type="pct"/>
            <w:tcBorders>
              <w:top w:val="single" w:color="auto" w:sz="4" w:space="0"/>
              <w:left w:val="nil"/>
              <w:bottom w:val="single" w:color="auto" w:sz="4" w:space="0"/>
              <w:right w:val="single" w:color="auto" w:sz="4" w:space="0"/>
            </w:tcBorders>
            <w:vAlign w:val="center"/>
          </w:tcPr>
          <w:p w14:paraId="3B982C41">
            <w:pPr>
              <w:pStyle w:val="59"/>
              <w:ind w:firstLine="0" w:firstLineChars="0"/>
              <w:jc w:val="center"/>
            </w:pPr>
            <w:r>
              <w:rPr>
                <w:rFonts w:hint="eastAsia"/>
              </w:rPr>
              <w:t>将主剂和固化剂按产品规定的比例混合，搅拌均匀，在23℃±2℃条件下熟化30min后按GB/T 9264规定进行。</w:t>
            </w:r>
          </w:p>
        </w:tc>
      </w:tr>
      <w:tr w14:paraId="29732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1" w:type="pct"/>
            <w:tcBorders>
              <w:top w:val="single" w:color="auto" w:sz="4" w:space="0"/>
              <w:left w:val="single" w:color="auto" w:sz="4" w:space="0"/>
              <w:bottom w:val="single" w:color="auto" w:sz="4" w:space="0"/>
              <w:right w:val="single" w:color="auto" w:sz="4" w:space="0"/>
            </w:tcBorders>
            <w:vAlign w:val="center"/>
          </w:tcPr>
          <w:p w14:paraId="41BC9172">
            <w:pPr>
              <w:pStyle w:val="59"/>
              <w:ind w:firstLine="0" w:firstLineChars="0"/>
              <w:jc w:val="center"/>
            </w:pPr>
            <w:r>
              <w:rPr>
                <w:rFonts w:hint="eastAsia"/>
              </w:rPr>
              <w:t>4</w:t>
            </w:r>
          </w:p>
        </w:tc>
        <w:tc>
          <w:tcPr>
            <w:tcW w:w="1007" w:type="pct"/>
            <w:tcBorders>
              <w:top w:val="single" w:color="auto" w:sz="4" w:space="0"/>
              <w:left w:val="nil"/>
              <w:bottom w:val="single" w:color="auto" w:sz="4" w:space="0"/>
              <w:right w:val="single" w:color="auto" w:sz="4" w:space="0"/>
            </w:tcBorders>
            <w:vAlign w:val="center"/>
          </w:tcPr>
          <w:p w14:paraId="7A249415">
            <w:pPr>
              <w:pStyle w:val="59"/>
              <w:ind w:firstLine="0" w:firstLineChars="0"/>
              <w:jc w:val="center"/>
            </w:pPr>
            <w:r>
              <w:rPr>
                <w:rFonts w:hint="eastAsia"/>
              </w:rPr>
              <w:t>干燥时间</w:t>
            </w:r>
          </w:p>
        </w:tc>
        <w:tc>
          <w:tcPr>
            <w:tcW w:w="3492" w:type="pct"/>
            <w:tcBorders>
              <w:top w:val="single" w:color="auto" w:sz="4" w:space="0"/>
              <w:left w:val="nil"/>
              <w:bottom w:val="single" w:color="auto" w:sz="4" w:space="0"/>
              <w:right w:val="single" w:color="auto" w:sz="4" w:space="0"/>
            </w:tcBorders>
            <w:vAlign w:val="center"/>
          </w:tcPr>
          <w:p w14:paraId="6851E961">
            <w:pPr>
              <w:pStyle w:val="59"/>
              <w:ind w:firstLine="420"/>
            </w:pPr>
            <w:r>
              <w:rPr>
                <w:rFonts w:hint="eastAsia"/>
              </w:rPr>
              <w:t>应符合GB/T 1728规定，其中表干采用指触法，实干采用压滤纸法。</w:t>
            </w:r>
          </w:p>
        </w:tc>
      </w:tr>
      <w:tr w14:paraId="70EB2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1" w:type="pct"/>
            <w:tcBorders>
              <w:top w:val="single" w:color="auto" w:sz="4" w:space="0"/>
              <w:left w:val="single" w:color="auto" w:sz="4" w:space="0"/>
              <w:bottom w:val="single" w:color="auto" w:sz="4" w:space="0"/>
              <w:right w:val="single" w:color="auto" w:sz="4" w:space="0"/>
            </w:tcBorders>
            <w:vAlign w:val="center"/>
          </w:tcPr>
          <w:p w14:paraId="410ECAA4">
            <w:pPr>
              <w:pStyle w:val="59"/>
              <w:ind w:firstLine="0" w:firstLineChars="0"/>
              <w:jc w:val="center"/>
            </w:pPr>
            <w:r>
              <w:rPr>
                <w:rFonts w:hint="eastAsia"/>
              </w:rPr>
              <w:t>5</w:t>
            </w:r>
          </w:p>
        </w:tc>
        <w:tc>
          <w:tcPr>
            <w:tcW w:w="1007" w:type="pct"/>
            <w:tcBorders>
              <w:top w:val="single" w:color="auto" w:sz="4" w:space="0"/>
              <w:left w:val="nil"/>
              <w:bottom w:val="single" w:color="auto" w:sz="4" w:space="0"/>
              <w:right w:val="single" w:color="auto" w:sz="4" w:space="0"/>
            </w:tcBorders>
            <w:vAlign w:val="center"/>
          </w:tcPr>
          <w:p w14:paraId="6F80BD6F">
            <w:pPr>
              <w:pStyle w:val="59"/>
              <w:ind w:firstLine="0" w:firstLineChars="0"/>
              <w:jc w:val="center"/>
            </w:pPr>
            <w:r>
              <w:rPr>
                <w:rFonts w:hint="eastAsia"/>
              </w:rPr>
              <w:t>弯曲试验</w:t>
            </w:r>
          </w:p>
        </w:tc>
        <w:tc>
          <w:tcPr>
            <w:tcW w:w="3492" w:type="pct"/>
            <w:tcBorders>
              <w:top w:val="single" w:color="auto" w:sz="4" w:space="0"/>
              <w:left w:val="nil"/>
              <w:bottom w:val="single" w:color="auto" w:sz="4" w:space="0"/>
              <w:right w:val="single" w:color="auto" w:sz="4" w:space="0"/>
            </w:tcBorders>
            <w:vAlign w:val="center"/>
          </w:tcPr>
          <w:p w14:paraId="38F02C95">
            <w:pPr>
              <w:pStyle w:val="59"/>
              <w:ind w:firstLine="0" w:firstLineChars="0"/>
              <w:jc w:val="center"/>
            </w:pPr>
            <w:r>
              <w:rPr>
                <w:rFonts w:hint="eastAsia"/>
              </w:rPr>
              <w:t>应符合GB/T 6742规定。</w:t>
            </w:r>
          </w:p>
        </w:tc>
      </w:tr>
      <w:tr w14:paraId="44DF9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1" w:type="pct"/>
            <w:tcBorders>
              <w:top w:val="single" w:color="auto" w:sz="4" w:space="0"/>
              <w:left w:val="single" w:color="auto" w:sz="4" w:space="0"/>
              <w:bottom w:val="single" w:color="auto" w:sz="4" w:space="0"/>
              <w:right w:val="single" w:color="auto" w:sz="4" w:space="0"/>
            </w:tcBorders>
            <w:vAlign w:val="center"/>
          </w:tcPr>
          <w:p w14:paraId="07686FC5">
            <w:pPr>
              <w:pStyle w:val="59"/>
              <w:ind w:firstLine="0" w:firstLineChars="0"/>
              <w:jc w:val="center"/>
            </w:pPr>
            <w:r>
              <w:rPr>
                <w:rFonts w:hint="eastAsia"/>
              </w:rPr>
              <w:t>7</w:t>
            </w:r>
          </w:p>
        </w:tc>
        <w:tc>
          <w:tcPr>
            <w:tcW w:w="1007" w:type="pct"/>
            <w:tcBorders>
              <w:top w:val="single" w:color="auto" w:sz="4" w:space="0"/>
              <w:left w:val="nil"/>
              <w:bottom w:val="single" w:color="auto" w:sz="4" w:space="0"/>
              <w:right w:val="single" w:color="auto" w:sz="4" w:space="0"/>
            </w:tcBorders>
            <w:vAlign w:val="center"/>
          </w:tcPr>
          <w:p w14:paraId="4C949D6D">
            <w:pPr>
              <w:pStyle w:val="59"/>
              <w:ind w:firstLine="0" w:firstLineChars="0"/>
              <w:jc w:val="center"/>
            </w:pPr>
            <w:r>
              <w:rPr>
                <w:rFonts w:hint="eastAsia"/>
              </w:rPr>
              <w:t>耐冲击</w:t>
            </w:r>
          </w:p>
        </w:tc>
        <w:tc>
          <w:tcPr>
            <w:tcW w:w="3492" w:type="pct"/>
            <w:tcBorders>
              <w:top w:val="single" w:color="auto" w:sz="4" w:space="0"/>
              <w:left w:val="nil"/>
              <w:bottom w:val="single" w:color="auto" w:sz="4" w:space="0"/>
              <w:right w:val="single" w:color="auto" w:sz="4" w:space="0"/>
            </w:tcBorders>
            <w:vAlign w:val="center"/>
          </w:tcPr>
          <w:p w14:paraId="7C6835A9">
            <w:pPr>
              <w:pStyle w:val="59"/>
              <w:ind w:firstLine="0" w:firstLineChars="0"/>
              <w:jc w:val="center"/>
            </w:pPr>
            <w:r>
              <w:rPr>
                <w:rFonts w:hint="eastAsia"/>
              </w:rPr>
              <w:t>应符合GB/T 1732规定。</w:t>
            </w:r>
          </w:p>
        </w:tc>
      </w:tr>
      <w:tr w14:paraId="4EAF7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1" w:type="pct"/>
            <w:tcBorders>
              <w:top w:val="single" w:color="auto" w:sz="4" w:space="0"/>
              <w:left w:val="single" w:color="auto" w:sz="4" w:space="0"/>
              <w:bottom w:val="single" w:color="auto" w:sz="4" w:space="0"/>
              <w:right w:val="single" w:color="auto" w:sz="4" w:space="0"/>
            </w:tcBorders>
            <w:vAlign w:val="center"/>
          </w:tcPr>
          <w:p w14:paraId="50B63EEE">
            <w:pPr>
              <w:pStyle w:val="59"/>
              <w:ind w:firstLine="0" w:firstLineChars="0"/>
              <w:jc w:val="center"/>
            </w:pPr>
            <w:r>
              <w:rPr>
                <w:rFonts w:hint="eastAsia"/>
              </w:rPr>
              <w:t>8</w:t>
            </w:r>
          </w:p>
        </w:tc>
        <w:tc>
          <w:tcPr>
            <w:tcW w:w="1007" w:type="pct"/>
            <w:tcBorders>
              <w:top w:val="single" w:color="auto" w:sz="4" w:space="0"/>
              <w:left w:val="nil"/>
              <w:bottom w:val="single" w:color="auto" w:sz="4" w:space="0"/>
              <w:right w:val="single" w:color="auto" w:sz="4" w:space="0"/>
            </w:tcBorders>
            <w:vAlign w:val="center"/>
          </w:tcPr>
          <w:p w14:paraId="7A991E27">
            <w:pPr>
              <w:pStyle w:val="59"/>
              <w:ind w:firstLine="0" w:firstLineChars="0"/>
              <w:jc w:val="center"/>
            </w:pPr>
            <w:r>
              <w:rPr>
                <w:rFonts w:hint="eastAsia"/>
              </w:rPr>
              <w:t>附着力</w:t>
            </w:r>
          </w:p>
        </w:tc>
        <w:tc>
          <w:tcPr>
            <w:tcW w:w="3492" w:type="pct"/>
            <w:tcBorders>
              <w:top w:val="single" w:color="auto" w:sz="4" w:space="0"/>
              <w:left w:val="nil"/>
              <w:bottom w:val="single" w:color="auto" w:sz="4" w:space="0"/>
              <w:right w:val="single" w:color="auto" w:sz="4" w:space="0"/>
            </w:tcBorders>
            <w:vAlign w:val="center"/>
          </w:tcPr>
          <w:p w14:paraId="5F26BB5F">
            <w:pPr>
              <w:pStyle w:val="59"/>
              <w:ind w:firstLine="0" w:firstLineChars="0"/>
              <w:jc w:val="center"/>
            </w:pPr>
            <w:r>
              <w:rPr>
                <w:rFonts w:hint="eastAsia"/>
              </w:rPr>
              <w:t>应符合GB/T 5210规定，采用直径为20mm的试柱，</w:t>
            </w:r>
          </w:p>
          <w:p w14:paraId="6BEF196E">
            <w:pPr>
              <w:pStyle w:val="59"/>
              <w:ind w:firstLine="0" w:firstLineChars="0"/>
              <w:jc w:val="center"/>
            </w:pPr>
            <w:r>
              <w:rPr>
                <w:rFonts w:hint="eastAsia"/>
              </w:rPr>
              <w:t>上、下两个试柱与试板同轴心对接进行试验。</w:t>
            </w:r>
          </w:p>
        </w:tc>
      </w:tr>
    </w:tbl>
    <w:p w14:paraId="3D500D63">
      <w:pPr>
        <w:pStyle w:val="59"/>
        <w:ind w:firstLine="420"/>
      </w:pPr>
    </w:p>
    <w:p w14:paraId="431E5C71">
      <w:pPr>
        <w:pStyle w:val="168"/>
      </w:pPr>
      <w:r>
        <w:rPr>
          <w:rFonts w:hint="eastAsia"/>
        </w:rPr>
        <w:t>底面合一带锈涂装材料检验方法应符合表4的规定。</w:t>
      </w:r>
    </w:p>
    <w:p w14:paraId="7ECD2DD8">
      <w:pPr>
        <w:pStyle w:val="115"/>
        <w:spacing w:before="120" w:after="120"/>
      </w:pPr>
      <w:r>
        <w:rPr>
          <w:rFonts w:hint="eastAsia"/>
        </w:rPr>
        <w:t>底面合一带锈涂装材料检验方法</w:t>
      </w:r>
    </w:p>
    <w:tbl>
      <w:tblPr>
        <w:tblStyle w:val="2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1960"/>
        <w:gridCol w:w="6799"/>
      </w:tblGrid>
      <w:tr w14:paraId="35952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424" w:type="pct"/>
            <w:vAlign w:val="center"/>
          </w:tcPr>
          <w:p w14:paraId="2064ACA9">
            <w:pPr>
              <w:snapToGrid w:val="0"/>
              <w:jc w:val="center"/>
              <w:outlineLvl w:val="1"/>
              <w:rPr>
                <w:rFonts w:hint="eastAsia" w:ascii="宋体" w:hAnsi="宋体" w:cs="黑体"/>
              </w:rPr>
            </w:pPr>
            <w:r>
              <w:rPr>
                <w:rFonts w:hint="eastAsia" w:ascii="宋体" w:hAnsi="宋体" w:cs="黑体"/>
              </w:rPr>
              <w:t>序号</w:t>
            </w:r>
          </w:p>
        </w:tc>
        <w:tc>
          <w:tcPr>
            <w:tcW w:w="1024" w:type="pct"/>
            <w:vAlign w:val="center"/>
          </w:tcPr>
          <w:p w14:paraId="5140862B">
            <w:pPr>
              <w:snapToGrid w:val="0"/>
              <w:jc w:val="center"/>
              <w:outlineLvl w:val="1"/>
              <w:rPr>
                <w:rFonts w:hint="eastAsia" w:ascii="宋体" w:hAnsi="宋体" w:cs="黑体"/>
              </w:rPr>
            </w:pPr>
            <w:r>
              <w:rPr>
                <w:rFonts w:hint="eastAsia" w:ascii="宋体" w:hAnsi="宋体" w:cs="黑体"/>
              </w:rPr>
              <w:t>检验项目</w:t>
            </w:r>
          </w:p>
        </w:tc>
        <w:tc>
          <w:tcPr>
            <w:tcW w:w="3552" w:type="pct"/>
            <w:vAlign w:val="center"/>
          </w:tcPr>
          <w:p w14:paraId="3367F0FF">
            <w:pPr>
              <w:snapToGrid w:val="0"/>
              <w:jc w:val="center"/>
              <w:outlineLvl w:val="1"/>
              <w:rPr>
                <w:rFonts w:hint="eastAsia" w:ascii="宋体" w:hAnsi="宋体" w:cs="黑体"/>
              </w:rPr>
            </w:pPr>
            <w:r>
              <w:rPr>
                <w:rFonts w:hint="eastAsia" w:ascii="宋体" w:hAnsi="宋体" w:cs="黑体"/>
              </w:rPr>
              <w:t>检验方法</w:t>
            </w:r>
          </w:p>
        </w:tc>
      </w:tr>
      <w:tr w14:paraId="5EE10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vAlign w:val="center"/>
          </w:tcPr>
          <w:p w14:paraId="3598CAE1">
            <w:pPr>
              <w:snapToGrid w:val="0"/>
              <w:jc w:val="center"/>
              <w:outlineLvl w:val="1"/>
              <w:rPr>
                <w:rFonts w:hint="eastAsia" w:ascii="宋体" w:hAnsi="宋体" w:cs="黑体"/>
              </w:rPr>
            </w:pPr>
            <w:r>
              <w:rPr>
                <w:rFonts w:hint="eastAsia" w:ascii="宋体" w:hAnsi="宋体" w:cs="黑体"/>
              </w:rPr>
              <w:t>1</w:t>
            </w:r>
          </w:p>
        </w:tc>
        <w:tc>
          <w:tcPr>
            <w:tcW w:w="1024" w:type="pct"/>
            <w:vAlign w:val="center"/>
          </w:tcPr>
          <w:p w14:paraId="41ABE3FE">
            <w:pPr>
              <w:snapToGrid w:val="0"/>
              <w:jc w:val="center"/>
              <w:outlineLvl w:val="1"/>
              <w:rPr>
                <w:rFonts w:hint="eastAsia" w:ascii="宋体" w:hAnsi="宋体" w:cs="黑体"/>
              </w:rPr>
            </w:pPr>
            <w:r>
              <w:rPr>
                <w:rFonts w:hint="eastAsia" w:ascii="宋体" w:hAnsi="宋体" w:cs="黑体"/>
              </w:rPr>
              <w:t>在容器中状态</w:t>
            </w:r>
          </w:p>
        </w:tc>
        <w:tc>
          <w:tcPr>
            <w:tcW w:w="3552" w:type="pct"/>
            <w:vAlign w:val="center"/>
          </w:tcPr>
          <w:p w14:paraId="7A566156">
            <w:pPr>
              <w:snapToGrid w:val="0"/>
              <w:jc w:val="center"/>
              <w:outlineLvl w:val="1"/>
              <w:rPr>
                <w:rFonts w:hint="eastAsia" w:ascii="宋体" w:hAnsi="宋体" w:cs="黑体"/>
              </w:rPr>
            </w:pPr>
            <w:r>
              <w:rPr>
                <w:rFonts w:hint="eastAsia" w:ascii="宋体" w:hAnsi="宋体" w:cs="黑体"/>
              </w:rPr>
              <w:t>打开容器，用调刀或搅拌棒搅拌，允许底部有沉淀，若经搅拌易于混合均匀，可评为“搅拌混合后无硬块，呈均匀状态”。</w:t>
            </w:r>
          </w:p>
        </w:tc>
      </w:tr>
      <w:tr w14:paraId="49DA4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vAlign w:val="center"/>
          </w:tcPr>
          <w:p w14:paraId="79CF7363">
            <w:pPr>
              <w:snapToGrid w:val="0"/>
              <w:jc w:val="center"/>
              <w:outlineLvl w:val="1"/>
              <w:rPr>
                <w:rFonts w:hint="eastAsia" w:ascii="宋体" w:hAnsi="宋体" w:cs="黑体"/>
              </w:rPr>
            </w:pPr>
            <w:r>
              <w:rPr>
                <w:rFonts w:hint="eastAsia" w:ascii="宋体" w:hAnsi="宋体" w:cs="黑体"/>
              </w:rPr>
              <w:t>2</w:t>
            </w:r>
          </w:p>
        </w:tc>
        <w:tc>
          <w:tcPr>
            <w:tcW w:w="1024" w:type="pct"/>
            <w:vAlign w:val="center"/>
          </w:tcPr>
          <w:p w14:paraId="268A99A6">
            <w:pPr>
              <w:snapToGrid w:val="0"/>
              <w:jc w:val="center"/>
              <w:outlineLvl w:val="1"/>
              <w:rPr>
                <w:rFonts w:hint="eastAsia" w:ascii="宋体" w:hAnsi="宋体" w:cs="黑体"/>
              </w:rPr>
            </w:pPr>
            <w:r>
              <w:rPr>
                <w:rFonts w:hint="eastAsia" w:ascii="宋体" w:hAnsi="宋体" w:cs="黑体"/>
              </w:rPr>
              <w:t>不挥发物含量</w:t>
            </w:r>
          </w:p>
        </w:tc>
        <w:tc>
          <w:tcPr>
            <w:tcW w:w="3552" w:type="pct"/>
            <w:vAlign w:val="center"/>
          </w:tcPr>
          <w:p w14:paraId="2E35325F">
            <w:pPr>
              <w:snapToGrid w:val="0"/>
              <w:jc w:val="center"/>
              <w:outlineLvl w:val="1"/>
              <w:rPr>
                <w:rFonts w:hint="eastAsia" w:ascii="宋体" w:hAnsi="宋体" w:cs="黑体"/>
              </w:rPr>
            </w:pPr>
            <w:r>
              <w:rPr>
                <w:rFonts w:hint="eastAsia" w:ascii="宋体" w:hAnsi="宋体" w:cs="黑体"/>
              </w:rPr>
              <w:t>应符合G</w:t>
            </w:r>
            <w:r>
              <w:rPr>
                <w:rFonts w:ascii="宋体" w:hAnsi="宋体" w:cs="黑体"/>
              </w:rPr>
              <w:t>B/T 1725</w:t>
            </w:r>
            <w:r>
              <w:rPr>
                <w:rFonts w:hint="eastAsia" w:ascii="宋体" w:hAnsi="宋体" w:cs="黑体"/>
              </w:rPr>
              <w:t>规定，烘烤温度为（1</w:t>
            </w:r>
            <w:r>
              <w:rPr>
                <w:rFonts w:ascii="宋体" w:hAnsi="宋体" w:cs="黑体"/>
              </w:rPr>
              <w:t>05</w:t>
            </w:r>
            <w:r>
              <w:rPr>
                <w:rFonts w:hint="eastAsia" w:ascii="宋体" w:hAnsi="宋体" w:cs="黑体"/>
              </w:rPr>
              <w:t>±</w:t>
            </w:r>
            <w:r>
              <w:rPr>
                <w:rFonts w:ascii="宋体" w:hAnsi="宋体" w:cs="黑体"/>
              </w:rPr>
              <w:t>2</w:t>
            </w:r>
            <w:r>
              <w:rPr>
                <w:rFonts w:hint="eastAsia" w:ascii="宋体" w:hAnsi="宋体" w:cs="黑体"/>
              </w:rPr>
              <w:t>）℃，烘烤时间为</w:t>
            </w:r>
            <w:r>
              <w:rPr>
                <w:rFonts w:ascii="宋体" w:hAnsi="宋体" w:cs="黑体"/>
              </w:rPr>
              <w:t>2</w:t>
            </w:r>
            <w:r>
              <w:rPr>
                <w:rFonts w:hint="eastAsia" w:ascii="宋体" w:hAnsi="宋体" w:cs="黑体"/>
              </w:rPr>
              <w:t>h。</w:t>
            </w:r>
          </w:p>
        </w:tc>
      </w:tr>
      <w:tr w14:paraId="61970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vAlign w:val="center"/>
          </w:tcPr>
          <w:p w14:paraId="551A2BE9">
            <w:pPr>
              <w:snapToGrid w:val="0"/>
              <w:jc w:val="center"/>
              <w:outlineLvl w:val="1"/>
              <w:rPr>
                <w:rFonts w:hint="eastAsia" w:ascii="宋体" w:hAnsi="宋体" w:cs="黑体"/>
              </w:rPr>
            </w:pPr>
            <w:r>
              <w:rPr>
                <w:rFonts w:hint="eastAsia" w:ascii="宋体" w:hAnsi="宋体" w:cs="黑体"/>
              </w:rPr>
              <w:t>3</w:t>
            </w:r>
          </w:p>
        </w:tc>
        <w:tc>
          <w:tcPr>
            <w:tcW w:w="1024" w:type="pct"/>
            <w:vAlign w:val="center"/>
          </w:tcPr>
          <w:p w14:paraId="68136175">
            <w:pPr>
              <w:snapToGrid w:val="0"/>
              <w:jc w:val="center"/>
              <w:outlineLvl w:val="1"/>
              <w:rPr>
                <w:rFonts w:hint="eastAsia" w:ascii="宋体" w:hAnsi="宋体" w:cs="黑体"/>
              </w:rPr>
            </w:pPr>
            <w:r>
              <w:rPr>
                <w:rFonts w:hint="eastAsia" w:ascii="宋体" w:hAnsi="宋体" w:cs="黑体"/>
              </w:rPr>
              <w:t>耐冲击性</w:t>
            </w:r>
          </w:p>
        </w:tc>
        <w:tc>
          <w:tcPr>
            <w:tcW w:w="3552" w:type="pct"/>
            <w:vAlign w:val="center"/>
          </w:tcPr>
          <w:p w14:paraId="4A8EC136">
            <w:pPr>
              <w:snapToGrid w:val="0"/>
              <w:jc w:val="center"/>
              <w:outlineLvl w:val="1"/>
              <w:rPr>
                <w:rFonts w:hint="eastAsia" w:ascii="宋体" w:hAnsi="宋体" w:cs="黑体"/>
              </w:rPr>
            </w:pPr>
            <w:r>
              <w:rPr>
                <w:rFonts w:hint="eastAsia" w:ascii="宋体" w:hAnsi="宋体" w:cs="黑体"/>
              </w:rPr>
              <w:t>应符合G</w:t>
            </w:r>
            <w:r>
              <w:rPr>
                <w:rFonts w:ascii="宋体" w:hAnsi="宋体" w:cs="黑体"/>
              </w:rPr>
              <w:t>B/T 1732</w:t>
            </w:r>
            <w:r>
              <w:rPr>
                <w:rFonts w:hint="eastAsia" w:ascii="宋体" w:hAnsi="宋体" w:cs="黑体"/>
              </w:rPr>
              <w:t>规定。</w:t>
            </w:r>
          </w:p>
        </w:tc>
      </w:tr>
      <w:tr w14:paraId="1AC83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vAlign w:val="center"/>
          </w:tcPr>
          <w:p w14:paraId="7A6E978B">
            <w:pPr>
              <w:snapToGrid w:val="0"/>
              <w:jc w:val="center"/>
              <w:outlineLvl w:val="1"/>
              <w:rPr>
                <w:rFonts w:hint="eastAsia" w:ascii="宋体" w:hAnsi="宋体" w:cs="黑体"/>
              </w:rPr>
            </w:pPr>
            <w:r>
              <w:rPr>
                <w:rFonts w:hint="eastAsia" w:ascii="宋体" w:hAnsi="宋体" w:cs="黑体"/>
              </w:rPr>
              <w:t>4</w:t>
            </w:r>
          </w:p>
        </w:tc>
        <w:tc>
          <w:tcPr>
            <w:tcW w:w="1024" w:type="pct"/>
            <w:vAlign w:val="center"/>
          </w:tcPr>
          <w:p w14:paraId="7FB8B3F7">
            <w:pPr>
              <w:snapToGrid w:val="0"/>
              <w:jc w:val="center"/>
              <w:outlineLvl w:val="1"/>
              <w:rPr>
                <w:rFonts w:hint="eastAsia" w:ascii="宋体" w:hAnsi="宋体" w:cs="黑体"/>
              </w:rPr>
            </w:pPr>
            <w:r>
              <w:rPr>
                <w:rFonts w:hint="eastAsia" w:ascii="宋体" w:hAnsi="宋体" w:cs="黑体"/>
              </w:rPr>
              <w:t>弯曲试验</w:t>
            </w:r>
          </w:p>
        </w:tc>
        <w:tc>
          <w:tcPr>
            <w:tcW w:w="3552" w:type="pct"/>
            <w:vAlign w:val="center"/>
          </w:tcPr>
          <w:p w14:paraId="6BDD1053">
            <w:pPr>
              <w:snapToGrid w:val="0"/>
              <w:jc w:val="center"/>
              <w:outlineLvl w:val="1"/>
              <w:rPr>
                <w:rFonts w:hint="eastAsia" w:ascii="宋体" w:hAnsi="宋体" w:cs="黑体"/>
              </w:rPr>
            </w:pPr>
            <w:r>
              <w:rPr>
                <w:rFonts w:hint="eastAsia" w:ascii="宋体" w:hAnsi="宋体" w:cs="黑体"/>
              </w:rPr>
              <w:t>应符合</w:t>
            </w:r>
            <w:r>
              <w:rPr>
                <w:rFonts w:ascii="宋体" w:hAnsi="宋体" w:cs="黑体"/>
              </w:rPr>
              <w:t>GB/T</w:t>
            </w:r>
            <w:r>
              <w:rPr>
                <w:rFonts w:hint="eastAsia" w:ascii="宋体" w:hAnsi="宋体" w:cs="黑体"/>
              </w:rPr>
              <w:t xml:space="preserve"> </w:t>
            </w:r>
            <w:r>
              <w:rPr>
                <w:rFonts w:ascii="宋体" w:hAnsi="宋体" w:cs="黑体"/>
              </w:rPr>
              <w:t>6742</w:t>
            </w:r>
            <w:r>
              <w:rPr>
                <w:rFonts w:hint="eastAsia" w:ascii="宋体" w:hAnsi="宋体" w:cs="黑体"/>
              </w:rPr>
              <w:t>规定。</w:t>
            </w:r>
          </w:p>
        </w:tc>
      </w:tr>
      <w:tr w14:paraId="5C536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vAlign w:val="center"/>
          </w:tcPr>
          <w:p w14:paraId="0E963D9A">
            <w:pPr>
              <w:snapToGrid w:val="0"/>
              <w:jc w:val="center"/>
              <w:outlineLvl w:val="1"/>
              <w:rPr>
                <w:rFonts w:hint="eastAsia" w:ascii="宋体" w:hAnsi="宋体" w:cs="黑体"/>
              </w:rPr>
            </w:pPr>
            <w:r>
              <w:rPr>
                <w:rFonts w:hint="eastAsia" w:ascii="宋体" w:hAnsi="宋体" w:cs="黑体"/>
              </w:rPr>
              <w:t>5</w:t>
            </w:r>
          </w:p>
        </w:tc>
        <w:tc>
          <w:tcPr>
            <w:tcW w:w="1024" w:type="pct"/>
            <w:vAlign w:val="center"/>
          </w:tcPr>
          <w:p w14:paraId="34C602A1">
            <w:pPr>
              <w:snapToGrid w:val="0"/>
              <w:jc w:val="center"/>
              <w:outlineLvl w:val="1"/>
              <w:rPr>
                <w:rFonts w:hint="eastAsia" w:ascii="宋体" w:hAnsi="宋体" w:cs="黑体"/>
              </w:rPr>
            </w:pPr>
            <w:r>
              <w:rPr>
                <w:rFonts w:hint="eastAsia" w:ascii="宋体" w:hAnsi="宋体" w:cs="黑体"/>
              </w:rPr>
              <w:t>干燥时间</w:t>
            </w:r>
          </w:p>
        </w:tc>
        <w:tc>
          <w:tcPr>
            <w:tcW w:w="3552" w:type="pct"/>
            <w:vAlign w:val="center"/>
          </w:tcPr>
          <w:p w14:paraId="2B5FB17B">
            <w:pPr>
              <w:snapToGrid w:val="0"/>
              <w:jc w:val="center"/>
              <w:outlineLvl w:val="1"/>
              <w:rPr>
                <w:rFonts w:hint="eastAsia" w:ascii="宋体" w:hAnsi="宋体" w:cs="黑体"/>
              </w:rPr>
            </w:pPr>
            <w:r>
              <w:rPr>
                <w:rFonts w:hint="eastAsia" w:ascii="宋体" w:hAnsi="宋体" w:cs="黑体"/>
              </w:rPr>
              <w:t>应符合GB/T 1728规定，</w:t>
            </w:r>
          </w:p>
          <w:p w14:paraId="1128911B">
            <w:pPr>
              <w:snapToGrid w:val="0"/>
              <w:jc w:val="center"/>
              <w:outlineLvl w:val="1"/>
              <w:rPr>
                <w:rFonts w:hint="eastAsia" w:ascii="宋体" w:hAnsi="宋体" w:cs="黑体"/>
              </w:rPr>
            </w:pPr>
            <w:r>
              <w:rPr>
                <w:rFonts w:hint="eastAsia" w:ascii="宋体" w:hAnsi="宋体" w:cs="黑体"/>
              </w:rPr>
              <w:t>其中表干采用指触法，实干采用压滤纸法。</w:t>
            </w:r>
          </w:p>
        </w:tc>
      </w:tr>
      <w:tr w14:paraId="6B1C3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vAlign w:val="center"/>
          </w:tcPr>
          <w:p w14:paraId="07D5798A">
            <w:pPr>
              <w:snapToGrid w:val="0"/>
              <w:jc w:val="center"/>
              <w:outlineLvl w:val="1"/>
              <w:rPr>
                <w:rFonts w:hint="eastAsia" w:ascii="宋体" w:hAnsi="宋体" w:cs="黑体"/>
              </w:rPr>
            </w:pPr>
            <w:r>
              <w:rPr>
                <w:rFonts w:ascii="宋体" w:hAnsi="宋体" w:cs="黑体"/>
              </w:rPr>
              <w:t>6</w:t>
            </w:r>
          </w:p>
        </w:tc>
        <w:tc>
          <w:tcPr>
            <w:tcW w:w="1024" w:type="pct"/>
            <w:vAlign w:val="center"/>
          </w:tcPr>
          <w:p w14:paraId="23A45B42">
            <w:pPr>
              <w:snapToGrid w:val="0"/>
              <w:jc w:val="center"/>
              <w:outlineLvl w:val="1"/>
              <w:rPr>
                <w:rFonts w:hint="eastAsia" w:ascii="宋体" w:hAnsi="宋体" w:cs="黑体"/>
              </w:rPr>
            </w:pPr>
            <w:r>
              <w:rPr>
                <w:rFonts w:hint="eastAsia" w:ascii="宋体" w:hAnsi="宋体" w:cs="黑体"/>
              </w:rPr>
              <w:t>附着力（拉开法）</w:t>
            </w:r>
          </w:p>
        </w:tc>
        <w:tc>
          <w:tcPr>
            <w:tcW w:w="3552" w:type="pct"/>
            <w:vAlign w:val="center"/>
          </w:tcPr>
          <w:p w14:paraId="734DA853">
            <w:pPr>
              <w:snapToGrid w:val="0"/>
              <w:jc w:val="center"/>
              <w:outlineLvl w:val="1"/>
              <w:rPr>
                <w:rFonts w:hint="eastAsia" w:ascii="宋体" w:hAnsi="宋体" w:cs="黑体"/>
              </w:rPr>
            </w:pPr>
            <w:r>
              <w:rPr>
                <w:rFonts w:hint="eastAsia" w:ascii="宋体" w:hAnsi="宋体" w:cs="黑体"/>
              </w:rPr>
              <w:t>应符合G</w:t>
            </w:r>
            <w:r>
              <w:rPr>
                <w:rFonts w:ascii="宋体" w:hAnsi="宋体" w:cs="黑体"/>
              </w:rPr>
              <w:t>B/T 5210</w:t>
            </w:r>
            <w:r>
              <w:rPr>
                <w:rFonts w:hint="eastAsia" w:ascii="宋体" w:hAnsi="宋体" w:cs="黑体"/>
              </w:rPr>
              <w:t>规定，采用直径为2</w:t>
            </w:r>
            <w:r>
              <w:rPr>
                <w:rFonts w:ascii="宋体" w:hAnsi="宋体" w:cs="黑体"/>
              </w:rPr>
              <w:t>0</w:t>
            </w:r>
            <w:r>
              <w:rPr>
                <w:rFonts w:hint="eastAsia" w:ascii="宋体" w:hAnsi="宋体" w:cs="黑体"/>
              </w:rPr>
              <w:t>mm的试柱，</w:t>
            </w:r>
          </w:p>
          <w:p w14:paraId="053F5E95">
            <w:pPr>
              <w:snapToGrid w:val="0"/>
              <w:jc w:val="center"/>
              <w:outlineLvl w:val="1"/>
              <w:rPr>
                <w:rFonts w:hint="eastAsia" w:ascii="宋体" w:hAnsi="宋体" w:cs="黑体"/>
              </w:rPr>
            </w:pPr>
            <w:r>
              <w:rPr>
                <w:rFonts w:hint="eastAsia" w:ascii="宋体" w:hAnsi="宋体" w:cs="黑体"/>
              </w:rPr>
              <w:t>上、下两个试柱与试板同轴心对接进行试验。</w:t>
            </w:r>
          </w:p>
        </w:tc>
      </w:tr>
      <w:tr w14:paraId="581EF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vAlign w:val="center"/>
          </w:tcPr>
          <w:p w14:paraId="34CED0CE">
            <w:pPr>
              <w:snapToGrid w:val="0"/>
              <w:jc w:val="center"/>
              <w:outlineLvl w:val="1"/>
              <w:rPr>
                <w:rFonts w:hint="eastAsia" w:ascii="宋体" w:hAnsi="宋体" w:cs="黑体"/>
              </w:rPr>
            </w:pPr>
            <w:r>
              <w:rPr>
                <w:rFonts w:ascii="宋体" w:hAnsi="宋体" w:cs="黑体"/>
              </w:rPr>
              <w:t>7</w:t>
            </w:r>
          </w:p>
        </w:tc>
        <w:tc>
          <w:tcPr>
            <w:tcW w:w="1024" w:type="pct"/>
            <w:vAlign w:val="center"/>
          </w:tcPr>
          <w:p w14:paraId="7D2D51AA">
            <w:pPr>
              <w:snapToGrid w:val="0"/>
              <w:jc w:val="center"/>
              <w:outlineLvl w:val="1"/>
              <w:rPr>
                <w:rFonts w:hint="eastAsia" w:ascii="宋体" w:hAnsi="宋体" w:cs="黑体"/>
              </w:rPr>
            </w:pPr>
            <w:r>
              <w:rPr>
                <w:rFonts w:hint="eastAsia" w:ascii="宋体" w:hAnsi="宋体" w:cs="黑体"/>
              </w:rPr>
              <w:t>耐水性</w:t>
            </w:r>
          </w:p>
        </w:tc>
        <w:tc>
          <w:tcPr>
            <w:tcW w:w="3552" w:type="pct"/>
            <w:vAlign w:val="center"/>
          </w:tcPr>
          <w:p w14:paraId="4EA2D700">
            <w:pPr>
              <w:snapToGrid w:val="0"/>
              <w:jc w:val="center"/>
              <w:outlineLvl w:val="1"/>
              <w:rPr>
                <w:rFonts w:hint="eastAsia" w:ascii="宋体" w:hAnsi="宋体" w:cs="黑体"/>
              </w:rPr>
            </w:pPr>
            <w:r>
              <w:rPr>
                <w:rFonts w:hint="eastAsia" w:ascii="宋体" w:hAnsi="宋体" w:cs="黑体"/>
              </w:rPr>
              <w:t>应符合G</w:t>
            </w:r>
            <w:r>
              <w:rPr>
                <w:rFonts w:ascii="宋体" w:hAnsi="宋体" w:cs="黑体"/>
              </w:rPr>
              <w:t>B/T 1733-1993</w:t>
            </w:r>
            <w:r>
              <w:rPr>
                <w:rFonts w:hint="eastAsia" w:ascii="宋体" w:hAnsi="宋体" w:cs="黑体"/>
              </w:rPr>
              <w:t>中甲法规定。试板测试前需进行封边和封背。将3块试板浸入水中，试验结束后取出样板观察。如3块样板中有2块未出现起泡、生锈、开裂、剥落、明显变色等涂膜病态现象，则评定为“无异常”。如出现以上涂膜病态现象，应按G</w:t>
            </w:r>
            <w:r>
              <w:rPr>
                <w:rFonts w:ascii="宋体" w:hAnsi="宋体" w:cs="黑体"/>
              </w:rPr>
              <w:t>B/T 1766</w:t>
            </w:r>
            <w:r>
              <w:rPr>
                <w:rFonts w:hint="eastAsia" w:ascii="宋体" w:hAnsi="宋体" w:cs="黑体"/>
              </w:rPr>
              <w:t>进行描述。</w:t>
            </w:r>
          </w:p>
        </w:tc>
      </w:tr>
      <w:tr w14:paraId="0D287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vAlign w:val="center"/>
          </w:tcPr>
          <w:p w14:paraId="3739270E">
            <w:pPr>
              <w:snapToGrid w:val="0"/>
              <w:jc w:val="center"/>
              <w:outlineLvl w:val="1"/>
              <w:rPr>
                <w:rFonts w:hint="eastAsia" w:ascii="宋体" w:hAnsi="宋体" w:cs="黑体"/>
              </w:rPr>
            </w:pPr>
            <w:r>
              <w:rPr>
                <w:rFonts w:ascii="宋体" w:hAnsi="宋体" w:cs="黑体"/>
              </w:rPr>
              <w:t>8</w:t>
            </w:r>
          </w:p>
        </w:tc>
        <w:tc>
          <w:tcPr>
            <w:tcW w:w="1024" w:type="pct"/>
            <w:vAlign w:val="center"/>
          </w:tcPr>
          <w:p w14:paraId="269C0700">
            <w:pPr>
              <w:snapToGrid w:val="0"/>
              <w:jc w:val="center"/>
              <w:outlineLvl w:val="1"/>
              <w:rPr>
                <w:rFonts w:hint="eastAsia" w:ascii="宋体" w:hAnsi="宋体" w:cs="黑体"/>
              </w:rPr>
            </w:pPr>
            <w:r>
              <w:rPr>
                <w:rFonts w:hint="eastAsia" w:ascii="宋体" w:hAnsi="宋体" w:cs="黑体"/>
              </w:rPr>
              <w:t>耐盐水性</w:t>
            </w:r>
          </w:p>
        </w:tc>
        <w:tc>
          <w:tcPr>
            <w:tcW w:w="3552" w:type="pct"/>
            <w:vAlign w:val="center"/>
          </w:tcPr>
          <w:p w14:paraId="4AC54658">
            <w:pPr>
              <w:snapToGrid w:val="0"/>
              <w:jc w:val="center"/>
              <w:outlineLvl w:val="1"/>
              <w:rPr>
                <w:rFonts w:hint="eastAsia" w:ascii="宋体" w:hAnsi="宋体" w:cs="黑体"/>
              </w:rPr>
            </w:pPr>
            <w:r>
              <w:rPr>
                <w:rFonts w:hint="eastAsia" w:ascii="宋体" w:hAnsi="宋体" w:cs="黑体"/>
              </w:rPr>
              <w:t>应符合</w:t>
            </w:r>
            <w:r>
              <w:rPr>
                <w:rFonts w:ascii="宋体" w:hAnsi="宋体" w:cs="黑体"/>
              </w:rPr>
              <w:t>GB/T 9274-1988</w:t>
            </w:r>
            <w:r>
              <w:rPr>
                <w:rFonts w:hint="eastAsia" w:ascii="宋体" w:hAnsi="宋体" w:cs="黑体"/>
              </w:rPr>
              <w:t>中甲法规定。浸入3</w:t>
            </w:r>
            <w:r>
              <w:rPr>
                <w:rFonts w:ascii="宋体" w:hAnsi="宋体" w:cs="黑体"/>
              </w:rPr>
              <w:t>%</w:t>
            </w:r>
            <w:r>
              <w:rPr>
                <w:rFonts w:hint="eastAsia" w:ascii="宋体" w:hAnsi="宋体" w:cs="黑体"/>
              </w:rPr>
              <w:t>（质量分数）的氯化钠溶液中，试验结束后取出样板观察，如3块样板中有2块未出现起泡、生锈、开裂、剥落、明显变色等涂膜病态现象，则评定为“无异常”。如出现以上涂膜病态现象，应按G</w:t>
            </w:r>
            <w:r>
              <w:rPr>
                <w:rFonts w:ascii="宋体" w:hAnsi="宋体" w:cs="黑体"/>
              </w:rPr>
              <w:t>B/T 1766</w:t>
            </w:r>
            <w:r>
              <w:rPr>
                <w:rFonts w:hint="eastAsia" w:ascii="宋体" w:hAnsi="宋体" w:cs="黑体"/>
              </w:rPr>
              <w:t>进行描述。</w:t>
            </w:r>
          </w:p>
        </w:tc>
      </w:tr>
      <w:tr w14:paraId="12B5D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vAlign w:val="center"/>
          </w:tcPr>
          <w:p w14:paraId="63BA1B2E">
            <w:pPr>
              <w:snapToGrid w:val="0"/>
              <w:jc w:val="center"/>
              <w:outlineLvl w:val="1"/>
              <w:rPr>
                <w:rFonts w:hint="eastAsia" w:ascii="宋体" w:hAnsi="宋体" w:cs="黑体"/>
              </w:rPr>
            </w:pPr>
            <w:r>
              <w:rPr>
                <w:rFonts w:ascii="宋体" w:hAnsi="宋体" w:cs="黑体"/>
              </w:rPr>
              <w:t>9</w:t>
            </w:r>
          </w:p>
        </w:tc>
        <w:tc>
          <w:tcPr>
            <w:tcW w:w="1024" w:type="pct"/>
            <w:vAlign w:val="center"/>
          </w:tcPr>
          <w:p w14:paraId="75B1A945">
            <w:pPr>
              <w:snapToGrid w:val="0"/>
              <w:jc w:val="center"/>
              <w:outlineLvl w:val="1"/>
              <w:rPr>
                <w:rFonts w:hint="eastAsia" w:ascii="宋体" w:hAnsi="宋体" w:cs="黑体"/>
              </w:rPr>
            </w:pPr>
            <w:r>
              <w:rPr>
                <w:rFonts w:hint="eastAsia" w:ascii="宋体" w:hAnsi="宋体" w:cs="黑体"/>
              </w:rPr>
              <w:t>耐湿热性</w:t>
            </w:r>
          </w:p>
        </w:tc>
        <w:tc>
          <w:tcPr>
            <w:tcW w:w="3552" w:type="pct"/>
            <w:vAlign w:val="center"/>
          </w:tcPr>
          <w:p w14:paraId="3BB7BC0B">
            <w:pPr>
              <w:snapToGrid w:val="0"/>
              <w:jc w:val="center"/>
              <w:outlineLvl w:val="1"/>
              <w:rPr>
                <w:rFonts w:hint="eastAsia" w:ascii="宋体" w:hAnsi="宋体" w:cs="黑体"/>
              </w:rPr>
            </w:pPr>
            <w:r>
              <w:rPr>
                <w:rFonts w:hint="eastAsia" w:ascii="宋体" w:hAnsi="宋体" w:cs="黑体"/>
              </w:rPr>
              <w:t>应符合G</w:t>
            </w:r>
            <w:r>
              <w:rPr>
                <w:rFonts w:ascii="宋体" w:hAnsi="宋体" w:cs="黑体"/>
              </w:rPr>
              <w:t>B/T 17</w:t>
            </w:r>
            <w:r>
              <w:rPr>
                <w:rFonts w:hint="eastAsia" w:ascii="宋体" w:hAnsi="宋体" w:cs="黑体"/>
              </w:rPr>
              <w:t>40规定。如出现起泡、生锈、开裂和剥落等涂膜病态现象，应按G</w:t>
            </w:r>
            <w:r>
              <w:rPr>
                <w:rFonts w:ascii="宋体" w:hAnsi="宋体" w:cs="黑体"/>
              </w:rPr>
              <w:t>B/T 1766</w:t>
            </w:r>
            <w:r>
              <w:rPr>
                <w:rFonts w:hint="eastAsia" w:ascii="宋体" w:hAnsi="宋体" w:cs="黑体"/>
              </w:rPr>
              <w:t>进行描述。</w:t>
            </w:r>
          </w:p>
        </w:tc>
      </w:tr>
      <w:tr w14:paraId="376B2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vAlign w:val="center"/>
          </w:tcPr>
          <w:p w14:paraId="64BE1260">
            <w:pPr>
              <w:snapToGrid w:val="0"/>
              <w:jc w:val="center"/>
              <w:outlineLvl w:val="1"/>
              <w:rPr>
                <w:rFonts w:hint="eastAsia" w:ascii="宋体" w:hAnsi="宋体" w:cs="黑体"/>
              </w:rPr>
            </w:pPr>
            <w:r>
              <w:rPr>
                <w:rFonts w:ascii="宋体" w:hAnsi="宋体" w:cs="黑体"/>
              </w:rPr>
              <w:t>10</w:t>
            </w:r>
          </w:p>
        </w:tc>
        <w:tc>
          <w:tcPr>
            <w:tcW w:w="1024" w:type="pct"/>
            <w:vAlign w:val="center"/>
          </w:tcPr>
          <w:p w14:paraId="6AD3E056">
            <w:pPr>
              <w:snapToGrid w:val="0"/>
              <w:jc w:val="center"/>
              <w:outlineLvl w:val="1"/>
              <w:rPr>
                <w:rFonts w:hint="eastAsia" w:ascii="宋体" w:hAnsi="宋体" w:cs="黑体"/>
              </w:rPr>
            </w:pPr>
            <w:r>
              <w:rPr>
                <w:rFonts w:hint="eastAsia" w:ascii="宋体" w:hAnsi="宋体" w:cs="黑体"/>
              </w:rPr>
              <w:t>耐盐雾性</w:t>
            </w:r>
          </w:p>
        </w:tc>
        <w:tc>
          <w:tcPr>
            <w:tcW w:w="3552" w:type="pct"/>
            <w:vAlign w:val="center"/>
          </w:tcPr>
          <w:p w14:paraId="5D523FEC">
            <w:pPr>
              <w:snapToGrid w:val="0"/>
              <w:jc w:val="center"/>
              <w:outlineLvl w:val="1"/>
              <w:rPr>
                <w:rFonts w:hint="eastAsia" w:ascii="宋体" w:hAnsi="宋体" w:cs="黑体"/>
              </w:rPr>
            </w:pPr>
            <w:r>
              <w:rPr>
                <w:rFonts w:hint="eastAsia" w:ascii="宋体" w:hAnsi="宋体" w:cs="黑体"/>
              </w:rPr>
              <w:t>应符合G</w:t>
            </w:r>
            <w:r>
              <w:rPr>
                <w:rFonts w:ascii="宋体" w:hAnsi="宋体" w:cs="黑体"/>
              </w:rPr>
              <w:t>B/T 1</w:t>
            </w:r>
            <w:r>
              <w:rPr>
                <w:rFonts w:hint="eastAsia" w:ascii="宋体" w:hAnsi="宋体" w:cs="黑体"/>
              </w:rPr>
              <w:t>0125规定（试板不划线）。应按G</w:t>
            </w:r>
            <w:r>
              <w:rPr>
                <w:rFonts w:ascii="宋体" w:hAnsi="宋体" w:cs="黑体"/>
              </w:rPr>
              <w:t>B/T 1766</w:t>
            </w:r>
            <w:r>
              <w:rPr>
                <w:rFonts w:hint="eastAsia" w:ascii="宋体" w:hAnsi="宋体" w:cs="黑体"/>
              </w:rPr>
              <w:t>进行描述并评级。</w:t>
            </w:r>
          </w:p>
        </w:tc>
      </w:tr>
      <w:tr w14:paraId="2AC1D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pct"/>
            <w:vAlign w:val="center"/>
          </w:tcPr>
          <w:p w14:paraId="24573A86">
            <w:pPr>
              <w:snapToGrid w:val="0"/>
              <w:jc w:val="center"/>
              <w:outlineLvl w:val="1"/>
              <w:rPr>
                <w:rFonts w:hint="eastAsia" w:ascii="宋体" w:hAnsi="宋体" w:cs="黑体"/>
              </w:rPr>
            </w:pPr>
            <w:r>
              <w:rPr>
                <w:rFonts w:hint="eastAsia" w:ascii="宋体" w:hAnsi="宋体" w:cs="黑体"/>
              </w:rPr>
              <w:t>1</w:t>
            </w:r>
            <w:r>
              <w:rPr>
                <w:rFonts w:ascii="宋体" w:hAnsi="宋体" w:cs="黑体"/>
              </w:rPr>
              <w:t>1</w:t>
            </w:r>
          </w:p>
        </w:tc>
        <w:tc>
          <w:tcPr>
            <w:tcW w:w="1024" w:type="pct"/>
            <w:vAlign w:val="center"/>
          </w:tcPr>
          <w:p w14:paraId="416CE34C">
            <w:pPr>
              <w:snapToGrid w:val="0"/>
              <w:jc w:val="center"/>
              <w:outlineLvl w:val="1"/>
              <w:rPr>
                <w:rFonts w:hint="eastAsia" w:ascii="宋体" w:hAnsi="宋体" w:cs="黑体"/>
              </w:rPr>
            </w:pPr>
            <w:r>
              <w:rPr>
                <w:rFonts w:hint="eastAsia" w:ascii="宋体" w:hAnsi="宋体" w:cs="黑体"/>
              </w:rPr>
              <w:t>耐人工气候老化性</w:t>
            </w:r>
          </w:p>
        </w:tc>
        <w:tc>
          <w:tcPr>
            <w:tcW w:w="3552" w:type="pct"/>
            <w:vAlign w:val="center"/>
          </w:tcPr>
          <w:p w14:paraId="0958B26E">
            <w:pPr>
              <w:snapToGrid w:val="0"/>
              <w:jc w:val="center"/>
              <w:outlineLvl w:val="1"/>
              <w:rPr>
                <w:rFonts w:hint="eastAsia" w:ascii="宋体" w:hAnsi="宋体" w:cs="黑体"/>
              </w:rPr>
            </w:pPr>
            <w:r>
              <w:rPr>
                <w:rFonts w:hint="eastAsia" w:ascii="宋体" w:hAnsi="宋体" w:cs="黑体"/>
              </w:rPr>
              <w:t>应符合GB/T 1865-2009《色漆和清漆 人工气候老化和人工辐射曝露 滤过的氙弧辐射》中循环A规定。应按GB/T 1766的规定评级。</w:t>
            </w:r>
          </w:p>
        </w:tc>
      </w:tr>
    </w:tbl>
    <w:p w14:paraId="6912F71E">
      <w:pPr>
        <w:pStyle w:val="168"/>
        <w:numPr>
          <w:ilvl w:val="0"/>
          <w:numId w:val="0"/>
        </w:numPr>
        <w:jc w:val="center"/>
      </w:pPr>
    </w:p>
    <w:p w14:paraId="179F2460">
      <w:pPr>
        <w:pStyle w:val="68"/>
        <w:spacing w:before="120" w:after="120"/>
      </w:pPr>
      <w:r>
        <w:rPr>
          <w:rFonts w:hint="eastAsia"/>
        </w:rPr>
        <w:t>面漆材料检验方法</w:t>
      </w:r>
    </w:p>
    <w:p w14:paraId="4F432E9F">
      <w:pPr>
        <w:pStyle w:val="59"/>
        <w:ind w:firstLine="420"/>
      </w:pPr>
      <w:r>
        <w:rPr>
          <w:rFonts w:hint="eastAsia"/>
        </w:rPr>
        <w:t>配套面漆检验方法如下：</w:t>
      </w:r>
    </w:p>
    <w:p w14:paraId="5F6068FE">
      <w:pPr>
        <w:pStyle w:val="177"/>
        <w:numPr>
          <w:ilvl w:val="0"/>
          <w:numId w:val="36"/>
        </w:numPr>
      </w:pPr>
      <w:r>
        <w:rPr>
          <w:rFonts w:hint="eastAsia"/>
        </w:rPr>
        <w:t>氟碳面漆按H</w:t>
      </w:r>
      <w:r>
        <w:t xml:space="preserve">G/T 3792 </w:t>
      </w:r>
      <w:r>
        <w:rPr>
          <w:rFonts w:hint="eastAsia"/>
        </w:rPr>
        <w:t>《交联型氟树脂涂料》的规定进行；</w:t>
      </w:r>
    </w:p>
    <w:p w14:paraId="10A8D34F">
      <w:pPr>
        <w:pStyle w:val="177"/>
        <w:numPr>
          <w:ilvl w:val="0"/>
          <w:numId w:val="36"/>
        </w:numPr>
      </w:pPr>
      <w:r>
        <w:rPr>
          <w:rFonts w:hint="eastAsia"/>
        </w:rPr>
        <w:t>聚硅氧烷面漆按H</w:t>
      </w:r>
      <w:r>
        <w:t>G/T 4755</w:t>
      </w:r>
      <w:r>
        <w:rPr>
          <w:rFonts w:hint="eastAsia"/>
        </w:rPr>
        <w:t>《聚硅氧烷涂料》的规定进行；</w:t>
      </w:r>
    </w:p>
    <w:p w14:paraId="37BF3AEB">
      <w:pPr>
        <w:pStyle w:val="177"/>
        <w:numPr>
          <w:ilvl w:val="0"/>
          <w:numId w:val="36"/>
        </w:numPr>
      </w:pPr>
      <w:r>
        <w:rPr>
          <w:rFonts w:hint="eastAsia"/>
        </w:rPr>
        <w:t>聚氨酯面漆按</w:t>
      </w:r>
      <w:r>
        <w:t>HG/T 2454</w:t>
      </w:r>
      <w:r>
        <w:rPr>
          <w:rFonts w:hint="eastAsia"/>
        </w:rPr>
        <w:t>《溶剂型聚氨酯涂料（双组分）》的规定进行。</w:t>
      </w:r>
    </w:p>
    <w:p w14:paraId="3E440C35">
      <w:pPr>
        <w:pStyle w:val="108"/>
        <w:spacing w:before="120" w:after="120"/>
      </w:pPr>
      <w:r>
        <w:rPr>
          <w:rFonts w:hint="eastAsia"/>
        </w:rPr>
        <w:t>涂层质量检验</w:t>
      </w:r>
    </w:p>
    <w:p w14:paraId="539527FE">
      <w:pPr>
        <w:pStyle w:val="68"/>
        <w:spacing w:before="120" w:after="120"/>
      </w:pPr>
      <w:r>
        <w:rPr>
          <w:rFonts w:hint="eastAsia"/>
        </w:rPr>
        <w:t>附着力检测</w:t>
      </w:r>
    </w:p>
    <w:p w14:paraId="1C2C13D7">
      <w:pPr>
        <w:pStyle w:val="167"/>
      </w:pPr>
      <w:r>
        <w:rPr>
          <w:rFonts w:hint="eastAsia" w:hAnsi="宋体"/>
          <w:lang w:val="en-GB"/>
        </w:rPr>
        <w:t>附着力检测前，防护层应充分干燥固化。</w:t>
      </w:r>
    </w:p>
    <w:p w14:paraId="6201ED67">
      <w:pPr>
        <w:pStyle w:val="167"/>
      </w:pPr>
      <w:r>
        <w:rPr>
          <w:rFonts w:hint="eastAsia" w:hAnsi="宋体"/>
        </w:rPr>
        <w:t>防护层附着力检测可采用拉开法或划格试验和划叉试验法进行检测，拉开法应符合GB/T 31586.1《防护涂料体系对钢结构的防腐蚀保护 涂层附着力/内聚力（破坏强度）的评定和验收准则 第1部分：拉开法试验》的规定，划格试验和划叉试验法应符合GB/T 31586.2《防护涂料体系对钢结构的防腐蚀保护 涂层附着力/内聚力（破坏强度）的评定和验收准则 第2部分：划格试验和划叉试验》的规定</w:t>
      </w:r>
      <w:r>
        <w:rPr>
          <w:rFonts w:hint="eastAsia" w:hAnsi="宋体"/>
          <w:lang w:val="en-GB"/>
        </w:rPr>
        <w:t>。</w:t>
      </w:r>
    </w:p>
    <w:p w14:paraId="7EFD8180">
      <w:pPr>
        <w:pStyle w:val="167"/>
      </w:pPr>
      <w:r>
        <w:rPr>
          <w:rFonts w:hint="eastAsia" w:hAnsi="宋体"/>
          <w:lang w:val="en-GB"/>
        </w:rPr>
        <w:t>拉开法检测结果不应低于</w:t>
      </w:r>
      <w:r>
        <w:rPr>
          <w:rFonts w:hAnsi="宋体"/>
          <w:lang w:val="en-GB"/>
        </w:rPr>
        <w:t>3</w:t>
      </w:r>
      <w:r>
        <w:rPr>
          <w:rFonts w:hint="eastAsia" w:hAnsi="宋体"/>
          <w:lang w:val="en-GB"/>
        </w:rPr>
        <w:t>MPa，划格试验和划叉试验检测结果不应大于1级。</w:t>
      </w:r>
    </w:p>
    <w:p w14:paraId="5E5DF9B8">
      <w:pPr>
        <w:pStyle w:val="167"/>
        <w:numPr>
          <w:ilvl w:val="0"/>
          <w:numId w:val="0"/>
        </w:numPr>
        <w:rPr>
          <w:rFonts w:hint="eastAsia" w:hAnsi="宋体"/>
          <w:lang w:val="en-GB"/>
        </w:rPr>
      </w:pPr>
    </w:p>
    <w:p w14:paraId="5641E92D">
      <w:pPr>
        <w:pStyle w:val="107"/>
        <w:spacing w:before="240" w:after="240"/>
      </w:pPr>
      <w:bookmarkStart w:id="107" w:name="_Toc226548550"/>
      <w:bookmarkStart w:id="108" w:name="_Toc223697444"/>
      <w:bookmarkStart w:id="109" w:name="_Toc227577030"/>
      <w:bookmarkStart w:id="110" w:name="_Toc225345386"/>
      <w:bookmarkStart w:id="111" w:name="_Toc227569874"/>
      <w:bookmarkStart w:id="112" w:name="_Toc223697474"/>
      <w:bookmarkStart w:id="113" w:name="_Toc223708333"/>
      <w:r>
        <w:rPr>
          <w:rFonts w:hint="eastAsia"/>
        </w:rPr>
        <w:t>验收</w:t>
      </w:r>
      <w:bookmarkEnd w:id="107"/>
      <w:bookmarkEnd w:id="108"/>
      <w:bookmarkEnd w:id="109"/>
      <w:bookmarkEnd w:id="110"/>
      <w:bookmarkEnd w:id="111"/>
      <w:bookmarkEnd w:id="112"/>
      <w:bookmarkEnd w:id="113"/>
    </w:p>
    <w:p w14:paraId="399B3B50">
      <w:pPr>
        <w:pStyle w:val="108"/>
        <w:spacing w:before="120" w:after="120"/>
      </w:pPr>
      <w:r>
        <w:rPr>
          <w:rFonts w:hint="eastAsia"/>
        </w:rPr>
        <w:t>一般规定</w:t>
      </w:r>
    </w:p>
    <w:p w14:paraId="133F4F58">
      <w:pPr>
        <w:pStyle w:val="168"/>
      </w:pPr>
      <w:r>
        <w:rPr>
          <w:rFonts w:hint="eastAsia"/>
        </w:rPr>
        <w:t>带锈涂装验收应满足</w:t>
      </w:r>
      <w:r>
        <w:t>设计文件及相关现行国家标准</w:t>
      </w:r>
      <w:r>
        <w:rPr>
          <w:rFonts w:hint="eastAsia"/>
        </w:rPr>
        <w:t>。</w:t>
      </w:r>
    </w:p>
    <w:p w14:paraId="7ED3B04B">
      <w:pPr>
        <w:pStyle w:val="168"/>
      </w:pPr>
      <w:r>
        <w:rPr>
          <w:rFonts w:hint="eastAsia"/>
        </w:rPr>
        <w:t>带锈涂装分项工程检验批的划分参考GB/T 50224《</w:t>
      </w:r>
      <w:r>
        <w:t>建筑防腐蚀工程施工质量验收标准</w:t>
      </w:r>
      <w:r>
        <w:rPr>
          <w:rFonts w:hint="eastAsia"/>
        </w:rPr>
        <w:t>》的有关规定。</w:t>
      </w:r>
    </w:p>
    <w:p w14:paraId="1A1F1879">
      <w:pPr>
        <w:pStyle w:val="168"/>
      </w:pPr>
      <w:r>
        <w:rPr>
          <w:rFonts w:hint="eastAsia"/>
        </w:rPr>
        <w:t>带锈涂装施工的质量检验应包括下列检验内容：</w:t>
      </w:r>
    </w:p>
    <w:p w14:paraId="35FA8ABC">
      <w:pPr>
        <w:pStyle w:val="177"/>
        <w:numPr>
          <w:ilvl w:val="0"/>
          <w:numId w:val="37"/>
        </w:numPr>
      </w:pPr>
      <w:r>
        <w:rPr>
          <w:rFonts w:hint="eastAsia"/>
        </w:rPr>
        <w:t>原材料进场时，对质量保证书、合格证、说明书、使用指南等进行检查验证，需要时应进行抽样复验；</w:t>
      </w:r>
    </w:p>
    <w:p w14:paraId="67A931A6">
      <w:pPr>
        <w:pStyle w:val="177"/>
      </w:pPr>
      <w:r>
        <w:rPr>
          <w:rFonts w:hint="eastAsia"/>
        </w:rPr>
        <w:t>除锈后对钢构件表面除锈等级的检验与粗糙度进行检验；</w:t>
      </w:r>
    </w:p>
    <w:p w14:paraId="60E2A7F6">
      <w:pPr>
        <w:pStyle w:val="177"/>
      </w:pPr>
      <w:r>
        <w:rPr>
          <w:rFonts w:hint="eastAsia"/>
        </w:rPr>
        <w:t>涂层外观质量、厚度与附着力检验。</w:t>
      </w:r>
    </w:p>
    <w:p w14:paraId="72526F77">
      <w:pPr>
        <w:pStyle w:val="168"/>
      </w:pPr>
      <w:r>
        <w:rPr>
          <w:rFonts w:hint="eastAsia"/>
        </w:rPr>
        <w:t>带锈涂装的质量验收应提供下列资料：</w:t>
      </w:r>
    </w:p>
    <w:p w14:paraId="5F8B2609">
      <w:pPr>
        <w:pStyle w:val="177"/>
        <w:numPr>
          <w:ilvl w:val="0"/>
          <w:numId w:val="38"/>
        </w:numPr>
      </w:pPr>
      <w:r>
        <w:rPr>
          <w:rFonts w:hint="eastAsia"/>
        </w:rPr>
        <w:t>施工单位的资质证书与质量管理文件；</w:t>
      </w:r>
    </w:p>
    <w:p w14:paraId="783F0035">
      <w:pPr>
        <w:pStyle w:val="177"/>
      </w:pPr>
      <w:r>
        <w:rPr>
          <w:rFonts w:hint="eastAsia"/>
        </w:rPr>
        <w:t>设计文件、设计变更等设计技术文件；</w:t>
      </w:r>
    </w:p>
    <w:p w14:paraId="23F7E266">
      <w:pPr>
        <w:pStyle w:val="177"/>
      </w:pPr>
      <w:r>
        <w:rPr>
          <w:rFonts w:hint="eastAsia"/>
        </w:rPr>
        <w:t>所用材料的产品合格证书、有效期内质量检验报告、进场复验报告和进场核查记录；</w:t>
      </w:r>
    </w:p>
    <w:p w14:paraId="77B52151">
      <w:pPr>
        <w:pStyle w:val="177"/>
      </w:pPr>
      <w:r>
        <w:rPr>
          <w:rFonts w:hint="eastAsia"/>
        </w:rPr>
        <w:t>有关安全及功能的检验和见证检测项目检查记录；</w:t>
      </w:r>
    </w:p>
    <w:p w14:paraId="7ACC1E74">
      <w:pPr>
        <w:pStyle w:val="177"/>
      </w:pPr>
      <w:r>
        <w:rPr>
          <w:rFonts w:hint="eastAsia"/>
        </w:rPr>
        <w:t>有关观感质量检验项目检查记录；</w:t>
      </w:r>
    </w:p>
    <w:p w14:paraId="03B93610">
      <w:pPr>
        <w:pStyle w:val="177"/>
      </w:pPr>
      <w:r>
        <w:rPr>
          <w:rFonts w:hint="eastAsia"/>
        </w:rPr>
        <w:t>质量验收记录；</w:t>
      </w:r>
    </w:p>
    <w:p w14:paraId="735BC945">
      <w:pPr>
        <w:pStyle w:val="177"/>
      </w:pPr>
      <w:r>
        <w:rPr>
          <w:rFonts w:hint="eastAsia"/>
        </w:rPr>
        <w:t>隐蔽工程验收记录；</w:t>
      </w:r>
    </w:p>
    <w:p w14:paraId="23454485">
      <w:pPr>
        <w:pStyle w:val="177"/>
      </w:pPr>
      <w:r>
        <w:rPr>
          <w:rFonts w:hint="eastAsia"/>
        </w:rPr>
        <w:t>施工记录；</w:t>
      </w:r>
    </w:p>
    <w:p w14:paraId="33625DE3">
      <w:pPr>
        <w:pStyle w:val="177"/>
      </w:pPr>
      <w:r>
        <w:rPr>
          <w:rFonts w:hint="eastAsia"/>
        </w:rPr>
        <w:t>其他资料</w:t>
      </w:r>
    </w:p>
    <w:p w14:paraId="5FB89073">
      <w:pPr>
        <w:pStyle w:val="168"/>
      </w:pPr>
      <w:r>
        <w:rPr>
          <w:rFonts w:hint="eastAsia"/>
        </w:rPr>
        <w:t>验收过程中</w:t>
      </w:r>
      <w:r>
        <w:rPr>
          <w:rFonts w:hint="eastAsia"/>
          <w:color w:val="000000" w:themeColor="text1"/>
          <w14:textFill>
            <w14:solidFill>
              <w14:schemeClr w14:val="tx1"/>
            </w14:solidFill>
          </w14:textFill>
        </w:rPr>
        <w:t>参照</w:t>
      </w:r>
      <w:r>
        <w:rPr>
          <w:rFonts w:hint="eastAsia"/>
          <w:color w:val="000000" w:themeColor="text1"/>
          <w:shd w:val="clear" w:color="auto" w:fill="FFFF00"/>
          <w14:textFill>
            <w14:solidFill>
              <w14:schemeClr w14:val="tx1"/>
            </w14:solidFill>
          </w14:textFill>
        </w:rPr>
        <w:t>附录D</w:t>
      </w:r>
      <w:r>
        <w:rPr>
          <w:rFonts w:hint="eastAsia"/>
        </w:rPr>
        <w:t>填写完整验收记录，包括检验批质量验收记录、分项工程质量验收记录、隐蔽工程验收记录、涂层检测数据等，记录签字齐全、数据真实、准确、完整，满足工程质量追溯和归档要求。</w:t>
      </w:r>
    </w:p>
    <w:p w14:paraId="468A7474">
      <w:pPr>
        <w:pStyle w:val="108"/>
        <w:spacing w:before="120" w:after="120"/>
      </w:pPr>
      <w:r>
        <w:rPr>
          <w:rFonts w:hint="eastAsia"/>
        </w:rPr>
        <w:t>基层验收</w:t>
      </w:r>
    </w:p>
    <w:p w14:paraId="48A25677">
      <w:pPr>
        <w:pStyle w:val="168"/>
      </w:pPr>
      <w:r>
        <w:rPr>
          <w:rFonts w:hint="eastAsia"/>
        </w:rPr>
        <w:t>钢构件表面初始锈蚀等级应符合设计要求。设计无要求时，按本文件6.2.1条规定执行。</w:t>
      </w:r>
    </w:p>
    <w:p w14:paraId="16DBE248">
      <w:pPr>
        <w:pStyle w:val="59"/>
        <w:ind w:firstLine="420"/>
      </w:pPr>
      <w:r>
        <w:rPr>
          <w:rFonts w:hint="eastAsia"/>
        </w:rPr>
        <w:t>检验方法：用铲刀检查；观察比对各等级标准照片。</w:t>
      </w:r>
    </w:p>
    <w:p w14:paraId="0C84AFD6">
      <w:pPr>
        <w:pStyle w:val="59"/>
        <w:ind w:firstLine="420"/>
      </w:pPr>
      <w:r>
        <w:rPr>
          <w:rFonts w:hint="eastAsia"/>
        </w:rPr>
        <w:t>检查数量：全数检查。</w:t>
      </w:r>
    </w:p>
    <w:p w14:paraId="595A69C0">
      <w:pPr>
        <w:pStyle w:val="168"/>
      </w:pPr>
      <w:r>
        <w:rPr>
          <w:rFonts w:hint="eastAsia"/>
        </w:rPr>
        <w:t>钢构件表面除锈质量等级应符合设计要求。设计无要求时，应符合：</w:t>
      </w:r>
    </w:p>
    <w:p w14:paraId="7C97CFC0">
      <w:pPr>
        <w:pStyle w:val="112"/>
        <w:numPr>
          <w:ilvl w:val="1"/>
          <w:numId w:val="39"/>
        </w:numPr>
      </w:pPr>
      <w:r>
        <w:rPr>
          <w:rFonts w:hint="eastAsia"/>
        </w:rPr>
        <w:t>采用喷射清理（Sa）、手动和动力工具清理（St）在不放大的情况下观察时，表面应无可见的油、脂和污物，并且没有附着不牢的氧化皮、铁锈、涂层和外来杂质。</w:t>
      </w:r>
    </w:p>
    <w:p w14:paraId="6709F341">
      <w:pPr>
        <w:pStyle w:val="112"/>
        <w:numPr>
          <w:ilvl w:val="1"/>
          <w:numId w:val="39"/>
        </w:numPr>
      </w:pPr>
      <w:r>
        <w:rPr>
          <w:rFonts w:hint="eastAsia"/>
        </w:rPr>
        <w:t>采用火焰清理（F1），在不放大的情况下观察时，表面应无氧化皮、铁锈、涂层和外来杂质，任何残留的痕迹应仅为表面变色（不同颜色的阴影）。</w:t>
      </w:r>
    </w:p>
    <w:p w14:paraId="03C60438">
      <w:pPr>
        <w:pStyle w:val="59"/>
        <w:ind w:firstLine="420"/>
      </w:pPr>
      <w:r>
        <w:rPr>
          <w:rFonts w:hint="eastAsia"/>
        </w:rPr>
        <w:t>检查方法：观察比对各等级标准照片。</w:t>
      </w:r>
    </w:p>
    <w:p w14:paraId="5E9C98A1">
      <w:pPr>
        <w:pStyle w:val="59"/>
        <w:ind w:firstLine="420"/>
      </w:pPr>
      <w:r>
        <w:rPr>
          <w:rFonts w:hint="eastAsia"/>
        </w:rPr>
        <w:t>检查数量：根据工程规模判定，可采用全数检査；按照构件数抽査10%，且同类构件不应少于3件；平整的表面每10m</w:t>
      </w:r>
      <w:r>
        <w:rPr>
          <w:rFonts w:hint="eastAsia"/>
          <w:vertAlign w:val="superscript"/>
        </w:rPr>
        <w:t>2</w:t>
      </w:r>
      <w:r>
        <w:rPr>
          <w:rFonts w:hint="eastAsia"/>
        </w:rPr>
        <w:t>表面上的测量基准面数量不得少于3个，不规则的表面可适当增加基准面数量。</w:t>
      </w:r>
    </w:p>
    <w:p w14:paraId="389852D9">
      <w:pPr>
        <w:pStyle w:val="168"/>
      </w:pPr>
      <w:r>
        <w:rPr>
          <w:rFonts w:hint="eastAsia"/>
        </w:rPr>
        <w:t>经处理的钢构件基层表面应洁净、干燥，并应无焊瘤、毛刺、裂纹、穿孔和咬边、油污及其他附着物等杂质，应修正飞边、未熔合和超过允许标准的气孔、冷隔、缩松、缩孔、夹砂及明显凹坑等缺陷。</w:t>
      </w:r>
    </w:p>
    <w:p w14:paraId="46AF1A0F">
      <w:pPr>
        <w:pStyle w:val="59"/>
        <w:ind w:firstLine="420"/>
      </w:pPr>
      <w:r>
        <w:rPr>
          <w:rFonts w:hint="eastAsia"/>
        </w:rPr>
        <w:t>检验方法：观察检查或对比样板标准块法，表面洁净度可按GB/T 18570.3的规定采用压敏粘带法评定。</w:t>
      </w:r>
    </w:p>
    <w:p w14:paraId="46879960">
      <w:pPr>
        <w:pStyle w:val="59"/>
        <w:ind w:firstLine="420"/>
      </w:pPr>
      <w:r>
        <w:rPr>
          <w:rFonts w:hint="eastAsia"/>
        </w:rPr>
        <w:t>检查数量：根据工程规模判定，可采用全数检査；按照构件数抽査10%，且同类构件不应少于3件；平整的表面每10m</w:t>
      </w:r>
      <w:r>
        <w:rPr>
          <w:rFonts w:hint="eastAsia"/>
          <w:vertAlign w:val="superscript"/>
        </w:rPr>
        <w:t>2</w:t>
      </w:r>
      <w:r>
        <w:rPr>
          <w:rFonts w:hint="eastAsia"/>
        </w:rPr>
        <w:t>表面上的测量基准面数量不得少于3个，不规则的表面可适当增加基准面数量。</w:t>
      </w:r>
    </w:p>
    <w:p w14:paraId="5B13CF3D">
      <w:pPr>
        <w:pStyle w:val="168"/>
      </w:pPr>
      <w:r>
        <w:rPr>
          <w:rFonts w:hint="eastAsia"/>
        </w:rPr>
        <w:t>钢构件表面粗糙度等级应符合设计规定。设计无规定时，按本文件6.2条规定执行。</w:t>
      </w:r>
    </w:p>
    <w:p w14:paraId="22024F6C">
      <w:pPr>
        <w:pStyle w:val="59"/>
        <w:ind w:firstLine="420"/>
      </w:pPr>
      <w:r>
        <w:rPr>
          <w:rFonts w:hint="eastAsia"/>
        </w:rPr>
        <w:t>检验方法：采用标准样板观察检验，按GB/T 13288.2《涂覆涂料前钢材表面处理 喷射清理后的钢材表面粗糙度特性 第2部分：磨料喷射清理后钢材表面粗糙度等级的测定方法 比较样块法》规定的比较样块法检查。</w:t>
      </w:r>
    </w:p>
    <w:p w14:paraId="4DADAA2A">
      <w:pPr>
        <w:pStyle w:val="59"/>
        <w:ind w:firstLine="420"/>
      </w:pPr>
      <w:r>
        <w:rPr>
          <w:rFonts w:hint="eastAsia"/>
        </w:rPr>
        <w:t>检查数量：根据工程规模判定，可采用全数检査；按照构件数抽査10%，且同类构件不应少于3件；平整的表面每10m</w:t>
      </w:r>
      <w:r>
        <w:rPr>
          <w:rFonts w:hint="eastAsia" w:ascii="Calibri" w:hAnsi="Calibri" w:cs="Calibri"/>
          <w:kern w:val="2"/>
          <w:szCs w:val="21"/>
          <w:vertAlign w:val="superscript"/>
        </w:rPr>
        <w:t xml:space="preserve"> </w:t>
      </w:r>
      <w:r>
        <w:rPr>
          <w:rFonts w:hint="eastAsia"/>
          <w:vertAlign w:val="superscript"/>
        </w:rPr>
        <w:t>2</w:t>
      </w:r>
      <w:r>
        <w:rPr>
          <w:rFonts w:hint="eastAsia"/>
        </w:rPr>
        <w:t>表面上的测量基准面数量不得少于3个，不规则的表面可适当增加基准面数量。</w:t>
      </w:r>
    </w:p>
    <w:p w14:paraId="1A65F57C">
      <w:pPr>
        <w:pStyle w:val="168"/>
      </w:pPr>
      <w:r>
        <w:rPr>
          <w:rFonts w:hint="eastAsia"/>
        </w:rPr>
        <w:t>焊缝、边缘区域处理等级应符合设计要求。既有带缺陷的钢构件表面和既有焊缝、板边表面缺陷处理等级应符合设计要求。设计无要求时，应符合GB/T 8923.2的规定，处理后达到不低于P2级标准。</w:t>
      </w:r>
    </w:p>
    <w:p w14:paraId="548762EC">
      <w:pPr>
        <w:pStyle w:val="59"/>
        <w:ind w:firstLine="420"/>
      </w:pPr>
      <w:r>
        <w:rPr>
          <w:rFonts w:hint="eastAsia"/>
        </w:rPr>
        <w:t>检验方法：用铲刀、规尺、目视检查。</w:t>
      </w:r>
    </w:p>
    <w:p w14:paraId="68EADF82">
      <w:pPr>
        <w:pStyle w:val="59"/>
        <w:ind w:firstLine="420"/>
      </w:pPr>
      <w:r>
        <w:rPr>
          <w:rFonts w:hint="eastAsia"/>
        </w:rPr>
        <w:t>检查数量：根据工程规模判定，可采用全数检査；按照构件数抽査10%，且同类构件不应少于3件；平整的表面每10m</w:t>
      </w:r>
      <w:r>
        <w:rPr>
          <w:rFonts w:hint="eastAsia" w:ascii="Calibri" w:hAnsi="Calibri" w:cs="Calibri"/>
          <w:kern w:val="2"/>
          <w:szCs w:val="21"/>
          <w:vertAlign w:val="superscript"/>
        </w:rPr>
        <w:t xml:space="preserve"> </w:t>
      </w:r>
      <w:r>
        <w:rPr>
          <w:rFonts w:hint="eastAsia"/>
          <w:vertAlign w:val="superscript"/>
        </w:rPr>
        <w:t>2</w:t>
      </w:r>
      <w:r>
        <w:rPr>
          <w:rFonts w:hint="eastAsia"/>
        </w:rPr>
        <w:t>表面上的测量基准面数量不得少于3个，不规则的表面可适当增加基准面数量。</w:t>
      </w:r>
    </w:p>
    <w:p w14:paraId="158D6E06">
      <w:pPr>
        <w:pStyle w:val="168"/>
      </w:pPr>
      <w:r>
        <w:rPr>
          <w:rFonts w:hint="eastAsia"/>
        </w:rPr>
        <w:t>既有钢构件局部清除原有涂层的处理等级应符合设计要求。设计无要求时，应符合本文件6.2.1条和6.2.3条的规定。</w:t>
      </w:r>
    </w:p>
    <w:p w14:paraId="6DC28FF4">
      <w:pPr>
        <w:pStyle w:val="59"/>
        <w:ind w:firstLine="420"/>
      </w:pPr>
      <w:r>
        <w:rPr>
          <w:rFonts w:hint="eastAsia"/>
        </w:rPr>
        <w:t>检验方法：用铲刀、目视，观察比对各等级标准照片。</w:t>
      </w:r>
    </w:p>
    <w:p w14:paraId="5C19712F">
      <w:pPr>
        <w:pStyle w:val="59"/>
        <w:ind w:firstLine="420"/>
      </w:pPr>
      <w:r>
        <w:rPr>
          <w:rFonts w:hint="eastAsia"/>
        </w:rPr>
        <w:t>检查数量：全数检査；按照构件数抽査10%，且同类构件不应少于3件；平整的表面每10m</w:t>
      </w:r>
      <w:r>
        <w:rPr>
          <w:rFonts w:hint="eastAsia" w:ascii="Calibri" w:hAnsi="Calibri" w:cs="Calibri"/>
          <w:kern w:val="2"/>
          <w:szCs w:val="21"/>
          <w:vertAlign w:val="superscript"/>
        </w:rPr>
        <w:t xml:space="preserve"> </w:t>
      </w:r>
      <w:r>
        <w:rPr>
          <w:rFonts w:hint="eastAsia"/>
          <w:vertAlign w:val="superscript"/>
        </w:rPr>
        <w:t>2</w:t>
      </w:r>
      <w:r>
        <w:rPr>
          <w:rFonts w:hint="eastAsia"/>
        </w:rPr>
        <w:t>表面上的测量基准面数量不得少于3个，不规则的表面可适当增加基准面数量。</w:t>
      </w:r>
    </w:p>
    <w:p w14:paraId="5718077E">
      <w:pPr>
        <w:pStyle w:val="108"/>
        <w:spacing w:before="120" w:after="120"/>
      </w:pPr>
      <w:r>
        <w:rPr>
          <w:rFonts w:hint="eastAsia"/>
        </w:rPr>
        <w:t>材料验收</w:t>
      </w:r>
    </w:p>
    <w:p w14:paraId="4FE44A6F">
      <w:pPr>
        <w:pStyle w:val="168"/>
      </w:pPr>
      <w:r>
        <w:rPr>
          <w:rFonts w:hint="eastAsia"/>
        </w:rPr>
        <w:t>原材料外观质量验收开启后，不应存在结皮、结块、凝胶等现象。</w:t>
      </w:r>
    </w:p>
    <w:p w14:paraId="0408601E">
      <w:pPr>
        <w:pStyle w:val="59"/>
        <w:ind w:firstLine="420"/>
      </w:pPr>
      <w:r>
        <w:rPr>
          <w:rFonts w:hint="eastAsia"/>
        </w:rPr>
        <w:t>检验方法：观察检查。</w:t>
      </w:r>
    </w:p>
    <w:p w14:paraId="505BFF91">
      <w:pPr>
        <w:pStyle w:val="59"/>
        <w:ind w:firstLine="420"/>
      </w:pPr>
      <w:r>
        <w:rPr>
          <w:rFonts w:hint="eastAsia"/>
        </w:rPr>
        <w:t>检查数量：应按桶数抽查5%，且不应少于3桶。</w:t>
      </w:r>
    </w:p>
    <w:p w14:paraId="74683F01">
      <w:pPr>
        <w:pStyle w:val="168"/>
      </w:pPr>
      <w:r>
        <w:rPr>
          <w:rFonts w:hint="eastAsia"/>
        </w:rPr>
        <w:t>原材料现场抽样的复验报告需检验项目应包含</w:t>
      </w:r>
      <w:r>
        <w:t>但不限于</w:t>
      </w:r>
      <w:r>
        <w:rPr>
          <w:rFonts w:hint="eastAsia"/>
        </w:rPr>
        <w:t>：</w:t>
      </w:r>
    </w:p>
    <w:p w14:paraId="5E4607B1">
      <w:pPr>
        <w:pStyle w:val="59"/>
        <w:ind w:firstLine="420"/>
      </w:pPr>
      <w:r>
        <w:rPr>
          <w:rFonts w:hint="eastAsia"/>
        </w:rPr>
        <w:t>盐雾测试、循环老化测试、附着力测试（拉开法、划格法）、耐湿冷热循环性、人工老化测试、弯曲试验、耐冲击测试、耐磨性等性能测试；涂层干膜厚度测试、底漆干膜中金属锌含量测试、干燥时间/h、耐水性、耐盐水性、耐湿热性、耐酸性、耐温性、</w:t>
      </w:r>
      <w:r>
        <w:t>不挥发物含量（%）</w:t>
      </w:r>
      <w:r>
        <w:rPr>
          <w:rFonts w:hint="eastAsia"/>
        </w:rPr>
        <w:t>。</w:t>
      </w:r>
    </w:p>
    <w:p w14:paraId="3FA1F4BB">
      <w:pPr>
        <w:pStyle w:val="59"/>
        <w:ind w:firstLine="420"/>
      </w:pPr>
      <w:r>
        <w:rPr>
          <w:rFonts w:hint="eastAsia"/>
        </w:rPr>
        <w:t>检查数量：同厂家、同品牌、同包装、同批号，一次进货为一个验收批。同时</w:t>
      </w:r>
      <w:r>
        <w:t>同厂家、同品种、同批号的涂料</w:t>
      </w:r>
      <w:r>
        <w:rPr>
          <w:rFonts w:hint="eastAsia"/>
        </w:rPr>
        <w:t>应按桶数抽查5%，且不应少于3桶。同时</w:t>
      </w:r>
      <w:r>
        <w:t>同厂家、同品种、同批号的涂料</w:t>
      </w:r>
      <w:r>
        <w:rPr>
          <w:rFonts w:hint="eastAsia"/>
        </w:rPr>
        <w:t>15</w:t>
      </w:r>
      <w:r>
        <w:t>t为一检验批，</w:t>
      </w:r>
      <w:r>
        <w:rPr>
          <w:rFonts w:hint="eastAsia"/>
        </w:rPr>
        <w:t>不足15t 亦按一批（多组分产品按组分配套组批）。</w:t>
      </w:r>
    </w:p>
    <w:p w14:paraId="43368532">
      <w:pPr>
        <w:pStyle w:val="108"/>
        <w:spacing w:before="120" w:after="120"/>
      </w:pPr>
      <w:r>
        <w:rPr>
          <w:rFonts w:hint="eastAsia"/>
        </w:rPr>
        <w:t>涂装施工</w:t>
      </w:r>
    </w:p>
    <w:p w14:paraId="1DA0B226">
      <w:pPr>
        <w:pStyle w:val="168"/>
      </w:pPr>
      <w:r>
        <w:rPr>
          <w:rFonts w:hint="eastAsia"/>
        </w:rPr>
        <w:t>已除锈的钢构件表面，带锈涂装涂料涂装间隔时间不宜超过4h。</w:t>
      </w:r>
    </w:p>
    <w:p w14:paraId="38DF0D42">
      <w:pPr>
        <w:pStyle w:val="59"/>
        <w:ind w:firstLine="420"/>
      </w:pPr>
      <w:r>
        <w:rPr>
          <w:rFonts w:hint="eastAsia"/>
        </w:rPr>
        <w:t>检验方法：检查施工记录。</w:t>
      </w:r>
    </w:p>
    <w:p w14:paraId="600C7251">
      <w:pPr>
        <w:pStyle w:val="59"/>
        <w:ind w:firstLine="420"/>
      </w:pPr>
      <w:r>
        <w:rPr>
          <w:rFonts w:hint="eastAsia"/>
        </w:rPr>
        <w:t>检查数量：全数检查。</w:t>
      </w:r>
    </w:p>
    <w:p w14:paraId="588A895B">
      <w:pPr>
        <w:pStyle w:val="168"/>
      </w:pPr>
      <w:r>
        <w:rPr>
          <w:rFonts w:hint="eastAsia"/>
        </w:rPr>
        <w:t>涂装施工的环境条件应符合本文件4.2条的规定。</w:t>
      </w:r>
    </w:p>
    <w:p w14:paraId="55C45288">
      <w:pPr>
        <w:pStyle w:val="59"/>
        <w:ind w:firstLine="420"/>
      </w:pPr>
      <w:r>
        <w:rPr>
          <w:rFonts w:hint="eastAsia"/>
        </w:rPr>
        <w:t>检验方法：检查施工过程中的温湿度记录仪数据、施工日志和环境监测记录等。</w:t>
      </w:r>
    </w:p>
    <w:p w14:paraId="679F0984">
      <w:pPr>
        <w:pStyle w:val="59"/>
        <w:ind w:firstLine="420"/>
      </w:pPr>
      <w:r>
        <w:rPr>
          <w:rFonts w:hint="eastAsia"/>
        </w:rPr>
        <w:t>检查数量：全数检查。</w:t>
      </w:r>
    </w:p>
    <w:p w14:paraId="5B3CEC30">
      <w:pPr>
        <w:pStyle w:val="168"/>
      </w:pPr>
      <w:r>
        <w:rPr>
          <w:rFonts w:hint="eastAsia"/>
        </w:rPr>
        <w:t>涂料、涂装遍数、涂装间隔,涂层厚度均应满足设计文件、涂料产品标准的要求。当设计对涂层厚度无要求时，室外涂层干膜总厚度不应小于</w:t>
      </w:r>
      <w:r>
        <w:rPr>
          <w:rFonts w:ascii="Times New Roman"/>
        </w:rPr>
        <w:t>100</w:t>
      </w:r>
      <w:r>
        <w:rPr>
          <w:rFonts w:hint="eastAsia"/>
        </w:rPr>
        <w:t>μm，室内涂层干膜总厚度不应小于</w:t>
      </w:r>
      <w:r>
        <w:rPr>
          <w:rFonts w:ascii="Times New Roman"/>
        </w:rPr>
        <w:t>80</w:t>
      </w:r>
      <w:r>
        <w:rPr>
          <w:rFonts w:hint="eastAsia"/>
        </w:rPr>
        <w:t>μm。</w:t>
      </w:r>
    </w:p>
    <w:p w14:paraId="4B3DC21B">
      <w:pPr>
        <w:pStyle w:val="59"/>
        <w:ind w:firstLine="420"/>
      </w:pPr>
      <w:r>
        <w:rPr>
          <w:rFonts w:hint="eastAsia"/>
        </w:rPr>
        <w:t>检验方法：检查施工记录。钢构件基层表面用磁性测厚仪检查。</w:t>
      </w:r>
      <w:r>
        <w:t>每个构件检测5处</w:t>
      </w:r>
      <w:r>
        <w:rPr>
          <w:rFonts w:hint="eastAsia"/>
        </w:rPr>
        <w:t>，</w:t>
      </w:r>
      <w:r>
        <w:t>每处的数值为3个相距50mm 测点涂层干漆膜厚度的平均值。漆膜厚度的允许偏差应为</w:t>
      </w:r>
      <w:r>
        <w:rPr>
          <w:rFonts w:hint="eastAsia"/>
        </w:rPr>
        <w:t>-20μm。</w:t>
      </w:r>
    </w:p>
    <w:p w14:paraId="1B4C6964">
      <w:pPr>
        <w:pStyle w:val="59"/>
        <w:ind w:firstLine="420"/>
      </w:pPr>
      <w:r>
        <w:rPr>
          <w:rFonts w:hint="eastAsia"/>
        </w:rPr>
        <w:t>检查数量：全数检査；按照构件数抽査10%，且同类构件不应少于3件；平整的表面每10m</w:t>
      </w:r>
      <w:r>
        <w:rPr>
          <w:rFonts w:hint="eastAsia" w:ascii="Calibri" w:hAnsi="Calibri" w:cs="Calibri"/>
          <w:kern w:val="2"/>
          <w:szCs w:val="21"/>
          <w:vertAlign w:val="superscript"/>
        </w:rPr>
        <w:t xml:space="preserve"> </w:t>
      </w:r>
      <w:r>
        <w:rPr>
          <w:rFonts w:hint="eastAsia"/>
          <w:vertAlign w:val="superscript"/>
        </w:rPr>
        <w:t>2</w:t>
      </w:r>
      <w:r>
        <w:rPr>
          <w:rFonts w:hint="eastAsia"/>
        </w:rPr>
        <w:t>表面上的测量基准面数量不得少于3个，不规则的表面可适当增加基准面数量。</w:t>
      </w:r>
    </w:p>
    <w:p w14:paraId="5D73E42A">
      <w:pPr>
        <w:pStyle w:val="168"/>
      </w:pPr>
      <w:r>
        <w:rPr>
          <w:rFonts w:hint="eastAsia"/>
        </w:rPr>
        <w:t>涂层附着力应符合设计规定。涂层与钢构件基层的附着力：划格法不应大于1级，拉开法不应小于3MPa。</w:t>
      </w:r>
    </w:p>
    <w:p w14:paraId="4204F9FF">
      <w:pPr>
        <w:pStyle w:val="59"/>
        <w:ind w:firstLine="420"/>
      </w:pPr>
      <w:r>
        <w:rPr>
          <w:rFonts w:hint="eastAsia"/>
        </w:rPr>
        <w:t>检验方法：采用涂层附着力划格器法或附着力拉开法检查。</w:t>
      </w:r>
    </w:p>
    <w:p w14:paraId="53F78433">
      <w:pPr>
        <w:pStyle w:val="59"/>
        <w:ind w:firstLine="420"/>
      </w:pPr>
      <w:r>
        <w:rPr>
          <w:rFonts w:hint="eastAsia"/>
        </w:rPr>
        <w:t>检查数量：涂层附着力测量数不应大于设计涂装构件件数的1%，但不应少于3件，每件应抽查3点。设备每10m</w:t>
      </w:r>
      <w:r>
        <w:rPr>
          <w:rFonts w:hint="eastAsia" w:ascii="Calibri" w:hAnsi="Calibri" w:cs="Calibri"/>
          <w:kern w:val="2"/>
          <w:szCs w:val="21"/>
          <w:vertAlign w:val="superscript"/>
        </w:rPr>
        <w:t xml:space="preserve"> </w:t>
      </w:r>
      <w:r>
        <w:rPr>
          <w:rFonts w:hint="eastAsia"/>
          <w:vertAlign w:val="superscript"/>
        </w:rPr>
        <w:t>2</w:t>
      </w:r>
      <w:r>
        <w:rPr>
          <w:rFonts w:hint="eastAsia"/>
        </w:rPr>
        <w:t>检测3处，每处测点不得少于3个，管道每隔50m检测一处，每处测点不得少于3个。</w:t>
      </w:r>
    </w:p>
    <w:p w14:paraId="59978D31">
      <w:pPr>
        <w:pStyle w:val="168"/>
      </w:pPr>
      <w:r>
        <w:rPr>
          <w:rFonts w:hint="eastAsia"/>
        </w:rPr>
        <w:t>涂层针孔火花检测电压应根据涂料产品技术要求确定。每5</w:t>
      </w:r>
      <w:r>
        <w:rPr>
          <w:rFonts w:ascii="Times New Roman"/>
        </w:rPr>
        <w:t>m</w:t>
      </w:r>
      <w:r>
        <w:rPr>
          <w:rFonts w:ascii="Times New Roman"/>
          <w:kern w:val="2"/>
          <w:szCs w:val="21"/>
          <w:vertAlign w:val="superscript"/>
        </w:rPr>
        <w:t xml:space="preserve"> 2</w:t>
      </w:r>
      <w:r>
        <w:rPr>
          <w:rFonts w:hint="eastAsia"/>
        </w:rPr>
        <w:t>发生电火花不得超过1处。设备涂料涂层的针孔漏点每</w:t>
      </w:r>
      <w:r>
        <w:rPr>
          <w:rFonts w:ascii="Times New Roman"/>
        </w:rPr>
        <w:t>m</w:t>
      </w:r>
      <w:r>
        <w:rPr>
          <w:rFonts w:ascii="Times New Roman"/>
          <w:vertAlign w:val="superscript"/>
        </w:rPr>
        <w:t>2</w:t>
      </w:r>
      <w:r>
        <w:rPr>
          <w:rFonts w:hint="eastAsia"/>
        </w:rPr>
        <w:t>不得多于2个，管道每</w:t>
      </w:r>
      <w:r>
        <w:rPr>
          <w:rFonts w:ascii="Times New Roman"/>
        </w:rPr>
        <w:t>5m</w:t>
      </w:r>
      <w:r>
        <w:rPr>
          <w:rFonts w:hint="eastAsia"/>
        </w:rPr>
        <w:t>涂层针孔漏点不得多于1个。检测电压应根据涂料产品技术要求确定。</w:t>
      </w:r>
    </w:p>
    <w:p w14:paraId="26106386">
      <w:pPr>
        <w:pStyle w:val="59"/>
        <w:ind w:firstLine="420"/>
      </w:pPr>
      <w:r>
        <w:rPr>
          <w:rFonts w:hint="eastAsia"/>
        </w:rPr>
        <w:t>检验方法：采用涂层低电压漏涂检测仪或高电压火花检测仪检查。</w:t>
      </w:r>
    </w:p>
    <w:p w14:paraId="5DC6D389">
      <w:pPr>
        <w:pStyle w:val="59"/>
        <w:ind w:firstLine="420"/>
      </w:pPr>
      <w:r>
        <w:rPr>
          <w:rFonts w:hint="eastAsia"/>
        </w:rPr>
        <w:t>检查数量：涂层针孔测量数不应大于设计涂装构件的1%，并不得少于3件。</w:t>
      </w:r>
    </w:p>
    <w:p w14:paraId="2FAE1007">
      <w:pPr>
        <w:pStyle w:val="168"/>
      </w:pPr>
      <w:r>
        <w:rPr>
          <w:rFonts w:hint="eastAsia"/>
        </w:rPr>
        <w:t>每个涂层完工后应重点检查</w:t>
      </w:r>
      <w:r>
        <w:t>涂层外观</w:t>
      </w:r>
      <w:r>
        <w:rPr>
          <w:rFonts w:hint="eastAsia"/>
        </w:rPr>
        <w:t>，表面应光滑、平整、均匀一致，无漏涂、误涂，颜色正确且无色差，并不应有脱皮、返锈、开裂和明显的起皱、流坠、针眼和起泡等缺陷。</w:t>
      </w:r>
    </w:p>
    <w:p w14:paraId="43A9AD8A">
      <w:pPr>
        <w:pStyle w:val="59"/>
        <w:ind w:firstLine="420"/>
      </w:pPr>
      <w:r>
        <w:rPr>
          <w:rFonts w:hint="eastAsia"/>
        </w:rPr>
        <w:t>检验方法：目视观察或采用5倍～10倍放大镜检查。</w:t>
      </w:r>
    </w:p>
    <w:p w14:paraId="5F736E88">
      <w:pPr>
        <w:pStyle w:val="59"/>
        <w:ind w:firstLine="420"/>
      </w:pPr>
      <w:r>
        <w:rPr>
          <w:rFonts w:hint="eastAsia"/>
        </w:rPr>
        <w:t>检查数量：全数检查。</w:t>
      </w:r>
    </w:p>
    <w:p w14:paraId="6A644AB8">
      <w:pPr>
        <w:pStyle w:val="68"/>
        <w:spacing w:before="120" w:after="120"/>
      </w:pPr>
      <w:r>
        <w:rPr>
          <w:rFonts w:hint="eastAsia"/>
        </w:rPr>
        <w:t>特殊工况验收</w:t>
      </w:r>
    </w:p>
    <w:p w14:paraId="24936397">
      <w:pPr>
        <w:pStyle w:val="167"/>
      </w:pPr>
      <w:r>
        <w:rPr>
          <w:rFonts w:hint="eastAsia"/>
        </w:rPr>
        <w:t>高温区域（如锅炉周边、高温管道支架）涂层应制作带锈钢板试验样版进行热老化试验，试验结果应符合设计文件及产品性能规定。</w:t>
      </w:r>
    </w:p>
    <w:p w14:paraId="45605D2A">
      <w:pPr>
        <w:pStyle w:val="167"/>
        <w:sectPr>
          <w:pgSz w:w="11906" w:h="16838"/>
          <w:pgMar w:top="1928" w:right="1134" w:bottom="1134" w:left="1134" w:header="1418" w:footer="1134" w:gutter="284"/>
          <w:pgNumType w:start="1"/>
          <w:cols w:space="425" w:num="1"/>
          <w:formProt w:val="0"/>
          <w:docGrid w:linePitch="312" w:charSpace="0"/>
        </w:sectPr>
      </w:pPr>
      <w:r>
        <w:rPr>
          <w:rFonts w:hint="eastAsia"/>
        </w:rPr>
        <w:t>湿热、海洋大气或工业腐蚀环境下涂层应制作带锈钢板试验样版进行耐候性试验，包括高温湿热试验、盐雾试验、耐化学介质试验等，试验结果应符合设计文件及产品性能规定。</w:t>
      </w:r>
    </w:p>
    <w:bookmarkEnd w:id="14"/>
    <w:p w14:paraId="1CE2EEC6">
      <w:pPr>
        <w:pStyle w:val="201"/>
        <w:rPr>
          <w:rFonts w:hint="eastAsia"/>
          <w:vanish w:val="0"/>
        </w:rPr>
      </w:pPr>
      <w:bookmarkStart w:id="114" w:name="BookMark5"/>
    </w:p>
    <w:p w14:paraId="48EEE597">
      <w:pPr>
        <w:pStyle w:val="202"/>
        <w:rPr>
          <w:vanish w:val="0"/>
        </w:rPr>
      </w:pPr>
    </w:p>
    <w:p w14:paraId="0FEAAC86">
      <w:pPr>
        <w:pStyle w:val="79"/>
        <w:spacing w:after="120"/>
      </w:pPr>
      <w:r>
        <w:br w:type="textWrapping"/>
      </w:r>
      <w:bookmarkStart w:id="115" w:name="_Toc227577031"/>
      <w:r>
        <w:rPr>
          <w:rFonts w:hint="eastAsia"/>
        </w:rPr>
        <w:t>（规范性）</w:t>
      </w:r>
      <w:r>
        <w:br w:type="textWrapping"/>
      </w:r>
      <w:r>
        <w:rPr>
          <w:rFonts w:hint="eastAsia"/>
        </w:rPr>
        <w:t>基面情况方案参照表</w:t>
      </w:r>
      <w:bookmarkEnd w:id="115"/>
    </w:p>
    <w:p w14:paraId="38E93BEA">
      <w:pPr>
        <w:pStyle w:val="59"/>
        <w:ind w:firstLine="420"/>
      </w:pPr>
      <w:r>
        <w:rPr>
          <w:rFonts w:hint="eastAsia"/>
        </w:rPr>
        <w:t>带锈涂装方案应参照表A.1执行</w:t>
      </w:r>
    </w:p>
    <w:p w14:paraId="66AC526D">
      <w:pPr>
        <w:pStyle w:val="80"/>
        <w:spacing w:before="120" w:after="120"/>
      </w:pPr>
      <w:r>
        <w:rPr>
          <w:rFonts w:hint="eastAsia"/>
        </w:rPr>
        <w:t>基面情况方案参照表</w:t>
      </w:r>
    </w:p>
    <w:tbl>
      <w:tblPr>
        <w:tblStyle w:val="2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65"/>
        <w:gridCol w:w="3340"/>
        <w:gridCol w:w="2965"/>
      </w:tblGrid>
      <w:tr w14:paraId="3AA26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6" w:type="pct"/>
            <w:tcBorders>
              <w:top w:val="single" w:color="auto" w:sz="4" w:space="0"/>
              <w:left w:val="single" w:color="auto" w:sz="4" w:space="0"/>
              <w:bottom w:val="single" w:color="auto" w:sz="4" w:space="0"/>
              <w:right w:val="single" w:color="auto" w:sz="4" w:space="0"/>
            </w:tcBorders>
            <w:vAlign w:val="center"/>
          </w:tcPr>
          <w:p w14:paraId="7BE3184E">
            <w:pPr>
              <w:pStyle w:val="59"/>
              <w:ind w:firstLine="0" w:firstLineChars="0"/>
              <w:jc w:val="center"/>
            </w:pPr>
            <w:r>
              <w:rPr>
                <w:rFonts w:hint="eastAsia"/>
              </w:rPr>
              <w:t>基面情况</w:t>
            </w:r>
          </w:p>
        </w:tc>
        <w:tc>
          <w:tcPr>
            <w:tcW w:w="1745" w:type="pct"/>
            <w:tcBorders>
              <w:top w:val="single" w:color="auto" w:sz="4" w:space="0"/>
              <w:left w:val="single" w:color="auto" w:sz="4" w:space="0"/>
              <w:bottom w:val="single" w:color="auto" w:sz="4" w:space="0"/>
              <w:right w:val="single" w:color="auto" w:sz="4" w:space="0"/>
            </w:tcBorders>
            <w:vAlign w:val="center"/>
          </w:tcPr>
          <w:p w14:paraId="52285A14">
            <w:pPr>
              <w:pStyle w:val="59"/>
              <w:ind w:firstLine="0" w:firstLineChars="0"/>
              <w:jc w:val="center"/>
            </w:pPr>
            <w:r>
              <w:rPr>
                <w:rFonts w:hint="eastAsia"/>
              </w:rPr>
              <w:t>基面处理要求</w:t>
            </w:r>
          </w:p>
        </w:tc>
        <w:tc>
          <w:tcPr>
            <w:tcW w:w="1548" w:type="pct"/>
            <w:tcBorders>
              <w:top w:val="single" w:color="auto" w:sz="4" w:space="0"/>
              <w:left w:val="single" w:color="auto" w:sz="4" w:space="0"/>
              <w:bottom w:val="single" w:color="auto" w:sz="4" w:space="0"/>
              <w:right w:val="single" w:color="auto" w:sz="4" w:space="0"/>
            </w:tcBorders>
            <w:vAlign w:val="center"/>
          </w:tcPr>
          <w:p w14:paraId="711480E9">
            <w:pPr>
              <w:pStyle w:val="59"/>
              <w:ind w:firstLine="0" w:firstLineChars="0"/>
              <w:jc w:val="center"/>
            </w:pPr>
            <w:r>
              <w:rPr>
                <w:rFonts w:hint="eastAsia"/>
              </w:rPr>
              <w:t>带锈涂装材料选择</w:t>
            </w:r>
          </w:p>
        </w:tc>
      </w:tr>
      <w:tr w14:paraId="1B27A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6" w:type="pct"/>
            <w:tcBorders>
              <w:top w:val="single" w:color="auto" w:sz="4" w:space="0"/>
              <w:left w:val="single" w:color="auto" w:sz="4" w:space="0"/>
              <w:bottom w:val="single" w:color="auto" w:sz="4" w:space="0"/>
              <w:right w:val="single" w:color="auto" w:sz="4" w:space="0"/>
            </w:tcBorders>
            <w:vAlign w:val="center"/>
          </w:tcPr>
          <w:p w14:paraId="04657319">
            <w:pPr>
              <w:pStyle w:val="59"/>
              <w:ind w:firstLine="0" w:firstLineChars="0"/>
              <w:jc w:val="center"/>
            </w:pPr>
            <w:r>
              <w:rPr>
                <w:rFonts w:hint="eastAsia"/>
              </w:rPr>
              <w:t>装饰涂层粉化、褪色，原防腐涂层完好</w:t>
            </w:r>
          </w:p>
        </w:tc>
        <w:tc>
          <w:tcPr>
            <w:tcW w:w="1745" w:type="pct"/>
            <w:tcBorders>
              <w:top w:val="single" w:color="auto" w:sz="4" w:space="0"/>
              <w:left w:val="single" w:color="auto" w:sz="4" w:space="0"/>
              <w:bottom w:val="single" w:color="auto" w:sz="4" w:space="0"/>
              <w:right w:val="single" w:color="auto" w:sz="4" w:space="0"/>
            </w:tcBorders>
            <w:vAlign w:val="center"/>
          </w:tcPr>
          <w:p w14:paraId="42FD2F4B">
            <w:pPr>
              <w:pStyle w:val="59"/>
              <w:ind w:firstLine="0" w:firstLineChars="0"/>
              <w:jc w:val="center"/>
            </w:pPr>
            <w:r>
              <w:rPr>
                <w:rFonts w:hint="eastAsia"/>
              </w:rPr>
              <w:t>去除粉化层，表面保持洁净、干燥</w:t>
            </w:r>
          </w:p>
        </w:tc>
        <w:tc>
          <w:tcPr>
            <w:tcW w:w="1548" w:type="pct"/>
            <w:tcBorders>
              <w:top w:val="single" w:color="auto" w:sz="4" w:space="0"/>
              <w:left w:val="single" w:color="auto" w:sz="4" w:space="0"/>
              <w:bottom w:val="single" w:color="auto" w:sz="4" w:space="0"/>
              <w:right w:val="single" w:color="auto" w:sz="4" w:space="0"/>
            </w:tcBorders>
            <w:vAlign w:val="center"/>
          </w:tcPr>
          <w:p w14:paraId="060C2658">
            <w:pPr>
              <w:pStyle w:val="59"/>
              <w:ind w:firstLine="0" w:firstLineChars="0"/>
              <w:jc w:val="center"/>
            </w:pPr>
            <w:r>
              <w:rPr>
                <w:rFonts w:hint="eastAsia"/>
              </w:rPr>
              <w:t>高渗透界面剂+装饰面涂</w:t>
            </w:r>
          </w:p>
        </w:tc>
      </w:tr>
      <w:tr w14:paraId="72820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6" w:type="pct"/>
            <w:tcBorders>
              <w:top w:val="single" w:color="auto" w:sz="4" w:space="0"/>
              <w:left w:val="single" w:color="auto" w:sz="4" w:space="0"/>
              <w:bottom w:val="single" w:color="auto" w:sz="4" w:space="0"/>
              <w:right w:val="single" w:color="auto" w:sz="4" w:space="0"/>
            </w:tcBorders>
            <w:vAlign w:val="center"/>
          </w:tcPr>
          <w:p w14:paraId="5B1D279D">
            <w:pPr>
              <w:pStyle w:val="59"/>
              <w:ind w:firstLine="0" w:firstLineChars="0"/>
              <w:jc w:val="center"/>
            </w:pPr>
            <w:r>
              <w:rPr>
                <w:rFonts w:hint="eastAsia"/>
              </w:rPr>
              <w:t>装饰涂层粉化、开裂、起泡、起皮，原防腐涂层完好</w:t>
            </w:r>
          </w:p>
        </w:tc>
        <w:tc>
          <w:tcPr>
            <w:tcW w:w="1745" w:type="pct"/>
            <w:tcBorders>
              <w:top w:val="single" w:color="auto" w:sz="4" w:space="0"/>
              <w:left w:val="single" w:color="auto" w:sz="4" w:space="0"/>
              <w:bottom w:val="single" w:color="auto" w:sz="4" w:space="0"/>
              <w:right w:val="single" w:color="auto" w:sz="4" w:space="0"/>
            </w:tcBorders>
            <w:vAlign w:val="center"/>
          </w:tcPr>
          <w:p w14:paraId="088593E5">
            <w:pPr>
              <w:pStyle w:val="59"/>
              <w:ind w:firstLine="0" w:firstLineChars="0"/>
              <w:jc w:val="center"/>
            </w:pPr>
            <w:r>
              <w:rPr>
                <w:rFonts w:hint="eastAsia"/>
              </w:rPr>
              <w:t>打磨去除老旧装饰层</w:t>
            </w:r>
          </w:p>
        </w:tc>
        <w:tc>
          <w:tcPr>
            <w:tcW w:w="1548" w:type="pct"/>
            <w:tcBorders>
              <w:top w:val="single" w:color="auto" w:sz="4" w:space="0"/>
              <w:left w:val="single" w:color="auto" w:sz="4" w:space="0"/>
              <w:bottom w:val="single" w:color="auto" w:sz="4" w:space="0"/>
              <w:right w:val="single" w:color="auto" w:sz="4" w:space="0"/>
            </w:tcBorders>
            <w:vAlign w:val="center"/>
          </w:tcPr>
          <w:p w14:paraId="07877436">
            <w:pPr>
              <w:pStyle w:val="59"/>
              <w:ind w:firstLine="0" w:firstLineChars="0"/>
              <w:jc w:val="center"/>
            </w:pPr>
            <w:r>
              <w:rPr>
                <w:rFonts w:hint="eastAsia"/>
              </w:rPr>
              <w:t>高渗透界面剂+装饰面涂</w:t>
            </w:r>
          </w:p>
        </w:tc>
      </w:tr>
      <w:tr w14:paraId="77A18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6" w:type="pct"/>
            <w:tcBorders>
              <w:top w:val="single" w:color="auto" w:sz="4" w:space="0"/>
              <w:left w:val="single" w:color="auto" w:sz="4" w:space="0"/>
              <w:bottom w:val="single" w:color="auto" w:sz="4" w:space="0"/>
              <w:right w:val="single" w:color="auto" w:sz="4" w:space="0"/>
            </w:tcBorders>
            <w:vAlign w:val="center"/>
          </w:tcPr>
          <w:p w14:paraId="00957CAD">
            <w:pPr>
              <w:pStyle w:val="59"/>
              <w:ind w:firstLine="0" w:firstLineChars="0"/>
              <w:jc w:val="center"/>
            </w:pPr>
            <w:r>
              <w:rPr>
                <w:rFonts w:hint="eastAsia"/>
              </w:rPr>
              <w:t>钢构件表面开始出现轻微锈蚀，锈蚀层厚度不大于200μm</w:t>
            </w:r>
          </w:p>
        </w:tc>
        <w:tc>
          <w:tcPr>
            <w:tcW w:w="1745" w:type="pct"/>
            <w:tcBorders>
              <w:top w:val="single" w:color="auto" w:sz="4" w:space="0"/>
              <w:left w:val="single" w:color="auto" w:sz="4" w:space="0"/>
              <w:bottom w:val="single" w:color="auto" w:sz="4" w:space="0"/>
              <w:right w:val="single" w:color="auto" w:sz="4" w:space="0"/>
            </w:tcBorders>
            <w:vAlign w:val="center"/>
          </w:tcPr>
          <w:p w14:paraId="01DCA522">
            <w:pPr>
              <w:pStyle w:val="59"/>
              <w:ind w:firstLine="0" w:firstLineChars="0"/>
              <w:jc w:val="center"/>
            </w:pPr>
            <w:r>
              <w:rPr>
                <w:rFonts w:hint="eastAsia"/>
              </w:rPr>
              <w:t>去除松动、开裂、鼓泡涂层和浮锈，表面保持洁净、干燥</w:t>
            </w:r>
          </w:p>
        </w:tc>
        <w:tc>
          <w:tcPr>
            <w:tcW w:w="1548" w:type="pct"/>
            <w:tcBorders>
              <w:top w:val="single" w:color="auto" w:sz="4" w:space="0"/>
              <w:left w:val="single" w:color="auto" w:sz="4" w:space="0"/>
              <w:bottom w:val="single" w:color="auto" w:sz="4" w:space="0"/>
              <w:right w:val="single" w:color="auto" w:sz="4" w:space="0"/>
            </w:tcBorders>
            <w:vAlign w:val="center"/>
          </w:tcPr>
          <w:p w14:paraId="08B7CA3F">
            <w:pPr>
              <w:pStyle w:val="59"/>
              <w:ind w:firstLine="0" w:firstLineChars="0"/>
              <w:jc w:val="center"/>
            </w:pPr>
            <w:r>
              <w:rPr>
                <w:rFonts w:hint="eastAsia"/>
              </w:rPr>
              <w:t>带锈涂装底漆+屏蔽中间层+装饰面涂</w:t>
            </w:r>
          </w:p>
          <w:p w14:paraId="0DD6770A">
            <w:pPr>
              <w:pStyle w:val="59"/>
              <w:ind w:firstLine="0" w:firstLineChars="0"/>
              <w:jc w:val="center"/>
            </w:pPr>
            <w:r>
              <w:rPr>
                <w:rFonts w:hint="eastAsia"/>
              </w:rPr>
              <w:t>带锈涂装底面合一材料</w:t>
            </w:r>
          </w:p>
        </w:tc>
      </w:tr>
      <w:tr w14:paraId="6411F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6" w:type="pct"/>
            <w:tcBorders>
              <w:top w:val="single" w:color="auto" w:sz="4" w:space="0"/>
              <w:left w:val="single" w:color="auto" w:sz="4" w:space="0"/>
              <w:bottom w:val="single" w:color="auto" w:sz="4" w:space="0"/>
              <w:right w:val="single" w:color="auto" w:sz="4" w:space="0"/>
            </w:tcBorders>
            <w:vAlign w:val="center"/>
          </w:tcPr>
          <w:p w14:paraId="0A2801EF">
            <w:pPr>
              <w:pStyle w:val="59"/>
              <w:ind w:firstLine="0" w:firstLineChars="0"/>
              <w:jc w:val="center"/>
            </w:pPr>
            <w:r>
              <w:rPr>
                <w:rFonts w:hint="eastAsia"/>
              </w:rPr>
              <w:t>钢构件表面开始出现严重锈蚀，锈蚀层厚度大于200μm</w:t>
            </w:r>
          </w:p>
        </w:tc>
        <w:tc>
          <w:tcPr>
            <w:tcW w:w="1745" w:type="pct"/>
            <w:tcBorders>
              <w:top w:val="single" w:color="auto" w:sz="4" w:space="0"/>
              <w:left w:val="single" w:color="auto" w:sz="4" w:space="0"/>
              <w:bottom w:val="single" w:color="auto" w:sz="4" w:space="0"/>
              <w:right w:val="single" w:color="auto" w:sz="4" w:space="0"/>
            </w:tcBorders>
            <w:vAlign w:val="center"/>
          </w:tcPr>
          <w:p w14:paraId="3BDEE6D8">
            <w:pPr>
              <w:pStyle w:val="59"/>
              <w:ind w:firstLine="0" w:firstLineChars="0"/>
              <w:jc w:val="center"/>
            </w:pPr>
            <w:r>
              <w:rPr>
                <w:rFonts w:hint="eastAsia"/>
              </w:rPr>
              <w:t>轻度喷砂至Sa1或手工打磨至St2级</w:t>
            </w:r>
          </w:p>
        </w:tc>
        <w:tc>
          <w:tcPr>
            <w:tcW w:w="1548" w:type="pct"/>
            <w:tcBorders>
              <w:top w:val="single" w:color="auto" w:sz="4" w:space="0"/>
              <w:left w:val="single" w:color="auto" w:sz="4" w:space="0"/>
              <w:bottom w:val="single" w:color="auto" w:sz="4" w:space="0"/>
              <w:right w:val="single" w:color="auto" w:sz="4" w:space="0"/>
            </w:tcBorders>
            <w:vAlign w:val="center"/>
          </w:tcPr>
          <w:p w14:paraId="714ACF12">
            <w:pPr>
              <w:pStyle w:val="59"/>
              <w:ind w:firstLine="0" w:firstLineChars="0"/>
              <w:jc w:val="center"/>
            </w:pPr>
            <w:r>
              <w:rPr>
                <w:rFonts w:hint="eastAsia"/>
              </w:rPr>
              <w:t>带锈涂装底漆+屏蔽中间层+装饰面涂</w:t>
            </w:r>
          </w:p>
          <w:p w14:paraId="5DF6E73D">
            <w:pPr>
              <w:pStyle w:val="59"/>
              <w:ind w:firstLine="0" w:firstLineChars="0"/>
              <w:jc w:val="center"/>
            </w:pPr>
            <w:r>
              <w:rPr>
                <w:rFonts w:hint="eastAsia"/>
              </w:rPr>
              <w:t>带锈涂装底面合一材料</w:t>
            </w:r>
          </w:p>
        </w:tc>
      </w:tr>
      <w:tr w14:paraId="0352D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14:paraId="20915ABD">
            <w:pPr>
              <w:pStyle w:val="59"/>
              <w:ind w:firstLine="0" w:firstLineChars="0"/>
            </w:pPr>
            <w:r>
              <w:rPr>
                <w:rFonts w:hint="eastAsia"/>
              </w:rPr>
              <w:t>注：原防腐层为富锌涂层或镀锌层时，不应在原涂层上采用酸性带锈涂料</w:t>
            </w:r>
          </w:p>
        </w:tc>
      </w:tr>
    </w:tbl>
    <w:p w14:paraId="1BF27466">
      <w:pPr>
        <w:pStyle w:val="59"/>
        <w:ind w:firstLine="420"/>
      </w:pPr>
    </w:p>
    <w:p w14:paraId="3F683F67">
      <w:pPr>
        <w:pStyle w:val="59"/>
        <w:ind w:firstLine="420"/>
      </w:pPr>
    </w:p>
    <w:p w14:paraId="1D5534CD">
      <w:pPr>
        <w:pStyle w:val="59"/>
        <w:ind w:firstLine="420"/>
      </w:pPr>
    </w:p>
    <w:p w14:paraId="68D762E7">
      <w:pPr>
        <w:pStyle w:val="59"/>
        <w:ind w:firstLine="420"/>
      </w:pPr>
    </w:p>
    <w:p w14:paraId="29FA2E3B">
      <w:pPr>
        <w:pStyle w:val="167"/>
        <w:sectPr>
          <w:pgSz w:w="11906" w:h="16838"/>
          <w:pgMar w:top="1928" w:right="1134" w:bottom="1134" w:left="1134" w:header="1418" w:footer="1134" w:gutter="284"/>
          <w:cols w:space="425" w:num="1"/>
          <w:formProt w:val="0"/>
          <w:docGrid w:linePitch="312" w:charSpace="0"/>
        </w:sectPr>
      </w:pPr>
    </w:p>
    <w:p w14:paraId="7DCC6000">
      <w:pPr>
        <w:pStyle w:val="201"/>
        <w:rPr>
          <w:rFonts w:hint="eastAsia"/>
          <w:vanish w:val="0"/>
        </w:rPr>
      </w:pPr>
    </w:p>
    <w:p w14:paraId="248BE6A6">
      <w:pPr>
        <w:pStyle w:val="202"/>
        <w:rPr>
          <w:vanish w:val="0"/>
        </w:rPr>
      </w:pPr>
    </w:p>
    <w:p w14:paraId="261C3184">
      <w:pPr>
        <w:pStyle w:val="79"/>
        <w:spacing w:after="120"/>
      </w:pPr>
      <w:r>
        <w:br w:type="textWrapping"/>
      </w:r>
      <w:bookmarkStart w:id="116" w:name="_Toc223697445"/>
      <w:bookmarkStart w:id="117" w:name="_Toc225345387"/>
      <w:bookmarkStart w:id="118" w:name="_Toc223697475"/>
      <w:bookmarkStart w:id="119" w:name="_Toc227569875"/>
      <w:bookmarkStart w:id="120" w:name="_Toc226548551"/>
      <w:bookmarkStart w:id="121" w:name="_Toc223708334"/>
      <w:bookmarkStart w:id="122" w:name="_Toc227577032"/>
      <w:r>
        <w:rPr>
          <w:rFonts w:hint="eastAsia"/>
        </w:rPr>
        <w:t>（规范性）</w:t>
      </w:r>
      <w:r>
        <w:br w:type="textWrapping"/>
      </w:r>
      <w:r>
        <w:rPr>
          <w:rFonts w:hint="eastAsia"/>
        </w:rPr>
        <w:t>常用防腐涂层配套</w:t>
      </w:r>
      <w:bookmarkEnd w:id="116"/>
      <w:bookmarkEnd w:id="117"/>
      <w:bookmarkEnd w:id="118"/>
      <w:bookmarkEnd w:id="119"/>
      <w:bookmarkEnd w:id="120"/>
      <w:bookmarkEnd w:id="121"/>
      <w:bookmarkEnd w:id="122"/>
    </w:p>
    <w:p w14:paraId="22A46C2C">
      <w:pPr>
        <w:pStyle w:val="59"/>
        <w:ind w:firstLine="420"/>
      </w:pPr>
      <w:r>
        <w:rPr>
          <w:rFonts w:hint="eastAsia"/>
        </w:rPr>
        <w:t>钢构件带锈涂装涂层构造可参照表B</w:t>
      </w:r>
      <w:r>
        <w:t>.1</w:t>
      </w:r>
      <w:r>
        <w:rPr>
          <w:rFonts w:hint="eastAsia"/>
        </w:rPr>
        <w:t>至B</w:t>
      </w:r>
      <w:r>
        <w:t>.3</w:t>
      </w:r>
      <w:r>
        <w:rPr>
          <w:rFonts w:hint="eastAsia"/>
        </w:rPr>
        <w:t>。</w:t>
      </w:r>
    </w:p>
    <w:p w14:paraId="18D697F2">
      <w:pPr>
        <w:pStyle w:val="80"/>
        <w:spacing w:before="120" w:after="120"/>
      </w:pPr>
      <w:r>
        <w:rPr>
          <w:rFonts w:hint="eastAsia"/>
        </w:rPr>
        <w:t>C1</w:t>
      </w:r>
      <w:r>
        <w:t>至C3腐蚀环境</w:t>
      </w:r>
      <w:r>
        <w:rPr>
          <w:rFonts w:hint="eastAsia"/>
        </w:rPr>
        <w:t>等级</w:t>
      </w:r>
      <w:r>
        <w:t>钢</w:t>
      </w:r>
      <w:r>
        <w:rPr>
          <w:rFonts w:hint="eastAsia"/>
        </w:rPr>
        <w:t>构件防腐涂层配套</w:t>
      </w:r>
    </w:p>
    <w:tbl>
      <w:tblPr>
        <w:tblStyle w:val="237"/>
        <w:tblW w:w="4994"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239"/>
        <w:gridCol w:w="891"/>
        <w:gridCol w:w="1226"/>
        <w:gridCol w:w="2908"/>
        <w:gridCol w:w="2308"/>
        <w:gridCol w:w="987"/>
      </w:tblGrid>
      <w:tr w14:paraId="298344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5" w:hRule="atLeast"/>
          <w:jc w:val="center"/>
        </w:trPr>
        <w:tc>
          <w:tcPr>
            <w:tcW w:w="648" w:type="pct"/>
            <w:vMerge w:val="restart"/>
            <w:tcBorders>
              <w:top w:val="single" w:color="auto" w:sz="4" w:space="0"/>
              <w:left w:val="single" w:color="auto" w:sz="4" w:space="0"/>
              <w:bottom w:val="single" w:color="auto" w:sz="4" w:space="0"/>
              <w:right w:val="single" w:color="auto" w:sz="4" w:space="0"/>
            </w:tcBorders>
            <w:vAlign w:val="center"/>
          </w:tcPr>
          <w:p w14:paraId="7B8FEF16">
            <w:pPr>
              <w:pStyle w:val="59"/>
              <w:ind w:firstLine="0" w:firstLineChars="0"/>
              <w:jc w:val="center"/>
              <w:rPr>
                <w:rFonts w:eastAsia="Times New Roman"/>
                <w:szCs w:val="21"/>
              </w:rPr>
            </w:pPr>
            <w:r>
              <w:rPr>
                <w:rFonts w:hint="eastAsia" w:ascii="宋体" w:hAnsi="宋体" w:eastAsia="Times New Roman"/>
              </w:rPr>
              <w:t>设计工作</w:t>
            </w:r>
          </w:p>
          <w:p w14:paraId="5BD40677">
            <w:pPr>
              <w:pStyle w:val="59"/>
              <w:ind w:firstLine="0" w:firstLineChars="0"/>
              <w:jc w:val="center"/>
              <w:rPr>
                <w:rFonts w:eastAsia="Times New Roman"/>
              </w:rPr>
            </w:pPr>
            <w:r>
              <w:rPr>
                <w:rFonts w:hint="eastAsia" w:ascii="宋体" w:hAnsi="宋体" w:eastAsia="Times New Roman"/>
              </w:rPr>
              <w:t>年限（</w:t>
            </w:r>
            <w:r>
              <w:rPr>
                <w:rFonts w:hint="eastAsia" w:eastAsia="Times New Roman"/>
              </w:rPr>
              <w:t>a</w:t>
            </w:r>
            <w:r>
              <w:rPr>
                <w:rFonts w:hint="eastAsia" w:ascii="宋体" w:hAnsi="宋体" w:eastAsia="Times New Roman"/>
              </w:rPr>
              <w:t>）</w:t>
            </w:r>
          </w:p>
        </w:tc>
        <w:tc>
          <w:tcPr>
            <w:tcW w:w="466" w:type="pct"/>
            <w:vMerge w:val="restart"/>
            <w:tcBorders>
              <w:top w:val="single" w:color="auto" w:sz="4" w:space="0"/>
              <w:left w:val="nil"/>
              <w:bottom w:val="single" w:color="auto" w:sz="4" w:space="0"/>
              <w:right w:val="single" w:color="auto" w:sz="4" w:space="0"/>
            </w:tcBorders>
            <w:vAlign w:val="center"/>
          </w:tcPr>
          <w:p w14:paraId="7008FD96">
            <w:pPr>
              <w:pStyle w:val="59"/>
              <w:ind w:firstLine="0" w:firstLineChars="0"/>
              <w:jc w:val="center"/>
              <w:rPr>
                <w:rFonts w:eastAsia="Times New Roman"/>
              </w:rPr>
            </w:pPr>
            <w:r>
              <w:rPr>
                <w:rFonts w:hint="eastAsia" w:ascii="宋体" w:hAnsi="宋体" w:eastAsia="Times New Roman"/>
              </w:rPr>
              <w:t>涂层</w:t>
            </w:r>
          </w:p>
          <w:p w14:paraId="23F55516">
            <w:pPr>
              <w:pStyle w:val="59"/>
              <w:ind w:firstLine="0" w:firstLineChars="0"/>
              <w:jc w:val="center"/>
              <w:rPr>
                <w:rFonts w:eastAsia="Times New Roman"/>
              </w:rPr>
            </w:pPr>
            <w:r>
              <w:rPr>
                <w:rFonts w:hint="eastAsia" w:ascii="宋体" w:hAnsi="宋体" w:eastAsia="Times New Roman"/>
              </w:rPr>
              <w:t>总厚度</w:t>
            </w:r>
          </w:p>
          <w:p w14:paraId="15CDEE8F">
            <w:pPr>
              <w:pStyle w:val="59"/>
              <w:ind w:firstLine="0" w:firstLineChars="0"/>
              <w:jc w:val="center"/>
              <w:rPr>
                <w:rFonts w:eastAsia="Times New Roman"/>
              </w:rPr>
            </w:pPr>
            <w:r>
              <w:rPr>
                <w:rFonts w:hint="eastAsia" w:ascii="宋体" w:hAnsi="宋体" w:eastAsia="Times New Roman"/>
              </w:rPr>
              <w:t>μ</w:t>
            </w:r>
            <w:r>
              <w:rPr>
                <w:rFonts w:hint="eastAsia" w:eastAsia="Times New Roman"/>
              </w:rPr>
              <w:t>m</w:t>
            </w:r>
          </w:p>
        </w:tc>
        <w:tc>
          <w:tcPr>
            <w:tcW w:w="641" w:type="pct"/>
            <w:vMerge w:val="restart"/>
            <w:tcBorders>
              <w:top w:val="single" w:color="auto" w:sz="4" w:space="0"/>
              <w:left w:val="nil"/>
              <w:bottom w:val="single" w:color="auto" w:sz="4" w:space="0"/>
              <w:right w:val="single" w:color="auto" w:sz="4" w:space="0"/>
            </w:tcBorders>
            <w:vAlign w:val="center"/>
          </w:tcPr>
          <w:p w14:paraId="184594F4">
            <w:pPr>
              <w:pStyle w:val="59"/>
              <w:ind w:firstLine="0" w:firstLineChars="0"/>
              <w:jc w:val="center"/>
              <w:rPr>
                <w:rFonts w:eastAsia="Times New Roman"/>
              </w:rPr>
            </w:pPr>
            <w:r>
              <w:rPr>
                <w:rFonts w:hint="eastAsia" w:ascii="宋体" w:hAnsi="宋体" w:eastAsia="Times New Roman"/>
              </w:rPr>
              <w:t>构造类型</w:t>
            </w:r>
          </w:p>
        </w:tc>
        <w:tc>
          <w:tcPr>
            <w:tcW w:w="3244" w:type="pct"/>
            <w:gridSpan w:val="3"/>
            <w:tcBorders>
              <w:top w:val="single" w:color="auto" w:sz="4" w:space="0"/>
              <w:left w:val="nil"/>
              <w:bottom w:val="single" w:color="auto" w:sz="4" w:space="0"/>
              <w:right w:val="single" w:color="auto" w:sz="4" w:space="0"/>
            </w:tcBorders>
            <w:vAlign w:val="center"/>
          </w:tcPr>
          <w:p w14:paraId="4070268A">
            <w:pPr>
              <w:pStyle w:val="59"/>
              <w:ind w:firstLine="0" w:firstLineChars="0"/>
              <w:jc w:val="center"/>
              <w:rPr>
                <w:rFonts w:ascii="宋体" w:hAnsi="宋体" w:eastAsia="Times New Roman"/>
              </w:rPr>
            </w:pPr>
            <w:r>
              <w:rPr>
                <w:rFonts w:hint="eastAsia" w:ascii="宋体" w:hAnsi="宋体" w:eastAsia="Times New Roman"/>
              </w:rPr>
              <w:t>带锈涂装</w:t>
            </w:r>
          </w:p>
        </w:tc>
      </w:tr>
      <w:tr w14:paraId="2CA53B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5" w:hRule="atLeast"/>
          <w:jc w:val="center"/>
        </w:trPr>
        <w:tc>
          <w:tcPr>
            <w:tcW w:w="648" w:type="pct"/>
            <w:vMerge w:val="continue"/>
            <w:tcBorders>
              <w:top w:val="single" w:color="auto" w:sz="4" w:space="0"/>
              <w:left w:val="single" w:color="auto" w:sz="4" w:space="0"/>
              <w:bottom w:val="single" w:color="auto" w:sz="4" w:space="0"/>
              <w:right w:val="single" w:color="auto" w:sz="4" w:space="0"/>
            </w:tcBorders>
            <w:vAlign w:val="center"/>
          </w:tcPr>
          <w:p w14:paraId="2BD7020A">
            <w:pPr>
              <w:widowControl/>
              <w:adjustRightInd/>
              <w:spacing w:line="240" w:lineRule="auto"/>
              <w:jc w:val="center"/>
              <w:rPr>
                <w:rFonts w:ascii="Times New Roman" w:hAnsi="Times New Roman" w:eastAsia="Times New Roman"/>
                <w:kern w:val="0"/>
              </w:rPr>
            </w:pPr>
          </w:p>
        </w:tc>
        <w:tc>
          <w:tcPr>
            <w:tcW w:w="466" w:type="pct"/>
            <w:vMerge w:val="continue"/>
            <w:tcBorders>
              <w:top w:val="single" w:color="auto" w:sz="4" w:space="0"/>
              <w:left w:val="nil"/>
              <w:bottom w:val="single" w:color="auto" w:sz="4" w:space="0"/>
              <w:right w:val="single" w:color="auto" w:sz="4" w:space="0"/>
            </w:tcBorders>
            <w:vAlign w:val="center"/>
          </w:tcPr>
          <w:p w14:paraId="72760682">
            <w:pPr>
              <w:widowControl/>
              <w:adjustRightInd/>
              <w:spacing w:line="240" w:lineRule="auto"/>
              <w:jc w:val="center"/>
              <w:rPr>
                <w:rFonts w:ascii="Times New Roman" w:hAnsi="Times New Roman" w:eastAsia="Times New Roman"/>
                <w:kern w:val="0"/>
              </w:rPr>
            </w:pPr>
          </w:p>
        </w:tc>
        <w:tc>
          <w:tcPr>
            <w:tcW w:w="641" w:type="pct"/>
            <w:vMerge w:val="continue"/>
            <w:tcBorders>
              <w:top w:val="single" w:color="auto" w:sz="4" w:space="0"/>
              <w:left w:val="nil"/>
              <w:bottom w:val="single" w:color="auto" w:sz="4" w:space="0"/>
              <w:right w:val="single" w:color="auto" w:sz="4" w:space="0"/>
            </w:tcBorders>
            <w:vAlign w:val="center"/>
          </w:tcPr>
          <w:p w14:paraId="34E49101">
            <w:pPr>
              <w:widowControl/>
              <w:adjustRightInd/>
              <w:spacing w:line="240" w:lineRule="auto"/>
              <w:jc w:val="center"/>
              <w:rPr>
                <w:rFonts w:ascii="Times New Roman" w:hAnsi="Times New Roman" w:eastAsia="Times New Roman"/>
                <w:kern w:val="0"/>
              </w:rPr>
            </w:pPr>
          </w:p>
        </w:tc>
        <w:tc>
          <w:tcPr>
            <w:tcW w:w="1521" w:type="pct"/>
            <w:tcBorders>
              <w:top w:val="single" w:color="auto" w:sz="4" w:space="0"/>
              <w:left w:val="nil"/>
              <w:bottom w:val="single" w:color="auto" w:sz="4" w:space="0"/>
              <w:right w:val="single" w:color="auto" w:sz="4" w:space="0"/>
            </w:tcBorders>
            <w:vAlign w:val="center"/>
          </w:tcPr>
          <w:p w14:paraId="3F9B9CDE">
            <w:pPr>
              <w:pStyle w:val="59"/>
              <w:ind w:firstLine="0" w:firstLineChars="0"/>
              <w:jc w:val="center"/>
              <w:rPr>
                <w:rFonts w:eastAsia="Times New Roman"/>
              </w:rPr>
            </w:pPr>
            <w:r>
              <w:rPr>
                <w:rFonts w:hint="eastAsia" w:ascii="宋体" w:hAnsi="宋体" w:eastAsia="Times New Roman"/>
              </w:rPr>
              <w:t>材料</w:t>
            </w:r>
          </w:p>
        </w:tc>
        <w:tc>
          <w:tcPr>
            <w:tcW w:w="1207" w:type="pct"/>
            <w:tcBorders>
              <w:top w:val="single" w:color="auto" w:sz="4" w:space="0"/>
              <w:left w:val="nil"/>
              <w:bottom w:val="single" w:color="auto" w:sz="4" w:space="0"/>
              <w:right w:val="single" w:color="auto" w:sz="4" w:space="0"/>
            </w:tcBorders>
            <w:vAlign w:val="center"/>
          </w:tcPr>
          <w:p w14:paraId="4FDDD1C1">
            <w:pPr>
              <w:pStyle w:val="59"/>
              <w:ind w:firstLine="0" w:firstLineChars="0"/>
              <w:jc w:val="center"/>
              <w:rPr>
                <w:rFonts w:eastAsia="Times New Roman"/>
              </w:rPr>
            </w:pPr>
            <w:r>
              <w:rPr>
                <w:rFonts w:hint="eastAsia" w:ascii="宋体" w:hAnsi="宋体" w:eastAsia="Times New Roman"/>
              </w:rPr>
              <w:t>最小干膜厚度</w:t>
            </w:r>
          </w:p>
          <w:p w14:paraId="0BC4C28A">
            <w:pPr>
              <w:pStyle w:val="59"/>
              <w:ind w:firstLine="0" w:firstLineChars="0"/>
              <w:jc w:val="center"/>
              <w:rPr>
                <w:rFonts w:eastAsia="Times New Roman"/>
              </w:rPr>
            </w:pPr>
            <w:r>
              <w:rPr>
                <w:rFonts w:hint="eastAsia" w:ascii="宋体" w:hAnsi="宋体" w:eastAsia="Times New Roman"/>
              </w:rPr>
              <w:t>μ</w:t>
            </w:r>
            <w:r>
              <w:rPr>
                <w:rFonts w:hint="eastAsia" w:eastAsia="Times New Roman"/>
              </w:rPr>
              <w:t>m</w:t>
            </w:r>
          </w:p>
        </w:tc>
        <w:tc>
          <w:tcPr>
            <w:tcW w:w="516" w:type="pct"/>
            <w:tcBorders>
              <w:top w:val="single" w:color="auto" w:sz="4" w:space="0"/>
              <w:left w:val="nil"/>
              <w:bottom w:val="single" w:color="auto" w:sz="4" w:space="0"/>
              <w:right w:val="single" w:color="auto" w:sz="4" w:space="0"/>
            </w:tcBorders>
            <w:vAlign w:val="center"/>
          </w:tcPr>
          <w:p w14:paraId="1667F16A">
            <w:pPr>
              <w:pStyle w:val="59"/>
              <w:ind w:firstLine="0" w:firstLineChars="0"/>
              <w:jc w:val="center"/>
              <w:rPr>
                <w:rFonts w:hint="eastAsia" w:ascii="宋体" w:hAnsi="宋体" w:eastAsia="Times New Roman"/>
              </w:rPr>
            </w:pPr>
            <w:r>
              <w:rPr>
                <w:rFonts w:hint="eastAsia" w:ascii="宋体" w:hAnsi="宋体" w:eastAsia="Times New Roman"/>
              </w:rPr>
              <w:t>道数</w:t>
            </w:r>
          </w:p>
        </w:tc>
      </w:tr>
      <w:tr w14:paraId="1C1559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5" w:hRule="atLeast"/>
          <w:jc w:val="center"/>
        </w:trPr>
        <w:tc>
          <w:tcPr>
            <w:tcW w:w="648" w:type="pct"/>
            <w:vMerge w:val="restart"/>
            <w:tcBorders>
              <w:top w:val="nil"/>
              <w:left w:val="single" w:color="auto" w:sz="4" w:space="0"/>
              <w:bottom w:val="single" w:color="auto" w:sz="4" w:space="0"/>
              <w:right w:val="single" w:color="auto" w:sz="4" w:space="0"/>
            </w:tcBorders>
            <w:vAlign w:val="center"/>
          </w:tcPr>
          <w:p w14:paraId="59F0848A">
            <w:pPr>
              <w:pStyle w:val="59"/>
              <w:ind w:firstLine="0" w:firstLineChars="0"/>
              <w:jc w:val="center"/>
              <w:rPr>
                <w:rFonts w:eastAsia="Times New Roman"/>
              </w:rPr>
            </w:pPr>
            <w:r>
              <w:rPr>
                <w:rFonts w:hint="eastAsia" w:eastAsia="Times New Roman"/>
              </w:rPr>
              <w:t>8</w:t>
            </w:r>
            <w:r>
              <w:rPr>
                <w:rFonts w:hint="eastAsia" w:ascii="宋体" w:hAnsi="宋体" w:eastAsia="Times New Roman"/>
              </w:rPr>
              <w:t>≤</w:t>
            </w:r>
            <w:r>
              <w:rPr>
                <w:rFonts w:hint="eastAsia" w:eastAsia="Times New Roman"/>
              </w:rPr>
              <w:t>a</w:t>
            </w:r>
            <w:r>
              <w:rPr>
                <w:rFonts w:hint="eastAsia" w:ascii="宋体" w:hAnsi="宋体" w:eastAsia="Times New Roman"/>
              </w:rPr>
              <w:t>＜</w:t>
            </w:r>
            <w:r>
              <w:rPr>
                <w:rFonts w:eastAsia="Times New Roman"/>
              </w:rPr>
              <w:t>10</w:t>
            </w:r>
          </w:p>
        </w:tc>
        <w:tc>
          <w:tcPr>
            <w:tcW w:w="466" w:type="pct"/>
            <w:vMerge w:val="restart"/>
            <w:tcBorders>
              <w:top w:val="nil"/>
              <w:left w:val="nil"/>
              <w:bottom w:val="single" w:color="auto" w:sz="4" w:space="0"/>
              <w:right w:val="single" w:color="auto" w:sz="4" w:space="0"/>
            </w:tcBorders>
            <w:vAlign w:val="center"/>
          </w:tcPr>
          <w:p w14:paraId="7B1990A6">
            <w:pPr>
              <w:pStyle w:val="59"/>
              <w:ind w:firstLine="0" w:firstLineChars="0"/>
              <w:jc w:val="center"/>
              <w:rPr>
                <w:rFonts w:eastAsia="Times New Roman"/>
              </w:rPr>
            </w:pPr>
            <w:r>
              <w:rPr>
                <w:rFonts w:eastAsia="Times New Roman"/>
              </w:rPr>
              <w:t>1</w:t>
            </w:r>
            <w:r>
              <w:rPr>
                <w:rFonts w:hint="eastAsia" w:eastAsia="Times New Roman"/>
              </w:rPr>
              <w:t>30</w:t>
            </w:r>
          </w:p>
        </w:tc>
        <w:tc>
          <w:tcPr>
            <w:tcW w:w="641" w:type="pct"/>
            <w:vMerge w:val="restart"/>
            <w:tcBorders>
              <w:top w:val="nil"/>
              <w:left w:val="nil"/>
              <w:bottom w:val="single" w:color="auto" w:sz="4" w:space="0"/>
              <w:right w:val="single" w:color="auto" w:sz="4" w:space="0"/>
            </w:tcBorders>
            <w:vAlign w:val="center"/>
          </w:tcPr>
          <w:p w14:paraId="1ECF2D70">
            <w:pPr>
              <w:pStyle w:val="59"/>
              <w:ind w:firstLine="0" w:firstLineChars="0"/>
              <w:jc w:val="center"/>
              <w:rPr>
                <w:rFonts w:eastAsia="Times New Roman"/>
              </w:rPr>
            </w:pPr>
            <w:r>
              <w:rPr>
                <w:rFonts w:hint="eastAsia" w:ascii="宋体" w:hAnsi="宋体" w:eastAsia="Times New Roman"/>
              </w:rPr>
              <w:t>构造一</w:t>
            </w:r>
          </w:p>
        </w:tc>
        <w:tc>
          <w:tcPr>
            <w:tcW w:w="1521" w:type="pct"/>
            <w:tcBorders>
              <w:top w:val="single" w:color="auto" w:sz="4" w:space="0"/>
              <w:left w:val="nil"/>
              <w:bottom w:val="single" w:color="auto" w:sz="4" w:space="0"/>
              <w:right w:val="single" w:color="auto" w:sz="4" w:space="0"/>
            </w:tcBorders>
            <w:vAlign w:val="center"/>
          </w:tcPr>
          <w:p w14:paraId="0D0EE25B">
            <w:pPr>
              <w:pStyle w:val="59"/>
              <w:ind w:firstLine="0" w:firstLineChars="0"/>
              <w:jc w:val="center"/>
              <w:rPr>
                <w:rFonts w:eastAsia="Times New Roman"/>
              </w:rPr>
            </w:pPr>
            <w:r>
              <w:rPr>
                <w:rFonts w:hint="eastAsia" w:ascii="宋体" w:hAnsi="宋体" w:eastAsia="Times New Roman"/>
              </w:rPr>
              <w:t>带锈涂装底漆</w:t>
            </w:r>
          </w:p>
        </w:tc>
        <w:tc>
          <w:tcPr>
            <w:tcW w:w="1207" w:type="pct"/>
            <w:tcBorders>
              <w:top w:val="single" w:color="auto" w:sz="4" w:space="0"/>
              <w:left w:val="nil"/>
              <w:bottom w:val="single" w:color="auto" w:sz="4" w:space="0"/>
              <w:right w:val="single" w:color="auto" w:sz="4" w:space="0"/>
            </w:tcBorders>
            <w:vAlign w:val="center"/>
          </w:tcPr>
          <w:p w14:paraId="0F0E672C">
            <w:pPr>
              <w:pStyle w:val="59"/>
              <w:ind w:firstLine="0" w:firstLineChars="0"/>
              <w:jc w:val="center"/>
              <w:rPr>
                <w:rFonts w:eastAsia="Times New Roman"/>
              </w:rPr>
            </w:pPr>
            <w:r>
              <w:rPr>
                <w:rFonts w:eastAsia="Times New Roman"/>
              </w:rPr>
              <w:t>30</w:t>
            </w:r>
          </w:p>
        </w:tc>
        <w:tc>
          <w:tcPr>
            <w:tcW w:w="516" w:type="pct"/>
            <w:tcBorders>
              <w:top w:val="single" w:color="auto" w:sz="4" w:space="0"/>
              <w:left w:val="nil"/>
              <w:bottom w:val="single" w:color="auto" w:sz="4" w:space="0"/>
              <w:right w:val="single" w:color="auto" w:sz="4" w:space="0"/>
            </w:tcBorders>
            <w:vAlign w:val="center"/>
          </w:tcPr>
          <w:p w14:paraId="3698B99C">
            <w:pPr>
              <w:pStyle w:val="59"/>
              <w:ind w:firstLine="0" w:firstLineChars="0"/>
              <w:jc w:val="center"/>
              <w:rPr>
                <w:rFonts w:eastAsia="Times New Roman"/>
              </w:rPr>
            </w:pPr>
            <w:r>
              <w:rPr>
                <w:rFonts w:hint="eastAsia" w:eastAsia="Times New Roman"/>
              </w:rPr>
              <w:t>1</w:t>
            </w:r>
          </w:p>
        </w:tc>
      </w:tr>
      <w:tr w14:paraId="638E76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5" w:hRule="atLeast"/>
          <w:jc w:val="center"/>
        </w:trPr>
        <w:tc>
          <w:tcPr>
            <w:tcW w:w="648" w:type="pct"/>
            <w:vMerge w:val="continue"/>
            <w:tcBorders>
              <w:top w:val="nil"/>
              <w:left w:val="single" w:color="auto" w:sz="4" w:space="0"/>
              <w:bottom w:val="single" w:color="auto" w:sz="4" w:space="0"/>
              <w:right w:val="single" w:color="auto" w:sz="4" w:space="0"/>
            </w:tcBorders>
            <w:vAlign w:val="center"/>
          </w:tcPr>
          <w:p w14:paraId="7A084CED">
            <w:pPr>
              <w:widowControl/>
              <w:adjustRightInd/>
              <w:spacing w:line="240" w:lineRule="auto"/>
              <w:jc w:val="center"/>
              <w:rPr>
                <w:rFonts w:ascii="Times New Roman" w:hAnsi="Times New Roman" w:eastAsia="Times New Roman"/>
                <w:kern w:val="0"/>
              </w:rPr>
            </w:pPr>
          </w:p>
        </w:tc>
        <w:tc>
          <w:tcPr>
            <w:tcW w:w="466" w:type="pct"/>
            <w:vMerge w:val="continue"/>
            <w:tcBorders>
              <w:top w:val="nil"/>
              <w:left w:val="nil"/>
              <w:bottom w:val="single" w:color="auto" w:sz="4" w:space="0"/>
              <w:right w:val="single" w:color="auto" w:sz="4" w:space="0"/>
            </w:tcBorders>
            <w:vAlign w:val="center"/>
          </w:tcPr>
          <w:p w14:paraId="2B7C246C">
            <w:pPr>
              <w:widowControl/>
              <w:adjustRightInd/>
              <w:spacing w:line="240" w:lineRule="auto"/>
              <w:jc w:val="center"/>
              <w:rPr>
                <w:rFonts w:ascii="Times New Roman" w:hAnsi="Times New Roman" w:eastAsia="Times New Roman"/>
                <w:kern w:val="0"/>
              </w:rPr>
            </w:pPr>
          </w:p>
        </w:tc>
        <w:tc>
          <w:tcPr>
            <w:tcW w:w="641" w:type="pct"/>
            <w:vMerge w:val="continue"/>
            <w:tcBorders>
              <w:top w:val="nil"/>
              <w:left w:val="nil"/>
              <w:bottom w:val="single" w:color="auto" w:sz="4" w:space="0"/>
              <w:right w:val="single" w:color="auto" w:sz="4" w:space="0"/>
            </w:tcBorders>
            <w:vAlign w:val="center"/>
          </w:tcPr>
          <w:p w14:paraId="548E14AE">
            <w:pPr>
              <w:widowControl/>
              <w:adjustRightInd/>
              <w:spacing w:line="240" w:lineRule="auto"/>
              <w:jc w:val="center"/>
              <w:rPr>
                <w:rFonts w:ascii="Times New Roman" w:hAnsi="Times New Roman" w:eastAsia="Times New Roman"/>
                <w:kern w:val="0"/>
              </w:rPr>
            </w:pPr>
          </w:p>
        </w:tc>
        <w:tc>
          <w:tcPr>
            <w:tcW w:w="1521" w:type="pct"/>
            <w:tcBorders>
              <w:top w:val="single" w:color="auto" w:sz="4" w:space="0"/>
              <w:left w:val="nil"/>
              <w:bottom w:val="single" w:color="auto" w:sz="4" w:space="0"/>
              <w:right w:val="single" w:color="auto" w:sz="4" w:space="0"/>
            </w:tcBorders>
            <w:vAlign w:val="center"/>
          </w:tcPr>
          <w:p w14:paraId="69BC420E">
            <w:pPr>
              <w:pStyle w:val="59"/>
              <w:ind w:firstLine="0" w:firstLineChars="0"/>
              <w:jc w:val="center"/>
              <w:rPr>
                <w:rFonts w:eastAsia="Times New Roman"/>
              </w:rPr>
            </w:pPr>
            <w:r>
              <w:rPr>
                <w:rFonts w:hint="eastAsia" w:ascii="宋体" w:hAnsi="宋体" w:eastAsia="Times New Roman"/>
              </w:rPr>
              <w:t>界面防护漆</w:t>
            </w:r>
          </w:p>
        </w:tc>
        <w:tc>
          <w:tcPr>
            <w:tcW w:w="1207" w:type="pct"/>
            <w:tcBorders>
              <w:top w:val="single" w:color="auto" w:sz="4" w:space="0"/>
              <w:left w:val="nil"/>
              <w:bottom w:val="single" w:color="auto" w:sz="4" w:space="0"/>
              <w:right w:val="single" w:color="auto" w:sz="4" w:space="0"/>
            </w:tcBorders>
            <w:vAlign w:val="center"/>
          </w:tcPr>
          <w:p w14:paraId="763F1409">
            <w:pPr>
              <w:pStyle w:val="59"/>
              <w:ind w:firstLine="0" w:firstLineChars="0"/>
              <w:jc w:val="center"/>
              <w:rPr>
                <w:rFonts w:eastAsia="Times New Roman"/>
              </w:rPr>
            </w:pPr>
            <w:r>
              <w:rPr>
                <w:rFonts w:hint="eastAsia" w:eastAsia="Times New Roman"/>
              </w:rPr>
              <w:t>20</w:t>
            </w:r>
          </w:p>
        </w:tc>
        <w:tc>
          <w:tcPr>
            <w:tcW w:w="516" w:type="pct"/>
            <w:tcBorders>
              <w:top w:val="single" w:color="auto" w:sz="4" w:space="0"/>
              <w:left w:val="nil"/>
              <w:bottom w:val="single" w:color="auto" w:sz="4" w:space="0"/>
              <w:right w:val="single" w:color="auto" w:sz="4" w:space="0"/>
            </w:tcBorders>
            <w:vAlign w:val="center"/>
          </w:tcPr>
          <w:p w14:paraId="6CF08E42">
            <w:pPr>
              <w:pStyle w:val="59"/>
              <w:ind w:firstLine="0" w:firstLineChars="0"/>
              <w:jc w:val="center"/>
              <w:rPr>
                <w:rFonts w:eastAsia="Times New Roman"/>
              </w:rPr>
            </w:pPr>
            <w:r>
              <w:rPr>
                <w:rFonts w:hint="eastAsia" w:eastAsia="Times New Roman"/>
              </w:rPr>
              <w:t>1</w:t>
            </w:r>
          </w:p>
        </w:tc>
      </w:tr>
      <w:tr w14:paraId="12F91B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5" w:hRule="atLeast"/>
          <w:jc w:val="center"/>
        </w:trPr>
        <w:tc>
          <w:tcPr>
            <w:tcW w:w="648" w:type="pct"/>
            <w:vMerge w:val="continue"/>
            <w:tcBorders>
              <w:top w:val="nil"/>
              <w:left w:val="single" w:color="auto" w:sz="4" w:space="0"/>
              <w:bottom w:val="single" w:color="auto" w:sz="4" w:space="0"/>
              <w:right w:val="single" w:color="auto" w:sz="4" w:space="0"/>
            </w:tcBorders>
            <w:vAlign w:val="center"/>
          </w:tcPr>
          <w:p w14:paraId="6B738E25">
            <w:pPr>
              <w:widowControl/>
              <w:adjustRightInd/>
              <w:spacing w:line="240" w:lineRule="auto"/>
              <w:jc w:val="center"/>
              <w:rPr>
                <w:rFonts w:ascii="Times New Roman" w:hAnsi="Times New Roman" w:eastAsia="Times New Roman"/>
                <w:kern w:val="0"/>
              </w:rPr>
            </w:pPr>
          </w:p>
        </w:tc>
        <w:tc>
          <w:tcPr>
            <w:tcW w:w="466" w:type="pct"/>
            <w:vMerge w:val="continue"/>
            <w:tcBorders>
              <w:top w:val="nil"/>
              <w:left w:val="nil"/>
              <w:bottom w:val="single" w:color="auto" w:sz="4" w:space="0"/>
              <w:right w:val="single" w:color="auto" w:sz="4" w:space="0"/>
            </w:tcBorders>
            <w:vAlign w:val="center"/>
          </w:tcPr>
          <w:p w14:paraId="4B211DAC">
            <w:pPr>
              <w:widowControl/>
              <w:adjustRightInd/>
              <w:spacing w:line="240" w:lineRule="auto"/>
              <w:jc w:val="center"/>
              <w:rPr>
                <w:rFonts w:ascii="Times New Roman" w:hAnsi="Times New Roman" w:eastAsia="Times New Roman"/>
                <w:kern w:val="0"/>
              </w:rPr>
            </w:pPr>
          </w:p>
        </w:tc>
        <w:tc>
          <w:tcPr>
            <w:tcW w:w="641" w:type="pct"/>
            <w:vMerge w:val="continue"/>
            <w:tcBorders>
              <w:top w:val="nil"/>
              <w:left w:val="nil"/>
              <w:bottom w:val="single" w:color="auto" w:sz="4" w:space="0"/>
              <w:right w:val="single" w:color="auto" w:sz="4" w:space="0"/>
            </w:tcBorders>
            <w:vAlign w:val="center"/>
          </w:tcPr>
          <w:p w14:paraId="507C2F9E">
            <w:pPr>
              <w:widowControl/>
              <w:adjustRightInd/>
              <w:spacing w:line="240" w:lineRule="auto"/>
              <w:jc w:val="center"/>
              <w:rPr>
                <w:rFonts w:ascii="Times New Roman" w:hAnsi="Times New Roman" w:eastAsia="Times New Roman"/>
                <w:kern w:val="0"/>
              </w:rPr>
            </w:pPr>
          </w:p>
        </w:tc>
        <w:tc>
          <w:tcPr>
            <w:tcW w:w="1521" w:type="pct"/>
            <w:tcBorders>
              <w:top w:val="single" w:color="auto" w:sz="4" w:space="0"/>
              <w:left w:val="nil"/>
              <w:bottom w:val="single" w:color="auto" w:sz="4" w:space="0"/>
              <w:right w:val="single" w:color="auto" w:sz="4" w:space="0"/>
            </w:tcBorders>
            <w:vAlign w:val="center"/>
          </w:tcPr>
          <w:p w14:paraId="473B9BF6">
            <w:pPr>
              <w:pStyle w:val="59"/>
              <w:ind w:firstLine="0" w:firstLineChars="0"/>
              <w:jc w:val="center"/>
              <w:rPr>
                <w:rFonts w:eastAsia="Times New Roman"/>
              </w:rPr>
            </w:pPr>
            <w:r>
              <w:rPr>
                <w:rFonts w:hint="eastAsia" w:ascii="宋体" w:hAnsi="宋体" w:eastAsia="Times New Roman"/>
              </w:rPr>
              <w:t>聚氨酯面漆</w:t>
            </w:r>
          </w:p>
        </w:tc>
        <w:tc>
          <w:tcPr>
            <w:tcW w:w="1207" w:type="pct"/>
            <w:tcBorders>
              <w:top w:val="single" w:color="auto" w:sz="4" w:space="0"/>
              <w:left w:val="nil"/>
              <w:bottom w:val="single" w:color="auto" w:sz="4" w:space="0"/>
              <w:right w:val="single" w:color="auto" w:sz="4" w:space="0"/>
            </w:tcBorders>
            <w:vAlign w:val="center"/>
          </w:tcPr>
          <w:p w14:paraId="54DB04DB">
            <w:pPr>
              <w:pStyle w:val="59"/>
              <w:ind w:firstLine="0" w:firstLineChars="0"/>
              <w:jc w:val="center"/>
              <w:rPr>
                <w:rFonts w:eastAsia="Times New Roman"/>
              </w:rPr>
            </w:pPr>
            <w:r>
              <w:rPr>
                <w:rFonts w:hint="eastAsia" w:eastAsia="Times New Roman"/>
              </w:rPr>
              <w:t>8</w:t>
            </w:r>
            <w:r>
              <w:rPr>
                <w:rFonts w:eastAsia="Times New Roman"/>
              </w:rPr>
              <w:t>0</w:t>
            </w:r>
          </w:p>
        </w:tc>
        <w:tc>
          <w:tcPr>
            <w:tcW w:w="516" w:type="pct"/>
            <w:tcBorders>
              <w:top w:val="single" w:color="auto" w:sz="4" w:space="0"/>
              <w:left w:val="nil"/>
              <w:bottom w:val="single" w:color="auto" w:sz="4" w:space="0"/>
              <w:right w:val="single" w:color="auto" w:sz="4" w:space="0"/>
            </w:tcBorders>
            <w:vAlign w:val="center"/>
          </w:tcPr>
          <w:p w14:paraId="71563340">
            <w:pPr>
              <w:pStyle w:val="59"/>
              <w:ind w:firstLine="0" w:firstLineChars="0"/>
              <w:jc w:val="center"/>
              <w:rPr>
                <w:rFonts w:eastAsia="Times New Roman"/>
              </w:rPr>
            </w:pPr>
            <w:r>
              <w:rPr>
                <w:rFonts w:hint="eastAsia" w:eastAsia="Times New Roman"/>
              </w:rPr>
              <w:t>2</w:t>
            </w:r>
          </w:p>
        </w:tc>
      </w:tr>
      <w:tr w14:paraId="64A8E2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5" w:hRule="atLeast"/>
          <w:jc w:val="center"/>
        </w:trPr>
        <w:tc>
          <w:tcPr>
            <w:tcW w:w="648" w:type="pct"/>
            <w:vMerge w:val="continue"/>
            <w:tcBorders>
              <w:top w:val="nil"/>
              <w:left w:val="single" w:color="auto" w:sz="4" w:space="0"/>
              <w:bottom w:val="single" w:color="auto" w:sz="4" w:space="0"/>
              <w:right w:val="single" w:color="auto" w:sz="4" w:space="0"/>
            </w:tcBorders>
            <w:vAlign w:val="center"/>
          </w:tcPr>
          <w:p w14:paraId="799F1F0F">
            <w:pPr>
              <w:widowControl/>
              <w:adjustRightInd/>
              <w:spacing w:line="240" w:lineRule="auto"/>
              <w:jc w:val="center"/>
              <w:rPr>
                <w:rFonts w:ascii="Times New Roman" w:hAnsi="Times New Roman" w:eastAsia="Times New Roman"/>
                <w:kern w:val="0"/>
              </w:rPr>
            </w:pPr>
          </w:p>
        </w:tc>
        <w:tc>
          <w:tcPr>
            <w:tcW w:w="466" w:type="pct"/>
            <w:tcBorders>
              <w:top w:val="single" w:color="auto" w:sz="4" w:space="0"/>
              <w:left w:val="nil"/>
              <w:bottom w:val="single" w:color="auto" w:sz="4" w:space="0"/>
              <w:right w:val="single" w:color="auto" w:sz="4" w:space="0"/>
            </w:tcBorders>
            <w:vAlign w:val="center"/>
          </w:tcPr>
          <w:p w14:paraId="68776E32">
            <w:pPr>
              <w:pStyle w:val="59"/>
              <w:ind w:firstLine="0" w:firstLineChars="0"/>
              <w:jc w:val="center"/>
              <w:rPr>
                <w:rFonts w:eastAsia="Times New Roman"/>
              </w:rPr>
            </w:pPr>
            <w:r>
              <w:rPr>
                <w:rFonts w:eastAsia="Times New Roman"/>
              </w:rPr>
              <w:t>80</w:t>
            </w:r>
          </w:p>
        </w:tc>
        <w:tc>
          <w:tcPr>
            <w:tcW w:w="641" w:type="pct"/>
            <w:tcBorders>
              <w:top w:val="single" w:color="auto" w:sz="4" w:space="0"/>
              <w:left w:val="nil"/>
              <w:bottom w:val="single" w:color="auto" w:sz="4" w:space="0"/>
              <w:right w:val="single" w:color="auto" w:sz="4" w:space="0"/>
            </w:tcBorders>
            <w:vAlign w:val="center"/>
          </w:tcPr>
          <w:p w14:paraId="48CB55CC">
            <w:pPr>
              <w:pStyle w:val="59"/>
              <w:ind w:firstLine="0" w:firstLineChars="0"/>
              <w:jc w:val="center"/>
              <w:rPr>
                <w:rFonts w:eastAsia="Times New Roman"/>
              </w:rPr>
            </w:pPr>
            <w:r>
              <w:rPr>
                <w:rFonts w:hint="eastAsia" w:ascii="宋体" w:hAnsi="宋体" w:eastAsia="Times New Roman"/>
              </w:rPr>
              <w:t>构造二</w:t>
            </w:r>
          </w:p>
        </w:tc>
        <w:tc>
          <w:tcPr>
            <w:tcW w:w="1521" w:type="pct"/>
            <w:tcBorders>
              <w:top w:val="single" w:color="auto" w:sz="4" w:space="0"/>
              <w:left w:val="nil"/>
              <w:bottom w:val="single" w:color="auto" w:sz="4" w:space="0"/>
              <w:right w:val="single" w:color="auto" w:sz="4" w:space="0"/>
            </w:tcBorders>
            <w:vAlign w:val="center"/>
          </w:tcPr>
          <w:p w14:paraId="3BA74096">
            <w:pPr>
              <w:pStyle w:val="59"/>
              <w:ind w:firstLine="0" w:firstLineChars="0"/>
              <w:jc w:val="center"/>
              <w:rPr>
                <w:rFonts w:eastAsia="Times New Roman"/>
              </w:rPr>
            </w:pPr>
            <w:r>
              <w:rPr>
                <w:rFonts w:hint="eastAsia" w:ascii="宋体" w:hAnsi="宋体" w:eastAsia="Times New Roman"/>
              </w:rPr>
              <w:t>带锈涂装底面合一材料</w:t>
            </w:r>
          </w:p>
        </w:tc>
        <w:tc>
          <w:tcPr>
            <w:tcW w:w="1207" w:type="pct"/>
            <w:tcBorders>
              <w:top w:val="single" w:color="auto" w:sz="4" w:space="0"/>
              <w:left w:val="nil"/>
              <w:bottom w:val="single" w:color="auto" w:sz="4" w:space="0"/>
              <w:right w:val="single" w:color="auto" w:sz="4" w:space="0"/>
            </w:tcBorders>
            <w:vAlign w:val="center"/>
          </w:tcPr>
          <w:p w14:paraId="1A658D4A">
            <w:pPr>
              <w:pStyle w:val="59"/>
              <w:ind w:firstLine="0" w:firstLineChars="0"/>
              <w:jc w:val="center"/>
              <w:rPr>
                <w:rFonts w:eastAsia="Times New Roman"/>
              </w:rPr>
            </w:pPr>
            <w:r>
              <w:rPr>
                <w:rFonts w:eastAsia="Times New Roman"/>
              </w:rPr>
              <w:t>80</w:t>
            </w:r>
          </w:p>
        </w:tc>
        <w:tc>
          <w:tcPr>
            <w:tcW w:w="516" w:type="pct"/>
            <w:tcBorders>
              <w:top w:val="single" w:color="auto" w:sz="4" w:space="0"/>
              <w:left w:val="nil"/>
              <w:bottom w:val="single" w:color="auto" w:sz="4" w:space="0"/>
              <w:right w:val="single" w:color="auto" w:sz="4" w:space="0"/>
            </w:tcBorders>
            <w:vAlign w:val="center"/>
          </w:tcPr>
          <w:p w14:paraId="44EA1EB5">
            <w:pPr>
              <w:pStyle w:val="59"/>
              <w:ind w:firstLine="0" w:firstLineChars="0"/>
              <w:jc w:val="center"/>
              <w:rPr>
                <w:rFonts w:eastAsia="Times New Roman"/>
              </w:rPr>
            </w:pPr>
            <w:r>
              <w:rPr>
                <w:rFonts w:hint="eastAsia" w:eastAsia="Times New Roman"/>
              </w:rPr>
              <w:t>2</w:t>
            </w:r>
          </w:p>
        </w:tc>
      </w:tr>
      <w:tr w14:paraId="437C25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5" w:hRule="atLeast"/>
          <w:jc w:val="center"/>
        </w:trPr>
        <w:tc>
          <w:tcPr>
            <w:tcW w:w="648" w:type="pct"/>
            <w:vMerge w:val="restart"/>
            <w:tcBorders>
              <w:top w:val="nil"/>
              <w:left w:val="single" w:color="auto" w:sz="4" w:space="0"/>
              <w:bottom w:val="single" w:color="auto" w:sz="4" w:space="0"/>
              <w:right w:val="single" w:color="auto" w:sz="4" w:space="0"/>
            </w:tcBorders>
            <w:vAlign w:val="center"/>
          </w:tcPr>
          <w:p w14:paraId="3E151633">
            <w:pPr>
              <w:pStyle w:val="59"/>
              <w:ind w:firstLine="0" w:firstLineChars="0"/>
              <w:jc w:val="center"/>
              <w:rPr>
                <w:rFonts w:eastAsia="Times New Roman"/>
              </w:rPr>
            </w:pPr>
            <w:r>
              <w:rPr>
                <w:rFonts w:hint="eastAsia" w:eastAsia="Times New Roman"/>
              </w:rPr>
              <w:t>10</w:t>
            </w:r>
            <w:r>
              <w:rPr>
                <w:rFonts w:hint="eastAsia" w:ascii="宋体" w:hAnsi="宋体" w:eastAsia="Times New Roman"/>
              </w:rPr>
              <w:t>≤</w:t>
            </w:r>
            <w:r>
              <w:rPr>
                <w:rFonts w:hint="eastAsia" w:eastAsia="Times New Roman"/>
              </w:rPr>
              <w:t>a</w:t>
            </w:r>
            <w:r>
              <w:rPr>
                <w:rFonts w:hint="eastAsia" w:ascii="宋体" w:hAnsi="宋体" w:eastAsia="Times New Roman"/>
              </w:rPr>
              <w:t>＜</w:t>
            </w:r>
            <w:r>
              <w:rPr>
                <w:rFonts w:eastAsia="Times New Roman"/>
              </w:rPr>
              <w:t>15</w:t>
            </w:r>
          </w:p>
        </w:tc>
        <w:tc>
          <w:tcPr>
            <w:tcW w:w="466" w:type="pct"/>
            <w:vMerge w:val="restart"/>
            <w:tcBorders>
              <w:top w:val="nil"/>
              <w:left w:val="nil"/>
              <w:bottom w:val="single" w:color="auto" w:sz="4" w:space="0"/>
              <w:right w:val="single" w:color="auto" w:sz="4" w:space="0"/>
            </w:tcBorders>
            <w:vAlign w:val="center"/>
          </w:tcPr>
          <w:p w14:paraId="4A018668">
            <w:pPr>
              <w:pStyle w:val="59"/>
              <w:ind w:firstLine="0" w:firstLineChars="0"/>
              <w:jc w:val="center"/>
              <w:rPr>
                <w:rFonts w:eastAsia="Times New Roman"/>
              </w:rPr>
            </w:pPr>
            <w:r>
              <w:rPr>
                <w:rFonts w:eastAsia="Times New Roman"/>
              </w:rPr>
              <w:t>1</w:t>
            </w:r>
            <w:r>
              <w:rPr>
                <w:rFonts w:hint="eastAsia" w:eastAsia="Times New Roman"/>
              </w:rPr>
              <w:t>50</w:t>
            </w:r>
          </w:p>
        </w:tc>
        <w:tc>
          <w:tcPr>
            <w:tcW w:w="641" w:type="pct"/>
            <w:vMerge w:val="restart"/>
            <w:tcBorders>
              <w:top w:val="nil"/>
              <w:left w:val="nil"/>
              <w:bottom w:val="single" w:color="auto" w:sz="4" w:space="0"/>
              <w:right w:val="single" w:color="auto" w:sz="4" w:space="0"/>
            </w:tcBorders>
            <w:vAlign w:val="center"/>
          </w:tcPr>
          <w:p w14:paraId="378E227E">
            <w:pPr>
              <w:pStyle w:val="59"/>
              <w:ind w:firstLine="0" w:firstLineChars="0"/>
              <w:jc w:val="center"/>
              <w:rPr>
                <w:rFonts w:eastAsia="Times New Roman"/>
              </w:rPr>
            </w:pPr>
            <w:r>
              <w:rPr>
                <w:rFonts w:hint="eastAsia" w:ascii="宋体" w:hAnsi="宋体" w:eastAsia="Times New Roman"/>
              </w:rPr>
              <w:t>构造一</w:t>
            </w:r>
          </w:p>
        </w:tc>
        <w:tc>
          <w:tcPr>
            <w:tcW w:w="1521" w:type="pct"/>
            <w:tcBorders>
              <w:top w:val="single" w:color="auto" w:sz="4" w:space="0"/>
              <w:left w:val="nil"/>
              <w:bottom w:val="single" w:color="auto" w:sz="4" w:space="0"/>
              <w:right w:val="single" w:color="auto" w:sz="4" w:space="0"/>
            </w:tcBorders>
            <w:vAlign w:val="center"/>
          </w:tcPr>
          <w:p w14:paraId="62CE0607">
            <w:pPr>
              <w:pStyle w:val="59"/>
              <w:ind w:firstLine="0" w:firstLineChars="0"/>
              <w:jc w:val="center"/>
              <w:rPr>
                <w:rFonts w:eastAsia="Times New Roman"/>
              </w:rPr>
            </w:pPr>
            <w:r>
              <w:rPr>
                <w:rFonts w:hint="eastAsia" w:ascii="宋体" w:hAnsi="宋体" w:eastAsia="Times New Roman"/>
              </w:rPr>
              <w:t>带锈涂装底漆</w:t>
            </w:r>
          </w:p>
        </w:tc>
        <w:tc>
          <w:tcPr>
            <w:tcW w:w="1207" w:type="pct"/>
            <w:tcBorders>
              <w:top w:val="single" w:color="auto" w:sz="4" w:space="0"/>
              <w:left w:val="nil"/>
              <w:bottom w:val="single" w:color="auto" w:sz="4" w:space="0"/>
              <w:right w:val="single" w:color="auto" w:sz="4" w:space="0"/>
            </w:tcBorders>
            <w:vAlign w:val="center"/>
          </w:tcPr>
          <w:p w14:paraId="14CA149C">
            <w:pPr>
              <w:pStyle w:val="59"/>
              <w:ind w:firstLine="0" w:firstLineChars="0"/>
              <w:jc w:val="center"/>
              <w:rPr>
                <w:rFonts w:eastAsia="Times New Roman"/>
              </w:rPr>
            </w:pPr>
            <w:r>
              <w:rPr>
                <w:rFonts w:eastAsia="Times New Roman"/>
              </w:rPr>
              <w:t>30</w:t>
            </w:r>
          </w:p>
        </w:tc>
        <w:tc>
          <w:tcPr>
            <w:tcW w:w="516" w:type="pct"/>
            <w:tcBorders>
              <w:top w:val="single" w:color="auto" w:sz="4" w:space="0"/>
              <w:left w:val="nil"/>
              <w:bottom w:val="single" w:color="auto" w:sz="4" w:space="0"/>
              <w:right w:val="single" w:color="auto" w:sz="4" w:space="0"/>
            </w:tcBorders>
            <w:vAlign w:val="center"/>
          </w:tcPr>
          <w:p w14:paraId="278564E3">
            <w:pPr>
              <w:pStyle w:val="59"/>
              <w:ind w:firstLine="0" w:firstLineChars="0"/>
              <w:jc w:val="center"/>
              <w:rPr>
                <w:rFonts w:eastAsia="Times New Roman"/>
              </w:rPr>
            </w:pPr>
            <w:r>
              <w:rPr>
                <w:rFonts w:hint="eastAsia" w:eastAsia="Times New Roman"/>
              </w:rPr>
              <w:t>1</w:t>
            </w:r>
          </w:p>
        </w:tc>
      </w:tr>
      <w:tr w14:paraId="382DDD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5" w:hRule="atLeast"/>
          <w:jc w:val="center"/>
        </w:trPr>
        <w:tc>
          <w:tcPr>
            <w:tcW w:w="648" w:type="pct"/>
            <w:vMerge w:val="continue"/>
            <w:tcBorders>
              <w:top w:val="nil"/>
              <w:left w:val="single" w:color="auto" w:sz="4" w:space="0"/>
              <w:bottom w:val="single" w:color="auto" w:sz="4" w:space="0"/>
              <w:right w:val="single" w:color="auto" w:sz="4" w:space="0"/>
            </w:tcBorders>
            <w:vAlign w:val="center"/>
          </w:tcPr>
          <w:p w14:paraId="0CB72220">
            <w:pPr>
              <w:widowControl/>
              <w:adjustRightInd/>
              <w:spacing w:line="240" w:lineRule="auto"/>
              <w:jc w:val="center"/>
              <w:rPr>
                <w:rFonts w:ascii="Times New Roman" w:hAnsi="Times New Roman" w:eastAsia="Times New Roman"/>
                <w:kern w:val="0"/>
              </w:rPr>
            </w:pPr>
          </w:p>
        </w:tc>
        <w:tc>
          <w:tcPr>
            <w:tcW w:w="466" w:type="pct"/>
            <w:vMerge w:val="continue"/>
            <w:tcBorders>
              <w:top w:val="nil"/>
              <w:left w:val="nil"/>
              <w:bottom w:val="single" w:color="auto" w:sz="4" w:space="0"/>
              <w:right w:val="single" w:color="auto" w:sz="4" w:space="0"/>
            </w:tcBorders>
            <w:vAlign w:val="center"/>
          </w:tcPr>
          <w:p w14:paraId="68A4E6CF">
            <w:pPr>
              <w:widowControl/>
              <w:adjustRightInd/>
              <w:spacing w:line="240" w:lineRule="auto"/>
              <w:jc w:val="center"/>
              <w:rPr>
                <w:rFonts w:ascii="Times New Roman" w:hAnsi="Times New Roman" w:eastAsia="Times New Roman"/>
                <w:kern w:val="0"/>
              </w:rPr>
            </w:pPr>
          </w:p>
        </w:tc>
        <w:tc>
          <w:tcPr>
            <w:tcW w:w="641" w:type="pct"/>
            <w:vMerge w:val="continue"/>
            <w:tcBorders>
              <w:top w:val="nil"/>
              <w:left w:val="nil"/>
              <w:bottom w:val="single" w:color="auto" w:sz="4" w:space="0"/>
              <w:right w:val="single" w:color="auto" w:sz="4" w:space="0"/>
            </w:tcBorders>
            <w:vAlign w:val="center"/>
          </w:tcPr>
          <w:p w14:paraId="19379474">
            <w:pPr>
              <w:widowControl/>
              <w:adjustRightInd/>
              <w:spacing w:line="240" w:lineRule="auto"/>
              <w:jc w:val="center"/>
              <w:rPr>
                <w:rFonts w:ascii="Times New Roman" w:hAnsi="Times New Roman" w:eastAsia="Times New Roman"/>
                <w:kern w:val="0"/>
              </w:rPr>
            </w:pPr>
          </w:p>
        </w:tc>
        <w:tc>
          <w:tcPr>
            <w:tcW w:w="1521" w:type="pct"/>
            <w:tcBorders>
              <w:top w:val="single" w:color="auto" w:sz="4" w:space="0"/>
              <w:left w:val="nil"/>
              <w:bottom w:val="single" w:color="auto" w:sz="4" w:space="0"/>
              <w:right w:val="single" w:color="auto" w:sz="4" w:space="0"/>
            </w:tcBorders>
            <w:vAlign w:val="center"/>
          </w:tcPr>
          <w:p w14:paraId="0446E649">
            <w:pPr>
              <w:pStyle w:val="59"/>
              <w:ind w:firstLine="0" w:firstLineChars="0"/>
              <w:jc w:val="center"/>
              <w:rPr>
                <w:rFonts w:eastAsia="Times New Roman"/>
              </w:rPr>
            </w:pPr>
            <w:r>
              <w:rPr>
                <w:rFonts w:hint="eastAsia" w:ascii="宋体" w:hAnsi="宋体" w:eastAsia="Times New Roman"/>
              </w:rPr>
              <w:t>界面防护漆</w:t>
            </w:r>
          </w:p>
        </w:tc>
        <w:tc>
          <w:tcPr>
            <w:tcW w:w="1207" w:type="pct"/>
            <w:tcBorders>
              <w:top w:val="single" w:color="auto" w:sz="4" w:space="0"/>
              <w:left w:val="nil"/>
              <w:bottom w:val="single" w:color="auto" w:sz="4" w:space="0"/>
              <w:right w:val="single" w:color="auto" w:sz="4" w:space="0"/>
            </w:tcBorders>
            <w:vAlign w:val="center"/>
          </w:tcPr>
          <w:p w14:paraId="2EFD1E37">
            <w:pPr>
              <w:pStyle w:val="59"/>
              <w:ind w:firstLine="0" w:firstLineChars="0"/>
              <w:jc w:val="center"/>
              <w:rPr>
                <w:rFonts w:eastAsia="Times New Roman"/>
              </w:rPr>
            </w:pPr>
            <w:r>
              <w:rPr>
                <w:rFonts w:hint="eastAsia" w:eastAsia="Times New Roman"/>
              </w:rPr>
              <w:t>40</w:t>
            </w:r>
          </w:p>
        </w:tc>
        <w:tc>
          <w:tcPr>
            <w:tcW w:w="516" w:type="pct"/>
            <w:tcBorders>
              <w:top w:val="single" w:color="auto" w:sz="4" w:space="0"/>
              <w:left w:val="nil"/>
              <w:bottom w:val="single" w:color="auto" w:sz="4" w:space="0"/>
              <w:right w:val="single" w:color="auto" w:sz="4" w:space="0"/>
            </w:tcBorders>
            <w:vAlign w:val="center"/>
          </w:tcPr>
          <w:p w14:paraId="3F7CF773">
            <w:pPr>
              <w:pStyle w:val="59"/>
              <w:ind w:firstLine="0" w:firstLineChars="0"/>
              <w:jc w:val="center"/>
              <w:rPr>
                <w:rFonts w:eastAsia="Times New Roman"/>
              </w:rPr>
            </w:pPr>
            <w:r>
              <w:rPr>
                <w:rFonts w:hint="eastAsia" w:eastAsia="Times New Roman"/>
              </w:rPr>
              <w:t>1</w:t>
            </w:r>
          </w:p>
        </w:tc>
      </w:tr>
      <w:tr w14:paraId="66F948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5" w:hRule="atLeast"/>
          <w:jc w:val="center"/>
        </w:trPr>
        <w:tc>
          <w:tcPr>
            <w:tcW w:w="648" w:type="pct"/>
            <w:vMerge w:val="continue"/>
            <w:tcBorders>
              <w:top w:val="nil"/>
              <w:left w:val="single" w:color="auto" w:sz="4" w:space="0"/>
              <w:bottom w:val="single" w:color="auto" w:sz="4" w:space="0"/>
              <w:right w:val="single" w:color="auto" w:sz="4" w:space="0"/>
            </w:tcBorders>
            <w:vAlign w:val="center"/>
          </w:tcPr>
          <w:p w14:paraId="52A8B80D">
            <w:pPr>
              <w:widowControl/>
              <w:adjustRightInd/>
              <w:spacing w:line="240" w:lineRule="auto"/>
              <w:jc w:val="center"/>
              <w:rPr>
                <w:rFonts w:ascii="Times New Roman" w:hAnsi="Times New Roman" w:eastAsia="Times New Roman"/>
                <w:kern w:val="0"/>
              </w:rPr>
            </w:pPr>
          </w:p>
        </w:tc>
        <w:tc>
          <w:tcPr>
            <w:tcW w:w="466" w:type="pct"/>
            <w:vMerge w:val="continue"/>
            <w:tcBorders>
              <w:top w:val="nil"/>
              <w:left w:val="nil"/>
              <w:bottom w:val="single" w:color="auto" w:sz="4" w:space="0"/>
              <w:right w:val="single" w:color="auto" w:sz="4" w:space="0"/>
            </w:tcBorders>
            <w:vAlign w:val="center"/>
          </w:tcPr>
          <w:p w14:paraId="2DA99F78">
            <w:pPr>
              <w:widowControl/>
              <w:adjustRightInd/>
              <w:spacing w:line="240" w:lineRule="auto"/>
              <w:jc w:val="center"/>
              <w:rPr>
                <w:rFonts w:ascii="Times New Roman" w:hAnsi="Times New Roman" w:eastAsia="Times New Roman"/>
                <w:kern w:val="0"/>
              </w:rPr>
            </w:pPr>
          </w:p>
        </w:tc>
        <w:tc>
          <w:tcPr>
            <w:tcW w:w="641" w:type="pct"/>
            <w:vMerge w:val="continue"/>
            <w:tcBorders>
              <w:top w:val="nil"/>
              <w:left w:val="nil"/>
              <w:bottom w:val="single" w:color="auto" w:sz="4" w:space="0"/>
              <w:right w:val="single" w:color="auto" w:sz="4" w:space="0"/>
            </w:tcBorders>
            <w:vAlign w:val="center"/>
          </w:tcPr>
          <w:p w14:paraId="5F5782C7">
            <w:pPr>
              <w:widowControl/>
              <w:adjustRightInd/>
              <w:spacing w:line="240" w:lineRule="auto"/>
              <w:jc w:val="center"/>
              <w:rPr>
                <w:rFonts w:ascii="Times New Roman" w:hAnsi="Times New Roman" w:eastAsia="Times New Roman"/>
                <w:kern w:val="0"/>
              </w:rPr>
            </w:pPr>
          </w:p>
        </w:tc>
        <w:tc>
          <w:tcPr>
            <w:tcW w:w="1521" w:type="pct"/>
            <w:tcBorders>
              <w:top w:val="single" w:color="auto" w:sz="4" w:space="0"/>
              <w:left w:val="nil"/>
              <w:bottom w:val="single" w:color="auto" w:sz="4" w:space="0"/>
              <w:right w:val="single" w:color="auto" w:sz="4" w:space="0"/>
            </w:tcBorders>
            <w:vAlign w:val="center"/>
          </w:tcPr>
          <w:p w14:paraId="3B40F15F">
            <w:pPr>
              <w:pStyle w:val="59"/>
              <w:ind w:firstLine="0" w:firstLineChars="0"/>
              <w:jc w:val="center"/>
              <w:rPr>
                <w:rFonts w:eastAsia="Times New Roman"/>
              </w:rPr>
            </w:pPr>
            <w:r>
              <w:rPr>
                <w:rFonts w:hint="eastAsia" w:ascii="宋体" w:hAnsi="宋体" w:eastAsia="Times New Roman"/>
              </w:rPr>
              <w:t>聚氨酯面漆</w:t>
            </w:r>
          </w:p>
        </w:tc>
        <w:tc>
          <w:tcPr>
            <w:tcW w:w="1207" w:type="pct"/>
            <w:tcBorders>
              <w:top w:val="single" w:color="auto" w:sz="4" w:space="0"/>
              <w:left w:val="nil"/>
              <w:bottom w:val="single" w:color="auto" w:sz="4" w:space="0"/>
              <w:right w:val="single" w:color="auto" w:sz="4" w:space="0"/>
            </w:tcBorders>
            <w:vAlign w:val="center"/>
          </w:tcPr>
          <w:p w14:paraId="4578A4A0">
            <w:pPr>
              <w:pStyle w:val="59"/>
              <w:ind w:firstLine="0" w:firstLineChars="0"/>
              <w:jc w:val="center"/>
              <w:rPr>
                <w:rFonts w:eastAsia="Times New Roman"/>
              </w:rPr>
            </w:pPr>
            <w:r>
              <w:rPr>
                <w:rFonts w:hint="eastAsia" w:eastAsia="Times New Roman"/>
              </w:rPr>
              <w:t>80</w:t>
            </w:r>
          </w:p>
        </w:tc>
        <w:tc>
          <w:tcPr>
            <w:tcW w:w="516" w:type="pct"/>
            <w:tcBorders>
              <w:top w:val="single" w:color="auto" w:sz="4" w:space="0"/>
              <w:left w:val="nil"/>
              <w:bottom w:val="single" w:color="auto" w:sz="4" w:space="0"/>
              <w:right w:val="single" w:color="auto" w:sz="4" w:space="0"/>
            </w:tcBorders>
            <w:vAlign w:val="center"/>
          </w:tcPr>
          <w:p w14:paraId="4050632B">
            <w:pPr>
              <w:pStyle w:val="59"/>
              <w:ind w:firstLine="0" w:firstLineChars="0"/>
              <w:jc w:val="center"/>
              <w:rPr>
                <w:rFonts w:eastAsia="Times New Roman"/>
              </w:rPr>
            </w:pPr>
            <w:r>
              <w:rPr>
                <w:rFonts w:hint="eastAsia" w:eastAsia="Times New Roman"/>
              </w:rPr>
              <w:t>2</w:t>
            </w:r>
          </w:p>
        </w:tc>
      </w:tr>
      <w:tr w14:paraId="0B86EF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5" w:hRule="atLeast"/>
          <w:jc w:val="center"/>
        </w:trPr>
        <w:tc>
          <w:tcPr>
            <w:tcW w:w="648" w:type="pct"/>
            <w:vMerge w:val="continue"/>
            <w:tcBorders>
              <w:top w:val="nil"/>
              <w:left w:val="single" w:color="auto" w:sz="4" w:space="0"/>
              <w:bottom w:val="single" w:color="auto" w:sz="4" w:space="0"/>
              <w:right w:val="single" w:color="auto" w:sz="4" w:space="0"/>
            </w:tcBorders>
            <w:vAlign w:val="center"/>
          </w:tcPr>
          <w:p w14:paraId="04660FCF">
            <w:pPr>
              <w:widowControl/>
              <w:adjustRightInd/>
              <w:spacing w:line="240" w:lineRule="auto"/>
              <w:jc w:val="center"/>
              <w:rPr>
                <w:rFonts w:ascii="Times New Roman" w:hAnsi="Times New Roman" w:eastAsia="Times New Roman"/>
                <w:kern w:val="0"/>
              </w:rPr>
            </w:pPr>
          </w:p>
        </w:tc>
        <w:tc>
          <w:tcPr>
            <w:tcW w:w="466" w:type="pct"/>
            <w:tcBorders>
              <w:top w:val="single" w:color="auto" w:sz="4" w:space="0"/>
              <w:left w:val="nil"/>
              <w:bottom w:val="single" w:color="auto" w:sz="4" w:space="0"/>
              <w:right w:val="single" w:color="auto" w:sz="4" w:space="0"/>
            </w:tcBorders>
            <w:vAlign w:val="center"/>
          </w:tcPr>
          <w:p w14:paraId="5A792E72">
            <w:pPr>
              <w:pStyle w:val="59"/>
              <w:ind w:firstLine="0" w:firstLineChars="0"/>
              <w:jc w:val="center"/>
              <w:rPr>
                <w:rFonts w:eastAsia="Times New Roman"/>
              </w:rPr>
            </w:pPr>
            <w:r>
              <w:rPr>
                <w:rFonts w:hint="eastAsia" w:eastAsia="Times New Roman"/>
              </w:rPr>
              <w:t>100</w:t>
            </w:r>
          </w:p>
        </w:tc>
        <w:tc>
          <w:tcPr>
            <w:tcW w:w="641" w:type="pct"/>
            <w:tcBorders>
              <w:top w:val="single" w:color="auto" w:sz="4" w:space="0"/>
              <w:left w:val="nil"/>
              <w:bottom w:val="single" w:color="auto" w:sz="4" w:space="0"/>
              <w:right w:val="single" w:color="auto" w:sz="4" w:space="0"/>
            </w:tcBorders>
            <w:vAlign w:val="center"/>
          </w:tcPr>
          <w:p w14:paraId="75F7B8BB">
            <w:pPr>
              <w:pStyle w:val="59"/>
              <w:ind w:firstLine="0" w:firstLineChars="0"/>
              <w:jc w:val="center"/>
              <w:rPr>
                <w:rFonts w:eastAsia="Times New Roman"/>
              </w:rPr>
            </w:pPr>
            <w:r>
              <w:rPr>
                <w:rFonts w:hint="eastAsia" w:ascii="宋体" w:hAnsi="宋体" w:eastAsia="Times New Roman"/>
              </w:rPr>
              <w:t>构造二</w:t>
            </w:r>
          </w:p>
        </w:tc>
        <w:tc>
          <w:tcPr>
            <w:tcW w:w="1521" w:type="pct"/>
            <w:tcBorders>
              <w:top w:val="single" w:color="auto" w:sz="4" w:space="0"/>
              <w:left w:val="nil"/>
              <w:bottom w:val="single" w:color="auto" w:sz="4" w:space="0"/>
              <w:right w:val="single" w:color="auto" w:sz="4" w:space="0"/>
            </w:tcBorders>
            <w:vAlign w:val="center"/>
          </w:tcPr>
          <w:p w14:paraId="3B76DEA9">
            <w:pPr>
              <w:pStyle w:val="59"/>
              <w:ind w:firstLine="0" w:firstLineChars="0"/>
              <w:jc w:val="center"/>
              <w:rPr>
                <w:rFonts w:eastAsia="Times New Roman"/>
              </w:rPr>
            </w:pPr>
            <w:r>
              <w:rPr>
                <w:rFonts w:hint="eastAsia" w:ascii="宋体" w:hAnsi="宋体" w:eastAsia="Times New Roman"/>
              </w:rPr>
              <w:t>带锈涂装底面合一材料</w:t>
            </w:r>
          </w:p>
        </w:tc>
        <w:tc>
          <w:tcPr>
            <w:tcW w:w="1207" w:type="pct"/>
            <w:tcBorders>
              <w:top w:val="single" w:color="auto" w:sz="4" w:space="0"/>
              <w:left w:val="nil"/>
              <w:bottom w:val="single" w:color="auto" w:sz="4" w:space="0"/>
              <w:right w:val="single" w:color="auto" w:sz="4" w:space="0"/>
            </w:tcBorders>
            <w:vAlign w:val="center"/>
          </w:tcPr>
          <w:p w14:paraId="5A48D5A1">
            <w:pPr>
              <w:pStyle w:val="59"/>
              <w:ind w:firstLine="0" w:firstLineChars="0"/>
              <w:jc w:val="center"/>
              <w:rPr>
                <w:rFonts w:eastAsia="Times New Roman"/>
              </w:rPr>
            </w:pPr>
            <w:r>
              <w:rPr>
                <w:rFonts w:eastAsia="Times New Roman"/>
              </w:rPr>
              <w:t>1</w:t>
            </w:r>
            <w:r>
              <w:rPr>
                <w:rFonts w:hint="eastAsia" w:eastAsia="Times New Roman"/>
              </w:rPr>
              <w:t>00</w:t>
            </w:r>
          </w:p>
        </w:tc>
        <w:tc>
          <w:tcPr>
            <w:tcW w:w="516" w:type="pct"/>
            <w:tcBorders>
              <w:top w:val="single" w:color="auto" w:sz="4" w:space="0"/>
              <w:left w:val="nil"/>
              <w:bottom w:val="single" w:color="auto" w:sz="4" w:space="0"/>
              <w:right w:val="single" w:color="auto" w:sz="4" w:space="0"/>
            </w:tcBorders>
            <w:vAlign w:val="center"/>
          </w:tcPr>
          <w:p w14:paraId="37387255">
            <w:pPr>
              <w:pStyle w:val="59"/>
              <w:ind w:firstLine="0" w:firstLineChars="0"/>
              <w:jc w:val="center"/>
              <w:rPr>
                <w:rFonts w:eastAsia="Times New Roman"/>
              </w:rPr>
            </w:pPr>
            <w:r>
              <w:rPr>
                <w:rFonts w:hint="eastAsia" w:eastAsia="Times New Roman"/>
              </w:rPr>
              <w:t>2</w:t>
            </w:r>
          </w:p>
        </w:tc>
      </w:tr>
    </w:tbl>
    <w:p w14:paraId="529E4242">
      <w:pPr>
        <w:pStyle w:val="59"/>
        <w:ind w:firstLine="420"/>
      </w:pPr>
    </w:p>
    <w:p w14:paraId="1C60D27E">
      <w:pPr>
        <w:pStyle w:val="80"/>
        <w:spacing w:before="120" w:after="120"/>
      </w:pPr>
      <w:r>
        <w:rPr>
          <w:rFonts w:hint="eastAsia"/>
        </w:rPr>
        <w:t>C4腐蚀环境等级钢构件防腐涂层配套</w:t>
      </w:r>
    </w:p>
    <w:tbl>
      <w:tblPr>
        <w:tblStyle w:val="238"/>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1"/>
        <w:gridCol w:w="893"/>
        <w:gridCol w:w="1228"/>
        <w:gridCol w:w="2908"/>
        <w:gridCol w:w="2308"/>
        <w:gridCol w:w="981"/>
      </w:tblGrid>
      <w:tr w14:paraId="49E53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649" w:type="pct"/>
            <w:vMerge w:val="restart"/>
            <w:tcBorders>
              <w:top w:val="single" w:color="auto" w:sz="4" w:space="0"/>
              <w:left w:val="single" w:color="auto" w:sz="4" w:space="0"/>
              <w:bottom w:val="single" w:color="auto" w:sz="4" w:space="0"/>
              <w:right w:val="single" w:color="auto" w:sz="4" w:space="0"/>
            </w:tcBorders>
            <w:vAlign w:val="center"/>
          </w:tcPr>
          <w:p w14:paraId="4977F08F">
            <w:pPr>
              <w:pStyle w:val="59"/>
              <w:ind w:firstLine="0" w:firstLineChars="0"/>
              <w:jc w:val="center"/>
              <w:rPr>
                <w:rFonts w:eastAsia="Times New Roman"/>
                <w:szCs w:val="21"/>
              </w:rPr>
            </w:pPr>
            <w:r>
              <w:rPr>
                <w:rFonts w:hint="eastAsia" w:ascii="宋体" w:hAnsi="宋体" w:eastAsia="Times New Roman"/>
              </w:rPr>
              <w:t>设计工作年限（</w:t>
            </w:r>
            <w:r>
              <w:rPr>
                <w:rFonts w:hint="eastAsia" w:eastAsia="Times New Roman"/>
              </w:rPr>
              <w:t>a</w:t>
            </w:r>
            <w:r>
              <w:rPr>
                <w:rFonts w:hint="eastAsia" w:ascii="宋体" w:hAnsi="宋体" w:eastAsia="Times New Roman"/>
              </w:rPr>
              <w:t>）</w:t>
            </w:r>
          </w:p>
        </w:tc>
        <w:tc>
          <w:tcPr>
            <w:tcW w:w="467" w:type="pct"/>
            <w:vMerge w:val="restart"/>
            <w:tcBorders>
              <w:top w:val="single" w:color="auto" w:sz="4" w:space="0"/>
              <w:left w:val="single" w:color="auto" w:sz="4" w:space="0"/>
              <w:bottom w:val="single" w:color="auto" w:sz="4" w:space="0"/>
              <w:right w:val="single" w:color="auto" w:sz="4" w:space="0"/>
            </w:tcBorders>
            <w:vAlign w:val="center"/>
          </w:tcPr>
          <w:p w14:paraId="19546E0D">
            <w:pPr>
              <w:pStyle w:val="59"/>
              <w:ind w:firstLine="0" w:firstLineChars="0"/>
              <w:jc w:val="center"/>
              <w:rPr>
                <w:rFonts w:eastAsia="Times New Roman"/>
              </w:rPr>
            </w:pPr>
            <w:r>
              <w:rPr>
                <w:rFonts w:hint="eastAsia" w:ascii="宋体" w:hAnsi="宋体" w:eastAsia="Times New Roman"/>
              </w:rPr>
              <w:t>涂层</w:t>
            </w:r>
          </w:p>
          <w:p w14:paraId="570EA2DE">
            <w:pPr>
              <w:pStyle w:val="59"/>
              <w:ind w:firstLine="0" w:firstLineChars="0"/>
              <w:jc w:val="center"/>
              <w:rPr>
                <w:rFonts w:eastAsia="Times New Roman"/>
              </w:rPr>
            </w:pPr>
            <w:r>
              <w:rPr>
                <w:rFonts w:hint="eastAsia" w:ascii="宋体" w:hAnsi="宋体" w:eastAsia="Times New Roman"/>
              </w:rPr>
              <w:t>总厚度</w:t>
            </w:r>
          </w:p>
          <w:p w14:paraId="678AF6B0">
            <w:pPr>
              <w:pStyle w:val="59"/>
              <w:ind w:firstLine="0" w:firstLineChars="0"/>
              <w:jc w:val="center"/>
              <w:rPr>
                <w:rFonts w:eastAsia="Times New Roman"/>
              </w:rPr>
            </w:pPr>
            <w:r>
              <w:rPr>
                <w:rFonts w:hint="eastAsia" w:ascii="宋体" w:hAnsi="宋体" w:eastAsia="Times New Roman"/>
              </w:rPr>
              <w:t>μ</w:t>
            </w:r>
            <w:r>
              <w:rPr>
                <w:rFonts w:hint="eastAsia" w:eastAsia="Times New Roman"/>
              </w:rPr>
              <w:t>m</w:t>
            </w:r>
          </w:p>
        </w:tc>
        <w:tc>
          <w:tcPr>
            <w:tcW w:w="642" w:type="pct"/>
            <w:vMerge w:val="restart"/>
            <w:tcBorders>
              <w:top w:val="single" w:color="auto" w:sz="4" w:space="0"/>
              <w:left w:val="single" w:color="auto" w:sz="4" w:space="0"/>
              <w:bottom w:val="single" w:color="auto" w:sz="4" w:space="0"/>
              <w:right w:val="single" w:color="auto" w:sz="4" w:space="0"/>
            </w:tcBorders>
            <w:vAlign w:val="center"/>
          </w:tcPr>
          <w:p w14:paraId="5926A82F">
            <w:pPr>
              <w:pStyle w:val="59"/>
              <w:ind w:firstLine="0" w:firstLineChars="0"/>
              <w:jc w:val="center"/>
              <w:rPr>
                <w:rFonts w:eastAsia="Times New Roman"/>
              </w:rPr>
            </w:pPr>
            <w:r>
              <w:rPr>
                <w:rFonts w:hint="eastAsia" w:ascii="宋体" w:hAnsi="宋体" w:eastAsia="Times New Roman"/>
              </w:rPr>
              <w:t>构造类型</w:t>
            </w:r>
          </w:p>
        </w:tc>
        <w:tc>
          <w:tcPr>
            <w:tcW w:w="3241" w:type="pct"/>
            <w:gridSpan w:val="3"/>
            <w:tcBorders>
              <w:top w:val="single" w:color="auto" w:sz="4" w:space="0"/>
              <w:left w:val="single" w:color="auto" w:sz="4" w:space="0"/>
              <w:bottom w:val="single" w:color="auto" w:sz="4" w:space="0"/>
              <w:right w:val="single" w:color="auto" w:sz="4" w:space="0"/>
            </w:tcBorders>
            <w:vAlign w:val="center"/>
          </w:tcPr>
          <w:p w14:paraId="3B0F02A5">
            <w:pPr>
              <w:pStyle w:val="59"/>
              <w:ind w:firstLine="0" w:firstLineChars="0"/>
              <w:jc w:val="center"/>
              <w:rPr>
                <w:rFonts w:ascii="宋体" w:hAnsi="宋体" w:eastAsia="Times New Roman"/>
              </w:rPr>
            </w:pPr>
            <w:r>
              <w:rPr>
                <w:rFonts w:hint="eastAsia" w:ascii="宋体" w:hAnsi="宋体" w:eastAsia="Times New Roman"/>
              </w:rPr>
              <w:t>带锈涂装</w:t>
            </w:r>
          </w:p>
        </w:tc>
      </w:tr>
      <w:tr w14:paraId="76B18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649" w:type="pct"/>
            <w:vMerge w:val="continue"/>
            <w:tcBorders>
              <w:top w:val="single" w:color="auto" w:sz="4" w:space="0"/>
              <w:left w:val="single" w:color="auto" w:sz="4" w:space="0"/>
              <w:bottom w:val="single" w:color="auto" w:sz="4" w:space="0"/>
              <w:right w:val="single" w:color="auto" w:sz="4" w:space="0"/>
            </w:tcBorders>
            <w:vAlign w:val="center"/>
          </w:tcPr>
          <w:p w14:paraId="79CF46E4">
            <w:pPr>
              <w:widowControl/>
              <w:adjustRightInd/>
              <w:spacing w:line="240" w:lineRule="auto"/>
              <w:jc w:val="center"/>
              <w:rPr>
                <w:rFonts w:ascii="Times New Roman" w:hAnsi="Times New Roman" w:eastAsia="Times New Roman"/>
                <w:kern w:val="0"/>
              </w:rPr>
            </w:pPr>
          </w:p>
        </w:tc>
        <w:tc>
          <w:tcPr>
            <w:tcW w:w="467" w:type="pct"/>
            <w:vMerge w:val="continue"/>
            <w:tcBorders>
              <w:top w:val="single" w:color="auto" w:sz="4" w:space="0"/>
              <w:left w:val="single" w:color="auto" w:sz="4" w:space="0"/>
              <w:bottom w:val="single" w:color="auto" w:sz="4" w:space="0"/>
              <w:right w:val="single" w:color="auto" w:sz="4" w:space="0"/>
            </w:tcBorders>
            <w:vAlign w:val="center"/>
          </w:tcPr>
          <w:p w14:paraId="1FDF86FA">
            <w:pPr>
              <w:widowControl/>
              <w:adjustRightInd/>
              <w:spacing w:line="240" w:lineRule="auto"/>
              <w:jc w:val="center"/>
              <w:rPr>
                <w:rFonts w:ascii="Times New Roman" w:hAnsi="Times New Roman" w:eastAsia="Times New Roman"/>
                <w:kern w:val="0"/>
              </w:rPr>
            </w:pPr>
          </w:p>
        </w:tc>
        <w:tc>
          <w:tcPr>
            <w:tcW w:w="642" w:type="pct"/>
            <w:vMerge w:val="continue"/>
            <w:tcBorders>
              <w:top w:val="single" w:color="auto" w:sz="4" w:space="0"/>
              <w:left w:val="single" w:color="auto" w:sz="4" w:space="0"/>
              <w:bottom w:val="single" w:color="auto" w:sz="4" w:space="0"/>
              <w:right w:val="single" w:color="auto" w:sz="4" w:space="0"/>
            </w:tcBorders>
            <w:vAlign w:val="center"/>
          </w:tcPr>
          <w:p w14:paraId="5D49D8E5">
            <w:pPr>
              <w:widowControl/>
              <w:adjustRightInd/>
              <w:spacing w:line="240" w:lineRule="auto"/>
              <w:jc w:val="center"/>
              <w:rPr>
                <w:rFonts w:ascii="Times New Roman" w:hAnsi="Times New Roman" w:eastAsia="Times New Roman"/>
                <w:kern w:val="0"/>
              </w:rPr>
            </w:pPr>
          </w:p>
        </w:tc>
        <w:tc>
          <w:tcPr>
            <w:tcW w:w="1521" w:type="pct"/>
            <w:tcBorders>
              <w:top w:val="single" w:color="auto" w:sz="4" w:space="0"/>
              <w:left w:val="single" w:color="auto" w:sz="4" w:space="0"/>
              <w:bottom w:val="single" w:color="auto" w:sz="4" w:space="0"/>
              <w:right w:val="single" w:color="auto" w:sz="4" w:space="0"/>
            </w:tcBorders>
            <w:vAlign w:val="center"/>
          </w:tcPr>
          <w:p w14:paraId="7512AC3E">
            <w:pPr>
              <w:pStyle w:val="59"/>
              <w:ind w:firstLine="0" w:firstLineChars="0"/>
              <w:jc w:val="center"/>
              <w:rPr>
                <w:rFonts w:eastAsia="Times New Roman"/>
              </w:rPr>
            </w:pPr>
            <w:r>
              <w:rPr>
                <w:rFonts w:hint="eastAsia" w:ascii="宋体" w:hAnsi="宋体" w:eastAsia="Times New Roman"/>
              </w:rPr>
              <w:t>材料</w:t>
            </w:r>
          </w:p>
        </w:tc>
        <w:tc>
          <w:tcPr>
            <w:tcW w:w="1207" w:type="pct"/>
            <w:tcBorders>
              <w:top w:val="single" w:color="auto" w:sz="4" w:space="0"/>
              <w:left w:val="single" w:color="auto" w:sz="4" w:space="0"/>
              <w:bottom w:val="single" w:color="auto" w:sz="4" w:space="0"/>
              <w:right w:val="single" w:color="auto" w:sz="4" w:space="0"/>
            </w:tcBorders>
            <w:vAlign w:val="center"/>
          </w:tcPr>
          <w:p w14:paraId="6866CBAB">
            <w:pPr>
              <w:pStyle w:val="59"/>
              <w:ind w:firstLine="0" w:firstLineChars="0"/>
              <w:jc w:val="center"/>
              <w:rPr>
                <w:rFonts w:eastAsia="Times New Roman"/>
              </w:rPr>
            </w:pPr>
            <w:r>
              <w:rPr>
                <w:rFonts w:hint="eastAsia" w:ascii="宋体" w:hAnsi="宋体" w:eastAsia="Times New Roman"/>
              </w:rPr>
              <w:t>最小干膜厚度</w:t>
            </w:r>
          </w:p>
          <w:p w14:paraId="4AA056C8">
            <w:pPr>
              <w:pStyle w:val="59"/>
              <w:ind w:firstLine="0" w:firstLineChars="0"/>
              <w:jc w:val="center"/>
              <w:rPr>
                <w:rFonts w:eastAsia="Times New Roman"/>
              </w:rPr>
            </w:pPr>
            <w:r>
              <w:rPr>
                <w:rFonts w:hint="eastAsia" w:ascii="宋体" w:hAnsi="宋体" w:eastAsia="Times New Roman"/>
              </w:rPr>
              <w:t>μ</w:t>
            </w:r>
            <w:r>
              <w:rPr>
                <w:rFonts w:hint="eastAsia" w:eastAsia="Times New Roman"/>
              </w:rPr>
              <w:t>m</w:t>
            </w:r>
          </w:p>
        </w:tc>
        <w:tc>
          <w:tcPr>
            <w:tcW w:w="512" w:type="pct"/>
            <w:tcBorders>
              <w:top w:val="single" w:color="auto" w:sz="4" w:space="0"/>
              <w:left w:val="single" w:color="auto" w:sz="4" w:space="0"/>
              <w:bottom w:val="single" w:color="auto" w:sz="4" w:space="0"/>
              <w:right w:val="single" w:color="auto" w:sz="4" w:space="0"/>
            </w:tcBorders>
            <w:vAlign w:val="center"/>
          </w:tcPr>
          <w:p w14:paraId="042E1392">
            <w:pPr>
              <w:pStyle w:val="59"/>
              <w:ind w:firstLine="0" w:firstLineChars="0"/>
              <w:jc w:val="center"/>
              <w:rPr>
                <w:rFonts w:hint="eastAsia" w:ascii="宋体" w:hAnsi="宋体" w:eastAsia="Times New Roman"/>
              </w:rPr>
            </w:pPr>
            <w:r>
              <w:rPr>
                <w:rFonts w:hint="eastAsia" w:ascii="宋体" w:hAnsi="宋体" w:eastAsia="Times New Roman"/>
              </w:rPr>
              <w:t>道数</w:t>
            </w:r>
          </w:p>
        </w:tc>
      </w:tr>
      <w:tr w14:paraId="0860F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649" w:type="pct"/>
            <w:vMerge w:val="restart"/>
            <w:tcBorders>
              <w:top w:val="nil"/>
              <w:left w:val="single" w:color="auto" w:sz="4" w:space="0"/>
              <w:bottom w:val="single" w:color="auto" w:sz="4" w:space="0"/>
              <w:right w:val="single" w:color="auto" w:sz="4" w:space="0"/>
            </w:tcBorders>
            <w:vAlign w:val="center"/>
          </w:tcPr>
          <w:p w14:paraId="1335391C">
            <w:pPr>
              <w:pStyle w:val="59"/>
              <w:ind w:firstLine="0" w:firstLineChars="0"/>
              <w:jc w:val="center"/>
              <w:rPr>
                <w:rFonts w:eastAsia="Times New Roman"/>
              </w:rPr>
            </w:pPr>
            <w:r>
              <w:rPr>
                <w:rFonts w:hint="eastAsia" w:eastAsia="Times New Roman"/>
              </w:rPr>
              <w:t>8</w:t>
            </w:r>
            <w:r>
              <w:rPr>
                <w:rFonts w:hint="eastAsia" w:ascii="宋体" w:hAnsi="宋体" w:eastAsia="Times New Roman"/>
              </w:rPr>
              <w:t>≤</w:t>
            </w:r>
            <w:r>
              <w:rPr>
                <w:rFonts w:hint="eastAsia" w:eastAsia="Times New Roman"/>
              </w:rPr>
              <w:t>a</w:t>
            </w:r>
            <w:r>
              <w:rPr>
                <w:rFonts w:hint="eastAsia" w:ascii="宋体" w:hAnsi="宋体" w:eastAsia="Times New Roman"/>
              </w:rPr>
              <w:t>＜</w:t>
            </w:r>
            <w:r>
              <w:rPr>
                <w:rFonts w:eastAsia="Times New Roman"/>
              </w:rPr>
              <w:t>10</w:t>
            </w:r>
          </w:p>
        </w:tc>
        <w:tc>
          <w:tcPr>
            <w:tcW w:w="467" w:type="pct"/>
            <w:vMerge w:val="restart"/>
            <w:tcBorders>
              <w:top w:val="nil"/>
              <w:left w:val="single" w:color="auto" w:sz="4" w:space="0"/>
              <w:bottom w:val="single" w:color="auto" w:sz="4" w:space="0"/>
              <w:right w:val="single" w:color="auto" w:sz="4" w:space="0"/>
            </w:tcBorders>
            <w:vAlign w:val="center"/>
          </w:tcPr>
          <w:p w14:paraId="7BDC9E8A">
            <w:pPr>
              <w:pStyle w:val="59"/>
              <w:ind w:firstLine="0" w:firstLineChars="0"/>
              <w:jc w:val="center"/>
              <w:rPr>
                <w:rFonts w:eastAsia="Times New Roman"/>
              </w:rPr>
            </w:pPr>
            <w:r>
              <w:rPr>
                <w:rFonts w:eastAsia="Times New Roman"/>
              </w:rPr>
              <w:t>1</w:t>
            </w:r>
            <w:r>
              <w:rPr>
                <w:rFonts w:hint="eastAsia" w:eastAsia="Times New Roman"/>
              </w:rPr>
              <w:t>5</w:t>
            </w:r>
            <w:r>
              <w:rPr>
                <w:rFonts w:eastAsia="Times New Roman"/>
              </w:rPr>
              <w:t>0</w:t>
            </w:r>
          </w:p>
        </w:tc>
        <w:tc>
          <w:tcPr>
            <w:tcW w:w="642" w:type="pct"/>
            <w:vMerge w:val="restart"/>
            <w:tcBorders>
              <w:top w:val="nil"/>
              <w:left w:val="single" w:color="auto" w:sz="4" w:space="0"/>
              <w:bottom w:val="single" w:color="auto" w:sz="4" w:space="0"/>
              <w:right w:val="single" w:color="auto" w:sz="4" w:space="0"/>
            </w:tcBorders>
            <w:vAlign w:val="center"/>
          </w:tcPr>
          <w:p w14:paraId="59BB1D40">
            <w:pPr>
              <w:pStyle w:val="59"/>
              <w:ind w:firstLine="0" w:firstLineChars="0"/>
              <w:jc w:val="center"/>
              <w:rPr>
                <w:rFonts w:eastAsia="Times New Roman"/>
              </w:rPr>
            </w:pPr>
            <w:r>
              <w:rPr>
                <w:rFonts w:hint="eastAsia" w:ascii="宋体" w:hAnsi="宋体" w:eastAsia="Times New Roman"/>
              </w:rPr>
              <w:t>构造一</w:t>
            </w:r>
          </w:p>
        </w:tc>
        <w:tc>
          <w:tcPr>
            <w:tcW w:w="1521" w:type="pct"/>
            <w:tcBorders>
              <w:top w:val="single" w:color="auto" w:sz="4" w:space="0"/>
              <w:left w:val="single" w:color="auto" w:sz="4" w:space="0"/>
              <w:bottom w:val="single" w:color="auto" w:sz="4" w:space="0"/>
              <w:right w:val="single" w:color="auto" w:sz="4" w:space="0"/>
            </w:tcBorders>
            <w:vAlign w:val="center"/>
          </w:tcPr>
          <w:p w14:paraId="7A5E09AC">
            <w:pPr>
              <w:pStyle w:val="59"/>
              <w:ind w:firstLine="0" w:firstLineChars="0"/>
              <w:jc w:val="center"/>
              <w:rPr>
                <w:rFonts w:eastAsia="Times New Roman"/>
              </w:rPr>
            </w:pPr>
            <w:r>
              <w:rPr>
                <w:rFonts w:hint="eastAsia" w:ascii="宋体" w:hAnsi="宋体" w:eastAsia="Times New Roman"/>
              </w:rPr>
              <w:t>带锈涂装底漆</w:t>
            </w:r>
          </w:p>
        </w:tc>
        <w:tc>
          <w:tcPr>
            <w:tcW w:w="1207" w:type="pct"/>
            <w:tcBorders>
              <w:top w:val="single" w:color="auto" w:sz="4" w:space="0"/>
              <w:left w:val="single" w:color="auto" w:sz="4" w:space="0"/>
              <w:bottom w:val="single" w:color="auto" w:sz="4" w:space="0"/>
              <w:right w:val="single" w:color="auto" w:sz="4" w:space="0"/>
            </w:tcBorders>
            <w:vAlign w:val="center"/>
          </w:tcPr>
          <w:p w14:paraId="04A5FB22">
            <w:pPr>
              <w:pStyle w:val="59"/>
              <w:ind w:firstLine="0" w:firstLineChars="0"/>
              <w:jc w:val="center"/>
              <w:rPr>
                <w:rFonts w:eastAsia="Times New Roman"/>
              </w:rPr>
            </w:pPr>
            <w:r>
              <w:rPr>
                <w:rFonts w:eastAsia="Times New Roman"/>
              </w:rPr>
              <w:t>30</w:t>
            </w:r>
          </w:p>
        </w:tc>
        <w:tc>
          <w:tcPr>
            <w:tcW w:w="512" w:type="pct"/>
            <w:tcBorders>
              <w:top w:val="single" w:color="auto" w:sz="4" w:space="0"/>
              <w:left w:val="single" w:color="auto" w:sz="4" w:space="0"/>
              <w:bottom w:val="single" w:color="auto" w:sz="4" w:space="0"/>
              <w:right w:val="single" w:color="auto" w:sz="4" w:space="0"/>
            </w:tcBorders>
            <w:vAlign w:val="center"/>
          </w:tcPr>
          <w:p w14:paraId="6E9FED56">
            <w:pPr>
              <w:pStyle w:val="59"/>
              <w:ind w:firstLine="0" w:firstLineChars="0"/>
              <w:jc w:val="center"/>
              <w:rPr>
                <w:rFonts w:eastAsia="Times New Roman"/>
              </w:rPr>
            </w:pPr>
            <w:r>
              <w:rPr>
                <w:rFonts w:hint="eastAsia" w:eastAsia="Times New Roman"/>
              </w:rPr>
              <w:t>1</w:t>
            </w:r>
          </w:p>
        </w:tc>
      </w:tr>
      <w:tr w14:paraId="30D65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649" w:type="pct"/>
            <w:vMerge w:val="continue"/>
            <w:tcBorders>
              <w:top w:val="nil"/>
              <w:left w:val="single" w:color="auto" w:sz="4" w:space="0"/>
              <w:bottom w:val="single" w:color="auto" w:sz="4" w:space="0"/>
              <w:right w:val="single" w:color="auto" w:sz="4" w:space="0"/>
            </w:tcBorders>
            <w:vAlign w:val="center"/>
          </w:tcPr>
          <w:p w14:paraId="0C488D29">
            <w:pPr>
              <w:widowControl/>
              <w:adjustRightInd/>
              <w:spacing w:line="240" w:lineRule="auto"/>
              <w:jc w:val="center"/>
              <w:rPr>
                <w:rFonts w:ascii="Times New Roman" w:hAnsi="Times New Roman" w:eastAsia="Times New Roman"/>
                <w:kern w:val="0"/>
              </w:rPr>
            </w:pPr>
          </w:p>
        </w:tc>
        <w:tc>
          <w:tcPr>
            <w:tcW w:w="467" w:type="pct"/>
            <w:vMerge w:val="continue"/>
            <w:tcBorders>
              <w:top w:val="nil"/>
              <w:left w:val="single" w:color="auto" w:sz="4" w:space="0"/>
              <w:bottom w:val="single" w:color="auto" w:sz="4" w:space="0"/>
              <w:right w:val="single" w:color="auto" w:sz="4" w:space="0"/>
            </w:tcBorders>
            <w:vAlign w:val="center"/>
          </w:tcPr>
          <w:p w14:paraId="565C1CFC">
            <w:pPr>
              <w:widowControl/>
              <w:adjustRightInd/>
              <w:spacing w:line="240" w:lineRule="auto"/>
              <w:jc w:val="center"/>
              <w:rPr>
                <w:rFonts w:ascii="Times New Roman" w:hAnsi="Times New Roman" w:eastAsia="Times New Roman"/>
                <w:kern w:val="0"/>
              </w:rPr>
            </w:pPr>
          </w:p>
        </w:tc>
        <w:tc>
          <w:tcPr>
            <w:tcW w:w="642" w:type="pct"/>
            <w:vMerge w:val="continue"/>
            <w:tcBorders>
              <w:top w:val="nil"/>
              <w:left w:val="single" w:color="auto" w:sz="4" w:space="0"/>
              <w:bottom w:val="single" w:color="auto" w:sz="4" w:space="0"/>
              <w:right w:val="single" w:color="auto" w:sz="4" w:space="0"/>
            </w:tcBorders>
            <w:vAlign w:val="center"/>
          </w:tcPr>
          <w:p w14:paraId="26D0C724">
            <w:pPr>
              <w:widowControl/>
              <w:adjustRightInd/>
              <w:spacing w:line="240" w:lineRule="auto"/>
              <w:jc w:val="center"/>
              <w:rPr>
                <w:rFonts w:ascii="Times New Roman" w:hAnsi="Times New Roman" w:eastAsia="Times New Roman"/>
                <w:kern w:val="0"/>
              </w:rPr>
            </w:pPr>
          </w:p>
        </w:tc>
        <w:tc>
          <w:tcPr>
            <w:tcW w:w="1521" w:type="pct"/>
            <w:tcBorders>
              <w:top w:val="single" w:color="auto" w:sz="4" w:space="0"/>
              <w:left w:val="single" w:color="auto" w:sz="4" w:space="0"/>
              <w:bottom w:val="single" w:color="auto" w:sz="4" w:space="0"/>
              <w:right w:val="single" w:color="auto" w:sz="4" w:space="0"/>
            </w:tcBorders>
            <w:vAlign w:val="center"/>
          </w:tcPr>
          <w:p w14:paraId="32747085">
            <w:pPr>
              <w:pStyle w:val="59"/>
              <w:ind w:firstLine="0" w:firstLineChars="0"/>
              <w:jc w:val="center"/>
              <w:rPr>
                <w:rFonts w:eastAsia="Times New Roman"/>
              </w:rPr>
            </w:pPr>
            <w:r>
              <w:rPr>
                <w:rFonts w:hint="eastAsia" w:ascii="宋体" w:hAnsi="宋体" w:eastAsia="Times New Roman"/>
              </w:rPr>
              <w:t>界面防护漆</w:t>
            </w:r>
          </w:p>
        </w:tc>
        <w:tc>
          <w:tcPr>
            <w:tcW w:w="1207" w:type="pct"/>
            <w:tcBorders>
              <w:top w:val="single" w:color="auto" w:sz="4" w:space="0"/>
              <w:left w:val="single" w:color="auto" w:sz="4" w:space="0"/>
              <w:bottom w:val="single" w:color="auto" w:sz="4" w:space="0"/>
              <w:right w:val="single" w:color="auto" w:sz="4" w:space="0"/>
            </w:tcBorders>
            <w:vAlign w:val="center"/>
          </w:tcPr>
          <w:p w14:paraId="380D59E3">
            <w:pPr>
              <w:pStyle w:val="59"/>
              <w:ind w:firstLine="0" w:firstLineChars="0"/>
              <w:jc w:val="center"/>
              <w:rPr>
                <w:rFonts w:eastAsia="Times New Roman"/>
              </w:rPr>
            </w:pPr>
            <w:r>
              <w:rPr>
                <w:rFonts w:hint="eastAsia" w:eastAsia="Times New Roman"/>
              </w:rPr>
              <w:t>40</w:t>
            </w:r>
          </w:p>
        </w:tc>
        <w:tc>
          <w:tcPr>
            <w:tcW w:w="512" w:type="pct"/>
            <w:tcBorders>
              <w:top w:val="single" w:color="auto" w:sz="4" w:space="0"/>
              <w:left w:val="single" w:color="auto" w:sz="4" w:space="0"/>
              <w:bottom w:val="single" w:color="auto" w:sz="4" w:space="0"/>
              <w:right w:val="single" w:color="auto" w:sz="4" w:space="0"/>
            </w:tcBorders>
            <w:vAlign w:val="center"/>
          </w:tcPr>
          <w:p w14:paraId="733E1C73">
            <w:pPr>
              <w:pStyle w:val="59"/>
              <w:ind w:firstLine="0" w:firstLineChars="0"/>
              <w:jc w:val="center"/>
              <w:rPr>
                <w:rFonts w:eastAsia="Times New Roman"/>
              </w:rPr>
            </w:pPr>
            <w:r>
              <w:rPr>
                <w:rFonts w:hint="eastAsia" w:eastAsia="Times New Roman"/>
              </w:rPr>
              <w:t>2</w:t>
            </w:r>
          </w:p>
        </w:tc>
      </w:tr>
      <w:tr w14:paraId="1FF7D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649" w:type="pct"/>
            <w:vMerge w:val="continue"/>
            <w:tcBorders>
              <w:top w:val="nil"/>
              <w:left w:val="single" w:color="auto" w:sz="4" w:space="0"/>
              <w:bottom w:val="single" w:color="auto" w:sz="4" w:space="0"/>
              <w:right w:val="single" w:color="auto" w:sz="4" w:space="0"/>
            </w:tcBorders>
            <w:vAlign w:val="center"/>
          </w:tcPr>
          <w:p w14:paraId="28D9428A">
            <w:pPr>
              <w:widowControl/>
              <w:adjustRightInd/>
              <w:spacing w:line="240" w:lineRule="auto"/>
              <w:jc w:val="center"/>
              <w:rPr>
                <w:rFonts w:ascii="Times New Roman" w:hAnsi="Times New Roman" w:eastAsia="Times New Roman"/>
                <w:kern w:val="0"/>
              </w:rPr>
            </w:pPr>
          </w:p>
        </w:tc>
        <w:tc>
          <w:tcPr>
            <w:tcW w:w="467" w:type="pct"/>
            <w:vMerge w:val="continue"/>
            <w:tcBorders>
              <w:top w:val="nil"/>
              <w:left w:val="single" w:color="auto" w:sz="4" w:space="0"/>
              <w:bottom w:val="single" w:color="auto" w:sz="4" w:space="0"/>
              <w:right w:val="single" w:color="auto" w:sz="4" w:space="0"/>
            </w:tcBorders>
            <w:vAlign w:val="center"/>
          </w:tcPr>
          <w:p w14:paraId="31DA7E27">
            <w:pPr>
              <w:widowControl/>
              <w:adjustRightInd/>
              <w:spacing w:line="240" w:lineRule="auto"/>
              <w:jc w:val="center"/>
              <w:rPr>
                <w:rFonts w:ascii="Times New Roman" w:hAnsi="Times New Roman" w:eastAsia="Times New Roman"/>
                <w:kern w:val="0"/>
              </w:rPr>
            </w:pPr>
          </w:p>
        </w:tc>
        <w:tc>
          <w:tcPr>
            <w:tcW w:w="642" w:type="pct"/>
            <w:vMerge w:val="continue"/>
            <w:tcBorders>
              <w:top w:val="nil"/>
              <w:left w:val="single" w:color="auto" w:sz="4" w:space="0"/>
              <w:bottom w:val="single" w:color="auto" w:sz="4" w:space="0"/>
              <w:right w:val="single" w:color="auto" w:sz="4" w:space="0"/>
            </w:tcBorders>
            <w:vAlign w:val="center"/>
          </w:tcPr>
          <w:p w14:paraId="262665BA">
            <w:pPr>
              <w:widowControl/>
              <w:adjustRightInd/>
              <w:spacing w:line="240" w:lineRule="auto"/>
              <w:jc w:val="center"/>
              <w:rPr>
                <w:rFonts w:ascii="Times New Roman" w:hAnsi="Times New Roman" w:eastAsia="Times New Roman"/>
                <w:kern w:val="0"/>
              </w:rPr>
            </w:pPr>
          </w:p>
        </w:tc>
        <w:tc>
          <w:tcPr>
            <w:tcW w:w="1521" w:type="pct"/>
            <w:tcBorders>
              <w:top w:val="single" w:color="auto" w:sz="4" w:space="0"/>
              <w:left w:val="single" w:color="auto" w:sz="4" w:space="0"/>
              <w:bottom w:val="single" w:color="auto" w:sz="4" w:space="0"/>
              <w:right w:val="single" w:color="auto" w:sz="4" w:space="0"/>
            </w:tcBorders>
            <w:vAlign w:val="center"/>
          </w:tcPr>
          <w:p w14:paraId="2A1955F5">
            <w:pPr>
              <w:pStyle w:val="59"/>
              <w:ind w:firstLine="0" w:firstLineChars="0"/>
              <w:jc w:val="center"/>
              <w:rPr>
                <w:rFonts w:eastAsia="Times New Roman"/>
              </w:rPr>
            </w:pPr>
            <w:r>
              <w:rPr>
                <w:rFonts w:hint="eastAsia" w:ascii="宋体" w:hAnsi="宋体" w:eastAsia="Times New Roman"/>
              </w:rPr>
              <w:t>氟碳面漆</w:t>
            </w:r>
            <w:r>
              <w:rPr>
                <w:rFonts w:hint="eastAsia" w:eastAsia="Times New Roman"/>
              </w:rPr>
              <w:t>/</w:t>
            </w:r>
            <w:r>
              <w:rPr>
                <w:rFonts w:hint="eastAsia" w:ascii="宋体" w:hAnsi="宋体" w:eastAsia="Times New Roman"/>
              </w:rPr>
              <w:t>聚硅氧烷面漆</w:t>
            </w:r>
          </w:p>
        </w:tc>
        <w:tc>
          <w:tcPr>
            <w:tcW w:w="1207" w:type="pct"/>
            <w:tcBorders>
              <w:top w:val="single" w:color="auto" w:sz="4" w:space="0"/>
              <w:left w:val="single" w:color="auto" w:sz="4" w:space="0"/>
              <w:bottom w:val="single" w:color="auto" w:sz="4" w:space="0"/>
              <w:right w:val="single" w:color="auto" w:sz="4" w:space="0"/>
            </w:tcBorders>
            <w:vAlign w:val="center"/>
          </w:tcPr>
          <w:p w14:paraId="29035320">
            <w:pPr>
              <w:pStyle w:val="59"/>
              <w:ind w:firstLine="0" w:firstLineChars="0"/>
              <w:jc w:val="center"/>
              <w:rPr>
                <w:rFonts w:eastAsia="Times New Roman"/>
              </w:rPr>
            </w:pPr>
            <w:r>
              <w:rPr>
                <w:rFonts w:hint="eastAsia" w:eastAsia="Times New Roman"/>
              </w:rPr>
              <w:t>80</w:t>
            </w:r>
          </w:p>
        </w:tc>
        <w:tc>
          <w:tcPr>
            <w:tcW w:w="512" w:type="pct"/>
            <w:tcBorders>
              <w:top w:val="single" w:color="auto" w:sz="4" w:space="0"/>
              <w:left w:val="single" w:color="auto" w:sz="4" w:space="0"/>
              <w:bottom w:val="single" w:color="auto" w:sz="4" w:space="0"/>
              <w:right w:val="single" w:color="auto" w:sz="4" w:space="0"/>
            </w:tcBorders>
            <w:vAlign w:val="center"/>
          </w:tcPr>
          <w:p w14:paraId="7F98B229">
            <w:pPr>
              <w:pStyle w:val="59"/>
              <w:ind w:firstLine="0" w:firstLineChars="0"/>
              <w:jc w:val="center"/>
              <w:rPr>
                <w:rFonts w:eastAsia="Times New Roman"/>
              </w:rPr>
            </w:pPr>
            <w:r>
              <w:rPr>
                <w:rFonts w:hint="eastAsia" w:eastAsia="Times New Roman"/>
              </w:rPr>
              <w:t>2</w:t>
            </w:r>
          </w:p>
        </w:tc>
      </w:tr>
      <w:tr w14:paraId="24585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649" w:type="pct"/>
            <w:vMerge w:val="continue"/>
            <w:tcBorders>
              <w:top w:val="nil"/>
              <w:left w:val="single" w:color="auto" w:sz="4" w:space="0"/>
              <w:bottom w:val="single" w:color="auto" w:sz="4" w:space="0"/>
              <w:right w:val="single" w:color="auto" w:sz="4" w:space="0"/>
            </w:tcBorders>
            <w:vAlign w:val="center"/>
          </w:tcPr>
          <w:p w14:paraId="00FEC1C4">
            <w:pPr>
              <w:widowControl/>
              <w:adjustRightInd/>
              <w:spacing w:line="240" w:lineRule="auto"/>
              <w:jc w:val="center"/>
              <w:rPr>
                <w:rFonts w:ascii="Times New Roman" w:hAnsi="Times New Roman" w:eastAsia="Times New Roman"/>
                <w:kern w:val="0"/>
              </w:rPr>
            </w:pPr>
          </w:p>
        </w:tc>
        <w:tc>
          <w:tcPr>
            <w:tcW w:w="467" w:type="pct"/>
            <w:tcBorders>
              <w:top w:val="single" w:color="auto" w:sz="4" w:space="0"/>
              <w:left w:val="single" w:color="auto" w:sz="4" w:space="0"/>
              <w:bottom w:val="single" w:color="auto" w:sz="4" w:space="0"/>
              <w:right w:val="single" w:color="auto" w:sz="4" w:space="0"/>
            </w:tcBorders>
            <w:vAlign w:val="center"/>
          </w:tcPr>
          <w:p w14:paraId="485C1AA0">
            <w:pPr>
              <w:pStyle w:val="59"/>
              <w:ind w:firstLine="0" w:firstLineChars="0"/>
              <w:jc w:val="center"/>
              <w:rPr>
                <w:rFonts w:eastAsia="Times New Roman"/>
              </w:rPr>
            </w:pPr>
            <w:r>
              <w:rPr>
                <w:rFonts w:eastAsia="Times New Roman"/>
              </w:rPr>
              <w:t>120</w:t>
            </w:r>
          </w:p>
        </w:tc>
        <w:tc>
          <w:tcPr>
            <w:tcW w:w="642" w:type="pct"/>
            <w:tcBorders>
              <w:top w:val="single" w:color="auto" w:sz="4" w:space="0"/>
              <w:left w:val="single" w:color="auto" w:sz="4" w:space="0"/>
              <w:bottom w:val="single" w:color="auto" w:sz="4" w:space="0"/>
              <w:right w:val="single" w:color="auto" w:sz="4" w:space="0"/>
            </w:tcBorders>
            <w:vAlign w:val="center"/>
          </w:tcPr>
          <w:p w14:paraId="10763C3A">
            <w:pPr>
              <w:pStyle w:val="59"/>
              <w:ind w:firstLine="0" w:firstLineChars="0"/>
              <w:jc w:val="center"/>
              <w:rPr>
                <w:rFonts w:eastAsia="Times New Roman"/>
              </w:rPr>
            </w:pPr>
            <w:r>
              <w:rPr>
                <w:rFonts w:hint="eastAsia" w:ascii="宋体" w:hAnsi="宋体" w:eastAsia="Times New Roman"/>
              </w:rPr>
              <w:t>构造二</w:t>
            </w:r>
          </w:p>
        </w:tc>
        <w:tc>
          <w:tcPr>
            <w:tcW w:w="1521" w:type="pct"/>
            <w:tcBorders>
              <w:top w:val="single" w:color="auto" w:sz="4" w:space="0"/>
              <w:left w:val="single" w:color="auto" w:sz="4" w:space="0"/>
              <w:bottom w:val="single" w:color="auto" w:sz="4" w:space="0"/>
              <w:right w:val="single" w:color="auto" w:sz="4" w:space="0"/>
            </w:tcBorders>
            <w:vAlign w:val="center"/>
          </w:tcPr>
          <w:p w14:paraId="22F142AE">
            <w:pPr>
              <w:pStyle w:val="59"/>
              <w:ind w:firstLine="0" w:firstLineChars="0"/>
              <w:jc w:val="center"/>
              <w:rPr>
                <w:rFonts w:eastAsia="Times New Roman"/>
              </w:rPr>
            </w:pPr>
            <w:r>
              <w:rPr>
                <w:rFonts w:hint="eastAsia" w:ascii="宋体" w:hAnsi="宋体" w:eastAsia="Times New Roman"/>
              </w:rPr>
              <w:t>带锈涂装底面合一材料</w:t>
            </w:r>
          </w:p>
        </w:tc>
        <w:tc>
          <w:tcPr>
            <w:tcW w:w="1207" w:type="pct"/>
            <w:tcBorders>
              <w:top w:val="single" w:color="auto" w:sz="4" w:space="0"/>
              <w:left w:val="single" w:color="auto" w:sz="4" w:space="0"/>
              <w:bottom w:val="single" w:color="auto" w:sz="4" w:space="0"/>
              <w:right w:val="single" w:color="auto" w:sz="4" w:space="0"/>
            </w:tcBorders>
            <w:vAlign w:val="center"/>
          </w:tcPr>
          <w:p w14:paraId="1C97DD3D">
            <w:pPr>
              <w:pStyle w:val="59"/>
              <w:ind w:firstLine="0" w:firstLineChars="0"/>
              <w:jc w:val="center"/>
              <w:rPr>
                <w:rFonts w:eastAsia="Times New Roman"/>
              </w:rPr>
            </w:pPr>
            <w:r>
              <w:rPr>
                <w:rFonts w:eastAsia="Times New Roman"/>
              </w:rPr>
              <w:t>120</w:t>
            </w:r>
          </w:p>
        </w:tc>
        <w:tc>
          <w:tcPr>
            <w:tcW w:w="512" w:type="pct"/>
            <w:tcBorders>
              <w:top w:val="single" w:color="auto" w:sz="4" w:space="0"/>
              <w:left w:val="single" w:color="auto" w:sz="4" w:space="0"/>
              <w:bottom w:val="single" w:color="auto" w:sz="4" w:space="0"/>
              <w:right w:val="single" w:color="auto" w:sz="4" w:space="0"/>
            </w:tcBorders>
            <w:vAlign w:val="center"/>
          </w:tcPr>
          <w:p w14:paraId="090F2057">
            <w:pPr>
              <w:pStyle w:val="59"/>
              <w:ind w:firstLine="0" w:firstLineChars="0"/>
              <w:jc w:val="center"/>
              <w:rPr>
                <w:rFonts w:eastAsia="Times New Roman"/>
              </w:rPr>
            </w:pPr>
            <w:r>
              <w:rPr>
                <w:rFonts w:hint="eastAsia" w:eastAsia="Times New Roman"/>
              </w:rPr>
              <w:t>3</w:t>
            </w:r>
          </w:p>
        </w:tc>
      </w:tr>
      <w:tr w14:paraId="184F3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649" w:type="pct"/>
            <w:vMerge w:val="restart"/>
            <w:tcBorders>
              <w:top w:val="nil"/>
              <w:left w:val="single" w:color="auto" w:sz="4" w:space="0"/>
              <w:bottom w:val="single" w:color="auto" w:sz="4" w:space="0"/>
              <w:right w:val="single" w:color="auto" w:sz="4" w:space="0"/>
            </w:tcBorders>
            <w:vAlign w:val="center"/>
          </w:tcPr>
          <w:p w14:paraId="6D50DC4A">
            <w:pPr>
              <w:pStyle w:val="59"/>
              <w:ind w:firstLine="0" w:firstLineChars="0"/>
              <w:jc w:val="center"/>
              <w:rPr>
                <w:rFonts w:eastAsia="Times New Roman"/>
              </w:rPr>
            </w:pPr>
            <w:r>
              <w:rPr>
                <w:rFonts w:hint="eastAsia" w:eastAsia="Times New Roman"/>
              </w:rPr>
              <w:t>10</w:t>
            </w:r>
            <w:r>
              <w:rPr>
                <w:rFonts w:hint="eastAsia" w:ascii="宋体" w:hAnsi="宋体" w:eastAsia="Times New Roman"/>
              </w:rPr>
              <w:t>≤</w:t>
            </w:r>
            <w:r>
              <w:rPr>
                <w:rFonts w:hint="eastAsia" w:eastAsia="Times New Roman"/>
              </w:rPr>
              <w:t>a</w:t>
            </w:r>
            <w:r>
              <w:rPr>
                <w:rFonts w:hint="eastAsia" w:ascii="宋体" w:hAnsi="宋体" w:eastAsia="Times New Roman"/>
              </w:rPr>
              <w:t>＜</w:t>
            </w:r>
            <w:r>
              <w:rPr>
                <w:rFonts w:eastAsia="Times New Roman"/>
              </w:rPr>
              <w:t>15</w:t>
            </w:r>
          </w:p>
        </w:tc>
        <w:tc>
          <w:tcPr>
            <w:tcW w:w="467" w:type="pct"/>
            <w:vMerge w:val="restart"/>
            <w:tcBorders>
              <w:top w:val="nil"/>
              <w:left w:val="single" w:color="auto" w:sz="4" w:space="0"/>
              <w:bottom w:val="single" w:color="auto" w:sz="4" w:space="0"/>
              <w:right w:val="single" w:color="auto" w:sz="4" w:space="0"/>
            </w:tcBorders>
            <w:vAlign w:val="center"/>
          </w:tcPr>
          <w:p w14:paraId="521FF5F9">
            <w:pPr>
              <w:pStyle w:val="59"/>
              <w:ind w:firstLine="0" w:firstLineChars="0"/>
              <w:jc w:val="center"/>
              <w:rPr>
                <w:rFonts w:eastAsia="Times New Roman"/>
              </w:rPr>
            </w:pPr>
            <w:r>
              <w:rPr>
                <w:rFonts w:eastAsia="Times New Roman"/>
              </w:rPr>
              <w:t>210</w:t>
            </w:r>
          </w:p>
        </w:tc>
        <w:tc>
          <w:tcPr>
            <w:tcW w:w="642" w:type="pct"/>
            <w:vMerge w:val="restart"/>
            <w:tcBorders>
              <w:top w:val="nil"/>
              <w:left w:val="single" w:color="auto" w:sz="4" w:space="0"/>
              <w:bottom w:val="single" w:color="auto" w:sz="4" w:space="0"/>
              <w:right w:val="single" w:color="auto" w:sz="4" w:space="0"/>
            </w:tcBorders>
            <w:vAlign w:val="center"/>
          </w:tcPr>
          <w:p w14:paraId="2F2C2B4C">
            <w:pPr>
              <w:pStyle w:val="59"/>
              <w:ind w:firstLine="0" w:firstLineChars="0"/>
              <w:jc w:val="center"/>
              <w:rPr>
                <w:rFonts w:eastAsia="Times New Roman"/>
              </w:rPr>
            </w:pPr>
            <w:r>
              <w:rPr>
                <w:rFonts w:hint="eastAsia" w:ascii="宋体" w:hAnsi="宋体" w:eastAsia="Times New Roman"/>
              </w:rPr>
              <w:t>构造一</w:t>
            </w:r>
          </w:p>
        </w:tc>
        <w:tc>
          <w:tcPr>
            <w:tcW w:w="1521" w:type="pct"/>
            <w:tcBorders>
              <w:top w:val="single" w:color="auto" w:sz="4" w:space="0"/>
              <w:left w:val="single" w:color="auto" w:sz="4" w:space="0"/>
              <w:bottom w:val="single" w:color="auto" w:sz="4" w:space="0"/>
              <w:right w:val="single" w:color="auto" w:sz="4" w:space="0"/>
            </w:tcBorders>
            <w:vAlign w:val="center"/>
          </w:tcPr>
          <w:p w14:paraId="4C85D448">
            <w:pPr>
              <w:pStyle w:val="59"/>
              <w:ind w:firstLine="0" w:firstLineChars="0"/>
              <w:jc w:val="center"/>
              <w:rPr>
                <w:rFonts w:eastAsia="Times New Roman"/>
              </w:rPr>
            </w:pPr>
            <w:r>
              <w:rPr>
                <w:rFonts w:hint="eastAsia" w:ascii="宋体" w:hAnsi="宋体" w:eastAsia="Times New Roman"/>
              </w:rPr>
              <w:t>带锈涂装底漆</w:t>
            </w:r>
          </w:p>
        </w:tc>
        <w:tc>
          <w:tcPr>
            <w:tcW w:w="1207" w:type="pct"/>
            <w:tcBorders>
              <w:top w:val="single" w:color="auto" w:sz="4" w:space="0"/>
              <w:left w:val="single" w:color="auto" w:sz="4" w:space="0"/>
              <w:bottom w:val="single" w:color="auto" w:sz="4" w:space="0"/>
              <w:right w:val="single" w:color="auto" w:sz="4" w:space="0"/>
            </w:tcBorders>
            <w:vAlign w:val="center"/>
          </w:tcPr>
          <w:p w14:paraId="452DA78C">
            <w:pPr>
              <w:pStyle w:val="59"/>
              <w:ind w:firstLine="0" w:firstLineChars="0"/>
              <w:jc w:val="center"/>
              <w:rPr>
                <w:rFonts w:eastAsia="Times New Roman"/>
              </w:rPr>
            </w:pPr>
            <w:r>
              <w:rPr>
                <w:rFonts w:eastAsia="Times New Roman"/>
              </w:rPr>
              <w:t>30</w:t>
            </w:r>
          </w:p>
        </w:tc>
        <w:tc>
          <w:tcPr>
            <w:tcW w:w="512" w:type="pct"/>
            <w:tcBorders>
              <w:top w:val="single" w:color="auto" w:sz="4" w:space="0"/>
              <w:left w:val="single" w:color="auto" w:sz="4" w:space="0"/>
              <w:bottom w:val="single" w:color="auto" w:sz="4" w:space="0"/>
              <w:right w:val="single" w:color="auto" w:sz="4" w:space="0"/>
            </w:tcBorders>
            <w:vAlign w:val="center"/>
          </w:tcPr>
          <w:p w14:paraId="03817417">
            <w:pPr>
              <w:pStyle w:val="59"/>
              <w:ind w:firstLine="0" w:firstLineChars="0"/>
              <w:jc w:val="center"/>
              <w:rPr>
                <w:rFonts w:eastAsia="Times New Roman"/>
              </w:rPr>
            </w:pPr>
            <w:r>
              <w:rPr>
                <w:rFonts w:hint="eastAsia" w:eastAsia="Times New Roman"/>
              </w:rPr>
              <w:t>1</w:t>
            </w:r>
          </w:p>
        </w:tc>
      </w:tr>
      <w:tr w14:paraId="3836F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649" w:type="pct"/>
            <w:vMerge w:val="continue"/>
            <w:tcBorders>
              <w:top w:val="nil"/>
              <w:left w:val="single" w:color="auto" w:sz="4" w:space="0"/>
              <w:bottom w:val="single" w:color="auto" w:sz="4" w:space="0"/>
              <w:right w:val="single" w:color="auto" w:sz="4" w:space="0"/>
            </w:tcBorders>
            <w:vAlign w:val="center"/>
          </w:tcPr>
          <w:p w14:paraId="32B3DA5D">
            <w:pPr>
              <w:widowControl/>
              <w:adjustRightInd/>
              <w:spacing w:line="240" w:lineRule="auto"/>
              <w:jc w:val="center"/>
              <w:rPr>
                <w:rFonts w:ascii="Times New Roman" w:hAnsi="Times New Roman" w:eastAsia="Times New Roman"/>
                <w:kern w:val="0"/>
              </w:rPr>
            </w:pPr>
          </w:p>
        </w:tc>
        <w:tc>
          <w:tcPr>
            <w:tcW w:w="467" w:type="pct"/>
            <w:vMerge w:val="continue"/>
            <w:tcBorders>
              <w:top w:val="nil"/>
              <w:left w:val="single" w:color="auto" w:sz="4" w:space="0"/>
              <w:bottom w:val="single" w:color="auto" w:sz="4" w:space="0"/>
              <w:right w:val="single" w:color="auto" w:sz="4" w:space="0"/>
            </w:tcBorders>
            <w:vAlign w:val="center"/>
          </w:tcPr>
          <w:p w14:paraId="38CD02AB">
            <w:pPr>
              <w:widowControl/>
              <w:adjustRightInd/>
              <w:spacing w:line="240" w:lineRule="auto"/>
              <w:jc w:val="center"/>
              <w:rPr>
                <w:rFonts w:ascii="Times New Roman" w:hAnsi="Times New Roman" w:eastAsia="Times New Roman"/>
                <w:kern w:val="0"/>
              </w:rPr>
            </w:pPr>
          </w:p>
        </w:tc>
        <w:tc>
          <w:tcPr>
            <w:tcW w:w="642" w:type="pct"/>
            <w:vMerge w:val="continue"/>
            <w:tcBorders>
              <w:top w:val="nil"/>
              <w:left w:val="single" w:color="auto" w:sz="4" w:space="0"/>
              <w:bottom w:val="single" w:color="auto" w:sz="4" w:space="0"/>
              <w:right w:val="single" w:color="auto" w:sz="4" w:space="0"/>
            </w:tcBorders>
            <w:vAlign w:val="center"/>
          </w:tcPr>
          <w:p w14:paraId="2BEC2EA4">
            <w:pPr>
              <w:widowControl/>
              <w:adjustRightInd/>
              <w:spacing w:line="240" w:lineRule="auto"/>
              <w:jc w:val="center"/>
              <w:rPr>
                <w:rFonts w:ascii="Times New Roman" w:hAnsi="Times New Roman" w:eastAsia="Times New Roman"/>
                <w:kern w:val="0"/>
              </w:rPr>
            </w:pPr>
          </w:p>
        </w:tc>
        <w:tc>
          <w:tcPr>
            <w:tcW w:w="1521" w:type="pct"/>
            <w:tcBorders>
              <w:top w:val="single" w:color="auto" w:sz="4" w:space="0"/>
              <w:left w:val="single" w:color="auto" w:sz="4" w:space="0"/>
              <w:bottom w:val="single" w:color="auto" w:sz="4" w:space="0"/>
              <w:right w:val="single" w:color="auto" w:sz="4" w:space="0"/>
            </w:tcBorders>
            <w:vAlign w:val="center"/>
          </w:tcPr>
          <w:p w14:paraId="1EC61F39">
            <w:pPr>
              <w:pStyle w:val="59"/>
              <w:ind w:firstLine="0" w:firstLineChars="0"/>
              <w:jc w:val="center"/>
              <w:rPr>
                <w:rFonts w:eastAsia="Times New Roman"/>
              </w:rPr>
            </w:pPr>
            <w:r>
              <w:rPr>
                <w:rFonts w:hint="eastAsia" w:ascii="宋体" w:hAnsi="宋体" w:eastAsia="Times New Roman"/>
              </w:rPr>
              <w:t>界面防护漆</w:t>
            </w:r>
          </w:p>
        </w:tc>
        <w:tc>
          <w:tcPr>
            <w:tcW w:w="1207" w:type="pct"/>
            <w:tcBorders>
              <w:top w:val="single" w:color="auto" w:sz="4" w:space="0"/>
              <w:left w:val="single" w:color="auto" w:sz="4" w:space="0"/>
              <w:bottom w:val="single" w:color="auto" w:sz="4" w:space="0"/>
              <w:right w:val="single" w:color="auto" w:sz="4" w:space="0"/>
            </w:tcBorders>
            <w:vAlign w:val="center"/>
          </w:tcPr>
          <w:p w14:paraId="31A898C9">
            <w:pPr>
              <w:pStyle w:val="59"/>
              <w:ind w:firstLine="0" w:firstLineChars="0"/>
              <w:jc w:val="center"/>
              <w:rPr>
                <w:rFonts w:eastAsia="Times New Roman"/>
              </w:rPr>
            </w:pPr>
            <w:r>
              <w:rPr>
                <w:rFonts w:eastAsia="Times New Roman"/>
              </w:rPr>
              <w:t>60</w:t>
            </w:r>
          </w:p>
        </w:tc>
        <w:tc>
          <w:tcPr>
            <w:tcW w:w="512" w:type="pct"/>
            <w:tcBorders>
              <w:top w:val="single" w:color="auto" w:sz="4" w:space="0"/>
              <w:left w:val="single" w:color="auto" w:sz="4" w:space="0"/>
              <w:bottom w:val="single" w:color="auto" w:sz="4" w:space="0"/>
              <w:right w:val="single" w:color="auto" w:sz="4" w:space="0"/>
            </w:tcBorders>
            <w:vAlign w:val="center"/>
          </w:tcPr>
          <w:p w14:paraId="2BFA3103">
            <w:pPr>
              <w:pStyle w:val="59"/>
              <w:ind w:firstLine="0" w:firstLineChars="0"/>
              <w:jc w:val="center"/>
              <w:rPr>
                <w:rFonts w:eastAsia="Times New Roman"/>
              </w:rPr>
            </w:pPr>
            <w:r>
              <w:rPr>
                <w:rFonts w:hint="eastAsia" w:eastAsia="Times New Roman"/>
              </w:rPr>
              <w:t>2</w:t>
            </w:r>
          </w:p>
        </w:tc>
      </w:tr>
      <w:tr w14:paraId="00D5C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649" w:type="pct"/>
            <w:vMerge w:val="continue"/>
            <w:tcBorders>
              <w:top w:val="nil"/>
              <w:left w:val="single" w:color="auto" w:sz="4" w:space="0"/>
              <w:bottom w:val="single" w:color="auto" w:sz="4" w:space="0"/>
              <w:right w:val="single" w:color="auto" w:sz="4" w:space="0"/>
            </w:tcBorders>
            <w:vAlign w:val="center"/>
          </w:tcPr>
          <w:p w14:paraId="30082964">
            <w:pPr>
              <w:widowControl/>
              <w:adjustRightInd/>
              <w:spacing w:line="240" w:lineRule="auto"/>
              <w:jc w:val="center"/>
              <w:rPr>
                <w:rFonts w:ascii="Times New Roman" w:hAnsi="Times New Roman" w:eastAsia="Times New Roman"/>
                <w:kern w:val="0"/>
              </w:rPr>
            </w:pPr>
          </w:p>
        </w:tc>
        <w:tc>
          <w:tcPr>
            <w:tcW w:w="467" w:type="pct"/>
            <w:vMerge w:val="continue"/>
            <w:tcBorders>
              <w:top w:val="nil"/>
              <w:left w:val="single" w:color="auto" w:sz="4" w:space="0"/>
              <w:bottom w:val="single" w:color="auto" w:sz="4" w:space="0"/>
              <w:right w:val="single" w:color="auto" w:sz="4" w:space="0"/>
            </w:tcBorders>
            <w:vAlign w:val="center"/>
          </w:tcPr>
          <w:p w14:paraId="4428B04D">
            <w:pPr>
              <w:widowControl/>
              <w:adjustRightInd/>
              <w:spacing w:line="240" w:lineRule="auto"/>
              <w:jc w:val="center"/>
              <w:rPr>
                <w:rFonts w:ascii="Times New Roman" w:hAnsi="Times New Roman" w:eastAsia="Times New Roman"/>
                <w:kern w:val="0"/>
              </w:rPr>
            </w:pPr>
          </w:p>
        </w:tc>
        <w:tc>
          <w:tcPr>
            <w:tcW w:w="642" w:type="pct"/>
            <w:vMerge w:val="continue"/>
            <w:tcBorders>
              <w:top w:val="nil"/>
              <w:left w:val="single" w:color="auto" w:sz="4" w:space="0"/>
              <w:bottom w:val="single" w:color="auto" w:sz="4" w:space="0"/>
              <w:right w:val="single" w:color="auto" w:sz="4" w:space="0"/>
            </w:tcBorders>
            <w:vAlign w:val="center"/>
          </w:tcPr>
          <w:p w14:paraId="6800650B">
            <w:pPr>
              <w:widowControl/>
              <w:adjustRightInd/>
              <w:spacing w:line="240" w:lineRule="auto"/>
              <w:jc w:val="center"/>
              <w:rPr>
                <w:rFonts w:ascii="Times New Roman" w:hAnsi="Times New Roman" w:eastAsia="Times New Roman"/>
                <w:kern w:val="0"/>
              </w:rPr>
            </w:pPr>
          </w:p>
        </w:tc>
        <w:tc>
          <w:tcPr>
            <w:tcW w:w="1521" w:type="pct"/>
            <w:tcBorders>
              <w:top w:val="single" w:color="auto" w:sz="4" w:space="0"/>
              <w:left w:val="single" w:color="auto" w:sz="4" w:space="0"/>
              <w:bottom w:val="single" w:color="auto" w:sz="4" w:space="0"/>
              <w:right w:val="single" w:color="auto" w:sz="4" w:space="0"/>
            </w:tcBorders>
            <w:vAlign w:val="center"/>
          </w:tcPr>
          <w:p w14:paraId="7231467D">
            <w:pPr>
              <w:pStyle w:val="59"/>
              <w:ind w:firstLine="0" w:firstLineChars="0"/>
              <w:jc w:val="center"/>
              <w:rPr>
                <w:rFonts w:eastAsia="Times New Roman"/>
              </w:rPr>
            </w:pPr>
            <w:r>
              <w:rPr>
                <w:rFonts w:hint="eastAsia" w:ascii="宋体" w:hAnsi="宋体" w:eastAsia="Times New Roman"/>
              </w:rPr>
              <w:t>氟碳面漆</w:t>
            </w:r>
            <w:r>
              <w:rPr>
                <w:rFonts w:hint="eastAsia" w:eastAsia="Times New Roman"/>
              </w:rPr>
              <w:t>/</w:t>
            </w:r>
            <w:r>
              <w:rPr>
                <w:rFonts w:hint="eastAsia" w:ascii="宋体" w:hAnsi="宋体" w:eastAsia="Times New Roman"/>
              </w:rPr>
              <w:t>聚硅氧烷面漆</w:t>
            </w:r>
          </w:p>
        </w:tc>
        <w:tc>
          <w:tcPr>
            <w:tcW w:w="1207" w:type="pct"/>
            <w:tcBorders>
              <w:top w:val="single" w:color="auto" w:sz="4" w:space="0"/>
              <w:left w:val="single" w:color="auto" w:sz="4" w:space="0"/>
              <w:bottom w:val="single" w:color="auto" w:sz="4" w:space="0"/>
              <w:right w:val="single" w:color="auto" w:sz="4" w:space="0"/>
            </w:tcBorders>
            <w:vAlign w:val="center"/>
          </w:tcPr>
          <w:p w14:paraId="676A0E09">
            <w:pPr>
              <w:pStyle w:val="59"/>
              <w:ind w:firstLine="0" w:firstLineChars="0"/>
              <w:jc w:val="center"/>
              <w:rPr>
                <w:rFonts w:eastAsia="Times New Roman"/>
              </w:rPr>
            </w:pPr>
            <w:r>
              <w:rPr>
                <w:rFonts w:eastAsia="Times New Roman"/>
              </w:rPr>
              <w:t>120</w:t>
            </w:r>
          </w:p>
        </w:tc>
        <w:tc>
          <w:tcPr>
            <w:tcW w:w="512" w:type="pct"/>
            <w:tcBorders>
              <w:top w:val="single" w:color="auto" w:sz="4" w:space="0"/>
              <w:left w:val="single" w:color="auto" w:sz="4" w:space="0"/>
              <w:bottom w:val="single" w:color="auto" w:sz="4" w:space="0"/>
              <w:right w:val="single" w:color="auto" w:sz="4" w:space="0"/>
            </w:tcBorders>
            <w:vAlign w:val="center"/>
          </w:tcPr>
          <w:p w14:paraId="6AA96D5F">
            <w:pPr>
              <w:pStyle w:val="59"/>
              <w:ind w:firstLine="0" w:firstLineChars="0"/>
              <w:jc w:val="center"/>
              <w:rPr>
                <w:rFonts w:eastAsia="Times New Roman"/>
              </w:rPr>
            </w:pPr>
            <w:r>
              <w:rPr>
                <w:rFonts w:hint="eastAsia" w:eastAsia="Times New Roman"/>
              </w:rPr>
              <w:t>3</w:t>
            </w:r>
          </w:p>
        </w:tc>
      </w:tr>
      <w:tr w14:paraId="74F37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649" w:type="pct"/>
            <w:vMerge w:val="continue"/>
            <w:tcBorders>
              <w:top w:val="nil"/>
              <w:left w:val="single" w:color="auto" w:sz="4" w:space="0"/>
              <w:bottom w:val="single" w:color="auto" w:sz="4" w:space="0"/>
              <w:right w:val="single" w:color="auto" w:sz="4" w:space="0"/>
            </w:tcBorders>
            <w:vAlign w:val="center"/>
          </w:tcPr>
          <w:p w14:paraId="24BCD2F1">
            <w:pPr>
              <w:widowControl/>
              <w:adjustRightInd/>
              <w:spacing w:line="240" w:lineRule="auto"/>
              <w:jc w:val="center"/>
              <w:rPr>
                <w:rFonts w:ascii="Times New Roman" w:hAnsi="Times New Roman" w:eastAsia="Times New Roman"/>
                <w:kern w:val="0"/>
              </w:rPr>
            </w:pPr>
          </w:p>
        </w:tc>
        <w:tc>
          <w:tcPr>
            <w:tcW w:w="467" w:type="pct"/>
            <w:tcBorders>
              <w:top w:val="single" w:color="auto" w:sz="4" w:space="0"/>
              <w:left w:val="single" w:color="auto" w:sz="4" w:space="0"/>
              <w:bottom w:val="single" w:color="auto" w:sz="4" w:space="0"/>
              <w:right w:val="single" w:color="auto" w:sz="4" w:space="0"/>
            </w:tcBorders>
            <w:vAlign w:val="center"/>
          </w:tcPr>
          <w:p w14:paraId="7AF52B49">
            <w:pPr>
              <w:pStyle w:val="59"/>
              <w:ind w:firstLine="0" w:firstLineChars="0"/>
              <w:jc w:val="center"/>
              <w:rPr>
                <w:rFonts w:eastAsia="Times New Roman"/>
              </w:rPr>
            </w:pPr>
            <w:r>
              <w:rPr>
                <w:rFonts w:hint="eastAsia" w:eastAsia="Times New Roman"/>
              </w:rPr>
              <w:t>1</w:t>
            </w:r>
            <w:r>
              <w:rPr>
                <w:rFonts w:eastAsia="Times New Roman"/>
              </w:rPr>
              <w:t>60</w:t>
            </w:r>
          </w:p>
        </w:tc>
        <w:tc>
          <w:tcPr>
            <w:tcW w:w="642" w:type="pct"/>
            <w:tcBorders>
              <w:top w:val="single" w:color="auto" w:sz="4" w:space="0"/>
              <w:left w:val="single" w:color="auto" w:sz="4" w:space="0"/>
              <w:bottom w:val="single" w:color="auto" w:sz="4" w:space="0"/>
              <w:right w:val="single" w:color="auto" w:sz="4" w:space="0"/>
            </w:tcBorders>
            <w:vAlign w:val="center"/>
          </w:tcPr>
          <w:p w14:paraId="2A8A7CA7">
            <w:pPr>
              <w:pStyle w:val="59"/>
              <w:ind w:firstLine="0" w:firstLineChars="0"/>
              <w:jc w:val="center"/>
              <w:rPr>
                <w:rFonts w:eastAsia="Times New Roman"/>
              </w:rPr>
            </w:pPr>
            <w:r>
              <w:rPr>
                <w:rFonts w:hint="eastAsia" w:ascii="宋体" w:hAnsi="宋体" w:eastAsia="Times New Roman"/>
              </w:rPr>
              <w:t>构造二</w:t>
            </w:r>
          </w:p>
        </w:tc>
        <w:tc>
          <w:tcPr>
            <w:tcW w:w="1521" w:type="pct"/>
            <w:tcBorders>
              <w:top w:val="single" w:color="auto" w:sz="4" w:space="0"/>
              <w:left w:val="single" w:color="auto" w:sz="4" w:space="0"/>
              <w:bottom w:val="single" w:color="auto" w:sz="4" w:space="0"/>
              <w:right w:val="single" w:color="auto" w:sz="4" w:space="0"/>
            </w:tcBorders>
            <w:vAlign w:val="center"/>
          </w:tcPr>
          <w:p w14:paraId="1DDCEEE8">
            <w:pPr>
              <w:pStyle w:val="59"/>
              <w:ind w:firstLine="0" w:firstLineChars="0"/>
              <w:jc w:val="center"/>
              <w:rPr>
                <w:rFonts w:eastAsia="Times New Roman"/>
              </w:rPr>
            </w:pPr>
            <w:r>
              <w:rPr>
                <w:rFonts w:hint="eastAsia" w:ascii="宋体" w:hAnsi="宋体" w:eastAsia="Times New Roman"/>
              </w:rPr>
              <w:t>带锈涂装底面合一材料</w:t>
            </w:r>
          </w:p>
        </w:tc>
        <w:tc>
          <w:tcPr>
            <w:tcW w:w="1207" w:type="pct"/>
            <w:tcBorders>
              <w:top w:val="single" w:color="auto" w:sz="4" w:space="0"/>
              <w:left w:val="single" w:color="auto" w:sz="4" w:space="0"/>
              <w:bottom w:val="single" w:color="auto" w:sz="4" w:space="0"/>
              <w:right w:val="single" w:color="auto" w:sz="4" w:space="0"/>
            </w:tcBorders>
            <w:vAlign w:val="center"/>
          </w:tcPr>
          <w:p w14:paraId="3FC604C3">
            <w:pPr>
              <w:pStyle w:val="59"/>
              <w:ind w:firstLine="0" w:firstLineChars="0"/>
              <w:jc w:val="center"/>
              <w:rPr>
                <w:rFonts w:eastAsia="Times New Roman"/>
              </w:rPr>
            </w:pPr>
            <w:r>
              <w:rPr>
                <w:rFonts w:eastAsia="Times New Roman"/>
              </w:rPr>
              <w:t>160</w:t>
            </w:r>
          </w:p>
        </w:tc>
        <w:tc>
          <w:tcPr>
            <w:tcW w:w="512" w:type="pct"/>
            <w:tcBorders>
              <w:top w:val="single" w:color="auto" w:sz="4" w:space="0"/>
              <w:left w:val="single" w:color="auto" w:sz="4" w:space="0"/>
              <w:bottom w:val="single" w:color="auto" w:sz="4" w:space="0"/>
              <w:right w:val="single" w:color="auto" w:sz="4" w:space="0"/>
            </w:tcBorders>
            <w:vAlign w:val="center"/>
          </w:tcPr>
          <w:p w14:paraId="2AB17572">
            <w:pPr>
              <w:pStyle w:val="59"/>
              <w:ind w:firstLine="0" w:firstLineChars="0"/>
              <w:jc w:val="center"/>
              <w:rPr>
                <w:rFonts w:eastAsia="Times New Roman"/>
              </w:rPr>
            </w:pPr>
            <w:r>
              <w:rPr>
                <w:rFonts w:hint="eastAsia" w:eastAsia="Times New Roman"/>
              </w:rPr>
              <w:t>4</w:t>
            </w:r>
          </w:p>
        </w:tc>
      </w:tr>
    </w:tbl>
    <w:p w14:paraId="3A349EA4">
      <w:pPr>
        <w:pStyle w:val="59"/>
        <w:ind w:firstLine="420"/>
      </w:pPr>
    </w:p>
    <w:p w14:paraId="0FB6BE71">
      <w:pPr>
        <w:pStyle w:val="80"/>
        <w:spacing w:before="120" w:after="120"/>
      </w:pPr>
      <w:r>
        <w:rPr>
          <w:rFonts w:hint="eastAsia"/>
        </w:rPr>
        <w:t>C5腐蚀环境等级</w:t>
      </w:r>
      <w:r>
        <w:t>钢</w:t>
      </w:r>
      <w:r>
        <w:rPr>
          <w:rFonts w:hint="eastAsia"/>
        </w:rPr>
        <w:t>构件防腐涂层</w:t>
      </w:r>
      <w:r>
        <w:t>配套</w:t>
      </w:r>
    </w:p>
    <w:tbl>
      <w:tblPr>
        <w:tblStyle w:val="29"/>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3"/>
        <w:gridCol w:w="889"/>
        <w:gridCol w:w="1224"/>
        <w:gridCol w:w="2905"/>
        <w:gridCol w:w="2307"/>
        <w:gridCol w:w="991"/>
      </w:tblGrid>
      <w:tr w14:paraId="18AC5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650" w:type="pct"/>
            <w:vMerge w:val="restart"/>
            <w:tcBorders>
              <w:top w:val="single" w:color="auto" w:sz="4" w:space="0"/>
              <w:left w:val="single" w:color="auto" w:sz="4" w:space="0"/>
              <w:bottom w:val="single" w:color="auto" w:sz="4" w:space="0"/>
              <w:right w:val="single" w:color="auto" w:sz="4" w:space="0"/>
            </w:tcBorders>
            <w:vAlign w:val="center"/>
          </w:tcPr>
          <w:p w14:paraId="70B4A5C0">
            <w:pPr>
              <w:pStyle w:val="59"/>
              <w:ind w:firstLine="0" w:firstLineChars="0"/>
              <w:jc w:val="center"/>
            </w:pPr>
            <w:r>
              <w:rPr>
                <w:rFonts w:hint="eastAsia"/>
              </w:rPr>
              <w:t>设计工</w:t>
            </w:r>
          </w:p>
          <w:p w14:paraId="5D47B980">
            <w:pPr>
              <w:pStyle w:val="59"/>
              <w:ind w:firstLine="0" w:firstLineChars="0"/>
              <w:jc w:val="center"/>
            </w:pPr>
            <w:r>
              <w:rPr>
                <w:rFonts w:hint="eastAsia"/>
              </w:rPr>
              <w:t>作年限（a）</w:t>
            </w:r>
          </w:p>
        </w:tc>
        <w:tc>
          <w:tcPr>
            <w:tcW w:w="465" w:type="pct"/>
            <w:vMerge w:val="restart"/>
            <w:tcBorders>
              <w:top w:val="single" w:color="auto" w:sz="4" w:space="0"/>
              <w:left w:val="single" w:color="auto" w:sz="4" w:space="0"/>
              <w:bottom w:val="single" w:color="auto" w:sz="4" w:space="0"/>
              <w:right w:val="single" w:color="auto" w:sz="4" w:space="0"/>
            </w:tcBorders>
            <w:vAlign w:val="center"/>
          </w:tcPr>
          <w:p w14:paraId="23A43BFE">
            <w:pPr>
              <w:pStyle w:val="59"/>
              <w:ind w:firstLine="0" w:firstLineChars="0"/>
              <w:jc w:val="center"/>
            </w:pPr>
            <w:r>
              <w:rPr>
                <w:rFonts w:hint="eastAsia"/>
              </w:rPr>
              <w:t>涂层</w:t>
            </w:r>
          </w:p>
          <w:p w14:paraId="6E9E469A">
            <w:pPr>
              <w:pStyle w:val="59"/>
              <w:ind w:firstLine="0" w:firstLineChars="0"/>
              <w:jc w:val="center"/>
            </w:pPr>
            <w:r>
              <w:rPr>
                <w:rFonts w:hint="eastAsia"/>
              </w:rPr>
              <w:t>总厚度</w:t>
            </w:r>
          </w:p>
          <w:p w14:paraId="49077F26">
            <w:pPr>
              <w:pStyle w:val="59"/>
              <w:ind w:firstLine="0" w:firstLineChars="0"/>
              <w:jc w:val="center"/>
            </w:pPr>
            <w:r>
              <w:rPr>
                <w:rFonts w:hint="eastAsia"/>
              </w:rPr>
              <w:t>μm</w:t>
            </w:r>
          </w:p>
        </w:tc>
        <w:tc>
          <w:tcPr>
            <w:tcW w:w="640" w:type="pct"/>
            <w:vMerge w:val="restart"/>
            <w:tcBorders>
              <w:top w:val="single" w:color="auto" w:sz="4" w:space="0"/>
              <w:left w:val="single" w:color="auto" w:sz="4" w:space="0"/>
              <w:bottom w:val="single" w:color="auto" w:sz="4" w:space="0"/>
              <w:right w:val="single" w:color="auto" w:sz="4" w:space="0"/>
            </w:tcBorders>
            <w:vAlign w:val="center"/>
          </w:tcPr>
          <w:p w14:paraId="3FA5C2BA">
            <w:pPr>
              <w:pStyle w:val="59"/>
              <w:ind w:firstLine="0" w:firstLineChars="0"/>
              <w:jc w:val="center"/>
            </w:pPr>
            <w:r>
              <w:rPr>
                <w:rFonts w:hint="eastAsia"/>
              </w:rPr>
              <w:t>构造类型</w:t>
            </w:r>
          </w:p>
        </w:tc>
        <w:tc>
          <w:tcPr>
            <w:tcW w:w="3243" w:type="pct"/>
            <w:gridSpan w:val="3"/>
            <w:tcBorders>
              <w:top w:val="single" w:color="auto" w:sz="4" w:space="0"/>
              <w:left w:val="single" w:color="auto" w:sz="4" w:space="0"/>
              <w:bottom w:val="single" w:color="auto" w:sz="4" w:space="0"/>
              <w:right w:val="single" w:color="auto" w:sz="4" w:space="0"/>
            </w:tcBorders>
            <w:vAlign w:val="center"/>
          </w:tcPr>
          <w:p w14:paraId="552C1EF4">
            <w:pPr>
              <w:pStyle w:val="59"/>
              <w:ind w:firstLine="0" w:firstLineChars="0"/>
              <w:jc w:val="center"/>
            </w:pPr>
            <w:r>
              <w:rPr>
                <w:rFonts w:hint="eastAsia"/>
              </w:rPr>
              <w:t>带锈涂装</w:t>
            </w:r>
          </w:p>
        </w:tc>
      </w:tr>
      <w:tr w14:paraId="6B17B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650" w:type="pct"/>
            <w:vMerge w:val="continue"/>
            <w:tcBorders>
              <w:top w:val="single" w:color="auto" w:sz="4" w:space="0"/>
              <w:left w:val="single" w:color="auto" w:sz="4" w:space="0"/>
              <w:bottom w:val="single" w:color="auto" w:sz="4" w:space="0"/>
              <w:right w:val="single" w:color="auto" w:sz="4" w:space="0"/>
            </w:tcBorders>
            <w:vAlign w:val="center"/>
          </w:tcPr>
          <w:p w14:paraId="26BD832B">
            <w:pPr>
              <w:pStyle w:val="59"/>
              <w:ind w:firstLine="0" w:firstLineChars="0"/>
              <w:jc w:val="center"/>
            </w:pPr>
          </w:p>
        </w:tc>
        <w:tc>
          <w:tcPr>
            <w:tcW w:w="465" w:type="pct"/>
            <w:vMerge w:val="continue"/>
            <w:tcBorders>
              <w:top w:val="single" w:color="auto" w:sz="4" w:space="0"/>
              <w:left w:val="single" w:color="auto" w:sz="4" w:space="0"/>
              <w:bottom w:val="single" w:color="auto" w:sz="4" w:space="0"/>
              <w:right w:val="single" w:color="auto" w:sz="4" w:space="0"/>
            </w:tcBorders>
            <w:vAlign w:val="center"/>
          </w:tcPr>
          <w:p w14:paraId="4F5DBD4C">
            <w:pPr>
              <w:pStyle w:val="59"/>
              <w:ind w:firstLine="0" w:firstLineChars="0"/>
              <w:jc w:val="center"/>
            </w:pPr>
          </w:p>
        </w:tc>
        <w:tc>
          <w:tcPr>
            <w:tcW w:w="640" w:type="pct"/>
            <w:vMerge w:val="continue"/>
            <w:tcBorders>
              <w:top w:val="single" w:color="auto" w:sz="4" w:space="0"/>
              <w:left w:val="single" w:color="auto" w:sz="4" w:space="0"/>
              <w:bottom w:val="single" w:color="auto" w:sz="4" w:space="0"/>
              <w:right w:val="single" w:color="auto" w:sz="4" w:space="0"/>
            </w:tcBorders>
            <w:vAlign w:val="center"/>
          </w:tcPr>
          <w:p w14:paraId="5A33DAAF">
            <w:pPr>
              <w:pStyle w:val="59"/>
              <w:ind w:firstLine="0" w:firstLineChars="0"/>
              <w:jc w:val="center"/>
            </w:pPr>
          </w:p>
        </w:tc>
        <w:tc>
          <w:tcPr>
            <w:tcW w:w="1519" w:type="pct"/>
            <w:tcBorders>
              <w:top w:val="single" w:color="auto" w:sz="4" w:space="0"/>
              <w:left w:val="single" w:color="auto" w:sz="4" w:space="0"/>
              <w:bottom w:val="single" w:color="auto" w:sz="4" w:space="0"/>
              <w:right w:val="single" w:color="auto" w:sz="4" w:space="0"/>
            </w:tcBorders>
            <w:vAlign w:val="center"/>
          </w:tcPr>
          <w:p w14:paraId="12594FC2">
            <w:pPr>
              <w:pStyle w:val="59"/>
              <w:ind w:firstLine="0" w:firstLineChars="0"/>
              <w:jc w:val="center"/>
            </w:pPr>
            <w:r>
              <w:rPr>
                <w:rFonts w:hint="eastAsia"/>
              </w:rPr>
              <w:t>材料</w:t>
            </w:r>
          </w:p>
        </w:tc>
        <w:tc>
          <w:tcPr>
            <w:tcW w:w="1206" w:type="pct"/>
            <w:tcBorders>
              <w:top w:val="single" w:color="auto" w:sz="4" w:space="0"/>
              <w:left w:val="single" w:color="auto" w:sz="4" w:space="0"/>
              <w:bottom w:val="single" w:color="auto" w:sz="4" w:space="0"/>
              <w:right w:val="single" w:color="auto" w:sz="4" w:space="0"/>
            </w:tcBorders>
            <w:vAlign w:val="center"/>
          </w:tcPr>
          <w:p w14:paraId="07557356">
            <w:pPr>
              <w:pStyle w:val="59"/>
              <w:ind w:firstLine="0" w:firstLineChars="0"/>
              <w:jc w:val="center"/>
            </w:pPr>
            <w:r>
              <w:rPr>
                <w:rFonts w:hint="eastAsia"/>
              </w:rPr>
              <w:t>最小干膜厚度</w:t>
            </w:r>
          </w:p>
          <w:p w14:paraId="74366402">
            <w:pPr>
              <w:pStyle w:val="59"/>
              <w:ind w:firstLine="0" w:firstLineChars="0"/>
              <w:jc w:val="center"/>
            </w:pPr>
            <w:r>
              <w:rPr>
                <w:rFonts w:hint="eastAsia"/>
              </w:rPr>
              <w:t>μm</w:t>
            </w:r>
          </w:p>
        </w:tc>
        <w:tc>
          <w:tcPr>
            <w:tcW w:w="517" w:type="pct"/>
            <w:tcBorders>
              <w:top w:val="single" w:color="auto" w:sz="4" w:space="0"/>
              <w:left w:val="single" w:color="auto" w:sz="4" w:space="0"/>
              <w:bottom w:val="single" w:color="auto" w:sz="4" w:space="0"/>
              <w:right w:val="single" w:color="auto" w:sz="4" w:space="0"/>
            </w:tcBorders>
            <w:vAlign w:val="center"/>
          </w:tcPr>
          <w:p w14:paraId="65A7A2A6">
            <w:pPr>
              <w:pStyle w:val="59"/>
              <w:ind w:firstLine="0" w:firstLineChars="0"/>
              <w:jc w:val="center"/>
            </w:pPr>
            <w:r>
              <w:rPr>
                <w:rFonts w:hint="eastAsia"/>
              </w:rPr>
              <w:t>道数</w:t>
            </w:r>
          </w:p>
        </w:tc>
      </w:tr>
      <w:tr w14:paraId="68424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650" w:type="pct"/>
            <w:vMerge w:val="restart"/>
            <w:tcBorders>
              <w:top w:val="nil"/>
              <w:left w:val="single" w:color="auto" w:sz="4" w:space="0"/>
              <w:bottom w:val="single" w:color="auto" w:sz="4" w:space="0"/>
              <w:right w:val="single" w:color="auto" w:sz="4" w:space="0"/>
            </w:tcBorders>
            <w:vAlign w:val="center"/>
          </w:tcPr>
          <w:p w14:paraId="082CE0F9">
            <w:pPr>
              <w:pStyle w:val="59"/>
              <w:ind w:firstLine="0" w:firstLineChars="0"/>
              <w:jc w:val="center"/>
            </w:pPr>
            <w:r>
              <w:rPr>
                <w:rFonts w:hint="eastAsia"/>
              </w:rPr>
              <w:t>8≤a＜</w:t>
            </w:r>
            <w:r>
              <w:t>10</w:t>
            </w:r>
          </w:p>
        </w:tc>
        <w:tc>
          <w:tcPr>
            <w:tcW w:w="465" w:type="pct"/>
            <w:vMerge w:val="restart"/>
            <w:tcBorders>
              <w:top w:val="nil"/>
              <w:left w:val="single" w:color="auto" w:sz="4" w:space="0"/>
              <w:bottom w:val="single" w:color="auto" w:sz="4" w:space="0"/>
              <w:right w:val="single" w:color="auto" w:sz="4" w:space="0"/>
            </w:tcBorders>
            <w:vAlign w:val="center"/>
          </w:tcPr>
          <w:p w14:paraId="3CBF58D8">
            <w:pPr>
              <w:pStyle w:val="59"/>
              <w:ind w:firstLine="0" w:firstLineChars="0"/>
              <w:jc w:val="center"/>
            </w:pPr>
            <w:r>
              <w:t>2</w:t>
            </w:r>
            <w:r>
              <w:rPr>
                <w:rFonts w:hint="eastAsia"/>
              </w:rPr>
              <w:t>30</w:t>
            </w:r>
          </w:p>
        </w:tc>
        <w:tc>
          <w:tcPr>
            <w:tcW w:w="640" w:type="pct"/>
            <w:vMerge w:val="restart"/>
            <w:tcBorders>
              <w:top w:val="nil"/>
              <w:left w:val="single" w:color="auto" w:sz="4" w:space="0"/>
              <w:bottom w:val="single" w:color="auto" w:sz="4" w:space="0"/>
              <w:right w:val="single" w:color="auto" w:sz="4" w:space="0"/>
            </w:tcBorders>
            <w:vAlign w:val="center"/>
          </w:tcPr>
          <w:p w14:paraId="13C02CA4">
            <w:pPr>
              <w:pStyle w:val="59"/>
              <w:ind w:firstLine="0" w:firstLineChars="0"/>
              <w:jc w:val="center"/>
            </w:pPr>
            <w:r>
              <w:rPr>
                <w:rFonts w:hint="eastAsia"/>
              </w:rPr>
              <w:t>构造一</w:t>
            </w:r>
          </w:p>
        </w:tc>
        <w:tc>
          <w:tcPr>
            <w:tcW w:w="1519" w:type="pct"/>
            <w:tcBorders>
              <w:top w:val="single" w:color="auto" w:sz="4" w:space="0"/>
              <w:left w:val="single" w:color="auto" w:sz="4" w:space="0"/>
              <w:bottom w:val="single" w:color="auto" w:sz="4" w:space="0"/>
              <w:right w:val="single" w:color="auto" w:sz="4" w:space="0"/>
            </w:tcBorders>
            <w:vAlign w:val="center"/>
          </w:tcPr>
          <w:p w14:paraId="4E7D3EB5">
            <w:pPr>
              <w:pStyle w:val="59"/>
              <w:ind w:firstLine="0" w:firstLineChars="0"/>
              <w:jc w:val="center"/>
            </w:pPr>
            <w:r>
              <w:rPr>
                <w:rFonts w:hint="eastAsia"/>
              </w:rPr>
              <w:t>带锈涂装底漆</w:t>
            </w:r>
          </w:p>
        </w:tc>
        <w:tc>
          <w:tcPr>
            <w:tcW w:w="1206" w:type="pct"/>
            <w:tcBorders>
              <w:top w:val="single" w:color="auto" w:sz="4" w:space="0"/>
              <w:left w:val="single" w:color="auto" w:sz="4" w:space="0"/>
              <w:bottom w:val="single" w:color="auto" w:sz="4" w:space="0"/>
              <w:right w:val="single" w:color="auto" w:sz="4" w:space="0"/>
            </w:tcBorders>
            <w:vAlign w:val="center"/>
          </w:tcPr>
          <w:p w14:paraId="35DB8942">
            <w:pPr>
              <w:pStyle w:val="59"/>
              <w:ind w:firstLine="0" w:firstLineChars="0"/>
              <w:jc w:val="center"/>
            </w:pPr>
            <w:r>
              <w:t>30</w:t>
            </w:r>
          </w:p>
        </w:tc>
        <w:tc>
          <w:tcPr>
            <w:tcW w:w="517" w:type="pct"/>
            <w:tcBorders>
              <w:top w:val="single" w:color="auto" w:sz="4" w:space="0"/>
              <w:left w:val="single" w:color="auto" w:sz="4" w:space="0"/>
              <w:bottom w:val="single" w:color="auto" w:sz="4" w:space="0"/>
              <w:right w:val="single" w:color="auto" w:sz="4" w:space="0"/>
            </w:tcBorders>
            <w:vAlign w:val="center"/>
          </w:tcPr>
          <w:p w14:paraId="422D8B35">
            <w:pPr>
              <w:pStyle w:val="59"/>
              <w:ind w:firstLine="0" w:firstLineChars="0"/>
              <w:jc w:val="center"/>
            </w:pPr>
            <w:r>
              <w:rPr>
                <w:rFonts w:hint="eastAsia"/>
              </w:rPr>
              <w:t>1</w:t>
            </w:r>
          </w:p>
        </w:tc>
      </w:tr>
      <w:tr w14:paraId="6557E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650" w:type="pct"/>
            <w:vMerge w:val="continue"/>
            <w:tcBorders>
              <w:top w:val="nil"/>
              <w:left w:val="single" w:color="auto" w:sz="4" w:space="0"/>
              <w:bottom w:val="single" w:color="auto" w:sz="4" w:space="0"/>
              <w:right w:val="single" w:color="auto" w:sz="4" w:space="0"/>
            </w:tcBorders>
            <w:vAlign w:val="center"/>
          </w:tcPr>
          <w:p w14:paraId="52E1E3BA">
            <w:pPr>
              <w:pStyle w:val="59"/>
              <w:ind w:firstLine="0" w:firstLineChars="0"/>
              <w:jc w:val="center"/>
            </w:pPr>
          </w:p>
        </w:tc>
        <w:tc>
          <w:tcPr>
            <w:tcW w:w="465" w:type="pct"/>
            <w:vMerge w:val="continue"/>
            <w:tcBorders>
              <w:top w:val="nil"/>
              <w:left w:val="single" w:color="auto" w:sz="4" w:space="0"/>
              <w:bottom w:val="single" w:color="auto" w:sz="4" w:space="0"/>
              <w:right w:val="single" w:color="auto" w:sz="4" w:space="0"/>
            </w:tcBorders>
            <w:vAlign w:val="center"/>
          </w:tcPr>
          <w:p w14:paraId="3EEA2864">
            <w:pPr>
              <w:pStyle w:val="59"/>
              <w:ind w:firstLine="0" w:firstLineChars="0"/>
              <w:jc w:val="center"/>
            </w:pPr>
          </w:p>
        </w:tc>
        <w:tc>
          <w:tcPr>
            <w:tcW w:w="640" w:type="pct"/>
            <w:vMerge w:val="continue"/>
            <w:tcBorders>
              <w:top w:val="nil"/>
              <w:left w:val="single" w:color="auto" w:sz="4" w:space="0"/>
              <w:bottom w:val="single" w:color="auto" w:sz="4" w:space="0"/>
              <w:right w:val="single" w:color="auto" w:sz="4" w:space="0"/>
            </w:tcBorders>
            <w:vAlign w:val="center"/>
          </w:tcPr>
          <w:p w14:paraId="381C6BA8">
            <w:pPr>
              <w:pStyle w:val="59"/>
              <w:ind w:firstLine="0" w:firstLineChars="0"/>
              <w:jc w:val="center"/>
            </w:pPr>
          </w:p>
        </w:tc>
        <w:tc>
          <w:tcPr>
            <w:tcW w:w="1519" w:type="pct"/>
            <w:tcBorders>
              <w:top w:val="single" w:color="auto" w:sz="4" w:space="0"/>
              <w:left w:val="single" w:color="auto" w:sz="4" w:space="0"/>
              <w:bottom w:val="single" w:color="auto" w:sz="4" w:space="0"/>
              <w:right w:val="single" w:color="auto" w:sz="4" w:space="0"/>
            </w:tcBorders>
            <w:vAlign w:val="center"/>
          </w:tcPr>
          <w:p w14:paraId="355AD204">
            <w:pPr>
              <w:pStyle w:val="59"/>
              <w:ind w:firstLine="0" w:firstLineChars="0"/>
              <w:jc w:val="center"/>
            </w:pPr>
            <w:r>
              <w:rPr>
                <w:rFonts w:hint="eastAsia"/>
              </w:rPr>
              <w:t>界面防护漆</w:t>
            </w:r>
          </w:p>
        </w:tc>
        <w:tc>
          <w:tcPr>
            <w:tcW w:w="1206" w:type="pct"/>
            <w:tcBorders>
              <w:top w:val="single" w:color="auto" w:sz="4" w:space="0"/>
              <w:left w:val="single" w:color="auto" w:sz="4" w:space="0"/>
              <w:bottom w:val="single" w:color="auto" w:sz="4" w:space="0"/>
              <w:right w:val="single" w:color="auto" w:sz="4" w:space="0"/>
            </w:tcBorders>
            <w:vAlign w:val="center"/>
          </w:tcPr>
          <w:p w14:paraId="7837AFF4">
            <w:pPr>
              <w:pStyle w:val="59"/>
              <w:ind w:firstLine="0" w:firstLineChars="0"/>
              <w:jc w:val="center"/>
            </w:pPr>
            <w:r>
              <w:rPr>
                <w:rFonts w:hint="eastAsia"/>
              </w:rPr>
              <w:t>2</w:t>
            </w:r>
            <w:r>
              <w:t>0</w:t>
            </w:r>
          </w:p>
        </w:tc>
        <w:tc>
          <w:tcPr>
            <w:tcW w:w="517" w:type="pct"/>
            <w:tcBorders>
              <w:top w:val="single" w:color="auto" w:sz="4" w:space="0"/>
              <w:left w:val="single" w:color="auto" w:sz="4" w:space="0"/>
              <w:bottom w:val="single" w:color="auto" w:sz="4" w:space="0"/>
              <w:right w:val="single" w:color="auto" w:sz="4" w:space="0"/>
            </w:tcBorders>
            <w:vAlign w:val="center"/>
          </w:tcPr>
          <w:p w14:paraId="0B660EF1">
            <w:pPr>
              <w:pStyle w:val="59"/>
              <w:ind w:firstLine="0" w:firstLineChars="0"/>
              <w:jc w:val="center"/>
            </w:pPr>
            <w:r>
              <w:rPr>
                <w:rFonts w:hint="eastAsia"/>
              </w:rPr>
              <w:t>1</w:t>
            </w:r>
          </w:p>
        </w:tc>
      </w:tr>
      <w:tr w14:paraId="5092A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650" w:type="pct"/>
            <w:vMerge w:val="continue"/>
            <w:tcBorders>
              <w:top w:val="nil"/>
              <w:left w:val="single" w:color="auto" w:sz="4" w:space="0"/>
              <w:bottom w:val="single" w:color="auto" w:sz="4" w:space="0"/>
              <w:right w:val="single" w:color="auto" w:sz="4" w:space="0"/>
            </w:tcBorders>
            <w:vAlign w:val="center"/>
          </w:tcPr>
          <w:p w14:paraId="78E7C1F8">
            <w:pPr>
              <w:pStyle w:val="59"/>
              <w:ind w:firstLine="0" w:firstLineChars="0"/>
              <w:jc w:val="center"/>
            </w:pPr>
          </w:p>
        </w:tc>
        <w:tc>
          <w:tcPr>
            <w:tcW w:w="465" w:type="pct"/>
            <w:vMerge w:val="continue"/>
            <w:tcBorders>
              <w:top w:val="nil"/>
              <w:left w:val="single" w:color="auto" w:sz="4" w:space="0"/>
              <w:bottom w:val="single" w:color="auto" w:sz="4" w:space="0"/>
              <w:right w:val="single" w:color="auto" w:sz="4" w:space="0"/>
            </w:tcBorders>
            <w:vAlign w:val="center"/>
          </w:tcPr>
          <w:p w14:paraId="6E09463F">
            <w:pPr>
              <w:pStyle w:val="59"/>
              <w:ind w:firstLine="0" w:firstLineChars="0"/>
              <w:jc w:val="center"/>
            </w:pPr>
          </w:p>
        </w:tc>
        <w:tc>
          <w:tcPr>
            <w:tcW w:w="640" w:type="pct"/>
            <w:vMerge w:val="continue"/>
            <w:tcBorders>
              <w:top w:val="nil"/>
              <w:left w:val="single" w:color="auto" w:sz="4" w:space="0"/>
              <w:bottom w:val="single" w:color="auto" w:sz="4" w:space="0"/>
              <w:right w:val="single" w:color="auto" w:sz="4" w:space="0"/>
            </w:tcBorders>
            <w:vAlign w:val="center"/>
          </w:tcPr>
          <w:p w14:paraId="74D8C22A">
            <w:pPr>
              <w:pStyle w:val="59"/>
              <w:ind w:firstLine="0" w:firstLineChars="0"/>
              <w:jc w:val="center"/>
            </w:pPr>
          </w:p>
        </w:tc>
        <w:tc>
          <w:tcPr>
            <w:tcW w:w="1519" w:type="pct"/>
            <w:tcBorders>
              <w:top w:val="single" w:color="auto" w:sz="4" w:space="0"/>
              <w:left w:val="single" w:color="auto" w:sz="4" w:space="0"/>
              <w:bottom w:val="single" w:color="auto" w:sz="4" w:space="0"/>
              <w:right w:val="single" w:color="auto" w:sz="4" w:space="0"/>
            </w:tcBorders>
            <w:vAlign w:val="center"/>
          </w:tcPr>
          <w:p w14:paraId="3A9DB906">
            <w:pPr>
              <w:pStyle w:val="59"/>
              <w:ind w:firstLine="0" w:firstLineChars="0"/>
              <w:jc w:val="center"/>
            </w:pPr>
            <w:r>
              <w:rPr>
                <w:rFonts w:hint="eastAsia"/>
              </w:rPr>
              <w:t>环氧云铁中间漆</w:t>
            </w:r>
          </w:p>
        </w:tc>
        <w:tc>
          <w:tcPr>
            <w:tcW w:w="1206" w:type="pct"/>
            <w:tcBorders>
              <w:top w:val="single" w:color="auto" w:sz="4" w:space="0"/>
              <w:left w:val="single" w:color="auto" w:sz="4" w:space="0"/>
              <w:bottom w:val="single" w:color="auto" w:sz="4" w:space="0"/>
              <w:right w:val="single" w:color="auto" w:sz="4" w:space="0"/>
            </w:tcBorders>
            <w:vAlign w:val="center"/>
          </w:tcPr>
          <w:p w14:paraId="4FCFE715">
            <w:pPr>
              <w:pStyle w:val="59"/>
              <w:ind w:firstLine="0" w:firstLineChars="0"/>
              <w:jc w:val="center"/>
            </w:pPr>
            <w:r>
              <w:rPr>
                <w:rFonts w:hint="eastAsia"/>
              </w:rPr>
              <w:t>6</w:t>
            </w:r>
            <w:r>
              <w:t>0</w:t>
            </w:r>
          </w:p>
        </w:tc>
        <w:tc>
          <w:tcPr>
            <w:tcW w:w="517" w:type="pct"/>
            <w:tcBorders>
              <w:top w:val="single" w:color="auto" w:sz="4" w:space="0"/>
              <w:left w:val="single" w:color="auto" w:sz="4" w:space="0"/>
              <w:bottom w:val="single" w:color="auto" w:sz="4" w:space="0"/>
              <w:right w:val="single" w:color="auto" w:sz="4" w:space="0"/>
            </w:tcBorders>
            <w:vAlign w:val="center"/>
          </w:tcPr>
          <w:p w14:paraId="75E0EA8A">
            <w:pPr>
              <w:pStyle w:val="59"/>
              <w:ind w:firstLine="0" w:firstLineChars="0"/>
              <w:jc w:val="center"/>
            </w:pPr>
            <w:r>
              <w:rPr>
                <w:rFonts w:hint="eastAsia"/>
              </w:rPr>
              <w:t>1</w:t>
            </w:r>
          </w:p>
        </w:tc>
      </w:tr>
      <w:tr w14:paraId="757D1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650" w:type="pct"/>
            <w:vMerge w:val="continue"/>
            <w:tcBorders>
              <w:top w:val="nil"/>
              <w:left w:val="single" w:color="auto" w:sz="4" w:space="0"/>
              <w:bottom w:val="single" w:color="auto" w:sz="4" w:space="0"/>
              <w:right w:val="single" w:color="auto" w:sz="4" w:space="0"/>
            </w:tcBorders>
            <w:vAlign w:val="center"/>
          </w:tcPr>
          <w:p w14:paraId="2655A70F">
            <w:pPr>
              <w:pStyle w:val="59"/>
              <w:ind w:firstLine="0" w:firstLineChars="0"/>
              <w:jc w:val="center"/>
            </w:pPr>
          </w:p>
        </w:tc>
        <w:tc>
          <w:tcPr>
            <w:tcW w:w="465" w:type="pct"/>
            <w:vMerge w:val="continue"/>
            <w:tcBorders>
              <w:top w:val="nil"/>
              <w:left w:val="single" w:color="auto" w:sz="4" w:space="0"/>
              <w:bottom w:val="single" w:color="auto" w:sz="4" w:space="0"/>
              <w:right w:val="single" w:color="auto" w:sz="4" w:space="0"/>
            </w:tcBorders>
            <w:vAlign w:val="center"/>
          </w:tcPr>
          <w:p w14:paraId="3EF6C005">
            <w:pPr>
              <w:pStyle w:val="59"/>
              <w:ind w:firstLine="0" w:firstLineChars="0"/>
              <w:jc w:val="center"/>
            </w:pPr>
          </w:p>
        </w:tc>
        <w:tc>
          <w:tcPr>
            <w:tcW w:w="640" w:type="pct"/>
            <w:vMerge w:val="continue"/>
            <w:tcBorders>
              <w:top w:val="nil"/>
              <w:left w:val="single" w:color="auto" w:sz="4" w:space="0"/>
              <w:bottom w:val="single" w:color="auto" w:sz="4" w:space="0"/>
              <w:right w:val="single" w:color="auto" w:sz="4" w:space="0"/>
            </w:tcBorders>
            <w:vAlign w:val="center"/>
          </w:tcPr>
          <w:p w14:paraId="1B3143EE">
            <w:pPr>
              <w:pStyle w:val="59"/>
              <w:ind w:firstLine="0" w:firstLineChars="0"/>
              <w:jc w:val="center"/>
            </w:pPr>
          </w:p>
        </w:tc>
        <w:tc>
          <w:tcPr>
            <w:tcW w:w="1519" w:type="pct"/>
            <w:tcBorders>
              <w:top w:val="single" w:color="auto" w:sz="4" w:space="0"/>
              <w:left w:val="single" w:color="auto" w:sz="4" w:space="0"/>
              <w:bottom w:val="single" w:color="auto" w:sz="4" w:space="0"/>
              <w:right w:val="single" w:color="auto" w:sz="4" w:space="0"/>
            </w:tcBorders>
            <w:vAlign w:val="center"/>
          </w:tcPr>
          <w:p w14:paraId="4C07B935">
            <w:pPr>
              <w:pStyle w:val="59"/>
              <w:ind w:firstLine="0" w:firstLineChars="0"/>
              <w:jc w:val="center"/>
            </w:pPr>
            <w:r>
              <w:rPr>
                <w:rFonts w:hint="eastAsia"/>
              </w:rPr>
              <w:t>氟碳面漆/聚硅氧烷面漆</w:t>
            </w:r>
          </w:p>
        </w:tc>
        <w:tc>
          <w:tcPr>
            <w:tcW w:w="1206" w:type="pct"/>
            <w:tcBorders>
              <w:top w:val="single" w:color="auto" w:sz="4" w:space="0"/>
              <w:left w:val="single" w:color="auto" w:sz="4" w:space="0"/>
              <w:bottom w:val="single" w:color="auto" w:sz="4" w:space="0"/>
              <w:right w:val="single" w:color="auto" w:sz="4" w:space="0"/>
            </w:tcBorders>
            <w:vAlign w:val="center"/>
          </w:tcPr>
          <w:p w14:paraId="5F59057C">
            <w:pPr>
              <w:pStyle w:val="59"/>
              <w:ind w:firstLine="0" w:firstLineChars="0"/>
              <w:jc w:val="center"/>
            </w:pPr>
            <w:r>
              <w:t>1</w:t>
            </w:r>
            <w:r>
              <w:rPr>
                <w:rFonts w:hint="eastAsia"/>
              </w:rPr>
              <w:t>20</w:t>
            </w:r>
          </w:p>
        </w:tc>
        <w:tc>
          <w:tcPr>
            <w:tcW w:w="517" w:type="pct"/>
            <w:tcBorders>
              <w:top w:val="single" w:color="auto" w:sz="4" w:space="0"/>
              <w:left w:val="single" w:color="auto" w:sz="4" w:space="0"/>
              <w:bottom w:val="single" w:color="auto" w:sz="4" w:space="0"/>
              <w:right w:val="single" w:color="auto" w:sz="4" w:space="0"/>
            </w:tcBorders>
            <w:vAlign w:val="center"/>
          </w:tcPr>
          <w:p w14:paraId="75346114">
            <w:pPr>
              <w:pStyle w:val="59"/>
              <w:ind w:firstLine="0" w:firstLineChars="0"/>
              <w:jc w:val="center"/>
            </w:pPr>
            <w:r>
              <w:rPr>
                <w:rFonts w:hint="eastAsia"/>
              </w:rPr>
              <w:t>3</w:t>
            </w:r>
          </w:p>
        </w:tc>
      </w:tr>
      <w:tr w14:paraId="473C8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650" w:type="pct"/>
            <w:vMerge w:val="continue"/>
            <w:tcBorders>
              <w:top w:val="nil"/>
              <w:left w:val="single" w:color="auto" w:sz="4" w:space="0"/>
              <w:bottom w:val="single" w:color="auto" w:sz="4" w:space="0"/>
              <w:right w:val="single" w:color="auto" w:sz="4" w:space="0"/>
            </w:tcBorders>
            <w:vAlign w:val="center"/>
          </w:tcPr>
          <w:p w14:paraId="5C3B8ABE">
            <w:pPr>
              <w:pStyle w:val="59"/>
              <w:ind w:firstLine="0" w:firstLineChars="0"/>
              <w:jc w:val="center"/>
            </w:pPr>
          </w:p>
        </w:tc>
        <w:tc>
          <w:tcPr>
            <w:tcW w:w="465" w:type="pct"/>
            <w:vMerge w:val="restart"/>
            <w:tcBorders>
              <w:top w:val="nil"/>
              <w:left w:val="single" w:color="auto" w:sz="4" w:space="0"/>
              <w:bottom w:val="single" w:color="auto" w:sz="4" w:space="0"/>
              <w:right w:val="single" w:color="auto" w:sz="4" w:space="0"/>
            </w:tcBorders>
            <w:vAlign w:val="center"/>
          </w:tcPr>
          <w:p w14:paraId="73467CCD">
            <w:pPr>
              <w:pStyle w:val="59"/>
              <w:ind w:firstLine="0" w:firstLineChars="0"/>
              <w:jc w:val="center"/>
            </w:pPr>
            <w:r>
              <w:t>160</w:t>
            </w:r>
          </w:p>
        </w:tc>
        <w:tc>
          <w:tcPr>
            <w:tcW w:w="640" w:type="pct"/>
            <w:vMerge w:val="restart"/>
            <w:tcBorders>
              <w:top w:val="nil"/>
              <w:left w:val="single" w:color="auto" w:sz="4" w:space="0"/>
              <w:bottom w:val="single" w:color="auto" w:sz="4" w:space="0"/>
              <w:right w:val="single" w:color="auto" w:sz="4" w:space="0"/>
            </w:tcBorders>
            <w:vAlign w:val="center"/>
          </w:tcPr>
          <w:p w14:paraId="722EC63F">
            <w:pPr>
              <w:pStyle w:val="59"/>
              <w:ind w:firstLine="0" w:firstLineChars="0"/>
              <w:jc w:val="center"/>
            </w:pPr>
            <w:r>
              <w:rPr>
                <w:rFonts w:hint="eastAsia"/>
              </w:rPr>
              <w:t>构造二</w:t>
            </w:r>
          </w:p>
        </w:tc>
        <w:tc>
          <w:tcPr>
            <w:tcW w:w="1519" w:type="pct"/>
            <w:tcBorders>
              <w:top w:val="single" w:color="auto" w:sz="4" w:space="0"/>
              <w:left w:val="single" w:color="auto" w:sz="4" w:space="0"/>
              <w:bottom w:val="single" w:color="auto" w:sz="4" w:space="0"/>
              <w:right w:val="single" w:color="auto" w:sz="4" w:space="0"/>
            </w:tcBorders>
            <w:vAlign w:val="center"/>
          </w:tcPr>
          <w:p w14:paraId="07784FCF">
            <w:pPr>
              <w:pStyle w:val="59"/>
              <w:ind w:firstLine="0" w:firstLineChars="0"/>
              <w:jc w:val="center"/>
            </w:pPr>
            <w:r>
              <w:rPr>
                <w:rFonts w:hint="eastAsia"/>
              </w:rPr>
              <w:t>带锈涂装底面合一材料</w:t>
            </w:r>
          </w:p>
        </w:tc>
        <w:tc>
          <w:tcPr>
            <w:tcW w:w="1206" w:type="pct"/>
            <w:tcBorders>
              <w:top w:val="single" w:color="auto" w:sz="4" w:space="0"/>
              <w:left w:val="single" w:color="auto" w:sz="4" w:space="0"/>
              <w:bottom w:val="single" w:color="auto" w:sz="4" w:space="0"/>
              <w:right w:val="single" w:color="auto" w:sz="4" w:space="0"/>
            </w:tcBorders>
            <w:vAlign w:val="center"/>
          </w:tcPr>
          <w:p w14:paraId="2D9A617C">
            <w:pPr>
              <w:pStyle w:val="59"/>
              <w:ind w:firstLine="0" w:firstLineChars="0"/>
              <w:jc w:val="center"/>
            </w:pPr>
            <w:r>
              <w:t>120</w:t>
            </w:r>
          </w:p>
        </w:tc>
        <w:tc>
          <w:tcPr>
            <w:tcW w:w="517" w:type="pct"/>
            <w:tcBorders>
              <w:top w:val="single" w:color="auto" w:sz="4" w:space="0"/>
              <w:left w:val="single" w:color="auto" w:sz="4" w:space="0"/>
              <w:bottom w:val="single" w:color="auto" w:sz="4" w:space="0"/>
              <w:right w:val="single" w:color="auto" w:sz="4" w:space="0"/>
            </w:tcBorders>
            <w:vAlign w:val="center"/>
          </w:tcPr>
          <w:p w14:paraId="169AAF1C">
            <w:pPr>
              <w:pStyle w:val="59"/>
              <w:ind w:firstLine="0" w:firstLineChars="0"/>
              <w:jc w:val="center"/>
            </w:pPr>
            <w:r>
              <w:rPr>
                <w:rFonts w:hint="eastAsia"/>
              </w:rPr>
              <w:t>3</w:t>
            </w:r>
          </w:p>
        </w:tc>
      </w:tr>
      <w:tr w14:paraId="06CB3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650" w:type="pct"/>
            <w:vMerge w:val="continue"/>
            <w:tcBorders>
              <w:top w:val="nil"/>
              <w:left w:val="single" w:color="auto" w:sz="4" w:space="0"/>
              <w:bottom w:val="single" w:color="auto" w:sz="4" w:space="0"/>
              <w:right w:val="single" w:color="auto" w:sz="4" w:space="0"/>
            </w:tcBorders>
            <w:vAlign w:val="center"/>
          </w:tcPr>
          <w:p w14:paraId="795CE266">
            <w:pPr>
              <w:pStyle w:val="59"/>
              <w:ind w:firstLine="0" w:firstLineChars="0"/>
              <w:jc w:val="center"/>
            </w:pPr>
          </w:p>
        </w:tc>
        <w:tc>
          <w:tcPr>
            <w:tcW w:w="465" w:type="pct"/>
            <w:vMerge w:val="continue"/>
            <w:tcBorders>
              <w:top w:val="nil"/>
              <w:left w:val="single" w:color="auto" w:sz="4" w:space="0"/>
              <w:bottom w:val="single" w:color="auto" w:sz="4" w:space="0"/>
              <w:right w:val="single" w:color="auto" w:sz="4" w:space="0"/>
            </w:tcBorders>
            <w:vAlign w:val="center"/>
          </w:tcPr>
          <w:p w14:paraId="7B6667C0">
            <w:pPr>
              <w:pStyle w:val="59"/>
              <w:ind w:firstLine="0" w:firstLineChars="0"/>
              <w:jc w:val="center"/>
            </w:pPr>
          </w:p>
        </w:tc>
        <w:tc>
          <w:tcPr>
            <w:tcW w:w="640" w:type="pct"/>
            <w:vMerge w:val="continue"/>
            <w:tcBorders>
              <w:top w:val="nil"/>
              <w:left w:val="single" w:color="auto" w:sz="4" w:space="0"/>
              <w:bottom w:val="single" w:color="auto" w:sz="4" w:space="0"/>
              <w:right w:val="single" w:color="auto" w:sz="4" w:space="0"/>
            </w:tcBorders>
            <w:vAlign w:val="center"/>
          </w:tcPr>
          <w:p w14:paraId="22A724F7">
            <w:pPr>
              <w:pStyle w:val="59"/>
              <w:ind w:firstLine="0" w:firstLineChars="0"/>
              <w:jc w:val="center"/>
            </w:pPr>
          </w:p>
        </w:tc>
        <w:tc>
          <w:tcPr>
            <w:tcW w:w="1519" w:type="pct"/>
            <w:tcBorders>
              <w:top w:val="single" w:color="auto" w:sz="4" w:space="0"/>
              <w:left w:val="single" w:color="auto" w:sz="4" w:space="0"/>
              <w:bottom w:val="single" w:color="auto" w:sz="4" w:space="0"/>
              <w:right w:val="single" w:color="auto" w:sz="4" w:space="0"/>
            </w:tcBorders>
            <w:vAlign w:val="center"/>
          </w:tcPr>
          <w:p w14:paraId="0141E715">
            <w:pPr>
              <w:pStyle w:val="59"/>
              <w:ind w:firstLine="0" w:firstLineChars="0"/>
              <w:jc w:val="center"/>
            </w:pPr>
            <w:r>
              <w:rPr>
                <w:rFonts w:hint="eastAsia"/>
              </w:rPr>
              <w:t>氟碳清漆</w:t>
            </w:r>
          </w:p>
        </w:tc>
        <w:tc>
          <w:tcPr>
            <w:tcW w:w="1206" w:type="pct"/>
            <w:tcBorders>
              <w:top w:val="single" w:color="auto" w:sz="4" w:space="0"/>
              <w:left w:val="single" w:color="auto" w:sz="4" w:space="0"/>
              <w:bottom w:val="single" w:color="auto" w:sz="4" w:space="0"/>
              <w:right w:val="single" w:color="auto" w:sz="4" w:space="0"/>
            </w:tcBorders>
            <w:vAlign w:val="center"/>
          </w:tcPr>
          <w:p w14:paraId="584AD1D1">
            <w:pPr>
              <w:pStyle w:val="59"/>
              <w:ind w:firstLine="0" w:firstLineChars="0"/>
              <w:jc w:val="center"/>
            </w:pPr>
            <w:r>
              <w:t>40</w:t>
            </w:r>
          </w:p>
        </w:tc>
        <w:tc>
          <w:tcPr>
            <w:tcW w:w="517" w:type="pct"/>
            <w:tcBorders>
              <w:top w:val="single" w:color="auto" w:sz="4" w:space="0"/>
              <w:left w:val="single" w:color="auto" w:sz="4" w:space="0"/>
              <w:bottom w:val="single" w:color="auto" w:sz="4" w:space="0"/>
              <w:right w:val="single" w:color="auto" w:sz="4" w:space="0"/>
            </w:tcBorders>
            <w:vAlign w:val="center"/>
          </w:tcPr>
          <w:p w14:paraId="496019D1">
            <w:pPr>
              <w:pStyle w:val="59"/>
              <w:ind w:firstLine="0" w:firstLineChars="0"/>
              <w:jc w:val="center"/>
            </w:pPr>
            <w:r>
              <w:rPr>
                <w:rFonts w:hint="eastAsia"/>
              </w:rPr>
              <w:t>2</w:t>
            </w:r>
          </w:p>
        </w:tc>
      </w:tr>
      <w:tr w14:paraId="31F6A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650" w:type="pct"/>
            <w:vMerge w:val="restart"/>
            <w:tcBorders>
              <w:top w:val="nil"/>
              <w:left w:val="single" w:color="auto" w:sz="4" w:space="0"/>
              <w:bottom w:val="single" w:color="auto" w:sz="4" w:space="0"/>
              <w:right w:val="single" w:color="auto" w:sz="4" w:space="0"/>
            </w:tcBorders>
            <w:vAlign w:val="center"/>
          </w:tcPr>
          <w:p w14:paraId="3C5E4973">
            <w:pPr>
              <w:pStyle w:val="59"/>
              <w:ind w:firstLine="0" w:firstLineChars="0"/>
              <w:jc w:val="center"/>
            </w:pPr>
            <w:r>
              <w:rPr>
                <w:rFonts w:hint="eastAsia"/>
              </w:rPr>
              <w:t>10≤a＜</w:t>
            </w:r>
            <w:r>
              <w:t>15</w:t>
            </w:r>
          </w:p>
        </w:tc>
        <w:tc>
          <w:tcPr>
            <w:tcW w:w="465" w:type="pct"/>
            <w:vMerge w:val="restart"/>
            <w:tcBorders>
              <w:top w:val="nil"/>
              <w:left w:val="single" w:color="auto" w:sz="4" w:space="0"/>
              <w:bottom w:val="single" w:color="auto" w:sz="4" w:space="0"/>
              <w:right w:val="single" w:color="auto" w:sz="4" w:space="0"/>
            </w:tcBorders>
            <w:vAlign w:val="center"/>
          </w:tcPr>
          <w:p w14:paraId="0834838B">
            <w:pPr>
              <w:pStyle w:val="59"/>
              <w:ind w:firstLine="0" w:firstLineChars="0"/>
              <w:jc w:val="center"/>
            </w:pPr>
            <w:r>
              <w:rPr>
                <w:rFonts w:hint="eastAsia"/>
              </w:rPr>
              <w:t>290</w:t>
            </w:r>
          </w:p>
        </w:tc>
        <w:tc>
          <w:tcPr>
            <w:tcW w:w="640" w:type="pct"/>
            <w:vMerge w:val="restart"/>
            <w:tcBorders>
              <w:top w:val="nil"/>
              <w:left w:val="single" w:color="auto" w:sz="4" w:space="0"/>
              <w:bottom w:val="single" w:color="auto" w:sz="4" w:space="0"/>
              <w:right w:val="single" w:color="auto" w:sz="4" w:space="0"/>
            </w:tcBorders>
            <w:vAlign w:val="center"/>
          </w:tcPr>
          <w:p w14:paraId="61A718E7">
            <w:pPr>
              <w:pStyle w:val="59"/>
              <w:ind w:firstLine="0" w:firstLineChars="0"/>
              <w:jc w:val="center"/>
            </w:pPr>
            <w:r>
              <w:rPr>
                <w:rFonts w:hint="eastAsia"/>
              </w:rPr>
              <w:t>构造一</w:t>
            </w:r>
          </w:p>
        </w:tc>
        <w:tc>
          <w:tcPr>
            <w:tcW w:w="1519" w:type="pct"/>
            <w:tcBorders>
              <w:top w:val="single" w:color="auto" w:sz="4" w:space="0"/>
              <w:left w:val="single" w:color="auto" w:sz="4" w:space="0"/>
              <w:bottom w:val="single" w:color="auto" w:sz="4" w:space="0"/>
              <w:right w:val="single" w:color="auto" w:sz="4" w:space="0"/>
            </w:tcBorders>
            <w:vAlign w:val="center"/>
          </w:tcPr>
          <w:p w14:paraId="6273329A">
            <w:pPr>
              <w:pStyle w:val="59"/>
              <w:ind w:firstLine="0" w:firstLineChars="0"/>
              <w:jc w:val="center"/>
            </w:pPr>
            <w:r>
              <w:rPr>
                <w:rFonts w:hint="eastAsia"/>
              </w:rPr>
              <w:t>带锈涂装底漆</w:t>
            </w:r>
          </w:p>
        </w:tc>
        <w:tc>
          <w:tcPr>
            <w:tcW w:w="1206" w:type="pct"/>
            <w:tcBorders>
              <w:top w:val="single" w:color="auto" w:sz="4" w:space="0"/>
              <w:left w:val="single" w:color="auto" w:sz="4" w:space="0"/>
              <w:bottom w:val="single" w:color="auto" w:sz="4" w:space="0"/>
              <w:right w:val="single" w:color="auto" w:sz="4" w:space="0"/>
            </w:tcBorders>
            <w:vAlign w:val="center"/>
          </w:tcPr>
          <w:p w14:paraId="7869323B">
            <w:pPr>
              <w:pStyle w:val="59"/>
              <w:ind w:firstLine="0" w:firstLineChars="0"/>
              <w:jc w:val="center"/>
            </w:pPr>
            <w:r>
              <w:t>30</w:t>
            </w:r>
          </w:p>
        </w:tc>
        <w:tc>
          <w:tcPr>
            <w:tcW w:w="517" w:type="pct"/>
            <w:tcBorders>
              <w:top w:val="single" w:color="auto" w:sz="4" w:space="0"/>
              <w:left w:val="single" w:color="auto" w:sz="4" w:space="0"/>
              <w:bottom w:val="single" w:color="auto" w:sz="4" w:space="0"/>
              <w:right w:val="single" w:color="auto" w:sz="4" w:space="0"/>
            </w:tcBorders>
            <w:vAlign w:val="center"/>
          </w:tcPr>
          <w:p w14:paraId="76B8FE09">
            <w:pPr>
              <w:pStyle w:val="59"/>
              <w:ind w:firstLine="0" w:firstLineChars="0"/>
              <w:jc w:val="center"/>
            </w:pPr>
            <w:r>
              <w:rPr>
                <w:rFonts w:hint="eastAsia"/>
              </w:rPr>
              <w:t>1</w:t>
            </w:r>
          </w:p>
        </w:tc>
      </w:tr>
      <w:tr w14:paraId="26BD6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650" w:type="pct"/>
            <w:vMerge w:val="continue"/>
            <w:tcBorders>
              <w:top w:val="nil"/>
              <w:left w:val="single" w:color="auto" w:sz="4" w:space="0"/>
              <w:bottom w:val="single" w:color="auto" w:sz="4" w:space="0"/>
              <w:right w:val="single" w:color="auto" w:sz="4" w:space="0"/>
            </w:tcBorders>
            <w:vAlign w:val="center"/>
          </w:tcPr>
          <w:p w14:paraId="5DB8320C">
            <w:pPr>
              <w:pStyle w:val="59"/>
              <w:ind w:firstLine="0" w:firstLineChars="0"/>
              <w:jc w:val="center"/>
            </w:pPr>
          </w:p>
        </w:tc>
        <w:tc>
          <w:tcPr>
            <w:tcW w:w="465" w:type="pct"/>
            <w:vMerge w:val="continue"/>
            <w:tcBorders>
              <w:top w:val="nil"/>
              <w:left w:val="single" w:color="auto" w:sz="4" w:space="0"/>
              <w:bottom w:val="single" w:color="auto" w:sz="4" w:space="0"/>
              <w:right w:val="single" w:color="auto" w:sz="4" w:space="0"/>
            </w:tcBorders>
            <w:vAlign w:val="center"/>
          </w:tcPr>
          <w:p w14:paraId="7E64DBCF">
            <w:pPr>
              <w:pStyle w:val="59"/>
              <w:ind w:firstLine="0" w:firstLineChars="0"/>
              <w:jc w:val="center"/>
            </w:pPr>
          </w:p>
        </w:tc>
        <w:tc>
          <w:tcPr>
            <w:tcW w:w="640" w:type="pct"/>
            <w:vMerge w:val="continue"/>
            <w:tcBorders>
              <w:top w:val="nil"/>
              <w:left w:val="single" w:color="auto" w:sz="4" w:space="0"/>
              <w:bottom w:val="single" w:color="auto" w:sz="4" w:space="0"/>
              <w:right w:val="single" w:color="auto" w:sz="4" w:space="0"/>
            </w:tcBorders>
            <w:vAlign w:val="center"/>
          </w:tcPr>
          <w:p w14:paraId="7E519226">
            <w:pPr>
              <w:pStyle w:val="59"/>
              <w:ind w:firstLine="0" w:firstLineChars="0"/>
              <w:jc w:val="center"/>
            </w:pPr>
          </w:p>
        </w:tc>
        <w:tc>
          <w:tcPr>
            <w:tcW w:w="1519" w:type="pct"/>
            <w:tcBorders>
              <w:top w:val="single" w:color="auto" w:sz="4" w:space="0"/>
              <w:left w:val="single" w:color="auto" w:sz="4" w:space="0"/>
              <w:bottom w:val="single" w:color="auto" w:sz="4" w:space="0"/>
              <w:right w:val="single" w:color="auto" w:sz="4" w:space="0"/>
            </w:tcBorders>
            <w:vAlign w:val="center"/>
          </w:tcPr>
          <w:p w14:paraId="1A60C90C">
            <w:pPr>
              <w:pStyle w:val="59"/>
              <w:ind w:firstLine="0" w:firstLineChars="0"/>
              <w:jc w:val="center"/>
            </w:pPr>
            <w:r>
              <w:rPr>
                <w:rFonts w:hint="eastAsia"/>
              </w:rPr>
              <w:t>界面防护漆</w:t>
            </w:r>
          </w:p>
        </w:tc>
        <w:tc>
          <w:tcPr>
            <w:tcW w:w="1206" w:type="pct"/>
            <w:tcBorders>
              <w:top w:val="single" w:color="auto" w:sz="4" w:space="0"/>
              <w:left w:val="single" w:color="auto" w:sz="4" w:space="0"/>
              <w:bottom w:val="single" w:color="auto" w:sz="4" w:space="0"/>
              <w:right w:val="single" w:color="auto" w:sz="4" w:space="0"/>
            </w:tcBorders>
            <w:vAlign w:val="center"/>
          </w:tcPr>
          <w:p w14:paraId="0E0D93F9">
            <w:pPr>
              <w:pStyle w:val="59"/>
              <w:ind w:firstLine="0" w:firstLineChars="0"/>
              <w:jc w:val="center"/>
            </w:pPr>
            <w:r>
              <w:rPr>
                <w:rFonts w:hint="eastAsia"/>
              </w:rPr>
              <w:t>4</w:t>
            </w:r>
            <w:r>
              <w:t>0</w:t>
            </w:r>
          </w:p>
        </w:tc>
        <w:tc>
          <w:tcPr>
            <w:tcW w:w="517" w:type="pct"/>
            <w:tcBorders>
              <w:top w:val="single" w:color="auto" w:sz="4" w:space="0"/>
              <w:left w:val="single" w:color="auto" w:sz="4" w:space="0"/>
              <w:bottom w:val="single" w:color="auto" w:sz="4" w:space="0"/>
              <w:right w:val="single" w:color="auto" w:sz="4" w:space="0"/>
            </w:tcBorders>
            <w:vAlign w:val="center"/>
          </w:tcPr>
          <w:p w14:paraId="39F27D4A">
            <w:pPr>
              <w:pStyle w:val="59"/>
              <w:ind w:firstLine="0" w:firstLineChars="0"/>
              <w:jc w:val="center"/>
            </w:pPr>
            <w:r>
              <w:rPr>
                <w:rFonts w:hint="eastAsia"/>
              </w:rPr>
              <w:t>1</w:t>
            </w:r>
          </w:p>
        </w:tc>
      </w:tr>
      <w:tr w14:paraId="58B89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650" w:type="pct"/>
            <w:vMerge w:val="continue"/>
            <w:tcBorders>
              <w:top w:val="nil"/>
              <w:left w:val="single" w:color="auto" w:sz="4" w:space="0"/>
              <w:bottom w:val="single" w:color="auto" w:sz="4" w:space="0"/>
              <w:right w:val="single" w:color="auto" w:sz="4" w:space="0"/>
            </w:tcBorders>
            <w:vAlign w:val="center"/>
          </w:tcPr>
          <w:p w14:paraId="4AD14CBD">
            <w:pPr>
              <w:pStyle w:val="59"/>
              <w:ind w:firstLine="0" w:firstLineChars="0"/>
              <w:jc w:val="center"/>
            </w:pPr>
          </w:p>
        </w:tc>
        <w:tc>
          <w:tcPr>
            <w:tcW w:w="465" w:type="pct"/>
            <w:vMerge w:val="continue"/>
            <w:tcBorders>
              <w:top w:val="nil"/>
              <w:left w:val="single" w:color="auto" w:sz="4" w:space="0"/>
              <w:bottom w:val="single" w:color="auto" w:sz="4" w:space="0"/>
              <w:right w:val="single" w:color="auto" w:sz="4" w:space="0"/>
            </w:tcBorders>
            <w:vAlign w:val="center"/>
          </w:tcPr>
          <w:p w14:paraId="5A79CBF2">
            <w:pPr>
              <w:pStyle w:val="59"/>
              <w:ind w:firstLine="0" w:firstLineChars="0"/>
              <w:jc w:val="center"/>
            </w:pPr>
          </w:p>
        </w:tc>
        <w:tc>
          <w:tcPr>
            <w:tcW w:w="640" w:type="pct"/>
            <w:vMerge w:val="continue"/>
            <w:tcBorders>
              <w:top w:val="nil"/>
              <w:left w:val="single" w:color="auto" w:sz="4" w:space="0"/>
              <w:bottom w:val="single" w:color="auto" w:sz="4" w:space="0"/>
              <w:right w:val="single" w:color="auto" w:sz="4" w:space="0"/>
            </w:tcBorders>
            <w:vAlign w:val="center"/>
          </w:tcPr>
          <w:p w14:paraId="0D91E23A">
            <w:pPr>
              <w:pStyle w:val="59"/>
              <w:ind w:firstLine="0" w:firstLineChars="0"/>
              <w:jc w:val="center"/>
            </w:pPr>
          </w:p>
        </w:tc>
        <w:tc>
          <w:tcPr>
            <w:tcW w:w="1519" w:type="pct"/>
            <w:tcBorders>
              <w:top w:val="single" w:color="auto" w:sz="4" w:space="0"/>
              <w:left w:val="single" w:color="auto" w:sz="4" w:space="0"/>
              <w:bottom w:val="single" w:color="auto" w:sz="4" w:space="0"/>
              <w:right w:val="single" w:color="auto" w:sz="4" w:space="0"/>
            </w:tcBorders>
            <w:vAlign w:val="center"/>
          </w:tcPr>
          <w:p w14:paraId="30A08058">
            <w:pPr>
              <w:pStyle w:val="59"/>
              <w:ind w:firstLine="0" w:firstLineChars="0"/>
              <w:jc w:val="center"/>
            </w:pPr>
            <w:r>
              <w:rPr>
                <w:rFonts w:hint="eastAsia"/>
              </w:rPr>
              <w:t>环氧云铁中间漆</w:t>
            </w:r>
          </w:p>
        </w:tc>
        <w:tc>
          <w:tcPr>
            <w:tcW w:w="1206" w:type="pct"/>
            <w:tcBorders>
              <w:top w:val="single" w:color="auto" w:sz="4" w:space="0"/>
              <w:left w:val="single" w:color="auto" w:sz="4" w:space="0"/>
              <w:bottom w:val="single" w:color="auto" w:sz="4" w:space="0"/>
              <w:right w:val="single" w:color="auto" w:sz="4" w:space="0"/>
            </w:tcBorders>
            <w:vAlign w:val="center"/>
          </w:tcPr>
          <w:p w14:paraId="18688F6E">
            <w:pPr>
              <w:pStyle w:val="59"/>
              <w:ind w:firstLine="0" w:firstLineChars="0"/>
              <w:jc w:val="center"/>
            </w:pPr>
            <w:r>
              <w:t>100</w:t>
            </w:r>
          </w:p>
        </w:tc>
        <w:tc>
          <w:tcPr>
            <w:tcW w:w="517" w:type="pct"/>
            <w:tcBorders>
              <w:top w:val="single" w:color="auto" w:sz="4" w:space="0"/>
              <w:left w:val="single" w:color="auto" w:sz="4" w:space="0"/>
              <w:bottom w:val="single" w:color="auto" w:sz="4" w:space="0"/>
              <w:right w:val="single" w:color="auto" w:sz="4" w:space="0"/>
            </w:tcBorders>
            <w:vAlign w:val="center"/>
          </w:tcPr>
          <w:p w14:paraId="7E53322B">
            <w:pPr>
              <w:pStyle w:val="59"/>
              <w:ind w:firstLine="0" w:firstLineChars="0"/>
              <w:jc w:val="center"/>
            </w:pPr>
            <w:r>
              <w:rPr>
                <w:rFonts w:hint="eastAsia"/>
              </w:rPr>
              <w:t>2</w:t>
            </w:r>
          </w:p>
        </w:tc>
      </w:tr>
      <w:tr w14:paraId="0A866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650" w:type="pct"/>
            <w:vMerge w:val="continue"/>
            <w:tcBorders>
              <w:top w:val="nil"/>
              <w:left w:val="single" w:color="auto" w:sz="4" w:space="0"/>
              <w:bottom w:val="single" w:color="auto" w:sz="4" w:space="0"/>
              <w:right w:val="single" w:color="auto" w:sz="4" w:space="0"/>
            </w:tcBorders>
            <w:vAlign w:val="center"/>
          </w:tcPr>
          <w:p w14:paraId="3CDA23DA">
            <w:pPr>
              <w:pStyle w:val="59"/>
              <w:ind w:firstLine="0" w:firstLineChars="0"/>
              <w:jc w:val="center"/>
            </w:pPr>
          </w:p>
        </w:tc>
        <w:tc>
          <w:tcPr>
            <w:tcW w:w="465" w:type="pct"/>
            <w:vMerge w:val="continue"/>
            <w:tcBorders>
              <w:top w:val="nil"/>
              <w:left w:val="single" w:color="auto" w:sz="4" w:space="0"/>
              <w:bottom w:val="single" w:color="auto" w:sz="4" w:space="0"/>
              <w:right w:val="single" w:color="auto" w:sz="4" w:space="0"/>
            </w:tcBorders>
            <w:vAlign w:val="center"/>
          </w:tcPr>
          <w:p w14:paraId="179E325F">
            <w:pPr>
              <w:pStyle w:val="59"/>
              <w:ind w:firstLine="0" w:firstLineChars="0"/>
              <w:jc w:val="center"/>
            </w:pPr>
          </w:p>
        </w:tc>
        <w:tc>
          <w:tcPr>
            <w:tcW w:w="640" w:type="pct"/>
            <w:vMerge w:val="continue"/>
            <w:tcBorders>
              <w:top w:val="nil"/>
              <w:left w:val="single" w:color="auto" w:sz="4" w:space="0"/>
              <w:bottom w:val="single" w:color="auto" w:sz="4" w:space="0"/>
              <w:right w:val="single" w:color="auto" w:sz="4" w:space="0"/>
            </w:tcBorders>
            <w:vAlign w:val="center"/>
          </w:tcPr>
          <w:p w14:paraId="2AFF27A0">
            <w:pPr>
              <w:pStyle w:val="59"/>
              <w:ind w:firstLine="0" w:firstLineChars="0"/>
              <w:jc w:val="center"/>
            </w:pPr>
          </w:p>
        </w:tc>
        <w:tc>
          <w:tcPr>
            <w:tcW w:w="1519" w:type="pct"/>
            <w:tcBorders>
              <w:top w:val="single" w:color="auto" w:sz="4" w:space="0"/>
              <w:left w:val="single" w:color="auto" w:sz="4" w:space="0"/>
              <w:bottom w:val="single" w:color="auto" w:sz="4" w:space="0"/>
              <w:right w:val="single" w:color="auto" w:sz="4" w:space="0"/>
            </w:tcBorders>
            <w:vAlign w:val="center"/>
          </w:tcPr>
          <w:p w14:paraId="199FF90C">
            <w:pPr>
              <w:pStyle w:val="59"/>
              <w:ind w:firstLine="0" w:firstLineChars="0"/>
              <w:jc w:val="center"/>
            </w:pPr>
            <w:r>
              <w:rPr>
                <w:rFonts w:hint="eastAsia"/>
              </w:rPr>
              <w:t>氟碳面漆/聚硅氧烷面漆</w:t>
            </w:r>
          </w:p>
        </w:tc>
        <w:tc>
          <w:tcPr>
            <w:tcW w:w="1206" w:type="pct"/>
            <w:tcBorders>
              <w:top w:val="single" w:color="auto" w:sz="4" w:space="0"/>
              <w:left w:val="single" w:color="auto" w:sz="4" w:space="0"/>
              <w:bottom w:val="single" w:color="auto" w:sz="4" w:space="0"/>
              <w:right w:val="single" w:color="auto" w:sz="4" w:space="0"/>
            </w:tcBorders>
            <w:vAlign w:val="center"/>
          </w:tcPr>
          <w:p w14:paraId="2922059F">
            <w:pPr>
              <w:pStyle w:val="59"/>
              <w:ind w:firstLine="0" w:firstLineChars="0"/>
              <w:jc w:val="center"/>
            </w:pPr>
            <w:r>
              <w:t>120</w:t>
            </w:r>
          </w:p>
        </w:tc>
        <w:tc>
          <w:tcPr>
            <w:tcW w:w="517" w:type="pct"/>
            <w:tcBorders>
              <w:top w:val="single" w:color="auto" w:sz="4" w:space="0"/>
              <w:left w:val="single" w:color="auto" w:sz="4" w:space="0"/>
              <w:bottom w:val="single" w:color="auto" w:sz="4" w:space="0"/>
              <w:right w:val="single" w:color="auto" w:sz="4" w:space="0"/>
            </w:tcBorders>
            <w:vAlign w:val="center"/>
          </w:tcPr>
          <w:p w14:paraId="193E6A73">
            <w:pPr>
              <w:pStyle w:val="59"/>
              <w:ind w:firstLine="0" w:firstLineChars="0"/>
              <w:jc w:val="center"/>
            </w:pPr>
            <w:r>
              <w:rPr>
                <w:rFonts w:hint="eastAsia"/>
              </w:rPr>
              <w:t>3</w:t>
            </w:r>
          </w:p>
        </w:tc>
      </w:tr>
      <w:tr w14:paraId="075D4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5" w:hRule="atLeast"/>
        </w:trPr>
        <w:tc>
          <w:tcPr>
            <w:tcW w:w="650" w:type="pct"/>
            <w:vMerge w:val="continue"/>
            <w:tcBorders>
              <w:top w:val="nil"/>
              <w:left w:val="single" w:color="auto" w:sz="4" w:space="0"/>
              <w:bottom w:val="single" w:color="auto" w:sz="4" w:space="0"/>
              <w:right w:val="single" w:color="auto" w:sz="4" w:space="0"/>
            </w:tcBorders>
            <w:vAlign w:val="center"/>
          </w:tcPr>
          <w:p w14:paraId="62466133">
            <w:pPr>
              <w:pStyle w:val="59"/>
              <w:ind w:firstLine="0" w:firstLineChars="0"/>
              <w:jc w:val="center"/>
            </w:pPr>
          </w:p>
        </w:tc>
        <w:tc>
          <w:tcPr>
            <w:tcW w:w="465" w:type="pct"/>
            <w:vMerge w:val="restart"/>
            <w:tcBorders>
              <w:top w:val="nil"/>
              <w:left w:val="single" w:color="auto" w:sz="4" w:space="0"/>
              <w:bottom w:val="single" w:color="auto" w:sz="4" w:space="0"/>
              <w:right w:val="single" w:color="auto" w:sz="4" w:space="0"/>
            </w:tcBorders>
            <w:vAlign w:val="center"/>
          </w:tcPr>
          <w:p w14:paraId="410BBE10">
            <w:pPr>
              <w:pStyle w:val="59"/>
              <w:ind w:firstLine="0" w:firstLineChars="0"/>
              <w:jc w:val="center"/>
            </w:pPr>
            <w:r>
              <w:t>2</w:t>
            </w:r>
            <w:r>
              <w:rPr>
                <w:rFonts w:hint="eastAsia"/>
              </w:rPr>
              <w:t>00</w:t>
            </w:r>
          </w:p>
        </w:tc>
        <w:tc>
          <w:tcPr>
            <w:tcW w:w="640" w:type="pct"/>
            <w:vMerge w:val="restart"/>
            <w:tcBorders>
              <w:top w:val="nil"/>
              <w:left w:val="single" w:color="auto" w:sz="4" w:space="0"/>
              <w:bottom w:val="single" w:color="auto" w:sz="4" w:space="0"/>
              <w:right w:val="single" w:color="auto" w:sz="4" w:space="0"/>
            </w:tcBorders>
            <w:vAlign w:val="center"/>
          </w:tcPr>
          <w:p w14:paraId="7A875229">
            <w:pPr>
              <w:pStyle w:val="59"/>
              <w:ind w:firstLine="0" w:firstLineChars="0"/>
              <w:jc w:val="center"/>
            </w:pPr>
            <w:r>
              <w:rPr>
                <w:rFonts w:hint="eastAsia"/>
              </w:rPr>
              <w:t>构造二</w:t>
            </w:r>
          </w:p>
        </w:tc>
        <w:tc>
          <w:tcPr>
            <w:tcW w:w="1519" w:type="pct"/>
            <w:tcBorders>
              <w:top w:val="single" w:color="auto" w:sz="4" w:space="0"/>
              <w:left w:val="single" w:color="auto" w:sz="4" w:space="0"/>
              <w:bottom w:val="single" w:color="auto" w:sz="4" w:space="0"/>
              <w:right w:val="single" w:color="auto" w:sz="4" w:space="0"/>
            </w:tcBorders>
            <w:vAlign w:val="center"/>
          </w:tcPr>
          <w:p w14:paraId="3467F3BE">
            <w:pPr>
              <w:pStyle w:val="59"/>
              <w:ind w:firstLine="0" w:firstLineChars="0"/>
              <w:jc w:val="center"/>
            </w:pPr>
            <w:r>
              <w:rPr>
                <w:rFonts w:hint="eastAsia"/>
              </w:rPr>
              <w:t>带锈涂装底面合一材料</w:t>
            </w:r>
          </w:p>
        </w:tc>
        <w:tc>
          <w:tcPr>
            <w:tcW w:w="1206" w:type="pct"/>
            <w:tcBorders>
              <w:top w:val="single" w:color="auto" w:sz="4" w:space="0"/>
              <w:left w:val="single" w:color="auto" w:sz="4" w:space="0"/>
              <w:bottom w:val="single" w:color="auto" w:sz="4" w:space="0"/>
              <w:right w:val="single" w:color="auto" w:sz="4" w:space="0"/>
            </w:tcBorders>
            <w:vAlign w:val="center"/>
          </w:tcPr>
          <w:p w14:paraId="12FE9BD0">
            <w:pPr>
              <w:pStyle w:val="59"/>
              <w:ind w:firstLine="0" w:firstLineChars="0"/>
              <w:jc w:val="center"/>
            </w:pPr>
            <w:r>
              <w:t>160</w:t>
            </w:r>
          </w:p>
        </w:tc>
        <w:tc>
          <w:tcPr>
            <w:tcW w:w="517" w:type="pct"/>
            <w:tcBorders>
              <w:top w:val="single" w:color="auto" w:sz="4" w:space="0"/>
              <w:left w:val="single" w:color="auto" w:sz="4" w:space="0"/>
              <w:bottom w:val="single" w:color="auto" w:sz="4" w:space="0"/>
              <w:right w:val="single" w:color="auto" w:sz="4" w:space="0"/>
            </w:tcBorders>
            <w:vAlign w:val="center"/>
          </w:tcPr>
          <w:p w14:paraId="4CAC4198">
            <w:pPr>
              <w:pStyle w:val="59"/>
              <w:ind w:firstLine="0" w:firstLineChars="0"/>
              <w:jc w:val="center"/>
            </w:pPr>
            <w:r>
              <w:rPr>
                <w:rFonts w:hint="eastAsia"/>
              </w:rPr>
              <w:t>4</w:t>
            </w:r>
          </w:p>
        </w:tc>
      </w:tr>
      <w:tr w14:paraId="69A5B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650" w:type="pct"/>
            <w:vMerge w:val="continue"/>
            <w:tcBorders>
              <w:top w:val="nil"/>
              <w:left w:val="single" w:color="auto" w:sz="4" w:space="0"/>
              <w:bottom w:val="single" w:color="auto" w:sz="4" w:space="0"/>
              <w:right w:val="single" w:color="auto" w:sz="4" w:space="0"/>
            </w:tcBorders>
            <w:vAlign w:val="center"/>
          </w:tcPr>
          <w:p w14:paraId="20420A31">
            <w:pPr>
              <w:pStyle w:val="59"/>
              <w:ind w:firstLine="0" w:firstLineChars="0"/>
              <w:jc w:val="center"/>
            </w:pPr>
          </w:p>
        </w:tc>
        <w:tc>
          <w:tcPr>
            <w:tcW w:w="465" w:type="pct"/>
            <w:vMerge w:val="continue"/>
            <w:tcBorders>
              <w:top w:val="nil"/>
              <w:left w:val="single" w:color="auto" w:sz="4" w:space="0"/>
              <w:bottom w:val="single" w:color="auto" w:sz="4" w:space="0"/>
              <w:right w:val="single" w:color="auto" w:sz="4" w:space="0"/>
            </w:tcBorders>
            <w:vAlign w:val="center"/>
          </w:tcPr>
          <w:p w14:paraId="208DB6B8">
            <w:pPr>
              <w:pStyle w:val="59"/>
              <w:ind w:firstLine="0" w:firstLineChars="0"/>
              <w:jc w:val="center"/>
            </w:pPr>
          </w:p>
        </w:tc>
        <w:tc>
          <w:tcPr>
            <w:tcW w:w="640" w:type="pct"/>
            <w:vMerge w:val="continue"/>
            <w:tcBorders>
              <w:top w:val="nil"/>
              <w:left w:val="single" w:color="auto" w:sz="4" w:space="0"/>
              <w:bottom w:val="single" w:color="auto" w:sz="4" w:space="0"/>
              <w:right w:val="single" w:color="auto" w:sz="4" w:space="0"/>
            </w:tcBorders>
            <w:vAlign w:val="center"/>
          </w:tcPr>
          <w:p w14:paraId="77A77E2B">
            <w:pPr>
              <w:pStyle w:val="59"/>
              <w:ind w:firstLine="0" w:firstLineChars="0"/>
              <w:jc w:val="center"/>
            </w:pPr>
          </w:p>
        </w:tc>
        <w:tc>
          <w:tcPr>
            <w:tcW w:w="1519" w:type="pct"/>
            <w:tcBorders>
              <w:top w:val="single" w:color="auto" w:sz="4" w:space="0"/>
              <w:left w:val="single" w:color="auto" w:sz="4" w:space="0"/>
              <w:bottom w:val="single" w:color="auto" w:sz="4" w:space="0"/>
              <w:right w:val="single" w:color="auto" w:sz="4" w:space="0"/>
            </w:tcBorders>
            <w:vAlign w:val="center"/>
          </w:tcPr>
          <w:p w14:paraId="6FA022D7">
            <w:pPr>
              <w:pStyle w:val="59"/>
              <w:ind w:firstLine="0" w:firstLineChars="0"/>
              <w:jc w:val="center"/>
            </w:pPr>
            <w:r>
              <w:rPr>
                <w:rFonts w:hint="eastAsia"/>
              </w:rPr>
              <w:t>氟碳清漆</w:t>
            </w:r>
          </w:p>
        </w:tc>
        <w:tc>
          <w:tcPr>
            <w:tcW w:w="1206" w:type="pct"/>
            <w:tcBorders>
              <w:top w:val="single" w:color="auto" w:sz="4" w:space="0"/>
              <w:left w:val="single" w:color="auto" w:sz="4" w:space="0"/>
              <w:bottom w:val="single" w:color="auto" w:sz="4" w:space="0"/>
              <w:right w:val="single" w:color="auto" w:sz="4" w:space="0"/>
            </w:tcBorders>
            <w:vAlign w:val="center"/>
          </w:tcPr>
          <w:p w14:paraId="6D658F9C">
            <w:pPr>
              <w:pStyle w:val="59"/>
              <w:ind w:firstLine="0" w:firstLineChars="0"/>
              <w:jc w:val="center"/>
            </w:pPr>
            <w:r>
              <w:rPr>
                <w:rFonts w:hint="eastAsia"/>
              </w:rPr>
              <w:t>4</w:t>
            </w:r>
            <w:r>
              <w:t>0</w:t>
            </w:r>
          </w:p>
        </w:tc>
        <w:tc>
          <w:tcPr>
            <w:tcW w:w="517" w:type="pct"/>
            <w:tcBorders>
              <w:top w:val="single" w:color="auto" w:sz="4" w:space="0"/>
              <w:left w:val="single" w:color="auto" w:sz="4" w:space="0"/>
              <w:bottom w:val="single" w:color="auto" w:sz="4" w:space="0"/>
              <w:right w:val="single" w:color="auto" w:sz="4" w:space="0"/>
            </w:tcBorders>
            <w:vAlign w:val="center"/>
          </w:tcPr>
          <w:p w14:paraId="6C433719">
            <w:pPr>
              <w:pStyle w:val="59"/>
              <w:ind w:firstLine="0" w:firstLineChars="0"/>
              <w:jc w:val="center"/>
            </w:pPr>
            <w:r>
              <w:rPr>
                <w:rFonts w:hint="eastAsia"/>
              </w:rPr>
              <w:t>2</w:t>
            </w:r>
          </w:p>
        </w:tc>
      </w:tr>
    </w:tbl>
    <w:p w14:paraId="1621D1AF">
      <w:pPr>
        <w:pStyle w:val="59"/>
        <w:ind w:firstLine="420"/>
        <w:sectPr>
          <w:pgSz w:w="11906" w:h="16838"/>
          <w:pgMar w:top="1928" w:right="1134" w:bottom="1134" w:left="1134" w:header="1418" w:footer="1134" w:gutter="284"/>
          <w:cols w:space="425" w:num="1"/>
          <w:formProt w:val="0"/>
          <w:docGrid w:linePitch="312" w:charSpace="0"/>
        </w:sectPr>
      </w:pPr>
    </w:p>
    <w:p w14:paraId="2A75DAE0">
      <w:pPr>
        <w:pStyle w:val="201"/>
        <w:rPr>
          <w:rFonts w:hint="eastAsia"/>
          <w:vanish w:val="0"/>
        </w:rPr>
      </w:pPr>
    </w:p>
    <w:p w14:paraId="065A94FA">
      <w:pPr>
        <w:pStyle w:val="201"/>
        <w:rPr>
          <w:rFonts w:hint="eastAsia"/>
          <w:vanish w:val="0"/>
        </w:rPr>
      </w:pPr>
    </w:p>
    <w:p w14:paraId="5C11E6E0">
      <w:pPr>
        <w:pStyle w:val="202"/>
        <w:rPr>
          <w:vanish w:val="0"/>
        </w:rPr>
      </w:pPr>
    </w:p>
    <w:p w14:paraId="35D31816">
      <w:pPr>
        <w:pStyle w:val="79"/>
        <w:spacing w:after="120"/>
      </w:pPr>
      <w:r>
        <w:br w:type="textWrapping"/>
      </w:r>
      <w:bookmarkStart w:id="123" w:name="_Toc223697447"/>
      <w:bookmarkStart w:id="124" w:name="_Toc226548553"/>
      <w:bookmarkStart w:id="125" w:name="_Toc227577033"/>
      <w:bookmarkStart w:id="126" w:name="_Toc227569877"/>
      <w:bookmarkStart w:id="127" w:name="_Toc223708336"/>
      <w:bookmarkStart w:id="128" w:name="_Toc223697477"/>
      <w:bookmarkStart w:id="129" w:name="_Toc225345389"/>
      <w:r>
        <w:rPr>
          <w:rFonts w:hint="eastAsia"/>
        </w:rPr>
        <w:t>（规范性）</w:t>
      </w:r>
      <w:r>
        <w:br w:type="textWrapping"/>
      </w:r>
      <w:r>
        <w:rPr>
          <w:rFonts w:hint="eastAsia"/>
        </w:rPr>
        <w:t>防腐涂层配套产品性能要求</w:t>
      </w:r>
      <w:bookmarkEnd w:id="123"/>
      <w:bookmarkEnd w:id="124"/>
      <w:bookmarkEnd w:id="125"/>
      <w:bookmarkEnd w:id="126"/>
      <w:bookmarkEnd w:id="127"/>
      <w:bookmarkEnd w:id="128"/>
      <w:bookmarkEnd w:id="129"/>
    </w:p>
    <w:p w14:paraId="7E4FCF5E">
      <w:pPr>
        <w:pStyle w:val="59"/>
        <w:ind w:firstLine="420"/>
      </w:pPr>
      <w:r>
        <w:rPr>
          <w:rFonts w:hint="eastAsia"/>
        </w:rPr>
        <w:t>钢构件带锈涂装配套产品防腐性能要求应按照表C</w:t>
      </w:r>
      <w:r>
        <w:t>.1</w:t>
      </w:r>
      <w:r>
        <w:rPr>
          <w:rFonts w:hint="eastAsia"/>
        </w:rPr>
        <w:t>至C</w:t>
      </w:r>
      <w:r>
        <w:t>.</w:t>
      </w:r>
      <w:r>
        <w:rPr>
          <w:rFonts w:hint="eastAsia"/>
        </w:rPr>
        <w:t>7要求。</w:t>
      </w:r>
    </w:p>
    <w:p w14:paraId="56D33F02">
      <w:pPr>
        <w:pStyle w:val="80"/>
        <w:spacing w:before="120" w:after="120"/>
      </w:pPr>
      <w:r>
        <w:rPr>
          <w:rFonts w:hint="eastAsia"/>
        </w:rPr>
        <w:t>水性带锈涂装底漆技术要求</w:t>
      </w:r>
    </w:p>
    <w:tbl>
      <w:tblPr>
        <w:tblStyle w:val="2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1799"/>
        <w:gridCol w:w="3271"/>
        <w:gridCol w:w="2869"/>
      </w:tblGrid>
      <w:tr w14:paraId="6DED2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91" w:type="pct"/>
            <w:gridSpan w:val="2"/>
            <w:vMerge w:val="restart"/>
            <w:tcBorders>
              <w:top w:val="single" w:color="auto" w:sz="4" w:space="0"/>
              <w:left w:val="single" w:color="auto" w:sz="4" w:space="0"/>
              <w:bottom w:val="single" w:color="auto" w:sz="4" w:space="0"/>
              <w:right w:val="single" w:color="auto" w:sz="4" w:space="0"/>
            </w:tcBorders>
            <w:vAlign w:val="center"/>
          </w:tcPr>
          <w:p w14:paraId="0125254B">
            <w:pPr>
              <w:pStyle w:val="59"/>
              <w:ind w:firstLine="0" w:firstLineChars="0"/>
              <w:jc w:val="center"/>
            </w:pPr>
            <w:r>
              <w:rPr>
                <w:rFonts w:hint="eastAsia"/>
              </w:rPr>
              <w:t>项目</w:t>
            </w:r>
          </w:p>
        </w:tc>
        <w:tc>
          <w:tcPr>
            <w:tcW w:w="3209" w:type="pct"/>
            <w:gridSpan w:val="2"/>
            <w:tcBorders>
              <w:top w:val="single" w:color="auto" w:sz="4" w:space="0"/>
              <w:left w:val="single" w:color="auto" w:sz="4" w:space="0"/>
              <w:bottom w:val="single" w:color="auto" w:sz="4" w:space="0"/>
              <w:right w:val="single" w:color="auto" w:sz="4" w:space="0"/>
            </w:tcBorders>
            <w:vAlign w:val="center"/>
          </w:tcPr>
          <w:p w14:paraId="09146180">
            <w:pPr>
              <w:pStyle w:val="59"/>
              <w:ind w:firstLine="0" w:firstLineChars="0"/>
              <w:jc w:val="center"/>
            </w:pPr>
            <w:r>
              <w:rPr>
                <w:rFonts w:hint="eastAsia"/>
              </w:rPr>
              <w:t>指标</w:t>
            </w:r>
          </w:p>
        </w:tc>
      </w:tr>
      <w:tr w14:paraId="39EEC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91" w:type="pct"/>
            <w:gridSpan w:val="2"/>
            <w:vMerge w:val="continue"/>
            <w:tcBorders>
              <w:top w:val="single" w:color="auto" w:sz="4" w:space="0"/>
              <w:left w:val="single" w:color="auto" w:sz="4" w:space="0"/>
              <w:bottom w:val="single" w:color="auto" w:sz="4" w:space="0"/>
              <w:right w:val="single" w:color="auto" w:sz="4" w:space="0"/>
            </w:tcBorders>
            <w:vAlign w:val="center"/>
          </w:tcPr>
          <w:p w14:paraId="3E2EA9F5">
            <w:pPr>
              <w:pStyle w:val="59"/>
              <w:ind w:firstLine="0" w:firstLineChars="0"/>
              <w:jc w:val="center"/>
            </w:pPr>
          </w:p>
        </w:tc>
        <w:tc>
          <w:tcPr>
            <w:tcW w:w="1709" w:type="pct"/>
            <w:tcBorders>
              <w:top w:val="single" w:color="auto" w:sz="4" w:space="0"/>
              <w:left w:val="single" w:color="auto" w:sz="4" w:space="0"/>
              <w:bottom w:val="single" w:color="auto" w:sz="4" w:space="0"/>
              <w:right w:val="single" w:color="auto" w:sz="4" w:space="0"/>
            </w:tcBorders>
            <w:vAlign w:val="center"/>
          </w:tcPr>
          <w:p w14:paraId="1F3AF7CB">
            <w:pPr>
              <w:pStyle w:val="59"/>
              <w:ind w:firstLine="0" w:firstLineChars="0"/>
              <w:jc w:val="center"/>
            </w:pPr>
            <w:r>
              <w:rPr>
                <w:rFonts w:hint="eastAsia"/>
              </w:rPr>
              <w:t>单组份</w:t>
            </w:r>
          </w:p>
        </w:tc>
        <w:tc>
          <w:tcPr>
            <w:tcW w:w="1500" w:type="pct"/>
            <w:tcBorders>
              <w:top w:val="single" w:color="auto" w:sz="4" w:space="0"/>
              <w:left w:val="single" w:color="auto" w:sz="4" w:space="0"/>
              <w:bottom w:val="single" w:color="auto" w:sz="4" w:space="0"/>
              <w:right w:val="single" w:color="auto" w:sz="4" w:space="0"/>
            </w:tcBorders>
            <w:vAlign w:val="center"/>
          </w:tcPr>
          <w:p w14:paraId="3440EDC7">
            <w:pPr>
              <w:pStyle w:val="59"/>
              <w:ind w:firstLine="0" w:firstLineChars="0"/>
              <w:jc w:val="center"/>
            </w:pPr>
            <w:r>
              <w:rPr>
                <w:rFonts w:hint="eastAsia"/>
              </w:rPr>
              <w:t>双组分</w:t>
            </w:r>
          </w:p>
        </w:tc>
      </w:tr>
      <w:tr w14:paraId="5EAEF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91" w:type="pct"/>
            <w:gridSpan w:val="2"/>
            <w:tcBorders>
              <w:top w:val="single" w:color="auto" w:sz="4" w:space="0"/>
              <w:left w:val="single" w:color="auto" w:sz="4" w:space="0"/>
              <w:bottom w:val="single" w:color="auto" w:sz="4" w:space="0"/>
              <w:right w:val="single" w:color="auto" w:sz="4" w:space="0"/>
            </w:tcBorders>
            <w:vAlign w:val="center"/>
          </w:tcPr>
          <w:p w14:paraId="192CEE18">
            <w:pPr>
              <w:pStyle w:val="59"/>
              <w:ind w:firstLine="0" w:firstLineChars="0"/>
              <w:jc w:val="center"/>
            </w:pPr>
            <w:r>
              <w:rPr>
                <w:rFonts w:hint="eastAsia"/>
              </w:rPr>
              <w:t>在容器中状态</w:t>
            </w:r>
          </w:p>
        </w:tc>
        <w:tc>
          <w:tcPr>
            <w:tcW w:w="3209" w:type="pct"/>
            <w:gridSpan w:val="2"/>
            <w:tcBorders>
              <w:top w:val="single" w:color="auto" w:sz="4" w:space="0"/>
              <w:left w:val="single" w:color="auto" w:sz="4" w:space="0"/>
              <w:bottom w:val="single" w:color="auto" w:sz="4" w:space="0"/>
              <w:right w:val="single" w:color="auto" w:sz="4" w:space="0"/>
            </w:tcBorders>
            <w:vAlign w:val="center"/>
          </w:tcPr>
          <w:p w14:paraId="6BB6CBA2">
            <w:pPr>
              <w:pStyle w:val="59"/>
              <w:ind w:firstLine="0" w:firstLineChars="0"/>
              <w:jc w:val="center"/>
            </w:pPr>
            <w:r>
              <w:rPr>
                <w:rFonts w:hint="eastAsia"/>
              </w:rPr>
              <w:t>搅拌混合后无硬块，呈均匀状态</w:t>
            </w:r>
          </w:p>
        </w:tc>
      </w:tr>
      <w:tr w14:paraId="6B14F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1791" w:type="pct"/>
            <w:gridSpan w:val="2"/>
            <w:tcBorders>
              <w:top w:val="single" w:color="auto" w:sz="4" w:space="0"/>
              <w:left w:val="single" w:color="auto" w:sz="4" w:space="0"/>
              <w:bottom w:val="single" w:color="auto" w:sz="4" w:space="0"/>
              <w:right w:val="single" w:color="auto" w:sz="4" w:space="0"/>
            </w:tcBorders>
            <w:vAlign w:val="center"/>
          </w:tcPr>
          <w:p w14:paraId="79A80E5A">
            <w:pPr>
              <w:pStyle w:val="59"/>
              <w:ind w:firstLine="0" w:firstLineChars="0"/>
              <w:jc w:val="center"/>
            </w:pPr>
            <w:r>
              <w:rPr>
                <w:rFonts w:hint="eastAsia"/>
              </w:rPr>
              <w:t>涂膜外观</w:t>
            </w:r>
          </w:p>
        </w:tc>
        <w:tc>
          <w:tcPr>
            <w:tcW w:w="3209" w:type="pct"/>
            <w:gridSpan w:val="2"/>
            <w:tcBorders>
              <w:top w:val="single" w:color="auto" w:sz="4" w:space="0"/>
              <w:left w:val="single" w:color="auto" w:sz="4" w:space="0"/>
              <w:bottom w:val="single" w:color="auto" w:sz="4" w:space="0"/>
              <w:right w:val="single" w:color="auto" w:sz="4" w:space="0"/>
            </w:tcBorders>
            <w:vAlign w:val="center"/>
          </w:tcPr>
          <w:p w14:paraId="3F3B9020">
            <w:pPr>
              <w:pStyle w:val="59"/>
              <w:ind w:firstLine="0" w:firstLineChars="0"/>
              <w:jc w:val="center"/>
            </w:pPr>
            <w:r>
              <w:rPr>
                <w:rFonts w:hint="eastAsia"/>
              </w:rPr>
              <w:t>正常</w:t>
            </w:r>
          </w:p>
        </w:tc>
      </w:tr>
      <w:tr w14:paraId="29310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91" w:type="pct"/>
            <w:gridSpan w:val="2"/>
            <w:tcBorders>
              <w:top w:val="single" w:color="auto" w:sz="4" w:space="0"/>
              <w:left w:val="single" w:color="auto" w:sz="4" w:space="0"/>
              <w:bottom w:val="single" w:color="auto" w:sz="4" w:space="0"/>
              <w:right w:val="single" w:color="auto" w:sz="4" w:space="0"/>
            </w:tcBorders>
            <w:vAlign w:val="center"/>
          </w:tcPr>
          <w:p w14:paraId="1E812340">
            <w:pPr>
              <w:pStyle w:val="59"/>
              <w:ind w:firstLine="0" w:firstLineChars="0"/>
              <w:jc w:val="center"/>
            </w:pPr>
            <w:r>
              <w:rPr>
                <w:rFonts w:hint="eastAsia"/>
              </w:rPr>
              <w:t>贮存稳定性[（50±2）℃/7d]</w:t>
            </w:r>
          </w:p>
        </w:tc>
        <w:tc>
          <w:tcPr>
            <w:tcW w:w="3209" w:type="pct"/>
            <w:gridSpan w:val="2"/>
            <w:tcBorders>
              <w:top w:val="single" w:color="auto" w:sz="4" w:space="0"/>
              <w:left w:val="single" w:color="auto" w:sz="4" w:space="0"/>
              <w:bottom w:val="single" w:color="auto" w:sz="4" w:space="0"/>
              <w:right w:val="single" w:color="auto" w:sz="4" w:space="0"/>
            </w:tcBorders>
            <w:vAlign w:val="center"/>
          </w:tcPr>
          <w:p w14:paraId="5B320685">
            <w:pPr>
              <w:pStyle w:val="59"/>
              <w:ind w:firstLine="0" w:firstLineChars="0"/>
              <w:jc w:val="center"/>
            </w:pPr>
            <w:r>
              <w:rPr>
                <w:rFonts w:hint="eastAsia"/>
              </w:rPr>
              <w:t>无异常</w:t>
            </w:r>
          </w:p>
        </w:tc>
      </w:tr>
      <w:tr w14:paraId="5F4F6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91" w:type="pct"/>
            <w:gridSpan w:val="2"/>
            <w:tcBorders>
              <w:top w:val="single" w:color="auto" w:sz="4" w:space="0"/>
              <w:left w:val="single" w:color="auto" w:sz="4" w:space="0"/>
              <w:bottom w:val="single" w:color="auto" w:sz="4" w:space="0"/>
              <w:right w:val="single" w:color="auto" w:sz="4" w:space="0"/>
            </w:tcBorders>
            <w:vAlign w:val="center"/>
          </w:tcPr>
          <w:p w14:paraId="58BEB2EA">
            <w:pPr>
              <w:pStyle w:val="59"/>
              <w:ind w:firstLine="0" w:firstLineChars="0"/>
              <w:jc w:val="center"/>
            </w:pPr>
            <w:r>
              <w:rPr>
                <w:rFonts w:hint="eastAsia"/>
              </w:rPr>
              <w:t>耐冻融性（3次循环）</w:t>
            </w:r>
          </w:p>
        </w:tc>
        <w:tc>
          <w:tcPr>
            <w:tcW w:w="3209" w:type="pct"/>
            <w:gridSpan w:val="2"/>
            <w:tcBorders>
              <w:top w:val="single" w:color="auto" w:sz="4" w:space="0"/>
              <w:left w:val="single" w:color="auto" w:sz="4" w:space="0"/>
              <w:bottom w:val="single" w:color="auto" w:sz="4" w:space="0"/>
              <w:right w:val="single" w:color="auto" w:sz="4" w:space="0"/>
            </w:tcBorders>
            <w:vAlign w:val="center"/>
          </w:tcPr>
          <w:p w14:paraId="26E2A136">
            <w:pPr>
              <w:pStyle w:val="59"/>
              <w:ind w:firstLine="0" w:firstLineChars="0"/>
              <w:jc w:val="center"/>
            </w:pPr>
            <w:r>
              <w:rPr>
                <w:rFonts w:hint="eastAsia"/>
              </w:rPr>
              <w:t>不变质</w:t>
            </w:r>
          </w:p>
        </w:tc>
      </w:tr>
      <w:tr w14:paraId="2E7DF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91" w:type="pct"/>
            <w:gridSpan w:val="2"/>
            <w:tcBorders>
              <w:top w:val="single" w:color="auto" w:sz="4" w:space="0"/>
              <w:left w:val="single" w:color="auto" w:sz="4" w:space="0"/>
              <w:bottom w:val="single" w:color="auto" w:sz="4" w:space="0"/>
              <w:right w:val="single" w:color="auto" w:sz="4" w:space="0"/>
            </w:tcBorders>
            <w:vAlign w:val="center"/>
          </w:tcPr>
          <w:p w14:paraId="03E8E037">
            <w:pPr>
              <w:pStyle w:val="59"/>
              <w:ind w:firstLine="0" w:firstLineChars="0"/>
              <w:jc w:val="center"/>
            </w:pPr>
            <w:r>
              <w:rPr>
                <w:rFonts w:hint="eastAsia"/>
              </w:rPr>
              <w:t>不挥发物含量 /%</w:t>
            </w:r>
          </w:p>
        </w:tc>
        <w:tc>
          <w:tcPr>
            <w:tcW w:w="3209" w:type="pct"/>
            <w:gridSpan w:val="2"/>
            <w:tcBorders>
              <w:top w:val="single" w:color="auto" w:sz="4" w:space="0"/>
              <w:left w:val="single" w:color="auto" w:sz="4" w:space="0"/>
              <w:bottom w:val="single" w:color="auto" w:sz="4" w:space="0"/>
              <w:right w:val="single" w:color="auto" w:sz="4" w:space="0"/>
            </w:tcBorders>
            <w:vAlign w:val="center"/>
          </w:tcPr>
          <w:p w14:paraId="17EE5D4C">
            <w:pPr>
              <w:pStyle w:val="59"/>
              <w:ind w:firstLine="0" w:firstLineChars="0"/>
              <w:jc w:val="center"/>
            </w:pPr>
            <w:r>
              <w:rPr>
                <w:rFonts w:hint="eastAsia"/>
              </w:rPr>
              <w:t>≥40</w:t>
            </w:r>
          </w:p>
        </w:tc>
      </w:tr>
      <w:tr w14:paraId="050FC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91" w:type="pct"/>
            <w:gridSpan w:val="2"/>
            <w:tcBorders>
              <w:top w:val="single" w:color="auto" w:sz="4" w:space="0"/>
              <w:left w:val="single" w:color="auto" w:sz="4" w:space="0"/>
              <w:bottom w:val="single" w:color="auto" w:sz="4" w:space="0"/>
              <w:right w:val="single" w:color="auto" w:sz="4" w:space="0"/>
            </w:tcBorders>
            <w:vAlign w:val="center"/>
          </w:tcPr>
          <w:p w14:paraId="30D63D77">
            <w:pPr>
              <w:pStyle w:val="59"/>
              <w:ind w:firstLine="0" w:firstLineChars="0"/>
              <w:jc w:val="center"/>
            </w:pPr>
            <w:r>
              <w:rPr>
                <w:rFonts w:hint="eastAsia"/>
              </w:rPr>
              <w:t>挥发性有机化合物（VOC）含量/（g/L）</w:t>
            </w:r>
          </w:p>
        </w:tc>
        <w:tc>
          <w:tcPr>
            <w:tcW w:w="3209" w:type="pct"/>
            <w:gridSpan w:val="2"/>
            <w:tcBorders>
              <w:top w:val="single" w:color="auto" w:sz="4" w:space="0"/>
              <w:left w:val="single" w:color="auto" w:sz="4" w:space="0"/>
              <w:bottom w:val="single" w:color="auto" w:sz="4" w:space="0"/>
              <w:right w:val="single" w:color="auto" w:sz="4" w:space="0"/>
            </w:tcBorders>
            <w:vAlign w:val="center"/>
          </w:tcPr>
          <w:p w14:paraId="2600BAED">
            <w:pPr>
              <w:pStyle w:val="59"/>
              <w:ind w:firstLine="0" w:firstLineChars="0"/>
              <w:jc w:val="center"/>
            </w:pPr>
            <w:r>
              <w:rPr>
                <w:rFonts w:hint="eastAsia"/>
              </w:rPr>
              <w:t>≤300</w:t>
            </w:r>
          </w:p>
        </w:tc>
      </w:tr>
      <w:tr w14:paraId="15A98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 w:type="pct"/>
            <w:vMerge w:val="restart"/>
            <w:tcBorders>
              <w:top w:val="nil"/>
              <w:left w:val="single" w:color="auto" w:sz="4" w:space="0"/>
              <w:bottom w:val="single" w:color="auto" w:sz="4" w:space="0"/>
              <w:right w:val="single" w:color="auto" w:sz="4" w:space="0"/>
            </w:tcBorders>
            <w:vAlign w:val="center"/>
          </w:tcPr>
          <w:p w14:paraId="4A72958A">
            <w:pPr>
              <w:pStyle w:val="59"/>
              <w:ind w:firstLine="0" w:firstLineChars="0"/>
              <w:jc w:val="center"/>
            </w:pPr>
            <w:r>
              <w:rPr>
                <w:rFonts w:hint="eastAsia"/>
              </w:rPr>
              <w:t>干燥时间/h</w:t>
            </w:r>
          </w:p>
        </w:tc>
        <w:tc>
          <w:tcPr>
            <w:tcW w:w="940" w:type="pct"/>
            <w:tcBorders>
              <w:top w:val="single" w:color="auto" w:sz="4" w:space="0"/>
              <w:left w:val="single" w:color="auto" w:sz="4" w:space="0"/>
              <w:bottom w:val="single" w:color="auto" w:sz="4" w:space="0"/>
              <w:right w:val="single" w:color="auto" w:sz="4" w:space="0"/>
            </w:tcBorders>
            <w:vAlign w:val="center"/>
          </w:tcPr>
          <w:p w14:paraId="28DFA514">
            <w:pPr>
              <w:pStyle w:val="59"/>
              <w:ind w:firstLine="0" w:firstLineChars="0"/>
              <w:jc w:val="center"/>
            </w:pPr>
            <w:r>
              <w:rPr>
                <w:rFonts w:hint="eastAsia"/>
              </w:rPr>
              <w:t>表干</w:t>
            </w:r>
          </w:p>
        </w:tc>
        <w:tc>
          <w:tcPr>
            <w:tcW w:w="3209" w:type="pct"/>
            <w:gridSpan w:val="2"/>
            <w:tcBorders>
              <w:top w:val="single" w:color="auto" w:sz="4" w:space="0"/>
              <w:left w:val="single" w:color="auto" w:sz="4" w:space="0"/>
              <w:bottom w:val="single" w:color="auto" w:sz="4" w:space="0"/>
              <w:right w:val="single" w:color="auto" w:sz="4" w:space="0"/>
            </w:tcBorders>
            <w:vAlign w:val="center"/>
          </w:tcPr>
          <w:p w14:paraId="26CCB0DB">
            <w:pPr>
              <w:pStyle w:val="59"/>
              <w:ind w:firstLine="0" w:firstLineChars="0"/>
              <w:jc w:val="center"/>
            </w:pPr>
            <w:r>
              <w:rPr>
                <w:rFonts w:hint="eastAsia"/>
              </w:rPr>
              <w:t>≤4</w:t>
            </w:r>
          </w:p>
        </w:tc>
      </w:tr>
      <w:tr w14:paraId="181AD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 w:type="pct"/>
            <w:vMerge w:val="continue"/>
            <w:tcBorders>
              <w:top w:val="nil"/>
              <w:left w:val="single" w:color="auto" w:sz="4" w:space="0"/>
              <w:bottom w:val="single" w:color="auto" w:sz="4" w:space="0"/>
              <w:right w:val="single" w:color="auto" w:sz="4" w:space="0"/>
            </w:tcBorders>
            <w:vAlign w:val="center"/>
          </w:tcPr>
          <w:p w14:paraId="2448C5EC">
            <w:pPr>
              <w:pStyle w:val="59"/>
              <w:ind w:firstLine="0" w:firstLineChars="0"/>
              <w:jc w:val="center"/>
            </w:pPr>
          </w:p>
        </w:tc>
        <w:tc>
          <w:tcPr>
            <w:tcW w:w="940" w:type="pct"/>
            <w:tcBorders>
              <w:top w:val="single" w:color="auto" w:sz="4" w:space="0"/>
              <w:left w:val="single" w:color="auto" w:sz="4" w:space="0"/>
              <w:bottom w:val="single" w:color="auto" w:sz="4" w:space="0"/>
              <w:right w:val="single" w:color="auto" w:sz="4" w:space="0"/>
            </w:tcBorders>
            <w:vAlign w:val="center"/>
          </w:tcPr>
          <w:p w14:paraId="16DDB1CC">
            <w:pPr>
              <w:pStyle w:val="59"/>
              <w:ind w:firstLine="0" w:firstLineChars="0"/>
              <w:jc w:val="center"/>
            </w:pPr>
            <w:r>
              <w:rPr>
                <w:rFonts w:hint="eastAsia"/>
              </w:rPr>
              <w:t>实干</w:t>
            </w:r>
          </w:p>
        </w:tc>
        <w:tc>
          <w:tcPr>
            <w:tcW w:w="3209" w:type="pct"/>
            <w:gridSpan w:val="2"/>
            <w:tcBorders>
              <w:top w:val="single" w:color="auto" w:sz="4" w:space="0"/>
              <w:left w:val="single" w:color="auto" w:sz="4" w:space="0"/>
              <w:bottom w:val="single" w:color="auto" w:sz="4" w:space="0"/>
              <w:right w:val="single" w:color="auto" w:sz="4" w:space="0"/>
            </w:tcBorders>
            <w:vAlign w:val="center"/>
          </w:tcPr>
          <w:p w14:paraId="51FAA863">
            <w:pPr>
              <w:pStyle w:val="59"/>
              <w:ind w:firstLine="0" w:firstLineChars="0"/>
              <w:jc w:val="center"/>
            </w:pPr>
            <w:r>
              <w:rPr>
                <w:rFonts w:hint="eastAsia"/>
              </w:rPr>
              <w:t>≤24</w:t>
            </w:r>
          </w:p>
        </w:tc>
      </w:tr>
      <w:tr w14:paraId="15752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91" w:type="pct"/>
            <w:gridSpan w:val="2"/>
            <w:tcBorders>
              <w:top w:val="single" w:color="auto" w:sz="4" w:space="0"/>
              <w:left w:val="single" w:color="auto" w:sz="4" w:space="0"/>
              <w:bottom w:val="single" w:color="auto" w:sz="4" w:space="0"/>
              <w:right w:val="single" w:color="auto" w:sz="4" w:space="0"/>
            </w:tcBorders>
            <w:vAlign w:val="center"/>
          </w:tcPr>
          <w:p w14:paraId="57BEC0D4">
            <w:pPr>
              <w:pStyle w:val="59"/>
              <w:ind w:firstLine="0" w:firstLineChars="0"/>
              <w:jc w:val="center"/>
            </w:pPr>
            <w:r>
              <w:rPr>
                <w:rFonts w:hint="eastAsia"/>
              </w:rPr>
              <w:t>耐冲击性/cm</w:t>
            </w:r>
          </w:p>
        </w:tc>
        <w:tc>
          <w:tcPr>
            <w:tcW w:w="3209" w:type="pct"/>
            <w:gridSpan w:val="2"/>
            <w:tcBorders>
              <w:top w:val="single" w:color="auto" w:sz="4" w:space="0"/>
              <w:left w:val="single" w:color="auto" w:sz="4" w:space="0"/>
              <w:bottom w:val="single" w:color="auto" w:sz="4" w:space="0"/>
              <w:right w:val="single" w:color="auto" w:sz="4" w:space="0"/>
            </w:tcBorders>
            <w:vAlign w:val="center"/>
          </w:tcPr>
          <w:p w14:paraId="4BF87389">
            <w:pPr>
              <w:pStyle w:val="59"/>
              <w:ind w:firstLine="0" w:firstLineChars="0"/>
              <w:jc w:val="center"/>
            </w:pPr>
            <w:r>
              <w:rPr>
                <w:rFonts w:hint="eastAsia"/>
              </w:rPr>
              <w:t>≥40</w:t>
            </w:r>
          </w:p>
        </w:tc>
      </w:tr>
      <w:tr w14:paraId="0A8C0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91" w:type="pct"/>
            <w:gridSpan w:val="2"/>
            <w:tcBorders>
              <w:top w:val="single" w:color="auto" w:sz="4" w:space="0"/>
              <w:left w:val="single" w:color="auto" w:sz="4" w:space="0"/>
              <w:bottom w:val="single" w:color="auto" w:sz="4" w:space="0"/>
              <w:right w:val="single" w:color="auto" w:sz="4" w:space="0"/>
            </w:tcBorders>
            <w:vAlign w:val="center"/>
          </w:tcPr>
          <w:p w14:paraId="4A2DDFA5">
            <w:pPr>
              <w:pStyle w:val="59"/>
              <w:ind w:firstLine="0" w:firstLineChars="0"/>
              <w:jc w:val="center"/>
            </w:pPr>
            <w:r>
              <w:rPr>
                <w:rFonts w:hint="eastAsia"/>
              </w:rPr>
              <w:t>弯曲试验/mm</w:t>
            </w:r>
          </w:p>
        </w:tc>
        <w:tc>
          <w:tcPr>
            <w:tcW w:w="3209" w:type="pct"/>
            <w:gridSpan w:val="2"/>
            <w:tcBorders>
              <w:top w:val="single" w:color="auto" w:sz="4" w:space="0"/>
              <w:left w:val="single" w:color="auto" w:sz="4" w:space="0"/>
              <w:bottom w:val="single" w:color="auto" w:sz="4" w:space="0"/>
              <w:right w:val="single" w:color="auto" w:sz="4" w:space="0"/>
            </w:tcBorders>
            <w:vAlign w:val="center"/>
          </w:tcPr>
          <w:p w14:paraId="5CE9A5D7">
            <w:pPr>
              <w:pStyle w:val="59"/>
              <w:ind w:firstLine="0" w:firstLineChars="0"/>
              <w:jc w:val="center"/>
            </w:pPr>
            <w:r>
              <w:rPr>
                <w:rFonts w:hint="eastAsia"/>
              </w:rPr>
              <w:t>≤2</w:t>
            </w:r>
          </w:p>
        </w:tc>
      </w:tr>
      <w:tr w14:paraId="27FBF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91" w:type="pct"/>
            <w:gridSpan w:val="2"/>
            <w:tcBorders>
              <w:top w:val="single" w:color="auto" w:sz="4" w:space="0"/>
              <w:left w:val="single" w:color="auto" w:sz="4" w:space="0"/>
              <w:bottom w:val="single" w:color="auto" w:sz="4" w:space="0"/>
              <w:right w:val="single" w:color="auto" w:sz="4" w:space="0"/>
            </w:tcBorders>
            <w:vAlign w:val="center"/>
          </w:tcPr>
          <w:p w14:paraId="3A0EBBEE">
            <w:pPr>
              <w:pStyle w:val="59"/>
              <w:ind w:firstLine="0" w:firstLineChars="0"/>
              <w:jc w:val="center"/>
            </w:pPr>
            <w:r>
              <w:rPr>
                <w:rFonts w:hint="eastAsia"/>
              </w:rPr>
              <w:t>划格实验(划格间距2mm) / 级</w:t>
            </w:r>
          </w:p>
        </w:tc>
        <w:tc>
          <w:tcPr>
            <w:tcW w:w="3209" w:type="pct"/>
            <w:gridSpan w:val="2"/>
            <w:tcBorders>
              <w:top w:val="single" w:color="auto" w:sz="4" w:space="0"/>
              <w:left w:val="single" w:color="auto" w:sz="4" w:space="0"/>
              <w:bottom w:val="single" w:color="auto" w:sz="4" w:space="0"/>
              <w:right w:val="single" w:color="auto" w:sz="4" w:space="0"/>
            </w:tcBorders>
            <w:vAlign w:val="center"/>
          </w:tcPr>
          <w:p w14:paraId="624C6643">
            <w:pPr>
              <w:pStyle w:val="59"/>
              <w:ind w:firstLine="0" w:firstLineChars="0"/>
              <w:jc w:val="center"/>
            </w:pPr>
            <w:r>
              <w:rPr>
                <w:rFonts w:hint="eastAsia"/>
              </w:rPr>
              <w:t>≤2</w:t>
            </w:r>
          </w:p>
        </w:tc>
      </w:tr>
      <w:tr w14:paraId="38A3C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91" w:type="pct"/>
            <w:gridSpan w:val="2"/>
            <w:tcBorders>
              <w:top w:val="single" w:color="auto" w:sz="4" w:space="0"/>
              <w:left w:val="single" w:color="auto" w:sz="4" w:space="0"/>
              <w:bottom w:val="single" w:color="auto" w:sz="4" w:space="0"/>
              <w:right w:val="single" w:color="auto" w:sz="4" w:space="0"/>
            </w:tcBorders>
            <w:vAlign w:val="center"/>
          </w:tcPr>
          <w:p w14:paraId="0891F45C">
            <w:pPr>
              <w:pStyle w:val="59"/>
              <w:ind w:firstLine="0" w:firstLineChars="0"/>
              <w:jc w:val="center"/>
            </w:pPr>
            <w:r>
              <w:rPr>
                <w:rFonts w:hint="eastAsia"/>
              </w:rPr>
              <w:t>耐水性</w:t>
            </w:r>
          </w:p>
        </w:tc>
        <w:tc>
          <w:tcPr>
            <w:tcW w:w="1709" w:type="pct"/>
            <w:tcBorders>
              <w:top w:val="single" w:color="auto" w:sz="4" w:space="0"/>
              <w:left w:val="single" w:color="auto" w:sz="4" w:space="0"/>
              <w:bottom w:val="single" w:color="auto" w:sz="4" w:space="0"/>
              <w:right w:val="single" w:color="auto" w:sz="4" w:space="0"/>
            </w:tcBorders>
            <w:vAlign w:val="center"/>
          </w:tcPr>
          <w:p w14:paraId="625820D2">
            <w:pPr>
              <w:pStyle w:val="59"/>
              <w:ind w:firstLine="0" w:firstLineChars="0"/>
              <w:jc w:val="center"/>
            </w:pPr>
            <w:r>
              <w:rPr>
                <w:rFonts w:hint="eastAsia"/>
              </w:rPr>
              <w:t>48h无异常</w:t>
            </w:r>
          </w:p>
        </w:tc>
        <w:tc>
          <w:tcPr>
            <w:tcW w:w="1500" w:type="pct"/>
            <w:tcBorders>
              <w:top w:val="single" w:color="auto" w:sz="4" w:space="0"/>
              <w:left w:val="single" w:color="auto" w:sz="4" w:space="0"/>
              <w:bottom w:val="single" w:color="auto" w:sz="4" w:space="0"/>
              <w:right w:val="single" w:color="auto" w:sz="4" w:space="0"/>
            </w:tcBorders>
            <w:vAlign w:val="center"/>
          </w:tcPr>
          <w:p w14:paraId="69F0095B">
            <w:pPr>
              <w:pStyle w:val="59"/>
              <w:ind w:firstLine="0" w:firstLineChars="0"/>
              <w:jc w:val="center"/>
            </w:pPr>
            <w:r>
              <w:rPr>
                <w:rFonts w:hint="eastAsia"/>
              </w:rPr>
              <w:t>120无异常</w:t>
            </w:r>
          </w:p>
        </w:tc>
      </w:tr>
      <w:tr w14:paraId="45981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91" w:type="pct"/>
            <w:gridSpan w:val="2"/>
            <w:tcBorders>
              <w:top w:val="single" w:color="auto" w:sz="4" w:space="0"/>
              <w:left w:val="single" w:color="auto" w:sz="4" w:space="0"/>
              <w:bottom w:val="single" w:color="auto" w:sz="4" w:space="0"/>
              <w:right w:val="single" w:color="auto" w:sz="4" w:space="0"/>
            </w:tcBorders>
            <w:vAlign w:val="center"/>
          </w:tcPr>
          <w:p w14:paraId="7DDF3FE3">
            <w:pPr>
              <w:pStyle w:val="59"/>
              <w:ind w:firstLine="0" w:firstLineChars="0"/>
              <w:jc w:val="center"/>
            </w:pPr>
            <w:r>
              <w:rPr>
                <w:rFonts w:hint="eastAsia"/>
              </w:rPr>
              <w:t>耐盐水性（3%氯化钠溶液）</w:t>
            </w:r>
          </w:p>
        </w:tc>
        <w:tc>
          <w:tcPr>
            <w:tcW w:w="1709" w:type="pct"/>
            <w:tcBorders>
              <w:top w:val="single" w:color="auto" w:sz="4" w:space="0"/>
              <w:left w:val="single" w:color="auto" w:sz="4" w:space="0"/>
              <w:bottom w:val="single" w:color="auto" w:sz="4" w:space="0"/>
              <w:right w:val="single" w:color="auto" w:sz="4" w:space="0"/>
            </w:tcBorders>
            <w:vAlign w:val="center"/>
          </w:tcPr>
          <w:p w14:paraId="78A2DD19">
            <w:pPr>
              <w:pStyle w:val="59"/>
              <w:ind w:firstLine="0" w:firstLineChars="0"/>
              <w:jc w:val="center"/>
            </w:pPr>
            <w:r>
              <w:rPr>
                <w:rFonts w:hint="eastAsia"/>
              </w:rPr>
              <w:t>48h无异常</w:t>
            </w:r>
          </w:p>
        </w:tc>
        <w:tc>
          <w:tcPr>
            <w:tcW w:w="1500" w:type="pct"/>
            <w:tcBorders>
              <w:top w:val="single" w:color="auto" w:sz="4" w:space="0"/>
              <w:left w:val="single" w:color="auto" w:sz="4" w:space="0"/>
              <w:bottom w:val="single" w:color="auto" w:sz="4" w:space="0"/>
              <w:right w:val="single" w:color="auto" w:sz="4" w:space="0"/>
            </w:tcBorders>
            <w:vAlign w:val="center"/>
          </w:tcPr>
          <w:p w14:paraId="1B090F2E">
            <w:pPr>
              <w:pStyle w:val="59"/>
              <w:ind w:firstLine="0" w:firstLineChars="0"/>
              <w:jc w:val="center"/>
            </w:pPr>
            <w:r>
              <w:rPr>
                <w:rFonts w:hint="eastAsia"/>
              </w:rPr>
              <w:t>120h无异常</w:t>
            </w:r>
          </w:p>
        </w:tc>
      </w:tr>
      <w:tr w14:paraId="3CCFF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91" w:type="pct"/>
            <w:gridSpan w:val="2"/>
            <w:tcBorders>
              <w:top w:val="single" w:color="auto" w:sz="4" w:space="0"/>
              <w:left w:val="single" w:color="auto" w:sz="4" w:space="0"/>
              <w:bottom w:val="single" w:color="auto" w:sz="4" w:space="0"/>
              <w:right w:val="single" w:color="auto" w:sz="4" w:space="0"/>
            </w:tcBorders>
            <w:vAlign w:val="center"/>
          </w:tcPr>
          <w:p w14:paraId="77D1E100">
            <w:pPr>
              <w:pStyle w:val="59"/>
              <w:ind w:firstLine="0" w:firstLineChars="0"/>
              <w:jc w:val="center"/>
            </w:pPr>
            <w:r>
              <w:rPr>
                <w:rFonts w:hint="eastAsia"/>
              </w:rPr>
              <w:t>耐湿热性</w:t>
            </w:r>
          </w:p>
        </w:tc>
        <w:tc>
          <w:tcPr>
            <w:tcW w:w="1709" w:type="pct"/>
            <w:tcBorders>
              <w:top w:val="single" w:color="auto" w:sz="4" w:space="0"/>
              <w:left w:val="single" w:color="auto" w:sz="4" w:space="0"/>
              <w:bottom w:val="single" w:color="auto" w:sz="4" w:space="0"/>
              <w:right w:val="single" w:color="auto" w:sz="4" w:space="0"/>
            </w:tcBorders>
            <w:vAlign w:val="center"/>
          </w:tcPr>
          <w:p w14:paraId="49B1A992">
            <w:pPr>
              <w:pStyle w:val="59"/>
              <w:ind w:firstLine="0" w:firstLineChars="0"/>
              <w:jc w:val="center"/>
            </w:pPr>
            <w:r>
              <w:rPr>
                <w:rFonts w:hint="eastAsia"/>
              </w:rPr>
              <w:t>120h不起泡、不生锈、不脱落，允许轻微变色</w:t>
            </w:r>
          </w:p>
        </w:tc>
        <w:tc>
          <w:tcPr>
            <w:tcW w:w="1500" w:type="pct"/>
            <w:tcBorders>
              <w:top w:val="single" w:color="auto" w:sz="4" w:space="0"/>
              <w:left w:val="single" w:color="auto" w:sz="4" w:space="0"/>
              <w:bottom w:val="single" w:color="auto" w:sz="4" w:space="0"/>
              <w:right w:val="single" w:color="auto" w:sz="4" w:space="0"/>
            </w:tcBorders>
            <w:vAlign w:val="center"/>
          </w:tcPr>
          <w:p w14:paraId="3FC32785">
            <w:pPr>
              <w:pStyle w:val="59"/>
              <w:ind w:firstLine="0" w:firstLineChars="0"/>
              <w:jc w:val="center"/>
            </w:pPr>
            <w:r>
              <w:rPr>
                <w:rFonts w:hint="eastAsia"/>
              </w:rPr>
              <w:t>240h不起泡、不生锈、不脱落，允许轻微变色</w:t>
            </w:r>
          </w:p>
        </w:tc>
      </w:tr>
      <w:tr w14:paraId="55165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91" w:type="pct"/>
            <w:gridSpan w:val="2"/>
            <w:tcBorders>
              <w:top w:val="single" w:color="auto" w:sz="4" w:space="0"/>
              <w:left w:val="single" w:color="auto" w:sz="4" w:space="0"/>
              <w:bottom w:val="single" w:color="auto" w:sz="4" w:space="0"/>
              <w:right w:val="single" w:color="auto" w:sz="4" w:space="0"/>
            </w:tcBorders>
            <w:vAlign w:val="center"/>
          </w:tcPr>
          <w:p w14:paraId="127EE262">
            <w:pPr>
              <w:pStyle w:val="59"/>
              <w:ind w:firstLine="0" w:firstLineChars="0"/>
              <w:jc w:val="center"/>
            </w:pPr>
            <w:r>
              <w:rPr>
                <w:rFonts w:hint="eastAsia"/>
              </w:rPr>
              <w:t>耐盐雾性</w:t>
            </w:r>
          </w:p>
        </w:tc>
        <w:tc>
          <w:tcPr>
            <w:tcW w:w="1709" w:type="pct"/>
            <w:tcBorders>
              <w:top w:val="single" w:color="auto" w:sz="4" w:space="0"/>
              <w:left w:val="single" w:color="auto" w:sz="4" w:space="0"/>
              <w:bottom w:val="single" w:color="auto" w:sz="4" w:space="0"/>
              <w:right w:val="single" w:color="auto" w:sz="4" w:space="0"/>
            </w:tcBorders>
            <w:vAlign w:val="center"/>
          </w:tcPr>
          <w:p w14:paraId="28BF97AE">
            <w:pPr>
              <w:pStyle w:val="59"/>
              <w:ind w:firstLine="0" w:firstLineChars="0"/>
              <w:jc w:val="center"/>
            </w:pPr>
            <w:r>
              <w:rPr>
                <w:rFonts w:hint="eastAsia"/>
              </w:rPr>
              <w:t>120h不起泡、不生锈、不脱落，允许轻微变色</w:t>
            </w:r>
          </w:p>
        </w:tc>
        <w:tc>
          <w:tcPr>
            <w:tcW w:w="1500" w:type="pct"/>
            <w:tcBorders>
              <w:top w:val="single" w:color="auto" w:sz="4" w:space="0"/>
              <w:left w:val="single" w:color="auto" w:sz="4" w:space="0"/>
              <w:bottom w:val="single" w:color="auto" w:sz="4" w:space="0"/>
              <w:right w:val="single" w:color="auto" w:sz="4" w:space="0"/>
            </w:tcBorders>
            <w:vAlign w:val="center"/>
          </w:tcPr>
          <w:p w14:paraId="592AAC07">
            <w:pPr>
              <w:pStyle w:val="59"/>
              <w:ind w:firstLine="0" w:firstLineChars="0"/>
              <w:jc w:val="center"/>
            </w:pPr>
            <w:r>
              <w:rPr>
                <w:rFonts w:hint="eastAsia"/>
              </w:rPr>
              <w:t>300h不起泡、不生锈、不脱落，允许轻微变色</w:t>
            </w:r>
          </w:p>
        </w:tc>
      </w:tr>
    </w:tbl>
    <w:p w14:paraId="55F184F9">
      <w:pPr>
        <w:pStyle w:val="59"/>
        <w:ind w:firstLine="0" w:firstLineChars="0"/>
      </w:pPr>
    </w:p>
    <w:p w14:paraId="2D872005">
      <w:pPr>
        <w:pStyle w:val="80"/>
        <w:spacing w:before="120" w:after="120"/>
      </w:pPr>
      <w:r>
        <w:rPr>
          <w:rFonts w:hint="eastAsia"/>
        </w:rPr>
        <w:t>溶剂型带锈涂装底漆技术要求</w:t>
      </w:r>
    </w:p>
    <w:tbl>
      <w:tblPr>
        <w:tblStyle w:val="2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3"/>
        <w:gridCol w:w="2364"/>
        <w:gridCol w:w="5323"/>
      </w:tblGrid>
      <w:tr w14:paraId="1DFB6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19" w:type="pct"/>
            <w:gridSpan w:val="2"/>
            <w:tcBorders>
              <w:top w:val="single" w:color="auto" w:sz="4" w:space="0"/>
              <w:left w:val="single" w:color="auto" w:sz="4" w:space="0"/>
              <w:bottom w:val="single" w:color="auto" w:sz="4" w:space="0"/>
              <w:right w:val="single" w:color="auto" w:sz="4" w:space="0"/>
            </w:tcBorders>
            <w:vAlign w:val="center"/>
          </w:tcPr>
          <w:p w14:paraId="33E4384F">
            <w:pPr>
              <w:pStyle w:val="59"/>
              <w:ind w:firstLine="0" w:firstLineChars="0"/>
              <w:jc w:val="center"/>
            </w:pPr>
            <w:r>
              <w:rPr>
                <w:rFonts w:hint="eastAsia"/>
              </w:rPr>
              <w:t>项目</w:t>
            </w:r>
          </w:p>
        </w:tc>
        <w:tc>
          <w:tcPr>
            <w:tcW w:w="2781" w:type="pct"/>
            <w:tcBorders>
              <w:top w:val="single" w:color="auto" w:sz="4" w:space="0"/>
              <w:left w:val="single" w:color="auto" w:sz="4" w:space="0"/>
              <w:bottom w:val="single" w:color="auto" w:sz="4" w:space="0"/>
              <w:right w:val="single" w:color="auto" w:sz="4" w:space="0"/>
            </w:tcBorders>
            <w:vAlign w:val="center"/>
          </w:tcPr>
          <w:p w14:paraId="5550F608">
            <w:pPr>
              <w:pStyle w:val="59"/>
              <w:ind w:firstLine="0" w:firstLineChars="0"/>
              <w:jc w:val="center"/>
            </w:pPr>
            <w:r>
              <w:rPr>
                <w:rFonts w:hint="eastAsia"/>
              </w:rPr>
              <w:t>指标</w:t>
            </w:r>
          </w:p>
        </w:tc>
      </w:tr>
      <w:tr w14:paraId="42FC0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19" w:type="pct"/>
            <w:gridSpan w:val="2"/>
            <w:tcBorders>
              <w:top w:val="single" w:color="auto" w:sz="4" w:space="0"/>
              <w:left w:val="single" w:color="auto" w:sz="4" w:space="0"/>
              <w:bottom w:val="single" w:color="auto" w:sz="4" w:space="0"/>
              <w:right w:val="single" w:color="auto" w:sz="4" w:space="0"/>
            </w:tcBorders>
            <w:vAlign w:val="center"/>
          </w:tcPr>
          <w:p w14:paraId="50C7F83B">
            <w:pPr>
              <w:pStyle w:val="59"/>
              <w:ind w:firstLine="0" w:firstLineChars="0"/>
              <w:jc w:val="center"/>
            </w:pPr>
            <w:r>
              <w:rPr>
                <w:rFonts w:hint="eastAsia"/>
              </w:rPr>
              <w:t>容器中状态</w:t>
            </w:r>
          </w:p>
        </w:tc>
        <w:tc>
          <w:tcPr>
            <w:tcW w:w="2781" w:type="pct"/>
            <w:tcBorders>
              <w:top w:val="single" w:color="auto" w:sz="4" w:space="0"/>
              <w:left w:val="single" w:color="auto" w:sz="4" w:space="0"/>
              <w:bottom w:val="single" w:color="auto" w:sz="4" w:space="0"/>
              <w:right w:val="single" w:color="auto" w:sz="4" w:space="0"/>
            </w:tcBorders>
            <w:vAlign w:val="center"/>
          </w:tcPr>
          <w:p w14:paraId="228AD437">
            <w:pPr>
              <w:pStyle w:val="59"/>
              <w:ind w:firstLine="0" w:firstLineChars="0"/>
              <w:jc w:val="center"/>
            </w:pPr>
            <w:r>
              <w:rPr>
                <w:rFonts w:hint="eastAsia"/>
              </w:rPr>
              <w:t>搅拌混合后无硬块，呈均匀状态</w:t>
            </w:r>
          </w:p>
        </w:tc>
      </w:tr>
      <w:tr w14:paraId="4E189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19" w:type="pct"/>
            <w:gridSpan w:val="2"/>
            <w:tcBorders>
              <w:top w:val="single" w:color="auto" w:sz="4" w:space="0"/>
              <w:left w:val="single" w:color="auto" w:sz="4" w:space="0"/>
              <w:bottom w:val="single" w:color="auto" w:sz="4" w:space="0"/>
              <w:right w:val="single" w:color="auto" w:sz="4" w:space="0"/>
            </w:tcBorders>
            <w:vAlign w:val="center"/>
          </w:tcPr>
          <w:p w14:paraId="58C7A6DF">
            <w:pPr>
              <w:pStyle w:val="59"/>
              <w:ind w:firstLine="0" w:firstLineChars="0"/>
              <w:jc w:val="center"/>
            </w:pPr>
            <w:r>
              <w:rPr>
                <w:rFonts w:hint="eastAsia"/>
              </w:rPr>
              <w:t>不挥发物含量/%</w:t>
            </w:r>
          </w:p>
        </w:tc>
        <w:tc>
          <w:tcPr>
            <w:tcW w:w="2781" w:type="pct"/>
            <w:tcBorders>
              <w:top w:val="single" w:color="auto" w:sz="4" w:space="0"/>
              <w:left w:val="single" w:color="auto" w:sz="4" w:space="0"/>
              <w:bottom w:val="single" w:color="auto" w:sz="4" w:space="0"/>
              <w:right w:val="single" w:color="auto" w:sz="4" w:space="0"/>
            </w:tcBorders>
            <w:vAlign w:val="center"/>
          </w:tcPr>
          <w:p w14:paraId="7E599791">
            <w:pPr>
              <w:pStyle w:val="59"/>
              <w:ind w:firstLine="0" w:firstLineChars="0"/>
              <w:jc w:val="center"/>
            </w:pPr>
            <w:r>
              <w:rPr>
                <w:rFonts w:hint="eastAsia"/>
              </w:rPr>
              <w:t xml:space="preserve">≥ </w:t>
            </w:r>
            <w:r>
              <w:t>40</w:t>
            </w:r>
          </w:p>
        </w:tc>
      </w:tr>
      <w:tr w14:paraId="1CC3C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984" w:type="pct"/>
            <w:vMerge w:val="restart"/>
            <w:tcBorders>
              <w:top w:val="nil"/>
              <w:left w:val="single" w:color="auto" w:sz="4" w:space="0"/>
              <w:bottom w:val="single" w:color="auto" w:sz="4" w:space="0"/>
              <w:right w:val="single" w:color="auto" w:sz="4" w:space="0"/>
            </w:tcBorders>
            <w:vAlign w:val="center"/>
          </w:tcPr>
          <w:p w14:paraId="218DDB3A">
            <w:pPr>
              <w:pStyle w:val="59"/>
              <w:ind w:firstLine="0" w:firstLineChars="0"/>
              <w:jc w:val="center"/>
            </w:pPr>
            <w:r>
              <w:rPr>
                <w:rFonts w:hint="eastAsia"/>
              </w:rPr>
              <w:t>干燥时间/h</w:t>
            </w:r>
          </w:p>
        </w:tc>
        <w:tc>
          <w:tcPr>
            <w:tcW w:w="1234" w:type="pct"/>
            <w:tcBorders>
              <w:top w:val="single" w:color="auto" w:sz="4" w:space="0"/>
              <w:left w:val="single" w:color="auto" w:sz="4" w:space="0"/>
              <w:bottom w:val="single" w:color="auto" w:sz="4" w:space="0"/>
              <w:right w:val="single" w:color="auto" w:sz="4" w:space="0"/>
            </w:tcBorders>
            <w:vAlign w:val="center"/>
          </w:tcPr>
          <w:p w14:paraId="5A200680">
            <w:pPr>
              <w:pStyle w:val="59"/>
              <w:ind w:firstLine="0" w:firstLineChars="0"/>
              <w:jc w:val="center"/>
            </w:pPr>
            <w:r>
              <w:rPr>
                <w:rFonts w:hint="eastAsia"/>
              </w:rPr>
              <w:t>表干</w:t>
            </w:r>
          </w:p>
        </w:tc>
        <w:tc>
          <w:tcPr>
            <w:tcW w:w="2781" w:type="pct"/>
            <w:tcBorders>
              <w:top w:val="single" w:color="auto" w:sz="4" w:space="0"/>
              <w:left w:val="single" w:color="auto" w:sz="4" w:space="0"/>
              <w:bottom w:val="single" w:color="auto" w:sz="4" w:space="0"/>
              <w:right w:val="single" w:color="auto" w:sz="4" w:space="0"/>
            </w:tcBorders>
            <w:vAlign w:val="center"/>
          </w:tcPr>
          <w:p w14:paraId="19A652D0">
            <w:pPr>
              <w:pStyle w:val="59"/>
              <w:ind w:firstLine="0" w:firstLineChars="0"/>
              <w:jc w:val="center"/>
            </w:pPr>
            <w:r>
              <w:rPr>
                <w:rFonts w:hint="eastAsia"/>
              </w:rPr>
              <w:t>≤ 4</w:t>
            </w:r>
          </w:p>
        </w:tc>
      </w:tr>
      <w:tr w14:paraId="2A117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984" w:type="pct"/>
            <w:vMerge w:val="continue"/>
            <w:tcBorders>
              <w:top w:val="nil"/>
              <w:left w:val="single" w:color="auto" w:sz="4" w:space="0"/>
              <w:bottom w:val="single" w:color="auto" w:sz="4" w:space="0"/>
              <w:right w:val="single" w:color="auto" w:sz="4" w:space="0"/>
            </w:tcBorders>
            <w:vAlign w:val="center"/>
          </w:tcPr>
          <w:p w14:paraId="1DE1A0A3">
            <w:pPr>
              <w:pStyle w:val="59"/>
              <w:ind w:firstLine="0" w:firstLineChars="0"/>
              <w:jc w:val="center"/>
            </w:pPr>
          </w:p>
        </w:tc>
        <w:tc>
          <w:tcPr>
            <w:tcW w:w="1234" w:type="pct"/>
            <w:tcBorders>
              <w:top w:val="single" w:color="auto" w:sz="4" w:space="0"/>
              <w:left w:val="single" w:color="auto" w:sz="4" w:space="0"/>
              <w:bottom w:val="single" w:color="auto" w:sz="4" w:space="0"/>
              <w:right w:val="single" w:color="auto" w:sz="4" w:space="0"/>
            </w:tcBorders>
            <w:vAlign w:val="center"/>
          </w:tcPr>
          <w:p w14:paraId="73DC5059">
            <w:pPr>
              <w:pStyle w:val="59"/>
              <w:ind w:firstLine="0" w:firstLineChars="0"/>
              <w:jc w:val="center"/>
            </w:pPr>
            <w:r>
              <w:rPr>
                <w:rFonts w:hint="eastAsia"/>
              </w:rPr>
              <w:t>实干</w:t>
            </w:r>
          </w:p>
        </w:tc>
        <w:tc>
          <w:tcPr>
            <w:tcW w:w="2781" w:type="pct"/>
            <w:tcBorders>
              <w:top w:val="single" w:color="auto" w:sz="4" w:space="0"/>
              <w:left w:val="single" w:color="auto" w:sz="4" w:space="0"/>
              <w:bottom w:val="single" w:color="auto" w:sz="4" w:space="0"/>
              <w:right w:val="single" w:color="auto" w:sz="4" w:space="0"/>
            </w:tcBorders>
            <w:vAlign w:val="center"/>
          </w:tcPr>
          <w:p w14:paraId="66035CF1">
            <w:pPr>
              <w:pStyle w:val="59"/>
              <w:ind w:firstLine="0" w:firstLineChars="0"/>
              <w:jc w:val="center"/>
            </w:pPr>
            <w:r>
              <w:rPr>
                <w:rFonts w:hint="eastAsia"/>
              </w:rPr>
              <w:t>≤ 24</w:t>
            </w:r>
          </w:p>
        </w:tc>
      </w:tr>
      <w:tr w14:paraId="67DCC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19" w:type="pct"/>
            <w:gridSpan w:val="2"/>
            <w:tcBorders>
              <w:top w:val="single" w:color="auto" w:sz="4" w:space="0"/>
              <w:left w:val="single" w:color="auto" w:sz="4" w:space="0"/>
              <w:bottom w:val="single" w:color="auto" w:sz="4" w:space="0"/>
              <w:right w:val="single" w:color="auto" w:sz="4" w:space="0"/>
            </w:tcBorders>
            <w:vAlign w:val="center"/>
          </w:tcPr>
          <w:p w14:paraId="7B38214E">
            <w:pPr>
              <w:pStyle w:val="59"/>
              <w:ind w:firstLine="0" w:firstLineChars="0"/>
              <w:jc w:val="center"/>
            </w:pPr>
            <w:r>
              <w:rPr>
                <w:rFonts w:hint="eastAsia"/>
              </w:rPr>
              <w:t>涂膜外观</w:t>
            </w:r>
          </w:p>
        </w:tc>
        <w:tc>
          <w:tcPr>
            <w:tcW w:w="2781" w:type="pct"/>
            <w:tcBorders>
              <w:top w:val="single" w:color="auto" w:sz="4" w:space="0"/>
              <w:left w:val="single" w:color="auto" w:sz="4" w:space="0"/>
              <w:bottom w:val="single" w:color="auto" w:sz="4" w:space="0"/>
              <w:right w:val="single" w:color="auto" w:sz="4" w:space="0"/>
            </w:tcBorders>
            <w:vAlign w:val="center"/>
          </w:tcPr>
          <w:p w14:paraId="33629437">
            <w:pPr>
              <w:pStyle w:val="59"/>
              <w:ind w:firstLine="0" w:firstLineChars="0"/>
              <w:jc w:val="center"/>
            </w:pPr>
            <w:r>
              <w:rPr>
                <w:rFonts w:hint="eastAsia"/>
              </w:rPr>
              <w:t>正常</w:t>
            </w:r>
          </w:p>
        </w:tc>
      </w:tr>
      <w:tr w14:paraId="70E67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19" w:type="pct"/>
            <w:gridSpan w:val="2"/>
            <w:tcBorders>
              <w:top w:val="single" w:color="auto" w:sz="4" w:space="0"/>
              <w:left w:val="single" w:color="auto" w:sz="4" w:space="0"/>
              <w:bottom w:val="single" w:color="auto" w:sz="4" w:space="0"/>
              <w:right w:val="single" w:color="auto" w:sz="4" w:space="0"/>
            </w:tcBorders>
            <w:vAlign w:val="center"/>
          </w:tcPr>
          <w:p w14:paraId="1B6EC10E">
            <w:pPr>
              <w:pStyle w:val="59"/>
              <w:ind w:firstLine="0" w:firstLineChars="0"/>
              <w:jc w:val="center"/>
            </w:pPr>
            <w:r>
              <w:rPr>
                <w:rFonts w:hint="eastAsia"/>
              </w:rPr>
              <w:t>弯曲试验/mm</w:t>
            </w:r>
          </w:p>
        </w:tc>
        <w:tc>
          <w:tcPr>
            <w:tcW w:w="2781" w:type="pct"/>
            <w:tcBorders>
              <w:top w:val="single" w:color="auto" w:sz="4" w:space="0"/>
              <w:left w:val="single" w:color="auto" w:sz="4" w:space="0"/>
              <w:bottom w:val="single" w:color="auto" w:sz="4" w:space="0"/>
              <w:right w:val="single" w:color="auto" w:sz="4" w:space="0"/>
            </w:tcBorders>
            <w:vAlign w:val="center"/>
          </w:tcPr>
          <w:p w14:paraId="02F0F4A8">
            <w:pPr>
              <w:pStyle w:val="59"/>
              <w:ind w:firstLine="0" w:firstLineChars="0"/>
              <w:jc w:val="center"/>
            </w:pPr>
            <w:r>
              <w:rPr>
                <w:rFonts w:hint="eastAsia"/>
              </w:rPr>
              <w:t>≤ 2</w:t>
            </w:r>
          </w:p>
        </w:tc>
      </w:tr>
      <w:tr w14:paraId="476AE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19" w:type="pct"/>
            <w:gridSpan w:val="2"/>
            <w:tcBorders>
              <w:top w:val="single" w:color="auto" w:sz="4" w:space="0"/>
              <w:left w:val="single" w:color="auto" w:sz="4" w:space="0"/>
              <w:bottom w:val="single" w:color="auto" w:sz="4" w:space="0"/>
              <w:right w:val="single" w:color="auto" w:sz="4" w:space="0"/>
            </w:tcBorders>
            <w:vAlign w:val="center"/>
          </w:tcPr>
          <w:p w14:paraId="549076C2">
            <w:pPr>
              <w:pStyle w:val="59"/>
              <w:ind w:firstLine="0" w:firstLineChars="0"/>
              <w:jc w:val="center"/>
            </w:pPr>
            <w:r>
              <w:rPr>
                <w:rFonts w:hint="eastAsia"/>
              </w:rPr>
              <w:t>耐冲击性/mm</w:t>
            </w:r>
          </w:p>
        </w:tc>
        <w:tc>
          <w:tcPr>
            <w:tcW w:w="2781" w:type="pct"/>
            <w:tcBorders>
              <w:top w:val="single" w:color="auto" w:sz="4" w:space="0"/>
              <w:left w:val="single" w:color="auto" w:sz="4" w:space="0"/>
              <w:bottom w:val="single" w:color="auto" w:sz="4" w:space="0"/>
              <w:right w:val="single" w:color="auto" w:sz="4" w:space="0"/>
            </w:tcBorders>
            <w:vAlign w:val="center"/>
          </w:tcPr>
          <w:p w14:paraId="4528C06D">
            <w:pPr>
              <w:pStyle w:val="59"/>
              <w:ind w:firstLine="0" w:firstLineChars="0"/>
              <w:jc w:val="center"/>
            </w:pPr>
            <w:r>
              <w:rPr>
                <w:rFonts w:hint="eastAsia"/>
              </w:rPr>
              <w:t>50</w:t>
            </w:r>
          </w:p>
        </w:tc>
      </w:tr>
      <w:tr w14:paraId="1FB90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19" w:type="pct"/>
            <w:gridSpan w:val="2"/>
            <w:tcBorders>
              <w:top w:val="single" w:color="auto" w:sz="4" w:space="0"/>
              <w:left w:val="single" w:color="auto" w:sz="4" w:space="0"/>
              <w:bottom w:val="single" w:color="auto" w:sz="4" w:space="0"/>
              <w:right w:val="single" w:color="auto" w:sz="4" w:space="0"/>
            </w:tcBorders>
            <w:vAlign w:val="center"/>
          </w:tcPr>
          <w:p w14:paraId="6B5999E7">
            <w:pPr>
              <w:pStyle w:val="59"/>
              <w:ind w:firstLine="0" w:firstLineChars="0"/>
              <w:jc w:val="center"/>
            </w:pPr>
            <w:r>
              <w:rPr>
                <w:rFonts w:hint="eastAsia"/>
              </w:rPr>
              <w:t>划格实验（间距</w:t>
            </w:r>
            <w:r>
              <w:t>2</w:t>
            </w:r>
            <w:r>
              <w:rPr>
                <w:rFonts w:hint="eastAsia"/>
              </w:rPr>
              <w:t>mm）/级</w:t>
            </w:r>
          </w:p>
        </w:tc>
        <w:tc>
          <w:tcPr>
            <w:tcW w:w="2781" w:type="pct"/>
            <w:tcBorders>
              <w:top w:val="single" w:color="auto" w:sz="4" w:space="0"/>
              <w:left w:val="single" w:color="auto" w:sz="4" w:space="0"/>
              <w:bottom w:val="single" w:color="auto" w:sz="4" w:space="0"/>
              <w:right w:val="single" w:color="auto" w:sz="4" w:space="0"/>
            </w:tcBorders>
            <w:vAlign w:val="center"/>
          </w:tcPr>
          <w:p w14:paraId="67721C6A">
            <w:pPr>
              <w:pStyle w:val="59"/>
              <w:ind w:firstLine="0" w:firstLineChars="0"/>
              <w:jc w:val="center"/>
            </w:pPr>
            <w:r>
              <w:rPr>
                <w:rFonts w:hint="eastAsia"/>
              </w:rPr>
              <w:t>≤1</w:t>
            </w:r>
          </w:p>
        </w:tc>
      </w:tr>
      <w:tr w14:paraId="0A229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19" w:type="pct"/>
            <w:gridSpan w:val="2"/>
            <w:tcBorders>
              <w:top w:val="single" w:color="auto" w:sz="4" w:space="0"/>
              <w:left w:val="single" w:color="auto" w:sz="4" w:space="0"/>
              <w:bottom w:val="single" w:color="auto" w:sz="4" w:space="0"/>
              <w:right w:val="single" w:color="auto" w:sz="4" w:space="0"/>
            </w:tcBorders>
            <w:vAlign w:val="center"/>
          </w:tcPr>
          <w:p w14:paraId="18063E58">
            <w:pPr>
              <w:pStyle w:val="59"/>
              <w:ind w:firstLine="0" w:firstLineChars="0"/>
              <w:jc w:val="center"/>
            </w:pPr>
            <w:r>
              <w:rPr>
                <w:rFonts w:hint="eastAsia"/>
              </w:rPr>
              <w:t>耐盐水性（3%NaCl溶液）</w:t>
            </w:r>
          </w:p>
        </w:tc>
        <w:tc>
          <w:tcPr>
            <w:tcW w:w="2781" w:type="pct"/>
            <w:tcBorders>
              <w:top w:val="single" w:color="auto" w:sz="4" w:space="0"/>
              <w:left w:val="single" w:color="auto" w:sz="4" w:space="0"/>
              <w:bottom w:val="single" w:color="auto" w:sz="4" w:space="0"/>
              <w:right w:val="single" w:color="auto" w:sz="4" w:space="0"/>
            </w:tcBorders>
            <w:vAlign w:val="center"/>
          </w:tcPr>
          <w:p w14:paraId="429285C4">
            <w:pPr>
              <w:pStyle w:val="59"/>
              <w:ind w:firstLine="0" w:firstLineChars="0"/>
              <w:jc w:val="center"/>
            </w:pPr>
            <w:r>
              <w:rPr>
                <w:rFonts w:hint="eastAsia"/>
              </w:rPr>
              <w:t>2</w:t>
            </w:r>
            <w:r>
              <w:t>40</w:t>
            </w:r>
            <w:r>
              <w:rPr>
                <w:rFonts w:hint="eastAsia"/>
              </w:rPr>
              <w:t>h无异常</w:t>
            </w:r>
          </w:p>
        </w:tc>
      </w:tr>
      <w:tr w14:paraId="43074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19" w:type="pct"/>
            <w:gridSpan w:val="2"/>
            <w:tcBorders>
              <w:top w:val="single" w:color="auto" w:sz="4" w:space="0"/>
              <w:left w:val="single" w:color="auto" w:sz="4" w:space="0"/>
              <w:bottom w:val="single" w:color="auto" w:sz="4" w:space="0"/>
              <w:right w:val="single" w:color="auto" w:sz="4" w:space="0"/>
            </w:tcBorders>
            <w:vAlign w:val="center"/>
          </w:tcPr>
          <w:p w14:paraId="6CA8DC0D">
            <w:pPr>
              <w:pStyle w:val="59"/>
              <w:ind w:firstLine="0" w:firstLineChars="0"/>
              <w:jc w:val="center"/>
            </w:pPr>
            <w:r>
              <w:rPr>
                <w:rFonts w:hint="eastAsia"/>
              </w:rPr>
              <w:t>耐湿热性</w:t>
            </w:r>
          </w:p>
        </w:tc>
        <w:tc>
          <w:tcPr>
            <w:tcW w:w="2781" w:type="pct"/>
            <w:tcBorders>
              <w:top w:val="single" w:color="auto" w:sz="4" w:space="0"/>
              <w:left w:val="single" w:color="auto" w:sz="4" w:space="0"/>
              <w:bottom w:val="single" w:color="auto" w:sz="4" w:space="0"/>
              <w:right w:val="single" w:color="auto" w:sz="4" w:space="0"/>
            </w:tcBorders>
            <w:vAlign w:val="center"/>
          </w:tcPr>
          <w:p w14:paraId="250EC779">
            <w:pPr>
              <w:pStyle w:val="59"/>
              <w:ind w:firstLine="0" w:firstLineChars="0"/>
              <w:jc w:val="center"/>
            </w:pPr>
            <w:r>
              <w:t>240</w:t>
            </w:r>
            <w:r>
              <w:rPr>
                <w:rFonts w:hint="eastAsia"/>
              </w:rPr>
              <w:t>h不起泡、不生锈、不脱落，允许轻微变色</w:t>
            </w:r>
          </w:p>
        </w:tc>
      </w:tr>
      <w:tr w14:paraId="553AF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219" w:type="pct"/>
            <w:gridSpan w:val="2"/>
            <w:tcBorders>
              <w:top w:val="single" w:color="auto" w:sz="4" w:space="0"/>
              <w:left w:val="single" w:color="auto" w:sz="4" w:space="0"/>
              <w:bottom w:val="single" w:color="auto" w:sz="4" w:space="0"/>
              <w:right w:val="single" w:color="auto" w:sz="4" w:space="0"/>
            </w:tcBorders>
            <w:vAlign w:val="center"/>
          </w:tcPr>
          <w:p w14:paraId="08D7D5EC">
            <w:pPr>
              <w:pStyle w:val="59"/>
              <w:ind w:firstLine="0" w:firstLineChars="0"/>
              <w:jc w:val="center"/>
            </w:pPr>
            <w:r>
              <w:rPr>
                <w:rFonts w:hint="eastAsia"/>
              </w:rPr>
              <w:t>耐盐雾性</w:t>
            </w:r>
          </w:p>
        </w:tc>
        <w:tc>
          <w:tcPr>
            <w:tcW w:w="2781" w:type="pct"/>
            <w:tcBorders>
              <w:top w:val="single" w:color="auto" w:sz="4" w:space="0"/>
              <w:left w:val="single" w:color="auto" w:sz="4" w:space="0"/>
              <w:bottom w:val="single" w:color="auto" w:sz="4" w:space="0"/>
              <w:right w:val="single" w:color="auto" w:sz="4" w:space="0"/>
            </w:tcBorders>
            <w:vAlign w:val="center"/>
          </w:tcPr>
          <w:p w14:paraId="5B36828B">
            <w:pPr>
              <w:pStyle w:val="59"/>
              <w:ind w:firstLine="0" w:firstLineChars="0"/>
              <w:jc w:val="center"/>
            </w:pPr>
            <w:r>
              <w:t>360</w:t>
            </w:r>
            <w:r>
              <w:rPr>
                <w:rFonts w:hint="eastAsia"/>
              </w:rPr>
              <w:t>h不起泡、不生锈、不脱落，允许轻微变色</w:t>
            </w:r>
          </w:p>
        </w:tc>
      </w:tr>
    </w:tbl>
    <w:p w14:paraId="52264370">
      <w:pPr>
        <w:pStyle w:val="59"/>
        <w:ind w:firstLine="420"/>
      </w:pPr>
    </w:p>
    <w:p w14:paraId="20F5F2DC">
      <w:pPr>
        <w:pStyle w:val="80"/>
        <w:spacing w:before="120" w:after="120"/>
      </w:pPr>
      <w:r>
        <w:rPr>
          <w:rFonts w:hint="eastAsia"/>
        </w:rPr>
        <w:t>环氧云铁中间漆技术要求</w:t>
      </w:r>
    </w:p>
    <w:tbl>
      <w:tblPr>
        <w:tblStyle w:val="2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48"/>
        <w:gridCol w:w="2544"/>
        <w:gridCol w:w="4578"/>
      </w:tblGrid>
      <w:tr w14:paraId="7EA9B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08" w:type="pct"/>
            <w:gridSpan w:val="2"/>
            <w:tcBorders>
              <w:top w:val="single" w:color="auto" w:sz="4" w:space="0"/>
              <w:left w:val="single" w:color="auto" w:sz="4" w:space="0"/>
              <w:bottom w:val="single" w:color="auto" w:sz="4" w:space="0"/>
              <w:right w:val="single" w:color="auto" w:sz="4" w:space="0"/>
            </w:tcBorders>
            <w:vAlign w:val="center"/>
          </w:tcPr>
          <w:p w14:paraId="1672AD3A">
            <w:pPr>
              <w:pStyle w:val="59"/>
              <w:ind w:firstLine="0" w:firstLineChars="0"/>
              <w:jc w:val="center"/>
            </w:pPr>
            <w:r>
              <w:rPr>
                <w:rFonts w:hint="eastAsia"/>
              </w:rPr>
              <w:t>项目</w:t>
            </w:r>
          </w:p>
        </w:tc>
        <w:tc>
          <w:tcPr>
            <w:tcW w:w="2392" w:type="pct"/>
            <w:tcBorders>
              <w:top w:val="single" w:color="auto" w:sz="4" w:space="0"/>
              <w:left w:val="single" w:color="auto" w:sz="4" w:space="0"/>
              <w:bottom w:val="single" w:color="auto" w:sz="4" w:space="0"/>
              <w:right w:val="single" w:color="auto" w:sz="4" w:space="0"/>
            </w:tcBorders>
            <w:vAlign w:val="center"/>
          </w:tcPr>
          <w:p w14:paraId="486C529A">
            <w:pPr>
              <w:pStyle w:val="59"/>
              <w:ind w:firstLine="0" w:firstLineChars="0"/>
              <w:jc w:val="center"/>
            </w:pPr>
            <w:r>
              <w:rPr>
                <w:rFonts w:hint="eastAsia"/>
              </w:rPr>
              <w:t>指标</w:t>
            </w:r>
          </w:p>
        </w:tc>
      </w:tr>
      <w:tr w14:paraId="2B880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08" w:type="pct"/>
            <w:gridSpan w:val="2"/>
            <w:tcBorders>
              <w:top w:val="single" w:color="auto" w:sz="4" w:space="0"/>
              <w:left w:val="single" w:color="auto" w:sz="4" w:space="0"/>
              <w:bottom w:val="single" w:color="auto" w:sz="4" w:space="0"/>
              <w:right w:val="single" w:color="auto" w:sz="4" w:space="0"/>
            </w:tcBorders>
            <w:vAlign w:val="center"/>
          </w:tcPr>
          <w:p w14:paraId="4EFF7712">
            <w:pPr>
              <w:pStyle w:val="59"/>
              <w:ind w:firstLine="0" w:firstLineChars="0"/>
              <w:jc w:val="center"/>
            </w:pPr>
            <w:r>
              <w:rPr>
                <w:rFonts w:hint="eastAsia"/>
              </w:rPr>
              <w:t>在容器中状态</w:t>
            </w:r>
          </w:p>
        </w:tc>
        <w:tc>
          <w:tcPr>
            <w:tcW w:w="2392" w:type="pct"/>
            <w:tcBorders>
              <w:top w:val="single" w:color="auto" w:sz="4" w:space="0"/>
              <w:left w:val="single" w:color="auto" w:sz="4" w:space="0"/>
              <w:bottom w:val="single" w:color="auto" w:sz="4" w:space="0"/>
              <w:right w:val="single" w:color="auto" w:sz="4" w:space="0"/>
            </w:tcBorders>
            <w:vAlign w:val="center"/>
          </w:tcPr>
          <w:p w14:paraId="3987D876">
            <w:pPr>
              <w:pStyle w:val="59"/>
              <w:ind w:firstLine="0" w:firstLineChars="0"/>
              <w:jc w:val="center"/>
            </w:pPr>
            <w:r>
              <w:rPr>
                <w:rFonts w:hint="eastAsia"/>
              </w:rPr>
              <w:t>搅拌混合后无硬块，呈均匀状态</w:t>
            </w:r>
          </w:p>
        </w:tc>
      </w:tr>
      <w:tr w14:paraId="5545E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2608" w:type="pct"/>
            <w:gridSpan w:val="2"/>
            <w:tcBorders>
              <w:top w:val="single" w:color="auto" w:sz="4" w:space="0"/>
              <w:left w:val="single" w:color="auto" w:sz="4" w:space="0"/>
              <w:bottom w:val="single" w:color="auto" w:sz="4" w:space="0"/>
              <w:right w:val="single" w:color="auto" w:sz="4" w:space="0"/>
            </w:tcBorders>
            <w:vAlign w:val="center"/>
          </w:tcPr>
          <w:p w14:paraId="1CB8041C">
            <w:pPr>
              <w:pStyle w:val="59"/>
              <w:ind w:firstLine="0" w:firstLineChars="0"/>
              <w:jc w:val="center"/>
            </w:pPr>
            <w:r>
              <w:rPr>
                <w:rFonts w:hint="eastAsia"/>
              </w:rPr>
              <w:t>不挥发物含量/%</w:t>
            </w:r>
          </w:p>
        </w:tc>
        <w:tc>
          <w:tcPr>
            <w:tcW w:w="2392" w:type="pct"/>
            <w:tcBorders>
              <w:top w:val="single" w:color="auto" w:sz="4" w:space="0"/>
              <w:left w:val="single" w:color="auto" w:sz="4" w:space="0"/>
              <w:bottom w:val="single" w:color="auto" w:sz="4" w:space="0"/>
              <w:right w:val="single" w:color="auto" w:sz="4" w:space="0"/>
            </w:tcBorders>
            <w:vAlign w:val="center"/>
          </w:tcPr>
          <w:p w14:paraId="5A8256B9">
            <w:pPr>
              <w:pStyle w:val="59"/>
              <w:ind w:firstLine="0" w:firstLineChars="0"/>
              <w:jc w:val="center"/>
            </w:pPr>
            <w:r>
              <w:rPr>
                <w:rFonts w:hint="eastAsia"/>
              </w:rPr>
              <w:t>≥70</w:t>
            </w:r>
          </w:p>
        </w:tc>
      </w:tr>
      <w:tr w14:paraId="6F218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8" w:hRule="atLeast"/>
        </w:trPr>
        <w:tc>
          <w:tcPr>
            <w:tcW w:w="1279" w:type="pct"/>
            <w:vMerge w:val="restart"/>
            <w:tcBorders>
              <w:top w:val="nil"/>
              <w:left w:val="single" w:color="auto" w:sz="4" w:space="0"/>
              <w:bottom w:val="single" w:color="auto" w:sz="4" w:space="0"/>
              <w:right w:val="single" w:color="auto" w:sz="4" w:space="0"/>
            </w:tcBorders>
            <w:vAlign w:val="center"/>
          </w:tcPr>
          <w:p w14:paraId="767C5C79">
            <w:pPr>
              <w:pStyle w:val="59"/>
              <w:ind w:firstLine="0" w:firstLineChars="0"/>
              <w:jc w:val="center"/>
            </w:pPr>
            <w:r>
              <w:rPr>
                <w:rFonts w:hint="eastAsia"/>
              </w:rPr>
              <w:t>干燥时间/h</w:t>
            </w:r>
          </w:p>
        </w:tc>
        <w:tc>
          <w:tcPr>
            <w:tcW w:w="1329" w:type="pct"/>
            <w:tcBorders>
              <w:top w:val="single" w:color="auto" w:sz="4" w:space="0"/>
              <w:left w:val="single" w:color="auto" w:sz="4" w:space="0"/>
              <w:bottom w:val="single" w:color="auto" w:sz="4" w:space="0"/>
              <w:right w:val="single" w:color="auto" w:sz="4" w:space="0"/>
            </w:tcBorders>
            <w:vAlign w:val="center"/>
          </w:tcPr>
          <w:p w14:paraId="1BF473F0">
            <w:pPr>
              <w:pStyle w:val="59"/>
              <w:ind w:firstLine="0" w:firstLineChars="0"/>
              <w:jc w:val="center"/>
            </w:pPr>
            <w:r>
              <w:rPr>
                <w:rFonts w:hint="eastAsia"/>
              </w:rPr>
              <w:t>表干</w:t>
            </w:r>
          </w:p>
        </w:tc>
        <w:tc>
          <w:tcPr>
            <w:tcW w:w="2392" w:type="pct"/>
            <w:tcBorders>
              <w:top w:val="single" w:color="auto" w:sz="4" w:space="0"/>
              <w:left w:val="single" w:color="auto" w:sz="4" w:space="0"/>
              <w:bottom w:val="single" w:color="auto" w:sz="4" w:space="0"/>
              <w:right w:val="single" w:color="auto" w:sz="4" w:space="0"/>
            </w:tcBorders>
            <w:vAlign w:val="center"/>
          </w:tcPr>
          <w:p w14:paraId="0C1079E9">
            <w:pPr>
              <w:pStyle w:val="59"/>
              <w:ind w:firstLine="0" w:firstLineChars="0"/>
              <w:jc w:val="center"/>
            </w:pPr>
            <w:r>
              <w:rPr>
                <w:rFonts w:hint="eastAsia"/>
              </w:rPr>
              <w:t>≤3</w:t>
            </w:r>
          </w:p>
        </w:tc>
      </w:tr>
      <w:tr w14:paraId="11D41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279" w:type="pct"/>
            <w:vMerge w:val="continue"/>
            <w:tcBorders>
              <w:top w:val="nil"/>
              <w:left w:val="single" w:color="auto" w:sz="4" w:space="0"/>
              <w:bottom w:val="single" w:color="auto" w:sz="4" w:space="0"/>
              <w:right w:val="single" w:color="auto" w:sz="4" w:space="0"/>
            </w:tcBorders>
            <w:vAlign w:val="center"/>
          </w:tcPr>
          <w:p w14:paraId="74BFCD52">
            <w:pPr>
              <w:pStyle w:val="59"/>
              <w:ind w:firstLine="0" w:firstLineChars="0"/>
              <w:jc w:val="center"/>
            </w:pPr>
          </w:p>
        </w:tc>
        <w:tc>
          <w:tcPr>
            <w:tcW w:w="1329" w:type="pct"/>
            <w:tcBorders>
              <w:top w:val="single" w:color="auto" w:sz="4" w:space="0"/>
              <w:left w:val="single" w:color="auto" w:sz="4" w:space="0"/>
              <w:bottom w:val="single" w:color="auto" w:sz="4" w:space="0"/>
              <w:right w:val="single" w:color="auto" w:sz="4" w:space="0"/>
            </w:tcBorders>
            <w:vAlign w:val="center"/>
          </w:tcPr>
          <w:p w14:paraId="7D34BA4C">
            <w:pPr>
              <w:pStyle w:val="59"/>
              <w:ind w:firstLine="0" w:firstLineChars="0"/>
              <w:jc w:val="center"/>
            </w:pPr>
            <w:r>
              <w:rPr>
                <w:rFonts w:hint="eastAsia"/>
              </w:rPr>
              <w:t>实干</w:t>
            </w:r>
          </w:p>
        </w:tc>
        <w:tc>
          <w:tcPr>
            <w:tcW w:w="2392" w:type="pct"/>
            <w:tcBorders>
              <w:top w:val="single" w:color="auto" w:sz="4" w:space="0"/>
              <w:left w:val="single" w:color="auto" w:sz="4" w:space="0"/>
              <w:bottom w:val="single" w:color="auto" w:sz="4" w:space="0"/>
              <w:right w:val="single" w:color="auto" w:sz="4" w:space="0"/>
            </w:tcBorders>
            <w:vAlign w:val="center"/>
          </w:tcPr>
          <w:p w14:paraId="6ADBEB05">
            <w:pPr>
              <w:pStyle w:val="59"/>
              <w:ind w:firstLine="0" w:firstLineChars="0"/>
              <w:jc w:val="center"/>
            </w:pPr>
            <w:r>
              <w:rPr>
                <w:rFonts w:hint="eastAsia"/>
              </w:rPr>
              <w:t>≤24</w:t>
            </w:r>
          </w:p>
        </w:tc>
      </w:tr>
      <w:tr w14:paraId="36E84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08" w:type="pct"/>
            <w:gridSpan w:val="2"/>
            <w:tcBorders>
              <w:top w:val="single" w:color="auto" w:sz="4" w:space="0"/>
              <w:left w:val="single" w:color="auto" w:sz="4" w:space="0"/>
              <w:bottom w:val="single" w:color="auto" w:sz="4" w:space="0"/>
              <w:right w:val="single" w:color="auto" w:sz="4" w:space="0"/>
            </w:tcBorders>
            <w:vAlign w:val="center"/>
          </w:tcPr>
          <w:p w14:paraId="0F9A6CE1">
            <w:pPr>
              <w:pStyle w:val="59"/>
              <w:ind w:firstLine="0" w:firstLineChars="0"/>
              <w:jc w:val="center"/>
            </w:pPr>
            <w:r>
              <w:rPr>
                <w:rFonts w:hint="eastAsia"/>
              </w:rPr>
              <w:t>弯曲试验/mm</w:t>
            </w:r>
          </w:p>
        </w:tc>
        <w:tc>
          <w:tcPr>
            <w:tcW w:w="2392" w:type="pct"/>
            <w:tcBorders>
              <w:top w:val="single" w:color="auto" w:sz="4" w:space="0"/>
              <w:left w:val="single" w:color="auto" w:sz="4" w:space="0"/>
              <w:bottom w:val="single" w:color="auto" w:sz="4" w:space="0"/>
              <w:right w:val="single" w:color="auto" w:sz="4" w:space="0"/>
            </w:tcBorders>
            <w:vAlign w:val="center"/>
          </w:tcPr>
          <w:p w14:paraId="324FB53A">
            <w:pPr>
              <w:pStyle w:val="59"/>
              <w:ind w:firstLine="0" w:firstLineChars="0"/>
              <w:jc w:val="center"/>
            </w:pPr>
            <w:r>
              <w:rPr>
                <w:rFonts w:hint="eastAsia"/>
              </w:rPr>
              <w:t>≤2</w:t>
            </w:r>
          </w:p>
        </w:tc>
      </w:tr>
      <w:tr w14:paraId="41804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08" w:type="pct"/>
            <w:gridSpan w:val="2"/>
            <w:tcBorders>
              <w:top w:val="single" w:color="auto" w:sz="4" w:space="0"/>
              <w:left w:val="single" w:color="auto" w:sz="4" w:space="0"/>
              <w:bottom w:val="single" w:color="auto" w:sz="4" w:space="0"/>
              <w:right w:val="single" w:color="auto" w:sz="4" w:space="0"/>
            </w:tcBorders>
            <w:vAlign w:val="center"/>
          </w:tcPr>
          <w:p w14:paraId="074ACB9D">
            <w:pPr>
              <w:pStyle w:val="59"/>
              <w:ind w:firstLine="0" w:firstLineChars="0"/>
              <w:jc w:val="center"/>
            </w:pPr>
            <w:r>
              <w:rPr>
                <w:rFonts w:hint="eastAsia"/>
              </w:rPr>
              <w:t>耐冲击性/cm</w:t>
            </w:r>
          </w:p>
        </w:tc>
        <w:tc>
          <w:tcPr>
            <w:tcW w:w="2392" w:type="pct"/>
            <w:tcBorders>
              <w:top w:val="single" w:color="auto" w:sz="4" w:space="0"/>
              <w:left w:val="single" w:color="auto" w:sz="4" w:space="0"/>
              <w:bottom w:val="single" w:color="auto" w:sz="4" w:space="0"/>
              <w:right w:val="single" w:color="auto" w:sz="4" w:space="0"/>
            </w:tcBorders>
            <w:vAlign w:val="center"/>
          </w:tcPr>
          <w:p w14:paraId="5B720D97">
            <w:pPr>
              <w:pStyle w:val="59"/>
              <w:ind w:firstLine="0" w:firstLineChars="0"/>
              <w:jc w:val="center"/>
            </w:pPr>
            <w:r>
              <w:rPr>
                <w:rFonts w:hint="eastAsia"/>
              </w:rPr>
              <w:t>≥50</w:t>
            </w:r>
          </w:p>
        </w:tc>
      </w:tr>
      <w:tr w14:paraId="4E062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08" w:type="pct"/>
            <w:gridSpan w:val="2"/>
            <w:tcBorders>
              <w:top w:val="single" w:color="auto" w:sz="4" w:space="0"/>
              <w:left w:val="single" w:color="auto" w:sz="4" w:space="0"/>
              <w:bottom w:val="single" w:color="auto" w:sz="4" w:space="0"/>
              <w:right w:val="single" w:color="auto" w:sz="4" w:space="0"/>
            </w:tcBorders>
            <w:vAlign w:val="center"/>
          </w:tcPr>
          <w:p w14:paraId="70FB066D">
            <w:pPr>
              <w:pStyle w:val="59"/>
              <w:ind w:firstLine="0" w:firstLineChars="0"/>
              <w:jc w:val="center"/>
            </w:pPr>
            <w:r>
              <w:rPr>
                <w:rFonts w:hint="eastAsia"/>
              </w:rPr>
              <w:t>附着力（拉开法）/MPa</w:t>
            </w:r>
          </w:p>
        </w:tc>
        <w:tc>
          <w:tcPr>
            <w:tcW w:w="2392" w:type="pct"/>
            <w:tcBorders>
              <w:top w:val="single" w:color="auto" w:sz="4" w:space="0"/>
              <w:left w:val="single" w:color="auto" w:sz="4" w:space="0"/>
              <w:bottom w:val="single" w:color="auto" w:sz="4" w:space="0"/>
              <w:right w:val="single" w:color="auto" w:sz="4" w:space="0"/>
            </w:tcBorders>
            <w:vAlign w:val="center"/>
          </w:tcPr>
          <w:p w14:paraId="6932697F">
            <w:pPr>
              <w:pStyle w:val="59"/>
              <w:ind w:firstLine="0" w:firstLineChars="0"/>
              <w:jc w:val="center"/>
            </w:pPr>
            <w:r>
              <w:rPr>
                <w:rFonts w:hint="eastAsia"/>
              </w:rPr>
              <w:t>≥5</w:t>
            </w:r>
          </w:p>
        </w:tc>
      </w:tr>
    </w:tbl>
    <w:p w14:paraId="5E343235">
      <w:pPr>
        <w:pStyle w:val="59"/>
        <w:ind w:firstLine="420"/>
      </w:pPr>
    </w:p>
    <w:p w14:paraId="1376FF70">
      <w:pPr>
        <w:pStyle w:val="80"/>
        <w:spacing w:before="120" w:after="120"/>
      </w:pPr>
      <w:r>
        <w:rPr>
          <w:rFonts w:hint="eastAsia"/>
        </w:rPr>
        <w:t>氟碳涂料技术要求</w:t>
      </w:r>
    </w:p>
    <w:tbl>
      <w:tblPr>
        <w:tblStyle w:val="2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6"/>
        <w:gridCol w:w="492"/>
        <w:gridCol w:w="2289"/>
        <w:gridCol w:w="4833"/>
      </w:tblGrid>
      <w:tr w14:paraId="10E60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2475" w:type="pct"/>
            <w:gridSpan w:val="3"/>
            <w:tcBorders>
              <w:top w:val="single" w:color="auto" w:sz="4" w:space="0"/>
              <w:left w:val="single" w:color="auto" w:sz="4" w:space="0"/>
              <w:bottom w:val="single" w:color="auto" w:sz="4" w:space="0"/>
              <w:right w:val="single" w:color="auto" w:sz="4" w:space="0"/>
            </w:tcBorders>
            <w:vAlign w:val="center"/>
          </w:tcPr>
          <w:p w14:paraId="5732198B">
            <w:pPr>
              <w:pStyle w:val="59"/>
              <w:ind w:firstLine="0" w:firstLineChars="0"/>
              <w:jc w:val="center"/>
            </w:pPr>
            <w:r>
              <w:rPr>
                <w:rFonts w:hint="eastAsia"/>
              </w:rPr>
              <w:t>项目</w:t>
            </w:r>
          </w:p>
        </w:tc>
        <w:tc>
          <w:tcPr>
            <w:tcW w:w="2525" w:type="pct"/>
            <w:tcBorders>
              <w:top w:val="single" w:color="auto" w:sz="4" w:space="0"/>
              <w:left w:val="single" w:color="auto" w:sz="4" w:space="0"/>
              <w:bottom w:val="single" w:color="auto" w:sz="4" w:space="0"/>
              <w:right w:val="single" w:color="auto" w:sz="4" w:space="0"/>
            </w:tcBorders>
            <w:vAlign w:val="center"/>
          </w:tcPr>
          <w:p w14:paraId="380AC9A1">
            <w:pPr>
              <w:pStyle w:val="59"/>
              <w:ind w:firstLine="0" w:firstLineChars="0"/>
              <w:jc w:val="center"/>
            </w:pPr>
            <w:r>
              <w:rPr>
                <w:rFonts w:hint="eastAsia"/>
              </w:rPr>
              <w:t>指标</w:t>
            </w:r>
          </w:p>
        </w:tc>
      </w:tr>
      <w:tr w14:paraId="083C0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2475" w:type="pct"/>
            <w:gridSpan w:val="3"/>
            <w:tcBorders>
              <w:top w:val="single" w:color="auto" w:sz="4" w:space="0"/>
              <w:left w:val="single" w:color="auto" w:sz="4" w:space="0"/>
              <w:bottom w:val="single" w:color="auto" w:sz="4" w:space="0"/>
              <w:right w:val="single" w:color="auto" w:sz="4" w:space="0"/>
            </w:tcBorders>
            <w:vAlign w:val="center"/>
          </w:tcPr>
          <w:p w14:paraId="62C32836">
            <w:pPr>
              <w:pStyle w:val="59"/>
              <w:ind w:firstLine="0" w:firstLineChars="0"/>
              <w:jc w:val="center"/>
            </w:pPr>
            <w:r>
              <w:rPr>
                <w:rFonts w:hint="eastAsia"/>
              </w:rPr>
              <w:t>在容器中状态</w:t>
            </w:r>
          </w:p>
        </w:tc>
        <w:tc>
          <w:tcPr>
            <w:tcW w:w="2525" w:type="pct"/>
            <w:tcBorders>
              <w:top w:val="single" w:color="auto" w:sz="4" w:space="0"/>
              <w:left w:val="single" w:color="auto" w:sz="4" w:space="0"/>
              <w:bottom w:val="single" w:color="auto" w:sz="4" w:space="0"/>
              <w:right w:val="single" w:color="auto" w:sz="4" w:space="0"/>
            </w:tcBorders>
            <w:vAlign w:val="center"/>
          </w:tcPr>
          <w:p w14:paraId="73EA8D4F">
            <w:pPr>
              <w:pStyle w:val="59"/>
              <w:ind w:firstLine="0" w:firstLineChars="0"/>
              <w:jc w:val="center"/>
            </w:pPr>
            <w:r>
              <w:rPr>
                <w:rFonts w:hint="eastAsia"/>
              </w:rPr>
              <w:t>搅拌后均匀无硬块</w:t>
            </w:r>
          </w:p>
        </w:tc>
      </w:tr>
      <w:tr w14:paraId="164DF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9" w:type="pct"/>
            <w:gridSpan w:val="2"/>
            <w:vMerge w:val="restart"/>
            <w:tcBorders>
              <w:top w:val="nil"/>
              <w:left w:val="single" w:color="auto" w:sz="4" w:space="0"/>
              <w:bottom w:val="single" w:color="auto" w:sz="4" w:space="0"/>
              <w:right w:val="single" w:color="auto" w:sz="4" w:space="0"/>
            </w:tcBorders>
            <w:vAlign w:val="center"/>
          </w:tcPr>
          <w:p w14:paraId="02C7E7D8">
            <w:pPr>
              <w:pStyle w:val="59"/>
              <w:ind w:firstLine="0" w:firstLineChars="0"/>
              <w:jc w:val="center"/>
            </w:pPr>
            <w:r>
              <w:rPr>
                <w:rFonts w:hint="eastAsia"/>
              </w:rPr>
              <w:t>不挥发物含量/%</w:t>
            </w:r>
          </w:p>
        </w:tc>
        <w:tc>
          <w:tcPr>
            <w:tcW w:w="1196" w:type="pct"/>
            <w:tcBorders>
              <w:top w:val="single" w:color="auto" w:sz="4" w:space="0"/>
              <w:left w:val="single" w:color="auto" w:sz="4" w:space="0"/>
              <w:bottom w:val="single" w:color="auto" w:sz="4" w:space="0"/>
              <w:right w:val="single" w:color="auto" w:sz="4" w:space="0"/>
            </w:tcBorders>
            <w:vAlign w:val="center"/>
          </w:tcPr>
          <w:p w14:paraId="4A15E87D">
            <w:pPr>
              <w:pStyle w:val="59"/>
              <w:ind w:firstLine="0" w:firstLineChars="0"/>
              <w:jc w:val="center"/>
            </w:pPr>
            <w:r>
              <w:rPr>
                <w:rFonts w:hint="eastAsia"/>
              </w:rPr>
              <w:t>白色和浅色</w:t>
            </w:r>
          </w:p>
        </w:tc>
        <w:tc>
          <w:tcPr>
            <w:tcW w:w="2525" w:type="pct"/>
            <w:tcBorders>
              <w:top w:val="single" w:color="auto" w:sz="4" w:space="0"/>
              <w:left w:val="single" w:color="auto" w:sz="4" w:space="0"/>
              <w:bottom w:val="single" w:color="auto" w:sz="4" w:space="0"/>
              <w:right w:val="single" w:color="auto" w:sz="4" w:space="0"/>
            </w:tcBorders>
            <w:vAlign w:val="center"/>
          </w:tcPr>
          <w:p w14:paraId="4584E4E5">
            <w:pPr>
              <w:pStyle w:val="59"/>
              <w:ind w:firstLine="0" w:firstLineChars="0"/>
              <w:jc w:val="center"/>
            </w:pPr>
            <w:r>
              <w:rPr>
                <w:rFonts w:hint="eastAsia"/>
              </w:rPr>
              <w:t>≥50</w:t>
            </w:r>
          </w:p>
        </w:tc>
      </w:tr>
      <w:tr w14:paraId="38F8B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9" w:type="pct"/>
            <w:gridSpan w:val="2"/>
            <w:vMerge w:val="continue"/>
            <w:tcBorders>
              <w:top w:val="nil"/>
              <w:left w:val="single" w:color="auto" w:sz="4" w:space="0"/>
              <w:bottom w:val="single" w:color="auto" w:sz="4" w:space="0"/>
              <w:right w:val="single" w:color="auto" w:sz="4" w:space="0"/>
            </w:tcBorders>
            <w:vAlign w:val="center"/>
          </w:tcPr>
          <w:p w14:paraId="48BF2D45">
            <w:pPr>
              <w:pStyle w:val="59"/>
              <w:ind w:firstLine="0" w:firstLineChars="0"/>
              <w:jc w:val="center"/>
            </w:pPr>
          </w:p>
        </w:tc>
        <w:tc>
          <w:tcPr>
            <w:tcW w:w="1196" w:type="pct"/>
            <w:tcBorders>
              <w:top w:val="single" w:color="auto" w:sz="4" w:space="0"/>
              <w:left w:val="single" w:color="auto" w:sz="4" w:space="0"/>
              <w:bottom w:val="single" w:color="auto" w:sz="4" w:space="0"/>
              <w:right w:val="single" w:color="auto" w:sz="4" w:space="0"/>
            </w:tcBorders>
            <w:vAlign w:val="center"/>
          </w:tcPr>
          <w:p w14:paraId="69387EF7">
            <w:pPr>
              <w:pStyle w:val="59"/>
              <w:ind w:firstLine="0" w:firstLineChars="0"/>
              <w:jc w:val="center"/>
            </w:pPr>
            <w:r>
              <w:rPr>
                <w:rFonts w:hint="eastAsia"/>
              </w:rPr>
              <w:t>清漆和其他色</w:t>
            </w:r>
          </w:p>
        </w:tc>
        <w:tc>
          <w:tcPr>
            <w:tcW w:w="2525" w:type="pct"/>
            <w:tcBorders>
              <w:top w:val="single" w:color="auto" w:sz="4" w:space="0"/>
              <w:left w:val="single" w:color="auto" w:sz="4" w:space="0"/>
              <w:bottom w:val="single" w:color="auto" w:sz="4" w:space="0"/>
              <w:right w:val="single" w:color="auto" w:sz="4" w:space="0"/>
            </w:tcBorders>
            <w:vAlign w:val="center"/>
          </w:tcPr>
          <w:p w14:paraId="376BADD6">
            <w:pPr>
              <w:pStyle w:val="59"/>
              <w:ind w:firstLine="0" w:firstLineChars="0"/>
              <w:jc w:val="center"/>
            </w:pPr>
            <w:r>
              <w:rPr>
                <w:rFonts w:hint="eastAsia"/>
              </w:rPr>
              <w:t>≥40</w:t>
            </w:r>
          </w:p>
        </w:tc>
      </w:tr>
      <w:tr w14:paraId="36176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9" w:type="pct"/>
            <w:gridSpan w:val="2"/>
            <w:vMerge w:val="restart"/>
            <w:tcBorders>
              <w:top w:val="nil"/>
              <w:left w:val="single" w:color="auto" w:sz="4" w:space="0"/>
              <w:bottom w:val="single" w:color="auto" w:sz="4" w:space="0"/>
              <w:right w:val="single" w:color="auto" w:sz="4" w:space="0"/>
            </w:tcBorders>
            <w:vAlign w:val="center"/>
          </w:tcPr>
          <w:p w14:paraId="38B76F87">
            <w:pPr>
              <w:pStyle w:val="59"/>
              <w:ind w:firstLine="0" w:firstLineChars="0"/>
              <w:jc w:val="center"/>
            </w:pPr>
            <w:r>
              <w:rPr>
                <w:rFonts w:hint="eastAsia"/>
              </w:rPr>
              <w:t>基料汇总氟含量/%</w:t>
            </w:r>
          </w:p>
        </w:tc>
        <w:tc>
          <w:tcPr>
            <w:tcW w:w="1196" w:type="pct"/>
            <w:tcBorders>
              <w:top w:val="single" w:color="auto" w:sz="4" w:space="0"/>
              <w:left w:val="single" w:color="auto" w:sz="4" w:space="0"/>
              <w:bottom w:val="single" w:color="auto" w:sz="4" w:space="0"/>
              <w:right w:val="single" w:color="auto" w:sz="4" w:space="0"/>
            </w:tcBorders>
            <w:vAlign w:val="center"/>
          </w:tcPr>
          <w:p w14:paraId="703E693A">
            <w:pPr>
              <w:pStyle w:val="59"/>
              <w:ind w:firstLine="0" w:firstLineChars="0"/>
              <w:jc w:val="center"/>
            </w:pPr>
            <w:r>
              <w:rPr>
                <w:rFonts w:hint="eastAsia"/>
              </w:rPr>
              <w:t>双组份</w:t>
            </w:r>
          </w:p>
        </w:tc>
        <w:tc>
          <w:tcPr>
            <w:tcW w:w="2525" w:type="pct"/>
            <w:tcBorders>
              <w:top w:val="single" w:color="auto" w:sz="4" w:space="0"/>
              <w:left w:val="single" w:color="auto" w:sz="4" w:space="0"/>
              <w:bottom w:val="single" w:color="auto" w:sz="4" w:space="0"/>
              <w:right w:val="single" w:color="auto" w:sz="4" w:space="0"/>
            </w:tcBorders>
            <w:vAlign w:val="center"/>
          </w:tcPr>
          <w:p w14:paraId="2557D873">
            <w:pPr>
              <w:pStyle w:val="59"/>
              <w:ind w:firstLine="0" w:firstLineChars="0"/>
              <w:jc w:val="center"/>
            </w:pPr>
            <w:r>
              <w:rPr>
                <w:rFonts w:hint="eastAsia"/>
              </w:rPr>
              <w:t>≥20</w:t>
            </w:r>
          </w:p>
        </w:tc>
      </w:tr>
      <w:tr w14:paraId="0E325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9" w:type="pct"/>
            <w:gridSpan w:val="2"/>
            <w:vMerge w:val="continue"/>
            <w:tcBorders>
              <w:top w:val="nil"/>
              <w:left w:val="single" w:color="auto" w:sz="4" w:space="0"/>
              <w:bottom w:val="single" w:color="auto" w:sz="4" w:space="0"/>
              <w:right w:val="single" w:color="auto" w:sz="4" w:space="0"/>
            </w:tcBorders>
            <w:vAlign w:val="center"/>
          </w:tcPr>
          <w:p w14:paraId="3B3176AA">
            <w:pPr>
              <w:pStyle w:val="59"/>
              <w:ind w:firstLine="0" w:firstLineChars="0"/>
              <w:jc w:val="center"/>
            </w:pPr>
          </w:p>
        </w:tc>
        <w:tc>
          <w:tcPr>
            <w:tcW w:w="1196" w:type="pct"/>
            <w:tcBorders>
              <w:top w:val="single" w:color="auto" w:sz="4" w:space="0"/>
              <w:left w:val="single" w:color="auto" w:sz="4" w:space="0"/>
              <w:bottom w:val="single" w:color="auto" w:sz="4" w:space="0"/>
              <w:right w:val="single" w:color="auto" w:sz="4" w:space="0"/>
            </w:tcBorders>
            <w:vAlign w:val="center"/>
          </w:tcPr>
          <w:p w14:paraId="73A230D8">
            <w:pPr>
              <w:pStyle w:val="59"/>
              <w:ind w:firstLine="0" w:firstLineChars="0"/>
              <w:jc w:val="center"/>
            </w:pPr>
            <w:r>
              <w:rPr>
                <w:rFonts w:hint="eastAsia"/>
              </w:rPr>
              <w:t>单组分</w:t>
            </w:r>
          </w:p>
        </w:tc>
        <w:tc>
          <w:tcPr>
            <w:tcW w:w="2525" w:type="pct"/>
            <w:tcBorders>
              <w:top w:val="single" w:color="auto" w:sz="4" w:space="0"/>
              <w:left w:val="single" w:color="auto" w:sz="4" w:space="0"/>
              <w:bottom w:val="single" w:color="auto" w:sz="4" w:space="0"/>
              <w:right w:val="single" w:color="auto" w:sz="4" w:space="0"/>
            </w:tcBorders>
            <w:vAlign w:val="center"/>
          </w:tcPr>
          <w:p w14:paraId="3038CD8C">
            <w:pPr>
              <w:pStyle w:val="59"/>
              <w:ind w:firstLine="0" w:firstLineChars="0"/>
              <w:jc w:val="center"/>
            </w:pPr>
            <w:r>
              <w:rPr>
                <w:rFonts w:hint="eastAsia"/>
              </w:rPr>
              <w:t>≥10</w:t>
            </w:r>
          </w:p>
        </w:tc>
      </w:tr>
      <w:tr w14:paraId="20A3A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1279" w:type="pct"/>
            <w:gridSpan w:val="2"/>
            <w:vMerge w:val="restart"/>
            <w:tcBorders>
              <w:top w:val="nil"/>
              <w:left w:val="single" w:color="auto" w:sz="4" w:space="0"/>
              <w:bottom w:val="single" w:color="auto" w:sz="4" w:space="0"/>
              <w:right w:val="single" w:color="auto" w:sz="4" w:space="0"/>
            </w:tcBorders>
            <w:vAlign w:val="center"/>
          </w:tcPr>
          <w:p w14:paraId="3B379990">
            <w:pPr>
              <w:pStyle w:val="59"/>
              <w:ind w:firstLine="0" w:firstLineChars="0"/>
              <w:jc w:val="center"/>
            </w:pPr>
            <w:r>
              <w:rPr>
                <w:rFonts w:hint="eastAsia"/>
              </w:rPr>
              <w:t>干燥时间/h</w:t>
            </w:r>
          </w:p>
        </w:tc>
        <w:tc>
          <w:tcPr>
            <w:tcW w:w="1196" w:type="pct"/>
            <w:tcBorders>
              <w:top w:val="single" w:color="auto" w:sz="4" w:space="0"/>
              <w:left w:val="single" w:color="auto" w:sz="4" w:space="0"/>
              <w:bottom w:val="single" w:color="auto" w:sz="4" w:space="0"/>
              <w:right w:val="single" w:color="auto" w:sz="4" w:space="0"/>
            </w:tcBorders>
            <w:vAlign w:val="center"/>
          </w:tcPr>
          <w:p w14:paraId="5F0AF1EB">
            <w:pPr>
              <w:pStyle w:val="59"/>
              <w:ind w:firstLine="0" w:firstLineChars="0"/>
              <w:jc w:val="center"/>
            </w:pPr>
            <w:r>
              <w:rPr>
                <w:rFonts w:hint="eastAsia"/>
              </w:rPr>
              <w:t>表干</w:t>
            </w:r>
          </w:p>
        </w:tc>
        <w:tc>
          <w:tcPr>
            <w:tcW w:w="2525" w:type="pct"/>
            <w:tcBorders>
              <w:top w:val="single" w:color="auto" w:sz="4" w:space="0"/>
              <w:left w:val="single" w:color="auto" w:sz="4" w:space="0"/>
              <w:bottom w:val="single" w:color="auto" w:sz="4" w:space="0"/>
              <w:right w:val="single" w:color="auto" w:sz="4" w:space="0"/>
            </w:tcBorders>
            <w:vAlign w:val="center"/>
          </w:tcPr>
          <w:p w14:paraId="41EF9E96">
            <w:pPr>
              <w:pStyle w:val="59"/>
              <w:ind w:firstLine="0" w:firstLineChars="0"/>
              <w:jc w:val="center"/>
            </w:pPr>
            <w:r>
              <w:rPr>
                <w:rFonts w:hint="eastAsia"/>
              </w:rPr>
              <w:t>≤2</w:t>
            </w:r>
          </w:p>
        </w:tc>
      </w:tr>
      <w:tr w14:paraId="09146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1279" w:type="pct"/>
            <w:gridSpan w:val="2"/>
            <w:vMerge w:val="continue"/>
            <w:tcBorders>
              <w:top w:val="nil"/>
              <w:left w:val="single" w:color="auto" w:sz="4" w:space="0"/>
              <w:bottom w:val="single" w:color="auto" w:sz="4" w:space="0"/>
              <w:right w:val="single" w:color="auto" w:sz="4" w:space="0"/>
            </w:tcBorders>
            <w:vAlign w:val="center"/>
          </w:tcPr>
          <w:p w14:paraId="426FB4BA">
            <w:pPr>
              <w:pStyle w:val="59"/>
              <w:ind w:firstLine="0" w:firstLineChars="0"/>
              <w:jc w:val="center"/>
            </w:pPr>
          </w:p>
        </w:tc>
        <w:tc>
          <w:tcPr>
            <w:tcW w:w="1196" w:type="pct"/>
            <w:tcBorders>
              <w:top w:val="single" w:color="auto" w:sz="4" w:space="0"/>
              <w:left w:val="single" w:color="auto" w:sz="4" w:space="0"/>
              <w:bottom w:val="single" w:color="auto" w:sz="4" w:space="0"/>
              <w:right w:val="single" w:color="auto" w:sz="4" w:space="0"/>
            </w:tcBorders>
            <w:vAlign w:val="center"/>
          </w:tcPr>
          <w:p w14:paraId="527513AB">
            <w:pPr>
              <w:pStyle w:val="59"/>
              <w:ind w:firstLine="0" w:firstLineChars="0"/>
              <w:jc w:val="center"/>
            </w:pPr>
            <w:r>
              <w:rPr>
                <w:rFonts w:hint="eastAsia"/>
              </w:rPr>
              <w:t>实干</w:t>
            </w:r>
          </w:p>
        </w:tc>
        <w:tc>
          <w:tcPr>
            <w:tcW w:w="2525" w:type="pct"/>
            <w:tcBorders>
              <w:top w:val="single" w:color="auto" w:sz="4" w:space="0"/>
              <w:left w:val="single" w:color="auto" w:sz="4" w:space="0"/>
              <w:bottom w:val="single" w:color="auto" w:sz="4" w:space="0"/>
              <w:right w:val="single" w:color="auto" w:sz="4" w:space="0"/>
            </w:tcBorders>
            <w:vAlign w:val="center"/>
          </w:tcPr>
          <w:p w14:paraId="708067A0">
            <w:pPr>
              <w:pStyle w:val="59"/>
              <w:ind w:firstLine="0" w:firstLineChars="0"/>
              <w:jc w:val="center"/>
            </w:pPr>
            <w:r>
              <w:rPr>
                <w:rFonts w:hint="eastAsia"/>
              </w:rPr>
              <w:t>≤24</w:t>
            </w:r>
          </w:p>
        </w:tc>
      </w:tr>
      <w:tr w14:paraId="577DB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1279" w:type="pct"/>
            <w:gridSpan w:val="2"/>
            <w:vMerge w:val="restart"/>
            <w:tcBorders>
              <w:top w:val="nil"/>
              <w:left w:val="single" w:color="auto" w:sz="4" w:space="0"/>
              <w:bottom w:val="single" w:color="auto" w:sz="4" w:space="0"/>
              <w:right w:val="single" w:color="auto" w:sz="4" w:space="0"/>
            </w:tcBorders>
            <w:vAlign w:val="center"/>
          </w:tcPr>
          <w:p w14:paraId="6E3B1C5D">
            <w:pPr>
              <w:pStyle w:val="59"/>
              <w:ind w:firstLine="0" w:firstLineChars="0"/>
              <w:jc w:val="center"/>
            </w:pPr>
            <w:r>
              <w:rPr>
                <w:rFonts w:hint="eastAsia"/>
              </w:rPr>
              <w:t>遮盖率</w:t>
            </w:r>
          </w:p>
        </w:tc>
        <w:tc>
          <w:tcPr>
            <w:tcW w:w="1196" w:type="pct"/>
            <w:tcBorders>
              <w:top w:val="single" w:color="auto" w:sz="4" w:space="0"/>
              <w:left w:val="single" w:color="auto" w:sz="4" w:space="0"/>
              <w:bottom w:val="single" w:color="auto" w:sz="4" w:space="0"/>
              <w:right w:val="single" w:color="auto" w:sz="4" w:space="0"/>
            </w:tcBorders>
            <w:vAlign w:val="center"/>
          </w:tcPr>
          <w:p w14:paraId="6CBC1252">
            <w:pPr>
              <w:pStyle w:val="59"/>
              <w:ind w:firstLine="0" w:firstLineChars="0"/>
              <w:jc w:val="center"/>
            </w:pPr>
            <w:r>
              <w:rPr>
                <w:rFonts w:hint="eastAsia"/>
              </w:rPr>
              <w:t>白色和浅色</w:t>
            </w:r>
          </w:p>
        </w:tc>
        <w:tc>
          <w:tcPr>
            <w:tcW w:w="2525" w:type="pct"/>
            <w:tcBorders>
              <w:top w:val="single" w:color="auto" w:sz="4" w:space="0"/>
              <w:left w:val="single" w:color="auto" w:sz="4" w:space="0"/>
              <w:bottom w:val="single" w:color="auto" w:sz="4" w:space="0"/>
              <w:right w:val="single" w:color="auto" w:sz="4" w:space="0"/>
            </w:tcBorders>
            <w:vAlign w:val="center"/>
          </w:tcPr>
          <w:p w14:paraId="0617BB6B">
            <w:pPr>
              <w:pStyle w:val="59"/>
              <w:ind w:firstLine="0" w:firstLineChars="0"/>
              <w:jc w:val="center"/>
            </w:pPr>
            <w:r>
              <w:rPr>
                <w:rFonts w:hint="eastAsia"/>
              </w:rPr>
              <w:t>≥0.9</w:t>
            </w:r>
          </w:p>
        </w:tc>
      </w:tr>
      <w:tr w14:paraId="5958D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279" w:type="pct"/>
            <w:gridSpan w:val="2"/>
            <w:vMerge w:val="continue"/>
            <w:tcBorders>
              <w:top w:val="nil"/>
              <w:left w:val="single" w:color="auto" w:sz="4" w:space="0"/>
              <w:bottom w:val="single" w:color="auto" w:sz="4" w:space="0"/>
              <w:right w:val="single" w:color="auto" w:sz="4" w:space="0"/>
            </w:tcBorders>
            <w:vAlign w:val="center"/>
          </w:tcPr>
          <w:p w14:paraId="0C59B90A">
            <w:pPr>
              <w:pStyle w:val="59"/>
              <w:ind w:firstLine="0" w:firstLineChars="0"/>
              <w:jc w:val="center"/>
            </w:pPr>
          </w:p>
        </w:tc>
        <w:tc>
          <w:tcPr>
            <w:tcW w:w="1196" w:type="pct"/>
            <w:tcBorders>
              <w:top w:val="single" w:color="auto" w:sz="4" w:space="0"/>
              <w:left w:val="single" w:color="auto" w:sz="4" w:space="0"/>
              <w:bottom w:val="single" w:color="auto" w:sz="4" w:space="0"/>
              <w:right w:val="single" w:color="auto" w:sz="4" w:space="0"/>
            </w:tcBorders>
            <w:vAlign w:val="center"/>
          </w:tcPr>
          <w:p w14:paraId="691C76F1">
            <w:pPr>
              <w:pStyle w:val="59"/>
              <w:ind w:firstLine="0" w:firstLineChars="0"/>
              <w:jc w:val="center"/>
            </w:pPr>
            <w:r>
              <w:rPr>
                <w:rFonts w:hint="eastAsia"/>
              </w:rPr>
              <w:t>其他色</w:t>
            </w:r>
          </w:p>
        </w:tc>
        <w:tc>
          <w:tcPr>
            <w:tcW w:w="2525" w:type="pct"/>
            <w:tcBorders>
              <w:top w:val="single" w:color="auto" w:sz="4" w:space="0"/>
              <w:left w:val="single" w:color="auto" w:sz="4" w:space="0"/>
              <w:bottom w:val="single" w:color="auto" w:sz="4" w:space="0"/>
              <w:right w:val="single" w:color="auto" w:sz="4" w:space="0"/>
            </w:tcBorders>
            <w:vAlign w:val="center"/>
          </w:tcPr>
          <w:p w14:paraId="040BF23E">
            <w:pPr>
              <w:pStyle w:val="59"/>
              <w:ind w:firstLine="0" w:firstLineChars="0"/>
              <w:jc w:val="center"/>
            </w:pPr>
            <w:r>
              <w:rPr>
                <w:rFonts w:hint="eastAsia"/>
              </w:rPr>
              <w:t>商定</w:t>
            </w:r>
          </w:p>
        </w:tc>
      </w:tr>
      <w:tr w14:paraId="673CA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2475" w:type="pct"/>
            <w:gridSpan w:val="3"/>
            <w:tcBorders>
              <w:top w:val="single" w:color="auto" w:sz="4" w:space="0"/>
              <w:left w:val="single" w:color="auto" w:sz="4" w:space="0"/>
              <w:bottom w:val="single" w:color="auto" w:sz="4" w:space="0"/>
              <w:right w:val="single" w:color="auto" w:sz="4" w:space="0"/>
            </w:tcBorders>
            <w:vAlign w:val="center"/>
          </w:tcPr>
          <w:p w14:paraId="412B2C4C">
            <w:pPr>
              <w:pStyle w:val="59"/>
              <w:ind w:firstLine="0" w:firstLineChars="0"/>
              <w:jc w:val="center"/>
            </w:pPr>
            <w:r>
              <w:rPr>
                <w:rFonts w:hint="eastAsia"/>
              </w:rPr>
              <w:t>涂膜外观</w:t>
            </w:r>
          </w:p>
        </w:tc>
        <w:tc>
          <w:tcPr>
            <w:tcW w:w="2525" w:type="pct"/>
            <w:tcBorders>
              <w:top w:val="single" w:color="auto" w:sz="4" w:space="0"/>
              <w:left w:val="single" w:color="auto" w:sz="4" w:space="0"/>
              <w:bottom w:val="single" w:color="auto" w:sz="4" w:space="0"/>
              <w:right w:val="single" w:color="auto" w:sz="4" w:space="0"/>
            </w:tcBorders>
            <w:vAlign w:val="center"/>
          </w:tcPr>
          <w:p w14:paraId="304F249F">
            <w:pPr>
              <w:pStyle w:val="59"/>
              <w:ind w:firstLine="0" w:firstLineChars="0"/>
              <w:jc w:val="center"/>
            </w:pPr>
            <w:r>
              <w:rPr>
                <w:rFonts w:hint="eastAsia"/>
              </w:rPr>
              <w:t>正常</w:t>
            </w:r>
          </w:p>
        </w:tc>
      </w:tr>
      <w:tr w14:paraId="6E559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2475" w:type="pct"/>
            <w:gridSpan w:val="3"/>
            <w:tcBorders>
              <w:top w:val="single" w:color="auto" w:sz="4" w:space="0"/>
              <w:left w:val="single" w:color="auto" w:sz="4" w:space="0"/>
              <w:bottom w:val="single" w:color="auto" w:sz="4" w:space="0"/>
              <w:right w:val="single" w:color="auto" w:sz="4" w:space="0"/>
            </w:tcBorders>
            <w:vAlign w:val="center"/>
          </w:tcPr>
          <w:p w14:paraId="1CC89191">
            <w:pPr>
              <w:pStyle w:val="59"/>
              <w:ind w:firstLine="0" w:firstLineChars="0"/>
              <w:jc w:val="center"/>
            </w:pPr>
            <w:r>
              <w:rPr>
                <w:rFonts w:hint="eastAsia"/>
              </w:rPr>
              <w:t>铅笔硬度（擦伤）</w:t>
            </w:r>
          </w:p>
        </w:tc>
        <w:tc>
          <w:tcPr>
            <w:tcW w:w="2525" w:type="pct"/>
            <w:tcBorders>
              <w:top w:val="single" w:color="auto" w:sz="4" w:space="0"/>
              <w:left w:val="single" w:color="auto" w:sz="4" w:space="0"/>
              <w:bottom w:val="single" w:color="auto" w:sz="4" w:space="0"/>
              <w:right w:val="single" w:color="auto" w:sz="4" w:space="0"/>
            </w:tcBorders>
            <w:vAlign w:val="center"/>
          </w:tcPr>
          <w:p w14:paraId="55851A7A">
            <w:pPr>
              <w:pStyle w:val="59"/>
              <w:ind w:firstLine="0" w:firstLineChars="0"/>
              <w:jc w:val="center"/>
            </w:pPr>
            <w:r>
              <w:rPr>
                <w:rFonts w:hint="eastAsia"/>
              </w:rPr>
              <w:t>≥H</w:t>
            </w:r>
          </w:p>
        </w:tc>
      </w:tr>
      <w:tr w14:paraId="64A49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475" w:type="pct"/>
            <w:gridSpan w:val="3"/>
            <w:tcBorders>
              <w:top w:val="single" w:color="auto" w:sz="4" w:space="0"/>
              <w:left w:val="single" w:color="auto" w:sz="4" w:space="0"/>
              <w:bottom w:val="single" w:color="auto" w:sz="4" w:space="0"/>
              <w:right w:val="single" w:color="auto" w:sz="4" w:space="0"/>
            </w:tcBorders>
            <w:vAlign w:val="center"/>
          </w:tcPr>
          <w:p w14:paraId="6501F07A">
            <w:pPr>
              <w:pStyle w:val="59"/>
              <w:ind w:firstLine="0" w:firstLineChars="0"/>
              <w:jc w:val="center"/>
            </w:pPr>
            <w:r>
              <w:rPr>
                <w:rFonts w:hint="eastAsia"/>
              </w:rPr>
              <w:t>耐冲击性/cm</w:t>
            </w:r>
          </w:p>
        </w:tc>
        <w:tc>
          <w:tcPr>
            <w:tcW w:w="2525" w:type="pct"/>
            <w:tcBorders>
              <w:top w:val="single" w:color="auto" w:sz="4" w:space="0"/>
              <w:left w:val="single" w:color="auto" w:sz="4" w:space="0"/>
              <w:bottom w:val="single" w:color="auto" w:sz="4" w:space="0"/>
              <w:right w:val="single" w:color="auto" w:sz="4" w:space="0"/>
            </w:tcBorders>
            <w:vAlign w:val="center"/>
          </w:tcPr>
          <w:p w14:paraId="1673698A">
            <w:pPr>
              <w:pStyle w:val="59"/>
              <w:ind w:firstLine="0" w:firstLineChars="0"/>
              <w:jc w:val="center"/>
            </w:pPr>
            <w:r>
              <w:rPr>
                <w:rFonts w:hint="eastAsia"/>
              </w:rPr>
              <w:t>50</w:t>
            </w:r>
          </w:p>
        </w:tc>
      </w:tr>
      <w:tr w14:paraId="202F5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2475" w:type="pct"/>
            <w:gridSpan w:val="3"/>
            <w:tcBorders>
              <w:top w:val="single" w:color="auto" w:sz="4" w:space="0"/>
              <w:left w:val="single" w:color="auto" w:sz="4" w:space="0"/>
              <w:bottom w:val="single" w:color="auto" w:sz="4" w:space="0"/>
              <w:right w:val="single" w:color="auto" w:sz="4" w:space="0"/>
            </w:tcBorders>
            <w:vAlign w:val="center"/>
          </w:tcPr>
          <w:p w14:paraId="197061F4">
            <w:pPr>
              <w:pStyle w:val="59"/>
              <w:ind w:firstLine="0" w:firstLineChars="0"/>
              <w:jc w:val="center"/>
            </w:pPr>
            <w:r>
              <w:rPr>
                <w:rFonts w:hint="eastAsia"/>
              </w:rPr>
              <w:t>划格实验</w:t>
            </w:r>
          </w:p>
        </w:tc>
        <w:tc>
          <w:tcPr>
            <w:tcW w:w="2525" w:type="pct"/>
            <w:tcBorders>
              <w:top w:val="single" w:color="auto" w:sz="4" w:space="0"/>
              <w:left w:val="single" w:color="auto" w:sz="4" w:space="0"/>
              <w:bottom w:val="single" w:color="auto" w:sz="4" w:space="0"/>
              <w:right w:val="single" w:color="auto" w:sz="4" w:space="0"/>
            </w:tcBorders>
            <w:vAlign w:val="center"/>
          </w:tcPr>
          <w:p w14:paraId="076A9DAB">
            <w:pPr>
              <w:pStyle w:val="59"/>
              <w:ind w:firstLine="0" w:firstLineChars="0"/>
              <w:jc w:val="center"/>
            </w:pPr>
            <w:r>
              <w:rPr>
                <w:rFonts w:hint="eastAsia"/>
              </w:rPr>
              <w:t>≤1</w:t>
            </w:r>
          </w:p>
        </w:tc>
      </w:tr>
      <w:tr w14:paraId="685B5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2475" w:type="pct"/>
            <w:gridSpan w:val="3"/>
            <w:tcBorders>
              <w:top w:val="single" w:color="auto" w:sz="4" w:space="0"/>
              <w:left w:val="single" w:color="auto" w:sz="4" w:space="0"/>
              <w:bottom w:val="single" w:color="auto" w:sz="4" w:space="0"/>
              <w:right w:val="single" w:color="auto" w:sz="4" w:space="0"/>
            </w:tcBorders>
            <w:vAlign w:val="center"/>
          </w:tcPr>
          <w:p w14:paraId="53F4ABC5">
            <w:pPr>
              <w:pStyle w:val="59"/>
              <w:ind w:firstLine="0" w:firstLineChars="0"/>
              <w:jc w:val="center"/>
            </w:pPr>
            <w:r>
              <w:rPr>
                <w:rFonts w:hint="eastAsia"/>
              </w:rPr>
              <w:t>附着力（拉开法）/MPa</w:t>
            </w:r>
          </w:p>
        </w:tc>
        <w:tc>
          <w:tcPr>
            <w:tcW w:w="2525" w:type="pct"/>
            <w:tcBorders>
              <w:top w:val="single" w:color="auto" w:sz="4" w:space="0"/>
              <w:left w:val="single" w:color="auto" w:sz="4" w:space="0"/>
              <w:bottom w:val="single" w:color="auto" w:sz="4" w:space="0"/>
              <w:right w:val="single" w:color="auto" w:sz="4" w:space="0"/>
            </w:tcBorders>
            <w:vAlign w:val="center"/>
          </w:tcPr>
          <w:p w14:paraId="6C6E8E70">
            <w:pPr>
              <w:pStyle w:val="59"/>
              <w:ind w:firstLine="0" w:firstLineChars="0"/>
              <w:jc w:val="center"/>
            </w:pPr>
            <w:r>
              <w:rPr>
                <w:rFonts w:hint="eastAsia"/>
              </w:rPr>
              <w:t>≥5</w:t>
            </w:r>
          </w:p>
        </w:tc>
      </w:tr>
      <w:tr w14:paraId="66D96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2475" w:type="pct"/>
            <w:gridSpan w:val="3"/>
            <w:tcBorders>
              <w:top w:val="single" w:color="auto" w:sz="4" w:space="0"/>
              <w:left w:val="single" w:color="auto" w:sz="4" w:space="0"/>
              <w:bottom w:val="single" w:color="auto" w:sz="4" w:space="0"/>
              <w:right w:val="single" w:color="auto" w:sz="4" w:space="0"/>
            </w:tcBorders>
            <w:vAlign w:val="center"/>
          </w:tcPr>
          <w:p w14:paraId="125D1923">
            <w:pPr>
              <w:pStyle w:val="59"/>
              <w:ind w:firstLine="0" w:firstLineChars="0"/>
              <w:jc w:val="center"/>
            </w:pPr>
            <w:r>
              <w:rPr>
                <w:rFonts w:hint="eastAsia"/>
              </w:rPr>
              <w:t>弯曲试验/mm</w:t>
            </w:r>
          </w:p>
        </w:tc>
        <w:tc>
          <w:tcPr>
            <w:tcW w:w="2525" w:type="pct"/>
            <w:tcBorders>
              <w:top w:val="single" w:color="auto" w:sz="4" w:space="0"/>
              <w:left w:val="single" w:color="auto" w:sz="4" w:space="0"/>
              <w:bottom w:val="single" w:color="auto" w:sz="4" w:space="0"/>
              <w:right w:val="single" w:color="auto" w:sz="4" w:space="0"/>
            </w:tcBorders>
            <w:vAlign w:val="center"/>
          </w:tcPr>
          <w:p w14:paraId="1899FF07">
            <w:pPr>
              <w:pStyle w:val="59"/>
              <w:ind w:firstLine="0" w:firstLineChars="0"/>
              <w:jc w:val="center"/>
            </w:pPr>
            <w:r>
              <w:rPr>
                <w:rFonts w:hint="eastAsia"/>
              </w:rPr>
              <w:t>≤2</w:t>
            </w:r>
          </w:p>
        </w:tc>
      </w:tr>
      <w:tr w14:paraId="731D3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2475" w:type="pct"/>
            <w:gridSpan w:val="3"/>
            <w:tcBorders>
              <w:top w:val="single" w:color="auto" w:sz="4" w:space="0"/>
              <w:left w:val="single" w:color="auto" w:sz="4" w:space="0"/>
              <w:bottom w:val="single" w:color="auto" w:sz="4" w:space="0"/>
              <w:right w:val="single" w:color="auto" w:sz="4" w:space="0"/>
            </w:tcBorders>
            <w:vAlign w:val="center"/>
          </w:tcPr>
          <w:p w14:paraId="3CA74944">
            <w:pPr>
              <w:pStyle w:val="59"/>
              <w:ind w:firstLine="0" w:firstLineChars="0"/>
              <w:jc w:val="center"/>
            </w:pPr>
            <w:r>
              <w:rPr>
                <w:rFonts w:hint="eastAsia"/>
              </w:rPr>
              <w:t>耐酸性（50g/L,H</w:t>
            </w:r>
            <w:r>
              <w:rPr>
                <w:rFonts w:hint="eastAsia"/>
                <w:vertAlign w:val="subscript"/>
              </w:rPr>
              <w:t>2</w:t>
            </w:r>
            <w:r>
              <w:rPr>
                <w:rFonts w:hint="eastAsia"/>
              </w:rPr>
              <w:t>SO</w:t>
            </w:r>
            <w:r>
              <w:rPr>
                <w:rFonts w:hint="eastAsia"/>
                <w:vertAlign w:val="subscript"/>
              </w:rPr>
              <w:t>4</w:t>
            </w:r>
            <w:r>
              <w:rPr>
                <w:rFonts w:hint="eastAsia"/>
              </w:rPr>
              <w:t>）</w:t>
            </w:r>
          </w:p>
        </w:tc>
        <w:tc>
          <w:tcPr>
            <w:tcW w:w="2525" w:type="pct"/>
            <w:tcBorders>
              <w:top w:val="single" w:color="auto" w:sz="4" w:space="0"/>
              <w:left w:val="single" w:color="auto" w:sz="4" w:space="0"/>
              <w:bottom w:val="single" w:color="auto" w:sz="4" w:space="0"/>
              <w:right w:val="single" w:color="auto" w:sz="4" w:space="0"/>
            </w:tcBorders>
            <w:vAlign w:val="center"/>
          </w:tcPr>
          <w:p w14:paraId="78B28174">
            <w:pPr>
              <w:pStyle w:val="59"/>
              <w:ind w:firstLine="0" w:firstLineChars="0"/>
              <w:jc w:val="center"/>
            </w:pPr>
            <w:r>
              <w:rPr>
                <w:rFonts w:hint="eastAsia"/>
              </w:rPr>
              <w:t>168h无异常</w:t>
            </w:r>
          </w:p>
        </w:tc>
      </w:tr>
      <w:tr w14:paraId="3F2DF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75" w:type="pct"/>
            <w:gridSpan w:val="3"/>
            <w:tcBorders>
              <w:top w:val="single" w:color="auto" w:sz="4" w:space="0"/>
              <w:left w:val="single" w:color="auto" w:sz="4" w:space="0"/>
              <w:bottom w:val="single" w:color="auto" w:sz="4" w:space="0"/>
              <w:right w:val="single" w:color="auto" w:sz="4" w:space="0"/>
            </w:tcBorders>
            <w:vAlign w:val="center"/>
          </w:tcPr>
          <w:p w14:paraId="42001CB7">
            <w:pPr>
              <w:pStyle w:val="59"/>
              <w:ind w:firstLine="0" w:firstLineChars="0"/>
              <w:jc w:val="center"/>
            </w:pPr>
            <w:r>
              <w:rPr>
                <w:rFonts w:hint="eastAsia"/>
              </w:rPr>
              <w:t>耐碱性（50g/L,NaOH）</w:t>
            </w:r>
          </w:p>
        </w:tc>
        <w:tc>
          <w:tcPr>
            <w:tcW w:w="2525" w:type="pct"/>
            <w:tcBorders>
              <w:top w:val="single" w:color="auto" w:sz="4" w:space="0"/>
              <w:left w:val="single" w:color="auto" w:sz="4" w:space="0"/>
              <w:bottom w:val="single" w:color="auto" w:sz="4" w:space="0"/>
              <w:right w:val="single" w:color="auto" w:sz="4" w:space="0"/>
            </w:tcBorders>
            <w:vAlign w:val="center"/>
          </w:tcPr>
          <w:p w14:paraId="195A7B04">
            <w:pPr>
              <w:pStyle w:val="59"/>
              <w:ind w:firstLine="0" w:firstLineChars="0"/>
              <w:jc w:val="center"/>
            </w:pPr>
            <w:r>
              <w:rPr>
                <w:rFonts w:hint="eastAsia"/>
              </w:rPr>
              <w:t>168h无异常</w:t>
            </w:r>
          </w:p>
        </w:tc>
      </w:tr>
      <w:tr w14:paraId="5B4C3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2475" w:type="pct"/>
            <w:gridSpan w:val="3"/>
            <w:tcBorders>
              <w:top w:val="single" w:color="auto" w:sz="4" w:space="0"/>
              <w:left w:val="single" w:color="auto" w:sz="4" w:space="0"/>
              <w:bottom w:val="single" w:color="auto" w:sz="4" w:space="0"/>
              <w:right w:val="single" w:color="auto" w:sz="4" w:space="0"/>
            </w:tcBorders>
            <w:vAlign w:val="center"/>
          </w:tcPr>
          <w:p w14:paraId="6154D492">
            <w:pPr>
              <w:pStyle w:val="59"/>
              <w:ind w:firstLine="0" w:firstLineChars="0"/>
              <w:jc w:val="center"/>
            </w:pPr>
            <w:r>
              <w:rPr>
                <w:rFonts w:hint="eastAsia"/>
              </w:rPr>
              <w:t>耐湿冷热循环性</w:t>
            </w:r>
          </w:p>
        </w:tc>
        <w:tc>
          <w:tcPr>
            <w:tcW w:w="2525" w:type="pct"/>
            <w:tcBorders>
              <w:top w:val="single" w:color="auto" w:sz="4" w:space="0"/>
              <w:left w:val="single" w:color="auto" w:sz="4" w:space="0"/>
              <w:bottom w:val="single" w:color="auto" w:sz="4" w:space="0"/>
              <w:right w:val="single" w:color="auto" w:sz="4" w:space="0"/>
            </w:tcBorders>
            <w:vAlign w:val="center"/>
          </w:tcPr>
          <w:p w14:paraId="0E6BDEBA">
            <w:pPr>
              <w:pStyle w:val="59"/>
              <w:ind w:firstLine="0" w:firstLineChars="0"/>
              <w:jc w:val="center"/>
            </w:pPr>
            <w:r>
              <w:rPr>
                <w:rFonts w:hint="eastAsia"/>
              </w:rPr>
              <w:t>10次循环无异常</w:t>
            </w:r>
          </w:p>
        </w:tc>
      </w:tr>
      <w:tr w14:paraId="25BD3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2475" w:type="pct"/>
            <w:gridSpan w:val="3"/>
            <w:tcBorders>
              <w:top w:val="single" w:color="auto" w:sz="4" w:space="0"/>
              <w:left w:val="single" w:color="auto" w:sz="4" w:space="0"/>
              <w:bottom w:val="single" w:color="auto" w:sz="4" w:space="0"/>
              <w:right w:val="single" w:color="auto" w:sz="4" w:space="0"/>
            </w:tcBorders>
            <w:vAlign w:val="center"/>
          </w:tcPr>
          <w:p w14:paraId="161E5412">
            <w:pPr>
              <w:pStyle w:val="59"/>
              <w:ind w:firstLine="0" w:firstLineChars="0"/>
              <w:jc w:val="center"/>
            </w:pPr>
            <w:r>
              <w:rPr>
                <w:rFonts w:hint="eastAsia"/>
              </w:rPr>
              <w:t>耐湿热性</w:t>
            </w:r>
          </w:p>
        </w:tc>
        <w:tc>
          <w:tcPr>
            <w:tcW w:w="2525" w:type="pct"/>
            <w:tcBorders>
              <w:top w:val="single" w:color="auto" w:sz="4" w:space="0"/>
              <w:left w:val="single" w:color="auto" w:sz="4" w:space="0"/>
              <w:bottom w:val="single" w:color="auto" w:sz="4" w:space="0"/>
              <w:right w:val="single" w:color="auto" w:sz="4" w:space="0"/>
            </w:tcBorders>
            <w:vAlign w:val="center"/>
          </w:tcPr>
          <w:p w14:paraId="248BE42C">
            <w:pPr>
              <w:pStyle w:val="59"/>
              <w:ind w:firstLine="0" w:firstLineChars="0"/>
              <w:jc w:val="center"/>
            </w:pPr>
            <w:r>
              <w:rPr>
                <w:rFonts w:hint="eastAsia"/>
              </w:rPr>
              <w:t>1000h不起泡、不生锈、不脱落</w:t>
            </w:r>
          </w:p>
        </w:tc>
      </w:tr>
      <w:tr w14:paraId="5F345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2475" w:type="pct"/>
            <w:gridSpan w:val="3"/>
            <w:tcBorders>
              <w:top w:val="single" w:color="auto" w:sz="4" w:space="0"/>
              <w:left w:val="single" w:color="auto" w:sz="4" w:space="0"/>
              <w:bottom w:val="single" w:color="auto" w:sz="4" w:space="0"/>
              <w:right w:val="single" w:color="auto" w:sz="4" w:space="0"/>
            </w:tcBorders>
            <w:vAlign w:val="center"/>
          </w:tcPr>
          <w:p w14:paraId="66FBFA8A">
            <w:pPr>
              <w:pStyle w:val="59"/>
              <w:ind w:firstLine="0" w:firstLineChars="0"/>
              <w:jc w:val="center"/>
            </w:pPr>
            <w:r>
              <w:rPr>
                <w:rFonts w:hint="eastAsia"/>
              </w:rPr>
              <w:t>耐盐雾性</w:t>
            </w:r>
          </w:p>
        </w:tc>
        <w:tc>
          <w:tcPr>
            <w:tcW w:w="2525" w:type="pct"/>
            <w:tcBorders>
              <w:top w:val="single" w:color="auto" w:sz="4" w:space="0"/>
              <w:left w:val="single" w:color="auto" w:sz="4" w:space="0"/>
              <w:bottom w:val="single" w:color="auto" w:sz="4" w:space="0"/>
              <w:right w:val="single" w:color="auto" w:sz="4" w:space="0"/>
            </w:tcBorders>
            <w:vAlign w:val="center"/>
          </w:tcPr>
          <w:p w14:paraId="6BC77DDC">
            <w:pPr>
              <w:pStyle w:val="59"/>
              <w:ind w:firstLine="0" w:firstLineChars="0"/>
              <w:jc w:val="center"/>
            </w:pPr>
            <w:r>
              <w:rPr>
                <w:rFonts w:hint="eastAsia"/>
              </w:rPr>
              <w:t>1000h不起泡、不生锈、不脱落</w:t>
            </w:r>
          </w:p>
        </w:tc>
      </w:tr>
      <w:tr w14:paraId="28368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pct"/>
            <w:vMerge w:val="restart"/>
            <w:tcBorders>
              <w:top w:val="nil"/>
              <w:left w:val="single" w:color="auto" w:sz="4" w:space="0"/>
              <w:bottom w:val="single" w:color="auto" w:sz="4" w:space="0"/>
              <w:right w:val="single" w:color="auto" w:sz="4" w:space="0"/>
            </w:tcBorders>
            <w:vAlign w:val="center"/>
          </w:tcPr>
          <w:p w14:paraId="764E2814">
            <w:pPr>
              <w:pStyle w:val="59"/>
              <w:ind w:firstLine="0" w:firstLineChars="0"/>
              <w:jc w:val="center"/>
            </w:pPr>
            <w:r>
              <w:rPr>
                <w:rFonts w:hint="eastAsia"/>
              </w:rPr>
              <w:t>耐人工气候老化性（3000h）</w:t>
            </w:r>
          </w:p>
        </w:tc>
        <w:tc>
          <w:tcPr>
            <w:tcW w:w="1453" w:type="pct"/>
            <w:gridSpan w:val="2"/>
            <w:tcBorders>
              <w:top w:val="single" w:color="auto" w:sz="4" w:space="0"/>
              <w:left w:val="single" w:color="auto" w:sz="4" w:space="0"/>
              <w:bottom w:val="single" w:color="auto" w:sz="4" w:space="0"/>
              <w:right w:val="single" w:color="auto" w:sz="4" w:space="0"/>
            </w:tcBorders>
            <w:vAlign w:val="center"/>
          </w:tcPr>
          <w:p w14:paraId="2F647676">
            <w:pPr>
              <w:pStyle w:val="59"/>
              <w:ind w:firstLine="0" w:firstLineChars="0"/>
              <w:jc w:val="center"/>
            </w:pPr>
            <w:r>
              <w:rPr>
                <w:rFonts w:hint="eastAsia"/>
              </w:rPr>
              <w:t>白色</w:t>
            </w:r>
          </w:p>
        </w:tc>
        <w:tc>
          <w:tcPr>
            <w:tcW w:w="2525" w:type="pct"/>
            <w:tcBorders>
              <w:top w:val="single" w:color="auto" w:sz="4" w:space="0"/>
              <w:left w:val="single" w:color="auto" w:sz="4" w:space="0"/>
              <w:bottom w:val="single" w:color="auto" w:sz="4" w:space="0"/>
              <w:right w:val="single" w:color="auto" w:sz="4" w:space="0"/>
            </w:tcBorders>
            <w:vAlign w:val="center"/>
          </w:tcPr>
          <w:p w14:paraId="3C2155A0">
            <w:pPr>
              <w:pStyle w:val="59"/>
              <w:ind w:firstLine="0" w:firstLineChars="0"/>
              <w:jc w:val="center"/>
            </w:pPr>
            <w:r>
              <w:rPr>
                <w:rFonts w:hint="eastAsia"/>
              </w:rPr>
              <w:t>不起泡、不脱落、不开裂，不粉化，</w:t>
            </w:r>
          </w:p>
          <w:p w14:paraId="65DE9CE9">
            <w:pPr>
              <w:pStyle w:val="59"/>
              <w:ind w:firstLine="0" w:firstLineChars="0"/>
              <w:jc w:val="center"/>
            </w:pPr>
            <w:r>
              <w:rPr>
                <w:rFonts w:hint="eastAsia"/>
              </w:rPr>
              <w:t>ΔE ≤3.0，保光率≥80%</w:t>
            </w:r>
          </w:p>
        </w:tc>
      </w:tr>
      <w:tr w14:paraId="14E97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pct"/>
            <w:vMerge w:val="continue"/>
            <w:tcBorders>
              <w:top w:val="nil"/>
              <w:left w:val="single" w:color="auto" w:sz="4" w:space="0"/>
              <w:bottom w:val="single" w:color="auto" w:sz="4" w:space="0"/>
              <w:right w:val="single" w:color="auto" w:sz="4" w:space="0"/>
            </w:tcBorders>
            <w:vAlign w:val="center"/>
          </w:tcPr>
          <w:p w14:paraId="4E4936E7">
            <w:pPr>
              <w:pStyle w:val="59"/>
              <w:ind w:firstLine="0" w:firstLineChars="0"/>
              <w:jc w:val="center"/>
            </w:pPr>
          </w:p>
        </w:tc>
        <w:tc>
          <w:tcPr>
            <w:tcW w:w="1453" w:type="pct"/>
            <w:gridSpan w:val="2"/>
            <w:tcBorders>
              <w:top w:val="single" w:color="auto" w:sz="4" w:space="0"/>
              <w:left w:val="single" w:color="auto" w:sz="4" w:space="0"/>
              <w:bottom w:val="single" w:color="auto" w:sz="4" w:space="0"/>
              <w:right w:val="single" w:color="auto" w:sz="4" w:space="0"/>
            </w:tcBorders>
            <w:vAlign w:val="center"/>
          </w:tcPr>
          <w:p w14:paraId="69CC2B56">
            <w:pPr>
              <w:pStyle w:val="59"/>
              <w:ind w:firstLine="0" w:firstLineChars="0"/>
              <w:jc w:val="center"/>
            </w:pPr>
            <w:r>
              <w:rPr>
                <w:rFonts w:hint="eastAsia"/>
              </w:rPr>
              <w:t>其他色</w:t>
            </w:r>
          </w:p>
        </w:tc>
        <w:tc>
          <w:tcPr>
            <w:tcW w:w="2525" w:type="pct"/>
            <w:tcBorders>
              <w:top w:val="single" w:color="auto" w:sz="4" w:space="0"/>
              <w:left w:val="single" w:color="auto" w:sz="4" w:space="0"/>
              <w:bottom w:val="single" w:color="auto" w:sz="4" w:space="0"/>
              <w:right w:val="single" w:color="auto" w:sz="4" w:space="0"/>
            </w:tcBorders>
            <w:vAlign w:val="center"/>
          </w:tcPr>
          <w:p w14:paraId="58A75FE7">
            <w:pPr>
              <w:pStyle w:val="59"/>
              <w:ind w:firstLine="0" w:firstLineChars="0"/>
              <w:jc w:val="center"/>
            </w:pPr>
            <w:r>
              <w:rPr>
                <w:rFonts w:hint="eastAsia"/>
              </w:rPr>
              <w:t>不起泡、不脱落、不开裂，不粉化，</w:t>
            </w:r>
          </w:p>
          <w:p w14:paraId="2816FCB5">
            <w:pPr>
              <w:pStyle w:val="59"/>
              <w:ind w:firstLine="0" w:firstLineChars="0"/>
              <w:jc w:val="center"/>
            </w:pPr>
            <w:r>
              <w:rPr>
                <w:rFonts w:hint="eastAsia"/>
              </w:rPr>
              <w:t>ΔE ≤6.0或商定，保光率≥50%</w:t>
            </w:r>
          </w:p>
        </w:tc>
      </w:tr>
    </w:tbl>
    <w:p w14:paraId="5AE56A5A">
      <w:pPr>
        <w:pStyle w:val="59"/>
        <w:ind w:firstLine="420"/>
      </w:pPr>
    </w:p>
    <w:p w14:paraId="2E2DD6AA">
      <w:pPr>
        <w:pStyle w:val="80"/>
        <w:spacing w:before="120" w:after="120"/>
      </w:pPr>
      <w:r>
        <w:rPr>
          <w:rFonts w:hint="eastAsia"/>
        </w:rPr>
        <w:t>聚氨酯涂料技术要求</w:t>
      </w:r>
    </w:p>
    <w:tbl>
      <w:tblPr>
        <w:tblStyle w:val="28"/>
        <w:tblW w:w="5000" w:type="pct"/>
        <w:jc w:val="center"/>
        <w:tblLayout w:type="autofit"/>
        <w:tblCellMar>
          <w:top w:w="15" w:type="dxa"/>
          <w:left w:w="15" w:type="dxa"/>
          <w:bottom w:w="15" w:type="dxa"/>
          <w:right w:w="15" w:type="dxa"/>
        </w:tblCellMar>
      </w:tblPr>
      <w:tblGrid>
        <w:gridCol w:w="2239"/>
        <w:gridCol w:w="2066"/>
        <w:gridCol w:w="5079"/>
      </w:tblGrid>
      <w:tr w14:paraId="20B4A936">
        <w:tblPrEx>
          <w:tblCellMar>
            <w:top w:w="15" w:type="dxa"/>
            <w:left w:w="15" w:type="dxa"/>
            <w:bottom w:w="15" w:type="dxa"/>
            <w:right w:w="15" w:type="dxa"/>
          </w:tblCellMar>
        </w:tblPrEx>
        <w:trPr>
          <w:trHeight w:val="426" w:hRule="atLeast"/>
          <w:jc w:val="center"/>
        </w:trPr>
        <w:tc>
          <w:tcPr>
            <w:tcW w:w="2294" w:type="pct"/>
            <w:gridSpan w:val="2"/>
            <w:tcBorders>
              <w:top w:val="single" w:color="auto" w:sz="4" w:space="0"/>
              <w:left w:val="single" w:color="auto" w:sz="4" w:space="0"/>
              <w:bottom w:val="single" w:color="auto" w:sz="4" w:space="0"/>
              <w:right w:val="single" w:color="auto" w:sz="4" w:space="0"/>
            </w:tcBorders>
            <w:noWrap/>
            <w:vAlign w:val="center"/>
          </w:tcPr>
          <w:p w14:paraId="2F90F4AD">
            <w:pPr>
              <w:pStyle w:val="59"/>
              <w:ind w:firstLine="0" w:firstLineChars="0"/>
              <w:jc w:val="center"/>
            </w:pPr>
            <w:r>
              <w:rPr>
                <w:rFonts w:hint="eastAsia"/>
              </w:rPr>
              <w:t>项目</w:t>
            </w:r>
          </w:p>
        </w:tc>
        <w:tc>
          <w:tcPr>
            <w:tcW w:w="2706" w:type="pct"/>
            <w:tcBorders>
              <w:top w:val="single" w:color="auto" w:sz="4" w:space="0"/>
              <w:left w:val="nil"/>
              <w:bottom w:val="nil"/>
              <w:right w:val="single" w:color="auto" w:sz="4" w:space="0"/>
            </w:tcBorders>
            <w:noWrap/>
            <w:vAlign w:val="center"/>
          </w:tcPr>
          <w:p w14:paraId="67075E2C">
            <w:pPr>
              <w:pStyle w:val="59"/>
              <w:ind w:firstLine="0" w:firstLineChars="0"/>
              <w:jc w:val="center"/>
            </w:pPr>
            <w:r>
              <w:rPr>
                <w:rFonts w:hint="eastAsia"/>
              </w:rPr>
              <w:t>指标</w:t>
            </w:r>
          </w:p>
        </w:tc>
      </w:tr>
      <w:tr w14:paraId="1462B9C4">
        <w:tblPrEx>
          <w:tblCellMar>
            <w:top w:w="15" w:type="dxa"/>
            <w:left w:w="15" w:type="dxa"/>
            <w:bottom w:w="15" w:type="dxa"/>
            <w:right w:w="15" w:type="dxa"/>
          </w:tblCellMar>
        </w:tblPrEx>
        <w:trPr>
          <w:trHeight w:val="308" w:hRule="atLeast"/>
          <w:jc w:val="center"/>
        </w:trPr>
        <w:tc>
          <w:tcPr>
            <w:tcW w:w="2294" w:type="pct"/>
            <w:gridSpan w:val="2"/>
            <w:tcBorders>
              <w:top w:val="single" w:color="auto" w:sz="4" w:space="0"/>
              <w:left w:val="single" w:color="auto" w:sz="4" w:space="0"/>
              <w:bottom w:val="single" w:color="auto" w:sz="4" w:space="0"/>
              <w:right w:val="single" w:color="auto" w:sz="4" w:space="0"/>
            </w:tcBorders>
            <w:noWrap/>
            <w:vAlign w:val="center"/>
          </w:tcPr>
          <w:p w14:paraId="4DCC2D52">
            <w:pPr>
              <w:pStyle w:val="59"/>
              <w:ind w:firstLine="0" w:firstLineChars="0"/>
              <w:jc w:val="center"/>
            </w:pPr>
            <w:r>
              <w:rPr>
                <w:rFonts w:hint="eastAsia"/>
              </w:rPr>
              <w:t>在容器中状态</w:t>
            </w:r>
          </w:p>
        </w:tc>
        <w:tc>
          <w:tcPr>
            <w:tcW w:w="2706" w:type="pct"/>
            <w:tcBorders>
              <w:top w:val="single" w:color="auto" w:sz="4" w:space="0"/>
              <w:left w:val="nil"/>
              <w:bottom w:val="single" w:color="auto" w:sz="4" w:space="0"/>
              <w:right w:val="single" w:color="auto" w:sz="4" w:space="0"/>
            </w:tcBorders>
            <w:noWrap/>
            <w:vAlign w:val="center"/>
          </w:tcPr>
          <w:p w14:paraId="2CF37F2D">
            <w:pPr>
              <w:pStyle w:val="59"/>
              <w:ind w:firstLine="0" w:firstLineChars="0"/>
              <w:jc w:val="center"/>
            </w:pPr>
            <w:r>
              <w:rPr>
                <w:rFonts w:hint="eastAsia"/>
              </w:rPr>
              <w:t>搅拌后均匀无硬块</w:t>
            </w:r>
          </w:p>
        </w:tc>
      </w:tr>
      <w:tr w14:paraId="7E4F74DF">
        <w:tblPrEx>
          <w:tblCellMar>
            <w:top w:w="15" w:type="dxa"/>
            <w:left w:w="15" w:type="dxa"/>
            <w:bottom w:w="15" w:type="dxa"/>
            <w:right w:w="15" w:type="dxa"/>
          </w:tblCellMar>
        </w:tblPrEx>
        <w:trPr>
          <w:trHeight w:val="308" w:hRule="atLeast"/>
          <w:jc w:val="center"/>
        </w:trPr>
        <w:tc>
          <w:tcPr>
            <w:tcW w:w="1193" w:type="pct"/>
            <w:vMerge w:val="restart"/>
            <w:tcBorders>
              <w:top w:val="nil"/>
              <w:left w:val="single" w:color="auto" w:sz="4" w:space="0"/>
              <w:bottom w:val="single" w:color="auto" w:sz="4" w:space="0"/>
              <w:right w:val="single" w:color="auto" w:sz="4" w:space="0"/>
            </w:tcBorders>
            <w:noWrap/>
            <w:vAlign w:val="center"/>
          </w:tcPr>
          <w:p w14:paraId="2A7D5491">
            <w:pPr>
              <w:pStyle w:val="59"/>
              <w:ind w:firstLine="0" w:firstLineChars="0"/>
              <w:jc w:val="center"/>
            </w:pPr>
            <w:r>
              <w:rPr>
                <w:rFonts w:hint="eastAsia"/>
              </w:rPr>
              <w:t>不挥发物含量/%</w:t>
            </w:r>
          </w:p>
        </w:tc>
        <w:tc>
          <w:tcPr>
            <w:tcW w:w="1101" w:type="pct"/>
            <w:tcBorders>
              <w:top w:val="single" w:color="auto" w:sz="4" w:space="0"/>
              <w:left w:val="nil"/>
              <w:bottom w:val="single" w:color="auto" w:sz="4" w:space="0"/>
              <w:right w:val="single" w:color="auto" w:sz="4" w:space="0"/>
            </w:tcBorders>
            <w:noWrap/>
            <w:vAlign w:val="center"/>
          </w:tcPr>
          <w:p w14:paraId="252219A4">
            <w:pPr>
              <w:pStyle w:val="59"/>
              <w:ind w:firstLine="0" w:firstLineChars="0"/>
              <w:jc w:val="center"/>
            </w:pPr>
            <w:r>
              <w:rPr>
                <w:rFonts w:hint="eastAsia"/>
              </w:rPr>
              <w:t>白色和浅色</w:t>
            </w:r>
          </w:p>
        </w:tc>
        <w:tc>
          <w:tcPr>
            <w:tcW w:w="2706" w:type="pct"/>
            <w:tcBorders>
              <w:top w:val="single" w:color="auto" w:sz="4" w:space="0"/>
              <w:left w:val="nil"/>
              <w:bottom w:val="single" w:color="auto" w:sz="4" w:space="0"/>
              <w:right w:val="single" w:color="auto" w:sz="4" w:space="0"/>
            </w:tcBorders>
            <w:noWrap/>
            <w:vAlign w:val="center"/>
          </w:tcPr>
          <w:p w14:paraId="283E6FB0">
            <w:pPr>
              <w:pStyle w:val="59"/>
              <w:ind w:firstLine="0" w:firstLineChars="0"/>
              <w:jc w:val="center"/>
            </w:pPr>
            <w:r>
              <w:rPr>
                <w:rFonts w:hint="eastAsia"/>
              </w:rPr>
              <w:t>≥50</w:t>
            </w:r>
          </w:p>
        </w:tc>
      </w:tr>
      <w:tr w14:paraId="11245959">
        <w:tblPrEx>
          <w:tblCellMar>
            <w:top w:w="15" w:type="dxa"/>
            <w:left w:w="15" w:type="dxa"/>
            <w:bottom w:w="15" w:type="dxa"/>
            <w:right w:w="15" w:type="dxa"/>
          </w:tblCellMar>
        </w:tblPrEx>
        <w:trPr>
          <w:trHeight w:val="308" w:hRule="atLeast"/>
          <w:jc w:val="center"/>
        </w:trPr>
        <w:tc>
          <w:tcPr>
            <w:tcW w:w="1193" w:type="pct"/>
            <w:vMerge w:val="continue"/>
            <w:tcBorders>
              <w:top w:val="nil"/>
              <w:left w:val="single" w:color="auto" w:sz="4" w:space="0"/>
              <w:bottom w:val="single" w:color="auto" w:sz="4" w:space="0"/>
              <w:right w:val="single" w:color="auto" w:sz="4" w:space="0"/>
            </w:tcBorders>
            <w:vAlign w:val="center"/>
          </w:tcPr>
          <w:p w14:paraId="49438938">
            <w:pPr>
              <w:pStyle w:val="59"/>
              <w:ind w:firstLine="0" w:firstLineChars="0"/>
              <w:jc w:val="center"/>
            </w:pPr>
          </w:p>
        </w:tc>
        <w:tc>
          <w:tcPr>
            <w:tcW w:w="1101" w:type="pct"/>
            <w:tcBorders>
              <w:top w:val="single" w:color="auto" w:sz="4" w:space="0"/>
              <w:left w:val="nil"/>
              <w:bottom w:val="single" w:color="auto" w:sz="4" w:space="0"/>
              <w:right w:val="single" w:color="auto" w:sz="4" w:space="0"/>
            </w:tcBorders>
            <w:noWrap/>
            <w:vAlign w:val="center"/>
          </w:tcPr>
          <w:p w14:paraId="3EF40D13">
            <w:pPr>
              <w:pStyle w:val="59"/>
              <w:ind w:firstLine="0" w:firstLineChars="0"/>
              <w:jc w:val="center"/>
            </w:pPr>
            <w:r>
              <w:rPr>
                <w:rFonts w:hint="eastAsia"/>
              </w:rPr>
              <w:t>清漆和其他色</w:t>
            </w:r>
          </w:p>
        </w:tc>
        <w:tc>
          <w:tcPr>
            <w:tcW w:w="2706" w:type="pct"/>
            <w:tcBorders>
              <w:top w:val="single" w:color="auto" w:sz="4" w:space="0"/>
              <w:left w:val="nil"/>
              <w:bottom w:val="single" w:color="auto" w:sz="4" w:space="0"/>
              <w:right w:val="single" w:color="auto" w:sz="4" w:space="0"/>
            </w:tcBorders>
            <w:noWrap/>
            <w:vAlign w:val="center"/>
          </w:tcPr>
          <w:p w14:paraId="33A662AD">
            <w:pPr>
              <w:pStyle w:val="59"/>
              <w:ind w:firstLine="0" w:firstLineChars="0"/>
              <w:jc w:val="center"/>
            </w:pPr>
            <w:r>
              <w:rPr>
                <w:rFonts w:hint="eastAsia"/>
              </w:rPr>
              <w:t>≥40</w:t>
            </w:r>
          </w:p>
        </w:tc>
      </w:tr>
      <w:tr w14:paraId="265B9C3A">
        <w:tblPrEx>
          <w:tblCellMar>
            <w:top w:w="15" w:type="dxa"/>
            <w:left w:w="15" w:type="dxa"/>
            <w:bottom w:w="15" w:type="dxa"/>
            <w:right w:w="15" w:type="dxa"/>
          </w:tblCellMar>
        </w:tblPrEx>
        <w:trPr>
          <w:trHeight w:val="308" w:hRule="atLeast"/>
          <w:jc w:val="center"/>
        </w:trPr>
        <w:tc>
          <w:tcPr>
            <w:tcW w:w="1193" w:type="pct"/>
            <w:vMerge w:val="restart"/>
            <w:tcBorders>
              <w:top w:val="nil"/>
              <w:left w:val="single" w:color="auto" w:sz="4" w:space="0"/>
              <w:bottom w:val="single" w:color="auto" w:sz="4" w:space="0"/>
              <w:right w:val="single" w:color="auto" w:sz="4" w:space="0"/>
            </w:tcBorders>
            <w:noWrap/>
            <w:vAlign w:val="center"/>
          </w:tcPr>
          <w:p w14:paraId="3A845E49">
            <w:pPr>
              <w:pStyle w:val="59"/>
              <w:ind w:firstLine="0" w:firstLineChars="0"/>
              <w:jc w:val="center"/>
            </w:pPr>
            <w:r>
              <w:rPr>
                <w:rFonts w:hint="eastAsia"/>
              </w:rPr>
              <w:t>干燥时间/h</w:t>
            </w:r>
          </w:p>
        </w:tc>
        <w:tc>
          <w:tcPr>
            <w:tcW w:w="1101" w:type="pct"/>
            <w:tcBorders>
              <w:top w:val="single" w:color="auto" w:sz="4" w:space="0"/>
              <w:left w:val="nil"/>
              <w:bottom w:val="single" w:color="auto" w:sz="4" w:space="0"/>
              <w:right w:val="single" w:color="auto" w:sz="4" w:space="0"/>
            </w:tcBorders>
            <w:noWrap/>
            <w:vAlign w:val="center"/>
          </w:tcPr>
          <w:p w14:paraId="0321DDC8">
            <w:pPr>
              <w:pStyle w:val="59"/>
              <w:ind w:firstLine="0" w:firstLineChars="0"/>
              <w:jc w:val="center"/>
            </w:pPr>
            <w:r>
              <w:rPr>
                <w:rFonts w:hint="eastAsia"/>
              </w:rPr>
              <w:t>表干</w:t>
            </w:r>
          </w:p>
        </w:tc>
        <w:tc>
          <w:tcPr>
            <w:tcW w:w="2706" w:type="pct"/>
            <w:tcBorders>
              <w:top w:val="single" w:color="auto" w:sz="4" w:space="0"/>
              <w:left w:val="nil"/>
              <w:bottom w:val="single" w:color="auto" w:sz="4" w:space="0"/>
              <w:right w:val="single" w:color="auto" w:sz="4" w:space="0"/>
            </w:tcBorders>
            <w:noWrap/>
            <w:vAlign w:val="center"/>
          </w:tcPr>
          <w:p w14:paraId="4545EB2B">
            <w:pPr>
              <w:pStyle w:val="59"/>
              <w:ind w:firstLine="0" w:firstLineChars="0"/>
              <w:jc w:val="center"/>
            </w:pPr>
            <w:r>
              <w:rPr>
                <w:rFonts w:hint="eastAsia"/>
              </w:rPr>
              <w:t>≤2</w:t>
            </w:r>
          </w:p>
        </w:tc>
      </w:tr>
      <w:tr w14:paraId="75A4492C">
        <w:tblPrEx>
          <w:tblCellMar>
            <w:top w:w="15" w:type="dxa"/>
            <w:left w:w="15" w:type="dxa"/>
            <w:bottom w:w="15" w:type="dxa"/>
            <w:right w:w="15" w:type="dxa"/>
          </w:tblCellMar>
        </w:tblPrEx>
        <w:trPr>
          <w:trHeight w:val="308" w:hRule="atLeast"/>
          <w:jc w:val="center"/>
        </w:trPr>
        <w:tc>
          <w:tcPr>
            <w:tcW w:w="1193" w:type="pct"/>
            <w:vMerge w:val="continue"/>
            <w:tcBorders>
              <w:top w:val="nil"/>
              <w:left w:val="single" w:color="auto" w:sz="4" w:space="0"/>
              <w:bottom w:val="single" w:color="auto" w:sz="4" w:space="0"/>
              <w:right w:val="single" w:color="auto" w:sz="4" w:space="0"/>
            </w:tcBorders>
            <w:vAlign w:val="center"/>
          </w:tcPr>
          <w:p w14:paraId="2385321E">
            <w:pPr>
              <w:pStyle w:val="59"/>
              <w:ind w:firstLine="0" w:firstLineChars="0"/>
              <w:jc w:val="center"/>
            </w:pPr>
          </w:p>
        </w:tc>
        <w:tc>
          <w:tcPr>
            <w:tcW w:w="1101" w:type="pct"/>
            <w:tcBorders>
              <w:top w:val="single" w:color="auto" w:sz="4" w:space="0"/>
              <w:left w:val="nil"/>
              <w:bottom w:val="single" w:color="auto" w:sz="4" w:space="0"/>
              <w:right w:val="single" w:color="auto" w:sz="4" w:space="0"/>
            </w:tcBorders>
            <w:noWrap/>
            <w:vAlign w:val="center"/>
          </w:tcPr>
          <w:p w14:paraId="47E06298">
            <w:pPr>
              <w:pStyle w:val="59"/>
              <w:ind w:firstLine="0" w:firstLineChars="0"/>
              <w:jc w:val="center"/>
            </w:pPr>
            <w:r>
              <w:rPr>
                <w:rFonts w:hint="eastAsia"/>
              </w:rPr>
              <w:t>实干</w:t>
            </w:r>
          </w:p>
        </w:tc>
        <w:tc>
          <w:tcPr>
            <w:tcW w:w="2706" w:type="pct"/>
            <w:tcBorders>
              <w:top w:val="single" w:color="auto" w:sz="4" w:space="0"/>
              <w:left w:val="nil"/>
              <w:bottom w:val="single" w:color="auto" w:sz="4" w:space="0"/>
              <w:right w:val="single" w:color="auto" w:sz="4" w:space="0"/>
            </w:tcBorders>
            <w:noWrap/>
            <w:vAlign w:val="center"/>
          </w:tcPr>
          <w:p w14:paraId="063335D1">
            <w:pPr>
              <w:pStyle w:val="59"/>
              <w:ind w:firstLine="0" w:firstLineChars="0"/>
              <w:jc w:val="center"/>
            </w:pPr>
            <w:r>
              <w:rPr>
                <w:rFonts w:hint="eastAsia"/>
              </w:rPr>
              <w:t>≤24</w:t>
            </w:r>
          </w:p>
        </w:tc>
      </w:tr>
      <w:tr w14:paraId="4E528AFC">
        <w:tblPrEx>
          <w:tblCellMar>
            <w:top w:w="15" w:type="dxa"/>
            <w:left w:w="15" w:type="dxa"/>
            <w:bottom w:w="15" w:type="dxa"/>
            <w:right w:w="15" w:type="dxa"/>
          </w:tblCellMar>
        </w:tblPrEx>
        <w:trPr>
          <w:trHeight w:val="308" w:hRule="atLeast"/>
          <w:jc w:val="center"/>
        </w:trPr>
        <w:tc>
          <w:tcPr>
            <w:tcW w:w="2294" w:type="pct"/>
            <w:gridSpan w:val="2"/>
            <w:tcBorders>
              <w:top w:val="single" w:color="auto" w:sz="4" w:space="0"/>
              <w:left w:val="single" w:color="auto" w:sz="4" w:space="0"/>
              <w:bottom w:val="single" w:color="auto" w:sz="4" w:space="0"/>
              <w:right w:val="single" w:color="auto" w:sz="4" w:space="0"/>
            </w:tcBorders>
            <w:noWrap/>
            <w:vAlign w:val="center"/>
          </w:tcPr>
          <w:p w14:paraId="3A980A4E">
            <w:pPr>
              <w:pStyle w:val="59"/>
              <w:ind w:firstLine="0" w:firstLineChars="0"/>
              <w:jc w:val="center"/>
            </w:pPr>
            <w:r>
              <w:rPr>
                <w:rFonts w:hint="eastAsia"/>
              </w:rPr>
              <w:t>涂膜外观</w:t>
            </w:r>
          </w:p>
        </w:tc>
        <w:tc>
          <w:tcPr>
            <w:tcW w:w="2706" w:type="pct"/>
            <w:tcBorders>
              <w:top w:val="single" w:color="auto" w:sz="4" w:space="0"/>
              <w:left w:val="nil"/>
              <w:bottom w:val="single" w:color="auto" w:sz="4" w:space="0"/>
              <w:right w:val="single" w:color="auto" w:sz="4" w:space="0"/>
            </w:tcBorders>
            <w:noWrap/>
            <w:vAlign w:val="center"/>
          </w:tcPr>
          <w:p w14:paraId="75D02CC5">
            <w:pPr>
              <w:pStyle w:val="59"/>
              <w:ind w:firstLine="0" w:firstLineChars="0"/>
              <w:jc w:val="center"/>
            </w:pPr>
            <w:r>
              <w:rPr>
                <w:rFonts w:hint="eastAsia"/>
              </w:rPr>
              <w:t>正常</w:t>
            </w:r>
          </w:p>
        </w:tc>
      </w:tr>
      <w:tr w14:paraId="76C2092B">
        <w:tblPrEx>
          <w:tblCellMar>
            <w:top w:w="15" w:type="dxa"/>
            <w:left w:w="15" w:type="dxa"/>
            <w:bottom w:w="15" w:type="dxa"/>
            <w:right w:w="15" w:type="dxa"/>
          </w:tblCellMar>
        </w:tblPrEx>
        <w:trPr>
          <w:trHeight w:val="308" w:hRule="atLeast"/>
          <w:jc w:val="center"/>
        </w:trPr>
        <w:tc>
          <w:tcPr>
            <w:tcW w:w="2294" w:type="pct"/>
            <w:gridSpan w:val="2"/>
            <w:tcBorders>
              <w:top w:val="single" w:color="auto" w:sz="4" w:space="0"/>
              <w:left w:val="single" w:color="auto" w:sz="4" w:space="0"/>
              <w:bottom w:val="single" w:color="auto" w:sz="4" w:space="0"/>
              <w:right w:val="single" w:color="auto" w:sz="4" w:space="0"/>
            </w:tcBorders>
            <w:noWrap/>
            <w:vAlign w:val="center"/>
          </w:tcPr>
          <w:p w14:paraId="4FAAC47B">
            <w:pPr>
              <w:pStyle w:val="59"/>
              <w:ind w:firstLine="0" w:firstLineChars="0"/>
              <w:jc w:val="center"/>
            </w:pPr>
            <w:r>
              <w:rPr>
                <w:rFonts w:hint="eastAsia"/>
              </w:rPr>
              <w:t>铅笔硬度(擦伤)</w:t>
            </w:r>
          </w:p>
        </w:tc>
        <w:tc>
          <w:tcPr>
            <w:tcW w:w="2706" w:type="pct"/>
            <w:tcBorders>
              <w:top w:val="single" w:color="auto" w:sz="4" w:space="0"/>
              <w:left w:val="nil"/>
              <w:bottom w:val="single" w:color="auto" w:sz="4" w:space="0"/>
              <w:right w:val="single" w:color="auto" w:sz="4" w:space="0"/>
            </w:tcBorders>
            <w:noWrap/>
            <w:vAlign w:val="center"/>
          </w:tcPr>
          <w:p w14:paraId="654081D7">
            <w:pPr>
              <w:pStyle w:val="59"/>
              <w:ind w:firstLine="0" w:firstLineChars="0"/>
              <w:jc w:val="center"/>
            </w:pPr>
            <w:r>
              <w:rPr>
                <w:rFonts w:hint="eastAsia"/>
              </w:rPr>
              <w:t>≥F</w:t>
            </w:r>
          </w:p>
        </w:tc>
      </w:tr>
      <w:tr w14:paraId="766F9D4B">
        <w:tblPrEx>
          <w:tblCellMar>
            <w:top w:w="15" w:type="dxa"/>
            <w:left w:w="15" w:type="dxa"/>
            <w:bottom w:w="15" w:type="dxa"/>
            <w:right w:w="15" w:type="dxa"/>
          </w:tblCellMar>
        </w:tblPrEx>
        <w:trPr>
          <w:trHeight w:val="308" w:hRule="atLeast"/>
          <w:jc w:val="center"/>
        </w:trPr>
        <w:tc>
          <w:tcPr>
            <w:tcW w:w="2294" w:type="pct"/>
            <w:gridSpan w:val="2"/>
            <w:tcBorders>
              <w:top w:val="single" w:color="auto" w:sz="4" w:space="0"/>
              <w:left w:val="single" w:color="auto" w:sz="4" w:space="0"/>
              <w:bottom w:val="single" w:color="auto" w:sz="4" w:space="0"/>
              <w:right w:val="single" w:color="auto" w:sz="4" w:space="0"/>
            </w:tcBorders>
            <w:noWrap/>
            <w:vAlign w:val="center"/>
          </w:tcPr>
          <w:p w14:paraId="0CE69E53">
            <w:pPr>
              <w:pStyle w:val="59"/>
              <w:ind w:firstLine="0" w:firstLineChars="0"/>
              <w:jc w:val="center"/>
            </w:pPr>
            <w:r>
              <w:rPr>
                <w:rFonts w:hint="eastAsia"/>
              </w:rPr>
              <w:t>耐冲击性/cm</w:t>
            </w:r>
          </w:p>
        </w:tc>
        <w:tc>
          <w:tcPr>
            <w:tcW w:w="2706" w:type="pct"/>
            <w:tcBorders>
              <w:top w:val="single" w:color="auto" w:sz="4" w:space="0"/>
              <w:left w:val="nil"/>
              <w:bottom w:val="single" w:color="auto" w:sz="4" w:space="0"/>
              <w:right w:val="single" w:color="auto" w:sz="4" w:space="0"/>
            </w:tcBorders>
            <w:noWrap/>
            <w:vAlign w:val="center"/>
          </w:tcPr>
          <w:p w14:paraId="0654989E">
            <w:pPr>
              <w:pStyle w:val="59"/>
              <w:ind w:firstLine="0" w:firstLineChars="0"/>
              <w:jc w:val="center"/>
            </w:pPr>
            <w:r>
              <w:rPr>
                <w:rFonts w:hint="eastAsia"/>
              </w:rPr>
              <w:t>50</w:t>
            </w:r>
          </w:p>
        </w:tc>
      </w:tr>
      <w:tr w14:paraId="190393D0">
        <w:tblPrEx>
          <w:tblCellMar>
            <w:top w:w="15" w:type="dxa"/>
            <w:left w:w="15" w:type="dxa"/>
            <w:bottom w:w="15" w:type="dxa"/>
            <w:right w:w="15" w:type="dxa"/>
          </w:tblCellMar>
        </w:tblPrEx>
        <w:trPr>
          <w:trHeight w:val="308" w:hRule="atLeast"/>
          <w:jc w:val="center"/>
        </w:trPr>
        <w:tc>
          <w:tcPr>
            <w:tcW w:w="2294" w:type="pct"/>
            <w:gridSpan w:val="2"/>
            <w:tcBorders>
              <w:top w:val="single" w:color="auto" w:sz="4" w:space="0"/>
              <w:left w:val="single" w:color="auto" w:sz="4" w:space="0"/>
              <w:bottom w:val="single" w:color="auto" w:sz="4" w:space="0"/>
              <w:right w:val="single" w:color="auto" w:sz="4" w:space="0"/>
            </w:tcBorders>
            <w:noWrap/>
            <w:vAlign w:val="center"/>
          </w:tcPr>
          <w:p w14:paraId="32F2336B">
            <w:pPr>
              <w:pStyle w:val="59"/>
              <w:ind w:firstLine="0" w:firstLineChars="0"/>
              <w:jc w:val="center"/>
            </w:pPr>
            <w:r>
              <w:rPr>
                <w:rFonts w:hint="eastAsia"/>
              </w:rPr>
              <w:t>弯曲试验/mm</w:t>
            </w:r>
          </w:p>
        </w:tc>
        <w:tc>
          <w:tcPr>
            <w:tcW w:w="2706" w:type="pct"/>
            <w:tcBorders>
              <w:top w:val="single" w:color="auto" w:sz="4" w:space="0"/>
              <w:left w:val="nil"/>
              <w:bottom w:val="single" w:color="auto" w:sz="4" w:space="0"/>
              <w:right w:val="single" w:color="auto" w:sz="4" w:space="0"/>
            </w:tcBorders>
            <w:noWrap/>
            <w:vAlign w:val="center"/>
          </w:tcPr>
          <w:p w14:paraId="10AB5C60">
            <w:pPr>
              <w:pStyle w:val="59"/>
              <w:ind w:firstLine="0" w:firstLineChars="0"/>
              <w:jc w:val="center"/>
            </w:pPr>
            <w:r>
              <w:rPr>
                <w:rFonts w:hint="eastAsia"/>
              </w:rPr>
              <w:t>≤2</w:t>
            </w:r>
          </w:p>
        </w:tc>
      </w:tr>
      <w:tr w14:paraId="39B8169A">
        <w:tblPrEx>
          <w:tblCellMar>
            <w:top w:w="15" w:type="dxa"/>
            <w:left w:w="15" w:type="dxa"/>
            <w:bottom w:w="15" w:type="dxa"/>
            <w:right w:w="15" w:type="dxa"/>
          </w:tblCellMar>
        </w:tblPrEx>
        <w:trPr>
          <w:trHeight w:val="308" w:hRule="atLeast"/>
          <w:jc w:val="center"/>
        </w:trPr>
        <w:tc>
          <w:tcPr>
            <w:tcW w:w="2294" w:type="pct"/>
            <w:gridSpan w:val="2"/>
            <w:tcBorders>
              <w:top w:val="single" w:color="auto" w:sz="4" w:space="0"/>
              <w:left w:val="single" w:color="auto" w:sz="4" w:space="0"/>
              <w:bottom w:val="single" w:color="auto" w:sz="4" w:space="0"/>
              <w:right w:val="single" w:color="auto" w:sz="4" w:space="0"/>
            </w:tcBorders>
            <w:noWrap/>
            <w:vAlign w:val="center"/>
          </w:tcPr>
          <w:p w14:paraId="394A4A3C">
            <w:pPr>
              <w:pStyle w:val="59"/>
              <w:ind w:firstLine="0" w:firstLineChars="0"/>
              <w:jc w:val="center"/>
            </w:pPr>
            <w:r>
              <w:rPr>
                <w:rFonts w:hint="eastAsia"/>
              </w:rPr>
              <w:t>划格试验/级</w:t>
            </w:r>
          </w:p>
        </w:tc>
        <w:tc>
          <w:tcPr>
            <w:tcW w:w="2706" w:type="pct"/>
            <w:tcBorders>
              <w:top w:val="single" w:color="auto" w:sz="4" w:space="0"/>
              <w:left w:val="nil"/>
              <w:bottom w:val="single" w:color="auto" w:sz="4" w:space="0"/>
              <w:right w:val="single" w:color="auto" w:sz="4" w:space="0"/>
            </w:tcBorders>
            <w:noWrap/>
            <w:vAlign w:val="center"/>
          </w:tcPr>
          <w:p w14:paraId="720EB80F">
            <w:pPr>
              <w:pStyle w:val="59"/>
              <w:ind w:firstLine="0" w:firstLineChars="0"/>
              <w:jc w:val="center"/>
            </w:pPr>
            <w:r>
              <w:rPr>
                <w:rFonts w:hint="eastAsia"/>
              </w:rPr>
              <w:t>≤1</w:t>
            </w:r>
          </w:p>
        </w:tc>
      </w:tr>
      <w:tr w14:paraId="5BFF30EA">
        <w:tblPrEx>
          <w:tblCellMar>
            <w:top w:w="15" w:type="dxa"/>
            <w:left w:w="15" w:type="dxa"/>
            <w:bottom w:w="15" w:type="dxa"/>
            <w:right w:w="15" w:type="dxa"/>
          </w:tblCellMar>
        </w:tblPrEx>
        <w:trPr>
          <w:trHeight w:val="308" w:hRule="atLeast"/>
          <w:jc w:val="center"/>
        </w:trPr>
        <w:tc>
          <w:tcPr>
            <w:tcW w:w="2294" w:type="pct"/>
            <w:gridSpan w:val="2"/>
            <w:tcBorders>
              <w:top w:val="single" w:color="auto" w:sz="4" w:space="0"/>
              <w:left w:val="single" w:color="auto" w:sz="4" w:space="0"/>
              <w:bottom w:val="single" w:color="auto" w:sz="4" w:space="0"/>
              <w:right w:val="single" w:color="auto" w:sz="4" w:space="0"/>
            </w:tcBorders>
            <w:noWrap/>
            <w:vAlign w:val="center"/>
          </w:tcPr>
          <w:p w14:paraId="6647F539">
            <w:pPr>
              <w:pStyle w:val="59"/>
              <w:ind w:firstLine="0" w:firstLineChars="0"/>
              <w:jc w:val="center"/>
            </w:pPr>
            <w:r>
              <w:rPr>
                <w:rFonts w:hint="eastAsia"/>
              </w:rPr>
              <w:t>附着力(拉开法)/MPa</w:t>
            </w:r>
          </w:p>
        </w:tc>
        <w:tc>
          <w:tcPr>
            <w:tcW w:w="2706" w:type="pct"/>
            <w:tcBorders>
              <w:top w:val="single" w:color="auto" w:sz="4" w:space="0"/>
              <w:left w:val="nil"/>
              <w:bottom w:val="single" w:color="auto" w:sz="4" w:space="0"/>
              <w:right w:val="single" w:color="auto" w:sz="4" w:space="0"/>
            </w:tcBorders>
            <w:noWrap/>
            <w:vAlign w:val="center"/>
          </w:tcPr>
          <w:p w14:paraId="71977F65">
            <w:pPr>
              <w:pStyle w:val="59"/>
              <w:ind w:firstLine="0" w:firstLineChars="0"/>
              <w:jc w:val="center"/>
            </w:pPr>
            <w:r>
              <w:rPr>
                <w:rFonts w:hint="eastAsia"/>
              </w:rPr>
              <w:t>≥4</w:t>
            </w:r>
          </w:p>
        </w:tc>
      </w:tr>
      <w:tr w14:paraId="3B523231">
        <w:tblPrEx>
          <w:tblCellMar>
            <w:top w:w="15" w:type="dxa"/>
            <w:left w:w="15" w:type="dxa"/>
            <w:bottom w:w="15" w:type="dxa"/>
            <w:right w:w="15" w:type="dxa"/>
          </w:tblCellMar>
        </w:tblPrEx>
        <w:trPr>
          <w:trHeight w:val="308" w:hRule="atLeast"/>
          <w:jc w:val="center"/>
        </w:trPr>
        <w:tc>
          <w:tcPr>
            <w:tcW w:w="2294" w:type="pct"/>
            <w:gridSpan w:val="2"/>
            <w:tcBorders>
              <w:top w:val="single" w:color="auto" w:sz="4" w:space="0"/>
              <w:left w:val="single" w:color="auto" w:sz="4" w:space="0"/>
              <w:bottom w:val="single" w:color="auto" w:sz="4" w:space="0"/>
              <w:right w:val="single" w:color="auto" w:sz="4" w:space="0"/>
            </w:tcBorders>
            <w:noWrap/>
            <w:vAlign w:val="center"/>
          </w:tcPr>
          <w:p w14:paraId="68045826">
            <w:pPr>
              <w:pStyle w:val="59"/>
              <w:ind w:firstLine="0" w:firstLineChars="0"/>
              <w:jc w:val="center"/>
            </w:pPr>
            <w:r>
              <w:rPr>
                <w:rFonts w:hint="eastAsia"/>
              </w:rPr>
              <w:t>耐酸性(50 g/L H</w:t>
            </w:r>
            <w:r>
              <w:rPr>
                <w:rFonts w:hint="eastAsia"/>
                <w:vertAlign w:val="subscript"/>
              </w:rPr>
              <w:t>2</w:t>
            </w:r>
            <w:r>
              <w:rPr>
                <w:rFonts w:hint="eastAsia"/>
              </w:rPr>
              <w:t>SO</w:t>
            </w:r>
            <w:r>
              <w:rPr>
                <w:rFonts w:hint="eastAsia"/>
                <w:vertAlign w:val="subscript"/>
              </w:rPr>
              <w:t>4</w:t>
            </w:r>
            <w:r>
              <w:rPr>
                <w:rFonts w:hint="eastAsia"/>
              </w:rPr>
              <w:t>)</w:t>
            </w:r>
          </w:p>
        </w:tc>
        <w:tc>
          <w:tcPr>
            <w:tcW w:w="2706" w:type="pct"/>
            <w:tcBorders>
              <w:top w:val="single" w:color="auto" w:sz="4" w:space="0"/>
              <w:left w:val="nil"/>
              <w:bottom w:val="single" w:color="auto" w:sz="4" w:space="0"/>
              <w:right w:val="single" w:color="auto" w:sz="4" w:space="0"/>
            </w:tcBorders>
            <w:noWrap/>
            <w:vAlign w:val="center"/>
          </w:tcPr>
          <w:p w14:paraId="09B68D2A">
            <w:pPr>
              <w:pStyle w:val="59"/>
              <w:ind w:firstLine="0" w:firstLineChars="0"/>
              <w:jc w:val="center"/>
            </w:pPr>
            <w:r>
              <w:rPr>
                <w:rFonts w:hint="eastAsia"/>
              </w:rPr>
              <w:t>168h无异常</w:t>
            </w:r>
          </w:p>
        </w:tc>
      </w:tr>
      <w:tr w14:paraId="06380345">
        <w:tblPrEx>
          <w:tblCellMar>
            <w:top w:w="15" w:type="dxa"/>
            <w:left w:w="15" w:type="dxa"/>
            <w:bottom w:w="15" w:type="dxa"/>
            <w:right w:w="15" w:type="dxa"/>
          </w:tblCellMar>
        </w:tblPrEx>
        <w:trPr>
          <w:trHeight w:val="308" w:hRule="atLeast"/>
          <w:jc w:val="center"/>
        </w:trPr>
        <w:tc>
          <w:tcPr>
            <w:tcW w:w="2294" w:type="pct"/>
            <w:gridSpan w:val="2"/>
            <w:tcBorders>
              <w:top w:val="single" w:color="auto" w:sz="4" w:space="0"/>
              <w:left w:val="single" w:color="auto" w:sz="4" w:space="0"/>
              <w:bottom w:val="single" w:color="auto" w:sz="4" w:space="0"/>
              <w:right w:val="single" w:color="auto" w:sz="4" w:space="0"/>
            </w:tcBorders>
            <w:noWrap/>
            <w:vAlign w:val="center"/>
          </w:tcPr>
          <w:p w14:paraId="5B5C428A">
            <w:pPr>
              <w:pStyle w:val="59"/>
              <w:ind w:firstLine="0" w:firstLineChars="0"/>
              <w:jc w:val="center"/>
            </w:pPr>
            <w:r>
              <w:rPr>
                <w:rFonts w:hint="eastAsia"/>
              </w:rPr>
              <w:t>耐碱性(20 g/L NaOH)</w:t>
            </w:r>
          </w:p>
        </w:tc>
        <w:tc>
          <w:tcPr>
            <w:tcW w:w="2706" w:type="pct"/>
            <w:tcBorders>
              <w:top w:val="single" w:color="auto" w:sz="4" w:space="0"/>
              <w:left w:val="nil"/>
              <w:bottom w:val="single" w:color="auto" w:sz="4" w:space="0"/>
              <w:right w:val="single" w:color="auto" w:sz="4" w:space="0"/>
            </w:tcBorders>
            <w:noWrap/>
            <w:vAlign w:val="center"/>
          </w:tcPr>
          <w:p w14:paraId="7D717F92">
            <w:pPr>
              <w:pStyle w:val="59"/>
              <w:ind w:firstLine="0" w:firstLineChars="0"/>
              <w:jc w:val="center"/>
            </w:pPr>
            <w:r>
              <w:rPr>
                <w:rFonts w:hint="eastAsia"/>
              </w:rPr>
              <w:t>168h无异常</w:t>
            </w:r>
          </w:p>
        </w:tc>
      </w:tr>
      <w:tr w14:paraId="515C81F5">
        <w:tblPrEx>
          <w:tblCellMar>
            <w:top w:w="15" w:type="dxa"/>
            <w:left w:w="15" w:type="dxa"/>
            <w:bottom w:w="15" w:type="dxa"/>
            <w:right w:w="15" w:type="dxa"/>
          </w:tblCellMar>
        </w:tblPrEx>
        <w:trPr>
          <w:trHeight w:val="308" w:hRule="atLeast"/>
          <w:jc w:val="center"/>
        </w:trPr>
        <w:tc>
          <w:tcPr>
            <w:tcW w:w="2294" w:type="pct"/>
            <w:gridSpan w:val="2"/>
            <w:tcBorders>
              <w:top w:val="single" w:color="auto" w:sz="4" w:space="0"/>
              <w:left w:val="single" w:color="auto" w:sz="4" w:space="0"/>
              <w:bottom w:val="single" w:color="auto" w:sz="4" w:space="0"/>
              <w:right w:val="single" w:color="auto" w:sz="4" w:space="0"/>
            </w:tcBorders>
            <w:noWrap/>
            <w:vAlign w:val="center"/>
          </w:tcPr>
          <w:p w14:paraId="2DE23207">
            <w:pPr>
              <w:pStyle w:val="59"/>
              <w:ind w:firstLine="0" w:firstLineChars="0"/>
              <w:jc w:val="center"/>
            </w:pPr>
            <w:r>
              <w:rPr>
                <w:rFonts w:hint="eastAsia"/>
              </w:rPr>
              <w:t>耐盐雾性</w:t>
            </w:r>
          </w:p>
        </w:tc>
        <w:tc>
          <w:tcPr>
            <w:tcW w:w="2706" w:type="pct"/>
            <w:tcBorders>
              <w:top w:val="single" w:color="auto" w:sz="4" w:space="0"/>
              <w:left w:val="nil"/>
              <w:bottom w:val="single" w:color="auto" w:sz="4" w:space="0"/>
              <w:right w:val="single" w:color="auto" w:sz="4" w:space="0"/>
            </w:tcBorders>
            <w:noWrap/>
            <w:vAlign w:val="center"/>
          </w:tcPr>
          <w:p w14:paraId="59A606B7">
            <w:pPr>
              <w:pStyle w:val="59"/>
              <w:ind w:firstLine="0" w:firstLineChars="0"/>
              <w:jc w:val="center"/>
            </w:pPr>
            <w:r>
              <w:rPr>
                <w:rFonts w:hint="eastAsia"/>
              </w:rPr>
              <w:t>1000h不起泡、不生锈、不脱落</w:t>
            </w:r>
          </w:p>
        </w:tc>
      </w:tr>
      <w:tr w14:paraId="6FCF6DE3">
        <w:tblPrEx>
          <w:tblCellMar>
            <w:top w:w="15" w:type="dxa"/>
            <w:left w:w="15" w:type="dxa"/>
            <w:bottom w:w="15" w:type="dxa"/>
            <w:right w:w="15" w:type="dxa"/>
          </w:tblCellMar>
        </w:tblPrEx>
        <w:trPr>
          <w:trHeight w:val="308" w:hRule="atLeast"/>
          <w:jc w:val="center"/>
        </w:trPr>
        <w:tc>
          <w:tcPr>
            <w:tcW w:w="1193" w:type="pct"/>
            <w:vMerge w:val="restart"/>
            <w:tcBorders>
              <w:top w:val="nil"/>
              <w:left w:val="single" w:color="auto" w:sz="4" w:space="0"/>
              <w:bottom w:val="single" w:color="auto" w:sz="4" w:space="0"/>
              <w:right w:val="single" w:color="auto" w:sz="4" w:space="0"/>
            </w:tcBorders>
            <w:noWrap/>
            <w:vAlign w:val="center"/>
          </w:tcPr>
          <w:p w14:paraId="64F267EC">
            <w:pPr>
              <w:pStyle w:val="59"/>
              <w:ind w:firstLine="0" w:firstLineChars="0"/>
              <w:jc w:val="center"/>
            </w:pPr>
            <w:r>
              <w:rPr>
                <w:rFonts w:hint="eastAsia"/>
              </w:rPr>
              <w:t>耐人工气候老化性</w:t>
            </w:r>
          </w:p>
        </w:tc>
        <w:tc>
          <w:tcPr>
            <w:tcW w:w="1101" w:type="pct"/>
            <w:tcBorders>
              <w:top w:val="single" w:color="auto" w:sz="4" w:space="0"/>
              <w:left w:val="nil"/>
              <w:bottom w:val="single" w:color="auto" w:sz="4" w:space="0"/>
              <w:right w:val="single" w:color="auto" w:sz="4" w:space="0"/>
            </w:tcBorders>
            <w:noWrap/>
            <w:vAlign w:val="center"/>
          </w:tcPr>
          <w:p w14:paraId="4289B35C">
            <w:pPr>
              <w:pStyle w:val="59"/>
              <w:ind w:firstLine="0" w:firstLineChars="0"/>
              <w:jc w:val="center"/>
            </w:pPr>
            <w:r>
              <w:rPr>
                <w:rFonts w:hint="eastAsia"/>
              </w:rPr>
              <w:t>白色和浅色</w:t>
            </w:r>
          </w:p>
        </w:tc>
        <w:tc>
          <w:tcPr>
            <w:tcW w:w="2706" w:type="pct"/>
            <w:tcBorders>
              <w:top w:val="single" w:color="auto" w:sz="4" w:space="0"/>
              <w:left w:val="nil"/>
              <w:bottom w:val="single" w:color="auto" w:sz="4" w:space="0"/>
              <w:right w:val="single" w:color="auto" w:sz="4" w:space="0"/>
            </w:tcBorders>
            <w:noWrap/>
            <w:vAlign w:val="center"/>
          </w:tcPr>
          <w:p w14:paraId="37B2961B">
            <w:pPr>
              <w:pStyle w:val="59"/>
              <w:ind w:firstLine="0" w:firstLineChars="0"/>
              <w:jc w:val="center"/>
            </w:pPr>
            <w:r>
              <w:rPr>
                <w:rFonts w:hint="eastAsia"/>
              </w:rPr>
              <w:t>1000h不起泡、不生锈、不开裂、不脱落</w:t>
            </w:r>
          </w:p>
          <w:p w14:paraId="593560CD">
            <w:pPr>
              <w:pStyle w:val="59"/>
              <w:ind w:firstLine="0" w:firstLineChars="0"/>
              <w:jc w:val="center"/>
            </w:pPr>
            <w:r>
              <w:rPr>
                <w:rFonts w:hint="eastAsia"/>
              </w:rPr>
              <w:t>粉化 ≤2级</w:t>
            </w:r>
            <w:r>
              <w:rPr>
                <w:rFonts w:hint="eastAsia"/>
              </w:rPr>
              <w:br w:type="textWrapping"/>
            </w:r>
            <w:r>
              <w:rPr>
                <w:rFonts w:hint="eastAsia"/>
              </w:rPr>
              <w:t>变色 ≤2级</w:t>
            </w:r>
            <w:r>
              <w:rPr>
                <w:rFonts w:hint="eastAsia"/>
              </w:rPr>
              <w:br w:type="textWrapping"/>
            </w:r>
            <w:r>
              <w:rPr>
                <w:rFonts w:hint="eastAsia"/>
              </w:rPr>
              <w:t>失光 ≤1级</w:t>
            </w:r>
          </w:p>
        </w:tc>
      </w:tr>
      <w:tr w14:paraId="0E766DCB">
        <w:tblPrEx>
          <w:tblCellMar>
            <w:top w:w="15" w:type="dxa"/>
            <w:left w:w="15" w:type="dxa"/>
            <w:bottom w:w="15" w:type="dxa"/>
            <w:right w:w="15" w:type="dxa"/>
          </w:tblCellMar>
        </w:tblPrEx>
        <w:trPr>
          <w:trHeight w:val="308" w:hRule="atLeast"/>
          <w:jc w:val="center"/>
        </w:trPr>
        <w:tc>
          <w:tcPr>
            <w:tcW w:w="1193" w:type="pct"/>
            <w:vMerge w:val="continue"/>
            <w:tcBorders>
              <w:top w:val="nil"/>
              <w:left w:val="single" w:color="auto" w:sz="4" w:space="0"/>
              <w:bottom w:val="single" w:color="auto" w:sz="4" w:space="0"/>
              <w:right w:val="single" w:color="auto" w:sz="4" w:space="0"/>
            </w:tcBorders>
            <w:vAlign w:val="center"/>
          </w:tcPr>
          <w:p w14:paraId="03B7A05E">
            <w:pPr>
              <w:pStyle w:val="59"/>
              <w:ind w:firstLine="0" w:firstLineChars="0"/>
              <w:jc w:val="center"/>
            </w:pPr>
          </w:p>
        </w:tc>
        <w:tc>
          <w:tcPr>
            <w:tcW w:w="1101" w:type="pct"/>
            <w:tcBorders>
              <w:top w:val="single" w:color="auto" w:sz="4" w:space="0"/>
              <w:left w:val="nil"/>
              <w:bottom w:val="single" w:color="auto" w:sz="4" w:space="0"/>
              <w:right w:val="single" w:color="auto" w:sz="4" w:space="0"/>
            </w:tcBorders>
            <w:noWrap/>
            <w:vAlign w:val="center"/>
          </w:tcPr>
          <w:p w14:paraId="368FF637">
            <w:pPr>
              <w:pStyle w:val="59"/>
              <w:ind w:firstLine="0" w:firstLineChars="0"/>
              <w:jc w:val="center"/>
            </w:pPr>
            <w:r>
              <w:rPr>
                <w:rFonts w:hint="eastAsia"/>
              </w:rPr>
              <w:t>其他色</w:t>
            </w:r>
          </w:p>
        </w:tc>
        <w:tc>
          <w:tcPr>
            <w:tcW w:w="2706" w:type="pct"/>
            <w:tcBorders>
              <w:top w:val="single" w:color="auto" w:sz="4" w:space="0"/>
              <w:left w:val="nil"/>
              <w:bottom w:val="single" w:color="auto" w:sz="4" w:space="0"/>
              <w:right w:val="single" w:color="auto" w:sz="4" w:space="0"/>
            </w:tcBorders>
            <w:noWrap/>
            <w:vAlign w:val="center"/>
          </w:tcPr>
          <w:p w14:paraId="4BE55B12">
            <w:pPr>
              <w:pStyle w:val="59"/>
              <w:ind w:firstLine="0" w:firstLineChars="0"/>
              <w:jc w:val="center"/>
            </w:pPr>
            <w:r>
              <w:rPr>
                <w:rFonts w:hint="eastAsia"/>
              </w:rPr>
              <w:t>1000h不起泡、不生锈、不开裂、不脱落</w:t>
            </w:r>
          </w:p>
          <w:p w14:paraId="38E39922">
            <w:pPr>
              <w:pStyle w:val="59"/>
              <w:ind w:firstLine="0" w:firstLineChars="0"/>
              <w:jc w:val="center"/>
            </w:pPr>
            <w:r>
              <w:rPr>
                <w:rFonts w:hint="eastAsia"/>
              </w:rPr>
              <w:t>粉化 ≤2级</w:t>
            </w:r>
            <w:r>
              <w:rPr>
                <w:rFonts w:hint="eastAsia"/>
              </w:rPr>
              <w:br w:type="textWrapping"/>
            </w:r>
            <w:r>
              <w:rPr>
                <w:rFonts w:hint="eastAsia"/>
              </w:rPr>
              <w:t>变色 商定</w:t>
            </w:r>
            <w:r>
              <w:rPr>
                <w:rFonts w:hint="eastAsia"/>
              </w:rPr>
              <w:br w:type="textWrapping"/>
            </w:r>
            <w:r>
              <w:rPr>
                <w:rFonts w:hint="eastAsia"/>
              </w:rPr>
              <w:t>失光 商定</w:t>
            </w:r>
          </w:p>
        </w:tc>
      </w:tr>
    </w:tbl>
    <w:p w14:paraId="705EC050">
      <w:pPr>
        <w:pStyle w:val="59"/>
        <w:ind w:firstLine="420"/>
      </w:pPr>
    </w:p>
    <w:p w14:paraId="7E04A669">
      <w:pPr>
        <w:pStyle w:val="80"/>
        <w:spacing w:before="120" w:after="120"/>
      </w:pPr>
      <w:r>
        <w:rPr>
          <w:rFonts w:hint="eastAsia"/>
        </w:rPr>
        <w:t>聚硅氧烷涂料技术要求</w:t>
      </w:r>
    </w:p>
    <w:tbl>
      <w:tblPr>
        <w:tblStyle w:val="28"/>
        <w:tblW w:w="5000" w:type="pct"/>
        <w:jc w:val="center"/>
        <w:tblLayout w:type="autofit"/>
        <w:tblCellMar>
          <w:top w:w="15" w:type="dxa"/>
          <w:left w:w="15" w:type="dxa"/>
          <w:bottom w:w="15" w:type="dxa"/>
          <w:right w:w="15" w:type="dxa"/>
        </w:tblCellMar>
      </w:tblPr>
      <w:tblGrid>
        <w:gridCol w:w="1876"/>
        <w:gridCol w:w="623"/>
        <w:gridCol w:w="1080"/>
        <w:gridCol w:w="5805"/>
      </w:tblGrid>
      <w:tr w14:paraId="1DD233BD">
        <w:tblPrEx>
          <w:tblCellMar>
            <w:top w:w="15" w:type="dxa"/>
            <w:left w:w="15" w:type="dxa"/>
            <w:bottom w:w="15" w:type="dxa"/>
            <w:right w:w="15" w:type="dxa"/>
          </w:tblCellMar>
        </w:tblPrEx>
        <w:trPr>
          <w:trHeight w:val="308" w:hRule="atLeast"/>
          <w:jc w:val="center"/>
        </w:trPr>
        <w:tc>
          <w:tcPr>
            <w:tcW w:w="2219" w:type="pct"/>
            <w:gridSpan w:val="3"/>
            <w:tcBorders>
              <w:top w:val="single" w:color="auto" w:sz="4" w:space="0"/>
              <w:left w:val="single" w:color="auto" w:sz="4" w:space="0"/>
              <w:bottom w:val="single" w:color="auto" w:sz="4" w:space="0"/>
              <w:right w:val="single" w:color="auto" w:sz="4" w:space="0"/>
            </w:tcBorders>
            <w:noWrap/>
            <w:vAlign w:val="center"/>
          </w:tcPr>
          <w:p w14:paraId="1370F2F9">
            <w:pPr>
              <w:pStyle w:val="59"/>
              <w:ind w:firstLine="0" w:firstLineChars="0"/>
              <w:jc w:val="center"/>
            </w:pPr>
            <w:r>
              <w:rPr>
                <w:rFonts w:hint="eastAsia"/>
              </w:rPr>
              <w:t>项目</w:t>
            </w:r>
          </w:p>
        </w:tc>
        <w:tc>
          <w:tcPr>
            <w:tcW w:w="2781" w:type="pct"/>
            <w:tcBorders>
              <w:top w:val="single" w:color="auto" w:sz="4" w:space="0"/>
              <w:left w:val="nil"/>
              <w:bottom w:val="single" w:color="auto" w:sz="4" w:space="0"/>
              <w:right w:val="single" w:color="auto" w:sz="4" w:space="0"/>
            </w:tcBorders>
            <w:noWrap/>
            <w:vAlign w:val="center"/>
          </w:tcPr>
          <w:p w14:paraId="6F25F26D">
            <w:pPr>
              <w:pStyle w:val="59"/>
              <w:ind w:firstLine="0" w:firstLineChars="0"/>
              <w:jc w:val="center"/>
            </w:pPr>
            <w:r>
              <w:rPr>
                <w:rFonts w:hint="eastAsia"/>
              </w:rPr>
              <w:t>指标</w:t>
            </w:r>
          </w:p>
        </w:tc>
      </w:tr>
      <w:tr w14:paraId="28A605BE">
        <w:tblPrEx>
          <w:tblCellMar>
            <w:top w:w="15" w:type="dxa"/>
            <w:left w:w="15" w:type="dxa"/>
            <w:bottom w:w="15" w:type="dxa"/>
            <w:right w:w="15" w:type="dxa"/>
          </w:tblCellMar>
        </w:tblPrEx>
        <w:trPr>
          <w:trHeight w:val="308" w:hRule="atLeast"/>
          <w:jc w:val="center"/>
        </w:trPr>
        <w:tc>
          <w:tcPr>
            <w:tcW w:w="2219" w:type="pct"/>
            <w:gridSpan w:val="3"/>
            <w:tcBorders>
              <w:top w:val="single" w:color="auto" w:sz="4" w:space="0"/>
              <w:left w:val="single" w:color="auto" w:sz="4" w:space="0"/>
              <w:bottom w:val="single" w:color="auto" w:sz="4" w:space="0"/>
              <w:right w:val="single" w:color="auto" w:sz="4" w:space="0"/>
            </w:tcBorders>
            <w:noWrap/>
            <w:vAlign w:val="center"/>
          </w:tcPr>
          <w:p w14:paraId="2417A21E">
            <w:pPr>
              <w:pStyle w:val="59"/>
              <w:ind w:firstLine="0" w:firstLineChars="0"/>
              <w:jc w:val="center"/>
            </w:pPr>
            <w:r>
              <w:rPr>
                <w:rFonts w:hint="eastAsia"/>
              </w:rPr>
              <w:t>容器中状态</w:t>
            </w:r>
          </w:p>
        </w:tc>
        <w:tc>
          <w:tcPr>
            <w:tcW w:w="2781" w:type="pct"/>
            <w:tcBorders>
              <w:top w:val="single" w:color="auto" w:sz="4" w:space="0"/>
              <w:left w:val="nil"/>
              <w:bottom w:val="single" w:color="auto" w:sz="4" w:space="0"/>
              <w:right w:val="single" w:color="auto" w:sz="4" w:space="0"/>
            </w:tcBorders>
            <w:noWrap/>
            <w:vAlign w:val="center"/>
          </w:tcPr>
          <w:p w14:paraId="39B3252D">
            <w:pPr>
              <w:pStyle w:val="59"/>
              <w:ind w:firstLine="0" w:firstLineChars="0"/>
              <w:jc w:val="center"/>
            </w:pPr>
            <w:r>
              <w:rPr>
                <w:rFonts w:hint="eastAsia"/>
              </w:rPr>
              <w:t>搅拌后均匀无硬块</w:t>
            </w:r>
          </w:p>
        </w:tc>
      </w:tr>
      <w:tr w14:paraId="13728037">
        <w:tblPrEx>
          <w:tblCellMar>
            <w:top w:w="15" w:type="dxa"/>
            <w:left w:w="15" w:type="dxa"/>
            <w:bottom w:w="15" w:type="dxa"/>
            <w:right w:w="15" w:type="dxa"/>
          </w:tblCellMar>
        </w:tblPrEx>
        <w:trPr>
          <w:trHeight w:val="308" w:hRule="atLeast"/>
          <w:jc w:val="center"/>
        </w:trPr>
        <w:tc>
          <w:tcPr>
            <w:tcW w:w="2219" w:type="pct"/>
            <w:gridSpan w:val="3"/>
            <w:tcBorders>
              <w:top w:val="single" w:color="auto" w:sz="4" w:space="0"/>
              <w:left w:val="single" w:color="auto" w:sz="4" w:space="0"/>
              <w:bottom w:val="single" w:color="auto" w:sz="4" w:space="0"/>
              <w:right w:val="single" w:color="auto" w:sz="4" w:space="0"/>
            </w:tcBorders>
            <w:noWrap/>
            <w:vAlign w:val="center"/>
          </w:tcPr>
          <w:p w14:paraId="04370E10">
            <w:pPr>
              <w:pStyle w:val="59"/>
              <w:ind w:firstLine="0" w:firstLineChars="0"/>
              <w:jc w:val="center"/>
            </w:pPr>
            <w:r>
              <w:rPr>
                <w:rFonts w:hint="eastAsia"/>
              </w:rPr>
              <w:t>不挥发物含量/%</w:t>
            </w:r>
          </w:p>
        </w:tc>
        <w:tc>
          <w:tcPr>
            <w:tcW w:w="2781" w:type="pct"/>
            <w:tcBorders>
              <w:top w:val="single" w:color="auto" w:sz="4" w:space="0"/>
              <w:left w:val="nil"/>
              <w:bottom w:val="single" w:color="auto" w:sz="4" w:space="0"/>
              <w:right w:val="single" w:color="auto" w:sz="4" w:space="0"/>
            </w:tcBorders>
            <w:noWrap/>
            <w:vAlign w:val="center"/>
          </w:tcPr>
          <w:p w14:paraId="4F232C97">
            <w:pPr>
              <w:pStyle w:val="59"/>
              <w:ind w:firstLine="0" w:firstLineChars="0"/>
              <w:jc w:val="center"/>
            </w:pPr>
            <w:r>
              <w:rPr>
                <w:rFonts w:hint="eastAsia"/>
              </w:rPr>
              <w:t>≥75</w:t>
            </w:r>
          </w:p>
        </w:tc>
      </w:tr>
      <w:tr w14:paraId="3793ABE2">
        <w:tblPrEx>
          <w:tblCellMar>
            <w:top w:w="15" w:type="dxa"/>
            <w:left w:w="15" w:type="dxa"/>
            <w:bottom w:w="15" w:type="dxa"/>
            <w:right w:w="15" w:type="dxa"/>
          </w:tblCellMar>
        </w:tblPrEx>
        <w:trPr>
          <w:trHeight w:val="308" w:hRule="atLeast"/>
          <w:jc w:val="center"/>
        </w:trPr>
        <w:tc>
          <w:tcPr>
            <w:tcW w:w="1109" w:type="pct"/>
            <w:vMerge w:val="restart"/>
            <w:tcBorders>
              <w:top w:val="nil"/>
              <w:left w:val="single" w:color="auto" w:sz="4" w:space="0"/>
              <w:bottom w:val="single" w:color="auto" w:sz="4" w:space="0"/>
              <w:right w:val="single" w:color="auto" w:sz="4" w:space="0"/>
            </w:tcBorders>
            <w:noWrap/>
            <w:vAlign w:val="center"/>
          </w:tcPr>
          <w:p w14:paraId="2AAD6BEA">
            <w:pPr>
              <w:pStyle w:val="59"/>
              <w:ind w:firstLine="0" w:firstLineChars="0"/>
              <w:jc w:val="center"/>
            </w:pPr>
            <w:r>
              <w:rPr>
                <w:rFonts w:hint="eastAsia"/>
              </w:rPr>
              <w:t>干燥时间/h</w:t>
            </w:r>
          </w:p>
        </w:tc>
        <w:tc>
          <w:tcPr>
            <w:tcW w:w="1110" w:type="pct"/>
            <w:gridSpan w:val="2"/>
            <w:tcBorders>
              <w:top w:val="single" w:color="auto" w:sz="4" w:space="0"/>
              <w:left w:val="nil"/>
              <w:bottom w:val="single" w:color="auto" w:sz="4" w:space="0"/>
              <w:right w:val="single" w:color="auto" w:sz="4" w:space="0"/>
            </w:tcBorders>
            <w:noWrap/>
            <w:vAlign w:val="center"/>
          </w:tcPr>
          <w:p w14:paraId="5A11B0BF">
            <w:pPr>
              <w:pStyle w:val="59"/>
              <w:ind w:firstLine="0" w:firstLineChars="0"/>
              <w:jc w:val="center"/>
            </w:pPr>
            <w:r>
              <w:rPr>
                <w:rFonts w:hint="eastAsia"/>
              </w:rPr>
              <w:t>表干</w:t>
            </w:r>
          </w:p>
        </w:tc>
        <w:tc>
          <w:tcPr>
            <w:tcW w:w="2781" w:type="pct"/>
            <w:tcBorders>
              <w:top w:val="single" w:color="auto" w:sz="4" w:space="0"/>
              <w:left w:val="nil"/>
              <w:bottom w:val="single" w:color="auto" w:sz="4" w:space="0"/>
              <w:right w:val="single" w:color="auto" w:sz="4" w:space="0"/>
            </w:tcBorders>
            <w:noWrap/>
            <w:vAlign w:val="center"/>
          </w:tcPr>
          <w:p w14:paraId="73B666D3">
            <w:pPr>
              <w:pStyle w:val="59"/>
              <w:ind w:firstLine="0" w:firstLineChars="0"/>
              <w:jc w:val="center"/>
            </w:pPr>
            <w:r>
              <w:rPr>
                <w:rFonts w:hint="eastAsia"/>
              </w:rPr>
              <w:t>2</w:t>
            </w:r>
          </w:p>
        </w:tc>
      </w:tr>
      <w:tr w14:paraId="2BBE3B1A">
        <w:tblPrEx>
          <w:tblCellMar>
            <w:top w:w="15" w:type="dxa"/>
            <w:left w:w="15" w:type="dxa"/>
            <w:bottom w:w="15" w:type="dxa"/>
            <w:right w:w="15" w:type="dxa"/>
          </w:tblCellMar>
        </w:tblPrEx>
        <w:trPr>
          <w:trHeight w:val="308" w:hRule="atLeast"/>
          <w:jc w:val="center"/>
        </w:trPr>
        <w:tc>
          <w:tcPr>
            <w:tcW w:w="1109" w:type="pct"/>
            <w:vMerge w:val="continue"/>
            <w:tcBorders>
              <w:top w:val="nil"/>
              <w:left w:val="single" w:color="auto" w:sz="4" w:space="0"/>
              <w:bottom w:val="single" w:color="auto" w:sz="4" w:space="0"/>
              <w:right w:val="single" w:color="auto" w:sz="4" w:space="0"/>
            </w:tcBorders>
            <w:vAlign w:val="center"/>
          </w:tcPr>
          <w:p w14:paraId="3735C110">
            <w:pPr>
              <w:pStyle w:val="59"/>
              <w:ind w:firstLine="0" w:firstLineChars="0"/>
              <w:jc w:val="center"/>
            </w:pPr>
          </w:p>
        </w:tc>
        <w:tc>
          <w:tcPr>
            <w:tcW w:w="1110" w:type="pct"/>
            <w:gridSpan w:val="2"/>
            <w:tcBorders>
              <w:top w:val="single" w:color="auto" w:sz="4" w:space="0"/>
              <w:left w:val="nil"/>
              <w:bottom w:val="single" w:color="auto" w:sz="4" w:space="0"/>
              <w:right w:val="single" w:color="auto" w:sz="4" w:space="0"/>
            </w:tcBorders>
            <w:noWrap/>
            <w:vAlign w:val="center"/>
          </w:tcPr>
          <w:p w14:paraId="243C52FD">
            <w:pPr>
              <w:pStyle w:val="59"/>
              <w:ind w:firstLine="0" w:firstLineChars="0"/>
              <w:jc w:val="center"/>
            </w:pPr>
            <w:r>
              <w:rPr>
                <w:rFonts w:hint="eastAsia"/>
              </w:rPr>
              <w:t>实干</w:t>
            </w:r>
          </w:p>
        </w:tc>
        <w:tc>
          <w:tcPr>
            <w:tcW w:w="2781" w:type="pct"/>
            <w:tcBorders>
              <w:top w:val="single" w:color="auto" w:sz="4" w:space="0"/>
              <w:left w:val="nil"/>
              <w:bottom w:val="single" w:color="auto" w:sz="4" w:space="0"/>
              <w:right w:val="single" w:color="auto" w:sz="4" w:space="0"/>
            </w:tcBorders>
            <w:noWrap/>
            <w:vAlign w:val="center"/>
          </w:tcPr>
          <w:p w14:paraId="39487506">
            <w:pPr>
              <w:pStyle w:val="59"/>
              <w:ind w:firstLine="0" w:firstLineChars="0"/>
              <w:jc w:val="center"/>
            </w:pPr>
            <w:r>
              <w:rPr>
                <w:rFonts w:hint="eastAsia"/>
              </w:rPr>
              <w:t>24</w:t>
            </w:r>
          </w:p>
        </w:tc>
      </w:tr>
      <w:tr w14:paraId="2242A8AE">
        <w:tblPrEx>
          <w:tblCellMar>
            <w:top w:w="15" w:type="dxa"/>
            <w:left w:w="15" w:type="dxa"/>
            <w:bottom w:w="15" w:type="dxa"/>
            <w:right w:w="15" w:type="dxa"/>
          </w:tblCellMar>
        </w:tblPrEx>
        <w:trPr>
          <w:trHeight w:val="308" w:hRule="atLeast"/>
          <w:jc w:val="center"/>
        </w:trPr>
        <w:tc>
          <w:tcPr>
            <w:tcW w:w="2219" w:type="pct"/>
            <w:gridSpan w:val="3"/>
            <w:tcBorders>
              <w:top w:val="single" w:color="auto" w:sz="4" w:space="0"/>
              <w:left w:val="single" w:color="auto" w:sz="4" w:space="0"/>
              <w:bottom w:val="single" w:color="auto" w:sz="4" w:space="0"/>
              <w:right w:val="single" w:color="auto" w:sz="4" w:space="0"/>
            </w:tcBorders>
            <w:noWrap/>
            <w:vAlign w:val="center"/>
          </w:tcPr>
          <w:p w14:paraId="3BEE18B5">
            <w:pPr>
              <w:pStyle w:val="59"/>
              <w:ind w:firstLine="0" w:firstLineChars="0"/>
              <w:jc w:val="center"/>
            </w:pPr>
            <w:r>
              <w:rPr>
                <w:rFonts w:hint="eastAsia"/>
              </w:rPr>
              <w:t>涂膜外观</w:t>
            </w:r>
          </w:p>
        </w:tc>
        <w:tc>
          <w:tcPr>
            <w:tcW w:w="2781" w:type="pct"/>
            <w:tcBorders>
              <w:top w:val="single" w:color="auto" w:sz="4" w:space="0"/>
              <w:left w:val="nil"/>
              <w:bottom w:val="single" w:color="auto" w:sz="4" w:space="0"/>
              <w:right w:val="single" w:color="auto" w:sz="4" w:space="0"/>
            </w:tcBorders>
            <w:noWrap/>
            <w:vAlign w:val="center"/>
          </w:tcPr>
          <w:p w14:paraId="38369D70">
            <w:pPr>
              <w:pStyle w:val="59"/>
              <w:ind w:firstLine="0" w:firstLineChars="0"/>
              <w:jc w:val="center"/>
            </w:pPr>
            <w:r>
              <w:rPr>
                <w:rFonts w:hint="eastAsia"/>
              </w:rPr>
              <w:t>正常</w:t>
            </w:r>
          </w:p>
        </w:tc>
      </w:tr>
      <w:tr w14:paraId="4E6D259B">
        <w:tblPrEx>
          <w:tblCellMar>
            <w:top w:w="15" w:type="dxa"/>
            <w:left w:w="15" w:type="dxa"/>
            <w:bottom w:w="15" w:type="dxa"/>
            <w:right w:w="15" w:type="dxa"/>
          </w:tblCellMar>
        </w:tblPrEx>
        <w:trPr>
          <w:trHeight w:val="308" w:hRule="atLeast"/>
          <w:jc w:val="center"/>
        </w:trPr>
        <w:tc>
          <w:tcPr>
            <w:tcW w:w="2219" w:type="pct"/>
            <w:gridSpan w:val="3"/>
            <w:tcBorders>
              <w:top w:val="single" w:color="auto" w:sz="4" w:space="0"/>
              <w:left w:val="single" w:color="auto" w:sz="4" w:space="0"/>
              <w:bottom w:val="single" w:color="auto" w:sz="4" w:space="0"/>
              <w:right w:val="single" w:color="auto" w:sz="4" w:space="0"/>
            </w:tcBorders>
            <w:noWrap/>
            <w:vAlign w:val="center"/>
          </w:tcPr>
          <w:p w14:paraId="724DF0A0">
            <w:pPr>
              <w:pStyle w:val="59"/>
              <w:ind w:firstLine="0" w:firstLineChars="0"/>
              <w:jc w:val="center"/>
            </w:pPr>
            <w:r>
              <w:rPr>
                <w:rFonts w:hint="eastAsia"/>
              </w:rPr>
              <w:t>基料中硅氧键含量(全漆)/%</w:t>
            </w:r>
          </w:p>
        </w:tc>
        <w:tc>
          <w:tcPr>
            <w:tcW w:w="2781" w:type="pct"/>
            <w:tcBorders>
              <w:top w:val="single" w:color="auto" w:sz="4" w:space="0"/>
              <w:left w:val="nil"/>
              <w:bottom w:val="single" w:color="auto" w:sz="4" w:space="0"/>
              <w:right w:val="single" w:color="auto" w:sz="4" w:space="0"/>
            </w:tcBorders>
            <w:noWrap/>
            <w:vAlign w:val="center"/>
          </w:tcPr>
          <w:p w14:paraId="33152D07">
            <w:pPr>
              <w:pStyle w:val="59"/>
              <w:ind w:firstLine="0" w:firstLineChars="0"/>
              <w:jc w:val="center"/>
            </w:pPr>
            <w:r>
              <w:rPr>
                <w:rFonts w:hint="eastAsia"/>
              </w:rPr>
              <w:t>≥15</w:t>
            </w:r>
          </w:p>
        </w:tc>
      </w:tr>
      <w:tr w14:paraId="1F0E42C4">
        <w:tblPrEx>
          <w:tblCellMar>
            <w:top w:w="15" w:type="dxa"/>
            <w:left w:w="15" w:type="dxa"/>
            <w:bottom w:w="15" w:type="dxa"/>
            <w:right w:w="15" w:type="dxa"/>
          </w:tblCellMar>
        </w:tblPrEx>
        <w:trPr>
          <w:trHeight w:val="308" w:hRule="atLeast"/>
          <w:jc w:val="center"/>
        </w:trPr>
        <w:tc>
          <w:tcPr>
            <w:tcW w:w="2219" w:type="pct"/>
            <w:gridSpan w:val="3"/>
            <w:tcBorders>
              <w:top w:val="single" w:color="auto" w:sz="4" w:space="0"/>
              <w:left w:val="single" w:color="auto" w:sz="4" w:space="0"/>
              <w:bottom w:val="single" w:color="auto" w:sz="4" w:space="0"/>
              <w:right w:val="single" w:color="auto" w:sz="4" w:space="0"/>
            </w:tcBorders>
            <w:noWrap/>
            <w:vAlign w:val="center"/>
          </w:tcPr>
          <w:p w14:paraId="4C4890C3">
            <w:pPr>
              <w:pStyle w:val="59"/>
              <w:ind w:firstLine="0" w:firstLineChars="0"/>
              <w:jc w:val="center"/>
            </w:pPr>
            <w:r>
              <w:rPr>
                <w:rFonts w:hint="eastAsia"/>
              </w:rPr>
              <w:t>铅笔硬度(擦伤)</w:t>
            </w:r>
          </w:p>
        </w:tc>
        <w:tc>
          <w:tcPr>
            <w:tcW w:w="2781" w:type="pct"/>
            <w:tcBorders>
              <w:top w:val="single" w:color="auto" w:sz="4" w:space="0"/>
              <w:left w:val="nil"/>
              <w:bottom w:val="single" w:color="auto" w:sz="4" w:space="0"/>
              <w:right w:val="single" w:color="auto" w:sz="4" w:space="0"/>
            </w:tcBorders>
            <w:noWrap/>
            <w:vAlign w:val="center"/>
          </w:tcPr>
          <w:p w14:paraId="16E6606F">
            <w:pPr>
              <w:pStyle w:val="59"/>
              <w:ind w:firstLine="0" w:firstLineChars="0"/>
              <w:jc w:val="center"/>
            </w:pPr>
            <w:r>
              <w:rPr>
                <w:rFonts w:hint="eastAsia"/>
              </w:rPr>
              <w:t>≥F</w:t>
            </w:r>
          </w:p>
        </w:tc>
      </w:tr>
      <w:tr w14:paraId="3A05A3AF">
        <w:tblPrEx>
          <w:tblCellMar>
            <w:top w:w="15" w:type="dxa"/>
            <w:left w:w="15" w:type="dxa"/>
            <w:bottom w:w="15" w:type="dxa"/>
            <w:right w:w="15" w:type="dxa"/>
          </w:tblCellMar>
        </w:tblPrEx>
        <w:trPr>
          <w:trHeight w:val="308" w:hRule="atLeast"/>
          <w:jc w:val="center"/>
        </w:trPr>
        <w:tc>
          <w:tcPr>
            <w:tcW w:w="2219" w:type="pct"/>
            <w:gridSpan w:val="3"/>
            <w:tcBorders>
              <w:top w:val="single" w:color="auto" w:sz="4" w:space="0"/>
              <w:left w:val="single" w:color="auto" w:sz="4" w:space="0"/>
              <w:bottom w:val="single" w:color="auto" w:sz="4" w:space="0"/>
              <w:right w:val="single" w:color="auto" w:sz="4" w:space="0"/>
            </w:tcBorders>
            <w:noWrap/>
            <w:vAlign w:val="center"/>
          </w:tcPr>
          <w:p w14:paraId="012414C6">
            <w:pPr>
              <w:pStyle w:val="59"/>
              <w:ind w:firstLine="0" w:firstLineChars="0"/>
              <w:jc w:val="center"/>
            </w:pPr>
            <w:r>
              <w:rPr>
                <w:rFonts w:hint="eastAsia"/>
              </w:rPr>
              <w:t>弯曲试验/mm</w:t>
            </w:r>
          </w:p>
        </w:tc>
        <w:tc>
          <w:tcPr>
            <w:tcW w:w="2781" w:type="pct"/>
            <w:tcBorders>
              <w:top w:val="single" w:color="auto" w:sz="4" w:space="0"/>
              <w:left w:val="nil"/>
              <w:bottom w:val="single" w:color="auto" w:sz="4" w:space="0"/>
              <w:right w:val="single" w:color="auto" w:sz="4" w:space="0"/>
            </w:tcBorders>
            <w:noWrap/>
            <w:vAlign w:val="center"/>
          </w:tcPr>
          <w:p w14:paraId="603DB2EA">
            <w:pPr>
              <w:pStyle w:val="59"/>
              <w:ind w:firstLine="0" w:firstLineChars="0"/>
              <w:jc w:val="center"/>
            </w:pPr>
            <w:r>
              <w:rPr>
                <w:rFonts w:hint="eastAsia"/>
              </w:rPr>
              <w:t>≤3</w:t>
            </w:r>
          </w:p>
        </w:tc>
      </w:tr>
      <w:tr w14:paraId="2488FD42">
        <w:tblPrEx>
          <w:tblCellMar>
            <w:top w:w="15" w:type="dxa"/>
            <w:left w:w="15" w:type="dxa"/>
            <w:bottom w:w="15" w:type="dxa"/>
            <w:right w:w="15" w:type="dxa"/>
          </w:tblCellMar>
        </w:tblPrEx>
        <w:trPr>
          <w:trHeight w:val="308" w:hRule="atLeast"/>
          <w:jc w:val="center"/>
        </w:trPr>
        <w:tc>
          <w:tcPr>
            <w:tcW w:w="2219" w:type="pct"/>
            <w:gridSpan w:val="3"/>
            <w:tcBorders>
              <w:top w:val="single" w:color="auto" w:sz="4" w:space="0"/>
              <w:left w:val="single" w:color="auto" w:sz="4" w:space="0"/>
              <w:bottom w:val="single" w:color="auto" w:sz="4" w:space="0"/>
              <w:right w:val="single" w:color="auto" w:sz="4" w:space="0"/>
            </w:tcBorders>
            <w:noWrap/>
            <w:vAlign w:val="center"/>
          </w:tcPr>
          <w:p w14:paraId="05654C5E">
            <w:pPr>
              <w:pStyle w:val="59"/>
              <w:ind w:firstLine="0" w:firstLineChars="0"/>
              <w:jc w:val="center"/>
            </w:pPr>
            <w:r>
              <w:rPr>
                <w:rFonts w:hint="eastAsia"/>
              </w:rPr>
              <w:t>耐冲击性/cm</w:t>
            </w:r>
          </w:p>
        </w:tc>
        <w:tc>
          <w:tcPr>
            <w:tcW w:w="2781" w:type="pct"/>
            <w:tcBorders>
              <w:top w:val="single" w:color="auto" w:sz="4" w:space="0"/>
              <w:left w:val="nil"/>
              <w:bottom w:val="single" w:color="auto" w:sz="4" w:space="0"/>
              <w:right w:val="single" w:color="auto" w:sz="4" w:space="0"/>
            </w:tcBorders>
            <w:noWrap/>
            <w:vAlign w:val="center"/>
          </w:tcPr>
          <w:p w14:paraId="1A2F52D2">
            <w:pPr>
              <w:pStyle w:val="59"/>
              <w:ind w:firstLine="0" w:firstLineChars="0"/>
              <w:jc w:val="center"/>
            </w:pPr>
            <w:r>
              <w:rPr>
                <w:rFonts w:hint="eastAsia"/>
              </w:rPr>
              <w:t>50</w:t>
            </w:r>
          </w:p>
        </w:tc>
      </w:tr>
      <w:tr w14:paraId="17367CB5">
        <w:tblPrEx>
          <w:tblCellMar>
            <w:top w:w="15" w:type="dxa"/>
            <w:left w:w="15" w:type="dxa"/>
            <w:bottom w:w="15" w:type="dxa"/>
            <w:right w:w="15" w:type="dxa"/>
          </w:tblCellMar>
        </w:tblPrEx>
        <w:trPr>
          <w:trHeight w:val="308" w:hRule="atLeast"/>
          <w:jc w:val="center"/>
        </w:trPr>
        <w:tc>
          <w:tcPr>
            <w:tcW w:w="2219" w:type="pct"/>
            <w:gridSpan w:val="3"/>
            <w:tcBorders>
              <w:top w:val="single" w:color="auto" w:sz="4" w:space="0"/>
              <w:left w:val="single" w:color="auto" w:sz="4" w:space="0"/>
              <w:bottom w:val="single" w:color="auto" w:sz="4" w:space="0"/>
              <w:right w:val="single" w:color="auto" w:sz="4" w:space="0"/>
            </w:tcBorders>
            <w:noWrap/>
            <w:vAlign w:val="center"/>
          </w:tcPr>
          <w:p w14:paraId="3668A4F1">
            <w:pPr>
              <w:pStyle w:val="59"/>
              <w:ind w:firstLine="0" w:firstLineChars="0"/>
              <w:jc w:val="center"/>
            </w:pPr>
            <w:r>
              <w:rPr>
                <w:rFonts w:hint="eastAsia"/>
              </w:rPr>
              <w:t>耐磨性(500 g+500r)/g</w:t>
            </w:r>
          </w:p>
        </w:tc>
        <w:tc>
          <w:tcPr>
            <w:tcW w:w="2781" w:type="pct"/>
            <w:tcBorders>
              <w:top w:val="single" w:color="auto" w:sz="4" w:space="0"/>
              <w:left w:val="nil"/>
              <w:bottom w:val="single" w:color="auto" w:sz="4" w:space="0"/>
              <w:right w:val="single" w:color="auto" w:sz="4" w:space="0"/>
            </w:tcBorders>
            <w:noWrap/>
            <w:vAlign w:val="center"/>
          </w:tcPr>
          <w:p w14:paraId="678C94D4">
            <w:pPr>
              <w:pStyle w:val="59"/>
              <w:ind w:firstLine="0" w:firstLineChars="0"/>
              <w:jc w:val="center"/>
            </w:pPr>
            <w:r>
              <w:rPr>
                <w:rFonts w:hint="eastAsia"/>
              </w:rPr>
              <w:t>≤0.04</w:t>
            </w:r>
          </w:p>
        </w:tc>
      </w:tr>
      <w:tr w14:paraId="77D157D4">
        <w:tblPrEx>
          <w:tblCellMar>
            <w:top w:w="15" w:type="dxa"/>
            <w:left w:w="15" w:type="dxa"/>
            <w:bottom w:w="15" w:type="dxa"/>
            <w:right w:w="15" w:type="dxa"/>
          </w:tblCellMar>
        </w:tblPrEx>
        <w:trPr>
          <w:trHeight w:val="308" w:hRule="atLeast"/>
          <w:jc w:val="center"/>
        </w:trPr>
        <w:tc>
          <w:tcPr>
            <w:tcW w:w="2219" w:type="pct"/>
            <w:gridSpan w:val="3"/>
            <w:tcBorders>
              <w:top w:val="single" w:color="auto" w:sz="4" w:space="0"/>
              <w:left w:val="single" w:color="auto" w:sz="4" w:space="0"/>
              <w:bottom w:val="single" w:color="auto" w:sz="4" w:space="0"/>
              <w:right w:val="single" w:color="auto" w:sz="4" w:space="0"/>
            </w:tcBorders>
            <w:noWrap/>
            <w:vAlign w:val="center"/>
          </w:tcPr>
          <w:p w14:paraId="205AF09E">
            <w:pPr>
              <w:pStyle w:val="59"/>
              <w:ind w:firstLine="0" w:firstLineChars="0"/>
              <w:jc w:val="center"/>
            </w:pPr>
            <w:r>
              <w:rPr>
                <w:rFonts w:hint="eastAsia"/>
              </w:rPr>
              <w:t>附着力（拉开法）/MPa</w:t>
            </w:r>
          </w:p>
        </w:tc>
        <w:tc>
          <w:tcPr>
            <w:tcW w:w="2781" w:type="pct"/>
            <w:tcBorders>
              <w:top w:val="single" w:color="auto" w:sz="4" w:space="0"/>
              <w:left w:val="nil"/>
              <w:bottom w:val="single" w:color="auto" w:sz="4" w:space="0"/>
              <w:right w:val="single" w:color="auto" w:sz="4" w:space="0"/>
            </w:tcBorders>
            <w:noWrap/>
            <w:vAlign w:val="center"/>
          </w:tcPr>
          <w:p w14:paraId="5BCD8E1A">
            <w:pPr>
              <w:pStyle w:val="59"/>
              <w:ind w:firstLine="0" w:firstLineChars="0"/>
              <w:jc w:val="center"/>
            </w:pPr>
            <w:r>
              <w:rPr>
                <w:rFonts w:hint="eastAsia"/>
              </w:rPr>
              <w:t>≥3</w:t>
            </w:r>
          </w:p>
        </w:tc>
      </w:tr>
      <w:tr w14:paraId="5F3294EB">
        <w:tblPrEx>
          <w:tblCellMar>
            <w:top w:w="15" w:type="dxa"/>
            <w:left w:w="15" w:type="dxa"/>
            <w:bottom w:w="15" w:type="dxa"/>
            <w:right w:w="15" w:type="dxa"/>
          </w:tblCellMar>
        </w:tblPrEx>
        <w:trPr>
          <w:trHeight w:val="308" w:hRule="atLeast"/>
          <w:jc w:val="center"/>
        </w:trPr>
        <w:tc>
          <w:tcPr>
            <w:tcW w:w="2219" w:type="pct"/>
            <w:gridSpan w:val="3"/>
            <w:tcBorders>
              <w:top w:val="single" w:color="auto" w:sz="4" w:space="0"/>
              <w:left w:val="single" w:color="auto" w:sz="4" w:space="0"/>
              <w:bottom w:val="single" w:color="auto" w:sz="4" w:space="0"/>
              <w:right w:val="single" w:color="auto" w:sz="4" w:space="0"/>
            </w:tcBorders>
            <w:noWrap/>
            <w:vAlign w:val="center"/>
          </w:tcPr>
          <w:p w14:paraId="35235ECC">
            <w:pPr>
              <w:pStyle w:val="59"/>
              <w:ind w:firstLine="0" w:firstLineChars="0"/>
              <w:jc w:val="center"/>
            </w:pPr>
            <w:r>
              <w:rPr>
                <w:rFonts w:hint="eastAsia"/>
              </w:rPr>
              <w:t>耐酸性（50g/L H</w:t>
            </w:r>
            <w:r>
              <w:rPr>
                <w:rFonts w:hint="eastAsia"/>
                <w:vertAlign w:val="subscript"/>
              </w:rPr>
              <w:t>2</w:t>
            </w:r>
            <w:r>
              <w:rPr>
                <w:rFonts w:hint="eastAsia"/>
              </w:rPr>
              <w:t>SO</w:t>
            </w:r>
            <w:r>
              <w:rPr>
                <w:rFonts w:hint="eastAsia"/>
                <w:vertAlign w:val="subscript"/>
              </w:rPr>
              <w:t>4</w:t>
            </w:r>
            <w:r>
              <w:rPr>
                <w:rFonts w:hint="eastAsia"/>
              </w:rPr>
              <w:t>）</w:t>
            </w:r>
          </w:p>
        </w:tc>
        <w:tc>
          <w:tcPr>
            <w:tcW w:w="2781" w:type="pct"/>
            <w:tcBorders>
              <w:top w:val="single" w:color="auto" w:sz="4" w:space="0"/>
              <w:left w:val="nil"/>
              <w:bottom w:val="single" w:color="auto" w:sz="4" w:space="0"/>
              <w:right w:val="single" w:color="auto" w:sz="4" w:space="0"/>
            </w:tcBorders>
            <w:noWrap/>
            <w:vAlign w:val="center"/>
          </w:tcPr>
          <w:p w14:paraId="28F87879">
            <w:pPr>
              <w:pStyle w:val="59"/>
              <w:ind w:firstLine="0" w:firstLineChars="0"/>
              <w:jc w:val="center"/>
            </w:pPr>
            <w:r>
              <w:rPr>
                <w:rFonts w:hint="eastAsia"/>
              </w:rPr>
              <w:t>240h无异常</w:t>
            </w:r>
          </w:p>
        </w:tc>
      </w:tr>
      <w:tr w14:paraId="483E31A0">
        <w:tblPrEx>
          <w:tblCellMar>
            <w:top w:w="15" w:type="dxa"/>
            <w:left w:w="15" w:type="dxa"/>
            <w:bottom w:w="15" w:type="dxa"/>
            <w:right w:w="15" w:type="dxa"/>
          </w:tblCellMar>
        </w:tblPrEx>
        <w:trPr>
          <w:trHeight w:val="308" w:hRule="atLeast"/>
          <w:jc w:val="center"/>
        </w:trPr>
        <w:tc>
          <w:tcPr>
            <w:tcW w:w="2219" w:type="pct"/>
            <w:gridSpan w:val="3"/>
            <w:tcBorders>
              <w:top w:val="single" w:color="auto" w:sz="4" w:space="0"/>
              <w:left w:val="single" w:color="auto" w:sz="4" w:space="0"/>
              <w:bottom w:val="single" w:color="auto" w:sz="4" w:space="0"/>
              <w:right w:val="single" w:color="auto" w:sz="4" w:space="0"/>
            </w:tcBorders>
            <w:noWrap/>
            <w:vAlign w:val="center"/>
          </w:tcPr>
          <w:p w14:paraId="3287E8D8">
            <w:pPr>
              <w:pStyle w:val="59"/>
              <w:ind w:firstLine="0" w:firstLineChars="0"/>
              <w:jc w:val="center"/>
            </w:pPr>
            <w:r>
              <w:rPr>
                <w:rFonts w:hint="eastAsia"/>
              </w:rPr>
              <w:t>耐碱性（50g/L NaOH）</w:t>
            </w:r>
          </w:p>
        </w:tc>
        <w:tc>
          <w:tcPr>
            <w:tcW w:w="2781" w:type="pct"/>
            <w:tcBorders>
              <w:top w:val="single" w:color="auto" w:sz="4" w:space="0"/>
              <w:left w:val="nil"/>
              <w:bottom w:val="single" w:color="auto" w:sz="4" w:space="0"/>
              <w:right w:val="single" w:color="auto" w:sz="4" w:space="0"/>
            </w:tcBorders>
            <w:noWrap/>
            <w:vAlign w:val="center"/>
          </w:tcPr>
          <w:p w14:paraId="22FC6868">
            <w:pPr>
              <w:pStyle w:val="59"/>
              <w:ind w:firstLine="0" w:firstLineChars="0"/>
              <w:jc w:val="center"/>
            </w:pPr>
            <w:r>
              <w:rPr>
                <w:rFonts w:hint="eastAsia"/>
              </w:rPr>
              <w:t>240h无异常</w:t>
            </w:r>
          </w:p>
        </w:tc>
      </w:tr>
      <w:tr w14:paraId="1F0C797D">
        <w:tblPrEx>
          <w:tblCellMar>
            <w:top w:w="15" w:type="dxa"/>
            <w:left w:w="15" w:type="dxa"/>
            <w:bottom w:w="15" w:type="dxa"/>
            <w:right w:w="15" w:type="dxa"/>
          </w:tblCellMar>
        </w:tblPrEx>
        <w:trPr>
          <w:trHeight w:val="308" w:hRule="atLeast"/>
          <w:jc w:val="center"/>
        </w:trPr>
        <w:tc>
          <w:tcPr>
            <w:tcW w:w="2219" w:type="pct"/>
            <w:gridSpan w:val="3"/>
            <w:tcBorders>
              <w:top w:val="single" w:color="auto" w:sz="4" w:space="0"/>
              <w:left w:val="single" w:color="auto" w:sz="4" w:space="0"/>
              <w:bottom w:val="single" w:color="auto" w:sz="4" w:space="0"/>
              <w:right w:val="single" w:color="auto" w:sz="4" w:space="0"/>
            </w:tcBorders>
            <w:noWrap/>
            <w:vAlign w:val="center"/>
          </w:tcPr>
          <w:p w14:paraId="1502AAC8">
            <w:pPr>
              <w:pStyle w:val="59"/>
              <w:ind w:firstLine="0" w:firstLineChars="0"/>
              <w:jc w:val="center"/>
            </w:pPr>
            <w:r>
              <w:rPr>
                <w:rFonts w:hint="eastAsia"/>
              </w:rPr>
              <w:t>耐湿冷热循环性</w:t>
            </w:r>
          </w:p>
        </w:tc>
        <w:tc>
          <w:tcPr>
            <w:tcW w:w="2781" w:type="pct"/>
            <w:tcBorders>
              <w:top w:val="single" w:color="auto" w:sz="4" w:space="0"/>
              <w:left w:val="nil"/>
              <w:bottom w:val="single" w:color="auto" w:sz="4" w:space="0"/>
              <w:right w:val="single" w:color="auto" w:sz="4" w:space="0"/>
            </w:tcBorders>
            <w:noWrap/>
            <w:vAlign w:val="center"/>
          </w:tcPr>
          <w:p w14:paraId="225E8476">
            <w:pPr>
              <w:pStyle w:val="59"/>
              <w:ind w:firstLine="0" w:firstLineChars="0"/>
              <w:jc w:val="center"/>
            </w:pPr>
            <w:r>
              <w:rPr>
                <w:rFonts w:hint="eastAsia"/>
              </w:rPr>
              <w:t>10次循环无异常</w:t>
            </w:r>
          </w:p>
        </w:tc>
      </w:tr>
      <w:tr w14:paraId="6A369A6A">
        <w:tblPrEx>
          <w:tblCellMar>
            <w:top w:w="15" w:type="dxa"/>
            <w:left w:w="15" w:type="dxa"/>
            <w:bottom w:w="15" w:type="dxa"/>
            <w:right w:w="15" w:type="dxa"/>
          </w:tblCellMar>
        </w:tblPrEx>
        <w:trPr>
          <w:trHeight w:val="308" w:hRule="atLeast"/>
          <w:jc w:val="center"/>
        </w:trPr>
        <w:tc>
          <w:tcPr>
            <w:tcW w:w="2219" w:type="pct"/>
            <w:gridSpan w:val="3"/>
            <w:tcBorders>
              <w:top w:val="single" w:color="auto" w:sz="4" w:space="0"/>
              <w:left w:val="single" w:color="auto" w:sz="4" w:space="0"/>
              <w:bottom w:val="single" w:color="auto" w:sz="4" w:space="0"/>
              <w:right w:val="single" w:color="auto" w:sz="4" w:space="0"/>
            </w:tcBorders>
            <w:noWrap/>
            <w:vAlign w:val="center"/>
          </w:tcPr>
          <w:p w14:paraId="3C9D62FD">
            <w:pPr>
              <w:pStyle w:val="59"/>
              <w:ind w:firstLine="0" w:firstLineChars="0"/>
              <w:jc w:val="center"/>
            </w:pPr>
            <w:r>
              <w:rPr>
                <w:rFonts w:hint="eastAsia"/>
              </w:rPr>
              <w:t>耐湿热型</w:t>
            </w:r>
          </w:p>
        </w:tc>
        <w:tc>
          <w:tcPr>
            <w:tcW w:w="2781" w:type="pct"/>
            <w:tcBorders>
              <w:top w:val="single" w:color="auto" w:sz="4" w:space="0"/>
              <w:left w:val="nil"/>
              <w:bottom w:val="single" w:color="auto" w:sz="4" w:space="0"/>
              <w:right w:val="single" w:color="auto" w:sz="4" w:space="0"/>
            </w:tcBorders>
            <w:noWrap/>
            <w:vAlign w:val="center"/>
          </w:tcPr>
          <w:p w14:paraId="7CEB4EAF">
            <w:pPr>
              <w:pStyle w:val="59"/>
              <w:ind w:firstLine="0" w:firstLineChars="0"/>
              <w:jc w:val="center"/>
            </w:pPr>
            <w:r>
              <w:rPr>
                <w:rFonts w:hint="eastAsia"/>
              </w:rPr>
              <w:t>3000h不起泡、不生锈、不脱落</w:t>
            </w:r>
          </w:p>
        </w:tc>
      </w:tr>
      <w:tr w14:paraId="2131692C">
        <w:tblPrEx>
          <w:tblCellMar>
            <w:top w:w="15" w:type="dxa"/>
            <w:left w:w="15" w:type="dxa"/>
            <w:bottom w:w="15" w:type="dxa"/>
            <w:right w:w="15" w:type="dxa"/>
          </w:tblCellMar>
        </w:tblPrEx>
        <w:trPr>
          <w:trHeight w:val="308" w:hRule="atLeast"/>
          <w:jc w:val="center"/>
        </w:trPr>
        <w:tc>
          <w:tcPr>
            <w:tcW w:w="2219" w:type="pct"/>
            <w:gridSpan w:val="3"/>
            <w:tcBorders>
              <w:top w:val="single" w:color="auto" w:sz="4" w:space="0"/>
              <w:left w:val="single" w:color="auto" w:sz="4" w:space="0"/>
              <w:bottom w:val="single" w:color="auto" w:sz="4" w:space="0"/>
              <w:right w:val="single" w:color="auto" w:sz="4" w:space="0"/>
            </w:tcBorders>
            <w:noWrap/>
            <w:vAlign w:val="center"/>
          </w:tcPr>
          <w:p w14:paraId="4BCEC4AD">
            <w:pPr>
              <w:pStyle w:val="59"/>
              <w:ind w:firstLine="0" w:firstLineChars="0"/>
              <w:jc w:val="center"/>
            </w:pPr>
            <w:r>
              <w:rPr>
                <w:rFonts w:hint="eastAsia"/>
              </w:rPr>
              <w:t>耐盐雾性</w:t>
            </w:r>
          </w:p>
        </w:tc>
        <w:tc>
          <w:tcPr>
            <w:tcW w:w="2781" w:type="pct"/>
            <w:tcBorders>
              <w:top w:val="single" w:color="auto" w:sz="4" w:space="0"/>
              <w:left w:val="nil"/>
              <w:bottom w:val="single" w:color="auto" w:sz="4" w:space="0"/>
              <w:right w:val="single" w:color="auto" w:sz="4" w:space="0"/>
            </w:tcBorders>
            <w:noWrap/>
            <w:vAlign w:val="center"/>
          </w:tcPr>
          <w:p w14:paraId="565BF777">
            <w:pPr>
              <w:pStyle w:val="59"/>
              <w:ind w:firstLine="0" w:firstLineChars="0"/>
              <w:jc w:val="center"/>
            </w:pPr>
            <w:r>
              <w:rPr>
                <w:rFonts w:hint="eastAsia"/>
              </w:rPr>
              <w:t>3000h不起泡、不生锈、不脱落</w:t>
            </w:r>
          </w:p>
        </w:tc>
      </w:tr>
      <w:tr w14:paraId="4711ECD6">
        <w:tblPrEx>
          <w:tblCellMar>
            <w:top w:w="15" w:type="dxa"/>
            <w:left w:w="15" w:type="dxa"/>
            <w:bottom w:w="15" w:type="dxa"/>
            <w:right w:w="15" w:type="dxa"/>
          </w:tblCellMar>
        </w:tblPrEx>
        <w:trPr>
          <w:trHeight w:val="308" w:hRule="atLeast"/>
          <w:jc w:val="center"/>
        </w:trPr>
        <w:tc>
          <w:tcPr>
            <w:tcW w:w="1488" w:type="pct"/>
            <w:gridSpan w:val="2"/>
            <w:vMerge w:val="restart"/>
            <w:tcBorders>
              <w:top w:val="nil"/>
              <w:left w:val="single" w:color="auto" w:sz="4" w:space="0"/>
              <w:bottom w:val="nil"/>
              <w:right w:val="single" w:color="auto" w:sz="4" w:space="0"/>
            </w:tcBorders>
            <w:noWrap/>
            <w:vAlign w:val="center"/>
          </w:tcPr>
          <w:p w14:paraId="7F9C87C2">
            <w:pPr>
              <w:pStyle w:val="59"/>
              <w:ind w:firstLine="0" w:firstLineChars="0"/>
              <w:jc w:val="center"/>
            </w:pPr>
            <w:r>
              <w:rPr>
                <w:rFonts w:hint="eastAsia"/>
              </w:rPr>
              <w:t>耐人工气候老化（3000h）</w:t>
            </w:r>
          </w:p>
        </w:tc>
        <w:tc>
          <w:tcPr>
            <w:tcW w:w="731" w:type="pct"/>
            <w:tcBorders>
              <w:top w:val="single" w:color="auto" w:sz="4" w:space="0"/>
              <w:left w:val="nil"/>
              <w:bottom w:val="single" w:color="auto" w:sz="4" w:space="0"/>
              <w:right w:val="single" w:color="auto" w:sz="4" w:space="0"/>
            </w:tcBorders>
            <w:noWrap/>
            <w:vAlign w:val="center"/>
          </w:tcPr>
          <w:p w14:paraId="33112852">
            <w:pPr>
              <w:pStyle w:val="59"/>
              <w:ind w:firstLine="0" w:firstLineChars="0"/>
              <w:jc w:val="center"/>
            </w:pPr>
            <w:r>
              <w:rPr>
                <w:rFonts w:hint="eastAsia"/>
              </w:rPr>
              <w:t>白色和浅色</w:t>
            </w:r>
          </w:p>
        </w:tc>
        <w:tc>
          <w:tcPr>
            <w:tcW w:w="2781" w:type="pct"/>
            <w:tcBorders>
              <w:top w:val="single" w:color="auto" w:sz="4" w:space="0"/>
              <w:left w:val="nil"/>
              <w:bottom w:val="single" w:color="auto" w:sz="4" w:space="0"/>
              <w:right w:val="single" w:color="auto" w:sz="4" w:space="0"/>
            </w:tcBorders>
            <w:noWrap/>
            <w:vAlign w:val="center"/>
          </w:tcPr>
          <w:p w14:paraId="34449B98">
            <w:pPr>
              <w:pStyle w:val="59"/>
              <w:ind w:firstLine="0" w:firstLineChars="0"/>
              <w:jc w:val="center"/>
            </w:pPr>
            <w:r>
              <w:rPr>
                <w:rFonts w:hint="eastAsia"/>
              </w:rPr>
              <w:t>变色≤2级，失光≤2级，粉化≤2级，不起泡、不脱落、不开裂</w:t>
            </w:r>
          </w:p>
        </w:tc>
      </w:tr>
      <w:tr w14:paraId="31EB2714">
        <w:tblPrEx>
          <w:tblCellMar>
            <w:top w:w="15" w:type="dxa"/>
            <w:left w:w="15" w:type="dxa"/>
            <w:bottom w:w="15" w:type="dxa"/>
            <w:right w:w="15" w:type="dxa"/>
          </w:tblCellMar>
        </w:tblPrEx>
        <w:trPr>
          <w:trHeight w:val="308" w:hRule="atLeast"/>
          <w:jc w:val="center"/>
        </w:trPr>
        <w:tc>
          <w:tcPr>
            <w:tcW w:w="1488" w:type="pct"/>
            <w:gridSpan w:val="2"/>
            <w:vMerge w:val="continue"/>
            <w:tcBorders>
              <w:top w:val="nil"/>
              <w:left w:val="single" w:color="auto" w:sz="4" w:space="0"/>
              <w:bottom w:val="nil"/>
              <w:right w:val="single" w:color="auto" w:sz="4" w:space="0"/>
            </w:tcBorders>
            <w:vAlign w:val="center"/>
          </w:tcPr>
          <w:p w14:paraId="15B7A6AF">
            <w:pPr>
              <w:pStyle w:val="59"/>
              <w:ind w:firstLine="0" w:firstLineChars="0"/>
              <w:jc w:val="center"/>
            </w:pPr>
          </w:p>
        </w:tc>
        <w:tc>
          <w:tcPr>
            <w:tcW w:w="731" w:type="pct"/>
            <w:tcBorders>
              <w:top w:val="single" w:color="auto" w:sz="4" w:space="0"/>
              <w:left w:val="nil"/>
              <w:bottom w:val="single" w:color="auto" w:sz="4" w:space="0"/>
              <w:right w:val="single" w:color="auto" w:sz="4" w:space="0"/>
            </w:tcBorders>
            <w:noWrap/>
            <w:vAlign w:val="center"/>
          </w:tcPr>
          <w:p w14:paraId="4182525A">
            <w:pPr>
              <w:pStyle w:val="59"/>
              <w:ind w:firstLine="0" w:firstLineChars="0"/>
              <w:jc w:val="center"/>
            </w:pPr>
            <w:r>
              <w:rPr>
                <w:rFonts w:hint="eastAsia"/>
              </w:rPr>
              <w:t>其他色</w:t>
            </w:r>
          </w:p>
        </w:tc>
        <w:tc>
          <w:tcPr>
            <w:tcW w:w="2781" w:type="pct"/>
            <w:tcBorders>
              <w:top w:val="single" w:color="auto" w:sz="4" w:space="0"/>
              <w:left w:val="nil"/>
              <w:bottom w:val="single" w:color="auto" w:sz="4" w:space="0"/>
              <w:right w:val="single" w:color="auto" w:sz="4" w:space="0"/>
            </w:tcBorders>
            <w:noWrap/>
            <w:vAlign w:val="center"/>
          </w:tcPr>
          <w:p w14:paraId="3F9E2B2D">
            <w:pPr>
              <w:pStyle w:val="59"/>
              <w:ind w:firstLine="0" w:firstLineChars="0"/>
              <w:jc w:val="center"/>
            </w:pPr>
            <w:r>
              <w:rPr>
                <w:rFonts w:hint="eastAsia"/>
              </w:rPr>
              <w:t>变色≤3级，失光≤3级，粉化≤2级，不起泡、不脱落、不开裂</w:t>
            </w:r>
          </w:p>
        </w:tc>
      </w:tr>
      <w:tr w14:paraId="0A5B73F2">
        <w:tblPrEx>
          <w:tblCellMar>
            <w:top w:w="15" w:type="dxa"/>
            <w:left w:w="15" w:type="dxa"/>
            <w:bottom w:w="15" w:type="dxa"/>
            <w:right w:w="15" w:type="dxa"/>
          </w:tblCellMar>
        </w:tblPrEx>
        <w:trPr>
          <w:trHeight w:val="308" w:hRule="atLeast"/>
          <w:jc w:val="center"/>
        </w:trPr>
        <w:tc>
          <w:tcPr>
            <w:tcW w:w="2219" w:type="pct"/>
            <w:gridSpan w:val="3"/>
            <w:tcBorders>
              <w:top w:val="single" w:color="auto" w:sz="4" w:space="0"/>
              <w:left w:val="single" w:color="auto" w:sz="4" w:space="0"/>
              <w:bottom w:val="single" w:color="auto" w:sz="4" w:space="0"/>
              <w:right w:val="single" w:color="auto" w:sz="4" w:space="0"/>
            </w:tcBorders>
            <w:noWrap/>
            <w:vAlign w:val="center"/>
          </w:tcPr>
          <w:p w14:paraId="2546F9EB">
            <w:pPr>
              <w:pStyle w:val="59"/>
              <w:ind w:firstLine="0" w:firstLineChars="0"/>
              <w:jc w:val="center"/>
            </w:pPr>
            <w:r>
              <w:rPr>
                <w:rFonts w:hint="eastAsia"/>
              </w:rPr>
              <w:t>循环老化试验</w:t>
            </w:r>
          </w:p>
        </w:tc>
        <w:tc>
          <w:tcPr>
            <w:tcW w:w="2781" w:type="pct"/>
            <w:tcBorders>
              <w:top w:val="single" w:color="auto" w:sz="4" w:space="0"/>
              <w:left w:val="nil"/>
              <w:bottom w:val="single" w:color="auto" w:sz="4" w:space="0"/>
              <w:right w:val="single" w:color="auto" w:sz="4" w:space="0"/>
            </w:tcBorders>
            <w:noWrap/>
            <w:vAlign w:val="center"/>
          </w:tcPr>
          <w:p w14:paraId="2EEE6312">
            <w:pPr>
              <w:pStyle w:val="59"/>
              <w:ind w:firstLine="0" w:firstLineChars="0"/>
              <w:jc w:val="center"/>
            </w:pPr>
            <w:r>
              <w:rPr>
                <w:rFonts w:hint="eastAsia"/>
              </w:rPr>
              <w:t>25次循环粉化≤2级，不起泡、不生锈、不脱落、不开裂</w:t>
            </w:r>
          </w:p>
        </w:tc>
      </w:tr>
    </w:tbl>
    <w:p w14:paraId="717BCC8C">
      <w:pPr>
        <w:pStyle w:val="59"/>
        <w:ind w:firstLine="420"/>
      </w:pPr>
    </w:p>
    <w:p w14:paraId="35631B8F">
      <w:pPr>
        <w:pStyle w:val="80"/>
        <w:spacing w:before="120" w:after="120"/>
      </w:pPr>
      <w:r>
        <w:rPr>
          <w:rFonts w:hint="eastAsia"/>
        </w:rPr>
        <w:t>底面合一带锈涂料技术要求</w:t>
      </w:r>
    </w:p>
    <w:tbl>
      <w:tblPr>
        <w:tblStyle w:val="2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6"/>
        <w:gridCol w:w="492"/>
        <w:gridCol w:w="2289"/>
        <w:gridCol w:w="4833"/>
      </w:tblGrid>
      <w:tr w14:paraId="417A6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2475" w:type="pct"/>
            <w:gridSpan w:val="3"/>
            <w:tcBorders>
              <w:top w:val="single" w:color="auto" w:sz="4" w:space="0"/>
              <w:left w:val="single" w:color="auto" w:sz="4" w:space="0"/>
              <w:bottom w:val="single" w:color="auto" w:sz="4" w:space="0"/>
              <w:right w:val="single" w:color="auto" w:sz="4" w:space="0"/>
            </w:tcBorders>
            <w:vAlign w:val="center"/>
          </w:tcPr>
          <w:p w14:paraId="36250ACD">
            <w:pPr>
              <w:pStyle w:val="59"/>
              <w:ind w:firstLine="0" w:firstLineChars="0"/>
              <w:jc w:val="center"/>
            </w:pPr>
            <w:r>
              <w:rPr>
                <w:rFonts w:hint="eastAsia"/>
              </w:rPr>
              <w:t>项目</w:t>
            </w:r>
          </w:p>
        </w:tc>
        <w:tc>
          <w:tcPr>
            <w:tcW w:w="2525" w:type="pct"/>
            <w:tcBorders>
              <w:top w:val="single" w:color="auto" w:sz="4" w:space="0"/>
              <w:left w:val="single" w:color="auto" w:sz="4" w:space="0"/>
              <w:bottom w:val="single" w:color="auto" w:sz="4" w:space="0"/>
              <w:right w:val="single" w:color="auto" w:sz="4" w:space="0"/>
            </w:tcBorders>
            <w:vAlign w:val="center"/>
          </w:tcPr>
          <w:p w14:paraId="461C29BF">
            <w:pPr>
              <w:pStyle w:val="59"/>
              <w:ind w:firstLine="0" w:firstLineChars="0"/>
              <w:jc w:val="center"/>
            </w:pPr>
            <w:r>
              <w:rPr>
                <w:rFonts w:hint="eastAsia"/>
              </w:rPr>
              <w:t>指标</w:t>
            </w:r>
          </w:p>
        </w:tc>
      </w:tr>
      <w:tr w14:paraId="41D09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2475" w:type="pct"/>
            <w:gridSpan w:val="3"/>
            <w:tcBorders>
              <w:top w:val="single" w:color="auto" w:sz="4" w:space="0"/>
              <w:left w:val="single" w:color="auto" w:sz="4" w:space="0"/>
              <w:bottom w:val="single" w:color="auto" w:sz="4" w:space="0"/>
              <w:right w:val="single" w:color="auto" w:sz="4" w:space="0"/>
            </w:tcBorders>
            <w:vAlign w:val="center"/>
          </w:tcPr>
          <w:p w14:paraId="0F805D1B">
            <w:pPr>
              <w:pStyle w:val="59"/>
              <w:ind w:firstLine="0" w:firstLineChars="0"/>
              <w:jc w:val="center"/>
            </w:pPr>
            <w:r>
              <w:rPr>
                <w:rFonts w:hint="eastAsia"/>
              </w:rPr>
              <w:t>在容器中状态</w:t>
            </w:r>
          </w:p>
        </w:tc>
        <w:tc>
          <w:tcPr>
            <w:tcW w:w="2525" w:type="pct"/>
            <w:tcBorders>
              <w:top w:val="single" w:color="auto" w:sz="4" w:space="0"/>
              <w:left w:val="single" w:color="auto" w:sz="4" w:space="0"/>
              <w:bottom w:val="single" w:color="auto" w:sz="4" w:space="0"/>
              <w:right w:val="single" w:color="auto" w:sz="4" w:space="0"/>
            </w:tcBorders>
            <w:vAlign w:val="center"/>
          </w:tcPr>
          <w:p w14:paraId="4A809492">
            <w:pPr>
              <w:pStyle w:val="59"/>
              <w:ind w:firstLine="0" w:firstLineChars="0"/>
              <w:jc w:val="center"/>
            </w:pPr>
            <w:r>
              <w:rPr>
                <w:rFonts w:hint="eastAsia"/>
              </w:rPr>
              <w:t>搅拌后均匀无硬块</w:t>
            </w:r>
          </w:p>
        </w:tc>
      </w:tr>
      <w:tr w14:paraId="6EC2E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5" w:type="pct"/>
            <w:gridSpan w:val="3"/>
            <w:tcBorders>
              <w:top w:val="single" w:color="auto" w:sz="4" w:space="0"/>
              <w:left w:val="single" w:color="auto" w:sz="4" w:space="0"/>
              <w:bottom w:val="single" w:color="auto" w:sz="4" w:space="0"/>
              <w:right w:val="single" w:color="auto" w:sz="4" w:space="0"/>
            </w:tcBorders>
            <w:vAlign w:val="center"/>
          </w:tcPr>
          <w:p w14:paraId="79F04941">
            <w:pPr>
              <w:pStyle w:val="59"/>
              <w:ind w:firstLine="0" w:firstLineChars="0"/>
              <w:jc w:val="center"/>
            </w:pPr>
            <w:r>
              <w:rPr>
                <w:rFonts w:hint="eastAsia"/>
              </w:rPr>
              <w:t>不挥发物含量/%</w:t>
            </w:r>
          </w:p>
        </w:tc>
        <w:tc>
          <w:tcPr>
            <w:tcW w:w="2525" w:type="pct"/>
            <w:tcBorders>
              <w:top w:val="single" w:color="auto" w:sz="4" w:space="0"/>
              <w:left w:val="single" w:color="auto" w:sz="4" w:space="0"/>
              <w:bottom w:val="single" w:color="auto" w:sz="4" w:space="0"/>
              <w:right w:val="single" w:color="auto" w:sz="4" w:space="0"/>
            </w:tcBorders>
            <w:vAlign w:val="center"/>
          </w:tcPr>
          <w:p w14:paraId="12374E48">
            <w:pPr>
              <w:pStyle w:val="59"/>
              <w:ind w:firstLine="0" w:firstLineChars="0"/>
              <w:jc w:val="center"/>
            </w:pPr>
            <w:r>
              <w:rPr>
                <w:rFonts w:hint="eastAsia"/>
              </w:rPr>
              <w:t>≥50</w:t>
            </w:r>
          </w:p>
        </w:tc>
      </w:tr>
      <w:tr w14:paraId="6C4F1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279" w:type="pct"/>
            <w:gridSpan w:val="2"/>
            <w:vMerge w:val="restart"/>
            <w:tcBorders>
              <w:top w:val="nil"/>
              <w:left w:val="single" w:color="auto" w:sz="4" w:space="0"/>
              <w:bottom w:val="single" w:color="auto" w:sz="4" w:space="0"/>
              <w:right w:val="single" w:color="auto" w:sz="4" w:space="0"/>
            </w:tcBorders>
            <w:vAlign w:val="center"/>
          </w:tcPr>
          <w:p w14:paraId="4690993E">
            <w:pPr>
              <w:pStyle w:val="59"/>
              <w:ind w:firstLine="0" w:firstLineChars="0"/>
              <w:jc w:val="center"/>
            </w:pPr>
            <w:r>
              <w:rPr>
                <w:rFonts w:hint="eastAsia"/>
              </w:rPr>
              <w:t>干燥时间/h</w:t>
            </w:r>
          </w:p>
        </w:tc>
        <w:tc>
          <w:tcPr>
            <w:tcW w:w="1196" w:type="pct"/>
            <w:tcBorders>
              <w:top w:val="single" w:color="auto" w:sz="4" w:space="0"/>
              <w:left w:val="single" w:color="auto" w:sz="4" w:space="0"/>
              <w:bottom w:val="single" w:color="auto" w:sz="4" w:space="0"/>
              <w:right w:val="single" w:color="auto" w:sz="4" w:space="0"/>
            </w:tcBorders>
            <w:vAlign w:val="center"/>
          </w:tcPr>
          <w:p w14:paraId="3453C0DB">
            <w:pPr>
              <w:pStyle w:val="59"/>
              <w:ind w:firstLine="0" w:firstLineChars="0"/>
              <w:jc w:val="center"/>
            </w:pPr>
            <w:r>
              <w:rPr>
                <w:rFonts w:hint="eastAsia"/>
              </w:rPr>
              <w:t>表干</w:t>
            </w:r>
          </w:p>
        </w:tc>
        <w:tc>
          <w:tcPr>
            <w:tcW w:w="2525" w:type="pct"/>
            <w:tcBorders>
              <w:top w:val="single" w:color="auto" w:sz="4" w:space="0"/>
              <w:left w:val="single" w:color="auto" w:sz="4" w:space="0"/>
              <w:bottom w:val="single" w:color="auto" w:sz="4" w:space="0"/>
              <w:right w:val="single" w:color="auto" w:sz="4" w:space="0"/>
            </w:tcBorders>
            <w:vAlign w:val="center"/>
          </w:tcPr>
          <w:p w14:paraId="0C1A6987">
            <w:pPr>
              <w:pStyle w:val="59"/>
              <w:ind w:firstLine="0" w:firstLineChars="0"/>
              <w:jc w:val="center"/>
            </w:pPr>
            <w:r>
              <w:rPr>
                <w:rFonts w:hint="eastAsia"/>
              </w:rPr>
              <w:t>≤2</w:t>
            </w:r>
          </w:p>
        </w:tc>
      </w:tr>
      <w:tr w14:paraId="4C07C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279" w:type="pct"/>
            <w:gridSpan w:val="2"/>
            <w:vMerge w:val="continue"/>
            <w:tcBorders>
              <w:top w:val="nil"/>
              <w:left w:val="single" w:color="auto" w:sz="4" w:space="0"/>
              <w:bottom w:val="single" w:color="auto" w:sz="4" w:space="0"/>
              <w:right w:val="single" w:color="auto" w:sz="4" w:space="0"/>
            </w:tcBorders>
            <w:vAlign w:val="center"/>
          </w:tcPr>
          <w:p w14:paraId="3216D6B2">
            <w:pPr>
              <w:pStyle w:val="59"/>
              <w:ind w:firstLine="0" w:firstLineChars="0"/>
              <w:jc w:val="center"/>
            </w:pPr>
          </w:p>
        </w:tc>
        <w:tc>
          <w:tcPr>
            <w:tcW w:w="1196" w:type="pct"/>
            <w:tcBorders>
              <w:top w:val="single" w:color="auto" w:sz="4" w:space="0"/>
              <w:left w:val="single" w:color="auto" w:sz="4" w:space="0"/>
              <w:bottom w:val="single" w:color="auto" w:sz="4" w:space="0"/>
              <w:right w:val="single" w:color="auto" w:sz="4" w:space="0"/>
            </w:tcBorders>
            <w:vAlign w:val="center"/>
          </w:tcPr>
          <w:p w14:paraId="31372F86">
            <w:pPr>
              <w:pStyle w:val="59"/>
              <w:ind w:firstLine="0" w:firstLineChars="0"/>
              <w:jc w:val="center"/>
            </w:pPr>
            <w:r>
              <w:rPr>
                <w:rFonts w:hint="eastAsia"/>
              </w:rPr>
              <w:t>实干</w:t>
            </w:r>
          </w:p>
        </w:tc>
        <w:tc>
          <w:tcPr>
            <w:tcW w:w="2525" w:type="pct"/>
            <w:tcBorders>
              <w:top w:val="single" w:color="auto" w:sz="4" w:space="0"/>
              <w:left w:val="single" w:color="auto" w:sz="4" w:space="0"/>
              <w:bottom w:val="single" w:color="auto" w:sz="4" w:space="0"/>
              <w:right w:val="single" w:color="auto" w:sz="4" w:space="0"/>
            </w:tcBorders>
            <w:vAlign w:val="center"/>
          </w:tcPr>
          <w:p w14:paraId="2D26FEBF">
            <w:pPr>
              <w:pStyle w:val="59"/>
              <w:ind w:firstLine="0" w:firstLineChars="0"/>
              <w:jc w:val="center"/>
            </w:pPr>
            <w:r>
              <w:rPr>
                <w:rFonts w:hint="eastAsia"/>
              </w:rPr>
              <w:t>≤24</w:t>
            </w:r>
          </w:p>
        </w:tc>
      </w:tr>
      <w:tr w14:paraId="24A9E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2475" w:type="pct"/>
            <w:gridSpan w:val="3"/>
            <w:tcBorders>
              <w:top w:val="single" w:color="auto" w:sz="4" w:space="0"/>
              <w:left w:val="single" w:color="auto" w:sz="4" w:space="0"/>
              <w:bottom w:val="single" w:color="auto" w:sz="4" w:space="0"/>
              <w:right w:val="single" w:color="auto" w:sz="4" w:space="0"/>
            </w:tcBorders>
            <w:vAlign w:val="center"/>
          </w:tcPr>
          <w:p w14:paraId="60A1A158">
            <w:pPr>
              <w:pStyle w:val="59"/>
              <w:ind w:firstLine="0" w:firstLineChars="0"/>
              <w:jc w:val="center"/>
            </w:pPr>
            <w:r>
              <w:rPr>
                <w:rFonts w:hint="eastAsia"/>
              </w:rPr>
              <w:t>涂膜外观</w:t>
            </w:r>
          </w:p>
        </w:tc>
        <w:tc>
          <w:tcPr>
            <w:tcW w:w="2525" w:type="pct"/>
            <w:tcBorders>
              <w:top w:val="single" w:color="auto" w:sz="4" w:space="0"/>
              <w:left w:val="single" w:color="auto" w:sz="4" w:space="0"/>
              <w:bottom w:val="single" w:color="auto" w:sz="4" w:space="0"/>
              <w:right w:val="single" w:color="auto" w:sz="4" w:space="0"/>
            </w:tcBorders>
            <w:vAlign w:val="center"/>
          </w:tcPr>
          <w:p w14:paraId="33B793B2">
            <w:pPr>
              <w:pStyle w:val="59"/>
              <w:ind w:firstLine="0" w:firstLineChars="0"/>
              <w:jc w:val="center"/>
            </w:pPr>
            <w:r>
              <w:rPr>
                <w:rFonts w:hint="eastAsia"/>
              </w:rPr>
              <w:t>正常</w:t>
            </w:r>
          </w:p>
        </w:tc>
      </w:tr>
      <w:tr w14:paraId="4DD75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2475" w:type="pct"/>
            <w:gridSpan w:val="3"/>
            <w:tcBorders>
              <w:top w:val="single" w:color="auto" w:sz="4" w:space="0"/>
              <w:left w:val="single" w:color="auto" w:sz="4" w:space="0"/>
              <w:bottom w:val="single" w:color="auto" w:sz="4" w:space="0"/>
              <w:right w:val="single" w:color="auto" w:sz="4" w:space="0"/>
            </w:tcBorders>
            <w:vAlign w:val="center"/>
          </w:tcPr>
          <w:p w14:paraId="26345D99">
            <w:pPr>
              <w:pStyle w:val="59"/>
              <w:ind w:firstLine="0" w:firstLineChars="0"/>
              <w:jc w:val="center"/>
            </w:pPr>
            <w:r>
              <w:rPr>
                <w:rFonts w:hint="eastAsia"/>
              </w:rPr>
              <w:t>铅笔硬度（擦伤）</w:t>
            </w:r>
          </w:p>
        </w:tc>
        <w:tc>
          <w:tcPr>
            <w:tcW w:w="2525" w:type="pct"/>
            <w:tcBorders>
              <w:top w:val="single" w:color="auto" w:sz="4" w:space="0"/>
              <w:left w:val="single" w:color="auto" w:sz="4" w:space="0"/>
              <w:bottom w:val="single" w:color="auto" w:sz="4" w:space="0"/>
              <w:right w:val="single" w:color="auto" w:sz="4" w:space="0"/>
            </w:tcBorders>
            <w:vAlign w:val="center"/>
          </w:tcPr>
          <w:p w14:paraId="41F77885">
            <w:pPr>
              <w:pStyle w:val="59"/>
              <w:ind w:firstLine="0" w:firstLineChars="0"/>
              <w:jc w:val="center"/>
            </w:pPr>
            <w:r>
              <w:rPr>
                <w:rFonts w:hint="eastAsia"/>
              </w:rPr>
              <w:t>≥H</w:t>
            </w:r>
          </w:p>
        </w:tc>
      </w:tr>
      <w:tr w14:paraId="37A04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2475" w:type="pct"/>
            <w:gridSpan w:val="3"/>
            <w:tcBorders>
              <w:top w:val="single" w:color="auto" w:sz="4" w:space="0"/>
              <w:left w:val="single" w:color="auto" w:sz="4" w:space="0"/>
              <w:bottom w:val="single" w:color="auto" w:sz="4" w:space="0"/>
              <w:right w:val="single" w:color="auto" w:sz="4" w:space="0"/>
            </w:tcBorders>
            <w:vAlign w:val="center"/>
          </w:tcPr>
          <w:p w14:paraId="59AABA8C">
            <w:pPr>
              <w:pStyle w:val="59"/>
              <w:ind w:firstLine="0" w:firstLineChars="0"/>
              <w:jc w:val="center"/>
            </w:pPr>
            <w:r>
              <w:rPr>
                <w:rFonts w:hint="eastAsia"/>
              </w:rPr>
              <w:t>耐冲击性/cm</w:t>
            </w:r>
          </w:p>
        </w:tc>
        <w:tc>
          <w:tcPr>
            <w:tcW w:w="2525" w:type="pct"/>
            <w:tcBorders>
              <w:top w:val="single" w:color="auto" w:sz="4" w:space="0"/>
              <w:left w:val="single" w:color="auto" w:sz="4" w:space="0"/>
              <w:bottom w:val="single" w:color="auto" w:sz="4" w:space="0"/>
              <w:right w:val="single" w:color="auto" w:sz="4" w:space="0"/>
            </w:tcBorders>
            <w:vAlign w:val="center"/>
          </w:tcPr>
          <w:p w14:paraId="05C37D08">
            <w:pPr>
              <w:pStyle w:val="59"/>
              <w:ind w:firstLine="0" w:firstLineChars="0"/>
              <w:jc w:val="center"/>
            </w:pPr>
            <w:r>
              <w:rPr>
                <w:rFonts w:hint="eastAsia"/>
              </w:rPr>
              <w:t>50</w:t>
            </w:r>
          </w:p>
        </w:tc>
      </w:tr>
      <w:tr w14:paraId="2247D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2475" w:type="pct"/>
            <w:gridSpan w:val="3"/>
            <w:tcBorders>
              <w:top w:val="single" w:color="auto" w:sz="4" w:space="0"/>
              <w:left w:val="single" w:color="auto" w:sz="4" w:space="0"/>
              <w:bottom w:val="single" w:color="auto" w:sz="4" w:space="0"/>
              <w:right w:val="single" w:color="auto" w:sz="4" w:space="0"/>
            </w:tcBorders>
            <w:vAlign w:val="center"/>
          </w:tcPr>
          <w:p w14:paraId="1B9699D6">
            <w:pPr>
              <w:pStyle w:val="59"/>
              <w:ind w:firstLine="0" w:firstLineChars="0"/>
              <w:jc w:val="center"/>
            </w:pPr>
            <w:r>
              <w:rPr>
                <w:rFonts w:hint="eastAsia"/>
              </w:rPr>
              <w:t>划格实验</w:t>
            </w:r>
          </w:p>
        </w:tc>
        <w:tc>
          <w:tcPr>
            <w:tcW w:w="2525" w:type="pct"/>
            <w:tcBorders>
              <w:top w:val="single" w:color="auto" w:sz="4" w:space="0"/>
              <w:left w:val="single" w:color="auto" w:sz="4" w:space="0"/>
              <w:bottom w:val="single" w:color="auto" w:sz="4" w:space="0"/>
              <w:right w:val="single" w:color="auto" w:sz="4" w:space="0"/>
            </w:tcBorders>
            <w:vAlign w:val="center"/>
          </w:tcPr>
          <w:p w14:paraId="7B987184">
            <w:pPr>
              <w:pStyle w:val="59"/>
              <w:ind w:firstLine="0" w:firstLineChars="0"/>
              <w:jc w:val="center"/>
            </w:pPr>
            <w:r>
              <w:rPr>
                <w:rFonts w:hint="eastAsia"/>
              </w:rPr>
              <w:t>≤1</w:t>
            </w:r>
          </w:p>
        </w:tc>
      </w:tr>
      <w:tr w14:paraId="72AE8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2475" w:type="pct"/>
            <w:gridSpan w:val="3"/>
            <w:tcBorders>
              <w:top w:val="single" w:color="auto" w:sz="4" w:space="0"/>
              <w:left w:val="single" w:color="auto" w:sz="4" w:space="0"/>
              <w:bottom w:val="single" w:color="auto" w:sz="4" w:space="0"/>
              <w:right w:val="single" w:color="auto" w:sz="4" w:space="0"/>
            </w:tcBorders>
            <w:vAlign w:val="center"/>
          </w:tcPr>
          <w:p w14:paraId="3A615EEA">
            <w:pPr>
              <w:pStyle w:val="59"/>
              <w:ind w:firstLine="0" w:firstLineChars="0"/>
              <w:jc w:val="center"/>
            </w:pPr>
            <w:r>
              <w:rPr>
                <w:rFonts w:hint="eastAsia"/>
              </w:rPr>
              <w:t>附着力（拉开法）/MPa</w:t>
            </w:r>
          </w:p>
        </w:tc>
        <w:tc>
          <w:tcPr>
            <w:tcW w:w="2525" w:type="pct"/>
            <w:tcBorders>
              <w:top w:val="single" w:color="auto" w:sz="4" w:space="0"/>
              <w:left w:val="single" w:color="auto" w:sz="4" w:space="0"/>
              <w:bottom w:val="single" w:color="auto" w:sz="4" w:space="0"/>
              <w:right w:val="single" w:color="auto" w:sz="4" w:space="0"/>
            </w:tcBorders>
            <w:vAlign w:val="center"/>
          </w:tcPr>
          <w:p w14:paraId="44830DA0">
            <w:pPr>
              <w:pStyle w:val="59"/>
              <w:ind w:firstLine="0" w:firstLineChars="0"/>
              <w:jc w:val="center"/>
            </w:pPr>
            <w:r>
              <w:rPr>
                <w:rFonts w:hint="eastAsia"/>
              </w:rPr>
              <w:t>≥5</w:t>
            </w:r>
          </w:p>
        </w:tc>
      </w:tr>
      <w:tr w14:paraId="0DBDF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2475" w:type="pct"/>
            <w:gridSpan w:val="3"/>
            <w:tcBorders>
              <w:top w:val="single" w:color="auto" w:sz="4" w:space="0"/>
              <w:left w:val="single" w:color="auto" w:sz="4" w:space="0"/>
              <w:bottom w:val="single" w:color="auto" w:sz="4" w:space="0"/>
              <w:right w:val="single" w:color="auto" w:sz="4" w:space="0"/>
            </w:tcBorders>
            <w:vAlign w:val="center"/>
          </w:tcPr>
          <w:p w14:paraId="2D4032F5">
            <w:pPr>
              <w:pStyle w:val="59"/>
              <w:ind w:firstLine="0" w:firstLineChars="0"/>
              <w:jc w:val="center"/>
            </w:pPr>
            <w:r>
              <w:rPr>
                <w:rFonts w:hint="eastAsia"/>
              </w:rPr>
              <w:t>弯曲试验/mm</w:t>
            </w:r>
          </w:p>
        </w:tc>
        <w:tc>
          <w:tcPr>
            <w:tcW w:w="2525" w:type="pct"/>
            <w:tcBorders>
              <w:top w:val="single" w:color="auto" w:sz="4" w:space="0"/>
              <w:left w:val="single" w:color="auto" w:sz="4" w:space="0"/>
              <w:bottom w:val="single" w:color="auto" w:sz="4" w:space="0"/>
              <w:right w:val="single" w:color="auto" w:sz="4" w:space="0"/>
            </w:tcBorders>
            <w:vAlign w:val="center"/>
          </w:tcPr>
          <w:p w14:paraId="12EF9F46">
            <w:pPr>
              <w:pStyle w:val="59"/>
              <w:ind w:firstLine="0" w:firstLineChars="0"/>
              <w:jc w:val="center"/>
            </w:pPr>
            <w:r>
              <w:rPr>
                <w:rFonts w:hint="eastAsia"/>
              </w:rPr>
              <w:t>≤2</w:t>
            </w:r>
          </w:p>
        </w:tc>
      </w:tr>
      <w:tr w14:paraId="0A032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2475" w:type="pct"/>
            <w:gridSpan w:val="3"/>
            <w:tcBorders>
              <w:top w:val="single" w:color="auto" w:sz="4" w:space="0"/>
              <w:left w:val="single" w:color="auto" w:sz="4" w:space="0"/>
              <w:bottom w:val="single" w:color="auto" w:sz="4" w:space="0"/>
              <w:right w:val="single" w:color="auto" w:sz="4" w:space="0"/>
            </w:tcBorders>
            <w:vAlign w:val="center"/>
          </w:tcPr>
          <w:p w14:paraId="4AEF80B4">
            <w:pPr>
              <w:pStyle w:val="59"/>
              <w:ind w:firstLine="0" w:firstLineChars="0"/>
              <w:jc w:val="center"/>
            </w:pPr>
            <w:r>
              <w:rPr>
                <w:rFonts w:hint="eastAsia"/>
              </w:rPr>
              <w:t>耐酸性（50g/L,H</w:t>
            </w:r>
            <w:r>
              <w:rPr>
                <w:rFonts w:hint="eastAsia"/>
                <w:vertAlign w:val="subscript"/>
              </w:rPr>
              <w:t>2</w:t>
            </w:r>
            <w:r>
              <w:rPr>
                <w:rFonts w:hint="eastAsia"/>
              </w:rPr>
              <w:t>SO</w:t>
            </w:r>
            <w:r>
              <w:rPr>
                <w:rFonts w:hint="eastAsia"/>
                <w:vertAlign w:val="subscript"/>
              </w:rPr>
              <w:t>4</w:t>
            </w:r>
            <w:r>
              <w:rPr>
                <w:rFonts w:hint="eastAsia"/>
              </w:rPr>
              <w:t>）</w:t>
            </w:r>
          </w:p>
        </w:tc>
        <w:tc>
          <w:tcPr>
            <w:tcW w:w="2525" w:type="pct"/>
            <w:tcBorders>
              <w:top w:val="single" w:color="auto" w:sz="4" w:space="0"/>
              <w:left w:val="single" w:color="auto" w:sz="4" w:space="0"/>
              <w:bottom w:val="single" w:color="auto" w:sz="4" w:space="0"/>
              <w:right w:val="single" w:color="auto" w:sz="4" w:space="0"/>
            </w:tcBorders>
            <w:vAlign w:val="center"/>
          </w:tcPr>
          <w:p w14:paraId="61295733">
            <w:pPr>
              <w:pStyle w:val="59"/>
              <w:ind w:firstLine="0" w:firstLineChars="0"/>
              <w:jc w:val="center"/>
            </w:pPr>
            <w:r>
              <w:rPr>
                <w:rFonts w:hint="eastAsia"/>
              </w:rPr>
              <w:t>168h无异常</w:t>
            </w:r>
          </w:p>
        </w:tc>
      </w:tr>
      <w:tr w14:paraId="7FBA9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5" w:type="pct"/>
            <w:gridSpan w:val="3"/>
            <w:tcBorders>
              <w:top w:val="single" w:color="auto" w:sz="4" w:space="0"/>
              <w:left w:val="single" w:color="auto" w:sz="4" w:space="0"/>
              <w:bottom w:val="single" w:color="auto" w:sz="4" w:space="0"/>
              <w:right w:val="single" w:color="auto" w:sz="4" w:space="0"/>
            </w:tcBorders>
            <w:vAlign w:val="center"/>
          </w:tcPr>
          <w:p w14:paraId="36526167">
            <w:pPr>
              <w:pStyle w:val="59"/>
              <w:ind w:firstLine="0" w:firstLineChars="0"/>
              <w:jc w:val="center"/>
            </w:pPr>
            <w:r>
              <w:rPr>
                <w:rFonts w:hint="eastAsia"/>
              </w:rPr>
              <w:t>耐碱性（</w:t>
            </w:r>
            <w:r>
              <w:t>2</w:t>
            </w:r>
            <w:r>
              <w:rPr>
                <w:rFonts w:hint="eastAsia"/>
              </w:rPr>
              <w:t>0g/L,NaOH）</w:t>
            </w:r>
          </w:p>
        </w:tc>
        <w:tc>
          <w:tcPr>
            <w:tcW w:w="2525" w:type="pct"/>
            <w:tcBorders>
              <w:top w:val="single" w:color="auto" w:sz="4" w:space="0"/>
              <w:left w:val="single" w:color="auto" w:sz="4" w:space="0"/>
              <w:bottom w:val="single" w:color="auto" w:sz="4" w:space="0"/>
              <w:right w:val="single" w:color="auto" w:sz="4" w:space="0"/>
            </w:tcBorders>
            <w:vAlign w:val="center"/>
          </w:tcPr>
          <w:p w14:paraId="116F8E81">
            <w:pPr>
              <w:pStyle w:val="59"/>
              <w:ind w:firstLine="0" w:firstLineChars="0"/>
              <w:jc w:val="center"/>
            </w:pPr>
            <w:r>
              <w:rPr>
                <w:rFonts w:hint="eastAsia"/>
              </w:rPr>
              <w:t>168h无异常</w:t>
            </w:r>
          </w:p>
        </w:tc>
      </w:tr>
      <w:tr w14:paraId="2DC4E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475" w:type="pct"/>
            <w:gridSpan w:val="3"/>
            <w:tcBorders>
              <w:top w:val="single" w:color="auto" w:sz="4" w:space="0"/>
              <w:left w:val="single" w:color="auto" w:sz="4" w:space="0"/>
              <w:bottom w:val="single" w:color="auto" w:sz="4" w:space="0"/>
              <w:right w:val="single" w:color="auto" w:sz="4" w:space="0"/>
            </w:tcBorders>
            <w:vAlign w:val="center"/>
          </w:tcPr>
          <w:p w14:paraId="340330AB">
            <w:pPr>
              <w:pStyle w:val="59"/>
              <w:ind w:firstLine="0" w:firstLineChars="0"/>
              <w:jc w:val="center"/>
            </w:pPr>
            <w:r>
              <w:rPr>
                <w:rFonts w:hint="eastAsia"/>
              </w:rPr>
              <w:t>耐湿冷热循环性</w:t>
            </w:r>
          </w:p>
        </w:tc>
        <w:tc>
          <w:tcPr>
            <w:tcW w:w="2525" w:type="pct"/>
            <w:tcBorders>
              <w:top w:val="single" w:color="auto" w:sz="4" w:space="0"/>
              <w:left w:val="single" w:color="auto" w:sz="4" w:space="0"/>
              <w:bottom w:val="single" w:color="auto" w:sz="4" w:space="0"/>
              <w:right w:val="single" w:color="auto" w:sz="4" w:space="0"/>
            </w:tcBorders>
            <w:vAlign w:val="center"/>
          </w:tcPr>
          <w:p w14:paraId="796EE144">
            <w:pPr>
              <w:pStyle w:val="59"/>
              <w:ind w:firstLine="0" w:firstLineChars="0"/>
              <w:jc w:val="center"/>
            </w:pPr>
            <w:r>
              <w:rPr>
                <w:rFonts w:hint="eastAsia"/>
              </w:rPr>
              <w:t>10次循环无异常</w:t>
            </w:r>
          </w:p>
        </w:tc>
      </w:tr>
      <w:tr w14:paraId="096E8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2475" w:type="pct"/>
            <w:gridSpan w:val="3"/>
            <w:tcBorders>
              <w:top w:val="single" w:color="auto" w:sz="4" w:space="0"/>
              <w:left w:val="single" w:color="auto" w:sz="4" w:space="0"/>
              <w:bottom w:val="single" w:color="auto" w:sz="4" w:space="0"/>
              <w:right w:val="single" w:color="auto" w:sz="4" w:space="0"/>
            </w:tcBorders>
            <w:vAlign w:val="center"/>
          </w:tcPr>
          <w:p w14:paraId="7546E1DA">
            <w:pPr>
              <w:pStyle w:val="59"/>
              <w:ind w:firstLine="0" w:firstLineChars="0"/>
              <w:jc w:val="center"/>
            </w:pPr>
            <w:r>
              <w:rPr>
                <w:rFonts w:hint="eastAsia"/>
              </w:rPr>
              <w:t>耐湿热性</w:t>
            </w:r>
          </w:p>
        </w:tc>
        <w:tc>
          <w:tcPr>
            <w:tcW w:w="2525" w:type="pct"/>
            <w:tcBorders>
              <w:top w:val="single" w:color="auto" w:sz="4" w:space="0"/>
              <w:left w:val="single" w:color="auto" w:sz="4" w:space="0"/>
              <w:bottom w:val="single" w:color="auto" w:sz="4" w:space="0"/>
              <w:right w:val="single" w:color="auto" w:sz="4" w:space="0"/>
            </w:tcBorders>
            <w:vAlign w:val="center"/>
          </w:tcPr>
          <w:p w14:paraId="3B5365A0">
            <w:pPr>
              <w:pStyle w:val="59"/>
              <w:ind w:firstLine="0" w:firstLineChars="0"/>
              <w:jc w:val="center"/>
            </w:pPr>
            <w:r>
              <w:rPr>
                <w:rFonts w:hint="eastAsia"/>
              </w:rPr>
              <w:t>1000h不起泡、不生锈、不脱落</w:t>
            </w:r>
          </w:p>
        </w:tc>
      </w:tr>
      <w:tr w14:paraId="7F871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2475" w:type="pct"/>
            <w:gridSpan w:val="3"/>
            <w:tcBorders>
              <w:top w:val="single" w:color="auto" w:sz="4" w:space="0"/>
              <w:left w:val="single" w:color="auto" w:sz="4" w:space="0"/>
              <w:bottom w:val="single" w:color="auto" w:sz="4" w:space="0"/>
              <w:right w:val="single" w:color="auto" w:sz="4" w:space="0"/>
            </w:tcBorders>
            <w:vAlign w:val="center"/>
          </w:tcPr>
          <w:p w14:paraId="705744BE">
            <w:pPr>
              <w:pStyle w:val="59"/>
              <w:ind w:firstLine="0" w:firstLineChars="0"/>
              <w:jc w:val="center"/>
            </w:pPr>
            <w:r>
              <w:rPr>
                <w:rFonts w:hint="eastAsia"/>
              </w:rPr>
              <w:t>耐盐雾性</w:t>
            </w:r>
          </w:p>
        </w:tc>
        <w:tc>
          <w:tcPr>
            <w:tcW w:w="2525" w:type="pct"/>
            <w:tcBorders>
              <w:top w:val="single" w:color="auto" w:sz="4" w:space="0"/>
              <w:left w:val="single" w:color="auto" w:sz="4" w:space="0"/>
              <w:bottom w:val="single" w:color="auto" w:sz="4" w:space="0"/>
              <w:right w:val="single" w:color="auto" w:sz="4" w:space="0"/>
            </w:tcBorders>
            <w:vAlign w:val="center"/>
          </w:tcPr>
          <w:p w14:paraId="5EF531DF">
            <w:pPr>
              <w:pStyle w:val="59"/>
              <w:ind w:firstLine="0" w:firstLineChars="0"/>
              <w:jc w:val="center"/>
            </w:pPr>
            <w:r>
              <w:rPr>
                <w:rFonts w:hint="eastAsia"/>
              </w:rPr>
              <w:t>1000h不起泡、不生锈、不脱落</w:t>
            </w:r>
          </w:p>
        </w:tc>
      </w:tr>
      <w:tr w14:paraId="635BA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2" w:type="pct"/>
            <w:vMerge w:val="restart"/>
            <w:tcBorders>
              <w:top w:val="nil"/>
              <w:left w:val="single" w:color="auto" w:sz="4" w:space="0"/>
              <w:bottom w:val="single" w:color="auto" w:sz="4" w:space="0"/>
              <w:right w:val="single" w:color="auto" w:sz="4" w:space="0"/>
            </w:tcBorders>
            <w:vAlign w:val="center"/>
          </w:tcPr>
          <w:p w14:paraId="7C0F6680">
            <w:pPr>
              <w:pStyle w:val="59"/>
              <w:ind w:firstLine="0" w:firstLineChars="0"/>
              <w:jc w:val="center"/>
            </w:pPr>
            <w:r>
              <w:rPr>
                <w:rFonts w:hint="eastAsia"/>
              </w:rPr>
              <w:t>耐人工气候老化性（</w:t>
            </w:r>
            <w:r>
              <w:t>1</w:t>
            </w:r>
            <w:r>
              <w:rPr>
                <w:rFonts w:hint="eastAsia"/>
              </w:rPr>
              <w:t>000h）</w:t>
            </w:r>
          </w:p>
        </w:tc>
        <w:tc>
          <w:tcPr>
            <w:tcW w:w="1453" w:type="pct"/>
            <w:gridSpan w:val="2"/>
            <w:tcBorders>
              <w:top w:val="single" w:color="auto" w:sz="4" w:space="0"/>
              <w:left w:val="single" w:color="auto" w:sz="4" w:space="0"/>
              <w:bottom w:val="single" w:color="auto" w:sz="4" w:space="0"/>
              <w:right w:val="single" w:color="auto" w:sz="4" w:space="0"/>
            </w:tcBorders>
            <w:vAlign w:val="center"/>
          </w:tcPr>
          <w:p w14:paraId="75DC4431">
            <w:pPr>
              <w:pStyle w:val="59"/>
              <w:ind w:firstLine="0" w:firstLineChars="0"/>
              <w:jc w:val="center"/>
            </w:pPr>
            <w:r>
              <w:rPr>
                <w:rFonts w:hint="eastAsia"/>
              </w:rPr>
              <w:t>白色</w:t>
            </w:r>
          </w:p>
        </w:tc>
        <w:tc>
          <w:tcPr>
            <w:tcW w:w="2525" w:type="pct"/>
            <w:tcBorders>
              <w:top w:val="single" w:color="auto" w:sz="4" w:space="0"/>
              <w:left w:val="single" w:color="auto" w:sz="4" w:space="0"/>
              <w:bottom w:val="single" w:color="auto" w:sz="4" w:space="0"/>
              <w:right w:val="single" w:color="auto" w:sz="4" w:space="0"/>
            </w:tcBorders>
            <w:vAlign w:val="center"/>
          </w:tcPr>
          <w:p w14:paraId="1E310A35">
            <w:pPr>
              <w:pStyle w:val="59"/>
              <w:ind w:firstLine="0" w:firstLineChars="0"/>
              <w:jc w:val="center"/>
            </w:pPr>
            <w:r>
              <w:rPr>
                <w:rFonts w:hint="eastAsia"/>
              </w:rPr>
              <w:t>不起泡、不脱落、不开裂，不粉化，</w:t>
            </w:r>
          </w:p>
          <w:p w14:paraId="5A615736">
            <w:pPr>
              <w:pStyle w:val="59"/>
              <w:ind w:firstLine="0" w:firstLineChars="0"/>
              <w:jc w:val="center"/>
            </w:pPr>
            <w:r>
              <w:rPr>
                <w:rFonts w:hint="eastAsia"/>
              </w:rPr>
              <w:t>ΔE ≤3.0，保光率≥80%</w:t>
            </w:r>
          </w:p>
        </w:tc>
      </w:tr>
      <w:tr w14:paraId="11C9E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2" w:type="pct"/>
            <w:vMerge w:val="continue"/>
            <w:tcBorders>
              <w:top w:val="nil"/>
              <w:left w:val="single" w:color="auto" w:sz="4" w:space="0"/>
              <w:bottom w:val="single" w:color="auto" w:sz="4" w:space="0"/>
              <w:right w:val="single" w:color="auto" w:sz="4" w:space="0"/>
            </w:tcBorders>
            <w:vAlign w:val="center"/>
          </w:tcPr>
          <w:p w14:paraId="4E7524A5">
            <w:pPr>
              <w:pStyle w:val="59"/>
              <w:ind w:firstLine="0" w:firstLineChars="0"/>
              <w:jc w:val="center"/>
            </w:pPr>
          </w:p>
        </w:tc>
        <w:tc>
          <w:tcPr>
            <w:tcW w:w="1453" w:type="pct"/>
            <w:gridSpan w:val="2"/>
            <w:tcBorders>
              <w:top w:val="single" w:color="auto" w:sz="4" w:space="0"/>
              <w:left w:val="single" w:color="auto" w:sz="4" w:space="0"/>
              <w:bottom w:val="single" w:color="auto" w:sz="4" w:space="0"/>
              <w:right w:val="single" w:color="auto" w:sz="4" w:space="0"/>
            </w:tcBorders>
            <w:vAlign w:val="center"/>
          </w:tcPr>
          <w:p w14:paraId="7F0BA1DC">
            <w:pPr>
              <w:pStyle w:val="59"/>
              <w:ind w:firstLine="0" w:firstLineChars="0"/>
              <w:jc w:val="center"/>
            </w:pPr>
            <w:r>
              <w:rPr>
                <w:rFonts w:hint="eastAsia"/>
              </w:rPr>
              <w:t>其他色</w:t>
            </w:r>
          </w:p>
        </w:tc>
        <w:tc>
          <w:tcPr>
            <w:tcW w:w="2525" w:type="pct"/>
            <w:tcBorders>
              <w:top w:val="single" w:color="auto" w:sz="4" w:space="0"/>
              <w:left w:val="single" w:color="auto" w:sz="4" w:space="0"/>
              <w:bottom w:val="single" w:color="auto" w:sz="4" w:space="0"/>
              <w:right w:val="single" w:color="auto" w:sz="4" w:space="0"/>
            </w:tcBorders>
            <w:vAlign w:val="center"/>
          </w:tcPr>
          <w:p w14:paraId="7C4D5F8B">
            <w:pPr>
              <w:pStyle w:val="59"/>
              <w:ind w:firstLine="0" w:firstLineChars="0"/>
              <w:jc w:val="center"/>
            </w:pPr>
            <w:r>
              <w:rPr>
                <w:rFonts w:hint="eastAsia"/>
              </w:rPr>
              <w:t>不起泡、不脱落、不开裂，不粉化，</w:t>
            </w:r>
          </w:p>
          <w:p w14:paraId="3F57439E">
            <w:pPr>
              <w:pStyle w:val="59"/>
              <w:ind w:firstLine="0" w:firstLineChars="0"/>
              <w:jc w:val="center"/>
            </w:pPr>
            <w:r>
              <w:rPr>
                <w:rFonts w:hint="eastAsia"/>
              </w:rPr>
              <w:t>ΔE ≤6.0或商定，保光率≥50%</w:t>
            </w:r>
          </w:p>
        </w:tc>
      </w:tr>
    </w:tbl>
    <w:p w14:paraId="09009498">
      <w:pPr>
        <w:pStyle w:val="59"/>
        <w:ind w:firstLine="420"/>
      </w:pPr>
    </w:p>
    <w:p w14:paraId="76513DA4">
      <w:pPr>
        <w:pStyle w:val="59"/>
        <w:ind w:firstLine="420"/>
        <w:sectPr>
          <w:pgSz w:w="11906" w:h="16838"/>
          <w:pgMar w:top="1928" w:right="1134" w:bottom="1134" w:left="1134" w:header="1418" w:footer="1134" w:gutter="284"/>
          <w:cols w:space="425" w:num="1"/>
          <w:formProt w:val="0"/>
          <w:docGrid w:linePitch="312" w:charSpace="0"/>
        </w:sectPr>
      </w:pPr>
    </w:p>
    <w:p w14:paraId="25B6C626">
      <w:pPr>
        <w:pStyle w:val="201"/>
        <w:rPr>
          <w:rFonts w:hint="eastAsia"/>
          <w:vanish w:val="0"/>
        </w:rPr>
      </w:pPr>
    </w:p>
    <w:p w14:paraId="6FDC6629">
      <w:pPr>
        <w:pStyle w:val="202"/>
        <w:rPr>
          <w:vanish w:val="0"/>
        </w:rPr>
      </w:pPr>
    </w:p>
    <w:p w14:paraId="7548223C">
      <w:pPr>
        <w:pStyle w:val="79"/>
        <w:spacing w:after="120"/>
      </w:pPr>
      <w:r>
        <w:br w:type="textWrapping"/>
      </w:r>
      <w:bookmarkStart w:id="130" w:name="_Toc227569878"/>
      <w:bookmarkStart w:id="131" w:name="_Toc226548554"/>
      <w:bookmarkStart w:id="132" w:name="_Toc227577034"/>
      <w:r>
        <w:rPr>
          <w:rFonts w:hint="eastAsia"/>
        </w:rPr>
        <w:t>（资料性）</w:t>
      </w:r>
      <w:r>
        <w:br w:type="textWrapping"/>
      </w:r>
      <w:r>
        <w:rPr>
          <w:rFonts w:hint="eastAsia"/>
        </w:rPr>
        <w:t>钢构件防腐涂料涂装工程检验批质量验收记录</w:t>
      </w:r>
      <w:bookmarkEnd w:id="130"/>
      <w:bookmarkEnd w:id="131"/>
      <w:bookmarkEnd w:id="132"/>
    </w:p>
    <w:p w14:paraId="6B565500">
      <w:pPr>
        <w:pStyle w:val="59"/>
        <w:ind w:firstLine="420"/>
      </w:pPr>
      <w:r>
        <w:rPr>
          <w:rFonts w:hint="eastAsia"/>
        </w:rPr>
        <w:t>钢构件带锈涂装施工验收应参照表D.1执行</w:t>
      </w:r>
    </w:p>
    <w:p w14:paraId="6A07CEEB">
      <w:pPr>
        <w:pStyle w:val="80"/>
        <w:spacing w:before="120" w:after="120"/>
      </w:pPr>
      <w:r>
        <w:rPr>
          <w:rFonts w:hint="eastAsia"/>
        </w:rPr>
        <w:t>钢构件防腐涂料涂装工程检验批质量验收记录表</w:t>
      </w:r>
    </w:p>
    <w:p w14:paraId="4899F931">
      <w:pPr>
        <w:pStyle w:val="59"/>
        <w:ind w:firstLine="199" w:firstLineChars="95"/>
      </w:pPr>
      <w:r>
        <w:rPr>
          <w:rFonts w:hint="eastAsia"/>
        </w:rPr>
        <w:t>工程名称：                                                       编号：</w:t>
      </w:r>
    </w:p>
    <w:tbl>
      <w:tblPr>
        <w:tblStyle w:val="28"/>
        <w:tblW w:w="5000" w:type="pct"/>
        <w:jc w:val="center"/>
        <w:tblLayout w:type="autofit"/>
        <w:tblCellMar>
          <w:top w:w="0" w:type="dxa"/>
          <w:left w:w="0" w:type="dxa"/>
          <w:bottom w:w="0" w:type="dxa"/>
          <w:right w:w="0" w:type="dxa"/>
        </w:tblCellMar>
      </w:tblPr>
      <w:tblGrid>
        <w:gridCol w:w="567"/>
        <w:gridCol w:w="606"/>
        <w:gridCol w:w="368"/>
        <w:gridCol w:w="512"/>
        <w:gridCol w:w="908"/>
        <w:gridCol w:w="1242"/>
        <w:gridCol w:w="327"/>
        <w:gridCol w:w="295"/>
        <w:gridCol w:w="702"/>
        <w:gridCol w:w="366"/>
        <w:gridCol w:w="120"/>
        <w:gridCol w:w="1625"/>
        <w:gridCol w:w="220"/>
        <w:gridCol w:w="1526"/>
      </w:tblGrid>
      <w:tr w14:paraId="34C82CDD">
        <w:tblPrEx>
          <w:tblCellMar>
            <w:top w:w="0" w:type="dxa"/>
            <w:left w:w="0" w:type="dxa"/>
            <w:bottom w:w="0" w:type="dxa"/>
            <w:right w:w="0" w:type="dxa"/>
          </w:tblCellMar>
        </w:tblPrEx>
        <w:trPr>
          <w:trHeight w:val="648" w:hRule="atLeast"/>
          <w:jc w:val="center"/>
        </w:trPr>
        <w:tc>
          <w:tcPr>
            <w:tcW w:w="821" w:type="pct"/>
            <w:gridSpan w:val="3"/>
            <w:tcBorders>
              <w:top w:val="single" w:color="000000" w:sz="12" w:space="0"/>
              <w:left w:val="single" w:color="000000" w:sz="12" w:space="0"/>
              <w:bottom w:val="single" w:color="000000" w:sz="4" w:space="0"/>
              <w:right w:val="single" w:color="000000" w:sz="4" w:space="0"/>
            </w:tcBorders>
            <w:tcMar>
              <w:top w:w="12" w:type="dxa"/>
              <w:left w:w="12" w:type="dxa"/>
              <w:bottom w:w="0" w:type="dxa"/>
              <w:right w:w="12" w:type="dxa"/>
            </w:tcMar>
            <w:vAlign w:val="center"/>
          </w:tcPr>
          <w:p w14:paraId="55F9B540">
            <w:pPr>
              <w:pStyle w:val="236"/>
              <w:spacing w:before="73" w:line="200" w:lineRule="exact"/>
              <w:jc w:val="center"/>
              <w:outlineLvl w:val="3"/>
              <w:rPr>
                <w:rFonts w:hint="eastAsia" w:ascii="宋体" w:hAnsi="宋体"/>
                <w:spacing w:val="3"/>
                <w:sz w:val="18"/>
                <w:szCs w:val="18"/>
              </w:rPr>
            </w:pPr>
            <w:r>
              <w:rPr>
                <w:rFonts w:hint="eastAsia" w:ascii="宋体" w:hAnsi="宋体"/>
                <w:spacing w:val="3"/>
                <w:sz w:val="18"/>
                <w:szCs w:val="18"/>
              </w:rPr>
              <w:t>单位（子单位）</w:t>
            </w:r>
          </w:p>
          <w:p w14:paraId="67AB3A08">
            <w:pPr>
              <w:pStyle w:val="236"/>
              <w:spacing w:before="73" w:line="200" w:lineRule="exact"/>
              <w:jc w:val="center"/>
              <w:outlineLvl w:val="3"/>
              <w:rPr>
                <w:rFonts w:hint="eastAsia" w:ascii="宋体" w:hAnsi="宋体"/>
                <w:kern w:val="2"/>
                <w:sz w:val="18"/>
                <w:szCs w:val="18"/>
              </w:rPr>
            </w:pPr>
            <w:r>
              <w:rPr>
                <w:rFonts w:hint="eastAsia" w:ascii="宋体" w:hAnsi="宋体"/>
                <w:spacing w:val="3"/>
                <w:sz w:val="18"/>
                <w:szCs w:val="18"/>
              </w:rPr>
              <w:t>工程</w:t>
            </w:r>
            <w:r>
              <w:rPr>
                <w:rFonts w:hint="eastAsia" w:ascii="宋体" w:hAnsi="宋体"/>
                <w:spacing w:val="-1"/>
                <w:sz w:val="18"/>
                <w:szCs w:val="18"/>
              </w:rPr>
              <w:t>名称</w:t>
            </w:r>
          </w:p>
        </w:tc>
        <w:tc>
          <w:tcPr>
            <w:tcW w:w="757" w:type="pct"/>
            <w:gridSpan w:val="2"/>
            <w:tcBorders>
              <w:top w:val="single" w:color="000000" w:sz="12" w:space="0"/>
              <w:left w:val="nil"/>
              <w:bottom w:val="single" w:color="000000" w:sz="4" w:space="0"/>
              <w:right w:val="single" w:color="000000" w:sz="4" w:space="0"/>
            </w:tcBorders>
            <w:tcMar>
              <w:top w:w="12" w:type="dxa"/>
              <w:left w:w="12" w:type="dxa"/>
              <w:bottom w:w="0" w:type="dxa"/>
              <w:right w:w="12" w:type="dxa"/>
            </w:tcMar>
            <w:vAlign w:val="center"/>
          </w:tcPr>
          <w:p w14:paraId="2EDE2052">
            <w:pPr>
              <w:spacing w:line="240" w:lineRule="exact"/>
              <w:jc w:val="center"/>
              <w:rPr>
                <w:rFonts w:hint="eastAsia" w:ascii="宋体" w:hAnsi="宋体"/>
                <w:sz w:val="18"/>
                <w:szCs w:val="18"/>
              </w:rPr>
            </w:pPr>
          </w:p>
        </w:tc>
        <w:tc>
          <w:tcPr>
            <w:tcW w:w="662" w:type="pct"/>
            <w:tcBorders>
              <w:top w:val="single" w:color="000000" w:sz="12" w:space="0"/>
              <w:left w:val="nil"/>
              <w:bottom w:val="single" w:color="000000" w:sz="4" w:space="0"/>
              <w:right w:val="single" w:color="000000" w:sz="4" w:space="0"/>
            </w:tcBorders>
            <w:tcMar>
              <w:top w:w="12" w:type="dxa"/>
              <w:left w:w="12" w:type="dxa"/>
              <w:bottom w:w="0" w:type="dxa"/>
              <w:right w:w="12" w:type="dxa"/>
            </w:tcMar>
            <w:vAlign w:val="center"/>
          </w:tcPr>
          <w:p w14:paraId="1A8AB458">
            <w:pPr>
              <w:spacing w:line="0" w:lineRule="atLeast"/>
              <w:jc w:val="center"/>
              <w:rPr>
                <w:rFonts w:ascii="宋体" w:hAnsi="宋体" w:eastAsia="Arial"/>
                <w:kern w:val="0"/>
                <w:sz w:val="18"/>
                <w:szCs w:val="18"/>
              </w:rPr>
            </w:pPr>
            <w:r>
              <w:rPr>
                <w:sz w:val="18"/>
                <w:szCs w:val="18"/>
              </w:rPr>
              <w:t>分部</w:t>
            </w:r>
            <w:r>
              <w:rPr>
                <w:rFonts w:ascii="宋体" w:hAnsi="宋体"/>
                <w:sz w:val="18"/>
                <w:szCs w:val="18"/>
              </w:rPr>
              <w:t>(</w:t>
            </w:r>
            <w:r>
              <w:rPr>
                <w:sz w:val="18"/>
                <w:szCs w:val="18"/>
              </w:rPr>
              <w:t>子分部</w:t>
            </w:r>
            <w:r>
              <w:rPr>
                <w:rFonts w:ascii="宋体" w:hAnsi="宋体"/>
                <w:sz w:val="18"/>
                <w:szCs w:val="18"/>
              </w:rPr>
              <w:t>)</w:t>
            </w:r>
            <w:r>
              <w:rPr>
                <w:sz w:val="18"/>
                <w:szCs w:val="18"/>
              </w:rPr>
              <w:t>工程名称</w:t>
            </w:r>
          </w:p>
        </w:tc>
        <w:tc>
          <w:tcPr>
            <w:tcW w:w="900" w:type="pct"/>
            <w:gridSpan w:val="4"/>
            <w:tcBorders>
              <w:top w:val="single" w:color="000000" w:sz="12" w:space="0"/>
              <w:left w:val="nil"/>
              <w:bottom w:val="single" w:color="000000" w:sz="4" w:space="0"/>
              <w:right w:val="single" w:color="000000" w:sz="4" w:space="0"/>
            </w:tcBorders>
            <w:tcMar>
              <w:top w:w="12" w:type="dxa"/>
              <w:left w:w="12" w:type="dxa"/>
              <w:bottom w:w="0" w:type="dxa"/>
              <w:right w:w="12" w:type="dxa"/>
            </w:tcMar>
            <w:vAlign w:val="center"/>
          </w:tcPr>
          <w:p w14:paraId="5635638B">
            <w:pPr>
              <w:spacing w:line="0" w:lineRule="atLeast"/>
              <w:jc w:val="center"/>
              <w:rPr>
                <w:rFonts w:ascii="宋体" w:hAnsi="宋体" w:eastAsia="Arial"/>
                <w:sz w:val="18"/>
                <w:szCs w:val="18"/>
              </w:rPr>
            </w:pPr>
          </w:p>
        </w:tc>
        <w:tc>
          <w:tcPr>
            <w:tcW w:w="930" w:type="pct"/>
            <w:gridSpan w:val="2"/>
            <w:tcBorders>
              <w:top w:val="single" w:color="000000" w:sz="12" w:space="0"/>
              <w:left w:val="nil"/>
              <w:bottom w:val="single" w:color="000000" w:sz="4" w:space="0"/>
              <w:right w:val="single" w:color="000000" w:sz="12" w:space="0"/>
            </w:tcBorders>
            <w:tcMar>
              <w:top w:w="12" w:type="dxa"/>
              <w:left w:w="12" w:type="dxa"/>
              <w:bottom w:w="0" w:type="dxa"/>
              <w:right w:w="12" w:type="dxa"/>
            </w:tcMar>
            <w:vAlign w:val="center"/>
          </w:tcPr>
          <w:p w14:paraId="5938A196">
            <w:pPr>
              <w:spacing w:line="240" w:lineRule="exact"/>
              <w:jc w:val="center"/>
              <w:rPr>
                <w:rFonts w:ascii="宋体" w:hAnsi="宋体" w:eastAsia="Arial"/>
                <w:sz w:val="18"/>
                <w:szCs w:val="18"/>
              </w:rPr>
            </w:pPr>
            <w:r>
              <w:rPr>
                <w:rFonts w:hint="eastAsia" w:ascii="宋体" w:hAnsi="宋体"/>
                <w:sz w:val="18"/>
                <w:szCs w:val="18"/>
              </w:rPr>
              <w:t>分项工程名称</w:t>
            </w:r>
          </w:p>
        </w:tc>
        <w:tc>
          <w:tcPr>
            <w:tcW w:w="930" w:type="pct"/>
            <w:gridSpan w:val="2"/>
            <w:tcBorders>
              <w:top w:val="single" w:color="000000" w:sz="12" w:space="0"/>
              <w:left w:val="single" w:color="000000" w:sz="4" w:space="0"/>
              <w:bottom w:val="single" w:color="000000" w:sz="4" w:space="0"/>
              <w:right w:val="single" w:color="000000" w:sz="12" w:space="0"/>
            </w:tcBorders>
            <w:tcMar>
              <w:top w:w="12" w:type="dxa"/>
              <w:left w:w="12" w:type="dxa"/>
              <w:bottom w:w="0" w:type="dxa"/>
              <w:right w:w="12" w:type="dxa"/>
            </w:tcMar>
            <w:vAlign w:val="center"/>
          </w:tcPr>
          <w:p w14:paraId="6C9BEC61">
            <w:pPr>
              <w:spacing w:line="240" w:lineRule="exact"/>
              <w:jc w:val="center"/>
              <w:rPr>
                <w:rFonts w:hint="eastAsia" w:ascii="宋体" w:hAnsi="宋体"/>
                <w:kern w:val="0"/>
                <w:sz w:val="18"/>
                <w:szCs w:val="18"/>
              </w:rPr>
            </w:pPr>
          </w:p>
        </w:tc>
      </w:tr>
      <w:tr w14:paraId="51B92C74">
        <w:tblPrEx>
          <w:tblCellMar>
            <w:top w:w="0" w:type="dxa"/>
            <w:left w:w="0" w:type="dxa"/>
            <w:bottom w:w="0" w:type="dxa"/>
            <w:right w:w="0" w:type="dxa"/>
          </w:tblCellMar>
        </w:tblPrEx>
        <w:trPr>
          <w:trHeight w:val="648" w:hRule="atLeast"/>
          <w:jc w:val="center"/>
        </w:trPr>
        <w:tc>
          <w:tcPr>
            <w:tcW w:w="821" w:type="pct"/>
            <w:gridSpan w:val="3"/>
            <w:tcBorders>
              <w:top w:val="single" w:color="000000" w:sz="12" w:space="0"/>
              <w:left w:val="single" w:color="000000" w:sz="12" w:space="0"/>
              <w:bottom w:val="single" w:color="000000" w:sz="4" w:space="0"/>
              <w:right w:val="single" w:color="000000" w:sz="4" w:space="0"/>
            </w:tcBorders>
            <w:tcMar>
              <w:top w:w="12" w:type="dxa"/>
              <w:left w:w="12" w:type="dxa"/>
              <w:bottom w:w="0" w:type="dxa"/>
              <w:right w:w="12" w:type="dxa"/>
            </w:tcMar>
            <w:vAlign w:val="center"/>
          </w:tcPr>
          <w:p w14:paraId="7E6DFC37">
            <w:pPr>
              <w:pStyle w:val="236"/>
              <w:spacing w:before="73" w:line="200" w:lineRule="exact"/>
              <w:jc w:val="center"/>
              <w:outlineLvl w:val="3"/>
              <w:rPr>
                <w:rFonts w:hint="eastAsia" w:ascii="宋体" w:hAnsi="宋体"/>
                <w:spacing w:val="3"/>
                <w:sz w:val="18"/>
                <w:szCs w:val="18"/>
              </w:rPr>
            </w:pPr>
            <w:r>
              <w:rPr>
                <w:rFonts w:hint="eastAsia" w:ascii="宋体" w:hAnsi="宋体"/>
                <w:spacing w:val="3"/>
                <w:sz w:val="18"/>
                <w:szCs w:val="18"/>
              </w:rPr>
              <w:t>总承包单位</w:t>
            </w:r>
          </w:p>
        </w:tc>
        <w:tc>
          <w:tcPr>
            <w:tcW w:w="2319" w:type="pct"/>
            <w:gridSpan w:val="7"/>
            <w:tcBorders>
              <w:top w:val="single" w:color="000000" w:sz="12" w:space="0"/>
              <w:left w:val="nil"/>
              <w:bottom w:val="single" w:color="000000" w:sz="4" w:space="0"/>
              <w:right w:val="single" w:color="000000" w:sz="4" w:space="0"/>
            </w:tcBorders>
            <w:tcMar>
              <w:top w:w="12" w:type="dxa"/>
              <w:left w:w="12" w:type="dxa"/>
              <w:bottom w:w="0" w:type="dxa"/>
              <w:right w:w="12" w:type="dxa"/>
            </w:tcMar>
            <w:vAlign w:val="center"/>
          </w:tcPr>
          <w:p w14:paraId="5C71B354">
            <w:pPr>
              <w:spacing w:line="0" w:lineRule="atLeast"/>
              <w:jc w:val="center"/>
              <w:rPr>
                <w:rFonts w:ascii="宋体" w:hAnsi="宋体" w:eastAsia="Arial"/>
                <w:sz w:val="18"/>
                <w:szCs w:val="18"/>
              </w:rPr>
            </w:pPr>
          </w:p>
        </w:tc>
        <w:tc>
          <w:tcPr>
            <w:tcW w:w="930" w:type="pct"/>
            <w:gridSpan w:val="2"/>
            <w:tcBorders>
              <w:top w:val="single" w:color="000000" w:sz="12" w:space="0"/>
              <w:left w:val="nil"/>
              <w:bottom w:val="single" w:color="000000" w:sz="4" w:space="0"/>
              <w:right w:val="single" w:color="000000" w:sz="12" w:space="0"/>
            </w:tcBorders>
            <w:tcMar>
              <w:top w:w="12" w:type="dxa"/>
              <w:left w:w="12" w:type="dxa"/>
              <w:bottom w:w="0" w:type="dxa"/>
              <w:right w:w="12" w:type="dxa"/>
            </w:tcMar>
            <w:vAlign w:val="center"/>
          </w:tcPr>
          <w:p w14:paraId="10F98658">
            <w:pPr>
              <w:spacing w:line="240" w:lineRule="exact"/>
              <w:jc w:val="center"/>
              <w:rPr>
                <w:rFonts w:hint="eastAsia" w:ascii="宋体" w:hAnsi="宋体"/>
                <w:kern w:val="0"/>
                <w:sz w:val="18"/>
                <w:szCs w:val="18"/>
              </w:rPr>
            </w:pPr>
            <w:r>
              <w:rPr>
                <w:rFonts w:hint="eastAsia" w:ascii="宋体" w:hAnsi="宋体"/>
                <w:sz w:val="18"/>
                <w:szCs w:val="18"/>
              </w:rPr>
              <w:t>项目负责人</w:t>
            </w:r>
          </w:p>
        </w:tc>
        <w:tc>
          <w:tcPr>
            <w:tcW w:w="930" w:type="pct"/>
            <w:gridSpan w:val="2"/>
            <w:tcBorders>
              <w:top w:val="single" w:color="000000" w:sz="12" w:space="0"/>
              <w:left w:val="single" w:color="000000" w:sz="4" w:space="0"/>
              <w:bottom w:val="single" w:color="000000" w:sz="4" w:space="0"/>
              <w:right w:val="single" w:color="000000" w:sz="12" w:space="0"/>
            </w:tcBorders>
            <w:tcMar>
              <w:top w:w="12" w:type="dxa"/>
              <w:left w:w="12" w:type="dxa"/>
              <w:bottom w:w="0" w:type="dxa"/>
              <w:right w:w="12" w:type="dxa"/>
            </w:tcMar>
            <w:vAlign w:val="center"/>
          </w:tcPr>
          <w:p w14:paraId="4FA395DD">
            <w:pPr>
              <w:spacing w:line="240" w:lineRule="exact"/>
              <w:jc w:val="center"/>
              <w:rPr>
                <w:rFonts w:hint="eastAsia" w:ascii="宋体" w:hAnsi="宋体"/>
                <w:sz w:val="18"/>
                <w:szCs w:val="18"/>
              </w:rPr>
            </w:pPr>
          </w:p>
        </w:tc>
      </w:tr>
      <w:tr w14:paraId="02AC6332">
        <w:tblPrEx>
          <w:tblCellMar>
            <w:top w:w="0" w:type="dxa"/>
            <w:left w:w="0" w:type="dxa"/>
            <w:bottom w:w="0" w:type="dxa"/>
            <w:right w:w="0" w:type="dxa"/>
          </w:tblCellMar>
        </w:tblPrEx>
        <w:trPr>
          <w:trHeight w:val="478" w:hRule="atLeast"/>
          <w:jc w:val="center"/>
        </w:trPr>
        <w:tc>
          <w:tcPr>
            <w:tcW w:w="821" w:type="pct"/>
            <w:gridSpan w:val="3"/>
            <w:tcBorders>
              <w:top w:val="single" w:color="000000" w:sz="4" w:space="0"/>
              <w:left w:val="single" w:color="000000" w:sz="12" w:space="0"/>
              <w:bottom w:val="single" w:color="000000" w:sz="4" w:space="0"/>
              <w:right w:val="single" w:color="000000" w:sz="4" w:space="0"/>
            </w:tcBorders>
            <w:shd w:val="clear" w:color="auto" w:fill="FFFFFF"/>
            <w:tcMar>
              <w:top w:w="12" w:type="dxa"/>
              <w:left w:w="12" w:type="dxa"/>
              <w:bottom w:w="0" w:type="dxa"/>
              <w:right w:w="12" w:type="dxa"/>
            </w:tcMar>
            <w:vAlign w:val="center"/>
          </w:tcPr>
          <w:p w14:paraId="47EB50EE">
            <w:pPr>
              <w:jc w:val="center"/>
              <w:textAlignment w:val="center"/>
              <w:rPr>
                <w:rFonts w:hint="eastAsia" w:ascii="宋体" w:hAnsi="宋体"/>
                <w:sz w:val="18"/>
                <w:szCs w:val="18"/>
              </w:rPr>
            </w:pPr>
            <w:r>
              <w:rPr>
                <w:rFonts w:hint="eastAsia" w:ascii="宋体" w:hAnsi="宋体"/>
                <w:sz w:val="18"/>
                <w:szCs w:val="18"/>
              </w:rPr>
              <w:t>施工单位</w:t>
            </w:r>
          </w:p>
        </w:tc>
        <w:tc>
          <w:tcPr>
            <w:tcW w:w="757" w:type="pct"/>
            <w:gridSpan w:val="2"/>
            <w:tcBorders>
              <w:top w:val="single" w:color="000000" w:sz="4" w:space="0"/>
              <w:left w:val="nil"/>
              <w:bottom w:val="single" w:color="000000" w:sz="4" w:space="0"/>
              <w:right w:val="single" w:color="000000" w:sz="4" w:space="0"/>
            </w:tcBorders>
            <w:tcMar>
              <w:top w:w="12" w:type="dxa"/>
              <w:left w:w="12" w:type="dxa"/>
              <w:bottom w:w="0" w:type="dxa"/>
              <w:right w:w="12" w:type="dxa"/>
            </w:tcMar>
            <w:vAlign w:val="center"/>
          </w:tcPr>
          <w:p w14:paraId="298C9ECB">
            <w:pPr>
              <w:spacing w:line="240" w:lineRule="exact"/>
              <w:jc w:val="center"/>
              <w:rPr>
                <w:rFonts w:hint="eastAsia" w:ascii="宋体" w:hAnsi="宋体"/>
                <w:sz w:val="18"/>
                <w:szCs w:val="18"/>
              </w:rPr>
            </w:pPr>
          </w:p>
        </w:tc>
        <w:tc>
          <w:tcPr>
            <w:tcW w:w="662" w:type="pct"/>
            <w:tcBorders>
              <w:top w:val="single" w:color="000000" w:sz="4" w:space="0"/>
              <w:left w:val="nil"/>
              <w:bottom w:val="single" w:color="000000" w:sz="4" w:space="0"/>
              <w:right w:val="single" w:color="000000" w:sz="4" w:space="0"/>
            </w:tcBorders>
            <w:tcMar>
              <w:top w:w="12" w:type="dxa"/>
              <w:left w:w="12" w:type="dxa"/>
              <w:bottom w:w="0" w:type="dxa"/>
              <w:right w:w="12" w:type="dxa"/>
            </w:tcMar>
            <w:vAlign w:val="center"/>
          </w:tcPr>
          <w:p w14:paraId="12B48D8B">
            <w:pPr>
              <w:spacing w:line="240" w:lineRule="exact"/>
              <w:jc w:val="center"/>
              <w:rPr>
                <w:rFonts w:hint="eastAsia" w:ascii="宋体" w:hAnsi="宋体"/>
                <w:sz w:val="18"/>
                <w:szCs w:val="18"/>
              </w:rPr>
            </w:pPr>
            <w:r>
              <w:rPr>
                <w:rFonts w:hint="eastAsia" w:ascii="宋体" w:hAnsi="宋体"/>
                <w:sz w:val="18"/>
                <w:szCs w:val="18"/>
              </w:rPr>
              <w:t>项目负责人</w:t>
            </w:r>
          </w:p>
        </w:tc>
        <w:tc>
          <w:tcPr>
            <w:tcW w:w="900" w:type="pct"/>
            <w:gridSpan w:val="4"/>
            <w:tcBorders>
              <w:top w:val="single" w:color="000000" w:sz="4" w:space="0"/>
              <w:left w:val="nil"/>
              <w:bottom w:val="single" w:color="000000" w:sz="4" w:space="0"/>
              <w:right w:val="single" w:color="000000" w:sz="4" w:space="0"/>
            </w:tcBorders>
            <w:tcMar>
              <w:top w:w="12" w:type="dxa"/>
              <w:left w:w="12" w:type="dxa"/>
              <w:bottom w:w="0" w:type="dxa"/>
              <w:right w:w="12" w:type="dxa"/>
            </w:tcMar>
            <w:vAlign w:val="center"/>
          </w:tcPr>
          <w:p w14:paraId="33A6BF06">
            <w:pPr>
              <w:spacing w:line="0" w:lineRule="atLeast"/>
              <w:jc w:val="center"/>
              <w:rPr>
                <w:rFonts w:ascii="宋体" w:hAnsi="宋体" w:eastAsia="Arial"/>
                <w:sz w:val="18"/>
                <w:szCs w:val="18"/>
              </w:rPr>
            </w:pPr>
          </w:p>
        </w:tc>
        <w:tc>
          <w:tcPr>
            <w:tcW w:w="930" w:type="pct"/>
            <w:gridSpan w:val="2"/>
            <w:tcBorders>
              <w:top w:val="single" w:color="000000" w:sz="4" w:space="0"/>
              <w:left w:val="nil"/>
              <w:bottom w:val="single" w:color="000000" w:sz="4" w:space="0"/>
              <w:right w:val="single" w:color="000000" w:sz="12" w:space="0"/>
            </w:tcBorders>
            <w:tcMar>
              <w:top w:w="12" w:type="dxa"/>
              <w:left w:w="12" w:type="dxa"/>
              <w:bottom w:w="0" w:type="dxa"/>
              <w:right w:w="12" w:type="dxa"/>
            </w:tcMar>
            <w:vAlign w:val="center"/>
          </w:tcPr>
          <w:p w14:paraId="1EFB257E">
            <w:pPr>
              <w:spacing w:line="240" w:lineRule="exact"/>
              <w:ind w:left="-105" w:leftChars="-50" w:right="-105" w:rightChars="-50"/>
              <w:jc w:val="center"/>
              <w:rPr>
                <w:rFonts w:hint="eastAsia" w:ascii="宋体" w:hAnsi="宋体"/>
                <w:sz w:val="18"/>
                <w:szCs w:val="18"/>
              </w:rPr>
            </w:pPr>
            <w:r>
              <w:rPr>
                <w:rFonts w:hint="eastAsia" w:ascii="宋体" w:hAnsi="宋体"/>
                <w:sz w:val="18"/>
                <w:szCs w:val="18"/>
              </w:rPr>
              <w:t>检验批容量</w:t>
            </w:r>
          </w:p>
        </w:tc>
        <w:tc>
          <w:tcPr>
            <w:tcW w:w="930" w:type="pct"/>
            <w:gridSpan w:val="2"/>
            <w:tcBorders>
              <w:top w:val="single" w:color="000000" w:sz="4" w:space="0"/>
              <w:left w:val="single" w:color="000000" w:sz="4" w:space="0"/>
              <w:bottom w:val="single" w:color="000000" w:sz="4" w:space="0"/>
              <w:right w:val="single" w:color="000000" w:sz="12" w:space="0"/>
            </w:tcBorders>
            <w:tcMar>
              <w:top w:w="12" w:type="dxa"/>
              <w:left w:w="12" w:type="dxa"/>
              <w:bottom w:w="0" w:type="dxa"/>
              <w:right w:w="12" w:type="dxa"/>
            </w:tcMar>
            <w:vAlign w:val="center"/>
          </w:tcPr>
          <w:p w14:paraId="23DA2439">
            <w:pPr>
              <w:spacing w:line="240" w:lineRule="exact"/>
              <w:ind w:left="-105" w:leftChars="-50" w:right="-105" w:rightChars="-50"/>
              <w:jc w:val="center"/>
              <w:rPr>
                <w:rFonts w:hint="eastAsia" w:ascii="宋体" w:hAnsi="宋体"/>
                <w:kern w:val="0"/>
                <w:sz w:val="18"/>
                <w:szCs w:val="18"/>
              </w:rPr>
            </w:pPr>
          </w:p>
        </w:tc>
      </w:tr>
      <w:tr w14:paraId="5FB80816">
        <w:tblPrEx>
          <w:tblCellMar>
            <w:top w:w="0" w:type="dxa"/>
            <w:left w:w="0" w:type="dxa"/>
            <w:bottom w:w="0" w:type="dxa"/>
            <w:right w:w="0" w:type="dxa"/>
          </w:tblCellMar>
        </w:tblPrEx>
        <w:trPr>
          <w:trHeight w:val="478" w:hRule="atLeast"/>
          <w:jc w:val="center"/>
        </w:trPr>
        <w:tc>
          <w:tcPr>
            <w:tcW w:w="821" w:type="pct"/>
            <w:gridSpan w:val="3"/>
            <w:tcBorders>
              <w:top w:val="single" w:color="000000" w:sz="4" w:space="0"/>
              <w:left w:val="single" w:color="000000" w:sz="12" w:space="0"/>
              <w:bottom w:val="single" w:color="000000" w:sz="4" w:space="0"/>
              <w:right w:val="single" w:color="000000" w:sz="4" w:space="0"/>
            </w:tcBorders>
            <w:shd w:val="clear" w:color="auto" w:fill="FFFFFF"/>
            <w:tcMar>
              <w:top w:w="12" w:type="dxa"/>
              <w:left w:w="12" w:type="dxa"/>
              <w:bottom w:w="0" w:type="dxa"/>
              <w:right w:w="12" w:type="dxa"/>
            </w:tcMar>
            <w:vAlign w:val="center"/>
          </w:tcPr>
          <w:p w14:paraId="2A662964">
            <w:pPr>
              <w:jc w:val="center"/>
              <w:textAlignment w:val="center"/>
              <w:rPr>
                <w:rFonts w:hint="eastAsia" w:ascii="宋体" w:hAnsi="宋体"/>
                <w:sz w:val="18"/>
                <w:szCs w:val="18"/>
              </w:rPr>
            </w:pPr>
            <w:r>
              <w:rPr>
                <w:rFonts w:hint="eastAsia" w:ascii="宋体" w:hAnsi="宋体"/>
                <w:sz w:val="18"/>
                <w:szCs w:val="18"/>
              </w:rPr>
              <w:t>分包单位</w:t>
            </w:r>
          </w:p>
        </w:tc>
        <w:tc>
          <w:tcPr>
            <w:tcW w:w="757" w:type="pct"/>
            <w:gridSpan w:val="2"/>
            <w:tcBorders>
              <w:top w:val="single" w:color="000000" w:sz="4" w:space="0"/>
              <w:left w:val="nil"/>
              <w:bottom w:val="single" w:color="000000" w:sz="4" w:space="0"/>
              <w:right w:val="single" w:color="000000" w:sz="4" w:space="0"/>
            </w:tcBorders>
            <w:shd w:val="clear" w:color="auto" w:fill="FFFFFF"/>
            <w:tcMar>
              <w:top w:w="12" w:type="dxa"/>
              <w:left w:w="12" w:type="dxa"/>
              <w:bottom w:w="0" w:type="dxa"/>
              <w:right w:w="12" w:type="dxa"/>
            </w:tcMar>
            <w:vAlign w:val="center"/>
          </w:tcPr>
          <w:p w14:paraId="2C4EABF6">
            <w:pPr>
              <w:topLinePunct/>
              <w:spacing w:line="240" w:lineRule="exact"/>
              <w:jc w:val="center"/>
              <w:rPr>
                <w:rFonts w:hint="eastAsia" w:ascii="宋体" w:hAnsi="宋体"/>
                <w:sz w:val="18"/>
                <w:szCs w:val="18"/>
              </w:rPr>
            </w:pPr>
          </w:p>
        </w:tc>
        <w:tc>
          <w:tcPr>
            <w:tcW w:w="662" w:type="pct"/>
            <w:tcBorders>
              <w:top w:val="single" w:color="000000" w:sz="4" w:space="0"/>
              <w:left w:val="nil"/>
              <w:bottom w:val="single" w:color="000000" w:sz="4" w:space="0"/>
              <w:right w:val="single" w:color="000000" w:sz="4" w:space="0"/>
            </w:tcBorders>
            <w:shd w:val="clear" w:color="auto" w:fill="FFFFFF"/>
            <w:tcMar>
              <w:top w:w="12" w:type="dxa"/>
              <w:left w:w="12" w:type="dxa"/>
              <w:bottom w:w="0" w:type="dxa"/>
              <w:right w:w="12" w:type="dxa"/>
            </w:tcMar>
            <w:vAlign w:val="center"/>
          </w:tcPr>
          <w:p w14:paraId="6127C38C">
            <w:pPr>
              <w:topLinePunct/>
              <w:spacing w:line="240" w:lineRule="exact"/>
              <w:jc w:val="center"/>
              <w:rPr>
                <w:rFonts w:hint="eastAsia" w:ascii="宋体" w:hAnsi="宋体"/>
                <w:sz w:val="18"/>
                <w:szCs w:val="18"/>
              </w:rPr>
            </w:pPr>
            <w:r>
              <w:rPr>
                <w:rFonts w:hint="eastAsia" w:ascii="宋体" w:hAnsi="宋体"/>
                <w:sz w:val="18"/>
                <w:szCs w:val="18"/>
              </w:rPr>
              <w:t>分包单位项目负责人</w:t>
            </w:r>
          </w:p>
        </w:tc>
        <w:tc>
          <w:tcPr>
            <w:tcW w:w="900" w:type="pct"/>
            <w:gridSpan w:val="4"/>
            <w:tcBorders>
              <w:top w:val="single" w:color="000000" w:sz="4" w:space="0"/>
              <w:left w:val="nil"/>
              <w:bottom w:val="single" w:color="000000" w:sz="4" w:space="0"/>
              <w:right w:val="single" w:color="000000" w:sz="4" w:space="0"/>
            </w:tcBorders>
            <w:shd w:val="clear" w:color="auto" w:fill="FFFFFF"/>
            <w:tcMar>
              <w:top w:w="12" w:type="dxa"/>
              <w:left w:w="12" w:type="dxa"/>
              <w:bottom w:w="0" w:type="dxa"/>
              <w:right w:w="12" w:type="dxa"/>
            </w:tcMar>
            <w:vAlign w:val="center"/>
          </w:tcPr>
          <w:p w14:paraId="4D85C121">
            <w:pPr>
              <w:topLinePunct/>
              <w:spacing w:line="240" w:lineRule="exact"/>
              <w:jc w:val="center"/>
              <w:rPr>
                <w:rFonts w:hint="eastAsia" w:ascii="宋体" w:hAnsi="宋体"/>
                <w:sz w:val="18"/>
                <w:szCs w:val="18"/>
              </w:rPr>
            </w:pPr>
          </w:p>
        </w:tc>
        <w:tc>
          <w:tcPr>
            <w:tcW w:w="930" w:type="pct"/>
            <w:gridSpan w:val="2"/>
            <w:tcBorders>
              <w:top w:val="single" w:color="000000" w:sz="4" w:space="0"/>
              <w:left w:val="nil"/>
              <w:bottom w:val="single" w:color="000000" w:sz="4" w:space="0"/>
              <w:right w:val="single" w:color="000000" w:sz="12" w:space="0"/>
            </w:tcBorders>
            <w:shd w:val="clear" w:color="auto" w:fill="FFFFFF"/>
            <w:tcMar>
              <w:top w:w="12" w:type="dxa"/>
              <w:left w:w="12" w:type="dxa"/>
              <w:bottom w:w="0" w:type="dxa"/>
              <w:right w:w="12" w:type="dxa"/>
            </w:tcMar>
            <w:vAlign w:val="center"/>
          </w:tcPr>
          <w:p w14:paraId="1F4EDEB7">
            <w:pPr>
              <w:spacing w:line="0" w:lineRule="atLeast"/>
              <w:jc w:val="center"/>
              <w:rPr>
                <w:rFonts w:hint="eastAsia" w:ascii="宋体" w:hAnsi="宋体"/>
                <w:sz w:val="18"/>
                <w:szCs w:val="18"/>
                <w:highlight w:val="red"/>
              </w:rPr>
            </w:pPr>
            <w:r>
              <w:rPr>
                <w:rFonts w:hint="eastAsia" w:ascii="宋体" w:hAnsi="宋体"/>
                <w:sz w:val="18"/>
                <w:szCs w:val="18"/>
              </w:rPr>
              <w:t>检验批部位</w:t>
            </w:r>
          </w:p>
        </w:tc>
        <w:tc>
          <w:tcPr>
            <w:tcW w:w="930" w:type="pct"/>
            <w:gridSpan w:val="2"/>
            <w:tcBorders>
              <w:top w:val="single" w:color="000000" w:sz="4" w:space="0"/>
              <w:left w:val="single" w:color="000000" w:sz="4" w:space="0"/>
              <w:bottom w:val="single" w:color="000000" w:sz="4" w:space="0"/>
              <w:right w:val="single" w:color="000000" w:sz="12" w:space="0"/>
            </w:tcBorders>
            <w:shd w:val="clear" w:color="auto" w:fill="FFFFFF"/>
            <w:tcMar>
              <w:top w:w="12" w:type="dxa"/>
              <w:left w:w="12" w:type="dxa"/>
              <w:bottom w:w="0" w:type="dxa"/>
              <w:right w:w="12" w:type="dxa"/>
            </w:tcMar>
            <w:vAlign w:val="center"/>
          </w:tcPr>
          <w:p w14:paraId="2FC2D026">
            <w:pPr>
              <w:spacing w:line="0" w:lineRule="atLeast"/>
              <w:jc w:val="center"/>
              <w:rPr>
                <w:rFonts w:hint="eastAsia" w:ascii="宋体" w:hAnsi="宋体"/>
                <w:kern w:val="0"/>
                <w:sz w:val="18"/>
                <w:szCs w:val="18"/>
              </w:rPr>
            </w:pPr>
          </w:p>
        </w:tc>
      </w:tr>
      <w:tr w14:paraId="0DFE822E">
        <w:tblPrEx>
          <w:tblCellMar>
            <w:top w:w="0" w:type="dxa"/>
            <w:left w:w="0" w:type="dxa"/>
            <w:bottom w:w="0" w:type="dxa"/>
            <w:right w:w="0" w:type="dxa"/>
          </w:tblCellMar>
        </w:tblPrEx>
        <w:trPr>
          <w:trHeight w:val="504" w:hRule="atLeast"/>
          <w:jc w:val="center"/>
        </w:trPr>
        <w:tc>
          <w:tcPr>
            <w:tcW w:w="821" w:type="pct"/>
            <w:gridSpan w:val="3"/>
            <w:tcBorders>
              <w:top w:val="single" w:color="000000" w:sz="4" w:space="0"/>
              <w:left w:val="single" w:color="000000" w:sz="12" w:space="0"/>
              <w:bottom w:val="single" w:color="000000" w:sz="4" w:space="0"/>
              <w:right w:val="single" w:color="000000" w:sz="4" w:space="0"/>
            </w:tcBorders>
            <w:shd w:val="clear" w:color="auto" w:fill="FFFFFF"/>
            <w:tcMar>
              <w:top w:w="12" w:type="dxa"/>
              <w:left w:w="12" w:type="dxa"/>
              <w:bottom w:w="0" w:type="dxa"/>
              <w:right w:w="12" w:type="dxa"/>
            </w:tcMar>
            <w:vAlign w:val="center"/>
          </w:tcPr>
          <w:p w14:paraId="321B1C5E">
            <w:pPr>
              <w:jc w:val="center"/>
              <w:textAlignment w:val="center"/>
              <w:rPr>
                <w:rFonts w:hint="eastAsia" w:ascii="宋体" w:hAnsi="宋体"/>
                <w:sz w:val="18"/>
                <w:szCs w:val="18"/>
              </w:rPr>
            </w:pPr>
            <w:r>
              <w:rPr>
                <w:rFonts w:hint="eastAsia" w:ascii="宋体" w:hAnsi="宋体"/>
                <w:sz w:val="18"/>
                <w:szCs w:val="18"/>
              </w:rPr>
              <w:t>施工依据</w:t>
            </w:r>
          </w:p>
        </w:tc>
        <w:tc>
          <w:tcPr>
            <w:tcW w:w="1419" w:type="pct"/>
            <w:gridSpan w:val="3"/>
            <w:tcBorders>
              <w:top w:val="single" w:color="000000" w:sz="4" w:space="0"/>
              <w:left w:val="nil"/>
              <w:bottom w:val="single" w:color="000000" w:sz="4" w:space="0"/>
              <w:right w:val="single" w:color="000000" w:sz="4" w:space="0"/>
            </w:tcBorders>
            <w:shd w:val="clear" w:color="auto" w:fill="FFFFFF"/>
            <w:tcMar>
              <w:top w:w="12" w:type="dxa"/>
              <w:left w:w="12" w:type="dxa"/>
              <w:bottom w:w="0" w:type="dxa"/>
              <w:right w:w="12" w:type="dxa"/>
            </w:tcMar>
            <w:vAlign w:val="center"/>
          </w:tcPr>
          <w:p w14:paraId="551C1CF6">
            <w:pPr>
              <w:topLinePunct/>
              <w:spacing w:line="240" w:lineRule="exact"/>
              <w:jc w:val="center"/>
              <w:rPr>
                <w:rFonts w:hint="eastAsia" w:ascii="宋体" w:hAnsi="宋体"/>
                <w:sz w:val="18"/>
                <w:szCs w:val="18"/>
              </w:rPr>
            </w:pPr>
          </w:p>
        </w:tc>
        <w:tc>
          <w:tcPr>
            <w:tcW w:w="900" w:type="pct"/>
            <w:gridSpan w:val="4"/>
            <w:tcBorders>
              <w:top w:val="single" w:color="000000" w:sz="4" w:space="0"/>
              <w:left w:val="nil"/>
              <w:bottom w:val="single" w:color="000000" w:sz="4" w:space="0"/>
              <w:right w:val="single" w:color="000000" w:sz="4" w:space="0"/>
            </w:tcBorders>
            <w:shd w:val="clear" w:color="auto" w:fill="FFFFFF"/>
            <w:tcMar>
              <w:top w:w="12" w:type="dxa"/>
              <w:left w:w="12" w:type="dxa"/>
              <w:bottom w:w="0" w:type="dxa"/>
              <w:right w:w="12" w:type="dxa"/>
            </w:tcMar>
            <w:vAlign w:val="center"/>
          </w:tcPr>
          <w:p w14:paraId="328FE8E7">
            <w:pPr>
              <w:topLinePunct/>
              <w:spacing w:line="240" w:lineRule="exact"/>
              <w:jc w:val="center"/>
              <w:rPr>
                <w:rFonts w:hint="eastAsia" w:ascii="宋体" w:hAnsi="宋体"/>
                <w:sz w:val="18"/>
                <w:szCs w:val="18"/>
              </w:rPr>
            </w:pPr>
            <w:r>
              <w:rPr>
                <w:rFonts w:hint="eastAsia" w:ascii="宋体" w:hAnsi="宋体"/>
                <w:sz w:val="18"/>
                <w:szCs w:val="18"/>
              </w:rPr>
              <w:t>验收依据</w:t>
            </w:r>
          </w:p>
        </w:tc>
        <w:tc>
          <w:tcPr>
            <w:tcW w:w="1860" w:type="pct"/>
            <w:gridSpan w:val="4"/>
            <w:tcBorders>
              <w:top w:val="single" w:color="000000" w:sz="4" w:space="0"/>
              <w:left w:val="nil"/>
              <w:bottom w:val="single" w:color="000000" w:sz="4" w:space="0"/>
              <w:right w:val="single" w:color="000000" w:sz="12" w:space="0"/>
            </w:tcBorders>
            <w:shd w:val="clear" w:color="auto" w:fill="FFFFFF"/>
            <w:tcMar>
              <w:top w:w="12" w:type="dxa"/>
              <w:left w:w="12" w:type="dxa"/>
              <w:bottom w:w="0" w:type="dxa"/>
              <w:right w:w="12" w:type="dxa"/>
            </w:tcMar>
            <w:vAlign w:val="center"/>
          </w:tcPr>
          <w:p w14:paraId="55E6B019">
            <w:pPr>
              <w:topLinePunct/>
              <w:spacing w:line="240" w:lineRule="exact"/>
              <w:jc w:val="center"/>
              <w:rPr>
                <w:rFonts w:hint="eastAsia" w:ascii="宋体" w:hAnsi="宋体"/>
                <w:sz w:val="18"/>
                <w:szCs w:val="18"/>
              </w:rPr>
            </w:pPr>
          </w:p>
        </w:tc>
      </w:tr>
      <w:tr w14:paraId="646F79F2">
        <w:tblPrEx>
          <w:tblCellMar>
            <w:top w:w="0" w:type="dxa"/>
            <w:left w:w="0" w:type="dxa"/>
            <w:bottom w:w="0" w:type="dxa"/>
            <w:right w:w="0" w:type="dxa"/>
          </w:tblCellMar>
        </w:tblPrEx>
        <w:trPr>
          <w:trHeight w:val="504" w:hRule="atLeast"/>
          <w:jc w:val="center"/>
        </w:trPr>
        <w:tc>
          <w:tcPr>
            <w:tcW w:w="302" w:type="pct"/>
            <w:tcBorders>
              <w:top w:val="single" w:color="000000" w:sz="4" w:space="0"/>
              <w:left w:val="single" w:color="000000" w:sz="12" w:space="0"/>
              <w:bottom w:val="single" w:color="000000" w:sz="4" w:space="0"/>
              <w:right w:val="single" w:color="000000" w:sz="12" w:space="0"/>
            </w:tcBorders>
            <w:shd w:val="clear" w:color="auto" w:fill="FFFFFF"/>
            <w:tcMar>
              <w:top w:w="12" w:type="dxa"/>
              <w:left w:w="12" w:type="dxa"/>
              <w:bottom w:w="0" w:type="dxa"/>
              <w:right w:w="12" w:type="dxa"/>
            </w:tcMar>
            <w:vAlign w:val="center"/>
          </w:tcPr>
          <w:p w14:paraId="77D4E30B">
            <w:pPr>
              <w:topLinePunct/>
              <w:spacing w:line="240" w:lineRule="exact"/>
              <w:jc w:val="center"/>
              <w:rPr>
                <w:rFonts w:hint="eastAsia" w:ascii="宋体" w:hAnsi="宋体"/>
                <w:sz w:val="18"/>
                <w:szCs w:val="18"/>
              </w:rPr>
            </w:pPr>
            <w:r>
              <w:rPr>
                <w:rFonts w:hint="eastAsia" w:ascii="宋体" w:hAnsi="宋体"/>
                <w:sz w:val="18"/>
                <w:szCs w:val="18"/>
              </w:rPr>
              <w:t>序号</w:t>
            </w:r>
          </w:p>
        </w:tc>
        <w:tc>
          <w:tcPr>
            <w:tcW w:w="792" w:type="pct"/>
            <w:gridSpan w:val="3"/>
            <w:tcBorders>
              <w:top w:val="single" w:color="000000" w:sz="4" w:space="0"/>
              <w:left w:val="nil"/>
              <w:bottom w:val="single" w:color="000000" w:sz="4" w:space="0"/>
              <w:right w:val="single" w:color="000000" w:sz="12" w:space="0"/>
            </w:tcBorders>
            <w:shd w:val="clear" w:color="auto" w:fill="FFFFFF"/>
            <w:vAlign w:val="center"/>
          </w:tcPr>
          <w:p w14:paraId="3D171003">
            <w:pPr>
              <w:topLinePunct/>
              <w:spacing w:line="240" w:lineRule="exact"/>
              <w:jc w:val="center"/>
              <w:rPr>
                <w:rFonts w:hint="eastAsia" w:ascii="宋体" w:hAnsi="宋体"/>
                <w:sz w:val="18"/>
                <w:szCs w:val="18"/>
              </w:rPr>
            </w:pPr>
            <w:r>
              <w:rPr>
                <w:rFonts w:hint="eastAsia" w:ascii="宋体" w:hAnsi="宋体"/>
                <w:sz w:val="18"/>
                <w:szCs w:val="18"/>
              </w:rPr>
              <w:t>验收项目</w:t>
            </w:r>
          </w:p>
        </w:tc>
        <w:tc>
          <w:tcPr>
            <w:tcW w:w="1320" w:type="pct"/>
            <w:gridSpan w:val="3"/>
            <w:tcBorders>
              <w:top w:val="single" w:color="000000" w:sz="4" w:space="0"/>
              <w:left w:val="nil"/>
              <w:bottom w:val="single" w:color="000000" w:sz="4" w:space="0"/>
              <w:right w:val="single" w:color="000000" w:sz="12" w:space="0"/>
            </w:tcBorders>
            <w:shd w:val="clear" w:color="auto" w:fill="FFFFFF"/>
            <w:vAlign w:val="center"/>
          </w:tcPr>
          <w:p w14:paraId="38CE1609">
            <w:pPr>
              <w:topLinePunct/>
              <w:spacing w:line="240" w:lineRule="exact"/>
              <w:jc w:val="center"/>
              <w:rPr>
                <w:rFonts w:hint="eastAsia" w:ascii="宋体" w:hAnsi="宋体"/>
                <w:sz w:val="18"/>
                <w:szCs w:val="18"/>
              </w:rPr>
            </w:pPr>
            <w:r>
              <w:rPr>
                <w:rFonts w:hint="eastAsia" w:ascii="宋体" w:hAnsi="宋体"/>
                <w:sz w:val="18"/>
                <w:szCs w:val="18"/>
              </w:rPr>
              <w:t>设计要求及规范规定</w:t>
            </w:r>
          </w:p>
        </w:tc>
        <w:tc>
          <w:tcPr>
            <w:tcW w:w="531" w:type="pct"/>
            <w:gridSpan w:val="2"/>
            <w:tcBorders>
              <w:top w:val="single" w:color="000000" w:sz="4" w:space="0"/>
              <w:left w:val="nil"/>
              <w:bottom w:val="single" w:color="000000" w:sz="4" w:space="0"/>
              <w:right w:val="single" w:color="000000" w:sz="12" w:space="0"/>
            </w:tcBorders>
            <w:shd w:val="clear" w:color="auto" w:fill="FFFFFF"/>
            <w:vAlign w:val="center"/>
          </w:tcPr>
          <w:p w14:paraId="55303408">
            <w:pPr>
              <w:jc w:val="center"/>
              <w:rPr>
                <w:rFonts w:hint="eastAsia" w:ascii="宋体" w:hAnsi="宋体"/>
                <w:kern w:val="0"/>
                <w:sz w:val="18"/>
                <w:szCs w:val="18"/>
              </w:rPr>
            </w:pPr>
            <w:r>
              <w:rPr>
                <w:rFonts w:hint="eastAsia" w:ascii="宋体" w:hAnsi="宋体"/>
                <w:sz w:val="18"/>
                <w:szCs w:val="18"/>
              </w:rPr>
              <w:t>最小/实际</w:t>
            </w:r>
          </w:p>
          <w:p w14:paraId="3548EBCD">
            <w:pPr>
              <w:topLinePunct/>
              <w:spacing w:line="240" w:lineRule="exact"/>
              <w:jc w:val="center"/>
              <w:rPr>
                <w:rFonts w:hint="eastAsia" w:ascii="宋体" w:hAnsi="宋体"/>
                <w:dstrike/>
                <w:sz w:val="18"/>
                <w:szCs w:val="18"/>
              </w:rPr>
            </w:pPr>
            <w:r>
              <w:rPr>
                <w:rFonts w:hint="eastAsia" w:ascii="宋体" w:hAnsi="宋体"/>
                <w:sz w:val="18"/>
                <w:szCs w:val="18"/>
              </w:rPr>
              <w:t>抽样数量</w:t>
            </w:r>
          </w:p>
        </w:tc>
        <w:tc>
          <w:tcPr>
            <w:tcW w:w="1242" w:type="pct"/>
            <w:gridSpan w:val="4"/>
            <w:tcBorders>
              <w:top w:val="single" w:color="000000" w:sz="4" w:space="0"/>
              <w:left w:val="nil"/>
              <w:bottom w:val="single" w:color="000000" w:sz="4" w:space="0"/>
              <w:right w:val="single" w:color="000000" w:sz="12" w:space="0"/>
            </w:tcBorders>
            <w:shd w:val="clear" w:color="auto" w:fill="FFFFFF"/>
            <w:vAlign w:val="center"/>
          </w:tcPr>
          <w:p w14:paraId="498AE998">
            <w:pPr>
              <w:topLinePunct/>
              <w:spacing w:line="240" w:lineRule="exact"/>
              <w:jc w:val="center"/>
              <w:rPr>
                <w:rFonts w:hint="eastAsia" w:ascii="宋体" w:hAnsi="宋体"/>
                <w:sz w:val="18"/>
                <w:szCs w:val="18"/>
              </w:rPr>
            </w:pPr>
            <w:r>
              <w:rPr>
                <w:rFonts w:hint="eastAsia" w:ascii="宋体" w:hAnsi="宋体"/>
                <w:sz w:val="18"/>
                <w:szCs w:val="18"/>
              </w:rPr>
              <w:t>检查记录</w:t>
            </w:r>
          </w:p>
        </w:tc>
        <w:tc>
          <w:tcPr>
            <w:tcW w:w="813" w:type="pct"/>
            <w:tcBorders>
              <w:top w:val="single" w:color="000000" w:sz="4" w:space="0"/>
              <w:left w:val="nil"/>
              <w:bottom w:val="single" w:color="000000" w:sz="4" w:space="0"/>
              <w:right w:val="single" w:color="000000" w:sz="12" w:space="0"/>
            </w:tcBorders>
            <w:shd w:val="clear" w:color="auto" w:fill="FFFFFF"/>
            <w:vAlign w:val="center"/>
          </w:tcPr>
          <w:p w14:paraId="7130490D">
            <w:pPr>
              <w:topLinePunct/>
              <w:spacing w:line="240" w:lineRule="exact"/>
              <w:jc w:val="center"/>
              <w:rPr>
                <w:rFonts w:hint="eastAsia" w:ascii="宋体" w:hAnsi="宋体"/>
                <w:dstrike/>
                <w:sz w:val="18"/>
                <w:szCs w:val="18"/>
              </w:rPr>
            </w:pPr>
            <w:r>
              <w:rPr>
                <w:rFonts w:hint="eastAsia" w:ascii="宋体" w:hAnsi="宋体"/>
                <w:sz w:val="18"/>
                <w:szCs w:val="18"/>
              </w:rPr>
              <w:t>检查结果</w:t>
            </w:r>
          </w:p>
        </w:tc>
      </w:tr>
      <w:tr w14:paraId="4967E414">
        <w:tblPrEx>
          <w:tblCellMar>
            <w:top w:w="0" w:type="dxa"/>
            <w:left w:w="0" w:type="dxa"/>
            <w:bottom w:w="0" w:type="dxa"/>
            <w:right w:w="0" w:type="dxa"/>
          </w:tblCellMar>
        </w:tblPrEx>
        <w:trPr>
          <w:trHeight w:val="504" w:hRule="atLeast"/>
          <w:jc w:val="center"/>
        </w:trPr>
        <w:tc>
          <w:tcPr>
            <w:tcW w:w="302" w:type="pct"/>
            <w:tcBorders>
              <w:top w:val="single" w:color="000000" w:sz="4" w:space="0"/>
              <w:left w:val="single" w:color="000000" w:sz="12" w:space="0"/>
              <w:bottom w:val="single" w:color="000000" w:sz="4" w:space="0"/>
              <w:right w:val="single" w:color="000000" w:sz="12" w:space="0"/>
            </w:tcBorders>
            <w:shd w:val="clear" w:color="auto" w:fill="FFFFFF"/>
            <w:tcMar>
              <w:top w:w="12" w:type="dxa"/>
              <w:left w:w="12" w:type="dxa"/>
              <w:bottom w:w="0" w:type="dxa"/>
              <w:right w:w="12" w:type="dxa"/>
            </w:tcMar>
            <w:vAlign w:val="center"/>
          </w:tcPr>
          <w:p w14:paraId="23A62D6E">
            <w:pPr>
              <w:topLinePunct/>
              <w:spacing w:line="240" w:lineRule="exact"/>
              <w:jc w:val="center"/>
              <w:rPr>
                <w:rFonts w:hint="eastAsia" w:ascii="宋体" w:hAnsi="宋体"/>
                <w:sz w:val="18"/>
                <w:szCs w:val="18"/>
              </w:rPr>
            </w:pPr>
            <w:r>
              <w:rPr>
                <w:rFonts w:hint="eastAsia" w:ascii="宋体" w:hAnsi="宋体"/>
                <w:sz w:val="18"/>
                <w:szCs w:val="18"/>
              </w:rPr>
              <w:t>1</w:t>
            </w:r>
          </w:p>
        </w:tc>
        <w:tc>
          <w:tcPr>
            <w:tcW w:w="792" w:type="pct"/>
            <w:gridSpan w:val="3"/>
            <w:tcBorders>
              <w:top w:val="single" w:color="000000" w:sz="4" w:space="0"/>
              <w:left w:val="nil"/>
              <w:bottom w:val="single" w:color="000000" w:sz="4" w:space="0"/>
              <w:right w:val="single" w:color="000000" w:sz="12" w:space="0"/>
            </w:tcBorders>
            <w:shd w:val="clear" w:color="auto" w:fill="FFFFFF"/>
            <w:vAlign w:val="center"/>
          </w:tcPr>
          <w:p w14:paraId="392999BF">
            <w:pPr>
              <w:topLinePunct/>
              <w:spacing w:line="240" w:lineRule="exact"/>
              <w:jc w:val="center"/>
              <w:rPr>
                <w:rFonts w:hint="eastAsia" w:ascii="宋体" w:hAnsi="宋体"/>
                <w:sz w:val="18"/>
                <w:szCs w:val="18"/>
              </w:rPr>
            </w:pPr>
            <w:r>
              <w:rPr>
                <w:rFonts w:hint="eastAsia" w:ascii="宋体" w:hAnsi="宋体"/>
                <w:sz w:val="18"/>
                <w:szCs w:val="18"/>
              </w:rPr>
              <w:t>材料质量</w:t>
            </w:r>
          </w:p>
        </w:tc>
        <w:tc>
          <w:tcPr>
            <w:tcW w:w="1320" w:type="pct"/>
            <w:gridSpan w:val="3"/>
            <w:tcBorders>
              <w:top w:val="single" w:color="000000" w:sz="4" w:space="0"/>
              <w:left w:val="nil"/>
              <w:bottom w:val="single" w:color="000000" w:sz="4" w:space="0"/>
              <w:right w:val="single" w:color="000000" w:sz="12" w:space="0"/>
            </w:tcBorders>
            <w:shd w:val="clear" w:color="auto" w:fill="FFFFFF"/>
            <w:vAlign w:val="center"/>
          </w:tcPr>
          <w:p w14:paraId="0BFC047D">
            <w:pPr>
              <w:topLinePunct/>
              <w:spacing w:line="240" w:lineRule="exact"/>
              <w:jc w:val="center"/>
              <w:rPr>
                <w:rFonts w:hint="eastAsia" w:ascii="宋体" w:hAnsi="宋体"/>
                <w:sz w:val="18"/>
                <w:szCs w:val="18"/>
              </w:rPr>
            </w:pPr>
            <w:r>
              <w:rPr>
                <w:rFonts w:hint="eastAsia" w:ascii="宋体" w:hAnsi="宋体"/>
                <w:sz w:val="18"/>
                <w:szCs w:val="18"/>
              </w:rPr>
              <w:t>质量保证书、合格证、说明书等齐全合格，需抽样时按规复验</w:t>
            </w:r>
          </w:p>
        </w:tc>
        <w:tc>
          <w:tcPr>
            <w:tcW w:w="531" w:type="pct"/>
            <w:gridSpan w:val="2"/>
            <w:tcBorders>
              <w:top w:val="single" w:color="000000" w:sz="4" w:space="0"/>
              <w:left w:val="nil"/>
              <w:bottom w:val="single" w:color="000000" w:sz="4" w:space="0"/>
              <w:right w:val="single" w:color="000000" w:sz="12" w:space="0"/>
            </w:tcBorders>
            <w:shd w:val="clear" w:color="auto" w:fill="FFFFFF"/>
            <w:vAlign w:val="center"/>
          </w:tcPr>
          <w:p w14:paraId="5E44E98E">
            <w:pPr>
              <w:topLinePunct/>
              <w:spacing w:line="240" w:lineRule="exact"/>
              <w:jc w:val="center"/>
              <w:rPr>
                <w:rFonts w:hint="eastAsia" w:ascii="宋体" w:hAnsi="宋体"/>
                <w:dstrike/>
                <w:sz w:val="18"/>
                <w:szCs w:val="18"/>
                <w:highlight w:val="red"/>
              </w:rPr>
            </w:pPr>
          </w:p>
        </w:tc>
        <w:tc>
          <w:tcPr>
            <w:tcW w:w="1242" w:type="pct"/>
            <w:gridSpan w:val="4"/>
            <w:tcBorders>
              <w:top w:val="single" w:color="000000" w:sz="4" w:space="0"/>
              <w:left w:val="nil"/>
              <w:bottom w:val="single" w:color="000000" w:sz="4" w:space="0"/>
              <w:right w:val="single" w:color="000000" w:sz="12" w:space="0"/>
            </w:tcBorders>
            <w:shd w:val="clear" w:color="auto" w:fill="FFFFFF"/>
            <w:vAlign w:val="center"/>
          </w:tcPr>
          <w:p w14:paraId="14C0C4A1">
            <w:pPr>
              <w:topLinePunct/>
              <w:spacing w:line="240" w:lineRule="exact"/>
              <w:jc w:val="center"/>
              <w:rPr>
                <w:rFonts w:hint="eastAsia" w:ascii="宋体" w:hAnsi="宋体"/>
                <w:sz w:val="18"/>
                <w:szCs w:val="18"/>
              </w:rPr>
            </w:pPr>
          </w:p>
        </w:tc>
        <w:tc>
          <w:tcPr>
            <w:tcW w:w="813" w:type="pct"/>
            <w:tcBorders>
              <w:top w:val="single" w:color="000000" w:sz="4" w:space="0"/>
              <w:left w:val="nil"/>
              <w:bottom w:val="single" w:color="000000" w:sz="4" w:space="0"/>
              <w:right w:val="single" w:color="000000" w:sz="12" w:space="0"/>
            </w:tcBorders>
            <w:shd w:val="clear" w:color="auto" w:fill="FFFFFF"/>
            <w:vAlign w:val="center"/>
          </w:tcPr>
          <w:p w14:paraId="42441860">
            <w:pPr>
              <w:topLinePunct/>
              <w:spacing w:line="240" w:lineRule="exact"/>
              <w:jc w:val="center"/>
              <w:rPr>
                <w:rFonts w:hint="eastAsia" w:ascii="宋体" w:hAnsi="宋体"/>
                <w:dstrike/>
                <w:sz w:val="18"/>
                <w:szCs w:val="18"/>
                <w:highlight w:val="red"/>
              </w:rPr>
            </w:pPr>
          </w:p>
        </w:tc>
      </w:tr>
      <w:tr w14:paraId="06E3C47E">
        <w:tblPrEx>
          <w:tblCellMar>
            <w:top w:w="0" w:type="dxa"/>
            <w:left w:w="0" w:type="dxa"/>
            <w:bottom w:w="0" w:type="dxa"/>
            <w:right w:w="0" w:type="dxa"/>
          </w:tblCellMar>
        </w:tblPrEx>
        <w:trPr>
          <w:trHeight w:val="504" w:hRule="atLeast"/>
          <w:jc w:val="center"/>
        </w:trPr>
        <w:tc>
          <w:tcPr>
            <w:tcW w:w="302" w:type="pct"/>
            <w:tcBorders>
              <w:top w:val="single" w:color="000000" w:sz="4" w:space="0"/>
              <w:left w:val="single" w:color="000000" w:sz="12" w:space="0"/>
              <w:bottom w:val="single" w:color="000000" w:sz="4" w:space="0"/>
              <w:right w:val="single" w:color="000000" w:sz="12" w:space="0"/>
            </w:tcBorders>
            <w:shd w:val="clear" w:color="auto" w:fill="FFFFFF"/>
            <w:tcMar>
              <w:top w:w="12" w:type="dxa"/>
              <w:left w:w="12" w:type="dxa"/>
              <w:bottom w:w="0" w:type="dxa"/>
              <w:right w:w="12" w:type="dxa"/>
            </w:tcMar>
            <w:vAlign w:val="center"/>
          </w:tcPr>
          <w:p w14:paraId="31A5BEDD">
            <w:pPr>
              <w:pStyle w:val="235"/>
              <w:ind w:firstLine="0" w:firstLineChars="0"/>
              <w:jc w:val="center"/>
              <w:rPr>
                <w:rFonts w:hint="eastAsia" w:cs="Times New Roman"/>
              </w:rPr>
            </w:pPr>
            <w:r>
              <w:rPr>
                <w:rFonts w:hint="eastAsia" w:cs="Times New Roman"/>
              </w:rPr>
              <w:t>2</w:t>
            </w:r>
          </w:p>
        </w:tc>
        <w:tc>
          <w:tcPr>
            <w:tcW w:w="792" w:type="pct"/>
            <w:gridSpan w:val="3"/>
            <w:tcBorders>
              <w:top w:val="single" w:color="000000" w:sz="4" w:space="0"/>
              <w:left w:val="nil"/>
              <w:bottom w:val="single" w:color="000000" w:sz="4" w:space="0"/>
              <w:right w:val="single" w:color="000000" w:sz="12" w:space="0"/>
            </w:tcBorders>
            <w:shd w:val="clear" w:color="auto" w:fill="FFFFFF"/>
            <w:vAlign w:val="center"/>
          </w:tcPr>
          <w:p w14:paraId="3E97F7D5">
            <w:pPr>
              <w:topLinePunct/>
              <w:spacing w:line="240" w:lineRule="exact"/>
              <w:jc w:val="center"/>
              <w:rPr>
                <w:rFonts w:hint="eastAsia" w:ascii="宋体" w:hAnsi="宋体" w:cs="Arial"/>
                <w:sz w:val="18"/>
                <w:szCs w:val="18"/>
              </w:rPr>
            </w:pPr>
            <w:r>
              <w:rPr>
                <w:rFonts w:hint="eastAsia" w:ascii="宋体" w:hAnsi="宋体"/>
                <w:sz w:val="18"/>
                <w:szCs w:val="18"/>
              </w:rPr>
              <w:t>表面除锈质量等级</w:t>
            </w:r>
          </w:p>
        </w:tc>
        <w:tc>
          <w:tcPr>
            <w:tcW w:w="1320" w:type="pct"/>
            <w:gridSpan w:val="3"/>
            <w:tcBorders>
              <w:top w:val="single" w:color="000000" w:sz="4" w:space="0"/>
              <w:left w:val="nil"/>
              <w:bottom w:val="single" w:color="000000" w:sz="4" w:space="0"/>
              <w:right w:val="single" w:color="000000" w:sz="12" w:space="0"/>
            </w:tcBorders>
            <w:shd w:val="clear" w:color="auto" w:fill="FFFFFF"/>
            <w:vAlign w:val="center"/>
          </w:tcPr>
          <w:p w14:paraId="670B6E28">
            <w:pPr>
              <w:topLinePunct/>
              <w:spacing w:line="240" w:lineRule="exact"/>
              <w:jc w:val="center"/>
              <w:rPr>
                <w:rFonts w:hint="eastAsia" w:ascii="宋体" w:hAnsi="宋体"/>
                <w:sz w:val="18"/>
                <w:szCs w:val="18"/>
              </w:rPr>
            </w:pPr>
            <w:r>
              <w:rPr>
                <w:rFonts w:hint="eastAsia" w:ascii="宋体" w:hAnsi="宋体"/>
                <w:sz w:val="18"/>
                <w:szCs w:val="18"/>
              </w:rPr>
              <w:t>符合设计要求；设计无要求时，喷射清理（Sa）、手动、动力工具清理（St）在不放大的情况下观察时，表面应无可见的油、脂和污物，并且没有附着不牢的氧化皮、铁锈、涂层和外来杂质；火焰清理（F1），在不放大的情况下观察时，表面应无氧化皮、铁锈、涂层和外来杂质，任何残留的痕迹应仅为表面变色</w:t>
            </w:r>
          </w:p>
        </w:tc>
        <w:tc>
          <w:tcPr>
            <w:tcW w:w="531" w:type="pct"/>
            <w:gridSpan w:val="2"/>
            <w:tcBorders>
              <w:top w:val="single" w:color="000000" w:sz="4" w:space="0"/>
              <w:left w:val="nil"/>
              <w:bottom w:val="single" w:color="000000" w:sz="4" w:space="0"/>
              <w:right w:val="single" w:color="000000" w:sz="12" w:space="0"/>
            </w:tcBorders>
            <w:shd w:val="clear" w:color="auto" w:fill="FFFFFF"/>
            <w:vAlign w:val="center"/>
          </w:tcPr>
          <w:p w14:paraId="3C8DF52F">
            <w:pPr>
              <w:topLinePunct/>
              <w:spacing w:line="240" w:lineRule="exact"/>
              <w:jc w:val="center"/>
              <w:rPr>
                <w:rFonts w:hint="eastAsia" w:ascii="宋体" w:hAnsi="宋体"/>
                <w:dstrike/>
                <w:sz w:val="18"/>
                <w:szCs w:val="18"/>
                <w:highlight w:val="red"/>
              </w:rPr>
            </w:pPr>
          </w:p>
        </w:tc>
        <w:tc>
          <w:tcPr>
            <w:tcW w:w="1242" w:type="pct"/>
            <w:gridSpan w:val="4"/>
            <w:tcBorders>
              <w:top w:val="single" w:color="000000" w:sz="4" w:space="0"/>
              <w:left w:val="nil"/>
              <w:bottom w:val="single" w:color="000000" w:sz="4" w:space="0"/>
              <w:right w:val="single" w:color="000000" w:sz="12" w:space="0"/>
            </w:tcBorders>
            <w:shd w:val="clear" w:color="auto" w:fill="FFFFFF"/>
            <w:vAlign w:val="center"/>
          </w:tcPr>
          <w:p w14:paraId="2D03E132">
            <w:pPr>
              <w:topLinePunct/>
              <w:spacing w:line="240" w:lineRule="exact"/>
              <w:jc w:val="center"/>
              <w:rPr>
                <w:rFonts w:hint="eastAsia" w:ascii="宋体" w:hAnsi="宋体"/>
                <w:sz w:val="18"/>
                <w:szCs w:val="18"/>
              </w:rPr>
            </w:pPr>
          </w:p>
        </w:tc>
        <w:tc>
          <w:tcPr>
            <w:tcW w:w="813" w:type="pct"/>
            <w:tcBorders>
              <w:top w:val="single" w:color="000000" w:sz="4" w:space="0"/>
              <w:left w:val="nil"/>
              <w:bottom w:val="single" w:color="000000" w:sz="4" w:space="0"/>
              <w:right w:val="single" w:color="000000" w:sz="12" w:space="0"/>
            </w:tcBorders>
            <w:shd w:val="clear" w:color="auto" w:fill="FFFFFF"/>
            <w:vAlign w:val="center"/>
          </w:tcPr>
          <w:p w14:paraId="08E2FBD5">
            <w:pPr>
              <w:topLinePunct/>
              <w:spacing w:line="240" w:lineRule="exact"/>
              <w:jc w:val="center"/>
              <w:rPr>
                <w:rFonts w:hint="eastAsia" w:ascii="宋体" w:hAnsi="宋体"/>
                <w:dstrike/>
                <w:sz w:val="18"/>
                <w:szCs w:val="18"/>
                <w:highlight w:val="red"/>
              </w:rPr>
            </w:pPr>
          </w:p>
        </w:tc>
      </w:tr>
      <w:tr w14:paraId="144B8630">
        <w:tblPrEx>
          <w:tblCellMar>
            <w:top w:w="0" w:type="dxa"/>
            <w:left w:w="0" w:type="dxa"/>
            <w:bottom w:w="0" w:type="dxa"/>
            <w:right w:w="0" w:type="dxa"/>
          </w:tblCellMar>
        </w:tblPrEx>
        <w:trPr>
          <w:trHeight w:val="504" w:hRule="atLeast"/>
          <w:jc w:val="center"/>
        </w:trPr>
        <w:tc>
          <w:tcPr>
            <w:tcW w:w="302" w:type="pct"/>
            <w:tcBorders>
              <w:top w:val="single" w:color="000000" w:sz="4" w:space="0"/>
              <w:left w:val="single" w:color="000000" w:sz="12" w:space="0"/>
              <w:bottom w:val="single" w:color="000000" w:sz="4" w:space="0"/>
              <w:right w:val="single" w:color="000000" w:sz="12" w:space="0"/>
            </w:tcBorders>
            <w:shd w:val="clear" w:color="auto" w:fill="FFFFFF"/>
            <w:tcMar>
              <w:top w:w="12" w:type="dxa"/>
              <w:left w:w="12" w:type="dxa"/>
              <w:bottom w:w="0" w:type="dxa"/>
              <w:right w:w="12" w:type="dxa"/>
            </w:tcMar>
            <w:vAlign w:val="center"/>
          </w:tcPr>
          <w:p w14:paraId="6AF5CC65">
            <w:pPr>
              <w:pStyle w:val="235"/>
              <w:ind w:firstLine="0" w:firstLineChars="0"/>
              <w:jc w:val="center"/>
              <w:rPr>
                <w:rFonts w:hint="eastAsia" w:cs="Times New Roman"/>
              </w:rPr>
            </w:pPr>
            <w:r>
              <w:rPr>
                <w:rFonts w:hint="eastAsia" w:cs="Times New Roman"/>
                <w:kern w:val="2"/>
                <w:sz w:val="18"/>
                <w:szCs w:val="18"/>
              </w:rPr>
              <w:t>3</w:t>
            </w:r>
          </w:p>
        </w:tc>
        <w:tc>
          <w:tcPr>
            <w:tcW w:w="792" w:type="pct"/>
            <w:gridSpan w:val="3"/>
            <w:tcBorders>
              <w:top w:val="single" w:color="000000" w:sz="4" w:space="0"/>
              <w:left w:val="nil"/>
              <w:bottom w:val="single" w:color="000000" w:sz="4" w:space="0"/>
              <w:right w:val="single" w:color="000000" w:sz="12" w:space="0"/>
            </w:tcBorders>
            <w:shd w:val="clear" w:color="auto" w:fill="FFFFFF"/>
            <w:vAlign w:val="center"/>
          </w:tcPr>
          <w:p w14:paraId="72AF287D">
            <w:pPr>
              <w:topLinePunct/>
              <w:spacing w:line="240" w:lineRule="exact"/>
              <w:jc w:val="center"/>
              <w:rPr>
                <w:rFonts w:hint="eastAsia" w:ascii="宋体" w:hAnsi="宋体" w:cs="Arial"/>
                <w:sz w:val="18"/>
                <w:szCs w:val="18"/>
              </w:rPr>
            </w:pPr>
            <w:r>
              <w:rPr>
                <w:rFonts w:hint="eastAsia" w:ascii="宋体" w:hAnsi="宋体"/>
                <w:sz w:val="18"/>
                <w:szCs w:val="18"/>
              </w:rPr>
              <w:t>经处理后基层表面质量</w:t>
            </w:r>
          </w:p>
        </w:tc>
        <w:tc>
          <w:tcPr>
            <w:tcW w:w="1320" w:type="pct"/>
            <w:gridSpan w:val="3"/>
            <w:tcBorders>
              <w:top w:val="single" w:color="000000" w:sz="4" w:space="0"/>
              <w:left w:val="nil"/>
              <w:bottom w:val="single" w:color="000000" w:sz="4" w:space="0"/>
              <w:right w:val="single" w:color="000000" w:sz="12" w:space="0"/>
            </w:tcBorders>
            <w:shd w:val="clear" w:color="auto" w:fill="FFFFFF"/>
            <w:vAlign w:val="center"/>
          </w:tcPr>
          <w:p w14:paraId="44B12F88">
            <w:pPr>
              <w:pStyle w:val="168"/>
              <w:numPr>
                <w:ilvl w:val="0"/>
                <w:numId w:val="0"/>
              </w:numPr>
              <w:jc w:val="center"/>
              <w:rPr>
                <w:rFonts w:hint="eastAsia" w:hAnsi="宋体"/>
                <w:color w:val="000000"/>
                <w:kern w:val="2"/>
                <w:sz w:val="18"/>
                <w:szCs w:val="18"/>
              </w:rPr>
            </w:pPr>
            <w:r>
              <w:rPr>
                <w:rFonts w:hint="eastAsia" w:hAnsi="宋体"/>
                <w:color w:val="000000"/>
                <w:kern w:val="2"/>
                <w:sz w:val="18"/>
                <w:szCs w:val="18"/>
              </w:rPr>
              <w:t>应洁净、干燥，应无焊瘤、毛刺、裂纹、穿孔和咬边、油污及其他附着物等杂质，飞边、未熔合和超过允许标准的气孔、冷隔、缩松、缩孔、夹砂及明显凹坑等缺陷已修正</w:t>
            </w:r>
          </w:p>
        </w:tc>
        <w:tc>
          <w:tcPr>
            <w:tcW w:w="531" w:type="pct"/>
            <w:gridSpan w:val="2"/>
            <w:tcBorders>
              <w:top w:val="single" w:color="000000" w:sz="4" w:space="0"/>
              <w:left w:val="nil"/>
              <w:bottom w:val="single" w:color="000000" w:sz="4" w:space="0"/>
              <w:right w:val="single" w:color="000000" w:sz="12" w:space="0"/>
            </w:tcBorders>
            <w:shd w:val="clear" w:color="auto" w:fill="FFFFFF"/>
            <w:vAlign w:val="center"/>
          </w:tcPr>
          <w:p w14:paraId="5C795271">
            <w:pPr>
              <w:topLinePunct/>
              <w:spacing w:line="240" w:lineRule="exact"/>
              <w:jc w:val="center"/>
              <w:rPr>
                <w:rFonts w:hint="eastAsia" w:ascii="宋体" w:hAnsi="宋体"/>
                <w:dstrike/>
                <w:color w:val="000000"/>
                <w:sz w:val="18"/>
                <w:szCs w:val="18"/>
                <w:highlight w:val="red"/>
              </w:rPr>
            </w:pPr>
          </w:p>
        </w:tc>
        <w:tc>
          <w:tcPr>
            <w:tcW w:w="1242" w:type="pct"/>
            <w:gridSpan w:val="4"/>
            <w:tcBorders>
              <w:top w:val="single" w:color="000000" w:sz="4" w:space="0"/>
              <w:left w:val="nil"/>
              <w:bottom w:val="single" w:color="000000" w:sz="4" w:space="0"/>
              <w:right w:val="single" w:color="000000" w:sz="12" w:space="0"/>
            </w:tcBorders>
            <w:shd w:val="clear" w:color="auto" w:fill="FFFFFF"/>
            <w:vAlign w:val="center"/>
          </w:tcPr>
          <w:p w14:paraId="355C9151">
            <w:pPr>
              <w:topLinePunct/>
              <w:spacing w:line="240" w:lineRule="exact"/>
              <w:jc w:val="center"/>
              <w:rPr>
                <w:rFonts w:hint="eastAsia" w:ascii="宋体" w:hAnsi="宋体"/>
                <w:sz w:val="18"/>
                <w:szCs w:val="18"/>
              </w:rPr>
            </w:pPr>
          </w:p>
        </w:tc>
        <w:tc>
          <w:tcPr>
            <w:tcW w:w="813" w:type="pct"/>
            <w:tcBorders>
              <w:top w:val="single" w:color="000000" w:sz="4" w:space="0"/>
              <w:left w:val="nil"/>
              <w:bottom w:val="single" w:color="000000" w:sz="4" w:space="0"/>
              <w:right w:val="single" w:color="000000" w:sz="12" w:space="0"/>
            </w:tcBorders>
            <w:shd w:val="clear" w:color="auto" w:fill="FFFFFF"/>
            <w:vAlign w:val="center"/>
          </w:tcPr>
          <w:p w14:paraId="3B3FA937">
            <w:pPr>
              <w:topLinePunct/>
              <w:spacing w:line="240" w:lineRule="exact"/>
              <w:jc w:val="center"/>
              <w:rPr>
                <w:rFonts w:hint="eastAsia" w:ascii="宋体" w:hAnsi="宋体"/>
                <w:dstrike/>
                <w:sz w:val="18"/>
                <w:szCs w:val="18"/>
                <w:highlight w:val="red"/>
              </w:rPr>
            </w:pPr>
          </w:p>
        </w:tc>
      </w:tr>
      <w:tr w14:paraId="014DB387">
        <w:tblPrEx>
          <w:tblCellMar>
            <w:top w:w="0" w:type="dxa"/>
            <w:left w:w="0" w:type="dxa"/>
            <w:bottom w:w="0" w:type="dxa"/>
            <w:right w:w="0" w:type="dxa"/>
          </w:tblCellMar>
        </w:tblPrEx>
        <w:trPr>
          <w:trHeight w:val="504" w:hRule="atLeast"/>
          <w:jc w:val="center"/>
        </w:trPr>
        <w:tc>
          <w:tcPr>
            <w:tcW w:w="302" w:type="pct"/>
            <w:tcBorders>
              <w:top w:val="single" w:color="000000" w:sz="4" w:space="0"/>
              <w:left w:val="single" w:color="000000" w:sz="12" w:space="0"/>
              <w:bottom w:val="single" w:color="000000" w:sz="4" w:space="0"/>
              <w:right w:val="single" w:color="000000" w:sz="12" w:space="0"/>
            </w:tcBorders>
            <w:shd w:val="clear" w:color="auto" w:fill="FFFFFF"/>
            <w:tcMar>
              <w:top w:w="12" w:type="dxa"/>
              <w:left w:w="12" w:type="dxa"/>
              <w:bottom w:w="0" w:type="dxa"/>
              <w:right w:w="12" w:type="dxa"/>
            </w:tcMar>
            <w:vAlign w:val="center"/>
          </w:tcPr>
          <w:p w14:paraId="3067A5CC">
            <w:pPr>
              <w:pStyle w:val="235"/>
              <w:ind w:firstLine="0" w:firstLineChars="0"/>
              <w:jc w:val="center"/>
              <w:rPr>
                <w:rFonts w:hint="eastAsia" w:cs="Times New Roman"/>
              </w:rPr>
            </w:pPr>
            <w:r>
              <w:rPr>
                <w:rFonts w:hint="eastAsia" w:cs="Times New Roman"/>
                <w:kern w:val="2"/>
                <w:sz w:val="18"/>
                <w:szCs w:val="18"/>
              </w:rPr>
              <w:t>4</w:t>
            </w:r>
          </w:p>
        </w:tc>
        <w:tc>
          <w:tcPr>
            <w:tcW w:w="792" w:type="pct"/>
            <w:gridSpan w:val="3"/>
            <w:tcBorders>
              <w:top w:val="single" w:color="000000" w:sz="4" w:space="0"/>
              <w:left w:val="nil"/>
              <w:bottom w:val="single" w:color="000000" w:sz="4" w:space="0"/>
              <w:right w:val="single" w:color="000000" w:sz="12" w:space="0"/>
            </w:tcBorders>
            <w:vAlign w:val="center"/>
          </w:tcPr>
          <w:p w14:paraId="13504C18">
            <w:pPr>
              <w:topLinePunct/>
              <w:spacing w:line="240" w:lineRule="exact"/>
              <w:jc w:val="center"/>
              <w:rPr>
                <w:rFonts w:hint="eastAsia" w:ascii="宋体" w:hAnsi="宋体" w:cs="Arial"/>
                <w:sz w:val="18"/>
                <w:szCs w:val="18"/>
              </w:rPr>
            </w:pPr>
            <w:r>
              <w:rPr>
                <w:rFonts w:hint="eastAsia" w:ascii="宋体" w:hAnsi="宋体"/>
                <w:sz w:val="18"/>
                <w:szCs w:val="18"/>
              </w:rPr>
              <w:t>表面粗糙度</w:t>
            </w:r>
          </w:p>
        </w:tc>
        <w:tc>
          <w:tcPr>
            <w:tcW w:w="1320" w:type="pct"/>
            <w:gridSpan w:val="3"/>
            <w:tcBorders>
              <w:top w:val="single" w:color="000000" w:sz="4" w:space="0"/>
              <w:left w:val="nil"/>
              <w:bottom w:val="single" w:color="000000" w:sz="4" w:space="0"/>
              <w:right w:val="single" w:color="000000" w:sz="12" w:space="0"/>
            </w:tcBorders>
            <w:vAlign w:val="center"/>
          </w:tcPr>
          <w:p w14:paraId="0A83E50D">
            <w:pPr>
              <w:topLinePunct/>
              <w:spacing w:line="240" w:lineRule="exact"/>
              <w:jc w:val="center"/>
              <w:rPr>
                <w:rFonts w:hint="eastAsia" w:ascii="宋体" w:hAnsi="宋体"/>
                <w:sz w:val="18"/>
                <w:szCs w:val="18"/>
              </w:rPr>
            </w:pPr>
            <w:r>
              <w:rPr>
                <w:rFonts w:hint="eastAsia" w:ascii="宋体" w:hAnsi="宋体"/>
                <w:sz w:val="18"/>
                <w:szCs w:val="18"/>
              </w:rPr>
              <w:t>符合设计要求；设计无要求时为30μm～75μm</w:t>
            </w:r>
          </w:p>
        </w:tc>
        <w:tc>
          <w:tcPr>
            <w:tcW w:w="531" w:type="pct"/>
            <w:gridSpan w:val="2"/>
            <w:tcBorders>
              <w:top w:val="single" w:color="000000" w:sz="4" w:space="0"/>
              <w:left w:val="nil"/>
              <w:bottom w:val="single" w:color="000000" w:sz="4" w:space="0"/>
              <w:right w:val="single" w:color="000000" w:sz="12" w:space="0"/>
            </w:tcBorders>
            <w:shd w:val="clear" w:color="auto" w:fill="FFFFFF"/>
            <w:vAlign w:val="center"/>
          </w:tcPr>
          <w:p w14:paraId="00F6DD46">
            <w:pPr>
              <w:topLinePunct/>
              <w:spacing w:line="240" w:lineRule="exact"/>
              <w:jc w:val="center"/>
              <w:rPr>
                <w:rFonts w:hint="eastAsia" w:ascii="宋体" w:hAnsi="宋体"/>
                <w:dstrike/>
                <w:sz w:val="18"/>
                <w:szCs w:val="18"/>
                <w:highlight w:val="red"/>
              </w:rPr>
            </w:pPr>
          </w:p>
        </w:tc>
        <w:tc>
          <w:tcPr>
            <w:tcW w:w="1242" w:type="pct"/>
            <w:gridSpan w:val="4"/>
            <w:tcBorders>
              <w:top w:val="single" w:color="000000" w:sz="4" w:space="0"/>
              <w:left w:val="nil"/>
              <w:bottom w:val="single" w:color="000000" w:sz="4" w:space="0"/>
              <w:right w:val="single" w:color="000000" w:sz="12" w:space="0"/>
            </w:tcBorders>
            <w:shd w:val="clear" w:color="auto" w:fill="FFFFFF"/>
            <w:vAlign w:val="center"/>
          </w:tcPr>
          <w:p w14:paraId="199366BA">
            <w:pPr>
              <w:topLinePunct/>
              <w:spacing w:line="240" w:lineRule="exact"/>
              <w:jc w:val="center"/>
              <w:rPr>
                <w:rFonts w:hint="eastAsia" w:ascii="宋体" w:hAnsi="宋体"/>
                <w:sz w:val="18"/>
                <w:szCs w:val="18"/>
              </w:rPr>
            </w:pPr>
          </w:p>
        </w:tc>
        <w:tc>
          <w:tcPr>
            <w:tcW w:w="813" w:type="pct"/>
            <w:tcBorders>
              <w:top w:val="single" w:color="000000" w:sz="4" w:space="0"/>
              <w:left w:val="nil"/>
              <w:bottom w:val="single" w:color="000000" w:sz="4" w:space="0"/>
              <w:right w:val="single" w:color="000000" w:sz="12" w:space="0"/>
            </w:tcBorders>
            <w:shd w:val="clear" w:color="auto" w:fill="FFFFFF"/>
            <w:vAlign w:val="center"/>
          </w:tcPr>
          <w:p w14:paraId="46D8AC10">
            <w:pPr>
              <w:topLinePunct/>
              <w:spacing w:line="240" w:lineRule="exact"/>
              <w:jc w:val="center"/>
              <w:rPr>
                <w:rFonts w:hint="eastAsia" w:ascii="宋体" w:hAnsi="宋体"/>
                <w:dstrike/>
                <w:sz w:val="18"/>
                <w:szCs w:val="18"/>
                <w:highlight w:val="red"/>
              </w:rPr>
            </w:pPr>
          </w:p>
        </w:tc>
      </w:tr>
      <w:tr w14:paraId="69E9AC10">
        <w:tblPrEx>
          <w:tblCellMar>
            <w:top w:w="0" w:type="dxa"/>
            <w:left w:w="0" w:type="dxa"/>
            <w:bottom w:w="0" w:type="dxa"/>
            <w:right w:w="0" w:type="dxa"/>
          </w:tblCellMar>
        </w:tblPrEx>
        <w:trPr>
          <w:trHeight w:val="504" w:hRule="atLeast"/>
          <w:jc w:val="center"/>
        </w:trPr>
        <w:tc>
          <w:tcPr>
            <w:tcW w:w="302" w:type="pct"/>
            <w:tcBorders>
              <w:top w:val="single" w:color="000000" w:sz="4" w:space="0"/>
              <w:left w:val="single" w:color="000000" w:sz="12" w:space="0"/>
              <w:bottom w:val="single" w:color="000000" w:sz="4" w:space="0"/>
              <w:right w:val="single" w:color="000000" w:sz="12" w:space="0"/>
            </w:tcBorders>
            <w:shd w:val="clear" w:color="auto" w:fill="FFFFFF"/>
            <w:tcMar>
              <w:top w:w="12" w:type="dxa"/>
              <w:left w:w="12" w:type="dxa"/>
              <w:bottom w:w="0" w:type="dxa"/>
              <w:right w:w="12" w:type="dxa"/>
            </w:tcMar>
            <w:vAlign w:val="center"/>
          </w:tcPr>
          <w:p w14:paraId="1CECE569">
            <w:pPr>
              <w:topLinePunct/>
              <w:spacing w:line="240" w:lineRule="exact"/>
              <w:jc w:val="center"/>
              <w:rPr>
                <w:rFonts w:hint="eastAsia" w:ascii="宋体" w:hAnsi="宋体"/>
                <w:sz w:val="18"/>
                <w:szCs w:val="18"/>
              </w:rPr>
            </w:pPr>
            <w:r>
              <w:rPr>
                <w:rFonts w:hint="eastAsia" w:ascii="宋体" w:hAnsi="宋体"/>
                <w:sz w:val="18"/>
                <w:szCs w:val="18"/>
              </w:rPr>
              <w:t>5</w:t>
            </w:r>
          </w:p>
        </w:tc>
        <w:tc>
          <w:tcPr>
            <w:tcW w:w="792" w:type="pct"/>
            <w:gridSpan w:val="3"/>
            <w:tcBorders>
              <w:top w:val="single" w:color="000000" w:sz="4" w:space="0"/>
              <w:left w:val="nil"/>
              <w:bottom w:val="single" w:color="000000" w:sz="4" w:space="0"/>
              <w:right w:val="single" w:color="000000" w:sz="12" w:space="0"/>
            </w:tcBorders>
            <w:shd w:val="clear" w:color="auto" w:fill="FFFFFF"/>
            <w:vAlign w:val="center"/>
          </w:tcPr>
          <w:p w14:paraId="4729BCCB">
            <w:pPr>
              <w:topLinePunct/>
              <w:spacing w:line="240" w:lineRule="exact"/>
              <w:jc w:val="center"/>
              <w:rPr>
                <w:rFonts w:hint="eastAsia" w:ascii="宋体" w:hAnsi="宋体"/>
                <w:sz w:val="18"/>
                <w:szCs w:val="18"/>
              </w:rPr>
            </w:pPr>
            <w:r>
              <w:rPr>
                <w:rFonts w:hint="eastAsia" w:ascii="宋体" w:hAnsi="宋体"/>
                <w:sz w:val="18"/>
                <w:szCs w:val="18"/>
              </w:rPr>
              <w:t>焊缝、边缘处理等级，既有带缺陷的钢构件表面和既有焊缝、板边表面缺陷处理等级</w:t>
            </w:r>
          </w:p>
        </w:tc>
        <w:tc>
          <w:tcPr>
            <w:tcW w:w="1320" w:type="pct"/>
            <w:gridSpan w:val="3"/>
            <w:tcBorders>
              <w:top w:val="single" w:color="000000" w:sz="4" w:space="0"/>
              <w:left w:val="nil"/>
              <w:bottom w:val="single" w:color="000000" w:sz="4" w:space="0"/>
              <w:right w:val="single" w:color="000000" w:sz="12" w:space="0"/>
            </w:tcBorders>
            <w:shd w:val="clear" w:color="auto" w:fill="FFFFFF"/>
            <w:vAlign w:val="center"/>
          </w:tcPr>
          <w:p w14:paraId="273CA04F">
            <w:pPr>
              <w:topLinePunct/>
              <w:spacing w:line="240" w:lineRule="exact"/>
              <w:jc w:val="center"/>
              <w:rPr>
                <w:rFonts w:hint="eastAsia" w:ascii="宋体" w:hAnsi="宋体"/>
                <w:sz w:val="18"/>
                <w:szCs w:val="18"/>
              </w:rPr>
            </w:pPr>
            <w:r>
              <w:rPr>
                <w:rFonts w:hint="eastAsia" w:ascii="宋体" w:hAnsi="宋体"/>
                <w:sz w:val="18"/>
                <w:szCs w:val="18"/>
              </w:rPr>
              <w:t>1.符合设计要求；2.设计无要求时，符合GB/T8923.2规定，不低于P2级</w:t>
            </w:r>
          </w:p>
        </w:tc>
        <w:tc>
          <w:tcPr>
            <w:tcW w:w="531" w:type="pct"/>
            <w:gridSpan w:val="2"/>
            <w:tcBorders>
              <w:top w:val="single" w:color="000000" w:sz="4" w:space="0"/>
              <w:left w:val="nil"/>
              <w:bottom w:val="single" w:color="000000" w:sz="4" w:space="0"/>
              <w:right w:val="single" w:color="000000" w:sz="12" w:space="0"/>
            </w:tcBorders>
            <w:shd w:val="clear" w:color="auto" w:fill="FFFFFF"/>
            <w:vAlign w:val="center"/>
          </w:tcPr>
          <w:p w14:paraId="5BDECFB6">
            <w:pPr>
              <w:topLinePunct/>
              <w:spacing w:line="240" w:lineRule="exact"/>
              <w:jc w:val="center"/>
              <w:rPr>
                <w:rFonts w:hint="eastAsia" w:ascii="宋体" w:hAnsi="宋体"/>
                <w:dstrike/>
                <w:sz w:val="18"/>
                <w:szCs w:val="18"/>
                <w:highlight w:val="red"/>
              </w:rPr>
            </w:pPr>
          </w:p>
        </w:tc>
        <w:tc>
          <w:tcPr>
            <w:tcW w:w="1242" w:type="pct"/>
            <w:gridSpan w:val="4"/>
            <w:tcBorders>
              <w:top w:val="single" w:color="000000" w:sz="4" w:space="0"/>
              <w:left w:val="nil"/>
              <w:bottom w:val="single" w:color="000000" w:sz="4" w:space="0"/>
              <w:right w:val="single" w:color="000000" w:sz="12" w:space="0"/>
            </w:tcBorders>
            <w:shd w:val="clear" w:color="auto" w:fill="FFFFFF"/>
            <w:vAlign w:val="center"/>
          </w:tcPr>
          <w:p w14:paraId="0DD3713B">
            <w:pPr>
              <w:topLinePunct/>
              <w:spacing w:line="240" w:lineRule="exact"/>
              <w:jc w:val="center"/>
              <w:rPr>
                <w:rFonts w:hint="eastAsia" w:ascii="宋体" w:hAnsi="宋体"/>
                <w:sz w:val="18"/>
                <w:szCs w:val="18"/>
              </w:rPr>
            </w:pPr>
          </w:p>
        </w:tc>
        <w:tc>
          <w:tcPr>
            <w:tcW w:w="813" w:type="pct"/>
            <w:tcBorders>
              <w:top w:val="single" w:color="000000" w:sz="4" w:space="0"/>
              <w:left w:val="nil"/>
              <w:bottom w:val="single" w:color="000000" w:sz="4" w:space="0"/>
              <w:right w:val="single" w:color="000000" w:sz="12" w:space="0"/>
            </w:tcBorders>
            <w:shd w:val="clear" w:color="auto" w:fill="FFFFFF"/>
            <w:vAlign w:val="center"/>
          </w:tcPr>
          <w:p w14:paraId="03AB9E6F">
            <w:pPr>
              <w:topLinePunct/>
              <w:spacing w:line="240" w:lineRule="exact"/>
              <w:jc w:val="center"/>
              <w:rPr>
                <w:rFonts w:hint="eastAsia" w:ascii="宋体" w:hAnsi="宋体"/>
                <w:dstrike/>
                <w:sz w:val="18"/>
                <w:szCs w:val="18"/>
                <w:highlight w:val="red"/>
              </w:rPr>
            </w:pPr>
          </w:p>
        </w:tc>
      </w:tr>
      <w:tr w14:paraId="53B4FE5F">
        <w:tblPrEx>
          <w:tblCellMar>
            <w:top w:w="0" w:type="dxa"/>
            <w:left w:w="0" w:type="dxa"/>
            <w:bottom w:w="0" w:type="dxa"/>
            <w:right w:w="0" w:type="dxa"/>
          </w:tblCellMar>
        </w:tblPrEx>
        <w:trPr>
          <w:trHeight w:val="504" w:hRule="atLeast"/>
          <w:jc w:val="center"/>
        </w:trPr>
        <w:tc>
          <w:tcPr>
            <w:tcW w:w="302" w:type="pct"/>
            <w:tcBorders>
              <w:top w:val="single" w:color="000000" w:sz="4" w:space="0"/>
              <w:left w:val="single" w:color="000000" w:sz="12" w:space="0"/>
              <w:bottom w:val="single" w:color="000000" w:sz="4" w:space="0"/>
              <w:right w:val="single" w:color="000000" w:sz="12" w:space="0"/>
            </w:tcBorders>
            <w:shd w:val="clear" w:color="auto" w:fill="FFFFFF"/>
            <w:tcMar>
              <w:top w:w="12" w:type="dxa"/>
              <w:left w:w="12" w:type="dxa"/>
              <w:bottom w:w="0" w:type="dxa"/>
              <w:right w:w="12" w:type="dxa"/>
            </w:tcMar>
            <w:vAlign w:val="center"/>
          </w:tcPr>
          <w:p w14:paraId="447AD44E">
            <w:pPr>
              <w:topLinePunct/>
              <w:spacing w:line="240" w:lineRule="exact"/>
              <w:jc w:val="center"/>
              <w:rPr>
                <w:rFonts w:hint="eastAsia" w:ascii="宋体" w:hAnsi="宋体"/>
                <w:sz w:val="18"/>
                <w:szCs w:val="18"/>
              </w:rPr>
            </w:pPr>
            <w:r>
              <w:rPr>
                <w:rFonts w:hint="eastAsia" w:ascii="宋体" w:hAnsi="宋体"/>
                <w:sz w:val="18"/>
                <w:szCs w:val="18"/>
              </w:rPr>
              <w:t>6</w:t>
            </w:r>
          </w:p>
        </w:tc>
        <w:tc>
          <w:tcPr>
            <w:tcW w:w="792" w:type="pct"/>
            <w:gridSpan w:val="3"/>
            <w:tcBorders>
              <w:top w:val="single" w:color="000000" w:sz="4" w:space="0"/>
              <w:left w:val="nil"/>
              <w:bottom w:val="single" w:color="000000" w:sz="4" w:space="0"/>
              <w:right w:val="single" w:color="000000" w:sz="12" w:space="0"/>
            </w:tcBorders>
            <w:shd w:val="clear" w:color="auto" w:fill="FFFFFF"/>
            <w:vAlign w:val="center"/>
          </w:tcPr>
          <w:p w14:paraId="372F7CCB">
            <w:pPr>
              <w:topLinePunct/>
              <w:spacing w:line="240" w:lineRule="exact"/>
              <w:jc w:val="center"/>
              <w:rPr>
                <w:rFonts w:hint="eastAsia" w:ascii="宋体" w:hAnsi="宋体"/>
                <w:sz w:val="18"/>
                <w:szCs w:val="18"/>
              </w:rPr>
            </w:pPr>
            <w:r>
              <w:rPr>
                <w:rFonts w:hint="eastAsia" w:ascii="宋体" w:hAnsi="宋体"/>
                <w:sz w:val="18"/>
                <w:szCs w:val="18"/>
              </w:rPr>
              <w:t>既有钢构件局部清除原有涂层的处理等级</w:t>
            </w:r>
          </w:p>
        </w:tc>
        <w:tc>
          <w:tcPr>
            <w:tcW w:w="1320" w:type="pct"/>
            <w:gridSpan w:val="3"/>
            <w:tcBorders>
              <w:top w:val="single" w:color="000000" w:sz="4" w:space="0"/>
              <w:left w:val="nil"/>
              <w:bottom w:val="single" w:color="000000" w:sz="4" w:space="0"/>
              <w:right w:val="single" w:color="000000" w:sz="12" w:space="0"/>
            </w:tcBorders>
            <w:shd w:val="clear" w:color="auto" w:fill="FFFFFF"/>
            <w:vAlign w:val="center"/>
          </w:tcPr>
          <w:p w14:paraId="33D34406">
            <w:pPr>
              <w:topLinePunct/>
              <w:spacing w:line="240" w:lineRule="exact"/>
              <w:jc w:val="center"/>
              <w:rPr>
                <w:rFonts w:hint="eastAsia" w:ascii="宋体" w:hAnsi="宋体"/>
                <w:sz w:val="18"/>
                <w:szCs w:val="18"/>
              </w:rPr>
            </w:pPr>
            <w:r>
              <w:rPr>
                <w:rFonts w:hint="eastAsia" w:ascii="宋体" w:hAnsi="宋体"/>
                <w:sz w:val="18"/>
                <w:szCs w:val="18"/>
              </w:rPr>
              <w:t>应符合设计要求。设计无要求时，按本文件</w:t>
            </w:r>
            <w:r>
              <w:rPr>
                <w:rFonts w:hint="eastAsia" w:ascii="宋体" w:hAnsi="宋体"/>
                <w:sz w:val="18"/>
                <w:szCs w:val="18"/>
                <w:highlight w:val="yellow"/>
              </w:rPr>
              <w:t>6.2.1、6.2.3</w:t>
            </w:r>
            <w:r>
              <w:rPr>
                <w:rFonts w:hint="eastAsia" w:ascii="宋体" w:hAnsi="宋体"/>
                <w:sz w:val="18"/>
                <w:szCs w:val="18"/>
              </w:rPr>
              <w:t>执行</w:t>
            </w:r>
          </w:p>
        </w:tc>
        <w:tc>
          <w:tcPr>
            <w:tcW w:w="531" w:type="pct"/>
            <w:gridSpan w:val="2"/>
            <w:tcBorders>
              <w:top w:val="single" w:color="000000" w:sz="4" w:space="0"/>
              <w:left w:val="nil"/>
              <w:bottom w:val="single" w:color="000000" w:sz="4" w:space="0"/>
              <w:right w:val="single" w:color="000000" w:sz="12" w:space="0"/>
            </w:tcBorders>
            <w:shd w:val="clear" w:color="auto" w:fill="FFFFFF"/>
            <w:vAlign w:val="center"/>
          </w:tcPr>
          <w:p w14:paraId="4AE57092">
            <w:pPr>
              <w:topLinePunct/>
              <w:spacing w:line="240" w:lineRule="exact"/>
              <w:jc w:val="center"/>
              <w:rPr>
                <w:rFonts w:hint="eastAsia" w:ascii="宋体" w:hAnsi="宋体"/>
                <w:sz w:val="18"/>
                <w:szCs w:val="18"/>
              </w:rPr>
            </w:pPr>
          </w:p>
        </w:tc>
        <w:tc>
          <w:tcPr>
            <w:tcW w:w="1242" w:type="pct"/>
            <w:gridSpan w:val="4"/>
            <w:tcBorders>
              <w:top w:val="single" w:color="000000" w:sz="4" w:space="0"/>
              <w:left w:val="nil"/>
              <w:bottom w:val="single" w:color="000000" w:sz="4" w:space="0"/>
              <w:right w:val="single" w:color="000000" w:sz="12" w:space="0"/>
            </w:tcBorders>
            <w:shd w:val="clear" w:color="auto" w:fill="FFFFFF"/>
            <w:vAlign w:val="center"/>
          </w:tcPr>
          <w:p w14:paraId="5F1C7B70">
            <w:pPr>
              <w:topLinePunct/>
              <w:spacing w:line="240" w:lineRule="exact"/>
              <w:jc w:val="center"/>
              <w:rPr>
                <w:rFonts w:hint="eastAsia" w:ascii="宋体" w:hAnsi="宋体"/>
                <w:sz w:val="18"/>
                <w:szCs w:val="18"/>
              </w:rPr>
            </w:pPr>
          </w:p>
        </w:tc>
        <w:tc>
          <w:tcPr>
            <w:tcW w:w="813" w:type="pct"/>
            <w:tcBorders>
              <w:top w:val="single" w:color="000000" w:sz="4" w:space="0"/>
              <w:left w:val="nil"/>
              <w:bottom w:val="single" w:color="000000" w:sz="4" w:space="0"/>
              <w:right w:val="single" w:color="000000" w:sz="12" w:space="0"/>
            </w:tcBorders>
            <w:shd w:val="clear" w:color="auto" w:fill="FFFFFF"/>
            <w:vAlign w:val="center"/>
          </w:tcPr>
          <w:p w14:paraId="62B84ED4">
            <w:pPr>
              <w:topLinePunct/>
              <w:spacing w:line="240" w:lineRule="exact"/>
              <w:jc w:val="center"/>
              <w:rPr>
                <w:rFonts w:hint="eastAsia" w:ascii="宋体" w:hAnsi="宋体"/>
                <w:dstrike/>
                <w:sz w:val="18"/>
                <w:szCs w:val="18"/>
                <w:highlight w:val="red"/>
              </w:rPr>
            </w:pPr>
          </w:p>
        </w:tc>
      </w:tr>
      <w:tr w14:paraId="4C9EA19B">
        <w:tblPrEx>
          <w:tblCellMar>
            <w:top w:w="0" w:type="dxa"/>
            <w:left w:w="0" w:type="dxa"/>
            <w:bottom w:w="0" w:type="dxa"/>
            <w:right w:w="0" w:type="dxa"/>
          </w:tblCellMar>
        </w:tblPrEx>
        <w:trPr>
          <w:trHeight w:val="504" w:hRule="atLeast"/>
          <w:jc w:val="center"/>
        </w:trPr>
        <w:tc>
          <w:tcPr>
            <w:tcW w:w="302" w:type="pct"/>
            <w:tcBorders>
              <w:top w:val="single" w:color="000000" w:sz="4" w:space="0"/>
              <w:left w:val="single" w:color="000000" w:sz="12" w:space="0"/>
              <w:bottom w:val="single" w:color="000000" w:sz="4" w:space="0"/>
              <w:right w:val="single" w:color="000000" w:sz="12" w:space="0"/>
            </w:tcBorders>
            <w:shd w:val="clear" w:color="auto" w:fill="FFFFFF"/>
            <w:tcMar>
              <w:top w:w="12" w:type="dxa"/>
              <w:left w:w="12" w:type="dxa"/>
              <w:bottom w:w="0" w:type="dxa"/>
              <w:right w:w="12" w:type="dxa"/>
            </w:tcMar>
            <w:vAlign w:val="center"/>
          </w:tcPr>
          <w:p w14:paraId="618F56CE">
            <w:pPr>
              <w:topLinePunct/>
              <w:spacing w:line="240" w:lineRule="exact"/>
              <w:jc w:val="center"/>
              <w:rPr>
                <w:rFonts w:hint="eastAsia" w:ascii="宋体" w:hAnsi="宋体"/>
                <w:sz w:val="18"/>
                <w:szCs w:val="18"/>
              </w:rPr>
            </w:pPr>
            <w:r>
              <w:rPr>
                <w:rFonts w:hint="eastAsia" w:ascii="宋体" w:hAnsi="宋体"/>
                <w:sz w:val="18"/>
                <w:szCs w:val="18"/>
              </w:rPr>
              <w:t>7</w:t>
            </w:r>
          </w:p>
        </w:tc>
        <w:tc>
          <w:tcPr>
            <w:tcW w:w="792" w:type="pct"/>
            <w:gridSpan w:val="3"/>
            <w:tcBorders>
              <w:top w:val="single" w:color="000000" w:sz="4" w:space="0"/>
              <w:left w:val="nil"/>
              <w:bottom w:val="single" w:color="000000" w:sz="4" w:space="0"/>
              <w:right w:val="single" w:color="000000" w:sz="12" w:space="0"/>
            </w:tcBorders>
            <w:vAlign w:val="center"/>
          </w:tcPr>
          <w:p w14:paraId="530203F0">
            <w:pPr>
              <w:topLinePunct/>
              <w:spacing w:line="240" w:lineRule="exact"/>
              <w:jc w:val="center"/>
              <w:rPr>
                <w:rFonts w:hint="eastAsia" w:ascii="宋体" w:hAnsi="宋体"/>
                <w:sz w:val="18"/>
                <w:szCs w:val="18"/>
              </w:rPr>
            </w:pPr>
            <w:r>
              <w:rPr>
                <w:rFonts w:hint="eastAsia" w:ascii="宋体" w:hAnsi="宋体"/>
                <w:sz w:val="18"/>
                <w:szCs w:val="18"/>
              </w:rPr>
              <w:t>材料外观质量</w:t>
            </w:r>
          </w:p>
        </w:tc>
        <w:tc>
          <w:tcPr>
            <w:tcW w:w="1320" w:type="pct"/>
            <w:gridSpan w:val="3"/>
            <w:tcBorders>
              <w:top w:val="single" w:color="000000" w:sz="4" w:space="0"/>
              <w:left w:val="nil"/>
              <w:bottom w:val="single" w:color="000000" w:sz="4" w:space="0"/>
              <w:right w:val="single" w:color="000000" w:sz="12" w:space="0"/>
            </w:tcBorders>
            <w:vAlign w:val="center"/>
          </w:tcPr>
          <w:p w14:paraId="0F5DE5A2">
            <w:pPr>
              <w:topLinePunct/>
              <w:spacing w:line="240" w:lineRule="exact"/>
              <w:jc w:val="center"/>
              <w:rPr>
                <w:rFonts w:hint="eastAsia" w:ascii="宋体" w:hAnsi="宋体"/>
                <w:sz w:val="18"/>
                <w:szCs w:val="18"/>
              </w:rPr>
            </w:pPr>
            <w:r>
              <w:rPr>
                <w:rFonts w:hint="eastAsia" w:ascii="宋体" w:hAnsi="宋体"/>
                <w:sz w:val="18"/>
                <w:szCs w:val="18"/>
              </w:rPr>
              <w:t>不应存在结皮、结块、凝胶等现象</w:t>
            </w:r>
          </w:p>
        </w:tc>
        <w:tc>
          <w:tcPr>
            <w:tcW w:w="531" w:type="pct"/>
            <w:gridSpan w:val="2"/>
            <w:tcBorders>
              <w:top w:val="single" w:color="000000" w:sz="4" w:space="0"/>
              <w:left w:val="nil"/>
              <w:bottom w:val="single" w:color="000000" w:sz="4" w:space="0"/>
              <w:right w:val="single" w:color="000000" w:sz="12" w:space="0"/>
            </w:tcBorders>
            <w:shd w:val="clear" w:color="auto" w:fill="FFFFFF"/>
            <w:vAlign w:val="center"/>
          </w:tcPr>
          <w:p w14:paraId="203F2A5B">
            <w:pPr>
              <w:topLinePunct/>
              <w:spacing w:line="240" w:lineRule="exact"/>
              <w:jc w:val="center"/>
              <w:rPr>
                <w:rFonts w:hint="eastAsia" w:ascii="宋体" w:hAnsi="宋体"/>
                <w:dstrike/>
                <w:sz w:val="18"/>
                <w:szCs w:val="18"/>
                <w:highlight w:val="red"/>
              </w:rPr>
            </w:pPr>
          </w:p>
        </w:tc>
        <w:tc>
          <w:tcPr>
            <w:tcW w:w="1242" w:type="pct"/>
            <w:gridSpan w:val="4"/>
            <w:tcBorders>
              <w:top w:val="single" w:color="000000" w:sz="4" w:space="0"/>
              <w:left w:val="nil"/>
              <w:bottom w:val="single" w:color="000000" w:sz="4" w:space="0"/>
              <w:right w:val="single" w:color="000000" w:sz="12" w:space="0"/>
            </w:tcBorders>
            <w:shd w:val="clear" w:color="auto" w:fill="FFFFFF"/>
            <w:vAlign w:val="center"/>
          </w:tcPr>
          <w:p w14:paraId="3248A8DF">
            <w:pPr>
              <w:topLinePunct/>
              <w:spacing w:line="240" w:lineRule="exact"/>
              <w:jc w:val="center"/>
              <w:rPr>
                <w:rFonts w:hint="eastAsia" w:ascii="宋体" w:hAnsi="宋体"/>
                <w:sz w:val="18"/>
                <w:szCs w:val="18"/>
              </w:rPr>
            </w:pPr>
          </w:p>
        </w:tc>
        <w:tc>
          <w:tcPr>
            <w:tcW w:w="813" w:type="pct"/>
            <w:tcBorders>
              <w:top w:val="single" w:color="000000" w:sz="4" w:space="0"/>
              <w:left w:val="nil"/>
              <w:bottom w:val="single" w:color="000000" w:sz="4" w:space="0"/>
              <w:right w:val="single" w:color="000000" w:sz="12" w:space="0"/>
            </w:tcBorders>
            <w:shd w:val="clear" w:color="auto" w:fill="FFFFFF"/>
            <w:vAlign w:val="center"/>
          </w:tcPr>
          <w:p w14:paraId="28833540">
            <w:pPr>
              <w:topLinePunct/>
              <w:spacing w:line="240" w:lineRule="exact"/>
              <w:jc w:val="center"/>
              <w:rPr>
                <w:rFonts w:hint="eastAsia" w:ascii="宋体" w:hAnsi="宋体"/>
                <w:dstrike/>
                <w:sz w:val="18"/>
                <w:szCs w:val="18"/>
                <w:highlight w:val="red"/>
              </w:rPr>
            </w:pPr>
          </w:p>
        </w:tc>
      </w:tr>
      <w:tr w14:paraId="5B921EBA">
        <w:trPr>
          <w:trHeight w:val="504" w:hRule="atLeast"/>
          <w:jc w:val="center"/>
        </w:trPr>
        <w:tc>
          <w:tcPr>
            <w:tcW w:w="302" w:type="pct"/>
            <w:tcBorders>
              <w:top w:val="single" w:color="000000" w:sz="4" w:space="0"/>
              <w:left w:val="single" w:color="000000" w:sz="12" w:space="0"/>
              <w:bottom w:val="single" w:color="000000" w:sz="4" w:space="0"/>
              <w:right w:val="single" w:color="000000" w:sz="12" w:space="0"/>
            </w:tcBorders>
            <w:shd w:val="clear" w:color="auto" w:fill="FFFFFF"/>
            <w:tcMar>
              <w:top w:w="12" w:type="dxa"/>
              <w:left w:w="12" w:type="dxa"/>
              <w:bottom w:w="0" w:type="dxa"/>
              <w:right w:w="12" w:type="dxa"/>
            </w:tcMar>
            <w:vAlign w:val="center"/>
          </w:tcPr>
          <w:p w14:paraId="7CAA8A7A">
            <w:pPr>
              <w:topLinePunct/>
              <w:spacing w:line="240" w:lineRule="exact"/>
              <w:jc w:val="center"/>
              <w:rPr>
                <w:rFonts w:hint="eastAsia" w:ascii="宋体" w:hAnsi="宋体"/>
                <w:sz w:val="18"/>
                <w:szCs w:val="18"/>
              </w:rPr>
            </w:pPr>
            <w:r>
              <w:rPr>
                <w:rFonts w:hint="eastAsia" w:ascii="宋体" w:hAnsi="宋体"/>
                <w:sz w:val="18"/>
                <w:szCs w:val="18"/>
              </w:rPr>
              <w:t>8</w:t>
            </w:r>
          </w:p>
        </w:tc>
        <w:tc>
          <w:tcPr>
            <w:tcW w:w="792" w:type="pct"/>
            <w:gridSpan w:val="3"/>
            <w:tcBorders>
              <w:top w:val="single" w:color="000000" w:sz="4" w:space="0"/>
              <w:left w:val="nil"/>
              <w:bottom w:val="single" w:color="000000" w:sz="4" w:space="0"/>
              <w:right w:val="single" w:color="000000" w:sz="12" w:space="0"/>
            </w:tcBorders>
            <w:vAlign w:val="center"/>
          </w:tcPr>
          <w:p w14:paraId="358F5BFD">
            <w:pPr>
              <w:topLinePunct/>
              <w:spacing w:line="240" w:lineRule="exact"/>
              <w:jc w:val="center"/>
              <w:rPr>
                <w:rFonts w:hint="eastAsia" w:ascii="宋体" w:hAnsi="宋体"/>
                <w:sz w:val="18"/>
                <w:szCs w:val="18"/>
              </w:rPr>
            </w:pPr>
            <w:r>
              <w:rPr>
                <w:rFonts w:hint="eastAsia" w:ascii="宋体" w:hAnsi="宋体"/>
                <w:sz w:val="18"/>
                <w:szCs w:val="18"/>
              </w:rPr>
              <w:t>除锈后涂装间隔时间</w:t>
            </w:r>
          </w:p>
        </w:tc>
        <w:tc>
          <w:tcPr>
            <w:tcW w:w="1320" w:type="pct"/>
            <w:gridSpan w:val="3"/>
            <w:tcBorders>
              <w:top w:val="single" w:color="000000" w:sz="4" w:space="0"/>
              <w:left w:val="nil"/>
              <w:bottom w:val="single" w:color="000000" w:sz="4" w:space="0"/>
              <w:right w:val="single" w:color="000000" w:sz="12" w:space="0"/>
            </w:tcBorders>
            <w:vAlign w:val="center"/>
          </w:tcPr>
          <w:p w14:paraId="57C8C184">
            <w:pPr>
              <w:topLinePunct/>
              <w:spacing w:line="240" w:lineRule="exact"/>
              <w:jc w:val="center"/>
              <w:rPr>
                <w:rFonts w:hint="eastAsia" w:ascii="宋体" w:hAnsi="宋体"/>
                <w:sz w:val="18"/>
                <w:szCs w:val="18"/>
              </w:rPr>
            </w:pPr>
            <w:r>
              <w:rPr>
                <w:rFonts w:hint="eastAsia" w:ascii="宋体" w:hAnsi="宋体"/>
                <w:sz w:val="18"/>
                <w:szCs w:val="18"/>
              </w:rPr>
              <w:t>间隔时间不宜超过4h</w:t>
            </w:r>
          </w:p>
        </w:tc>
        <w:tc>
          <w:tcPr>
            <w:tcW w:w="531" w:type="pct"/>
            <w:gridSpan w:val="2"/>
            <w:tcBorders>
              <w:top w:val="single" w:color="000000" w:sz="4" w:space="0"/>
              <w:left w:val="nil"/>
              <w:bottom w:val="single" w:color="000000" w:sz="4" w:space="0"/>
              <w:right w:val="single" w:color="000000" w:sz="12" w:space="0"/>
            </w:tcBorders>
            <w:shd w:val="clear" w:color="auto" w:fill="FFFFFF"/>
            <w:vAlign w:val="center"/>
          </w:tcPr>
          <w:p w14:paraId="4BB4BF2B">
            <w:pPr>
              <w:topLinePunct/>
              <w:spacing w:line="240" w:lineRule="exact"/>
              <w:jc w:val="center"/>
              <w:rPr>
                <w:rFonts w:hint="eastAsia" w:ascii="宋体" w:hAnsi="宋体"/>
                <w:sz w:val="18"/>
                <w:szCs w:val="18"/>
              </w:rPr>
            </w:pPr>
          </w:p>
        </w:tc>
        <w:tc>
          <w:tcPr>
            <w:tcW w:w="1242" w:type="pct"/>
            <w:gridSpan w:val="4"/>
            <w:tcBorders>
              <w:top w:val="single" w:color="000000" w:sz="4" w:space="0"/>
              <w:left w:val="nil"/>
              <w:bottom w:val="single" w:color="000000" w:sz="4" w:space="0"/>
              <w:right w:val="single" w:color="000000" w:sz="12" w:space="0"/>
            </w:tcBorders>
            <w:shd w:val="clear" w:color="auto" w:fill="FFFFFF"/>
            <w:vAlign w:val="center"/>
          </w:tcPr>
          <w:p w14:paraId="7016A2C5">
            <w:pPr>
              <w:topLinePunct/>
              <w:spacing w:line="240" w:lineRule="exact"/>
              <w:jc w:val="center"/>
              <w:rPr>
                <w:rFonts w:hint="eastAsia" w:ascii="宋体" w:hAnsi="宋体"/>
                <w:sz w:val="18"/>
                <w:szCs w:val="18"/>
              </w:rPr>
            </w:pPr>
          </w:p>
        </w:tc>
        <w:tc>
          <w:tcPr>
            <w:tcW w:w="813" w:type="pct"/>
            <w:tcBorders>
              <w:top w:val="single" w:color="000000" w:sz="4" w:space="0"/>
              <w:left w:val="nil"/>
              <w:bottom w:val="single" w:color="000000" w:sz="4" w:space="0"/>
              <w:right w:val="single" w:color="000000" w:sz="12" w:space="0"/>
            </w:tcBorders>
            <w:shd w:val="clear" w:color="auto" w:fill="FFFFFF"/>
            <w:vAlign w:val="center"/>
          </w:tcPr>
          <w:p w14:paraId="2F6F4AB7">
            <w:pPr>
              <w:topLinePunct/>
              <w:spacing w:line="240" w:lineRule="exact"/>
              <w:jc w:val="center"/>
              <w:rPr>
                <w:rFonts w:hint="eastAsia" w:ascii="宋体" w:hAnsi="宋体"/>
                <w:dstrike/>
                <w:sz w:val="18"/>
                <w:szCs w:val="18"/>
                <w:highlight w:val="red"/>
              </w:rPr>
            </w:pPr>
          </w:p>
        </w:tc>
      </w:tr>
      <w:tr w14:paraId="3A88540D">
        <w:tblPrEx>
          <w:tblCellMar>
            <w:top w:w="0" w:type="dxa"/>
            <w:left w:w="0" w:type="dxa"/>
            <w:bottom w:w="0" w:type="dxa"/>
            <w:right w:w="0" w:type="dxa"/>
          </w:tblCellMar>
        </w:tblPrEx>
        <w:trPr>
          <w:trHeight w:val="504" w:hRule="atLeast"/>
          <w:jc w:val="center"/>
        </w:trPr>
        <w:tc>
          <w:tcPr>
            <w:tcW w:w="302" w:type="pct"/>
            <w:tcBorders>
              <w:top w:val="single" w:color="000000" w:sz="4" w:space="0"/>
              <w:left w:val="single" w:color="000000" w:sz="12" w:space="0"/>
              <w:bottom w:val="single" w:color="000000" w:sz="4" w:space="0"/>
              <w:right w:val="single" w:color="000000" w:sz="12" w:space="0"/>
            </w:tcBorders>
            <w:shd w:val="clear" w:color="auto" w:fill="FFFFFF"/>
            <w:tcMar>
              <w:top w:w="12" w:type="dxa"/>
              <w:left w:w="12" w:type="dxa"/>
              <w:bottom w:w="0" w:type="dxa"/>
              <w:right w:w="12" w:type="dxa"/>
            </w:tcMar>
            <w:vAlign w:val="center"/>
          </w:tcPr>
          <w:p w14:paraId="0FB1B405">
            <w:pPr>
              <w:topLinePunct/>
              <w:spacing w:line="240" w:lineRule="exact"/>
              <w:jc w:val="center"/>
              <w:rPr>
                <w:rFonts w:hint="eastAsia" w:ascii="宋体" w:hAnsi="宋体"/>
                <w:sz w:val="18"/>
                <w:szCs w:val="18"/>
              </w:rPr>
            </w:pPr>
            <w:r>
              <w:rPr>
                <w:rFonts w:hint="eastAsia" w:ascii="宋体" w:hAnsi="宋体"/>
                <w:sz w:val="18"/>
                <w:szCs w:val="18"/>
              </w:rPr>
              <w:t>9</w:t>
            </w:r>
          </w:p>
        </w:tc>
        <w:tc>
          <w:tcPr>
            <w:tcW w:w="792" w:type="pct"/>
            <w:gridSpan w:val="3"/>
            <w:tcBorders>
              <w:top w:val="single" w:color="000000" w:sz="4" w:space="0"/>
              <w:left w:val="nil"/>
              <w:bottom w:val="single" w:color="000000" w:sz="4" w:space="0"/>
              <w:right w:val="single" w:color="000000" w:sz="12" w:space="0"/>
            </w:tcBorders>
            <w:vAlign w:val="center"/>
          </w:tcPr>
          <w:p w14:paraId="2F53CD41">
            <w:pPr>
              <w:pStyle w:val="59"/>
              <w:ind w:firstLine="0" w:firstLineChars="0"/>
              <w:jc w:val="center"/>
              <w:rPr>
                <w:rFonts w:hint="eastAsia" w:ascii="宋体" w:hAnsi="宋体"/>
                <w:color w:val="000000"/>
                <w:kern w:val="2"/>
                <w:sz w:val="18"/>
                <w:szCs w:val="18"/>
              </w:rPr>
            </w:pPr>
            <w:r>
              <w:rPr>
                <w:rFonts w:hint="eastAsia" w:ascii="宋体" w:hAnsi="宋体"/>
                <w:color w:val="000000"/>
                <w:kern w:val="2"/>
                <w:sz w:val="18"/>
                <w:szCs w:val="18"/>
              </w:rPr>
              <w:t>涂料、涂装遍数、涂装间隔、漆膜厚度偏差</w:t>
            </w:r>
          </w:p>
        </w:tc>
        <w:tc>
          <w:tcPr>
            <w:tcW w:w="1320" w:type="pct"/>
            <w:gridSpan w:val="3"/>
            <w:tcBorders>
              <w:top w:val="single" w:color="000000" w:sz="4" w:space="0"/>
              <w:left w:val="nil"/>
              <w:bottom w:val="single" w:color="000000" w:sz="4" w:space="0"/>
              <w:right w:val="single" w:color="000000" w:sz="12" w:space="0"/>
            </w:tcBorders>
            <w:vAlign w:val="center"/>
          </w:tcPr>
          <w:p w14:paraId="3CF5FB40">
            <w:pPr>
              <w:pStyle w:val="59"/>
              <w:ind w:firstLine="0" w:firstLineChars="0"/>
              <w:jc w:val="center"/>
              <w:rPr>
                <w:rFonts w:hint="eastAsia" w:ascii="宋体" w:hAnsi="宋体"/>
                <w:color w:val="000000"/>
                <w:kern w:val="2"/>
                <w:sz w:val="18"/>
                <w:szCs w:val="18"/>
              </w:rPr>
            </w:pPr>
            <w:r>
              <w:rPr>
                <w:rFonts w:hint="eastAsia" w:ascii="宋体" w:hAnsi="宋体"/>
                <w:color w:val="000000"/>
                <w:kern w:val="2"/>
                <w:sz w:val="18"/>
                <w:szCs w:val="18"/>
              </w:rPr>
              <w:t>符合设计及涂料说明书要求；当设计对涂层厚度无要求时，室外涂层干膜总厚度不应小于</w:t>
            </w:r>
            <w:r>
              <w:rPr>
                <w:rFonts w:hint="eastAsia" w:ascii="宋体" w:hAnsi="宋体"/>
                <w:color w:val="000000"/>
                <w:kern w:val="2"/>
                <w:sz w:val="18"/>
                <w:szCs w:val="18"/>
                <w:highlight w:val="yellow"/>
              </w:rPr>
              <w:t>100</w:t>
            </w:r>
            <w:r>
              <w:rPr>
                <w:rFonts w:hint="eastAsia" w:ascii="宋体" w:hAnsi="宋体"/>
                <w:color w:val="000000"/>
                <w:kern w:val="2"/>
                <w:sz w:val="18"/>
                <w:szCs w:val="18"/>
              </w:rPr>
              <w:t>μm，室内涂层干膜总厚度不应小于</w:t>
            </w:r>
            <w:r>
              <w:rPr>
                <w:rFonts w:hint="eastAsia" w:ascii="宋体" w:hAnsi="宋体"/>
                <w:color w:val="000000"/>
                <w:kern w:val="2"/>
                <w:sz w:val="18"/>
                <w:szCs w:val="18"/>
                <w:highlight w:val="yellow"/>
              </w:rPr>
              <w:t>80</w:t>
            </w:r>
            <w:r>
              <w:rPr>
                <w:rFonts w:hint="eastAsia" w:ascii="宋体" w:hAnsi="宋体"/>
                <w:color w:val="000000"/>
                <w:kern w:val="2"/>
                <w:sz w:val="18"/>
                <w:szCs w:val="18"/>
              </w:rPr>
              <w:t>μm</w:t>
            </w:r>
          </w:p>
        </w:tc>
        <w:tc>
          <w:tcPr>
            <w:tcW w:w="531" w:type="pct"/>
            <w:gridSpan w:val="2"/>
            <w:tcBorders>
              <w:top w:val="single" w:color="000000" w:sz="4" w:space="0"/>
              <w:left w:val="nil"/>
              <w:bottom w:val="single" w:color="000000" w:sz="4" w:space="0"/>
              <w:right w:val="single" w:color="000000" w:sz="12" w:space="0"/>
            </w:tcBorders>
            <w:shd w:val="clear" w:color="auto" w:fill="FFFFFF"/>
            <w:vAlign w:val="center"/>
          </w:tcPr>
          <w:p w14:paraId="43B48869">
            <w:pPr>
              <w:topLinePunct/>
              <w:spacing w:line="240" w:lineRule="exact"/>
              <w:jc w:val="center"/>
              <w:rPr>
                <w:rFonts w:hint="eastAsia" w:ascii="宋体" w:hAnsi="宋体"/>
                <w:dstrike/>
                <w:color w:val="000000"/>
                <w:sz w:val="18"/>
                <w:szCs w:val="18"/>
                <w:highlight w:val="red"/>
              </w:rPr>
            </w:pPr>
          </w:p>
        </w:tc>
        <w:tc>
          <w:tcPr>
            <w:tcW w:w="1242" w:type="pct"/>
            <w:gridSpan w:val="4"/>
            <w:tcBorders>
              <w:top w:val="single" w:color="000000" w:sz="4" w:space="0"/>
              <w:left w:val="nil"/>
              <w:bottom w:val="single" w:color="000000" w:sz="4" w:space="0"/>
              <w:right w:val="single" w:color="000000" w:sz="12" w:space="0"/>
            </w:tcBorders>
            <w:shd w:val="clear" w:color="auto" w:fill="FFFFFF"/>
            <w:vAlign w:val="center"/>
          </w:tcPr>
          <w:p w14:paraId="7FE20CE4">
            <w:pPr>
              <w:topLinePunct/>
              <w:spacing w:line="240" w:lineRule="exact"/>
              <w:jc w:val="center"/>
              <w:rPr>
                <w:rFonts w:hint="eastAsia" w:ascii="宋体" w:hAnsi="宋体"/>
                <w:sz w:val="18"/>
                <w:szCs w:val="18"/>
              </w:rPr>
            </w:pPr>
          </w:p>
        </w:tc>
        <w:tc>
          <w:tcPr>
            <w:tcW w:w="813" w:type="pct"/>
            <w:tcBorders>
              <w:top w:val="single" w:color="000000" w:sz="4" w:space="0"/>
              <w:left w:val="nil"/>
              <w:bottom w:val="single" w:color="000000" w:sz="4" w:space="0"/>
              <w:right w:val="single" w:color="000000" w:sz="12" w:space="0"/>
            </w:tcBorders>
            <w:shd w:val="clear" w:color="auto" w:fill="FFFFFF"/>
            <w:vAlign w:val="center"/>
          </w:tcPr>
          <w:p w14:paraId="1E15847C">
            <w:pPr>
              <w:topLinePunct/>
              <w:spacing w:line="240" w:lineRule="exact"/>
              <w:jc w:val="center"/>
              <w:rPr>
                <w:rFonts w:hint="eastAsia" w:ascii="宋体" w:hAnsi="宋体"/>
                <w:dstrike/>
                <w:sz w:val="18"/>
                <w:szCs w:val="18"/>
                <w:highlight w:val="red"/>
              </w:rPr>
            </w:pPr>
          </w:p>
        </w:tc>
      </w:tr>
      <w:tr w14:paraId="7C049840">
        <w:tblPrEx>
          <w:tblCellMar>
            <w:top w:w="0" w:type="dxa"/>
            <w:left w:w="0" w:type="dxa"/>
            <w:bottom w:w="0" w:type="dxa"/>
            <w:right w:w="0" w:type="dxa"/>
          </w:tblCellMar>
        </w:tblPrEx>
        <w:trPr>
          <w:trHeight w:val="504" w:hRule="atLeast"/>
          <w:jc w:val="center"/>
        </w:trPr>
        <w:tc>
          <w:tcPr>
            <w:tcW w:w="302" w:type="pct"/>
            <w:tcBorders>
              <w:top w:val="single" w:color="000000" w:sz="4" w:space="0"/>
              <w:left w:val="single" w:color="000000" w:sz="12" w:space="0"/>
              <w:bottom w:val="single" w:color="000000" w:sz="4" w:space="0"/>
              <w:right w:val="single" w:color="000000" w:sz="12" w:space="0"/>
            </w:tcBorders>
            <w:shd w:val="clear" w:color="auto" w:fill="FFFFFF"/>
            <w:tcMar>
              <w:top w:w="12" w:type="dxa"/>
              <w:left w:w="12" w:type="dxa"/>
              <w:bottom w:w="0" w:type="dxa"/>
              <w:right w:w="12" w:type="dxa"/>
            </w:tcMar>
            <w:vAlign w:val="center"/>
          </w:tcPr>
          <w:p w14:paraId="1B0D49BF">
            <w:pPr>
              <w:topLinePunct/>
              <w:spacing w:line="240" w:lineRule="exact"/>
              <w:jc w:val="center"/>
              <w:rPr>
                <w:rFonts w:hint="eastAsia" w:ascii="宋体" w:hAnsi="宋体"/>
                <w:sz w:val="18"/>
                <w:szCs w:val="18"/>
              </w:rPr>
            </w:pPr>
            <w:r>
              <w:rPr>
                <w:rFonts w:hint="eastAsia" w:ascii="宋体" w:hAnsi="宋体"/>
                <w:sz w:val="18"/>
                <w:szCs w:val="18"/>
              </w:rPr>
              <w:t>10</w:t>
            </w:r>
          </w:p>
        </w:tc>
        <w:tc>
          <w:tcPr>
            <w:tcW w:w="792" w:type="pct"/>
            <w:gridSpan w:val="3"/>
            <w:tcBorders>
              <w:top w:val="single" w:color="000000" w:sz="4" w:space="0"/>
              <w:left w:val="nil"/>
              <w:bottom w:val="single" w:color="000000" w:sz="4" w:space="0"/>
              <w:right w:val="single" w:color="000000" w:sz="12" w:space="0"/>
            </w:tcBorders>
            <w:vAlign w:val="center"/>
          </w:tcPr>
          <w:p w14:paraId="67D2E1C0">
            <w:pPr>
              <w:pStyle w:val="59"/>
              <w:ind w:firstLine="0" w:firstLineChars="0"/>
              <w:jc w:val="center"/>
              <w:rPr>
                <w:rFonts w:hint="eastAsia" w:ascii="宋体" w:hAnsi="宋体"/>
                <w:color w:val="000000"/>
                <w:kern w:val="2"/>
                <w:sz w:val="18"/>
                <w:szCs w:val="18"/>
              </w:rPr>
            </w:pPr>
            <w:r>
              <w:rPr>
                <w:rFonts w:hint="eastAsia" w:ascii="宋体" w:hAnsi="宋体"/>
                <w:color w:val="000000"/>
                <w:kern w:val="2"/>
                <w:sz w:val="18"/>
                <w:szCs w:val="18"/>
              </w:rPr>
              <w:t>涂层外观质量</w:t>
            </w:r>
          </w:p>
        </w:tc>
        <w:tc>
          <w:tcPr>
            <w:tcW w:w="1320" w:type="pct"/>
            <w:gridSpan w:val="3"/>
            <w:tcBorders>
              <w:top w:val="single" w:color="000000" w:sz="4" w:space="0"/>
              <w:left w:val="nil"/>
              <w:bottom w:val="single" w:color="000000" w:sz="4" w:space="0"/>
              <w:right w:val="single" w:color="000000" w:sz="12" w:space="0"/>
            </w:tcBorders>
            <w:vAlign w:val="center"/>
          </w:tcPr>
          <w:p w14:paraId="202B79E3">
            <w:pPr>
              <w:pStyle w:val="59"/>
              <w:ind w:firstLine="0" w:firstLineChars="0"/>
              <w:jc w:val="center"/>
              <w:rPr>
                <w:rFonts w:hint="eastAsia" w:ascii="宋体" w:hAnsi="宋体"/>
                <w:color w:val="000000"/>
                <w:kern w:val="2"/>
                <w:sz w:val="18"/>
                <w:szCs w:val="18"/>
              </w:rPr>
            </w:pPr>
            <w:r>
              <w:rPr>
                <w:rFonts w:hint="eastAsia" w:ascii="宋体" w:hAnsi="宋体"/>
                <w:color w:val="000000"/>
                <w:kern w:val="2"/>
                <w:sz w:val="18"/>
                <w:szCs w:val="18"/>
              </w:rPr>
              <w:t>光滑平整、均匀一致，无漏涂、误涂、脱皮、返锈、开裂、起皱、流坠、针眼、起泡等缺陷</w:t>
            </w:r>
          </w:p>
        </w:tc>
        <w:tc>
          <w:tcPr>
            <w:tcW w:w="531" w:type="pct"/>
            <w:gridSpan w:val="2"/>
            <w:tcBorders>
              <w:top w:val="single" w:color="000000" w:sz="4" w:space="0"/>
              <w:left w:val="nil"/>
              <w:bottom w:val="single" w:color="000000" w:sz="4" w:space="0"/>
              <w:right w:val="single" w:color="000000" w:sz="12" w:space="0"/>
            </w:tcBorders>
            <w:shd w:val="clear" w:color="auto" w:fill="FFFFFF"/>
            <w:vAlign w:val="center"/>
          </w:tcPr>
          <w:p w14:paraId="3EEFCBF6">
            <w:pPr>
              <w:topLinePunct/>
              <w:spacing w:line="240" w:lineRule="exact"/>
              <w:jc w:val="center"/>
              <w:rPr>
                <w:rFonts w:hint="eastAsia" w:ascii="宋体" w:hAnsi="宋体"/>
                <w:dstrike/>
                <w:color w:val="000000"/>
                <w:sz w:val="18"/>
                <w:szCs w:val="18"/>
                <w:highlight w:val="red"/>
              </w:rPr>
            </w:pPr>
          </w:p>
        </w:tc>
        <w:tc>
          <w:tcPr>
            <w:tcW w:w="1242" w:type="pct"/>
            <w:gridSpan w:val="4"/>
            <w:tcBorders>
              <w:top w:val="single" w:color="000000" w:sz="4" w:space="0"/>
              <w:left w:val="nil"/>
              <w:bottom w:val="single" w:color="000000" w:sz="4" w:space="0"/>
              <w:right w:val="single" w:color="000000" w:sz="12" w:space="0"/>
            </w:tcBorders>
            <w:shd w:val="clear" w:color="auto" w:fill="FFFFFF"/>
            <w:vAlign w:val="center"/>
          </w:tcPr>
          <w:p w14:paraId="107075AF">
            <w:pPr>
              <w:topLinePunct/>
              <w:spacing w:line="240" w:lineRule="exact"/>
              <w:jc w:val="center"/>
              <w:rPr>
                <w:rFonts w:hint="eastAsia" w:ascii="宋体" w:hAnsi="宋体"/>
                <w:sz w:val="18"/>
                <w:szCs w:val="18"/>
              </w:rPr>
            </w:pPr>
          </w:p>
        </w:tc>
        <w:tc>
          <w:tcPr>
            <w:tcW w:w="813" w:type="pct"/>
            <w:tcBorders>
              <w:top w:val="single" w:color="000000" w:sz="4" w:space="0"/>
              <w:left w:val="nil"/>
              <w:bottom w:val="single" w:color="000000" w:sz="4" w:space="0"/>
              <w:right w:val="single" w:color="000000" w:sz="12" w:space="0"/>
            </w:tcBorders>
            <w:shd w:val="clear" w:color="auto" w:fill="FFFFFF"/>
            <w:vAlign w:val="center"/>
          </w:tcPr>
          <w:p w14:paraId="455F81D5">
            <w:pPr>
              <w:topLinePunct/>
              <w:spacing w:line="240" w:lineRule="exact"/>
              <w:jc w:val="center"/>
              <w:rPr>
                <w:rFonts w:hint="eastAsia" w:ascii="宋体" w:hAnsi="宋体"/>
                <w:dstrike/>
                <w:sz w:val="18"/>
                <w:szCs w:val="18"/>
                <w:highlight w:val="red"/>
              </w:rPr>
            </w:pPr>
          </w:p>
        </w:tc>
      </w:tr>
      <w:tr w14:paraId="3FE89A2D">
        <w:tblPrEx>
          <w:tblCellMar>
            <w:top w:w="0" w:type="dxa"/>
            <w:left w:w="0" w:type="dxa"/>
            <w:bottom w:w="0" w:type="dxa"/>
            <w:right w:w="0" w:type="dxa"/>
          </w:tblCellMar>
        </w:tblPrEx>
        <w:trPr>
          <w:trHeight w:val="504" w:hRule="atLeast"/>
          <w:jc w:val="center"/>
        </w:trPr>
        <w:tc>
          <w:tcPr>
            <w:tcW w:w="302" w:type="pct"/>
            <w:tcBorders>
              <w:top w:val="single" w:color="000000" w:sz="4" w:space="0"/>
              <w:left w:val="single" w:color="000000" w:sz="12" w:space="0"/>
              <w:bottom w:val="single" w:color="000000" w:sz="4" w:space="0"/>
              <w:right w:val="single" w:color="000000" w:sz="12" w:space="0"/>
            </w:tcBorders>
            <w:shd w:val="clear" w:color="auto" w:fill="FFFFFF"/>
            <w:tcMar>
              <w:top w:w="12" w:type="dxa"/>
              <w:left w:w="12" w:type="dxa"/>
              <w:bottom w:w="0" w:type="dxa"/>
              <w:right w:w="12" w:type="dxa"/>
            </w:tcMar>
            <w:vAlign w:val="center"/>
          </w:tcPr>
          <w:p w14:paraId="5751C137">
            <w:pPr>
              <w:topLinePunct/>
              <w:spacing w:line="240" w:lineRule="exact"/>
              <w:jc w:val="center"/>
              <w:rPr>
                <w:rFonts w:hint="eastAsia" w:ascii="宋体" w:hAnsi="宋体"/>
                <w:sz w:val="18"/>
                <w:szCs w:val="18"/>
              </w:rPr>
            </w:pPr>
            <w:r>
              <w:rPr>
                <w:rFonts w:hint="eastAsia" w:ascii="宋体" w:hAnsi="宋体"/>
                <w:sz w:val="18"/>
                <w:szCs w:val="18"/>
              </w:rPr>
              <w:t>11</w:t>
            </w:r>
          </w:p>
        </w:tc>
        <w:tc>
          <w:tcPr>
            <w:tcW w:w="792" w:type="pct"/>
            <w:gridSpan w:val="3"/>
            <w:tcBorders>
              <w:top w:val="single" w:color="000000" w:sz="4" w:space="0"/>
              <w:left w:val="nil"/>
              <w:bottom w:val="single" w:color="000000" w:sz="4" w:space="0"/>
              <w:right w:val="single" w:color="000000" w:sz="12" w:space="0"/>
            </w:tcBorders>
            <w:vAlign w:val="center"/>
          </w:tcPr>
          <w:p w14:paraId="766E3F75">
            <w:pPr>
              <w:pStyle w:val="59"/>
              <w:ind w:firstLine="0" w:firstLineChars="0"/>
              <w:jc w:val="center"/>
              <w:rPr>
                <w:rFonts w:hint="eastAsia" w:ascii="宋体" w:hAnsi="宋体"/>
                <w:color w:val="000000"/>
                <w:kern w:val="2"/>
                <w:sz w:val="18"/>
                <w:szCs w:val="18"/>
              </w:rPr>
            </w:pPr>
            <w:r>
              <w:rPr>
                <w:rFonts w:hint="eastAsia" w:ascii="宋体" w:hAnsi="宋体"/>
                <w:color w:val="000000"/>
                <w:kern w:val="2"/>
                <w:sz w:val="18"/>
                <w:szCs w:val="18"/>
              </w:rPr>
              <w:t>底层与钢构件基层的附着力</w:t>
            </w:r>
          </w:p>
        </w:tc>
        <w:tc>
          <w:tcPr>
            <w:tcW w:w="1320" w:type="pct"/>
            <w:gridSpan w:val="3"/>
            <w:tcBorders>
              <w:top w:val="single" w:color="000000" w:sz="4" w:space="0"/>
              <w:left w:val="nil"/>
              <w:bottom w:val="single" w:color="000000" w:sz="4" w:space="0"/>
              <w:right w:val="single" w:color="000000" w:sz="12" w:space="0"/>
            </w:tcBorders>
            <w:vAlign w:val="center"/>
          </w:tcPr>
          <w:p w14:paraId="7E855B98">
            <w:pPr>
              <w:pStyle w:val="59"/>
              <w:ind w:firstLine="0" w:firstLineChars="0"/>
              <w:jc w:val="center"/>
              <w:rPr>
                <w:rFonts w:hint="eastAsia" w:ascii="宋体" w:hAnsi="宋体"/>
                <w:color w:val="000000"/>
                <w:kern w:val="2"/>
                <w:sz w:val="18"/>
                <w:szCs w:val="18"/>
              </w:rPr>
            </w:pPr>
            <w:r>
              <w:rPr>
                <w:rFonts w:hint="eastAsia" w:ascii="宋体" w:hAnsi="宋体"/>
                <w:color w:val="000000"/>
                <w:kern w:val="2"/>
                <w:sz w:val="18"/>
                <w:szCs w:val="18"/>
              </w:rPr>
              <w:t>应符合设计要求；设计无要求时拉开法≥3MPa，划格法≤1级</w:t>
            </w:r>
          </w:p>
        </w:tc>
        <w:tc>
          <w:tcPr>
            <w:tcW w:w="531" w:type="pct"/>
            <w:gridSpan w:val="2"/>
            <w:tcBorders>
              <w:top w:val="single" w:color="000000" w:sz="4" w:space="0"/>
              <w:left w:val="nil"/>
              <w:bottom w:val="single" w:color="000000" w:sz="4" w:space="0"/>
              <w:right w:val="single" w:color="000000" w:sz="12" w:space="0"/>
            </w:tcBorders>
            <w:shd w:val="clear" w:color="auto" w:fill="FFFFFF"/>
            <w:vAlign w:val="center"/>
          </w:tcPr>
          <w:p w14:paraId="5D17CC3B">
            <w:pPr>
              <w:topLinePunct/>
              <w:spacing w:line="240" w:lineRule="exact"/>
              <w:jc w:val="center"/>
              <w:rPr>
                <w:rFonts w:hint="eastAsia" w:ascii="宋体" w:hAnsi="宋体"/>
                <w:dstrike/>
                <w:color w:val="000000"/>
                <w:sz w:val="18"/>
                <w:szCs w:val="18"/>
                <w:highlight w:val="red"/>
              </w:rPr>
            </w:pPr>
          </w:p>
        </w:tc>
        <w:tc>
          <w:tcPr>
            <w:tcW w:w="1242" w:type="pct"/>
            <w:gridSpan w:val="4"/>
            <w:tcBorders>
              <w:top w:val="single" w:color="000000" w:sz="4" w:space="0"/>
              <w:left w:val="nil"/>
              <w:bottom w:val="single" w:color="000000" w:sz="4" w:space="0"/>
              <w:right w:val="single" w:color="000000" w:sz="12" w:space="0"/>
            </w:tcBorders>
            <w:shd w:val="clear" w:color="auto" w:fill="FFFFFF"/>
            <w:vAlign w:val="center"/>
          </w:tcPr>
          <w:p w14:paraId="7502D091">
            <w:pPr>
              <w:topLinePunct/>
              <w:spacing w:line="240" w:lineRule="exact"/>
              <w:jc w:val="center"/>
              <w:rPr>
                <w:rFonts w:hint="eastAsia" w:ascii="宋体" w:hAnsi="宋体"/>
                <w:sz w:val="18"/>
                <w:szCs w:val="18"/>
              </w:rPr>
            </w:pPr>
          </w:p>
        </w:tc>
        <w:tc>
          <w:tcPr>
            <w:tcW w:w="813" w:type="pct"/>
            <w:tcBorders>
              <w:top w:val="single" w:color="000000" w:sz="4" w:space="0"/>
              <w:left w:val="nil"/>
              <w:bottom w:val="single" w:color="000000" w:sz="4" w:space="0"/>
              <w:right w:val="single" w:color="000000" w:sz="12" w:space="0"/>
            </w:tcBorders>
            <w:shd w:val="clear" w:color="auto" w:fill="FFFFFF"/>
            <w:vAlign w:val="center"/>
          </w:tcPr>
          <w:p w14:paraId="0808426A">
            <w:pPr>
              <w:topLinePunct/>
              <w:spacing w:line="240" w:lineRule="exact"/>
              <w:jc w:val="center"/>
              <w:rPr>
                <w:rFonts w:hint="eastAsia" w:ascii="宋体" w:hAnsi="宋体"/>
                <w:dstrike/>
                <w:sz w:val="18"/>
                <w:szCs w:val="18"/>
                <w:highlight w:val="red"/>
              </w:rPr>
            </w:pPr>
          </w:p>
        </w:tc>
      </w:tr>
      <w:tr w14:paraId="16C6B5A0">
        <w:tblPrEx>
          <w:tblCellMar>
            <w:top w:w="0" w:type="dxa"/>
            <w:left w:w="0" w:type="dxa"/>
            <w:bottom w:w="0" w:type="dxa"/>
            <w:right w:w="0" w:type="dxa"/>
          </w:tblCellMar>
        </w:tblPrEx>
        <w:trPr>
          <w:trHeight w:val="504" w:hRule="atLeast"/>
          <w:jc w:val="center"/>
        </w:trPr>
        <w:tc>
          <w:tcPr>
            <w:tcW w:w="302" w:type="pct"/>
            <w:tcBorders>
              <w:top w:val="single" w:color="000000" w:sz="4" w:space="0"/>
              <w:left w:val="single" w:color="000000" w:sz="12" w:space="0"/>
              <w:bottom w:val="single" w:color="000000" w:sz="4" w:space="0"/>
              <w:right w:val="single" w:color="000000" w:sz="12" w:space="0"/>
            </w:tcBorders>
            <w:shd w:val="clear" w:color="auto" w:fill="FFFFFF"/>
            <w:tcMar>
              <w:top w:w="12" w:type="dxa"/>
              <w:left w:w="12" w:type="dxa"/>
              <w:bottom w:w="0" w:type="dxa"/>
              <w:right w:w="12" w:type="dxa"/>
            </w:tcMar>
            <w:vAlign w:val="center"/>
          </w:tcPr>
          <w:p w14:paraId="596F76A1">
            <w:pPr>
              <w:topLinePunct/>
              <w:spacing w:line="240" w:lineRule="exact"/>
              <w:jc w:val="center"/>
              <w:rPr>
                <w:rFonts w:hint="eastAsia" w:ascii="宋体" w:hAnsi="宋体"/>
                <w:sz w:val="18"/>
                <w:szCs w:val="18"/>
              </w:rPr>
            </w:pPr>
            <w:r>
              <w:rPr>
                <w:rFonts w:hint="eastAsia" w:ascii="宋体" w:hAnsi="宋体"/>
                <w:sz w:val="18"/>
                <w:szCs w:val="18"/>
              </w:rPr>
              <w:t>12</w:t>
            </w:r>
          </w:p>
        </w:tc>
        <w:tc>
          <w:tcPr>
            <w:tcW w:w="792" w:type="pct"/>
            <w:gridSpan w:val="3"/>
            <w:tcBorders>
              <w:top w:val="single" w:color="000000" w:sz="4" w:space="0"/>
              <w:left w:val="nil"/>
              <w:bottom w:val="single" w:color="000000" w:sz="4" w:space="0"/>
              <w:right w:val="single" w:color="000000" w:sz="12" w:space="0"/>
            </w:tcBorders>
            <w:vAlign w:val="center"/>
          </w:tcPr>
          <w:p w14:paraId="2426E6DE">
            <w:pPr>
              <w:pStyle w:val="59"/>
              <w:ind w:firstLine="0" w:firstLineChars="0"/>
              <w:jc w:val="center"/>
              <w:rPr>
                <w:rFonts w:hint="eastAsia" w:ascii="宋体" w:hAnsi="宋体"/>
                <w:color w:val="000000"/>
                <w:kern w:val="2"/>
                <w:sz w:val="18"/>
                <w:szCs w:val="18"/>
              </w:rPr>
            </w:pPr>
            <w:r>
              <w:rPr>
                <w:rFonts w:hint="eastAsia" w:ascii="宋体" w:hAnsi="宋体"/>
                <w:color w:val="000000"/>
                <w:kern w:val="2"/>
                <w:sz w:val="18"/>
                <w:szCs w:val="18"/>
              </w:rPr>
              <w:t>涂层针孔火花检测</w:t>
            </w:r>
          </w:p>
        </w:tc>
        <w:tc>
          <w:tcPr>
            <w:tcW w:w="1320" w:type="pct"/>
            <w:gridSpan w:val="3"/>
            <w:tcBorders>
              <w:top w:val="single" w:color="000000" w:sz="4" w:space="0"/>
              <w:left w:val="nil"/>
              <w:bottom w:val="single" w:color="000000" w:sz="4" w:space="0"/>
              <w:right w:val="single" w:color="000000" w:sz="12" w:space="0"/>
            </w:tcBorders>
            <w:vAlign w:val="center"/>
          </w:tcPr>
          <w:p w14:paraId="0373871A">
            <w:pPr>
              <w:pStyle w:val="59"/>
              <w:ind w:firstLine="0" w:firstLineChars="0"/>
              <w:jc w:val="center"/>
              <w:rPr>
                <w:rFonts w:hint="eastAsia" w:ascii="宋体" w:hAnsi="宋体"/>
                <w:color w:val="000000"/>
                <w:kern w:val="2"/>
                <w:sz w:val="18"/>
                <w:szCs w:val="18"/>
              </w:rPr>
            </w:pPr>
            <w:r>
              <w:rPr>
                <w:rFonts w:hint="eastAsia" w:ascii="宋体" w:hAnsi="宋体"/>
                <w:color w:val="000000"/>
                <w:kern w:val="2"/>
                <w:sz w:val="18"/>
                <w:szCs w:val="18"/>
              </w:rPr>
              <w:t>检测电压应符合产品说明书；构件每5m²电火花≤1处；设备每㎡漏点≤2个；管道每5m漏点≤1个</w:t>
            </w:r>
          </w:p>
        </w:tc>
        <w:tc>
          <w:tcPr>
            <w:tcW w:w="531" w:type="pct"/>
            <w:gridSpan w:val="2"/>
            <w:tcBorders>
              <w:top w:val="single" w:color="000000" w:sz="4" w:space="0"/>
              <w:left w:val="nil"/>
              <w:bottom w:val="single" w:color="000000" w:sz="4" w:space="0"/>
              <w:right w:val="single" w:color="000000" w:sz="12" w:space="0"/>
            </w:tcBorders>
            <w:shd w:val="clear" w:color="auto" w:fill="FFFFFF"/>
            <w:vAlign w:val="center"/>
          </w:tcPr>
          <w:p w14:paraId="0212A99F">
            <w:pPr>
              <w:topLinePunct/>
              <w:spacing w:line="240" w:lineRule="exact"/>
              <w:jc w:val="center"/>
              <w:rPr>
                <w:rFonts w:hint="eastAsia" w:ascii="宋体" w:hAnsi="宋体"/>
                <w:dstrike/>
                <w:color w:val="000000"/>
                <w:sz w:val="18"/>
                <w:szCs w:val="18"/>
                <w:highlight w:val="red"/>
              </w:rPr>
            </w:pPr>
          </w:p>
        </w:tc>
        <w:tc>
          <w:tcPr>
            <w:tcW w:w="1242" w:type="pct"/>
            <w:gridSpan w:val="4"/>
            <w:tcBorders>
              <w:top w:val="single" w:color="000000" w:sz="4" w:space="0"/>
              <w:left w:val="nil"/>
              <w:bottom w:val="single" w:color="000000" w:sz="4" w:space="0"/>
              <w:right w:val="single" w:color="000000" w:sz="12" w:space="0"/>
            </w:tcBorders>
            <w:shd w:val="clear" w:color="auto" w:fill="FFFFFF"/>
            <w:vAlign w:val="center"/>
          </w:tcPr>
          <w:p w14:paraId="2101DC94">
            <w:pPr>
              <w:topLinePunct/>
              <w:spacing w:line="240" w:lineRule="exact"/>
              <w:jc w:val="center"/>
              <w:rPr>
                <w:rFonts w:hint="eastAsia" w:ascii="宋体" w:hAnsi="宋体"/>
                <w:sz w:val="18"/>
                <w:szCs w:val="18"/>
              </w:rPr>
            </w:pPr>
          </w:p>
        </w:tc>
        <w:tc>
          <w:tcPr>
            <w:tcW w:w="813" w:type="pct"/>
            <w:tcBorders>
              <w:top w:val="single" w:color="000000" w:sz="4" w:space="0"/>
              <w:left w:val="nil"/>
              <w:bottom w:val="single" w:color="000000" w:sz="4" w:space="0"/>
              <w:right w:val="single" w:color="000000" w:sz="12" w:space="0"/>
            </w:tcBorders>
            <w:shd w:val="clear" w:color="auto" w:fill="FFFFFF"/>
            <w:vAlign w:val="center"/>
          </w:tcPr>
          <w:p w14:paraId="5F77ECDD">
            <w:pPr>
              <w:topLinePunct/>
              <w:spacing w:line="240" w:lineRule="exact"/>
              <w:jc w:val="center"/>
              <w:rPr>
                <w:rFonts w:hint="eastAsia" w:ascii="宋体" w:hAnsi="宋体"/>
                <w:dstrike/>
                <w:sz w:val="18"/>
                <w:szCs w:val="18"/>
                <w:highlight w:val="red"/>
              </w:rPr>
            </w:pPr>
          </w:p>
        </w:tc>
      </w:tr>
      <w:tr w14:paraId="3F39A8D2">
        <w:tblPrEx>
          <w:tblCellMar>
            <w:top w:w="0" w:type="dxa"/>
            <w:left w:w="0" w:type="dxa"/>
            <w:bottom w:w="0" w:type="dxa"/>
            <w:right w:w="0" w:type="dxa"/>
          </w:tblCellMar>
        </w:tblPrEx>
        <w:trPr>
          <w:trHeight w:val="1132" w:hRule="atLeast"/>
          <w:jc w:val="center"/>
        </w:trPr>
        <w:tc>
          <w:tcPr>
            <w:tcW w:w="625" w:type="pct"/>
            <w:gridSpan w:val="2"/>
            <w:tcBorders>
              <w:top w:val="single" w:color="000000" w:sz="4" w:space="0"/>
              <w:left w:val="single" w:color="000000" w:sz="12" w:space="0"/>
              <w:bottom w:val="single" w:color="000000" w:sz="4" w:space="0"/>
              <w:right w:val="single" w:color="000000" w:sz="12" w:space="0"/>
            </w:tcBorders>
            <w:shd w:val="clear" w:color="auto" w:fill="FFFFFF"/>
            <w:tcMar>
              <w:top w:w="12" w:type="dxa"/>
              <w:left w:w="12" w:type="dxa"/>
              <w:bottom w:w="0" w:type="dxa"/>
              <w:right w:w="12" w:type="dxa"/>
            </w:tcMar>
            <w:vAlign w:val="center"/>
          </w:tcPr>
          <w:p w14:paraId="60327EB5">
            <w:pPr>
              <w:jc w:val="center"/>
              <w:textAlignment w:val="center"/>
              <w:rPr>
                <w:rFonts w:hint="eastAsia" w:ascii="宋体" w:hAnsi="宋体"/>
                <w:dstrike/>
                <w:kern w:val="0"/>
                <w:sz w:val="18"/>
                <w:szCs w:val="18"/>
                <w:highlight w:val="red"/>
              </w:rPr>
            </w:pPr>
            <w:r>
              <w:rPr>
                <w:rFonts w:hint="eastAsia" w:ascii="宋体" w:hAnsi="宋体"/>
                <w:sz w:val="18"/>
                <w:szCs w:val="18"/>
              </w:rPr>
              <w:t>总承包单位检查结果</w:t>
            </w:r>
          </w:p>
        </w:tc>
        <w:tc>
          <w:tcPr>
            <w:tcW w:w="1946" w:type="pct"/>
            <w:gridSpan w:val="6"/>
            <w:tcBorders>
              <w:top w:val="single" w:color="000000" w:sz="4" w:space="0"/>
              <w:left w:val="nil"/>
              <w:bottom w:val="single" w:color="000000" w:sz="4" w:space="0"/>
              <w:right w:val="single" w:color="000000" w:sz="12" w:space="0"/>
            </w:tcBorders>
            <w:shd w:val="clear" w:color="auto" w:fill="FFFFFF"/>
            <w:vAlign w:val="center"/>
          </w:tcPr>
          <w:p w14:paraId="0C33DFD1">
            <w:pPr>
              <w:jc w:val="center"/>
              <w:textAlignment w:val="center"/>
              <w:rPr>
                <w:rFonts w:ascii="Arial" w:hAnsi="Arial"/>
                <w:dstrike/>
                <w:sz w:val="18"/>
                <w:szCs w:val="18"/>
                <w:highlight w:val="red"/>
              </w:rPr>
            </w:pPr>
          </w:p>
          <w:p w14:paraId="3D1E0448">
            <w:pPr>
              <w:jc w:val="center"/>
              <w:textAlignment w:val="center"/>
              <w:rPr>
                <w:dstrike/>
                <w:sz w:val="18"/>
                <w:szCs w:val="18"/>
                <w:highlight w:val="red"/>
              </w:rPr>
            </w:pPr>
          </w:p>
          <w:p w14:paraId="43971034">
            <w:pPr>
              <w:ind w:left="42" w:leftChars="20"/>
              <w:jc w:val="center"/>
              <w:rPr>
                <w:rFonts w:hint="eastAsia" w:ascii="宋体" w:hAnsi="宋体"/>
                <w:sz w:val="18"/>
                <w:szCs w:val="18"/>
              </w:rPr>
            </w:pPr>
            <w:r>
              <w:rPr>
                <w:rFonts w:hint="eastAsia" w:ascii="宋体" w:hAnsi="宋体"/>
                <w:sz w:val="18"/>
                <w:szCs w:val="18"/>
              </w:rPr>
              <w:t>项目专业工程师：</w:t>
            </w:r>
          </w:p>
          <w:p w14:paraId="155570C3">
            <w:pPr>
              <w:ind w:left="42" w:leftChars="20"/>
              <w:jc w:val="right"/>
              <w:rPr>
                <w:rFonts w:hint="eastAsia" w:ascii="宋体" w:hAnsi="宋体"/>
                <w:sz w:val="18"/>
                <w:szCs w:val="18"/>
              </w:rPr>
            </w:pPr>
            <w:r>
              <w:rPr>
                <w:rFonts w:hint="eastAsia" w:ascii="宋体" w:hAnsi="宋体"/>
                <w:sz w:val="18"/>
                <w:szCs w:val="18"/>
              </w:rPr>
              <w:t xml:space="preserve"> 年   月   日</w:t>
            </w:r>
          </w:p>
        </w:tc>
        <w:tc>
          <w:tcPr>
            <w:tcW w:w="633" w:type="pct"/>
            <w:gridSpan w:val="3"/>
            <w:tcBorders>
              <w:top w:val="single" w:color="000000" w:sz="4" w:space="0"/>
              <w:left w:val="nil"/>
              <w:bottom w:val="single" w:color="000000" w:sz="4" w:space="0"/>
              <w:right w:val="single" w:color="000000" w:sz="12" w:space="0"/>
            </w:tcBorders>
            <w:shd w:val="clear" w:color="auto" w:fill="FFFFFF"/>
            <w:vAlign w:val="center"/>
          </w:tcPr>
          <w:p w14:paraId="09D3A277">
            <w:pPr>
              <w:jc w:val="center"/>
              <w:textAlignment w:val="center"/>
              <w:rPr>
                <w:rFonts w:hint="eastAsia" w:ascii="宋体" w:hAnsi="宋体"/>
                <w:dstrike/>
                <w:sz w:val="18"/>
                <w:szCs w:val="18"/>
                <w:highlight w:val="red"/>
              </w:rPr>
            </w:pPr>
            <w:r>
              <w:rPr>
                <w:rFonts w:hint="eastAsia" w:ascii="宋体" w:hAnsi="宋体"/>
                <w:sz w:val="18"/>
                <w:szCs w:val="18"/>
              </w:rPr>
              <w:t>施工单位自检结果</w:t>
            </w:r>
          </w:p>
        </w:tc>
        <w:tc>
          <w:tcPr>
            <w:tcW w:w="1797" w:type="pct"/>
            <w:gridSpan w:val="3"/>
            <w:tcBorders>
              <w:top w:val="single" w:color="000000" w:sz="4" w:space="0"/>
              <w:left w:val="nil"/>
              <w:bottom w:val="single" w:color="000000" w:sz="4" w:space="0"/>
              <w:right w:val="single" w:color="000000" w:sz="12" w:space="0"/>
            </w:tcBorders>
            <w:shd w:val="clear" w:color="auto" w:fill="FFFFFF"/>
            <w:vAlign w:val="center"/>
          </w:tcPr>
          <w:p w14:paraId="170C567F">
            <w:pPr>
              <w:jc w:val="center"/>
              <w:textAlignment w:val="center"/>
              <w:rPr>
                <w:rFonts w:ascii="Arial" w:hAnsi="Arial"/>
                <w:dstrike/>
                <w:sz w:val="18"/>
                <w:szCs w:val="18"/>
                <w:highlight w:val="red"/>
              </w:rPr>
            </w:pPr>
          </w:p>
          <w:p w14:paraId="4F5F0081">
            <w:pPr>
              <w:jc w:val="center"/>
              <w:textAlignment w:val="center"/>
              <w:rPr>
                <w:dstrike/>
                <w:sz w:val="18"/>
                <w:szCs w:val="18"/>
                <w:highlight w:val="red"/>
              </w:rPr>
            </w:pPr>
          </w:p>
          <w:p w14:paraId="0AA341D0">
            <w:pPr>
              <w:topLinePunct/>
              <w:spacing w:line="240" w:lineRule="exact"/>
              <w:jc w:val="center"/>
            </w:pPr>
            <w:r>
              <w:rPr>
                <w:rFonts w:hint="eastAsia" w:ascii="宋体" w:hAnsi="宋体"/>
                <w:sz w:val="18"/>
                <w:szCs w:val="18"/>
              </w:rPr>
              <w:t>专业工长（班组长）：</w:t>
            </w:r>
          </w:p>
          <w:p w14:paraId="34208016">
            <w:pPr>
              <w:ind w:left="42" w:leftChars="20"/>
              <w:jc w:val="center"/>
              <w:rPr>
                <w:rFonts w:hint="eastAsia" w:ascii="宋体" w:hAnsi="宋体"/>
                <w:sz w:val="18"/>
                <w:szCs w:val="18"/>
              </w:rPr>
            </w:pPr>
            <w:r>
              <w:rPr>
                <w:rFonts w:hint="eastAsia" w:ascii="宋体" w:hAnsi="宋体"/>
                <w:sz w:val="18"/>
                <w:szCs w:val="18"/>
              </w:rPr>
              <w:t>项目专业质量检查员：</w:t>
            </w:r>
          </w:p>
          <w:p w14:paraId="5DDE9652">
            <w:pPr>
              <w:ind w:left="42" w:leftChars="20"/>
              <w:jc w:val="right"/>
              <w:rPr>
                <w:rFonts w:hint="eastAsia" w:ascii="宋体" w:hAnsi="宋体"/>
                <w:sz w:val="18"/>
                <w:szCs w:val="18"/>
              </w:rPr>
            </w:pPr>
            <w:r>
              <w:rPr>
                <w:rFonts w:hint="eastAsia" w:ascii="宋体" w:hAnsi="宋体"/>
                <w:sz w:val="18"/>
                <w:szCs w:val="18"/>
              </w:rPr>
              <w:t>年   月   日</w:t>
            </w:r>
          </w:p>
        </w:tc>
      </w:tr>
      <w:tr w14:paraId="1833AFCD">
        <w:tblPrEx>
          <w:tblCellMar>
            <w:top w:w="0" w:type="dxa"/>
            <w:left w:w="0" w:type="dxa"/>
            <w:bottom w:w="0" w:type="dxa"/>
            <w:right w:w="0" w:type="dxa"/>
          </w:tblCellMar>
        </w:tblPrEx>
        <w:trPr>
          <w:trHeight w:val="504" w:hRule="atLeast"/>
          <w:jc w:val="center"/>
        </w:trPr>
        <w:tc>
          <w:tcPr>
            <w:tcW w:w="625" w:type="pct"/>
            <w:gridSpan w:val="2"/>
            <w:tcBorders>
              <w:top w:val="single" w:color="000000" w:sz="4" w:space="0"/>
              <w:left w:val="single" w:color="000000" w:sz="12" w:space="0"/>
              <w:bottom w:val="single" w:color="000000" w:sz="4" w:space="0"/>
              <w:right w:val="single" w:color="000000" w:sz="12" w:space="0"/>
            </w:tcBorders>
            <w:shd w:val="clear" w:color="auto" w:fill="FFFFFF"/>
            <w:tcMar>
              <w:top w:w="12" w:type="dxa"/>
              <w:left w:w="12" w:type="dxa"/>
              <w:bottom w:w="0" w:type="dxa"/>
              <w:right w:w="12" w:type="dxa"/>
            </w:tcMar>
            <w:vAlign w:val="center"/>
          </w:tcPr>
          <w:p w14:paraId="220E62BF">
            <w:pPr>
              <w:jc w:val="center"/>
              <w:textAlignment w:val="center"/>
              <w:rPr>
                <w:rFonts w:hint="eastAsia" w:ascii="宋体" w:hAnsi="宋体"/>
                <w:sz w:val="18"/>
                <w:szCs w:val="18"/>
              </w:rPr>
            </w:pPr>
            <w:r>
              <w:rPr>
                <w:rFonts w:hint="eastAsia" w:ascii="宋体" w:hAnsi="宋体"/>
                <w:sz w:val="18"/>
                <w:szCs w:val="18"/>
              </w:rPr>
              <w:t>监理（建设）单位验收结论</w:t>
            </w:r>
          </w:p>
        </w:tc>
        <w:tc>
          <w:tcPr>
            <w:tcW w:w="4375" w:type="pct"/>
            <w:gridSpan w:val="12"/>
            <w:tcBorders>
              <w:top w:val="single" w:color="000000" w:sz="4" w:space="0"/>
              <w:left w:val="nil"/>
              <w:bottom w:val="single" w:color="000000" w:sz="4" w:space="0"/>
              <w:right w:val="single" w:color="000000" w:sz="12" w:space="0"/>
            </w:tcBorders>
            <w:shd w:val="clear" w:color="auto" w:fill="FFFFFF"/>
            <w:vAlign w:val="center"/>
          </w:tcPr>
          <w:p w14:paraId="1CEF06CA">
            <w:pPr>
              <w:jc w:val="center"/>
              <w:rPr>
                <w:rFonts w:ascii="宋体" w:hAnsi="宋体" w:eastAsia="Arial"/>
                <w:sz w:val="18"/>
                <w:szCs w:val="18"/>
              </w:rPr>
            </w:pPr>
          </w:p>
          <w:p w14:paraId="18E43F37">
            <w:pPr>
              <w:pStyle w:val="15"/>
              <w:jc w:val="center"/>
              <w:rPr>
                <w:rFonts w:hint="eastAsia" w:ascii="宋体" w:hAnsi="宋体"/>
                <w:sz w:val="19"/>
                <w:szCs w:val="19"/>
              </w:rPr>
            </w:pPr>
          </w:p>
          <w:p w14:paraId="0759CD91">
            <w:pPr>
              <w:ind w:firstLine="540" w:firstLineChars="300"/>
              <w:rPr>
                <w:rFonts w:ascii="宋体" w:hAnsi="宋体" w:eastAsia="Arial" w:cs="Arial"/>
                <w:sz w:val="18"/>
                <w:szCs w:val="18"/>
              </w:rPr>
            </w:pPr>
            <w:r>
              <w:rPr>
                <w:rFonts w:hint="eastAsia" w:ascii="宋体" w:hAnsi="宋体"/>
                <w:sz w:val="18"/>
                <w:szCs w:val="18"/>
              </w:rPr>
              <w:t>专业监理工程师：</w:t>
            </w:r>
          </w:p>
          <w:p w14:paraId="1B2FEA14">
            <w:pPr>
              <w:jc w:val="center"/>
              <w:textAlignment w:val="center"/>
              <w:rPr>
                <w:rFonts w:hint="eastAsia" w:ascii="宋体" w:hAnsi="宋体"/>
                <w:sz w:val="18"/>
                <w:szCs w:val="18"/>
              </w:rPr>
            </w:pPr>
            <w:r>
              <w:rPr>
                <w:rFonts w:ascii="宋体" w:hAnsi="宋体"/>
                <w:sz w:val="18"/>
                <w:szCs w:val="18"/>
              </w:rPr>
              <w:t>(</w:t>
            </w:r>
            <w:r>
              <w:rPr>
                <w:rFonts w:hint="eastAsia" w:ascii="宋体" w:hAnsi="宋体"/>
                <w:sz w:val="18"/>
                <w:szCs w:val="18"/>
              </w:rPr>
              <w:t>建设单位项目专业技术负责人</w:t>
            </w:r>
            <w:r>
              <w:rPr>
                <w:rFonts w:ascii="宋体" w:hAnsi="宋体"/>
                <w:sz w:val="18"/>
                <w:szCs w:val="18"/>
              </w:rPr>
              <w:t>)</w:t>
            </w:r>
            <w:r>
              <w:rPr>
                <w:rFonts w:hint="eastAsia" w:ascii="宋体" w:hAnsi="宋体" w:eastAsia="Arial"/>
                <w:sz w:val="18"/>
                <w:szCs w:val="18"/>
              </w:rPr>
              <w:t xml:space="preserve">                        </w:t>
            </w:r>
            <w:r>
              <w:rPr>
                <w:rFonts w:hint="eastAsia" w:ascii="宋体" w:hAnsi="宋体"/>
                <w:sz w:val="18"/>
                <w:szCs w:val="18"/>
              </w:rPr>
              <w:t xml:space="preserve">        </w:t>
            </w:r>
            <w:r>
              <w:rPr>
                <w:rFonts w:hint="eastAsia" w:ascii="宋体" w:hAnsi="宋体" w:eastAsia="Arial"/>
                <w:sz w:val="18"/>
                <w:szCs w:val="18"/>
              </w:rPr>
              <w:t xml:space="preserve">  </w:t>
            </w:r>
            <w:r>
              <w:rPr>
                <w:rFonts w:hint="eastAsia" w:ascii="宋体" w:hAnsi="宋体"/>
                <w:sz w:val="18"/>
                <w:szCs w:val="18"/>
              </w:rPr>
              <w:t xml:space="preserve">     </w:t>
            </w:r>
            <w:r>
              <w:rPr>
                <w:rFonts w:hint="eastAsia" w:ascii="宋体" w:hAnsi="宋体" w:eastAsia="Arial"/>
                <w:sz w:val="18"/>
                <w:szCs w:val="18"/>
              </w:rPr>
              <w:t xml:space="preserve">   </w:t>
            </w:r>
            <w:r>
              <w:rPr>
                <w:rFonts w:hint="eastAsia" w:ascii="宋体" w:hAnsi="宋体"/>
                <w:sz w:val="18"/>
                <w:szCs w:val="18"/>
              </w:rPr>
              <w:t xml:space="preserve">        年</w:t>
            </w:r>
            <w:r>
              <w:rPr>
                <w:rFonts w:hint="eastAsia" w:ascii="宋体" w:hAnsi="宋体" w:eastAsia="Arial"/>
                <w:sz w:val="18"/>
                <w:szCs w:val="18"/>
              </w:rPr>
              <w:t xml:space="preserve">   </w:t>
            </w:r>
            <w:r>
              <w:rPr>
                <w:rFonts w:hint="eastAsia" w:ascii="宋体" w:hAnsi="宋体"/>
                <w:sz w:val="18"/>
                <w:szCs w:val="18"/>
              </w:rPr>
              <w:t>月</w:t>
            </w:r>
            <w:r>
              <w:rPr>
                <w:rFonts w:hint="eastAsia" w:ascii="宋体" w:hAnsi="宋体" w:eastAsia="Arial"/>
                <w:sz w:val="18"/>
                <w:szCs w:val="18"/>
              </w:rPr>
              <w:t xml:space="preserve">   </w:t>
            </w:r>
            <w:r>
              <w:rPr>
                <w:rFonts w:hint="eastAsia" w:ascii="宋体" w:hAnsi="宋体"/>
                <w:sz w:val="18"/>
                <w:szCs w:val="18"/>
              </w:rPr>
              <w:t>日</w:t>
            </w:r>
          </w:p>
        </w:tc>
      </w:tr>
    </w:tbl>
    <w:p w14:paraId="11EBF73C">
      <w:pPr>
        <w:pStyle w:val="59"/>
        <w:ind w:firstLine="420"/>
      </w:pPr>
    </w:p>
    <w:bookmarkEnd w:id="114"/>
    <w:p w14:paraId="24786F46">
      <w:pPr>
        <w:pStyle w:val="59"/>
        <w:ind w:firstLine="420"/>
      </w:pPr>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小标宋_GBK">
    <w:panose1 w:val="03000509000000000000"/>
    <w:charset w:val="86"/>
    <w:family w:val="script"/>
    <w:pitch w:val="default"/>
    <w:sig w:usb0="00000001" w:usb1="080E0000" w:usb2="00000000" w:usb3="00000000" w:csb0="00040000" w:csb1="00000000"/>
  </w:font>
  <w:font w:name="方正公文小标宋">
    <w:altName w:val="宋体"/>
    <w:panose1 w:val="02000500000000000000"/>
    <w:charset w:val="86"/>
    <w:family w:val="auto"/>
    <w:pitch w:val="default"/>
    <w:sig w:usb0="00000000" w:usb1="00000000" w:usb2="00000016" w:usb3="00000000" w:csb0="00040001" w:csb1="00000000"/>
  </w:font>
  <w:font w:name="Malgun Gothic">
    <w:panose1 w:val="020B0503020000020004"/>
    <w:charset w:val="81"/>
    <w:family w:val="swiss"/>
    <w:pitch w:val="default"/>
    <w:sig w:usb0="9000002F" w:usb1="29D77CFB" w:usb2="00000012" w:usb3="00000000" w:csb0="00080001" w:csb1="0000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081A58">
    <w:pPr>
      <w:pStyle w:val="1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320708">
    <w:pPr>
      <w:pStyle w:val="19"/>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D88303">
    <w:pPr>
      <w:pStyle w:val="19"/>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8FA34B">
    <w:pPr>
      <w:pStyle w:val="55"/>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68F7C5">
    <w:pPr>
      <w:pStyle w:val="20"/>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654355">
    <w:pPr>
      <w:pStyle w:val="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55561B">
    <w:pPr>
      <w:pStyle w:val="20"/>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CB4213">
    <w:pPr>
      <w:pStyle w:val="64"/>
      <w:rPr>
        <w:rFonts w:hint="eastAsia"/>
      </w:rPr>
    </w:pPr>
    <w:r>
      <w:fldChar w:fldCharType="begin"/>
    </w:r>
    <w:r>
      <w:instrText xml:space="preserve"> STYLEREF  标准文件_文件编号  \* MERGEFORMAT </w:instrText>
    </w:r>
    <w:r>
      <w:fldChar w:fldCharType="separate"/>
    </w:r>
    <w:r>
      <w:t>T/CEPCA XXXX—2026</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481B8B">
    <w:pPr>
      <w:pStyle w:val="20"/>
      <w:jc w:val="right"/>
    </w:pPr>
    <w:r>
      <w:fldChar w:fldCharType="begin"/>
    </w:r>
    <w:r>
      <w:instrText xml:space="preserve"> STYLEREF  标准文件_文件编号  \* MERGEFORMAT </w:instrText>
    </w:r>
    <w:r>
      <w:fldChar w:fldCharType="separate"/>
    </w:r>
    <w:r>
      <w:t>T/CEPCA XXXX—2026</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8"/>
      <w:suff w:val="nothing"/>
      <w:lvlText w:val="%1%2.%3.%4　"/>
      <w:lvlJc w:val="left"/>
      <w:pPr>
        <w:ind w:left="0" w:firstLine="0"/>
      </w:pPr>
      <w:rPr>
        <w:rFonts w:hint="eastAsia" w:ascii="黑体" w:eastAsia="黑体"/>
        <w:b w:val="0"/>
        <w:i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6837"/>
    <w:rsid w:val="0000040A"/>
    <w:rsid w:val="00000A94"/>
    <w:rsid w:val="00001972"/>
    <w:rsid w:val="00001D9A"/>
    <w:rsid w:val="00002D44"/>
    <w:rsid w:val="00005FD3"/>
    <w:rsid w:val="00007B3A"/>
    <w:rsid w:val="000107E0"/>
    <w:rsid w:val="0001102C"/>
    <w:rsid w:val="00011FDE"/>
    <w:rsid w:val="00012FFD"/>
    <w:rsid w:val="00014162"/>
    <w:rsid w:val="00014340"/>
    <w:rsid w:val="00016A9C"/>
    <w:rsid w:val="00022184"/>
    <w:rsid w:val="0002265A"/>
    <w:rsid w:val="00022762"/>
    <w:rsid w:val="000238E0"/>
    <w:rsid w:val="000249DB"/>
    <w:rsid w:val="0002595E"/>
    <w:rsid w:val="00026BFB"/>
    <w:rsid w:val="000303C3"/>
    <w:rsid w:val="000331D3"/>
    <w:rsid w:val="000346A5"/>
    <w:rsid w:val="000359C3"/>
    <w:rsid w:val="00035A7D"/>
    <w:rsid w:val="00035F63"/>
    <w:rsid w:val="000365ED"/>
    <w:rsid w:val="0004249A"/>
    <w:rsid w:val="00043282"/>
    <w:rsid w:val="00044286"/>
    <w:rsid w:val="00044535"/>
    <w:rsid w:val="00047F28"/>
    <w:rsid w:val="000503AA"/>
    <w:rsid w:val="00050516"/>
    <w:rsid w:val="000506A1"/>
    <w:rsid w:val="00050AEF"/>
    <w:rsid w:val="000515DD"/>
    <w:rsid w:val="0005265A"/>
    <w:rsid w:val="000539DD"/>
    <w:rsid w:val="00053BD3"/>
    <w:rsid w:val="000556ED"/>
    <w:rsid w:val="00055FE2"/>
    <w:rsid w:val="0005616F"/>
    <w:rsid w:val="00060C2E"/>
    <w:rsid w:val="00061033"/>
    <w:rsid w:val="000619E9"/>
    <w:rsid w:val="000622D4"/>
    <w:rsid w:val="0006357D"/>
    <w:rsid w:val="00064769"/>
    <w:rsid w:val="00067F1E"/>
    <w:rsid w:val="00071CC0"/>
    <w:rsid w:val="00071CFC"/>
    <w:rsid w:val="00072642"/>
    <w:rsid w:val="00073C8C"/>
    <w:rsid w:val="00077B64"/>
    <w:rsid w:val="0008092C"/>
    <w:rsid w:val="00080A1C"/>
    <w:rsid w:val="00082317"/>
    <w:rsid w:val="00083D2C"/>
    <w:rsid w:val="00086AA1"/>
    <w:rsid w:val="00087A77"/>
    <w:rsid w:val="00090CA6"/>
    <w:rsid w:val="00092B8A"/>
    <w:rsid w:val="00092D1B"/>
    <w:rsid w:val="00092FB0"/>
    <w:rsid w:val="000934C5"/>
    <w:rsid w:val="00093D25"/>
    <w:rsid w:val="00093DAB"/>
    <w:rsid w:val="000942C2"/>
    <w:rsid w:val="00094D73"/>
    <w:rsid w:val="00096D63"/>
    <w:rsid w:val="000A0B60"/>
    <w:rsid w:val="000A0EB8"/>
    <w:rsid w:val="000A19FC"/>
    <w:rsid w:val="000A296B"/>
    <w:rsid w:val="000A3922"/>
    <w:rsid w:val="000A60C9"/>
    <w:rsid w:val="000A7311"/>
    <w:rsid w:val="000B060F"/>
    <w:rsid w:val="000B1592"/>
    <w:rsid w:val="000B1FF2"/>
    <w:rsid w:val="000B3CDA"/>
    <w:rsid w:val="000B42D3"/>
    <w:rsid w:val="000B6A0B"/>
    <w:rsid w:val="000B6E6F"/>
    <w:rsid w:val="000C0F6C"/>
    <w:rsid w:val="000C11DB"/>
    <w:rsid w:val="000C1492"/>
    <w:rsid w:val="000C2FBD"/>
    <w:rsid w:val="000C4B41"/>
    <w:rsid w:val="000C529B"/>
    <w:rsid w:val="000C57D6"/>
    <w:rsid w:val="000C6362"/>
    <w:rsid w:val="000C7666"/>
    <w:rsid w:val="000C78FF"/>
    <w:rsid w:val="000D0A9C"/>
    <w:rsid w:val="000D1795"/>
    <w:rsid w:val="000D27F4"/>
    <w:rsid w:val="000D2C36"/>
    <w:rsid w:val="000D311D"/>
    <w:rsid w:val="000D329A"/>
    <w:rsid w:val="000D4B9C"/>
    <w:rsid w:val="000D4EB6"/>
    <w:rsid w:val="000D753B"/>
    <w:rsid w:val="000E4C9E"/>
    <w:rsid w:val="000E6FD7"/>
    <w:rsid w:val="000E7144"/>
    <w:rsid w:val="000F06E1"/>
    <w:rsid w:val="000F0E3C"/>
    <w:rsid w:val="000F19D5"/>
    <w:rsid w:val="000F4050"/>
    <w:rsid w:val="000F46B5"/>
    <w:rsid w:val="000F4AEA"/>
    <w:rsid w:val="000F67E9"/>
    <w:rsid w:val="0010264A"/>
    <w:rsid w:val="00104926"/>
    <w:rsid w:val="0011180A"/>
    <w:rsid w:val="00113B1E"/>
    <w:rsid w:val="0011711C"/>
    <w:rsid w:val="00121F28"/>
    <w:rsid w:val="00124E4F"/>
    <w:rsid w:val="001260B7"/>
    <w:rsid w:val="001265CB"/>
    <w:rsid w:val="001321C6"/>
    <w:rsid w:val="001325C4"/>
    <w:rsid w:val="00133010"/>
    <w:rsid w:val="001338EE"/>
    <w:rsid w:val="00133AAE"/>
    <w:rsid w:val="00134103"/>
    <w:rsid w:val="00135323"/>
    <w:rsid w:val="001356C4"/>
    <w:rsid w:val="001369BF"/>
    <w:rsid w:val="00137565"/>
    <w:rsid w:val="00141114"/>
    <w:rsid w:val="00142969"/>
    <w:rsid w:val="001446C2"/>
    <w:rsid w:val="001457E7"/>
    <w:rsid w:val="00145D9D"/>
    <w:rsid w:val="00146388"/>
    <w:rsid w:val="0014787A"/>
    <w:rsid w:val="001529E5"/>
    <w:rsid w:val="00152FB3"/>
    <w:rsid w:val="00153C7E"/>
    <w:rsid w:val="001548E8"/>
    <w:rsid w:val="00156B25"/>
    <w:rsid w:val="00156E1A"/>
    <w:rsid w:val="00157894"/>
    <w:rsid w:val="00157B55"/>
    <w:rsid w:val="00157C8E"/>
    <w:rsid w:val="001642FA"/>
    <w:rsid w:val="001649EB"/>
    <w:rsid w:val="00164BAF"/>
    <w:rsid w:val="00164FA8"/>
    <w:rsid w:val="00165065"/>
    <w:rsid w:val="00165434"/>
    <w:rsid w:val="0016580B"/>
    <w:rsid w:val="00165F49"/>
    <w:rsid w:val="00166B88"/>
    <w:rsid w:val="0016770A"/>
    <w:rsid w:val="00170804"/>
    <w:rsid w:val="001708E9"/>
    <w:rsid w:val="00170A07"/>
    <w:rsid w:val="0017299F"/>
    <w:rsid w:val="0017340B"/>
    <w:rsid w:val="00173FB1"/>
    <w:rsid w:val="00176DFD"/>
    <w:rsid w:val="00183FB1"/>
    <w:rsid w:val="001852C9"/>
    <w:rsid w:val="001873EC"/>
    <w:rsid w:val="00187A0B"/>
    <w:rsid w:val="00190087"/>
    <w:rsid w:val="001913C4"/>
    <w:rsid w:val="0019348F"/>
    <w:rsid w:val="00193A07"/>
    <w:rsid w:val="00194158"/>
    <w:rsid w:val="00194BDB"/>
    <w:rsid w:val="00194C95"/>
    <w:rsid w:val="00195C34"/>
    <w:rsid w:val="00196EF5"/>
    <w:rsid w:val="001A08E7"/>
    <w:rsid w:val="001A1A53"/>
    <w:rsid w:val="001A234A"/>
    <w:rsid w:val="001A4CF3"/>
    <w:rsid w:val="001A6696"/>
    <w:rsid w:val="001B06E8"/>
    <w:rsid w:val="001B4D58"/>
    <w:rsid w:val="001B71D0"/>
    <w:rsid w:val="001B71EE"/>
    <w:rsid w:val="001C04A8"/>
    <w:rsid w:val="001C1F7C"/>
    <w:rsid w:val="001C2C03"/>
    <w:rsid w:val="001C42F7"/>
    <w:rsid w:val="001C49E5"/>
    <w:rsid w:val="001C680C"/>
    <w:rsid w:val="001C7FEA"/>
    <w:rsid w:val="001D0499"/>
    <w:rsid w:val="001D05E0"/>
    <w:rsid w:val="001D0BBE"/>
    <w:rsid w:val="001D0ED4"/>
    <w:rsid w:val="001D212F"/>
    <w:rsid w:val="001D29D7"/>
    <w:rsid w:val="001D2DE7"/>
    <w:rsid w:val="001D411C"/>
    <w:rsid w:val="001D6255"/>
    <w:rsid w:val="001E1B6A"/>
    <w:rsid w:val="001E2484"/>
    <w:rsid w:val="001E3AE9"/>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06B3F"/>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78D"/>
    <w:rsid w:val="00250B25"/>
    <w:rsid w:val="00250BBE"/>
    <w:rsid w:val="00250BD9"/>
    <w:rsid w:val="002515C2"/>
    <w:rsid w:val="0025194F"/>
    <w:rsid w:val="0025414C"/>
    <w:rsid w:val="0026148A"/>
    <w:rsid w:val="00262696"/>
    <w:rsid w:val="00263D25"/>
    <w:rsid w:val="002643C3"/>
    <w:rsid w:val="00264A0C"/>
    <w:rsid w:val="0026563D"/>
    <w:rsid w:val="00266837"/>
    <w:rsid w:val="00266EEB"/>
    <w:rsid w:val="00267EF4"/>
    <w:rsid w:val="00270CB8"/>
    <w:rsid w:val="00272B08"/>
    <w:rsid w:val="002743CB"/>
    <w:rsid w:val="00281BB8"/>
    <w:rsid w:val="00281E9E"/>
    <w:rsid w:val="00282405"/>
    <w:rsid w:val="00285170"/>
    <w:rsid w:val="00285361"/>
    <w:rsid w:val="002909CF"/>
    <w:rsid w:val="0029138C"/>
    <w:rsid w:val="00291605"/>
    <w:rsid w:val="00292D60"/>
    <w:rsid w:val="002932DE"/>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6332"/>
    <w:rsid w:val="002C7EBB"/>
    <w:rsid w:val="002D06C1"/>
    <w:rsid w:val="002D42B5"/>
    <w:rsid w:val="002D4F1A"/>
    <w:rsid w:val="002D6E08"/>
    <w:rsid w:val="002D6EC6"/>
    <w:rsid w:val="002D79AC"/>
    <w:rsid w:val="002E039D"/>
    <w:rsid w:val="002E4D5A"/>
    <w:rsid w:val="002E614A"/>
    <w:rsid w:val="002E6326"/>
    <w:rsid w:val="002F30E0"/>
    <w:rsid w:val="002F35E4"/>
    <w:rsid w:val="002F3730"/>
    <w:rsid w:val="002F38E1"/>
    <w:rsid w:val="002F7AF6"/>
    <w:rsid w:val="002F7AFE"/>
    <w:rsid w:val="00300E63"/>
    <w:rsid w:val="003012EA"/>
    <w:rsid w:val="00302F5F"/>
    <w:rsid w:val="0030441D"/>
    <w:rsid w:val="00306063"/>
    <w:rsid w:val="003105D3"/>
    <w:rsid w:val="00311DF9"/>
    <w:rsid w:val="00313B85"/>
    <w:rsid w:val="0031545A"/>
    <w:rsid w:val="00317988"/>
    <w:rsid w:val="00317EB3"/>
    <w:rsid w:val="003221B4"/>
    <w:rsid w:val="0032258D"/>
    <w:rsid w:val="00322E62"/>
    <w:rsid w:val="00323748"/>
    <w:rsid w:val="00324D13"/>
    <w:rsid w:val="00324EDD"/>
    <w:rsid w:val="00325C2E"/>
    <w:rsid w:val="00331490"/>
    <w:rsid w:val="003331E4"/>
    <w:rsid w:val="00335D5D"/>
    <w:rsid w:val="00336C64"/>
    <w:rsid w:val="00337162"/>
    <w:rsid w:val="0034194F"/>
    <w:rsid w:val="0034294D"/>
    <w:rsid w:val="00344605"/>
    <w:rsid w:val="003474AA"/>
    <w:rsid w:val="00350D1D"/>
    <w:rsid w:val="00352C83"/>
    <w:rsid w:val="00352F1A"/>
    <w:rsid w:val="00354462"/>
    <w:rsid w:val="0036107C"/>
    <w:rsid w:val="003615D2"/>
    <w:rsid w:val="00362621"/>
    <w:rsid w:val="0036429C"/>
    <w:rsid w:val="00364A53"/>
    <w:rsid w:val="003654CB"/>
    <w:rsid w:val="00365AA9"/>
    <w:rsid w:val="00365F86"/>
    <w:rsid w:val="00365F87"/>
    <w:rsid w:val="00366E89"/>
    <w:rsid w:val="003705F4"/>
    <w:rsid w:val="00370D58"/>
    <w:rsid w:val="00371316"/>
    <w:rsid w:val="00374599"/>
    <w:rsid w:val="00376713"/>
    <w:rsid w:val="00381815"/>
    <w:rsid w:val="003819AF"/>
    <w:rsid w:val="003820E9"/>
    <w:rsid w:val="00382DE7"/>
    <w:rsid w:val="00384FFC"/>
    <w:rsid w:val="00385EB8"/>
    <w:rsid w:val="003872FC"/>
    <w:rsid w:val="00387ADC"/>
    <w:rsid w:val="00390020"/>
    <w:rsid w:val="003903D6"/>
    <w:rsid w:val="00390584"/>
    <w:rsid w:val="00390EE6"/>
    <w:rsid w:val="0039118F"/>
    <w:rsid w:val="00392AD7"/>
    <w:rsid w:val="003938D9"/>
    <w:rsid w:val="00394376"/>
    <w:rsid w:val="003943FF"/>
    <w:rsid w:val="003969D2"/>
    <w:rsid w:val="003974EB"/>
    <w:rsid w:val="00397CC5"/>
    <w:rsid w:val="003A11D1"/>
    <w:rsid w:val="003A1582"/>
    <w:rsid w:val="003A3D9C"/>
    <w:rsid w:val="003A4077"/>
    <w:rsid w:val="003A4AA7"/>
    <w:rsid w:val="003B09AD"/>
    <w:rsid w:val="003B10B9"/>
    <w:rsid w:val="003B1F18"/>
    <w:rsid w:val="003B5426"/>
    <w:rsid w:val="003B5BF0"/>
    <w:rsid w:val="003B60BF"/>
    <w:rsid w:val="003B6BE3"/>
    <w:rsid w:val="003B7A21"/>
    <w:rsid w:val="003C003B"/>
    <w:rsid w:val="003C010C"/>
    <w:rsid w:val="003C0272"/>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E74D3"/>
    <w:rsid w:val="003F0841"/>
    <w:rsid w:val="003F23D3"/>
    <w:rsid w:val="003F3F08"/>
    <w:rsid w:val="003F49F1"/>
    <w:rsid w:val="003F6272"/>
    <w:rsid w:val="00400E72"/>
    <w:rsid w:val="00400F7C"/>
    <w:rsid w:val="00401400"/>
    <w:rsid w:val="004021B0"/>
    <w:rsid w:val="00404869"/>
    <w:rsid w:val="004054E9"/>
    <w:rsid w:val="00405884"/>
    <w:rsid w:val="0040603B"/>
    <w:rsid w:val="00407D39"/>
    <w:rsid w:val="00407DAC"/>
    <w:rsid w:val="0041477A"/>
    <w:rsid w:val="004167A3"/>
    <w:rsid w:val="00426BDD"/>
    <w:rsid w:val="00427281"/>
    <w:rsid w:val="00432DAA"/>
    <w:rsid w:val="00434305"/>
    <w:rsid w:val="00434E48"/>
    <w:rsid w:val="00435DF7"/>
    <w:rsid w:val="0043741A"/>
    <w:rsid w:val="0044083F"/>
    <w:rsid w:val="00441AE7"/>
    <w:rsid w:val="00445574"/>
    <w:rsid w:val="004467FB"/>
    <w:rsid w:val="00446A3B"/>
    <w:rsid w:val="004519DF"/>
    <w:rsid w:val="00452D6B"/>
    <w:rsid w:val="00454484"/>
    <w:rsid w:val="0045517B"/>
    <w:rsid w:val="00456471"/>
    <w:rsid w:val="004604BC"/>
    <w:rsid w:val="00463B77"/>
    <w:rsid w:val="00463C7B"/>
    <w:rsid w:val="004644A6"/>
    <w:rsid w:val="004646A6"/>
    <w:rsid w:val="00465807"/>
    <w:rsid w:val="004659BD"/>
    <w:rsid w:val="00465B0B"/>
    <w:rsid w:val="00470775"/>
    <w:rsid w:val="004746B1"/>
    <w:rsid w:val="0047583F"/>
    <w:rsid w:val="00475DE8"/>
    <w:rsid w:val="00476FEA"/>
    <w:rsid w:val="00481C44"/>
    <w:rsid w:val="00484936"/>
    <w:rsid w:val="00485C89"/>
    <w:rsid w:val="00486BE3"/>
    <w:rsid w:val="004905E4"/>
    <w:rsid w:val="00490A89"/>
    <w:rsid w:val="00490AB4"/>
    <w:rsid w:val="00492C34"/>
    <w:rsid w:val="00492F02"/>
    <w:rsid w:val="004939AE"/>
    <w:rsid w:val="00493E1C"/>
    <w:rsid w:val="004943CB"/>
    <w:rsid w:val="004963F0"/>
    <w:rsid w:val="004A12DF"/>
    <w:rsid w:val="004A1BA8"/>
    <w:rsid w:val="004A4B57"/>
    <w:rsid w:val="004A63FA"/>
    <w:rsid w:val="004A6A3D"/>
    <w:rsid w:val="004B0272"/>
    <w:rsid w:val="004B2701"/>
    <w:rsid w:val="004B2E1B"/>
    <w:rsid w:val="004B3AA8"/>
    <w:rsid w:val="004B3E93"/>
    <w:rsid w:val="004C0538"/>
    <w:rsid w:val="004C1FBC"/>
    <w:rsid w:val="004C25A2"/>
    <w:rsid w:val="004C2E43"/>
    <w:rsid w:val="004C3F1D"/>
    <w:rsid w:val="004C458D"/>
    <w:rsid w:val="004C7556"/>
    <w:rsid w:val="004C7E8B"/>
    <w:rsid w:val="004C7E9D"/>
    <w:rsid w:val="004C7F67"/>
    <w:rsid w:val="004D076D"/>
    <w:rsid w:val="004D0EF1"/>
    <w:rsid w:val="004D2253"/>
    <w:rsid w:val="004D4406"/>
    <w:rsid w:val="004D4A5D"/>
    <w:rsid w:val="004D4CD4"/>
    <w:rsid w:val="004D5EBF"/>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0B35"/>
    <w:rsid w:val="00501139"/>
    <w:rsid w:val="0050363E"/>
    <w:rsid w:val="005039BC"/>
    <w:rsid w:val="005043BB"/>
    <w:rsid w:val="00504A3D"/>
    <w:rsid w:val="00505767"/>
    <w:rsid w:val="005069DD"/>
    <w:rsid w:val="005073F0"/>
    <w:rsid w:val="00507622"/>
    <w:rsid w:val="00510A7B"/>
    <w:rsid w:val="005122DF"/>
    <w:rsid w:val="00512F6E"/>
    <w:rsid w:val="00513038"/>
    <w:rsid w:val="00514174"/>
    <w:rsid w:val="00516088"/>
    <w:rsid w:val="00516B0B"/>
    <w:rsid w:val="005220EC"/>
    <w:rsid w:val="00523ECF"/>
    <w:rsid w:val="00523F95"/>
    <w:rsid w:val="00524D65"/>
    <w:rsid w:val="00525B16"/>
    <w:rsid w:val="00533D04"/>
    <w:rsid w:val="00534804"/>
    <w:rsid w:val="00534BDF"/>
    <w:rsid w:val="005354EA"/>
    <w:rsid w:val="0053585F"/>
    <w:rsid w:val="00535EC4"/>
    <w:rsid w:val="00535ED9"/>
    <w:rsid w:val="0053692B"/>
    <w:rsid w:val="005410C5"/>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1ED3"/>
    <w:rsid w:val="00582256"/>
    <w:rsid w:val="005836A8"/>
    <w:rsid w:val="0058409C"/>
    <w:rsid w:val="00584262"/>
    <w:rsid w:val="00586630"/>
    <w:rsid w:val="00587ADD"/>
    <w:rsid w:val="00592589"/>
    <w:rsid w:val="00593A49"/>
    <w:rsid w:val="00596160"/>
    <w:rsid w:val="00596617"/>
    <w:rsid w:val="005966E2"/>
    <w:rsid w:val="00597007"/>
    <w:rsid w:val="005A0966"/>
    <w:rsid w:val="005A11B7"/>
    <w:rsid w:val="005A260B"/>
    <w:rsid w:val="005A4A1B"/>
    <w:rsid w:val="005A7830"/>
    <w:rsid w:val="005A7FCE"/>
    <w:rsid w:val="005B0F3F"/>
    <w:rsid w:val="005B191C"/>
    <w:rsid w:val="005B32B4"/>
    <w:rsid w:val="005B3BA3"/>
    <w:rsid w:val="005B4903"/>
    <w:rsid w:val="005B51CE"/>
    <w:rsid w:val="005B5885"/>
    <w:rsid w:val="005B5AF4"/>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5F3E33"/>
    <w:rsid w:val="006015CE"/>
    <w:rsid w:val="00604784"/>
    <w:rsid w:val="00604C8D"/>
    <w:rsid w:val="00606419"/>
    <w:rsid w:val="00607D29"/>
    <w:rsid w:val="00612952"/>
    <w:rsid w:val="00613C5A"/>
    <w:rsid w:val="00614CC1"/>
    <w:rsid w:val="00615A9D"/>
    <w:rsid w:val="00617387"/>
    <w:rsid w:val="006205D6"/>
    <w:rsid w:val="006207ED"/>
    <w:rsid w:val="006252D8"/>
    <w:rsid w:val="006259BC"/>
    <w:rsid w:val="0062636B"/>
    <w:rsid w:val="00627F81"/>
    <w:rsid w:val="0063063E"/>
    <w:rsid w:val="00632182"/>
    <w:rsid w:val="00632AE0"/>
    <w:rsid w:val="00633C17"/>
    <w:rsid w:val="00634D9E"/>
    <w:rsid w:val="00636E3E"/>
    <w:rsid w:val="006379F7"/>
    <w:rsid w:val="00637E4D"/>
    <w:rsid w:val="006405F7"/>
    <w:rsid w:val="00640620"/>
    <w:rsid w:val="00641A1F"/>
    <w:rsid w:val="00645904"/>
    <w:rsid w:val="00651ACB"/>
    <w:rsid w:val="00651C47"/>
    <w:rsid w:val="00652AB2"/>
    <w:rsid w:val="00653FED"/>
    <w:rsid w:val="00654EC0"/>
    <w:rsid w:val="0065525B"/>
    <w:rsid w:val="00655D4F"/>
    <w:rsid w:val="00656D29"/>
    <w:rsid w:val="006572C7"/>
    <w:rsid w:val="006640E5"/>
    <w:rsid w:val="006646F1"/>
    <w:rsid w:val="00664929"/>
    <w:rsid w:val="00664F62"/>
    <w:rsid w:val="006655E1"/>
    <w:rsid w:val="00671271"/>
    <w:rsid w:val="00672060"/>
    <w:rsid w:val="00672BFD"/>
    <w:rsid w:val="00675CC1"/>
    <w:rsid w:val="006770F4"/>
    <w:rsid w:val="00677A84"/>
    <w:rsid w:val="0068026D"/>
    <w:rsid w:val="00680A27"/>
    <w:rsid w:val="006816A4"/>
    <w:rsid w:val="006819B8"/>
    <w:rsid w:val="006840A6"/>
    <w:rsid w:val="006850CD"/>
    <w:rsid w:val="00685AAB"/>
    <w:rsid w:val="00692AA9"/>
    <w:rsid w:val="00693962"/>
    <w:rsid w:val="00697155"/>
    <w:rsid w:val="006A07AA"/>
    <w:rsid w:val="006A25E5"/>
    <w:rsid w:val="006A2B46"/>
    <w:rsid w:val="006A336D"/>
    <w:rsid w:val="006A37B9"/>
    <w:rsid w:val="006A3C88"/>
    <w:rsid w:val="006A3D27"/>
    <w:rsid w:val="006B1D31"/>
    <w:rsid w:val="006B2672"/>
    <w:rsid w:val="006B54BF"/>
    <w:rsid w:val="006B5F44"/>
    <w:rsid w:val="006B5F90"/>
    <w:rsid w:val="006B62E4"/>
    <w:rsid w:val="006C0E40"/>
    <w:rsid w:val="006C1BBA"/>
    <w:rsid w:val="006C1E5E"/>
    <w:rsid w:val="006C2079"/>
    <w:rsid w:val="006C2251"/>
    <w:rsid w:val="006C5A62"/>
    <w:rsid w:val="006C5D68"/>
    <w:rsid w:val="006C6976"/>
    <w:rsid w:val="006C6DD0"/>
    <w:rsid w:val="006D04EA"/>
    <w:rsid w:val="006D16C4"/>
    <w:rsid w:val="006D2395"/>
    <w:rsid w:val="006D36A2"/>
    <w:rsid w:val="006D3E96"/>
    <w:rsid w:val="006D4515"/>
    <w:rsid w:val="006D4BB1"/>
    <w:rsid w:val="006D6593"/>
    <w:rsid w:val="006D7596"/>
    <w:rsid w:val="006E28E0"/>
    <w:rsid w:val="006F03A8"/>
    <w:rsid w:val="006F2ACA"/>
    <w:rsid w:val="006F2ADC"/>
    <w:rsid w:val="006F2BFE"/>
    <w:rsid w:val="006F2CFF"/>
    <w:rsid w:val="006F31E9"/>
    <w:rsid w:val="006F6284"/>
    <w:rsid w:val="007002C5"/>
    <w:rsid w:val="00700CA9"/>
    <w:rsid w:val="00704185"/>
    <w:rsid w:val="00704387"/>
    <w:rsid w:val="00704A61"/>
    <w:rsid w:val="007052C4"/>
    <w:rsid w:val="00706BDB"/>
    <w:rsid w:val="00707669"/>
    <w:rsid w:val="00710829"/>
    <w:rsid w:val="00711CBA"/>
    <w:rsid w:val="00711FB5"/>
    <w:rsid w:val="0071239B"/>
    <w:rsid w:val="00712A01"/>
    <w:rsid w:val="00714DCF"/>
    <w:rsid w:val="00714F58"/>
    <w:rsid w:val="007209E2"/>
    <w:rsid w:val="00722FBF"/>
    <w:rsid w:val="00722FC2"/>
    <w:rsid w:val="00724E1B"/>
    <w:rsid w:val="00725949"/>
    <w:rsid w:val="00727FA2"/>
    <w:rsid w:val="007322D9"/>
    <w:rsid w:val="00732BC0"/>
    <w:rsid w:val="00733CD7"/>
    <w:rsid w:val="0073720F"/>
    <w:rsid w:val="00737796"/>
    <w:rsid w:val="00740BB3"/>
    <w:rsid w:val="0074165C"/>
    <w:rsid w:val="00742C35"/>
    <w:rsid w:val="007432CA"/>
    <w:rsid w:val="007439EB"/>
    <w:rsid w:val="00743CB4"/>
    <w:rsid w:val="00743F0A"/>
    <w:rsid w:val="007444E8"/>
    <w:rsid w:val="0074548E"/>
    <w:rsid w:val="00745773"/>
    <w:rsid w:val="00746800"/>
    <w:rsid w:val="007501A8"/>
    <w:rsid w:val="00750D61"/>
    <w:rsid w:val="00750EE1"/>
    <w:rsid w:val="0075138D"/>
    <w:rsid w:val="0075156F"/>
    <w:rsid w:val="00752B4D"/>
    <w:rsid w:val="0075404D"/>
    <w:rsid w:val="00755402"/>
    <w:rsid w:val="00756B26"/>
    <w:rsid w:val="00756EDF"/>
    <w:rsid w:val="007600E3"/>
    <w:rsid w:val="00765C43"/>
    <w:rsid w:val="00765EFB"/>
    <w:rsid w:val="007671CA"/>
    <w:rsid w:val="00767C61"/>
    <w:rsid w:val="0077008A"/>
    <w:rsid w:val="00773C1F"/>
    <w:rsid w:val="00774152"/>
    <w:rsid w:val="00774DA4"/>
    <w:rsid w:val="00776599"/>
    <w:rsid w:val="0078114B"/>
    <w:rsid w:val="0078121D"/>
    <w:rsid w:val="00781DD2"/>
    <w:rsid w:val="00782B20"/>
    <w:rsid w:val="00783ECF"/>
    <w:rsid w:val="0078413A"/>
    <w:rsid w:val="00786E39"/>
    <w:rsid w:val="00791D64"/>
    <w:rsid w:val="007959E8"/>
    <w:rsid w:val="00795E9C"/>
    <w:rsid w:val="007A0521"/>
    <w:rsid w:val="007A2E12"/>
    <w:rsid w:val="007A3475"/>
    <w:rsid w:val="007A396E"/>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5CD5"/>
    <w:rsid w:val="007C6069"/>
    <w:rsid w:val="007D06C4"/>
    <w:rsid w:val="007D1352"/>
    <w:rsid w:val="007D2508"/>
    <w:rsid w:val="007D346A"/>
    <w:rsid w:val="007D6518"/>
    <w:rsid w:val="007D76BD"/>
    <w:rsid w:val="007E040C"/>
    <w:rsid w:val="007E0BF1"/>
    <w:rsid w:val="007E3248"/>
    <w:rsid w:val="007F0ED8"/>
    <w:rsid w:val="007F0F63"/>
    <w:rsid w:val="007F16BE"/>
    <w:rsid w:val="007F75CE"/>
    <w:rsid w:val="008013A4"/>
    <w:rsid w:val="008027CE"/>
    <w:rsid w:val="00802F42"/>
    <w:rsid w:val="00804383"/>
    <w:rsid w:val="00804BB7"/>
    <w:rsid w:val="00804C0B"/>
    <w:rsid w:val="00804D41"/>
    <w:rsid w:val="00810257"/>
    <w:rsid w:val="008104F5"/>
    <w:rsid w:val="00811072"/>
    <w:rsid w:val="00811369"/>
    <w:rsid w:val="00815419"/>
    <w:rsid w:val="008163C8"/>
    <w:rsid w:val="008164A1"/>
    <w:rsid w:val="00816670"/>
    <w:rsid w:val="00817325"/>
    <w:rsid w:val="00817873"/>
    <w:rsid w:val="008209E6"/>
    <w:rsid w:val="00821D19"/>
    <w:rsid w:val="00823303"/>
    <w:rsid w:val="008233B2"/>
    <w:rsid w:val="00823A9F"/>
    <w:rsid w:val="00823C85"/>
    <w:rsid w:val="00825138"/>
    <w:rsid w:val="008269DD"/>
    <w:rsid w:val="00830621"/>
    <w:rsid w:val="0083348C"/>
    <w:rsid w:val="008338D2"/>
    <w:rsid w:val="008373D3"/>
    <w:rsid w:val="00840617"/>
    <w:rsid w:val="00840F84"/>
    <w:rsid w:val="00842A47"/>
    <w:rsid w:val="00843C13"/>
    <w:rsid w:val="00843DEF"/>
    <w:rsid w:val="008454F8"/>
    <w:rsid w:val="00846A5F"/>
    <w:rsid w:val="0085173A"/>
    <w:rsid w:val="00854C75"/>
    <w:rsid w:val="008603CE"/>
    <w:rsid w:val="008620FC"/>
    <w:rsid w:val="008627A5"/>
    <w:rsid w:val="00863E05"/>
    <w:rsid w:val="00865ACA"/>
    <w:rsid w:val="00865D28"/>
    <w:rsid w:val="00865F85"/>
    <w:rsid w:val="008672C2"/>
    <w:rsid w:val="00867C10"/>
    <w:rsid w:val="00867CCA"/>
    <w:rsid w:val="00870439"/>
    <w:rsid w:val="00870DA1"/>
    <w:rsid w:val="00871DDC"/>
    <w:rsid w:val="00883F93"/>
    <w:rsid w:val="00884DB3"/>
    <w:rsid w:val="00885A9D"/>
    <w:rsid w:val="008864F6"/>
    <w:rsid w:val="00886AE4"/>
    <w:rsid w:val="0089049D"/>
    <w:rsid w:val="00890FC2"/>
    <w:rsid w:val="0089131D"/>
    <w:rsid w:val="008928C9"/>
    <w:rsid w:val="008930CB"/>
    <w:rsid w:val="008938DC"/>
    <w:rsid w:val="00893FD1"/>
    <w:rsid w:val="00894836"/>
    <w:rsid w:val="00895172"/>
    <w:rsid w:val="00895680"/>
    <w:rsid w:val="00896DFF"/>
    <w:rsid w:val="0089762C"/>
    <w:rsid w:val="008A173B"/>
    <w:rsid w:val="008A1893"/>
    <w:rsid w:val="008A33B4"/>
    <w:rsid w:val="008A460D"/>
    <w:rsid w:val="008A57E6"/>
    <w:rsid w:val="008A6F81"/>
    <w:rsid w:val="008A769A"/>
    <w:rsid w:val="008B0C9C"/>
    <w:rsid w:val="008B166D"/>
    <w:rsid w:val="008B17F4"/>
    <w:rsid w:val="008B3615"/>
    <w:rsid w:val="008B439B"/>
    <w:rsid w:val="008B4AC4"/>
    <w:rsid w:val="008B4C8D"/>
    <w:rsid w:val="008B50C8"/>
    <w:rsid w:val="008B5281"/>
    <w:rsid w:val="008B7E05"/>
    <w:rsid w:val="008C1797"/>
    <w:rsid w:val="008C219C"/>
    <w:rsid w:val="008C397E"/>
    <w:rsid w:val="008C4648"/>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2A4C"/>
    <w:rsid w:val="008E4BB6"/>
    <w:rsid w:val="008E4F38"/>
    <w:rsid w:val="008E5518"/>
    <w:rsid w:val="008E6A84"/>
    <w:rsid w:val="008E772E"/>
    <w:rsid w:val="008F0CDC"/>
    <w:rsid w:val="008F17A3"/>
    <w:rsid w:val="008F1ED3"/>
    <w:rsid w:val="008F3EBB"/>
    <w:rsid w:val="008F4C29"/>
    <w:rsid w:val="008F5C76"/>
    <w:rsid w:val="008F70BD"/>
    <w:rsid w:val="008F788F"/>
    <w:rsid w:val="008F7EA2"/>
    <w:rsid w:val="00902722"/>
    <w:rsid w:val="009027BC"/>
    <w:rsid w:val="009062E6"/>
    <w:rsid w:val="00911BE5"/>
    <w:rsid w:val="00913CA9"/>
    <w:rsid w:val="009145AE"/>
    <w:rsid w:val="009146CE"/>
    <w:rsid w:val="00914CA7"/>
    <w:rsid w:val="00915AC0"/>
    <w:rsid w:val="00915C3E"/>
    <w:rsid w:val="009161A8"/>
    <w:rsid w:val="009245AE"/>
    <w:rsid w:val="009245F5"/>
    <w:rsid w:val="009249EC"/>
    <w:rsid w:val="009273B3"/>
    <w:rsid w:val="00927890"/>
    <w:rsid w:val="009305B5"/>
    <w:rsid w:val="00932BB2"/>
    <w:rsid w:val="00933ED8"/>
    <w:rsid w:val="00936325"/>
    <w:rsid w:val="00936C1E"/>
    <w:rsid w:val="009378DD"/>
    <w:rsid w:val="009429D5"/>
    <w:rsid w:val="00942BF1"/>
    <w:rsid w:val="009431C6"/>
    <w:rsid w:val="00945180"/>
    <w:rsid w:val="00945428"/>
    <w:rsid w:val="0094607B"/>
    <w:rsid w:val="009511FD"/>
    <w:rsid w:val="00952708"/>
    <w:rsid w:val="00953604"/>
    <w:rsid w:val="0095496B"/>
    <w:rsid w:val="0095609D"/>
    <w:rsid w:val="00960F1E"/>
    <w:rsid w:val="009610DC"/>
    <w:rsid w:val="00961490"/>
    <w:rsid w:val="00962134"/>
    <w:rsid w:val="0096381A"/>
    <w:rsid w:val="00963A42"/>
    <w:rsid w:val="00964B00"/>
    <w:rsid w:val="00965E04"/>
    <w:rsid w:val="00967465"/>
    <w:rsid w:val="009674AD"/>
    <w:rsid w:val="00970CDC"/>
    <w:rsid w:val="00975727"/>
    <w:rsid w:val="00977010"/>
    <w:rsid w:val="00977247"/>
    <w:rsid w:val="00977D02"/>
    <w:rsid w:val="00977FF9"/>
    <w:rsid w:val="009809BB"/>
    <w:rsid w:val="0098322F"/>
    <w:rsid w:val="0098364B"/>
    <w:rsid w:val="009866BC"/>
    <w:rsid w:val="009908A3"/>
    <w:rsid w:val="009911AF"/>
    <w:rsid w:val="00991875"/>
    <w:rsid w:val="0099188B"/>
    <w:rsid w:val="00991F92"/>
    <w:rsid w:val="00992985"/>
    <w:rsid w:val="00992E87"/>
    <w:rsid w:val="00993889"/>
    <w:rsid w:val="0099551B"/>
    <w:rsid w:val="00996BD2"/>
    <w:rsid w:val="00997BF1"/>
    <w:rsid w:val="009A0021"/>
    <w:rsid w:val="009A089C"/>
    <w:rsid w:val="009A118E"/>
    <w:rsid w:val="009A21CD"/>
    <w:rsid w:val="009A278C"/>
    <w:rsid w:val="009A29C5"/>
    <w:rsid w:val="009A2BC2"/>
    <w:rsid w:val="009A315F"/>
    <w:rsid w:val="009A34AA"/>
    <w:rsid w:val="009A42C1"/>
    <w:rsid w:val="009A5429"/>
    <w:rsid w:val="009A72AD"/>
    <w:rsid w:val="009B09E0"/>
    <w:rsid w:val="009B0BC5"/>
    <w:rsid w:val="009B1247"/>
    <w:rsid w:val="009B18DE"/>
    <w:rsid w:val="009B3957"/>
    <w:rsid w:val="009B54D0"/>
    <w:rsid w:val="009B6029"/>
    <w:rsid w:val="009B6971"/>
    <w:rsid w:val="009C27F1"/>
    <w:rsid w:val="009C3152"/>
    <w:rsid w:val="009C3257"/>
    <w:rsid w:val="009C4CFA"/>
    <w:rsid w:val="009C5070"/>
    <w:rsid w:val="009D112C"/>
    <w:rsid w:val="009D1385"/>
    <w:rsid w:val="009D1657"/>
    <w:rsid w:val="009D40EF"/>
    <w:rsid w:val="009D47FA"/>
    <w:rsid w:val="009D4C5B"/>
    <w:rsid w:val="009D50D2"/>
    <w:rsid w:val="009D6BCA"/>
    <w:rsid w:val="009E0F62"/>
    <w:rsid w:val="009E25A6"/>
    <w:rsid w:val="009E4A58"/>
    <w:rsid w:val="009E514F"/>
    <w:rsid w:val="009E5A2D"/>
    <w:rsid w:val="009E5AB2"/>
    <w:rsid w:val="009E6219"/>
    <w:rsid w:val="009E716B"/>
    <w:rsid w:val="009E7D0B"/>
    <w:rsid w:val="009F03B3"/>
    <w:rsid w:val="009F0AEB"/>
    <w:rsid w:val="009F29F2"/>
    <w:rsid w:val="00A0096C"/>
    <w:rsid w:val="00A01757"/>
    <w:rsid w:val="00A01FE7"/>
    <w:rsid w:val="00A028C0"/>
    <w:rsid w:val="00A02BAE"/>
    <w:rsid w:val="00A06A6B"/>
    <w:rsid w:val="00A07E47"/>
    <w:rsid w:val="00A11151"/>
    <w:rsid w:val="00A11533"/>
    <w:rsid w:val="00A129D0"/>
    <w:rsid w:val="00A12C07"/>
    <w:rsid w:val="00A12C33"/>
    <w:rsid w:val="00A138BA"/>
    <w:rsid w:val="00A14C8E"/>
    <w:rsid w:val="00A153D9"/>
    <w:rsid w:val="00A15ED4"/>
    <w:rsid w:val="00A15F09"/>
    <w:rsid w:val="00A169B6"/>
    <w:rsid w:val="00A21FC5"/>
    <w:rsid w:val="00A2271D"/>
    <w:rsid w:val="00A227E5"/>
    <w:rsid w:val="00A237D5"/>
    <w:rsid w:val="00A243FC"/>
    <w:rsid w:val="00A25B9F"/>
    <w:rsid w:val="00A30EFC"/>
    <w:rsid w:val="00A31984"/>
    <w:rsid w:val="00A32D73"/>
    <w:rsid w:val="00A3367B"/>
    <w:rsid w:val="00A33C67"/>
    <w:rsid w:val="00A3597D"/>
    <w:rsid w:val="00A36DD1"/>
    <w:rsid w:val="00A37E05"/>
    <w:rsid w:val="00A4006C"/>
    <w:rsid w:val="00A40091"/>
    <w:rsid w:val="00A4030F"/>
    <w:rsid w:val="00A41C79"/>
    <w:rsid w:val="00A41CB5"/>
    <w:rsid w:val="00A42C96"/>
    <w:rsid w:val="00A42CDF"/>
    <w:rsid w:val="00A43F39"/>
    <w:rsid w:val="00A4452E"/>
    <w:rsid w:val="00A4472C"/>
    <w:rsid w:val="00A44E69"/>
    <w:rsid w:val="00A4661E"/>
    <w:rsid w:val="00A47B62"/>
    <w:rsid w:val="00A51ED5"/>
    <w:rsid w:val="00A55BD6"/>
    <w:rsid w:val="00A55D50"/>
    <w:rsid w:val="00A56B1E"/>
    <w:rsid w:val="00A57142"/>
    <w:rsid w:val="00A648CD"/>
    <w:rsid w:val="00A6537A"/>
    <w:rsid w:val="00A67866"/>
    <w:rsid w:val="00A70B07"/>
    <w:rsid w:val="00A70EB2"/>
    <w:rsid w:val="00A723F8"/>
    <w:rsid w:val="00A74F0F"/>
    <w:rsid w:val="00A77CCB"/>
    <w:rsid w:val="00A81F56"/>
    <w:rsid w:val="00A83D8D"/>
    <w:rsid w:val="00A8446B"/>
    <w:rsid w:val="00A8473F"/>
    <w:rsid w:val="00A862D6"/>
    <w:rsid w:val="00A8715E"/>
    <w:rsid w:val="00A9295B"/>
    <w:rsid w:val="00A93B09"/>
    <w:rsid w:val="00A952D7"/>
    <w:rsid w:val="00A963F7"/>
    <w:rsid w:val="00A96AD8"/>
    <w:rsid w:val="00A9704B"/>
    <w:rsid w:val="00AA052C"/>
    <w:rsid w:val="00AA1E45"/>
    <w:rsid w:val="00AA30DA"/>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74"/>
    <w:rsid w:val="00AD1A94"/>
    <w:rsid w:val="00AD1C05"/>
    <w:rsid w:val="00AD4126"/>
    <w:rsid w:val="00AD421C"/>
    <w:rsid w:val="00AD44FA"/>
    <w:rsid w:val="00AE070A"/>
    <w:rsid w:val="00AE101C"/>
    <w:rsid w:val="00AE2A69"/>
    <w:rsid w:val="00AE37E5"/>
    <w:rsid w:val="00AE4A99"/>
    <w:rsid w:val="00AE5EB4"/>
    <w:rsid w:val="00AF0C18"/>
    <w:rsid w:val="00AF0FE1"/>
    <w:rsid w:val="00AF47C5"/>
    <w:rsid w:val="00AF5398"/>
    <w:rsid w:val="00AF73F2"/>
    <w:rsid w:val="00B027A6"/>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97"/>
    <w:rsid w:val="00B447A5"/>
    <w:rsid w:val="00B4654C"/>
    <w:rsid w:val="00B47293"/>
    <w:rsid w:val="00B50E50"/>
    <w:rsid w:val="00B52120"/>
    <w:rsid w:val="00B52658"/>
    <w:rsid w:val="00B54ABC"/>
    <w:rsid w:val="00B56FBE"/>
    <w:rsid w:val="00B5725A"/>
    <w:rsid w:val="00B60ACF"/>
    <w:rsid w:val="00B618F0"/>
    <w:rsid w:val="00B62B58"/>
    <w:rsid w:val="00B6354C"/>
    <w:rsid w:val="00B65149"/>
    <w:rsid w:val="00B66567"/>
    <w:rsid w:val="00B66F52"/>
    <w:rsid w:val="00B66FE5"/>
    <w:rsid w:val="00B67893"/>
    <w:rsid w:val="00B72337"/>
    <w:rsid w:val="00B72880"/>
    <w:rsid w:val="00B74386"/>
    <w:rsid w:val="00B758BF"/>
    <w:rsid w:val="00B76095"/>
    <w:rsid w:val="00B76980"/>
    <w:rsid w:val="00B77628"/>
    <w:rsid w:val="00B77EC8"/>
    <w:rsid w:val="00B80904"/>
    <w:rsid w:val="00B811CF"/>
    <w:rsid w:val="00B827A6"/>
    <w:rsid w:val="00B82829"/>
    <w:rsid w:val="00B82D72"/>
    <w:rsid w:val="00B831CE"/>
    <w:rsid w:val="00B84AF4"/>
    <w:rsid w:val="00B86677"/>
    <w:rsid w:val="00B87131"/>
    <w:rsid w:val="00B87692"/>
    <w:rsid w:val="00B939B1"/>
    <w:rsid w:val="00B96D40"/>
    <w:rsid w:val="00B97386"/>
    <w:rsid w:val="00BA263B"/>
    <w:rsid w:val="00BA42B2"/>
    <w:rsid w:val="00BA4FA1"/>
    <w:rsid w:val="00BA58D4"/>
    <w:rsid w:val="00BA5B9E"/>
    <w:rsid w:val="00BA73EC"/>
    <w:rsid w:val="00BA7C9A"/>
    <w:rsid w:val="00BB5F5F"/>
    <w:rsid w:val="00BB5F8F"/>
    <w:rsid w:val="00BB657A"/>
    <w:rsid w:val="00BC1A4E"/>
    <w:rsid w:val="00BC224A"/>
    <w:rsid w:val="00BC43FF"/>
    <w:rsid w:val="00BC5DC7"/>
    <w:rsid w:val="00BC6B8B"/>
    <w:rsid w:val="00BC73D8"/>
    <w:rsid w:val="00BD02E0"/>
    <w:rsid w:val="00BD52D7"/>
    <w:rsid w:val="00BD5AD2"/>
    <w:rsid w:val="00BE1905"/>
    <w:rsid w:val="00BE1EF4"/>
    <w:rsid w:val="00BE22F3"/>
    <w:rsid w:val="00BE5B52"/>
    <w:rsid w:val="00BE7B8D"/>
    <w:rsid w:val="00BF0993"/>
    <w:rsid w:val="00BF10A9"/>
    <w:rsid w:val="00BF1703"/>
    <w:rsid w:val="00BF1E1D"/>
    <w:rsid w:val="00BF231C"/>
    <w:rsid w:val="00BF2A34"/>
    <w:rsid w:val="00BF2AF6"/>
    <w:rsid w:val="00BF42A4"/>
    <w:rsid w:val="00BF517A"/>
    <w:rsid w:val="00BF51E5"/>
    <w:rsid w:val="00BF74A6"/>
    <w:rsid w:val="00C013AD"/>
    <w:rsid w:val="00C04904"/>
    <w:rsid w:val="00C056B3"/>
    <w:rsid w:val="00C06B90"/>
    <w:rsid w:val="00C103E5"/>
    <w:rsid w:val="00C13319"/>
    <w:rsid w:val="00C13EE9"/>
    <w:rsid w:val="00C140A4"/>
    <w:rsid w:val="00C21540"/>
    <w:rsid w:val="00C21906"/>
    <w:rsid w:val="00C21BFA"/>
    <w:rsid w:val="00C227B9"/>
    <w:rsid w:val="00C24C8D"/>
    <w:rsid w:val="00C25FE2"/>
    <w:rsid w:val="00C26B53"/>
    <w:rsid w:val="00C279B2"/>
    <w:rsid w:val="00C33E50"/>
    <w:rsid w:val="00C3448E"/>
    <w:rsid w:val="00C34C20"/>
    <w:rsid w:val="00C35A3E"/>
    <w:rsid w:val="00C42130"/>
    <w:rsid w:val="00C423A4"/>
    <w:rsid w:val="00C423E3"/>
    <w:rsid w:val="00C42918"/>
    <w:rsid w:val="00C44BF5"/>
    <w:rsid w:val="00C521D6"/>
    <w:rsid w:val="00C55232"/>
    <w:rsid w:val="00C553A4"/>
    <w:rsid w:val="00C55A06"/>
    <w:rsid w:val="00C55D03"/>
    <w:rsid w:val="00C57E0D"/>
    <w:rsid w:val="00C601BC"/>
    <w:rsid w:val="00C62C2D"/>
    <w:rsid w:val="00C6329F"/>
    <w:rsid w:val="00C63340"/>
    <w:rsid w:val="00C643F9"/>
    <w:rsid w:val="00C64E95"/>
    <w:rsid w:val="00C71372"/>
    <w:rsid w:val="00C72410"/>
    <w:rsid w:val="00C7287F"/>
    <w:rsid w:val="00C74474"/>
    <w:rsid w:val="00C75882"/>
    <w:rsid w:val="00C77EDA"/>
    <w:rsid w:val="00C80CB8"/>
    <w:rsid w:val="00C80EF5"/>
    <w:rsid w:val="00C81272"/>
    <w:rsid w:val="00C819F8"/>
    <w:rsid w:val="00C8248C"/>
    <w:rsid w:val="00C84E33"/>
    <w:rsid w:val="00C86D6F"/>
    <w:rsid w:val="00C905FC"/>
    <w:rsid w:val="00C91BAF"/>
    <w:rsid w:val="00C92D03"/>
    <w:rsid w:val="00C9319C"/>
    <w:rsid w:val="00C9435D"/>
    <w:rsid w:val="00C94DF2"/>
    <w:rsid w:val="00C9652C"/>
    <w:rsid w:val="00C96741"/>
    <w:rsid w:val="00CA20DE"/>
    <w:rsid w:val="00CA2BB6"/>
    <w:rsid w:val="00CA2D1B"/>
    <w:rsid w:val="00CA375D"/>
    <w:rsid w:val="00CA48FC"/>
    <w:rsid w:val="00CA662A"/>
    <w:rsid w:val="00CA7AFD"/>
    <w:rsid w:val="00CA7C3C"/>
    <w:rsid w:val="00CB0189"/>
    <w:rsid w:val="00CB0BA2"/>
    <w:rsid w:val="00CB1795"/>
    <w:rsid w:val="00CB1A42"/>
    <w:rsid w:val="00CB1B0C"/>
    <w:rsid w:val="00CB1D0F"/>
    <w:rsid w:val="00CB2C0B"/>
    <w:rsid w:val="00CB517D"/>
    <w:rsid w:val="00CC038D"/>
    <w:rsid w:val="00CC08DB"/>
    <w:rsid w:val="00CC2B92"/>
    <w:rsid w:val="00CC39FF"/>
    <w:rsid w:val="00CC3C2F"/>
    <w:rsid w:val="00CC4788"/>
    <w:rsid w:val="00CC4AC8"/>
    <w:rsid w:val="00CC5233"/>
    <w:rsid w:val="00CC53F4"/>
    <w:rsid w:val="00CC5DE6"/>
    <w:rsid w:val="00CC6E4E"/>
    <w:rsid w:val="00CC6FE8"/>
    <w:rsid w:val="00CC7202"/>
    <w:rsid w:val="00CD2808"/>
    <w:rsid w:val="00CD28BF"/>
    <w:rsid w:val="00CD4092"/>
    <w:rsid w:val="00CD4A20"/>
    <w:rsid w:val="00CD50A1"/>
    <w:rsid w:val="00CD519E"/>
    <w:rsid w:val="00CD74D6"/>
    <w:rsid w:val="00CE0C4F"/>
    <w:rsid w:val="00CE30EA"/>
    <w:rsid w:val="00CF048A"/>
    <w:rsid w:val="00CF155A"/>
    <w:rsid w:val="00CF2947"/>
    <w:rsid w:val="00CF3C0D"/>
    <w:rsid w:val="00CF58A2"/>
    <w:rsid w:val="00CF686F"/>
    <w:rsid w:val="00CF6E60"/>
    <w:rsid w:val="00CF7BCA"/>
    <w:rsid w:val="00D008FD"/>
    <w:rsid w:val="00D01CE4"/>
    <w:rsid w:val="00D0321C"/>
    <w:rsid w:val="00D035EC"/>
    <w:rsid w:val="00D04861"/>
    <w:rsid w:val="00D0613E"/>
    <w:rsid w:val="00D06AB1"/>
    <w:rsid w:val="00D06FC1"/>
    <w:rsid w:val="00D072ED"/>
    <w:rsid w:val="00D076F7"/>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44AB"/>
    <w:rsid w:val="00D352A2"/>
    <w:rsid w:val="00D37174"/>
    <w:rsid w:val="00D37C7B"/>
    <w:rsid w:val="00D4162B"/>
    <w:rsid w:val="00D41918"/>
    <w:rsid w:val="00D425A4"/>
    <w:rsid w:val="00D4514F"/>
    <w:rsid w:val="00D451E2"/>
    <w:rsid w:val="00D45E89"/>
    <w:rsid w:val="00D45E8D"/>
    <w:rsid w:val="00D45F03"/>
    <w:rsid w:val="00D45F2C"/>
    <w:rsid w:val="00D466AE"/>
    <w:rsid w:val="00D4734F"/>
    <w:rsid w:val="00D50643"/>
    <w:rsid w:val="00D50C72"/>
    <w:rsid w:val="00D51BF3"/>
    <w:rsid w:val="00D55495"/>
    <w:rsid w:val="00D64A4E"/>
    <w:rsid w:val="00D66846"/>
    <w:rsid w:val="00D675FB"/>
    <w:rsid w:val="00D67BD6"/>
    <w:rsid w:val="00D71CC2"/>
    <w:rsid w:val="00D71F25"/>
    <w:rsid w:val="00D72A9C"/>
    <w:rsid w:val="00D77031"/>
    <w:rsid w:val="00D84941"/>
    <w:rsid w:val="00D84FA1"/>
    <w:rsid w:val="00D851C8"/>
    <w:rsid w:val="00D851F0"/>
    <w:rsid w:val="00D86DB7"/>
    <w:rsid w:val="00D87BF5"/>
    <w:rsid w:val="00D90721"/>
    <w:rsid w:val="00D926D0"/>
    <w:rsid w:val="00D93030"/>
    <w:rsid w:val="00D9382D"/>
    <w:rsid w:val="00D93D14"/>
    <w:rsid w:val="00D950E1"/>
    <w:rsid w:val="00D952A6"/>
    <w:rsid w:val="00D97F99"/>
    <w:rsid w:val="00DA1E08"/>
    <w:rsid w:val="00DA24F8"/>
    <w:rsid w:val="00DA28E8"/>
    <w:rsid w:val="00DA38D3"/>
    <w:rsid w:val="00DA3932"/>
    <w:rsid w:val="00DA39A7"/>
    <w:rsid w:val="00DA3AFC"/>
    <w:rsid w:val="00DA4950"/>
    <w:rsid w:val="00DA64F8"/>
    <w:rsid w:val="00DA6C15"/>
    <w:rsid w:val="00DB0258"/>
    <w:rsid w:val="00DB0B63"/>
    <w:rsid w:val="00DB286E"/>
    <w:rsid w:val="00DB38EE"/>
    <w:rsid w:val="00DB46AA"/>
    <w:rsid w:val="00DB498B"/>
    <w:rsid w:val="00DB66CA"/>
    <w:rsid w:val="00DB6BCA"/>
    <w:rsid w:val="00DB6F54"/>
    <w:rsid w:val="00DB73F7"/>
    <w:rsid w:val="00DC0321"/>
    <w:rsid w:val="00DC2D2E"/>
    <w:rsid w:val="00DC3067"/>
    <w:rsid w:val="00DC370B"/>
    <w:rsid w:val="00DC5B90"/>
    <w:rsid w:val="00DD00FF"/>
    <w:rsid w:val="00DD0619"/>
    <w:rsid w:val="00DD063B"/>
    <w:rsid w:val="00DD07FB"/>
    <w:rsid w:val="00DD129C"/>
    <w:rsid w:val="00DD25C6"/>
    <w:rsid w:val="00DD4FE5"/>
    <w:rsid w:val="00DD54B0"/>
    <w:rsid w:val="00DD57EE"/>
    <w:rsid w:val="00DD6BCC"/>
    <w:rsid w:val="00DE0A4B"/>
    <w:rsid w:val="00DE124D"/>
    <w:rsid w:val="00DE2410"/>
    <w:rsid w:val="00DE2939"/>
    <w:rsid w:val="00DE6E81"/>
    <w:rsid w:val="00DE703F"/>
    <w:rsid w:val="00DE7461"/>
    <w:rsid w:val="00DE7595"/>
    <w:rsid w:val="00DF1961"/>
    <w:rsid w:val="00DF44DE"/>
    <w:rsid w:val="00E01138"/>
    <w:rsid w:val="00E02DFB"/>
    <w:rsid w:val="00E030F9"/>
    <w:rsid w:val="00E0311A"/>
    <w:rsid w:val="00E03138"/>
    <w:rsid w:val="00E04E13"/>
    <w:rsid w:val="00E06404"/>
    <w:rsid w:val="00E11A85"/>
    <w:rsid w:val="00E12495"/>
    <w:rsid w:val="00E15CCD"/>
    <w:rsid w:val="00E20126"/>
    <w:rsid w:val="00E202EF"/>
    <w:rsid w:val="00E20597"/>
    <w:rsid w:val="00E205C1"/>
    <w:rsid w:val="00E210B5"/>
    <w:rsid w:val="00E22F30"/>
    <w:rsid w:val="00E24835"/>
    <w:rsid w:val="00E2552F"/>
    <w:rsid w:val="00E26B1E"/>
    <w:rsid w:val="00E3137A"/>
    <w:rsid w:val="00E32563"/>
    <w:rsid w:val="00E32CCF"/>
    <w:rsid w:val="00E34A98"/>
    <w:rsid w:val="00E35D1E"/>
    <w:rsid w:val="00E364F9"/>
    <w:rsid w:val="00E365FA"/>
    <w:rsid w:val="00E36789"/>
    <w:rsid w:val="00E36FEE"/>
    <w:rsid w:val="00E44A83"/>
    <w:rsid w:val="00E44F43"/>
    <w:rsid w:val="00E45966"/>
    <w:rsid w:val="00E502C1"/>
    <w:rsid w:val="00E502DD"/>
    <w:rsid w:val="00E50D3A"/>
    <w:rsid w:val="00E50FD2"/>
    <w:rsid w:val="00E511ED"/>
    <w:rsid w:val="00E51387"/>
    <w:rsid w:val="00E51E68"/>
    <w:rsid w:val="00E52EFD"/>
    <w:rsid w:val="00E5408A"/>
    <w:rsid w:val="00E55624"/>
    <w:rsid w:val="00E56800"/>
    <w:rsid w:val="00E60C63"/>
    <w:rsid w:val="00E62FF9"/>
    <w:rsid w:val="00E635D6"/>
    <w:rsid w:val="00E639BC"/>
    <w:rsid w:val="00E664CC"/>
    <w:rsid w:val="00E70388"/>
    <w:rsid w:val="00E70F92"/>
    <w:rsid w:val="00E730EF"/>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1CD"/>
    <w:rsid w:val="00E934D1"/>
    <w:rsid w:val="00E94AF0"/>
    <w:rsid w:val="00E95B12"/>
    <w:rsid w:val="00E95D13"/>
    <w:rsid w:val="00E95DD3"/>
    <w:rsid w:val="00E96788"/>
    <w:rsid w:val="00E969D5"/>
    <w:rsid w:val="00EA0A74"/>
    <w:rsid w:val="00EA3936"/>
    <w:rsid w:val="00EA4232"/>
    <w:rsid w:val="00EA58D1"/>
    <w:rsid w:val="00EA61BC"/>
    <w:rsid w:val="00EA681A"/>
    <w:rsid w:val="00EA735B"/>
    <w:rsid w:val="00EB1E69"/>
    <w:rsid w:val="00EB2086"/>
    <w:rsid w:val="00EB31ED"/>
    <w:rsid w:val="00EB5EDF"/>
    <w:rsid w:val="00EB60FE"/>
    <w:rsid w:val="00EB74DB"/>
    <w:rsid w:val="00EC5359"/>
    <w:rsid w:val="00EC562A"/>
    <w:rsid w:val="00EC5E1B"/>
    <w:rsid w:val="00ED067A"/>
    <w:rsid w:val="00ED2B50"/>
    <w:rsid w:val="00ED6827"/>
    <w:rsid w:val="00ED75C2"/>
    <w:rsid w:val="00EE0350"/>
    <w:rsid w:val="00EE0719"/>
    <w:rsid w:val="00EE0E80"/>
    <w:rsid w:val="00EE1B76"/>
    <w:rsid w:val="00EE45BA"/>
    <w:rsid w:val="00EE4A8B"/>
    <w:rsid w:val="00EE613F"/>
    <w:rsid w:val="00EE7295"/>
    <w:rsid w:val="00EE7869"/>
    <w:rsid w:val="00EF054A"/>
    <w:rsid w:val="00EF1749"/>
    <w:rsid w:val="00EF2A88"/>
    <w:rsid w:val="00EF3235"/>
    <w:rsid w:val="00EF7076"/>
    <w:rsid w:val="00EF7E72"/>
    <w:rsid w:val="00F004E1"/>
    <w:rsid w:val="00F03D01"/>
    <w:rsid w:val="00F06D37"/>
    <w:rsid w:val="00F07B9D"/>
    <w:rsid w:val="00F11586"/>
    <w:rsid w:val="00F11706"/>
    <w:rsid w:val="00F1183B"/>
    <w:rsid w:val="00F11C9F"/>
    <w:rsid w:val="00F12263"/>
    <w:rsid w:val="00F1409D"/>
    <w:rsid w:val="00F14214"/>
    <w:rsid w:val="00F157A9"/>
    <w:rsid w:val="00F16F00"/>
    <w:rsid w:val="00F242DC"/>
    <w:rsid w:val="00F25279"/>
    <w:rsid w:val="00F25BB6"/>
    <w:rsid w:val="00F26B7E"/>
    <w:rsid w:val="00F27A3B"/>
    <w:rsid w:val="00F300F0"/>
    <w:rsid w:val="00F31C7C"/>
    <w:rsid w:val="00F32780"/>
    <w:rsid w:val="00F33817"/>
    <w:rsid w:val="00F420D5"/>
    <w:rsid w:val="00F421AB"/>
    <w:rsid w:val="00F451EA"/>
    <w:rsid w:val="00F45447"/>
    <w:rsid w:val="00F456C6"/>
    <w:rsid w:val="00F4577B"/>
    <w:rsid w:val="00F45DD5"/>
    <w:rsid w:val="00F46496"/>
    <w:rsid w:val="00F474D0"/>
    <w:rsid w:val="00F50179"/>
    <w:rsid w:val="00F515EE"/>
    <w:rsid w:val="00F56511"/>
    <w:rsid w:val="00F57530"/>
    <w:rsid w:val="00F57E02"/>
    <w:rsid w:val="00F6194E"/>
    <w:rsid w:val="00F623AC"/>
    <w:rsid w:val="00F6412A"/>
    <w:rsid w:val="00F65893"/>
    <w:rsid w:val="00F66A4A"/>
    <w:rsid w:val="00F71E22"/>
    <w:rsid w:val="00F72142"/>
    <w:rsid w:val="00F72AE7"/>
    <w:rsid w:val="00F82C73"/>
    <w:rsid w:val="00F833BA"/>
    <w:rsid w:val="00F84FD0"/>
    <w:rsid w:val="00F8530A"/>
    <w:rsid w:val="00F859A8"/>
    <w:rsid w:val="00F86D87"/>
    <w:rsid w:val="00F9108B"/>
    <w:rsid w:val="00F91349"/>
    <w:rsid w:val="00F92B98"/>
    <w:rsid w:val="00F93A8A"/>
    <w:rsid w:val="00F95248"/>
    <w:rsid w:val="00F956A9"/>
    <w:rsid w:val="00F963ED"/>
    <w:rsid w:val="00F966CF"/>
    <w:rsid w:val="00F96CAE"/>
    <w:rsid w:val="00F97C99"/>
    <w:rsid w:val="00FA043C"/>
    <w:rsid w:val="00FA142B"/>
    <w:rsid w:val="00FA2A47"/>
    <w:rsid w:val="00FA662D"/>
    <w:rsid w:val="00FA73B1"/>
    <w:rsid w:val="00FB0C5E"/>
    <w:rsid w:val="00FB0CB9"/>
    <w:rsid w:val="00FB17D3"/>
    <w:rsid w:val="00FB231D"/>
    <w:rsid w:val="00FB45F1"/>
    <w:rsid w:val="00FB4A72"/>
    <w:rsid w:val="00FB54E8"/>
    <w:rsid w:val="00FB7054"/>
    <w:rsid w:val="00FC1774"/>
    <w:rsid w:val="00FC17B7"/>
    <w:rsid w:val="00FC2CB7"/>
    <w:rsid w:val="00FC4090"/>
    <w:rsid w:val="00FC55B4"/>
    <w:rsid w:val="00FC6CFD"/>
    <w:rsid w:val="00FD00E6"/>
    <w:rsid w:val="00FD09A1"/>
    <w:rsid w:val="00FD2A7C"/>
    <w:rsid w:val="00FD59EB"/>
    <w:rsid w:val="00FD7299"/>
    <w:rsid w:val="00FE1FBE"/>
    <w:rsid w:val="00FE2837"/>
    <w:rsid w:val="00FE3901"/>
    <w:rsid w:val="00FE39D3"/>
    <w:rsid w:val="00FE4BCE"/>
    <w:rsid w:val="00FE54AE"/>
    <w:rsid w:val="00FE576A"/>
    <w:rsid w:val="00FE76F9"/>
    <w:rsid w:val="00FE7E79"/>
    <w:rsid w:val="00FF2A16"/>
    <w:rsid w:val="00FF3E7D"/>
    <w:rsid w:val="00FF5B99"/>
    <w:rsid w:val="00FF730C"/>
    <w:rsid w:val="00FF73F4"/>
    <w:rsid w:val="00FF7CE4"/>
    <w:rsid w:val="00FF7E39"/>
    <w:rsid w:val="035D332B"/>
    <w:rsid w:val="05134538"/>
    <w:rsid w:val="0A646852"/>
    <w:rsid w:val="0DD72913"/>
    <w:rsid w:val="1F1F268C"/>
    <w:rsid w:val="357F3F63"/>
    <w:rsid w:val="374421E5"/>
    <w:rsid w:val="3ED00874"/>
    <w:rsid w:val="4867497F"/>
    <w:rsid w:val="4FAB523D"/>
    <w:rsid w:val="563F3703"/>
    <w:rsid w:val="68B161D8"/>
    <w:rsid w:val="6B876C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caption"/>
    <w:basedOn w:val="1"/>
    <w:next w:val="1"/>
    <w:semiHidden/>
    <w:unhideWhenUsed/>
    <w:qFormat/>
    <w:uiPriority w:val="35"/>
    <w:pPr>
      <w:adjustRightInd/>
      <w:spacing w:line="240" w:lineRule="auto"/>
      <w:ind w:firstLine="420" w:firstLineChars="200"/>
      <w:jc w:val="left"/>
    </w:pPr>
    <w:rPr>
      <w:rFonts w:ascii="Arial" w:hAnsi="Arial" w:eastAsia="黑体"/>
      <w:sz w:val="20"/>
    </w:rPr>
  </w:style>
  <w:style w:type="paragraph" w:styleId="14">
    <w:name w:val="annotation text"/>
    <w:basedOn w:val="1"/>
    <w:link w:val="233"/>
    <w:semiHidden/>
    <w:unhideWhenUsed/>
    <w:qFormat/>
    <w:uiPriority w:val="99"/>
    <w:pPr>
      <w:adjustRightInd/>
      <w:spacing w:line="240" w:lineRule="auto"/>
      <w:ind w:firstLine="420" w:firstLineChars="200"/>
      <w:jc w:val="left"/>
    </w:pPr>
    <w:rPr>
      <w:rFonts w:ascii="Times New Roman" w:hAnsi="Times New Roman"/>
    </w:rPr>
  </w:style>
  <w:style w:type="paragraph" w:styleId="15">
    <w:name w:val="Body Text"/>
    <w:basedOn w:val="1"/>
    <w:link w:val="89"/>
    <w:qFormat/>
    <w:uiPriority w:val="99"/>
    <w:pPr>
      <w:spacing w:after="120"/>
    </w:pPr>
  </w:style>
  <w:style w:type="paragraph" w:styleId="16">
    <w:name w:val="toc 5"/>
    <w:basedOn w:val="1"/>
    <w:next w:val="1"/>
    <w:autoRedefine/>
    <w:unhideWhenUsed/>
    <w:qFormat/>
    <w:uiPriority w:val="39"/>
    <w:pPr>
      <w:ind w:left="839"/>
    </w:pPr>
    <w:rPr>
      <w:rFonts w:ascii="宋体"/>
    </w:rPr>
  </w:style>
  <w:style w:type="paragraph" w:styleId="17">
    <w:name w:val="toc 3"/>
    <w:basedOn w:val="1"/>
    <w:next w:val="1"/>
    <w:autoRedefine/>
    <w:unhideWhenUsed/>
    <w:qFormat/>
    <w:uiPriority w:val="39"/>
    <w:pPr>
      <w:spacing w:line="300" w:lineRule="exact"/>
      <w:ind w:left="420"/>
    </w:pPr>
    <w:rPr>
      <w:rFonts w:ascii="宋体"/>
    </w:rPr>
  </w:style>
  <w:style w:type="paragraph" w:styleId="18">
    <w:name w:val="Balloon Text"/>
    <w:basedOn w:val="1"/>
    <w:link w:val="48"/>
    <w:semiHidden/>
    <w:unhideWhenUsed/>
    <w:qFormat/>
    <w:uiPriority w:val="99"/>
    <w:rPr>
      <w:sz w:val="18"/>
      <w:szCs w:val="18"/>
    </w:rPr>
  </w:style>
  <w:style w:type="paragraph" w:styleId="19">
    <w:name w:val="footer"/>
    <w:basedOn w:val="1"/>
    <w:link w:val="47"/>
    <w:qFormat/>
    <w:uiPriority w:val="99"/>
    <w:pPr>
      <w:tabs>
        <w:tab w:val="center" w:pos="4153"/>
        <w:tab w:val="right" w:pos="8306"/>
      </w:tabs>
      <w:adjustRightInd/>
      <w:snapToGrid w:val="0"/>
      <w:spacing w:line="240" w:lineRule="auto"/>
      <w:jc w:val="right"/>
    </w:pPr>
    <w:rPr>
      <w:rFonts w:ascii="宋体"/>
      <w:sz w:val="18"/>
      <w:szCs w:val="18"/>
    </w:rPr>
  </w:style>
  <w:style w:type="paragraph" w:styleId="20">
    <w:name w:val="header"/>
    <w:basedOn w:val="1"/>
    <w:link w:val="46"/>
    <w:qFormat/>
    <w:uiPriority w:val="99"/>
    <w:pPr>
      <w:tabs>
        <w:tab w:val="center" w:pos="4153"/>
        <w:tab w:val="right" w:pos="8306"/>
      </w:tabs>
      <w:adjustRightInd/>
      <w:snapToGrid w:val="0"/>
      <w:jc w:val="center"/>
    </w:pPr>
    <w:rPr>
      <w:sz w:val="18"/>
      <w:szCs w:val="18"/>
    </w:rPr>
  </w:style>
  <w:style w:type="paragraph" w:styleId="21">
    <w:name w:val="toc 1"/>
    <w:basedOn w:val="1"/>
    <w:next w:val="1"/>
    <w:autoRedefine/>
    <w:unhideWhenUsed/>
    <w:qFormat/>
    <w:uiPriority w:val="39"/>
    <w:rPr>
      <w:rFonts w:ascii="宋体"/>
    </w:rPr>
  </w:style>
  <w:style w:type="paragraph" w:styleId="22">
    <w:name w:val="toc 4"/>
    <w:basedOn w:val="1"/>
    <w:next w:val="1"/>
    <w:autoRedefine/>
    <w:unhideWhenUsed/>
    <w:qFormat/>
    <w:uiPriority w:val="39"/>
    <w:pPr>
      <w:tabs>
        <w:tab w:val="right" w:leader="dot" w:pos="9344"/>
      </w:tabs>
      <w:spacing w:line="300" w:lineRule="exact"/>
      <w:ind w:left="629"/>
    </w:pPr>
    <w:rPr>
      <w:rFonts w:ascii="宋体"/>
    </w:rPr>
  </w:style>
  <w:style w:type="paragraph" w:styleId="23">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4">
    <w:name w:val="toc 6"/>
    <w:basedOn w:val="1"/>
    <w:next w:val="1"/>
    <w:autoRedefine/>
    <w:unhideWhenUsed/>
    <w:qFormat/>
    <w:uiPriority w:val="39"/>
    <w:pPr>
      <w:spacing w:line="300" w:lineRule="exact"/>
      <w:ind w:left="1049"/>
    </w:pPr>
    <w:rPr>
      <w:rFonts w:ascii="宋体"/>
    </w:rPr>
  </w:style>
  <w:style w:type="paragraph" w:styleId="25">
    <w:name w:val="table of figures"/>
    <w:basedOn w:val="1"/>
    <w:next w:val="1"/>
    <w:semiHidden/>
    <w:qFormat/>
    <w:uiPriority w:val="0"/>
    <w:pPr>
      <w:adjustRightInd/>
      <w:spacing w:line="240" w:lineRule="auto"/>
      <w:jc w:val="left"/>
    </w:pPr>
    <w:rPr>
      <w:szCs w:val="24"/>
    </w:rPr>
  </w:style>
  <w:style w:type="paragraph" w:styleId="26">
    <w:name w:val="toc 2"/>
    <w:basedOn w:val="1"/>
    <w:next w:val="1"/>
    <w:autoRedefine/>
    <w:unhideWhenUsed/>
    <w:qFormat/>
    <w:uiPriority w:val="39"/>
    <w:pPr>
      <w:tabs>
        <w:tab w:val="right" w:leader="dot" w:pos="9344"/>
      </w:tabs>
      <w:spacing w:line="300" w:lineRule="exact"/>
      <w:ind w:left="210"/>
    </w:pPr>
    <w:rPr>
      <w:rFonts w:ascii="宋体"/>
    </w:rPr>
  </w:style>
  <w:style w:type="paragraph" w:styleId="27">
    <w:name w:val="Title"/>
    <w:basedOn w:val="1"/>
    <w:link w:val="51"/>
    <w:qFormat/>
    <w:uiPriority w:val="0"/>
    <w:pPr>
      <w:spacing w:before="240" w:after="60"/>
      <w:jc w:val="center"/>
      <w:outlineLvl w:val="0"/>
    </w:pPr>
    <w:rPr>
      <w:rFonts w:ascii="Arial" w:hAnsi="Arial" w:cs="Arial"/>
      <w:b/>
      <w:bCs/>
      <w:sz w:val="32"/>
      <w:szCs w:val="32"/>
    </w:rPr>
  </w:style>
  <w:style w:type="table" w:styleId="29">
    <w:name w:val="Table Grid"/>
    <w:basedOn w:val="28"/>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semiHidden/>
    <w:unhideWhenUsed/>
    <w:qFormat/>
    <w:uiPriority w:val="99"/>
    <w:rPr>
      <w:sz w:val="21"/>
      <w:szCs w:val="21"/>
    </w:rPr>
  </w:style>
  <w:style w:type="character" w:styleId="36">
    <w:name w:val="footnote reference"/>
    <w:semiHidden/>
    <w:qFormat/>
    <w:uiPriority w:val="0"/>
    <w:rPr>
      <w:rFonts w:ascii="宋体" w:hAnsi="宋体" w:eastAsia="宋体" w:cs="Times New Roman"/>
      <w:spacing w:val="0"/>
      <w:sz w:val="18"/>
      <w:vertAlign w:val="superscript"/>
    </w:rPr>
  </w:style>
  <w:style w:type="character" w:customStyle="1" w:styleId="37">
    <w:name w:val="标题 1 字符"/>
    <w:link w:val="2"/>
    <w:qFormat/>
    <w:uiPriority w:val="0"/>
    <w:rPr>
      <w:b/>
      <w:bCs/>
      <w:kern w:val="44"/>
      <w:sz w:val="44"/>
      <w:szCs w:val="44"/>
    </w:rPr>
  </w:style>
  <w:style w:type="character" w:customStyle="1" w:styleId="38">
    <w:name w:val="标题 2 字符"/>
    <w:link w:val="3"/>
    <w:qFormat/>
    <w:uiPriority w:val="0"/>
    <w:rPr>
      <w:rFonts w:ascii="Arial" w:hAnsi="Arial" w:eastAsia="黑体"/>
      <w:b/>
      <w:bCs/>
      <w:kern w:val="2"/>
      <w:sz w:val="32"/>
      <w:szCs w:val="32"/>
    </w:rPr>
  </w:style>
  <w:style w:type="character" w:customStyle="1" w:styleId="39">
    <w:name w:val="标题 3 字符"/>
    <w:link w:val="4"/>
    <w:qFormat/>
    <w:uiPriority w:val="0"/>
    <w:rPr>
      <w:b/>
      <w:bCs/>
      <w:kern w:val="2"/>
      <w:sz w:val="32"/>
      <w:szCs w:val="32"/>
    </w:rPr>
  </w:style>
  <w:style w:type="character" w:customStyle="1" w:styleId="40">
    <w:name w:val="标题 4 字符"/>
    <w:link w:val="5"/>
    <w:qFormat/>
    <w:uiPriority w:val="0"/>
    <w:rPr>
      <w:rFonts w:ascii="Arial" w:hAnsi="Arial" w:eastAsia="黑体"/>
      <w:b/>
      <w:bCs/>
      <w:kern w:val="2"/>
      <w:sz w:val="28"/>
      <w:szCs w:val="28"/>
    </w:rPr>
  </w:style>
  <w:style w:type="character" w:customStyle="1" w:styleId="41">
    <w:name w:val="标题 5 字符"/>
    <w:link w:val="6"/>
    <w:qFormat/>
    <w:uiPriority w:val="0"/>
    <w:rPr>
      <w:b/>
      <w:bCs/>
      <w:kern w:val="2"/>
      <w:sz w:val="28"/>
      <w:szCs w:val="28"/>
    </w:rPr>
  </w:style>
  <w:style w:type="character" w:customStyle="1" w:styleId="42">
    <w:name w:val="标题 6 字符"/>
    <w:link w:val="7"/>
    <w:qFormat/>
    <w:uiPriority w:val="0"/>
    <w:rPr>
      <w:rFonts w:ascii="Arial" w:hAnsi="Arial" w:eastAsia="黑体"/>
      <w:b/>
      <w:bCs/>
      <w:kern w:val="2"/>
      <w:sz w:val="24"/>
      <w:szCs w:val="24"/>
    </w:rPr>
  </w:style>
  <w:style w:type="character" w:customStyle="1" w:styleId="43">
    <w:name w:val="标题 7 字符"/>
    <w:link w:val="8"/>
    <w:qFormat/>
    <w:uiPriority w:val="0"/>
    <w:rPr>
      <w:b/>
      <w:bCs/>
      <w:kern w:val="2"/>
      <w:sz w:val="24"/>
      <w:szCs w:val="24"/>
    </w:rPr>
  </w:style>
  <w:style w:type="character" w:customStyle="1" w:styleId="44">
    <w:name w:val="标题 8 字符"/>
    <w:link w:val="9"/>
    <w:qFormat/>
    <w:uiPriority w:val="0"/>
    <w:rPr>
      <w:rFonts w:ascii="Arial" w:hAnsi="Arial" w:eastAsia="黑体"/>
      <w:kern w:val="2"/>
      <w:sz w:val="24"/>
      <w:szCs w:val="24"/>
    </w:rPr>
  </w:style>
  <w:style w:type="character" w:customStyle="1" w:styleId="45">
    <w:name w:val="标题 9 字符"/>
    <w:link w:val="10"/>
    <w:qFormat/>
    <w:uiPriority w:val="0"/>
    <w:rPr>
      <w:rFonts w:ascii="Arial" w:hAnsi="Arial" w:eastAsia="黑体"/>
      <w:kern w:val="2"/>
      <w:sz w:val="21"/>
      <w:szCs w:val="21"/>
    </w:rPr>
  </w:style>
  <w:style w:type="character" w:customStyle="1" w:styleId="46">
    <w:name w:val="页眉 字符"/>
    <w:link w:val="20"/>
    <w:qFormat/>
    <w:uiPriority w:val="99"/>
    <w:rPr>
      <w:kern w:val="2"/>
      <w:sz w:val="18"/>
      <w:szCs w:val="18"/>
    </w:rPr>
  </w:style>
  <w:style w:type="character" w:customStyle="1" w:styleId="47">
    <w:name w:val="页脚 字符"/>
    <w:link w:val="19"/>
    <w:qFormat/>
    <w:uiPriority w:val="99"/>
    <w:rPr>
      <w:rFonts w:ascii="宋体"/>
      <w:kern w:val="2"/>
      <w:sz w:val="18"/>
      <w:szCs w:val="18"/>
    </w:rPr>
  </w:style>
  <w:style w:type="character" w:customStyle="1" w:styleId="48">
    <w:name w:val="批注框文本 字符"/>
    <w:link w:val="18"/>
    <w:semiHidden/>
    <w:qFormat/>
    <w:uiPriority w:val="99"/>
    <w:rPr>
      <w:kern w:val="2"/>
      <w:sz w:val="18"/>
      <w:szCs w:val="18"/>
    </w:rPr>
  </w:style>
  <w:style w:type="paragraph" w:styleId="49">
    <w:name w:val="Quote"/>
    <w:basedOn w:val="1"/>
    <w:next w:val="1"/>
    <w:link w:val="50"/>
    <w:qFormat/>
    <w:uiPriority w:val="29"/>
    <w:rPr>
      <w:i/>
      <w:iCs/>
      <w:color w:val="000000"/>
    </w:rPr>
  </w:style>
  <w:style w:type="character" w:customStyle="1" w:styleId="50">
    <w:name w:val="引用 字符"/>
    <w:link w:val="49"/>
    <w:qFormat/>
    <w:uiPriority w:val="29"/>
    <w:rPr>
      <w:i/>
      <w:iCs/>
      <w:color w:val="000000"/>
      <w:kern w:val="2"/>
      <w:sz w:val="21"/>
      <w:szCs w:val="21"/>
    </w:rPr>
  </w:style>
  <w:style w:type="character" w:customStyle="1" w:styleId="51">
    <w:name w:val="标题 字符"/>
    <w:link w:val="27"/>
    <w:qFormat/>
    <w:uiPriority w:val="0"/>
    <w:rPr>
      <w:rFonts w:ascii="Arial" w:hAnsi="Arial" w:cs="Arial"/>
      <w:b/>
      <w:bCs/>
      <w:kern w:val="2"/>
      <w:sz w:val="32"/>
      <w:szCs w:val="32"/>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qFormat/>
    <w:uiPriority w:val="0"/>
    <w:pPr>
      <w:spacing w:line="0" w:lineRule="atLeast"/>
    </w:pPr>
    <w:rPr>
      <w:rFonts w:ascii="黑体" w:hAnsi="宋体" w:eastAsia="黑体"/>
    </w:rPr>
  </w:style>
  <w:style w:type="paragraph" w:customStyle="1" w:styleId="58">
    <w:name w:val="标准文件_标准正文"/>
    <w:basedOn w:val="1"/>
    <w:next w:val="59"/>
    <w:qFormat/>
    <w:uiPriority w:val="0"/>
    <w:pPr>
      <w:snapToGrid w:val="0"/>
      <w:ind w:firstLine="200" w:firstLineChars="200"/>
    </w:pPr>
    <w:rPr>
      <w:kern w:val="0"/>
    </w:rPr>
  </w:style>
  <w:style w:type="paragraph" w:customStyle="1" w:styleId="59">
    <w:name w:val="标准文件_段"/>
    <w:link w:val="187"/>
    <w:qFormat/>
    <w:uiPriority w:val="0"/>
    <w:pPr>
      <w:autoSpaceDE w:val="0"/>
      <w:autoSpaceDN w:val="0"/>
      <w:ind w:firstLine="200" w:firstLineChars="200"/>
      <w:jc w:val="both"/>
    </w:pPr>
    <w:rPr>
      <w:rFonts w:ascii="Times New Roman" w:hAnsi="Times New Roman" w:eastAsia="宋体" w:cs="Times New Roman"/>
      <w:sz w:val="21"/>
      <w:lang w:val="en-US" w:eastAsia="zh-CN" w:bidi="ar-SA"/>
    </w:rPr>
  </w:style>
  <w:style w:type="paragraph" w:customStyle="1" w:styleId="60">
    <w:name w:val="标准文件_版本"/>
    <w:basedOn w:val="58"/>
    <w:qFormat/>
    <w:uiPriority w:val="0"/>
    <w:pPr>
      <w:adjustRightInd/>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kern w:val="0"/>
      <w:sz w:val="44"/>
    </w:rPr>
  </w:style>
  <w:style w:type="paragraph" w:customStyle="1" w:styleId="62">
    <w:name w:val="标准文件_标准代替"/>
    <w:basedOn w:val="1"/>
    <w:next w:val="1"/>
    <w:qFormat/>
    <w:uiPriority w:val="0"/>
    <w:pPr>
      <w:spacing w:line="310" w:lineRule="exact"/>
      <w:jc w:val="right"/>
    </w:pPr>
    <w:rPr>
      <w:rFonts w:ascii="宋体" w:hAnsi="宋体"/>
      <w:kern w:val="0"/>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qFormat/>
    <w:uiPriority w:val="0"/>
    <w:pPr>
      <w:jc w:val="left"/>
    </w:pPr>
  </w:style>
  <w:style w:type="paragraph" w:customStyle="1" w:styleId="66">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9"/>
    <w:qFormat/>
    <w:uiPriority w:val="0"/>
    <w:pPr>
      <w:numPr>
        <w:ilvl w:val="0"/>
        <w:numId w:val="3"/>
      </w:numPr>
      <w:ind w:firstLine="0" w:firstLineChars="0"/>
    </w:pPr>
  </w:style>
  <w:style w:type="paragraph" w:customStyle="1" w:styleId="71">
    <w:name w:val="标准文件_封面标准编号"/>
    <w:basedOn w:val="1"/>
    <w:next w:val="62"/>
    <w:qFormat/>
    <w:uiPriority w:val="0"/>
    <w:pPr>
      <w:spacing w:line="310" w:lineRule="exact"/>
      <w:jc w:val="right"/>
    </w:pPr>
    <w:rPr>
      <w:rFonts w:ascii="黑体" w:eastAsia="黑体"/>
      <w:kern w:val="0"/>
      <w:sz w:val="28"/>
    </w:rPr>
  </w:style>
  <w:style w:type="paragraph" w:customStyle="1" w:styleId="72">
    <w:name w:val="标准文件_封面标准分类号"/>
    <w:basedOn w:val="1"/>
    <w:qFormat/>
    <w:uiPriority w:val="0"/>
    <w:rPr>
      <w:rFonts w:ascii="黑体" w:eastAsia="黑体"/>
      <w:b/>
      <w:kern w:val="0"/>
      <w:sz w:val="28"/>
    </w:rPr>
  </w:style>
  <w:style w:type="paragraph" w:customStyle="1" w:styleId="73">
    <w:name w:val="标准文件_封面标准名称"/>
    <w:basedOn w:val="1"/>
    <w:qFormat/>
    <w:uiPriority w:val="0"/>
    <w:pPr>
      <w:spacing w:line="240" w:lineRule="auto"/>
      <w:jc w:val="center"/>
    </w:pPr>
    <w:rPr>
      <w:rFonts w:ascii="黑体" w:eastAsia="黑体"/>
      <w:kern w:val="0"/>
      <w:sz w:val="52"/>
    </w:rPr>
  </w:style>
  <w:style w:type="paragraph" w:customStyle="1" w:styleId="74">
    <w:name w:val="标准文件_封面标准英文名称"/>
    <w:basedOn w:val="1"/>
    <w:qFormat/>
    <w:uiPriority w:val="0"/>
    <w:pPr>
      <w:spacing w:line="240" w:lineRule="auto"/>
      <w:jc w:val="center"/>
    </w:pPr>
    <w:rPr>
      <w:rFonts w:ascii="黑体" w:eastAsia="黑体"/>
      <w:b/>
      <w:sz w:val="28"/>
    </w:rPr>
  </w:style>
  <w:style w:type="paragraph" w:customStyle="1" w:styleId="75">
    <w:name w:val="标准文件_封面发布日期"/>
    <w:basedOn w:val="1"/>
    <w:qFormat/>
    <w:uiPriority w:val="0"/>
    <w:pPr>
      <w:spacing w:line="310" w:lineRule="exact"/>
    </w:pPr>
    <w:rPr>
      <w:rFonts w:ascii="黑体" w:eastAsia="黑体"/>
      <w:kern w:val="0"/>
      <w:sz w:val="28"/>
    </w:rPr>
  </w:style>
  <w:style w:type="paragraph" w:customStyle="1" w:styleId="76">
    <w:name w:val="标准文件_封面密级"/>
    <w:basedOn w:val="1"/>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9"/>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9"/>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5"/>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字符"/>
    <w:link w:val="15"/>
    <w:qFormat/>
    <w:uiPriority w:val="99"/>
    <w:rPr>
      <w:kern w:val="2"/>
      <w:sz w:val="21"/>
      <w:szCs w:val="21"/>
    </w:rPr>
  </w:style>
  <w:style w:type="paragraph" w:customStyle="1" w:styleId="90">
    <w:name w:val="标准文件_附录章标题"/>
    <w:next w:val="5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qFormat/>
    <w:uiPriority w:val="0"/>
    <w:pPr>
      <w:ind w:left="488" w:leftChars="200" w:hanging="289" w:hangingChars="290"/>
    </w:pPr>
  </w:style>
  <w:style w:type="paragraph" w:customStyle="1" w:styleId="92">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qFormat/>
    <w:uiPriority w:val="0"/>
    <w:pPr>
      <w:spacing w:line="460" w:lineRule="exact"/>
      <w:ind w:left="0" w:firstLine="0"/>
    </w:pPr>
  </w:style>
  <w:style w:type="paragraph" w:customStyle="1" w:styleId="94">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5">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qFormat/>
    <w:uiPriority w:val="0"/>
    <w:pPr>
      <w:numPr>
        <w:numId w:val="10"/>
      </w:numPr>
    </w:pPr>
  </w:style>
  <w:style w:type="paragraph" w:customStyle="1" w:styleId="97">
    <w:name w:val="标准文件_三级条标题"/>
    <w:basedOn w:val="68"/>
    <w:next w:val="59"/>
    <w:qFormat/>
    <w:uiPriority w:val="0"/>
    <w:pPr>
      <w:widowControl/>
      <w:numPr>
        <w:ilvl w:val="4"/>
      </w:numPr>
      <w:outlineLvl w:val="3"/>
    </w:pPr>
  </w:style>
  <w:style w:type="character" w:customStyle="1" w:styleId="98">
    <w:name w:val="不明显参考1"/>
    <w:qFormat/>
    <w:uiPriority w:val="31"/>
    <w:rPr>
      <w:smallCaps/>
      <w:color w:val="C0504D"/>
      <w:u w:val="single"/>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2">
    <w:name w:val="脚注文本 字符"/>
    <w:link w:val="23"/>
    <w:semiHidden/>
    <w:qFormat/>
    <w:uiPriority w:val="0"/>
    <w:rPr>
      <w:rFonts w:ascii="宋体"/>
      <w:kern w:val="2"/>
      <w:sz w:val="18"/>
      <w:szCs w:val="18"/>
    </w:rPr>
  </w:style>
  <w:style w:type="paragraph" w:customStyle="1" w:styleId="103">
    <w:name w:val="标准文件_条文脚注"/>
    <w:basedOn w:val="23"/>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qFormat/>
    <w:uiPriority w:val="0"/>
    <w:pPr>
      <w:numPr>
        <w:ilvl w:val="0"/>
        <w:numId w:val="12"/>
      </w:numPr>
      <w:spacing w:line="240" w:lineRule="auto"/>
      <w:jc w:val="left"/>
    </w:pPr>
    <w:rPr>
      <w:rFonts w:ascii="宋体" w:hAnsi="宋体"/>
      <w:sz w:val="18"/>
    </w:rPr>
  </w:style>
  <w:style w:type="character" w:customStyle="1" w:styleId="105">
    <w:name w:val="标准文件_图表脚注内容"/>
    <w:qFormat/>
    <w:uiPriority w:val="0"/>
    <w:rPr>
      <w:rFonts w:ascii="宋体" w:hAnsi="宋体" w:eastAsia="宋体" w:cs="Times New Roman"/>
      <w:spacing w:val="0"/>
      <w:sz w:val="18"/>
      <w:vertAlign w:val="superscript"/>
    </w:rPr>
  </w:style>
  <w:style w:type="paragraph" w:customStyle="1" w:styleId="106">
    <w:name w:val="标准文件_五级条标题"/>
    <w:next w:val="59"/>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qFormat/>
    <w:uiPriority w:val="0"/>
    <w:pPr>
      <w:numPr>
        <w:ilvl w:val="2"/>
      </w:numPr>
      <w:spacing w:before="50" w:beforeLines="50" w:after="50" w:afterLines="50"/>
      <w:outlineLvl w:val="1"/>
    </w:pPr>
  </w:style>
  <w:style w:type="paragraph" w:customStyle="1" w:styleId="109">
    <w:name w:val="标准文件_一致程度"/>
    <w:basedOn w:val="1"/>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3">
    <w:name w:val="标准文件_英文注："/>
    <w:basedOn w:val="1"/>
    <w:next w:val="59"/>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21">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2">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qFormat/>
    <w:uiPriority w:val="0"/>
    <w:pPr>
      <w:outlineLvl w:val="4"/>
    </w:pPr>
  </w:style>
  <w:style w:type="paragraph" w:customStyle="1" w:styleId="133">
    <w:name w:val="附录四级无标题条"/>
    <w:basedOn w:val="132"/>
    <w:next w:val="59"/>
    <w:qFormat/>
    <w:uiPriority w:val="0"/>
    <w:pPr>
      <w:outlineLvl w:val="5"/>
    </w:pPr>
  </w:style>
  <w:style w:type="paragraph" w:customStyle="1" w:styleId="134">
    <w:name w:val="附录图"/>
    <w:next w:val="59"/>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qFormat/>
    <w:uiPriority w:val="0"/>
    <w:pPr>
      <w:outlineLvl w:val="6"/>
    </w:pPr>
  </w:style>
  <w:style w:type="paragraph" w:customStyle="1" w:styleId="137">
    <w:name w:val="附录性质"/>
    <w:basedOn w:val="1"/>
    <w:qFormat/>
    <w:uiPriority w:val="0"/>
    <w:pPr>
      <w:widowControl/>
      <w:adjustRightInd/>
      <w:jc w:val="center"/>
    </w:pPr>
    <w:rPr>
      <w:rFonts w:ascii="黑体" w:eastAsia="黑体"/>
    </w:rPr>
  </w:style>
  <w:style w:type="paragraph" w:customStyle="1" w:styleId="138">
    <w:name w:val="附录一级无标题条"/>
    <w:basedOn w:val="90"/>
    <w:next w:val="59"/>
    <w:qFormat/>
    <w:uiPriority w:val="0"/>
    <w:pPr>
      <w:autoSpaceDN w:val="0"/>
      <w:outlineLvl w:val="2"/>
    </w:pPr>
    <w:rPr>
      <w:rFonts w:ascii="宋体" w:hAnsi="宋体" w:eastAsia="宋体"/>
    </w:rPr>
  </w:style>
  <w:style w:type="character" w:customStyle="1" w:styleId="139">
    <w:name w:val="个人答复风格"/>
    <w:qFormat/>
    <w:uiPriority w:val="0"/>
    <w:rPr>
      <w:rFonts w:ascii="Arial" w:hAnsi="Arial" w:eastAsia="宋体" w:cs="Arial"/>
      <w:color w:val="auto"/>
      <w:spacing w:val="0"/>
      <w:sz w:val="20"/>
    </w:rPr>
  </w:style>
  <w:style w:type="character" w:customStyle="1" w:styleId="140">
    <w:name w:val="个人撰写风格"/>
    <w:qFormat/>
    <w:uiPriority w:val="0"/>
    <w:rPr>
      <w:rFonts w:ascii="Arial" w:hAnsi="Arial" w:eastAsia="宋体" w:cs="Arial"/>
      <w:color w:val="auto"/>
      <w:spacing w:val="0"/>
      <w:sz w:val="20"/>
    </w:rPr>
  </w:style>
  <w:style w:type="paragraph" w:customStyle="1" w:styleId="14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qFormat/>
    <w:uiPriority w:val="0"/>
    <w:pPr>
      <w:tabs>
        <w:tab w:val="left" w:pos="840"/>
      </w:tabs>
    </w:pPr>
  </w:style>
  <w:style w:type="paragraph" w:customStyle="1" w:styleId="14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autoRedefine/>
    <w:semiHidden/>
    <w:qFormat/>
    <w:uiPriority w:val="0"/>
    <w:pPr>
      <w:adjustRightInd/>
      <w:spacing w:line="240" w:lineRule="auto"/>
      <w:jc w:val="left"/>
    </w:pPr>
    <w:rPr>
      <w:bCs/>
      <w:iCs/>
    </w:rPr>
  </w:style>
  <w:style w:type="paragraph" w:customStyle="1" w:styleId="146">
    <w:name w:val="目录 31"/>
    <w:basedOn w:val="1"/>
    <w:next w:val="1"/>
    <w:autoRedefine/>
    <w:semiHidden/>
    <w:qFormat/>
    <w:uiPriority w:val="0"/>
    <w:pPr>
      <w:spacing w:line="240" w:lineRule="auto"/>
    </w:pPr>
    <w:rPr>
      <w:rFonts w:ascii="宋体" w:hAnsi="宋体"/>
      <w:iCs/>
    </w:rPr>
  </w:style>
  <w:style w:type="paragraph" w:customStyle="1" w:styleId="147">
    <w:name w:val="目录 41"/>
    <w:basedOn w:val="1"/>
    <w:next w:val="1"/>
    <w:autoRedefine/>
    <w:semiHidden/>
    <w:qFormat/>
    <w:uiPriority w:val="0"/>
    <w:pPr>
      <w:adjustRightInd/>
      <w:spacing w:line="240" w:lineRule="auto"/>
      <w:jc w:val="left"/>
    </w:pPr>
  </w:style>
  <w:style w:type="paragraph" w:customStyle="1" w:styleId="148">
    <w:name w:val="目录 51"/>
    <w:basedOn w:val="1"/>
    <w:next w:val="1"/>
    <w:autoRedefine/>
    <w:semiHidden/>
    <w:qFormat/>
    <w:uiPriority w:val="0"/>
    <w:pPr>
      <w:spacing w:line="240" w:lineRule="auto"/>
    </w:pPr>
    <w:rPr>
      <w:rFonts w:ascii="宋体" w:hAnsi="宋体"/>
    </w:rPr>
  </w:style>
  <w:style w:type="paragraph" w:customStyle="1" w:styleId="149">
    <w:name w:val="目录 61"/>
    <w:basedOn w:val="1"/>
    <w:next w:val="1"/>
    <w:autoRedefine/>
    <w:semiHidden/>
    <w:qFormat/>
    <w:uiPriority w:val="0"/>
    <w:pPr>
      <w:adjustRightInd/>
      <w:spacing w:line="240" w:lineRule="auto"/>
      <w:jc w:val="left"/>
    </w:pPr>
  </w:style>
  <w:style w:type="paragraph" w:customStyle="1" w:styleId="150">
    <w:name w:val="目录 71"/>
    <w:basedOn w:val="149"/>
    <w:autoRedefine/>
    <w:semiHidden/>
    <w:qFormat/>
    <w:uiPriority w:val="0"/>
    <w:pPr>
      <w:ind w:left="1260"/>
    </w:pPr>
  </w:style>
  <w:style w:type="paragraph" w:customStyle="1" w:styleId="151">
    <w:name w:val="目录 81"/>
    <w:basedOn w:val="150"/>
    <w:autoRedefine/>
    <w:semiHidden/>
    <w:qFormat/>
    <w:uiPriority w:val="0"/>
    <w:pPr>
      <w:ind w:left="1470"/>
    </w:pPr>
  </w:style>
  <w:style w:type="paragraph" w:customStyle="1" w:styleId="152">
    <w:name w:val="目录 91"/>
    <w:basedOn w:val="151"/>
    <w:autoRedefine/>
    <w:semiHidden/>
    <w:qFormat/>
    <w:uiPriority w:val="0"/>
    <w:pPr>
      <w:ind w:left="1680"/>
    </w:pPr>
  </w:style>
  <w:style w:type="paragraph" w:customStyle="1" w:styleId="15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qFormat/>
    <w:uiPriority w:val="0"/>
    <w:pPr>
      <w:framePr w:wrap="around"/>
      <w:spacing w:line="0" w:lineRule="atLeast"/>
    </w:pPr>
    <w:rPr>
      <w:rFonts w:ascii="黑体" w:eastAsia="黑体"/>
      <w:b w:val="0"/>
    </w:rPr>
  </w:style>
  <w:style w:type="paragraph" w:customStyle="1" w:styleId="155">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7">
    <w:name w:val="实施日期"/>
    <w:basedOn w:val="123"/>
    <w:qFormat/>
    <w:uiPriority w:val="0"/>
    <w:pPr>
      <w:framePr w:hSpace="0" w:wrap="around" w:xAlign="right"/>
      <w:jc w:val="right"/>
    </w:pPr>
  </w:style>
  <w:style w:type="paragraph" w:customStyle="1" w:styleId="158">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qFormat/>
    <w:uiPriority w:val="0"/>
    <w:pPr>
      <w:numPr>
        <w:ilvl w:val="6"/>
        <w:numId w:val="20"/>
      </w:numPr>
      <w:adjustRightInd/>
    </w:pPr>
    <w:rPr>
      <w:szCs w:val="24"/>
    </w:rPr>
  </w:style>
  <w:style w:type="paragraph" w:customStyle="1" w:styleId="162">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3">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qFormat/>
    <w:uiPriority w:val="0"/>
    <w:pPr>
      <w:ind w:left="1406" w:leftChars="0" w:hanging="499" w:firstLineChars="0"/>
    </w:pPr>
  </w:style>
  <w:style w:type="paragraph" w:customStyle="1" w:styleId="165">
    <w:name w:val="标准文件_一级无标题"/>
    <w:basedOn w:val="108"/>
    <w:qFormat/>
    <w:uiPriority w:val="0"/>
    <w:pPr>
      <w:spacing w:before="0" w:beforeLines="0" w:after="0" w:afterLines="0"/>
      <w:outlineLvl w:val="9"/>
    </w:pPr>
    <w:rPr>
      <w:rFonts w:ascii="宋体" w:eastAsia="宋体"/>
    </w:rPr>
  </w:style>
  <w:style w:type="paragraph" w:customStyle="1" w:styleId="166">
    <w:name w:val="标准文件_五级无标题"/>
    <w:basedOn w:val="106"/>
    <w:qFormat/>
    <w:uiPriority w:val="0"/>
    <w:pPr>
      <w:spacing w:before="0" w:beforeLines="0" w:after="0" w:afterLines="0"/>
      <w:outlineLvl w:val="9"/>
    </w:pPr>
    <w:rPr>
      <w:rFonts w:ascii="宋体" w:eastAsia="宋体"/>
    </w:rPr>
  </w:style>
  <w:style w:type="paragraph" w:customStyle="1" w:styleId="167">
    <w:name w:val="标准文件_三级无标题"/>
    <w:basedOn w:val="97"/>
    <w:qFormat/>
    <w:uiPriority w:val="0"/>
    <w:pPr>
      <w:spacing w:before="0" w:beforeLines="0" w:after="0" w:afterLines="0"/>
      <w:outlineLvl w:val="9"/>
    </w:pPr>
    <w:rPr>
      <w:rFonts w:ascii="宋体" w:eastAsia="宋体"/>
    </w:rPr>
  </w:style>
  <w:style w:type="paragraph" w:customStyle="1" w:styleId="168">
    <w:name w:val="标准文件_二级无标题"/>
    <w:basedOn w:val="68"/>
    <w:qFormat/>
    <w:uiPriority w:val="0"/>
    <w:pPr>
      <w:spacing w:before="0" w:beforeLines="0" w:after="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59"/>
    <w:qFormat/>
    <w:uiPriority w:val="0"/>
    <w:pPr>
      <w:numPr>
        <w:ilvl w:val="0"/>
        <w:numId w:val="23"/>
      </w:numPr>
      <w:ind w:firstLine="0" w:firstLineChars="0"/>
    </w:pPr>
    <w:rPr>
      <w:rFonts w:cs="Arial"/>
      <w:szCs w:val="28"/>
    </w:rPr>
  </w:style>
  <w:style w:type="paragraph" w:customStyle="1" w:styleId="172">
    <w:name w:val="标准文件_小写罗马数字编号列项"/>
    <w:basedOn w:val="59"/>
    <w:qFormat/>
    <w:uiPriority w:val="0"/>
    <w:pPr>
      <w:numPr>
        <w:ilvl w:val="0"/>
        <w:numId w:val="24"/>
      </w:numPr>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qFormat/>
    <w:uiPriority w:val="0"/>
    <w:rPr>
      <w:rFonts w:ascii="宋体" w:hAnsi="Times New Roman" w:eastAsia="宋体" w:cs="Times New Roman"/>
      <w:sz w:val="21"/>
      <w:lang w:val="en-US" w:eastAsia="zh-CN" w:bidi="ar-SA"/>
    </w:rPr>
  </w:style>
  <w:style w:type="paragraph" w:customStyle="1" w:styleId="175">
    <w:name w:val="标准文件_三级项"/>
    <w:basedOn w:val="1"/>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qFormat/>
    <w:uiPriority w:val="0"/>
    <w:pPr>
      <w:numPr>
        <w:ilvl w:val="0"/>
        <w:numId w:val="25"/>
      </w:numPr>
      <w:adjustRightInd/>
      <w:spacing w:line="240" w:lineRule="auto"/>
    </w:pPr>
    <w:rPr>
      <w:rFonts w:ascii="宋体" w:hAnsi="Times New Roman"/>
      <w:sz w:val="18"/>
      <w:szCs w:val="18"/>
    </w:rPr>
  </w:style>
  <w:style w:type="paragraph" w:customStyle="1" w:styleId="177">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qFormat/>
    <w:uiPriority w:val="0"/>
    <w:rPr>
      <w:rFonts w:ascii="Times New Roman" w:hAnsi="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0"/>
    <w:semiHidden/>
    <w:qFormat/>
    <w:uiPriority w:val="99"/>
    <w:rPr>
      <w:color w:val="808080"/>
    </w:rPr>
  </w:style>
  <w:style w:type="paragraph" w:customStyle="1" w:styleId="190">
    <w:name w:val="标准文件_二级项2"/>
    <w:basedOn w:val="59"/>
    <w:qFormat/>
    <w:uiPriority w:val="0"/>
    <w:pPr>
      <w:numPr>
        <w:ilvl w:val="1"/>
        <w:numId w:val="21"/>
      </w:numPr>
      <w:ind w:firstLine="0" w:firstLineChars="0"/>
    </w:pPr>
  </w:style>
  <w:style w:type="paragraph" w:customStyle="1" w:styleId="191">
    <w:name w:val="标准文件_三级项2"/>
    <w:basedOn w:val="59"/>
    <w:qFormat/>
    <w:uiPriority w:val="0"/>
    <w:pPr>
      <w:numPr>
        <w:ilvl w:val="0"/>
        <w:numId w:val="30"/>
      </w:numPr>
      <w:spacing w:line="300" w:lineRule="exact"/>
      <w:ind w:firstLineChars="0"/>
    </w:pPr>
  </w:style>
  <w:style w:type="paragraph" w:customStyle="1" w:styleId="192">
    <w:name w:val="标准文件_一级项2"/>
    <w:basedOn w:val="59"/>
    <w:qFormat/>
    <w:uiPriority w:val="0"/>
    <w:pPr>
      <w:numPr>
        <w:ilvl w:val="0"/>
        <w:numId w:val="31"/>
      </w:numPr>
      <w:spacing w:line="300" w:lineRule="exact"/>
      <w:ind w:firstLineChars="0"/>
    </w:p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30"/>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qFormat/>
    <w:uiPriority w:val="0"/>
    <w:pPr>
      <w:framePr w:w="3997" w:h="471" w:hRule="exact" w:hSpace="0" w:vSpace="181" w:wrap="around" w:vAnchor="page" w:hAnchor="page" w:x="1419" w:y="14097"/>
    </w:pPr>
  </w:style>
  <w:style w:type="paragraph" w:customStyle="1" w:styleId="197">
    <w:name w:val="其他实施日期"/>
    <w:basedOn w:val="157"/>
    <w:qFormat/>
    <w:uiPriority w:val="0"/>
    <w:pPr>
      <w:framePr w:w="3997" w:h="471" w:hRule="exact" w:vSpace="181" w:wrap="around" w:vAnchor="page" w:hAnchor="page" w:x="7089" w:y="14097"/>
    </w:pPr>
  </w:style>
  <w:style w:type="paragraph" w:customStyle="1" w:styleId="198">
    <w:name w:val="标准文件_文件编号"/>
    <w:basedOn w:val="59"/>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spacing w:before="57"/>
    </w:pPr>
    <w:rPr>
      <w:sz w:val="21"/>
    </w:rPr>
  </w:style>
  <w:style w:type="paragraph" w:customStyle="1" w:styleId="200">
    <w:name w:val="标准文件_文件名称"/>
    <w:basedOn w:val="59"/>
    <w:next w:val="59"/>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qFormat/>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59"/>
    <w:qFormat/>
    <w:uiPriority w:val="0"/>
    <w:pPr>
      <w:spacing w:before="0" w:beforeLines="0" w:after="0" w:afterLines="0" w:line="276" w:lineRule="auto"/>
    </w:pPr>
    <w:rPr>
      <w:rFonts w:ascii="宋体" w:eastAsia="宋体"/>
    </w:rPr>
  </w:style>
  <w:style w:type="paragraph" w:customStyle="1" w:styleId="221">
    <w:name w:val="标准文件_引言三级无标题"/>
    <w:basedOn w:val="205"/>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59"/>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59"/>
    <w:qFormat/>
    <w:uiPriority w:val="0"/>
    <w:pPr>
      <w:spacing w:before="0" w:beforeLines="0" w:after="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qFormat/>
    <w:uiPriority w:val="0"/>
    <w:rPr>
      <w:rFonts w:ascii="黑体" w:eastAsia="黑体"/>
      <w:spacing w:val="85"/>
      <w:w w:val="100"/>
      <w:position w:val="3"/>
      <w:sz w:val="28"/>
      <w:szCs w:val="28"/>
    </w:rPr>
  </w:style>
  <w:style w:type="character" w:customStyle="1" w:styleId="233">
    <w:name w:val="批注文字 字符"/>
    <w:basedOn w:val="30"/>
    <w:link w:val="14"/>
    <w:semiHidden/>
    <w:qFormat/>
    <w:uiPriority w:val="99"/>
    <w:rPr>
      <w:rFonts w:ascii="Times New Roman" w:hAnsi="Times New Roman"/>
      <w:kern w:val="2"/>
      <w:sz w:val="21"/>
      <w:szCs w:val="21"/>
    </w:rPr>
  </w:style>
  <w:style w:type="table" w:customStyle="1" w:styleId="234">
    <w:name w:val="网格型1"/>
    <w:basedOn w:val="28"/>
    <w:qFormat/>
    <w:uiPriority w:val="0"/>
    <w:rPr>
      <w:rFonts w:ascii="宋体" w:hAnsi="Times New Roman"/>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35">
    <w:name w:val="正文首行缩进1"/>
    <w:basedOn w:val="15"/>
    <w:qFormat/>
    <w:uiPriority w:val="0"/>
    <w:pPr>
      <w:widowControl/>
      <w:kinsoku w:val="0"/>
      <w:autoSpaceDE w:val="0"/>
      <w:autoSpaceDN w:val="0"/>
      <w:snapToGrid w:val="0"/>
      <w:spacing w:after="0" w:line="240" w:lineRule="auto"/>
      <w:ind w:firstLine="420" w:firstLineChars="100"/>
      <w:jc w:val="left"/>
      <w:textAlignment w:val="baseline"/>
    </w:pPr>
    <w:rPr>
      <w:rFonts w:ascii="宋体" w:hAnsi="宋体" w:cs="宋体"/>
      <w:color w:val="000000"/>
      <w:kern w:val="0"/>
      <w:sz w:val="19"/>
      <w:szCs w:val="19"/>
    </w:rPr>
  </w:style>
  <w:style w:type="paragraph" w:customStyle="1" w:styleId="236">
    <w:name w:val="Table Text"/>
    <w:basedOn w:val="1"/>
    <w:semiHidden/>
    <w:qFormat/>
    <w:uiPriority w:val="0"/>
    <w:pPr>
      <w:widowControl/>
      <w:kinsoku w:val="0"/>
      <w:autoSpaceDE w:val="0"/>
      <w:autoSpaceDN w:val="0"/>
      <w:snapToGrid w:val="0"/>
      <w:spacing w:line="240" w:lineRule="auto"/>
      <w:jc w:val="left"/>
      <w:textAlignment w:val="baseline"/>
    </w:pPr>
    <w:rPr>
      <w:rFonts w:ascii="Arial" w:hAnsi="Arial" w:cs="Arial"/>
      <w:color w:val="000000"/>
      <w:kern w:val="0"/>
    </w:rPr>
  </w:style>
  <w:style w:type="table" w:customStyle="1" w:styleId="237">
    <w:name w:val="网格型2"/>
    <w:basedOn w:val="28"/>
    <w:qFormat/>
    <w:uiPriority w:val="99"/>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
    <w:name w:val="网格型3"/>
    <w:basedOn w:val="28"/>
    <w:qFormat/>
    <w:uiPriority w:val="99"/>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jpe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6631;&#20934;\StandardEditor\template\&#22242;&#20307;&#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F6B003AFEFA7413FA94435240E86FD21"/>
        <w:style w:val=""/>
        <w:category>
          <w:name w:val="常规"/>
          <w:gallery w:val="placeholder"/>
        </w:category>
        <w:types>
          <w:type w:val="bbPlcHdr"/>
        </w:types>
        <w:behaviors>
          <w:behavior w:val="content"/>
        </w:behaviors>
        <w:description w:val=""/>
        <w:guid w:val="{02A983BE-19B0-40BD-A79C-7107F0D1EA0D}"/>
      </w:docPartPr>
      <w:docPartBody>
        <w:p w14:paraId="0DCC9C2B">
          <w:pPr>
            <w:pStyle w:val="5"/>
            <w:rPr>
              <w:rFonts w:hint="eastAsia"/>
            </w:rPr>
          </w:pPr>
          <w:r>
            <w:rPr>
              <w:rStyle w:val="4"/>
              <w:rFonts w:hint="eastAsia"/>
            </w:rPr>
            <w:t>单击或点击此处输入文字。</w:t>
          </w:r>
        </w:p>
      </w:docPartBody>
    </w:docPart>
    <w:docPart>
      <w:docPartPr>
        <w:name w:val="4CD6BDB533CC493E942EFEE363E65A5B"/>
        <w:style w:val=""/>
        <w:category>
          <w:name w:val="常规"/>
          <w:gallery w:val="placeholder"/>
        </w:category>
        <w:types>
          <w:type w:val="bbPlcHdr"/>
        </w:types>
        <w:behaviors>
          <w:behavior w:val="content"/>
        </w:behaviors>
        <w:description w:val=""/>
        <w:guid w:val="{07687726-EB4B-4173-BFF7-3F6A241C7D6E}"/>
      </w:docPartPr>
      <w:docPartBody>
        <w:p w14:paraId="613DC2B4">
          <w:pPr>
            <w:pStyle w:val="6"/>
            <w:rPr>
              <w:rFonts w:hint="eastAsia"/>
            </w:rPr>
          </w:pPr>
          <w:r>
            <w:rPr>
              <w:rStyle w:val="4"/>
              <w:rFonts w:hint="eastAsia"/>
            </w:rPr>
            <w:t>选择一项。</w:t>
          </w:r>
        </w:p>
      </w:docPartBody>
    </w:docPart>
    <w:docPart>
      <w:docPartPr>
        <w:name w:val="7C791E9776CF44D287A6834D8C2C43FC"/>
        <w:style w:val=""/>
        <w:category>
          <w:name w:val="常规"/>
          <w:gallery w:val="placeholder"/>
        </w:category>
        <w:types>
          <w:type w:val="bbPlcHdr"/>
        </w:types>
        <w:behaviors>
          <w:behavior w:val="content"/>
        </w:behaviors>
        <w:description w:val=""/>
        <w:guid w:val="{66B718B9-8317-449D-BDE9-B01D27A968F4}"/>
      </w:docPartPr>
      <w:docPartBody>
        <w:p w14:paraId="517D7D2C">
          <w:pPr>
            <w:pStyle w:val="7"/>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764F"/>
    <w:rsid w:val="00005AE2"/>
    <w:rsid w:val="000A3922"/>
    <w:rsid w:val="000C78FF"/>
    <w:rsid w:val="000E5EBE"/>
    <w:rsid w:val="00121F28"/>
    <w:rsid w:val="00157C8E"/>
    <w:rsid w:val="001974AD"/>
    <w:rsid w:val="001F4B36"/>
    <w:rsid w:val="00212475"/>
    <w:rsid w:val="00383BA3"/>
    <w:rsid w:val="003C0853"/>
    <w:rsid w:val="00514D60"/>
    <w:rsid w:val="0071392D"/>
    <w:rsid w:val="00782B20"/>
    <w:rsid w:val="00786B61"/>
    <w:rsid w:val="008D7541"/>
    <w:rsid w:val="009112DA"/>
    <w:rsid w:val="0093764F"/>
    <w:rsid w:val="00956316"/>
    <w:rsid w:val="009A315F"/>
    <w:rsid w:val="00A3221E"/>
    <w:rsid w:val="00A81F56"/>
    <w:rsid w:val="00B618F0"/>
    <w:rsid w:val="00BD6DFC"/>
    <w:rsid w:val="00C57E0D"/>
    <w:rsid w:val="00D37C7B"/>
    <w:rsid w:val="00ED6827"/>
    <w:rsid w:val="00F004E1"/>
    <w:rsid w:val="00F073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F6B003AFEFA7413FA94435240E86FD21"/>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4CD6BDB533CC493E942EFEE363E65A5B"/>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7C791E9776CF44D287A6834D8C2C43FC"/>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Template>
  <Pages>24</Pages>
  <Words>6012</Words>
  <Characters>6759</Characters>
  <Lines>129</Lines>
  <Paragraphs>36</Paragraphs>
  <TotalTime>0</TotalTime>
  <ScaleCrop>false</ScaleCrop>
  <LinksUpToDate>false</LinksUpToDate>
  <CharactersWithSpaces>6995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2026-03-06T07:05:00Z</dcterms:created>
  <dc:creator>jiada</dc:creator>
  <cp:lastModifiedBy>王嵩</cp:lastModifiedBy>
  <cp:lastPrinted>2021-02-02T08:22:00Z</cp:lastPrinted>
  <dcterms:modified xsi:type="dcterms:W3CDTF">2026-04-23T08:09:29Z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eyJoZGlkIjoiNDYyNGFiOWVjNmUyNDJkMjQ4ZjU3YWM4YTY1MmJjYzMiLCJ1c2VySWQiOiIxNTgwMzA1OTc1In0=</vt:lpwstr>
  </property>
  <property fmtid="{D5CDD505-2E9C-101B-9397-08002B2CF9AE}" pid="15" name="KSOProductBuildVer">
    <vt:lpwstr>2052-12.1.0.25865</vt:lpwstr>
  </property>
  <property fmtid="{D5CDD505-2E9C-101B-9397-08002B2CF9AE}" pid="16" name="ICV">
    <vt:lpwstr>B50B509621C84FD28A96D2CA86701674_13</vt:lpwstr>
  </property>
</Properties>
</file>