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1E1F32F">
      <w:pPr>
        <w:ind w:firstLine="0" w:firstLineChars="0"/>
        <w:jc w:val="left"/>
        <w:rPr>
          <w:rFonts w:hint="eastAsia" w:ascii="黑体" w:hAnsi="黑体" w:eastAsia="黑体" w:cs="黑体"/>
          <w:sz w:val="32"/>
          <w:szCs w:val="32"/>
          <w:lang w:eastAsia="zh-CN"/>
        </w:rPr>
      </w:pPr>
      <w:bookmarkStart w:id="0" w:name="_Toc4246"/>
      <w:r>
        <w:rPr>
          <w:rFonts w:hint="eastAsia" w:ascii="黑体" w:hAnsi="黑体" w:eastAsia="黑体" w:cs="黑体"/>
          <w:sz w:val="32"/>
          <w:szCs w:val="32"/>
        </w:rPr>
        <w:t>附件</w:t>
      </w:r>
      <w:r>
        <w:rPr>
          <w:rFonts w:hint="eastAsia" w:ascii="黑体" w:hAnsi="黑体" w:eastAsia="黑体" w:cs="黑体"/>
          <w:sz w:val="32"/>
          <w:szCs w:val="32"/>
          <w:lang w:val="en-US" w:eastAsia="zh-CN"/>
        </w:rPr>
        <w:t>2</w:t>
      </w:r>
      <w:bookmarkStart w:id="20" w:name="_GoBack"/>
      <w:bookmarkEnd w:id="20"/>
    </w:p>
    <w:p w14:paraId="06057E49">
      <w:pPr>
        <w:ind w:firstLine="0" w:firstLineChars="0"/>
        <w:jc w:val="center"/>
        <w:rPr>
          <w:rFonts w:hint="eastAsia" w:ascii="方正小标宋_GBK" w:hAnsi="方正小标宋_GBK" w:eastAsia="方正小标宋_GBK" w:cs="方正小标宋_GBK"/>
          <w:sz w:val="44"/>
          <w:szCs w:val="44"/>
        </w:rPr>
      </w:pPr>
      <w:r>
        <w:rPr>
          <w:rFonts w:hint="eastAsia" w:ascii="方正小标宋_GBK" w:hAnsi="方正小标宋_GBK" w:eastAsia="方正小标宋_GBK" w:cs="方正小标宋_GBK"/>
          <w:sz w:val="44"/>
          <w:szCs w:val="44"/>
        </w:rPr>
        <w:t>中国电力建设企业协会团体标准</w:t>
      </w:r>
    </w:p>
    <w:p w14:paraId="3E10F3A8">
      <w:pPr>
        <w:ind w:firstLine="0" w:firstLineChars="0"/>
        <w:jc w:val="center"/>
        <w:rPr>
          <w:rFonts w:hint="eastAsia" w:ascii="方正小标宋_GBK" w:hAnsi="方正小标宋_GBK" w:eastAsia="方正小标宋_GBK" w:cs="方正小标宋_GBK"/>
          <w:sz w:val="44"/>
          <w:szCs w:val="44"/>
        </w:rPr>
      </w:pPr>
      <w:r>
        <w:rPr>
          <w:rFonts w:hint="eastAsia" w:ascii="方正小标宋_GBK" w:hAnsi="方正小标宋_GBK" w:eastAsia="方正小标宋_GBK" w:cs="方正小标宋_GBK"/>
          <w:sz w:val="44"/>
          <w:szCs w:val="44"/>
        </w:rPr>
        <w:t>《</w:t>
      </w:r>
      <w:r>
        <w:rPr>
          <w:rFonts w:hint="eastAsia" w:ascii="方正小标宋_GBK" w:hAnsi="方正小标宋_GBK" w:eastAsia="方正小标宋_GBK" w:cs="方正小标宋_GBK"/>
          <w:sz w:val="44"/>
          <w:szCs w:val="44"/>
          <w:lang w:eastAsia="zh-CN"/>
        </w:rPr>
        <w:t>电力钢结构涂镀锌施工及验收规范</w:t>
      </w:r>
      <w:r>
        <w:rPr>
          <w:rFonts w:hint="eastAsia" w:ascii="方正小标宋_GBK" w:hAnsi="方正小标宋_GBK" w:eastAsia="方正小标宋_GBK" w:cs="方正小标宋_GBK"/>
          <w:sz w:val="44"/>
          <w:szCs w:val="44"/>
        </w:rPr>
        <w:t>》</w:t>
      </w:r>
    </w:p>
    <w:p w14:paraId="3595944C">
      <w:pPr>
        <w:ind w:firstLine="0" w:firstLineChars="0"/>
        <w:jc w:val="center"/>
        <w:rPr>
          <w:rFonts w:hint="eastAsia" w:ascii="方正小标宋_GBK" w:hAnsi="方正小标宋_GBK" w:eastAsia="方正小标宋_GBK" w:cs="方正小标宋_GBK"/>
          <w:sz w:val="44"/>
          <w:szCs w:val="44"/>
        </w:rPr>
      </w:pPr>
      <w:r>
        <w:rPr>
          <w:rFonts w:hint="eastAsia" w:ascii="方正小标宋_GBK" w:hAnsi="方正小标宋_GBK" w:eastAsia="方正小标宋_GBK" w:cs="方正小标宋_GBK"/>
          <w:sz w:val="44"/>
          <w:szCs w:val="44"/>
        </w:rPr>
        <w:t>编制说明</w:t>
      </w:r>
    </w:p>
    <w:p w14:paraId="79543DDF">
      <w:pPr>
        <w:pStyle w:val="2"/>
        <w:rPr>
          <w:rFonts w:cs="Times New Roman"/>
        </w:rPr>
      </w:pPr>
      <w:r>
        <w:rPr>
          <w:rFonts w:hint="eastAsia" w:cs="Times New Roman"/>
        </w:rPr>
        <w:t>工作简况</w:t>
      </w:r>
      <w:bookmarkEnd w:id="0"/>
    </w:p>
    <w:p w14:paraId="5DA2006B">
      <w:pPr>
        <w:pStyle w:val="3"/>
      </w:pPr>
      <w:bookmarkStart w:id="1" w:name="_Toc28169"/>
      <w:r>
        <w:rPr>
          <w:rFonts w:hint="eastAsia" w:cs="Times New Roman"/>
        </w:rPr>
        <w:t>任务来源</w:t>
      </w:r>
      <w:bookmarkEnd w:id="1"/>
    </w:p>
    <w:p w14:paraId="15E7817E">
      <w:pPr>
        <w:widowControl/>
        <w:ind w:firstLine="560"/>
        <w:jc w:val="left"/>
        <w:rPr>
          <w:rFonts w:hint="eastAsia" w:eastAsia="仿宋_GB2312" w:cs="Times New Roman"/>
          <w:lang w:eastAsia="zh-CN"/>
        </w:rPr>
      </w:pPr>
      <w:r>
        <w:rPr>
          <w:rFonts w:hint="eastAsia" w:cs="Times New Roman"/>
        </w:rPr>
        <w:t>根据中国电力建设企业协会《关于印发202</w:t>
      </w:r>
      <w:r>
        <w:rPr>
          <w:rFonts w:hint="eastAsia" w:cs="Times New Roman"/>
          <w:lang w:val="en-US" w:eastAsia="zh-CN"/>
        </w:rPr>
        <w:t>5</w:t>
      </w:r>
      <w:r>
        <w:rPr>
          <w:rFonts w:hint="eastAsia" w:cs="Times New Roman"/>
        </w:rPr>
        <w:t>年第</w:t>
      </w:r>
      <w:r>
        <w:rPr>
          <w:rFonts w:hint="eastAsia" w:cs="Times New Roman"/>
          <w:lang w:eastAsia="zh-CN"/>
        </w:rPr>
        <w:t>一</w:t>
      </w:r>
      <w:r>
        <w:rPr>
          <w:rFonts w:hint="eastAsia" w:cs="Times New Roman"/>
        </w:rPr>
        <w:t>批中国电力建设企业协会标准制定计划的通知》（中电建协〔202</w:t>
      </w:r>
      <w:r>
        <w:rPr>
          <w:rFonts w:hint="eastAsia" w:cs="Times New Roman"/>
          <w:lang w:val="en-US" w:eastAsia="zh-CN"/>
        </w:rPr>
        <w:t>5</w:t>
      </w:r>
      <w:r>
        <w:rPr>
          <w:rFonts w:hint="eastAsia" w:cs="Times New Roman"/>
        </w:rPr>
        <w:t>〕</w:t>
      </w:r>
      <w:r>
        <w:rPr>
          <w:rFonts w:hint="eastAsia" w:cs="Times New Roman"/>
          <w:lang w:val="en-US" w:eastAsia="zh-CN"/>
        </w:rPr>
        <w:t>131</w:t>
      </w:r>
      <w:r>
        <w:rPr>
          <w:rFonts w:hint="eastAsia" w:cs="Times New Roman"/>
        </w:rPr>
        <w:t>号），中国电力建设企业协会标准化管理委员会表决通过</w:t>
      </w:r>
      <w:r>
        <w:rPr>
          <w:rFonts w:hint="eastAsia" w:cs="Times New Roman"/>
          <w:lang w:val="en-US" w:eastAsia="zh-CN"/>
        </w:rPr>
        <w:t>2025</w:t>
      </w:r>
      <w:r>
        <w:rPr>
          <w:rFonts w:hint="eastAsia" w:cs="Times New Roman"/>
        </w:rPr>
        <w:t>年第</w:t>
      </w:r>
      <w:r>
        <w:rPr>
          <w:rFonts w:hint="eastAsia" w:cs="Times New Roman"/>
          <w:lang w:eastAsia="zh-CN"/>
        </w:rPr>
        <w:t>一</w:t>
      </w:r>
      <w:r>
        <w:rPr>
          <w:rFonts w:hint="eastAsia" w:cs="Times New Roman"/>
        </w:rPr>
        <w:t>批中国电力建设企业协会团体标准制定计划，《</w:t>
      </w:r>
      <w:r>
        <w:rPr>
          <w:rFonts w:hint="eastAsia" w:cs="Times New Roman"/>
          <w:lang w:eastAsia="zh-CN"/>
        </w:rPr>
        <w:t>电力钢结构涂镀锌防腐涂装施工及验收规范</w:t>
      </w:r>
      <w:r>
        <w:rPr>
          <w:rFonts w:hint="eastAsia" w:cs="Times New Roman"/>
        </w:rPr>
        <w:t>》（计划编号：</w:t>
      </w:r>
      <w:r>
        <w:rPr>
          <w:spacing w:val="-1"/>
        </w:rPr>
        <w:t>T/CEPCA 202510</w:t>
      </w:r>
      <w:r>
        <w:rPr>
          <w:rFonts w:hint="eastAsia"/>
          <w:spacing w:val="-1"/>
          <w:lang w:val="en-US" w:eastAsia="zh-CN"/>
        </w:rPr>
        <w:t>1</w:t>
      </w:r>
      <w:r>
        <w:rPr>
          <w:rFonts w:hint="eastAsia" w:cs="Times New Roman"/>
        </w:rPr>
        <w:t>）（以下简称“本标准”）由中国电力建设企业协会标准化管理委员会负责管辖，</w:t>
      </w:r>
      <w:r>
        <w:rPr>
          <w:rFonts w:hint="eastAsia" w:cs="Times New Roman"/>
          <w:lang w:eastAsia="zh-CN"/>
        </w:rPr>
        <w:t>深圳市嘉达节能环保科技有限公司</w:t>
      </w:r>
      <w:r>
        <w:rPr>
          <w:rFonts w:hint="eastAsia" w:cs="Times New Roman"/>
        </w:rPr>
        <w:t>牵头组织开展编制工作</w:t>
      </w:r>
      <w:r>
        <w:rPr>
          <w:rFonts w:hint="eastAsia" w:cs="Times New Roman"/>
          <w:lang w:eastAsia="zh-CN"/>
        </w:rPr>
        <w:t>。</w:t>
      </w:r>
    </w:p>
    <w:p w14:paraId="7828126D">
      <w:pPr>
        <w:pStyle w:val="3"/>
      </w:pPr>
      <w:r>
        <w:rPr>
          <w:rFonts w:hint="eastAsia"/>
        </w:rPr>
        <w:t>制定背景</w:t>
      </w:r>
    </w:p>
    <w:p w14:paraId="31638653">
      <w:pPr>
        <w:keepNext w:val="0"/>
        <w:keepLines w:val="0"/>
        <w:pageBreakBefore w:val="0"/>
        <w:widowControl/>
        <w:kinsoku/>
        <w:wordWrap/>
        <w:overflowPunct w:val="0"/>
        <w:topLinePunct w:val="0"/>
        <w:autoSpaceDE/>
        <w:autoSpaceDN/>
        <w:bidi w:val="0"/>
        <w:adjustRightInd w:val="0"/>
        <w:snapToGrid w:val="0"/>
        <w:ind w:firstLine="560"/>
        <w:jc w:val="left"/>
        <w:textAlignment w:val="auto"/>
        <w:rPr>
          <w:rFonts w:hint="eastAsia"/>
          <w:lang w:val="en-US" w:eastAsia="zh-CN"/>
        </w:rPr>
      </w:pPr>
      <w:r>
        <w:rPr>
          <w:rFonts w:hint="eastAsia"/>
          <w:lang w:val="en-US" w:eastAsia="zh-CN"/>
        </w:rPr>
        <w:t>在电力工程钢结构广泛应用于电站主厂房、输电塔、锅炉钢架、管道支架、冷却塔构架、烟气处理系统等核心建（构）筑物与设备支撑体系，是电力设施安全运行的关键载体。其服役环境复杂严苛：沿海区域面临高盐雾、高湿度、高氯离子侵蚀，工业区域承受SO₂、H₂S、酸性冷凝液等介质腐蚀，高温工况、昼夜温差剧变、频繁启停热循环进一步加剧涂层老化、脱落、锈蚀风险，焊缝、边角、螺栓连接面、异形构件等关键部位腐蚀问题尤为突出。</w:t>
      </w:r>
    </w:p>
    <w:p w14:paraId="7A807149">
      <w:pPr>
        <w:keepNext w:val="0"/>
        <w:keepLines w:val="0"/>
        <w:pageBreakBefore w:val="0"/>
        <w:widowControl/>
        <w:kinsoku/>
        <w:wordWrap/>
        <w:overflowPunct w:val="0"/>
        <w:topLinePunct w:val="0"/>
        <w:autoSpaceDE/>
        <w:autoSpaceDN/>
        <w:bidi w:val="0"/>
        <w:adjustRightInd w:val="0"/>
        <w:snapToGrid w:val="0"/>
        <w:ind w:firstLine="560"/>
        <w:jc w:val="left"/>
        <w:textAlignment w:val="auto"/>
        <w:rPr>
          <w:rFonts w:hint="eastAsia"/>
          <w:lang w:val="en-US" w:eastAsia="zh-CN"/>
        </w:rPr>
      </w:pPr>
      <w:r>
        <w:rPr>
          <w:rFonts w:hint="eastAsia"/>
          <w:sz w:val="28"/>
          <w:szCs w:val="28"/>
          <w:lang w:eastAsia="zh-CN"/>
        </w:rPr>
        <w:t>腐蚀不仅消耗资源，而且破坏生产、生活等许多活动的正常运行。据报道，目前全世界每年因腐蚀造成的经济损失约10000亿美元，钢铁因腐蚀而报废的数量为当年产量的25％~30％。目前我国由于金属材料和周围环境发生化学或电化学反应所带来的腐蚀损失每年大约5000亿元人民币，约占我国国民生产总值的6％左右。我国石油与天然气每年由腐蚀造成的损失约100亿元，煤炭工业每年腐蚀损失约为55．6亿元，而电力系统每年的腐蚀损失则近17亿元。涂装防腐涂料作为最有效、最经济、应用最普遍的防腐方法，受到了国内外广泛地关注和重视。由此可见，防腐涂料所居的重要地位及其广阔的发展前景。</w:t>
      </w:r>
    </w:p>
    <w:p w14:paraId="63DC5870">
      <w:pPr>
        <w:widowControl/>
        <w:ind w:firstLine="560"/>
        <w:jc w:val="left"/>
        <w:rPr>
          <w:rFonts w:hint="eastAsia"/>
        </w:rPr>
      </w:pPr>
      <w:r>
        <w:rPr>
          <w:rFonts w:hint="eastAsia"/>
          <w:lang w:val="en-US" w:eastAsia="zh-CN"/>
        </w:rPr>
        <w:t>目前，电力钢结构涂镀锌防腐涂装施工及验收主要参照《工业建筑防腐蚀设计标准》（GB/T 50046）、《钢结构工程施工质量验收标准》（GB 50205）等通用标准执行，但此类标准缺乏对电力行业钢结构涂镀锌防腐的针对性规定：一方面，不同腐蚀环境下的涂层配套体系、厚度要求未结合电力钢结构的服役特性细化，导致防腐设计针对性不足；另一方面，涂镀锌材料选型、表面处理工艺、施工操作规范、质量检验指标及验收流程等缺乏统一技术要求，造成施工过程中存在材料兼容性不佳、除锈等级不达标、涂装工艺不规范等问题，进而引发防腐涂层使用寿命缩短、维修频次增加等隐患。</w:t>
      </w:r>
    </w:p>
    <w:p w14:paraId="039E5AD9">
      <w:pPr>
        <w:widowControl/>
        <w:ind w:firstLine="560"/>
        <w:jc w:val="left"/>
        <w:rPr>
          <w:rFonts w:cs="Times New Roman"/>
        </w:rPr>
      </w:pPr>
      <w:r>
        <w:rPr>
          <w:rFonts w:hint="eastAsia"/>
          <w:lang w:val="en-US" w:eastAsia="zh-CN"/>
        </w:rPr>
        <w:t>此外，电力行业部分工程存在涂镀锌防腐施工质量参差不齐、验收标准不统一的现象，不仅导致钢结构腐蚀失效风险升高，影响电站机组安全稳定运行，还因频繁维修增加了运维成本，甚至可能引发安全事故。因此，针对电力钢结构涂镀锌防腐的技术特点和行业需求，制定专门的施工及验收规范，明确材料要求、工艺参数、检验标准及验收流程，能够有效提升涂镀锌防腐施工质量，延长电力钢结构使用寿命，降低运行维护成本，保障电力工程安全可靠运行，填补电力行业涂镀锌防腐专项标准的空白。</w:t>
      </w:r>
    </w:p>
    <w:p w14:paraId="44F67DE7">
      <w:pPr>
        <w:pStyle w:val="3"/>
      </w:pPr>
      <w:bookmarkStart w:id="2" w:name="_Toc9511"/>
      <w:r>
        <w:rPr>
          <w:rFonts w:hint="eastAsia"/>
        </w:rPr>
        <w:t>编制单位</w:t>
      </w:r>
      <w:bookmarkEnd w:id="2"/>
    </w:p>
    <w:p w14:paraId="49BC517B">
      <w:pPr>
        <w:widowControl/>
        <w:ind w:firstLine="560"/>
        <w:jc w:val="left"/>
        <w:rPr>
          <w:sz w:val="16"/>
          <w:szCs w:val="16"/>
          <w:highlight w:val="none"/>
        </w:rPr>
      </w:pPr>
      <w:r>
        <w:rPr>
          <w:rFonts w:hint="eastAsia" w:cs="Times New Roman"/>
          <w:highlight w:val="none"/>
        </w:rPr>
        <w:t>本标准主要起草单位为</w:t>
      </w:r>
      <w:r>
        <w:rPr>
          <w:rFonts w:hint="eastAsia" w:cs="Times New Roman"/>
          <w:highlight w:val="none"/>
          <w:lang w:eastAsia="zh-CN"/>
        </w:rPr>
        <w:t>深圳市嘉达节能环保科技有限公司</w:t>
      </w:r>
      <w:r>
        <w:rPr>
          <w:rFonts w:hint="eastAsia" w:cs="Times New Roman"/>
          <w:highlight w:val="none"/>
        </w:rPr>
        <w:t>，为完成团体标准编制工作，牵头单位联合</w:t>
      </w:r>
      <w:r>
        <w:rPr>
          <w:rFonts w:hint="eastAsia" w:cs="Times New Roman"/>
          <w:highlight w:val="none"/>
          <w:lang w:eastAsia="zh-CN"/>
        </w:rPr>
        <w:t>国网山东省电力公司、北京中电建科技发展集团有限责任公司、中国电建集团华东勘测设计研究院有限公司、国家能源集团海南电力有限公司、国网西藏电力有限公司、中国长江三峡集团有限公司山东分公司、国网浙江电力建设公司、中国长江三峡集团有限公司江苏分公司、中能建华南电力装备有限公司、中国电建集团海南电力设计研究院有限公司、新疆准能投资有限公司、中国能源建设集团广东省电力设计研究院有限公司、中国电建集团山东电力建设第一工程有限公司、南京龙源铁塔制造有限公司、深圳市输变电工程有限公司、广东电网能源发展有限公司、福建省东桥热电有限责任公司、中国能源建设集团广东火电工程有限公司、华能海南发电股份有限公司清洁能源分公司、石横特钢集团有限公司、国网电力工程研究院、国网福建省电力有限公司建设分公司、国网甘肃省电力公司、国能甘肃巴丹吉林煤电项目筹备处、深圳市威彦达工程监理有限公司、北京国电德胜工程项目管理有限公司、中国能源建设集团安徽电力建设第二工程有限公司</w:t>
      </w:r>
      <w:r>
        <w:rPr>
          <w:rFonts w:hint="eastAsia" w:cs="Times New Roman"/>
          <w:highlight w:val="none"/>
        </w:rPr>
        <w:t>共</w:t>
      </w:r>
      <w:r>
        <w:rPr>
          <w:rFonts w:hint="eastAsia" w:cs="Times New Roman"/>
          <w:highlight w:val="none"/>
          <w:lang w:val="en-US" w:eastAsia="zh-CN"/>
        </w:rPr>
        <w:t>28</w:t>
      </w:r>
      <w:r>
        <w:rPr>
          <w:rFonts w:hint="eastAsia" w:cs="Times New Roman"/>
          <w:highlight w:val="none"/>
        </w:rPr>
        <w:t>家单位成立标准编制组，</w:t>
      </w:r>
      <w:r>
        <w:rPr>
          <w:rFonts w:cs="Times New Roman"/>
          <w:highlight w:val="none"/>
        </w:rPr>
        <w:t>共同完成标准的起草编制工作</w:t>
      </w:r>
      <w:r>
        <w:rPr>
          <w:rFonts w:hint="eastAsia" w:cs="Times New Roman"/>
          <w:highlight w:val="none"/>
        </w:rPr>
        <w:t>。</w:t>
      </w:r>
    </w:p>
    <w:p w14:paraId="190E8687">
      <w:pPr>
        <w:pStyle w:val="3"/>
      </w:pPr>
      <w:bookmarkStart w:id="3" w:name="_Toc15641"/>
      <w:r>
        <w:rPr>
          <w:rFonts w:hint="eastAsia"/>
        </w:rPr>
        <w:t>主要工作过程</w:t>
      </w:r>
      <w:bookmarkEnd w:id="3"/>
    </w:p>
    <w:p w14:paraId="673E87A1">
      <w:pPr>
        <w:ind w:firstLine="560"/>
        <w:rPr>
          <w:highlight w:val="none"/>
        </w:rPr>
      </w:pPr>
      <w:r>
        <w:rPr>
          <w:rFonts w:hint="eastAsia"/>
          <w:highlight w:val="none"/>
        </w:rPr>
        <w:t>202</w:t>
      </w:r>
      <w:r>
        <w:rPr>
          <w:rFonts w:hint="eastAsia"/>
          <w:highlight w:val="none"/>
          <w:lang w:val="en-US" w:eastAsia="zh-CN"/>
        </w:rPr>
        <w:t>5</w:t>
      </w:r>
      <w:r>
        <w:rPr>
          <w:rFonts w:hint="eastAsia"/>
          <w:highlight w:val="none"/>
        </w:rPr>
        <w:t>年8月至</w:t>
      </w:r>
      <w:r>
        <w:rPr>
          <w:rFonts w:hint="eastAsia"/>
          <w:highlight w:val="none"/>
          <w:lang w:val="en-US" w:eastAsia="zh-CN"/>
        </w:rPr>
        <w:t>11</w:t>
      </w:r>
      <w:r>
        <w:rPr>
          <w:rFonts w:hint="eastAsia"/>
          <w:highlight w:val="none"/>
        </w:rPr>
        <w:t>月，工作组广泛收集资料，完善标准编制的方向、范围、框架及提纲；</w:t>
      </w:r>
    </w:p>
    <w:p w14:paraId="0066AB32">
      <w:pPr>
        <w:ind w:firstLine="560"/>
        <w:rPr>
          <w:highlight w:val="none"/>
        </w:rPr>
      </w:pPr>
      <w:r>
        <w:rPr>
          <w:rFonts w:hint="eastAsia"/>
          <w:highlight w:val="none"/>
        </w:rPr>
        <w:t>202</w:t>
      </w:r>
      <w:r>
        <w:rPr>
          <w:rFonts w:hint="eastAsia"/>
          <w:highlight w:val="none"/>
          <w:lang w:val="en-US" w:eastAsia="zh-CN"/>
        </w:rPr>
        <w:t>5</w:t>
      </w:r>
      <w:r>
        <w:rPr>
          <w:rFonts w:hint="eastAsia"/>
          <w:highlight w:val="none"/>
        </w:rPr>
        <w:t>年</w:t>
      </w:r>
      <w:r>
        <w:rPr>
          <w:rFonts w:hint="eastAsia"/>
          <w:highlight w:val="none"/>
          <w:lang w:val="en-US" w:eastAsia="zh-CN"/>
        </w:rPr>
        <w:t>11</w:t>
      </w:r>
      <w:r>
        <w:rPr>
          <w:rFonts w:hint="eastAsia"/>
          <w:highlight w:val="none"/>
        </w:rPr>
        <w:t>月</w:t>
      </w:r>
      <w:r>
        <w:rPr>
          <w:rFonts w:hint="eastAsia"/>
          <w:highlight w:val="none"/>
          <w:lang w:val="en-US" w:eastAsia="zh-CN"/>
        </w:rPr>
        <w:t>29</w:t>
      </w:r>
      <w:r>
        <w:rPr>
          <w:rFonts w:hint="eastAsia"/>
          <w:highlight w:val="none"/>
        </w:rPr>
        <w:t>至</w:t>
      </w:r>
      <w:r>
        <w:rPr>
          <w:rFonts w:hint="eastAsia"/>
          <w:highlight w:val="none"/>
          <w:lang w:val="en-US" w:eastAsia="zh-CN"/>
        </w:rPr>
        <w:t>30</w:t>
      </w:r>
      <w:r>
        <w:rPr>
          <w:rFonts w:hint="eastAsia"/>
          <w:highlight w:val="none"/>
        </w:rPr>
        <w:t>日，在</w:t>
      </w:r>
      <w:r>
        <w:rPr>
          <w:rFonts w:hint="eastAsia"/>
          <w:highlight w:val="none"/>
          <w:lang w:eastAsia="zh-CN"/>
        </w:rPr>
        <w:t>广东省深圳市</w:t>
      </w:r>
      <w:r>
        <w:rPr>
          <w:rFonts w:hint="eastAsia"/>
          <w:highlight w:val="none"/>
        </w:rPr>
        <w:t>组织召开标准启动会暨初稿讨论会，明确标准大纲、编制分工及后续编写工作计划；</w:t>
      </w:r>
    </w:p>
    <w:p w14:paraId="66588D30">
      <w:pPr>
        <w:ind w:firstLine="560"/>
        <w:rPr>
          <w:highlight w:val="none"/>
        </w:rPr>
      </w:pPr>
      <w:r>
        <w:rPr>
          <w:rFonts w:hint="eastAsia"/>
          <w:highlight w:val="none"/>
        </w:rPr>
        <w:t>202</w:t>
      </w:r>
      <w:r>
        <w:rPr>
          <w:rFonts w:hint="eastAsia"/>
          <w:highlight w:val="none"/>
          <w:lang w:val="en-US" w:eastAsia="zh-CN"/>
        </w:rPr>
        <w:t>6</w:t>
      </w:r>
      <w:r>
        <w:rPr>
          <w:rFonts w:hint="eastAsia"/>
          <w:highlight w:val="none"/>
        </w:rPr>
        <w:t>年</w:t>
      </w:r>
      <w:r>
        <w:rPr>
          <w:rFonts w:hint="eastAsia"/>
          <w:highlight w:val="none"/>
          <w:lang w:val="en-US" w:eastAsia="zh-CN"/>
        </w:rPr>
        <w:t>1</w:t>
      </w:r>
      <w:r>
        <w:rPr>
          <w:rFonts w:hint="eastAsia"/>
          <w:highlight w:val="none"/>
        </w:rPr>
        <w:t>月</w:t>
      </w:r>
      <w:r>
        <w:rPr>
          <w:rFonts w:hint="eastAsia"/>
          <w:highlight w:val="none"/>
          <w:lang w:val="en-US" w:eastAsia="zh-CN"/>
        </w:rPr>
        <w:t>21</w:t>
      </w:r>
      <w:r>
        <w:rPr>
          <w:rFonts w:hint="eastAsia"/>
          <w:highlight w:val="none"/>
        </w:rPr>
        <w:t>日</w:t>
      </w:r>
      <w:r>
        <w:rPr>
          <w:rFonts w:hint="eastAsia"/>
          <w:highlight w:val="none"/>
          <w:lang w:eastAsia="zh-CN"/>
        </w:rPr>
        <w:t>至</w:t>
      </w:r>
      <w:r>
        <w:rPr>
          <w:rFonts w:hint="eastAsia"/>
          <w:highlight w:val="none"/>
          <w:lang w:val="en-US" w:eastAsia="zh-CN"/>
        </w:rPr>
        <w:t>23日</w:t>
      </w:r>
      <w:r>
        <w:rPr>
          <w:rFonts w:hint="eastAsia"/>
          <w:highlight w:val="none"/>
        </w:rPr>
        <w:t>，</w:t>
      </w:r>
      <w:r>
        <w:rPr>
          <w:rFonts w:hint="eastAsia"/>
          <w:highlight w:val="none"/>
          <w:lang w:eastAsia="zh-CN"/>
        </w:rPr>
        <w:t>在广东省广州市</w:t>
      </w:r>
      <w:r>
        <w:rPr>
          <w:rFonts w:hint="eastAsia"/>
          <w:highlight w:val="none"/>
        </w:rPr>
        <w:t>组织召开</w:t>
      </w:r>
      <w:r>
        <w:rPr>
          <w:rFonts w:hint="eastAsia"/>
          <w:highlight w:val="none"/>
          <w:lang w:eastAsia="zh-CN"/>
        </w:rPr>
        <w:t>二稿</w:t>
      </w:r>
      <w:r>
        <w:rPr>
          <w:rFonts w:hint="eastAsia"/>
          <w:highlight w:val="none"/>
        </w:rPr>
        <w:t>讨论会，梳理各章节条目，进一步完善标准内容；</w:t>
      </w:r>
    </w:p>
    <w:p w14:paraId="4821CA71">
      <w:pPr>
        <w:ind w:firstLine="560"/>
        <w:rPr>
          <w:highlight w:val="none"/>
        </w:rPr>
      </w:pPr>
      <w:r>
        <w:rPr>
          <w:rFonts w:hint="eastAsia"/>
          <w:highlight w:val="none"/>
        </w:rPr>
        <w:t>202</w:t>
      </w:r>
      <w:r>
        <w:rPr>
          <w:rFonts w:hint="eastAsia"/>
          <w:highlight w:val="none"/>
          <w:lang w:val="en-US" w:eastAsia="zh-CN"/>
        </w:rPr>
        <w:t>6</w:t>
      </w:r>
      <w:r>
        <w:rPr>
          <w:rFonts w:hint="eastAsia"/>
          <w:highlight w:val="none"/>
        </w:rPr>
        <w:t>年</w:t>
      </w:r>
      <w:r>
        <w:rPr>
          <w:rFonts w:hint="eastAsia"/>
          <w:highlight w:val="none"/>
          <w:lang w:val="en-US" w:eastAsia="zh-CN"/>
        </w:rPr>
        <w:t>3</w:t>
      </w:r>
      <w:r>
        <w:rPr>
          <w:rFonts w:hint="eastAsia"/>
          <w:highlight w:val="none"/>
        </w:rPr>
        <w:t>月</w:t>
      </w:r>
      <w:r>
        <w:rPr>
          <w:rFonts w:hint="eastAsia"/>
          <w:highlight w:val="none"/>
          <w:lang w:val="en-US" w:eastAsia="zh-CN"/>
        </w:rPr>
        <w:t>28</w:t>
      </w:r>
      <w:r>
        <w:rPr>
          <w:rFonts w:hint="eastAsia"/>
          <w:highlight w:val="none"/>
        </w:rPr>
        <w:t>日</w:t>
      </w:r>
      <w:r>
        <w:rPr>
          <w:rFonts w:hint="eastAsia"/>
          <w:highlight w:val="none"/>
          <w:lang w:eastAsia="zh-CN"/>
        </w:rPr>
        <w:t>至</w:t>
      </w:r>
      <w:r>
        <w:rPr>
          <w:rFonts w:hint="eastAsia"/>
          <w:highlight w:val="none"/>
          <w:lang w:val="en-US" w:eastAsia="zh-CN"/>
        </w:rPr>
        <w:t>29日</w:t>
      </w:r>
      <w:r>
        <w:rPr>
          <w:rFonts w:hint="eastAsia"/>
          <w:highlight w:val="none"/>
        </w:rPr>
        <w:t>，在</w:t>
      </w:r>
      <w:r>
        <w:rPr>
          <w:rFonts w:hint="eastAsia"/>
          <w:highlight w:val="none"/>
          <w:lang w:eastAsia="zh-CN"/>
        </w:rPr>
        <w:t>海南</w:t>
      </w:r>
      <w:r>
        <w:rPr>
          <w:rFonts w:hint="eastAsia"/>
          <w:highlight w:val="none"/>
        </w:rPr>
        <w:t>省</w:t>
      </w:r>
      <w:r>
        <w:rPr>
          <w:rFonts w:hint="eastAsia"/>
          <w:highlight w:val="none"/>
          <w:lang w:eastAsia="zh-CN"/>
        </w:rPr>
        <w:t>海口</w:t>
      </w:r>
      <w:r>
        <w:rPr>
          <w:rFonts w:hint="eastAsia"/>
          <w:highlight w:val="none"/>
        </w:rPr>
        <w:t>市组织召开标准征求意见稿定稿会，经与会人员充分讨论，形成会议纪要明确标准具体修改意见及下一步工作安排；</w:t>
      </w:r>
    </w:p>
    <w:p w14:paraId="0E9F0936">
      <w:pPr>
        <w:pStyle w:val="14"/>
        <w:rPr>
          <w:rFonts w:hint="eastAsia"/>
          <w:lang w:val="en-US" w:eastAsia="zh-CN"/>
        </w:rPr>
      </w:pPr>
      <w:r>
        <w:rPr>
          <w:rFonts w:hint="eastAsia"/>
          <w:lang w:val="en-US" w:eastAsia="zh-CN"/>
        </w:rPr>
        <w:t>2026年4月，中国电力建设企业协会发布征求意见的相关通知，开展公开及定向征求意见工作；</w:t>
      </w:r>
    </w:p>
    <w:p w14:paraId="6714E5C9">
      <w:pPr>
        <w:pStyle w:val="2"/>
        <w:rPr>
          <w:rFonts w:cs="Times New Roman"/>
        </w:rPr>
      </w:pPr>
      <w:bookmarkStart w:id="4" w:name="_Toc15523"/>
      <w:r>
        <w:rPr>
          <w:rFonts w:hint="eastAsia" w:ascii="仿宋_GB2312" w:hAnsi="仿宋_GB2312" w:cs="仿宋_GB2312"/>
        </w:rPr>
        <w:t>标准编制原则、主要内容及其确定依据</w:t>
      </w:r>
      <w:bookmarkEnd w:id="4"/>
    </w:p>
    <w:p w14:paraId="1AF905FD">
      <w:pPr>
        <w:pStyle w:val="3"/>
      </w:pPr>
      <w:bookmarkStart w:id="5" w:name="_Toc11305"/>
      <w:r>
        <w:rPr>
          <w:rFonts w:hint="eastAsia"/>
        </w:rPr>
        <w:t>编制原则</w:t>
      </w:r>
      <w:bookmarkEnd w:id="5"/>
    </w:p>
    <w:p w14:paraId="7B4AA29A">
      <w:pPr>
        <w:numPr>
          <w:ilvl w:val="0"/>
          <w:numId w:val="2"/>
        </w:numPr>
        <w:ind w:firstLine="560" w:firstLineChars="200"/>
        <w:rPr>
          <w:rFonts w:cs="Times New Roman"/>
        </w:rPr>
      </w:pPr>
      <w:r>
        <w:rPr>
          <w:rFonts w:hint="eastAsia" w:cs="Times New Roman"/>
        </w:rPr>
        <w:t>先进性原则</w:t>
      </w:r>
    </w:p>
    <w:p w14:paraId="1561A3FE">
      <w:pPr>
        <w:keepNext w:val="0"/>
        <w:keepLines w:val="0"/>
        <w:pageBreakBefore w:val="0"/>
        <w:widowControl w:val="0"/>
        <w:numPr>
          <w:ilvl w:val="0"/>
          <w:numId w:val="0"/>
        </w:numPr>
        <w:kinsoku/>
        <w:wordWrap/>
        <w:overflowPunct/>
        <w:topLinePunct w:val="0"/>
        <w:autoSpaceDE/>
        <w:autoSpaceDN/>
        <w:bidi w:val="0"/>
        <w:adjustRightInd w:val="0"/>
        <w:snapToGrid w:val="0"/>
        <w:ind w:firstLine="560" w:firstLineChars="200"/>
        <w:textAlignment w:val="auto"/>
        <w:rPr>
          <w:rFonts w:cs="Times New Roman"/>
        </w:rPr>
      </w:pPr>
      <w:r>
        <w:rPr>
          <w:rFonts w:hint="eastAsia"/>
        </w:rPr>
        <w:t>标准工作组聚焦电力钢结构涂镀锌防腐的行业特性，针对电力工程中钢结构服役环境复杂（如沿海高盐雾、工业区域酸性介质侵蚀）、关键部位腐蚀风险突出（焊缝、边角、螺栓连接面等）、施工工艺要求精细等特点，结合涂镀锌涂料的应用特性，制定贴合电力行业实际需求的技术要求，解决通用标准针对性不足的问题。</w:t>
      </w:r>
    </w:p>
    <w:p w14:paraId="2A627EEF">
      <w:pPr>
        <w:numPr>
          <w:ilvl w:val="0"/>
          <w:numId w:val="2"/>
        </w:numPr>
        <w:ind w:firstLine="560" w:firstLineChars="200"/>
        <w:rPr>
          <w:rFonts w:cs="Times New Roman"/>
        </w:rPr>
      </w:pPr>
      <w:r>
        <w:rPr>
          <w:rFonts w:hint="eastAsia" w:cs="Times New Roman"/>
        </w:rPr>
        <w:t>科学性原则</w:t>
      </w:r>
    </w:p>
    <w:p w14:paraId="752DF197">
      <w:pPr>
        <w:ind w:firstLine="560"/>
      </w:pPr>
      <w:r>
        <w:rPr>
          <w:rFonts w:hint="eastAsia"/>
        </w:rPr>
        <w:t>本标准依据工程建设相关法律法规、技术标准以及</w:t>
      </w:r>
      <w:r>
        <w:rPr>
          <w:rFonts w:hint="eastAsia"/>
          <w:lang w:eastAsia="zh-CN"/>
        </w:rPr>
        <w:t>涂镀锌涂料防腐涂装</w:t>
      </w:r>
      <w:r>
        <w:rPr>
          <w:rFonts w:hint="eastAsia"/>
        </w:rPr>
        <w:t>的特点，充分总结现有工程的</w:t>
      </w:r>
      <w:r>
        <w:rPr>
          <w:rFonts w:hint="eastAsia"/>
          <w:lang w:eastAsia="zh-CN"/>
        </w:rPr>
        <w:t>试验</w:t>
      </w:r>
      <w:r>
        <w:rPr>
          <w:rFonts w:hint="eastAsia"/>
        </w:rPr>
        <w:t>、</w:t>
      </w:r>
      <w:r>
        <w:rPr>
          <w:rFonts w:hint="eastAsia"/>
          <w:lang w:eastAsia="zh-CN"/>
        </w:rPr>
        <w:t>施工</w:t>
      </w:r>
      <w:r>
        <w:rPr>
          <w:rFonts w:hint="eastAsia"/>
        </w:rPr>
        <w:t>及</w:t>
      </w:r>
      <w:r>
        <w:rPr>
          <w:rFonts w:hint="eastAsia"/>
          <w:lang w:eastAsia="zh-CN"/>
        </w:rPr>
        <w:t>验收经验</w:t>
      </w:r>
      <w:r>
        <w:rPr>
          <w:rFonts w:hint="eastAsia"/>
        </w:rPr>
        <w:t>，确保标准内容科学合理。</w:t>
      </w:r>
    </w:p>
    <w:p w14:paraId="031A8A89">
      <w:pPr>
        <w:numPr>
          <w:ilvl w:val="0"/>
          <w:numId w:val="2"/>
        </w:numPr>
        <w:ind w:firstLine="560" w:firstLineChars="200"/>
        <w:rPr>
          <w:rFonts w:cs="Times New Roman"/>
        </w:rPr>
      </w:pPr>
      <w:r>
        <w:rPr>
          <w:rFonts w:hint="eastAsia" w:cs="Times New Roman"/>
        </w:rPr>
        <w:t>可行性原则</w:t>
      </w:r>
    </w:p>
    <w:p w14:paraId="1B42FED6">
      <w:pPr>
        <w:ind w:firstLine="560"/>
        <w:rPr>
          <w:rFonts w:cs="Times New Roman"/>
        </w:rPr>
      </w:pPr>
      <w:r>
        <w:rPr>
          <w:rFonts w:hint="eastAsia"/>
        </w:rPr>
        <w:t>本标准所提技术要求均不低于国家现行标准，并与国家现行标准、国家及地方法律法规政策保持协调一致，条款规定明确、清晰无歧义，可满足指导工程建设及应用推广的要求。</w:t>
      </w:r>
    </w:p>
    <w:p w14:paraId="0782EB47">
      <w:pPr>
        <w:numPr>
          <w:ilvl w:val="0"/>
          <w:numId w:val="2"/>
        </w:numPr>
        <w:ind w:firstLine="560" w:firstLineChars="200"/>
        <w:rPr>
          <w:rFonts w:cs="Times New Roman"/>
        </w:rPr>
      </w:pPr>
      <w:bookmarkStart w:id="6" w:name="OLE_LINK6"/>
      <w:r>
        <w:rPr>
          <w:rFonts w:hint="eastAsia" w:cs="Times New Roman"/>
        </w:rPr>
        <w:t>规范性原则</w:t>
      </w:r>
    </w:p>
    <w:p w14:paraId="050E99D1">
      <w:pPr>
        <w:ind w:firstLine="560"/>
      </w:pPr>
      <w:r>
        <w:rPr>
          <w:rFonts w:hint="eastAsia"/>
        </w:rPr>
        <w:t>本标准严格按照《标准化工作导则 第1部分：标准化文件的结构和起草规则》（GB/T 1.1-2020）的规定编写，并符合《标准起草规则》（GB/T 20001）系列标准中的相关规定。</w:t>
      </w:r>
    </w:p>
    <w:p w14:paraId="23B80539">
      <w:pPr>
        <w:pStyle w:val="3"/>
      </w:pPr>
      <w:bookmarkStart w:id="7" w:name="_Toc3302"/>
      <w:r>
        <w:rPr>
          <w:rFonts w:hint="eastAsia"/>
        </w:rPr>
        <w:t>标准框架</w:t>
      </w:r>
      <w:bookmarkEnd w:id="7"/>
    </w:p>
    <w:p w14:paraId="0ABFA668">
      <w:pPr>
        <w:ind w:firstLine="560"/>
      </w:pPr>
      <w:r>
        <w:rPr>
          <w:rFonts w:hint="eastAsia"/>
        </w:rPr>
        <w:t>本标准的主要内容框架如表1。</w:t>
      </w:r>
    </w:p>
    <w:p w14:paraId="17B03E40">
      <w:pPr>
        <w:spacing w:line="240" w:lineRule="auto"/>
        <w:ind w:firstLine="0" w:firstLineChars="0"/>
        <w:jc w:val="center"/>
      </w:pPr>
      <w:r>
        <w:rPr>
          <w:rFonts w:hint="eastAsia"/>
        </w:rPr>
        <w:t>表1 标准主要内容框架</w:t>
      </w:r>
    </w:p>
    <w:tbl>
      <w:tblPr>
        <w:tblStyle w:val="21"/>
        <w:tblW w:w="0" w:type="auto"/>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846"/>
        <w:gridCol w:w="2268"/>
        <w:gridCol w:w="5103"/>
      </w:tblGrid>
      <w:tr w14:paraId="61CAF31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blHeader/>
          <w:jc w:val="center"/>
        </w:trPr>
        <w:tc>
          <w:tcPr>
            <w:tcW w:w="846" w:type="dxa"/>
            <w:tcBorders>
              <w:tl2br w:val="nil"/>
              <w:tr2bl w:val="nil"/>
            </w:tcBorders>
            <w:vAlign w:val="center"/>
          </w:tcPr>
          <w:p w14:paraId="3EB1228A">
            <w:pPr>
              <w:spacing w:line="240" w:lineRule="auto"/>
              <w:ind w:firstLine="0" w:firstLineChars="0"/>
              <w:jc w:val="center"/>
              <w:rPr>
                <w:rFonts w:ascii="仿宋_GB2312"/>
                <w:b/>
                <w:sz w:val="24"/>
                <w:szCs w:val="24"/>
              </w:rPr>
            </w:pPr>
            <w:r>
              <w:rPr>
                <w:rFonts w:hint="eastAsia" w:ascii="仿宋_GB2312"/>
                <w:b/>
                <w:sz w:val="24"/>
                <w:szCs w:val="24"/>
              </w:rPr>
              <w:t>序号</w:t>
            </w:r>
          </w:p>
        </w:tc>
        <w:tc>
          <w:tcPr>
            <w:tcW w:w="2268" w:type="dxa"/>
            <w:tcBorders>
              <w:tl2br w:val="nil"/>
              <w:tr2bl w:val="nil"/>
            </w:tcBorders>
            <w:vAlign w:val="center"/>
          </w:tcPr>
          <w:p w14:paraId="127214FE">
            <w:pPr>
              <w:spacing w:line="240" w:lineRule="auto"/>
              <w:ind w:firstLine="0" w:firstLineChars="0"/>
              <w:jc w:val="center"/>
              <w:rPr>
                <w:rFonts w:ascii="仿宋_GB2312"/>
                <w:b/>
                <w:sz w:val="24"/>
                <w:szCs w:val="24"/>
              </w:rPr>
            </w:pPr>
            <w:r>
              <w:rPr>
                <w:rFonts w:hint="eastAsia" w:ascii="仿宋_GB2312"/>
                <w:b/>
                <w:sz w:val="24"/>
                <w:szCs w:val="24"/>
              </w:rPr>
              <w:t>要素类型</w:t>
            </w:r>
          </w:p>
        </w:tc>
        <w:tc>
          <w:tcPr>
            <w:tcW w:w="5103" w:type="dxa"/>
            <w:tcBorders>
              <w:tl2br w:val="nil"/>
              <w:tr2bl w:val="nil"/>
            </w:tcBorders>
            <w:vAlign w:val="center"/>
          </w:tcPr>
          <w:p w14:paraId="2D5E17C6">
            <w:pPr>
              <w:spacing w:line="240" w:lineRule="auto"/>
              <w:ind w:firstLine="0" w:firstLineChars="0"/>
              <w:jc w:val="center"/>
              <w:rPr>
                <w:rFonts w:ascii="仿宋_GB2312"/>
                <w:b/>
                <w:sz w:val="24"/>
                <w:szCs w:val="24"/>
              </w:rPr>
            </w:pPr>
            <w:r>
              <w:rPr>
                <w:rFonts w:hint="eastAsia" w:ascii="仿宋_GB2312"/>
                <w:b/>
                <w:sz w:val="24"/>
                <w:szCs w:val="24"/>
              </w:rPr>
              <w:t>要素编排</w:t>
            </w:r>
          </w:p>
        </w:tc>
      </w:tr>
      <w:tr w14:paraId="6235DB8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846" w:type="dxa"/>
            <w:vMerge w:val="restart"/>
            <w:tcBorders>
              <w:tl2br w:val="nil"/>
              <w:tr2bl w:val="nil"/>
            </w:tcBorders>
            <w:vAlign w:val="center"/>
          </w:tcPr>
          <w:p w14:paraId="333457F9">
            <w:pPr>
              <w:spacing w:line="240" w:lineRule="auto"/>
              <w:ind w:firstLine="0" w:firstLineChars="0"/>
              <w:jc w:val="center"/>
              <w:rPr>
                <w:rFonts w:ascii="仿宋_GB2312"/>
                <w:sz w:val="24"/>
                <w:szCs w:val="24"/>
              </w:rPr>
            </w:pPr>
            <w:r>
              <w:rPr>
                <w:rFonts w:ascii="仿宋_GB2312"/>
                <w:sz w:val="24"/>
                <w:szCs w:val="24"/>
              </w:rPr>
              <w:t>1</w:t>
            </w:r>
          </w:p>
        </w:tc>
        <w:tc>
          <w:tcPr>
            <w:tcW w:w="2268" w:type="dxa"/>
            <w:vMerge w:val="restart"/>
            <w:tcBorders>
              <w:tl2br w:val="nil"/>
              <w:tr2bl w:val="nil"/>
            </w:tcBorders>
            <w:vAlign w:val="center"/>
          </w:tcPr>
          <w:p w14:paraId="2284EE58">
            <w:pPr>
              <w:spacing w:line="240" w:lineRule="auto"/>
              <w:ind w:firstLine="0" w:firstLineChars="0"/>
              <w:jc w:val="center"/>
              <w:rPr>
                <w:rFonts w:ascii="仿宋_GB2312"/>
                <w:sz w:val="24"/>
                <w:szCs w:val="24"/>
              </w:rPr>
            </w:pPr>
            <w:r>
              <w:rPr>
                <w:rFonts w:hint="eastAsia" w:ascii="仿宋_GB2312"/>
                <w:sz w:val="24"/>
                <w:szCs w:val="24"/>
              </w:rPr>
              <w:t>资料性概述要素</w:t>
            </w:r>
          </w:p>
        </w:tc>
        <w:tc>
          <w:tcPr>
            <w:tcW w:w="5103" w:type="dxa"/>
            <w:tcBorders>
              <w:tl2br w:val="nil"/>
              <w:tr2bl w:val="nil"/>
            </w:tcBorders>
            <w:vAlign w:val="center"/>
          </w:tcPr>
          <w:p w14:paraId="7E3E88CD">
            <w:pPr>
              <w:spacing w:line="240" w:lineRule="auto"/>
              <w:ind w:firstLine="0" w:firstLineChars="0"/>
              <w:jc w:val="center"/>
              <w:rPr>
                <w:rFonts w:ascii="仿宋_GB2312"/>
                <w:sz w:val="24"/>
                <w:szCs w:val="24"/>
              </w:rPr>
            </w:pPr>
            <w:r>
              <w:rPr>
                <w:rFonts w:hint="eastAsia" w:ascii="仿宋_GB2312"/>
                <w:sz w:val="24"/>
                <w:szCs w:val="24"/>
              </w:rPr>
              <w:t>封面</w:t>
            </w:r>
          </w:p>
        </w:tc>
      </w:tr>
      <w:tr w14:paraId="0084BB4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846" w:type="dxa"/>
            <w:vMerge w:val="continue"/>
            <w:tcBorders>
              <w:tl2br w:val="nil"/>
              <w:tr2bl w:val="nil"/>
            </w:tcBorders>
            <w:vAlign w:val="center"/>
          </w:tcPr>
          <w:p w14:paraId="3F3EA9EF">
            <w:pPr>
              <w:spacing w:line="240" w:lineRule="auto"/>
              <w:ind w:firstLine="0" w:firstLineChars="0"/>
              <w:jc w:val="center"/>
              <w:rPr>
                <w:rFonts w:ascii="仿宋_GB2312"/>
                <w:sz w:val="24"/>
                <w:szCs w:val="24"/>
              </w:rPr>
            </w:pPr>
          </w:p>
        </w:tc>
        <w:tc>
          <w:tcPr>
            <w:tcW w:w="2268" w:type="dxa"/>
            <w:vMerge w:val="continue"/>
            <w:tcBorders>
              <w:tl2br w:val="nil"/>
              <w:tr2bl w:val="nil"/>
            </w:tcBorders>
            <w:vAlign w:val="center"/>
          </w:tcPr>
          <w:p w14:paraId="1938B67E">
            <w:pPr>
              <w:spacing w:line="240" w:lineRule="auto"/>
              <w:ind w:firstLine="0" w:firstLineChars="0"/>
              <w:jc w:val="center"/>
              <w:rPr>
                <w:rFonts w:ascii="仿宋_GB2312"/>
                <w:sz w:val="24"/>
                <w:szCs w:val="24"/>
              </w:rPr>
            </w:pPr>
          </w:p>
        </w:tc>
        <w:tc>
          <w:tcPr>
            <w:tcW w:w="5103" w:type="dxa"/>
            <w:tcBorders>
              <w:tl2br w:val="nil"/>
              <w:tr2bl w:val="nil"/>
            </w:tcBorders>
            <w:vAlign w:val="center"/>
          </w:tcPr>
          <w:p w14:paraId="0DC8F5D2">
            <w:pPr>
              <w:spacing w:line="240" w:lineRule="auto"/>
              <w:ind w:firstLine="0" w:firstLineChars="0"/>
              <w:jc w:val="center"/>
              <w:rPr>
                <w:rFonts w:ascii="仿宋_GB2312"/>
                <w:sz w:val="24"/>
                <w:szCs w:val="24"/>
              </w:rPr>
            </w:pPr>
            <w:r>
              <w:rPr>
                <w:rFonts w:hint="eastAsia" w:ascii="仿宋_GB2312"/>
                <w:sz w:val="24"/>
                <w:szCs w:val="24"/>
              </w:rPr>
              <w:t>目次</w:t>
            </w:r>
          </w:p>
        </w:tc>
      </w:tr>
      <w:tr w14:paraId="56D8537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846" w:type="dxa"/>
            <w:vMerge w:val="continue"/>
            <w:tcBorders>
              <w:tl2br w:val="nil"/>
              <w:tr2bl w:val="nil"/>
            </w:tcBorders>
            <w:vAlign w:val="center"/>
          </w:tcPr>
          <w:p w14:paraId="1817DDA1">
            <w:pPr>
              <w:spacing w:line="240" w:lineRule="auto"/>
              <w:ind w:firstLine="0" w:firstLineChars="0"/>
              <w:jc w:val="center"/>
              <w:rPr>
                <w:rFonts w:ascii="仿宋_GB2312"/>
                <w:sz w:val="24"/>
                <w:szCs w:val="24"/>
              </w:rPr>
            </w:pPr>
          </w:p>
        </w:tc>
        <w:tc>
          <w:tcPr>
            <w:tcW w:w="2268" w:type="dxa"/>
            <w:vMerge w:val="continue"/>
            <w:tcBorders>
              <w:tl2br w:val="nil"/>
              <w:tr2bl w:val="nil"/>
            </w:tcBorders>
            <w:vAlign w:val="center"/>
          </w:tcPr>
          <w:p w14:paraId="6D48E95F">
            <w:pPr>
              <w:spacing w:line="240" w:lineRule="auto"/>
              <w:ind w:firstLine="0" w:firstLineChars="0"/>
              <w:jc w:val="center"/>
              <w:rPr>
                <w:rFonts w:ascii="仿宋_GB2312"/>
                <w:sz w:val="24"/>
                <w:szCs w:val="24"/>
              </w:rPr>
            </w:pPr>
          </w:p>
        </w:tc>
        <w:tc>
          <w:tcPr>
            <w:tcW w:w="5103" w:type="dxa"/>
            <w:tcBorders>
              <w:tl2br w:val="nil"/>
              <w:tr2bl w:val="nil"/>
            </w:tcBorders>
            <w:vAlign w:val="center"/>
          </w:tcPr>
          <w:p w14:paraId="3D6D9582">
            <w:pPr>
              <w:spacing w:line="240" w:lineRule="auto"/>
              <w:ind w:firstLine="0" w:firstLineChars="0"/>
              <w:jc w:val="center"/>
              <w:rPr>
                <w:rFonts w:ascii="仿宋_GB2312"/>
                <w:sz w:val="24"/>
                <w:szCs w:val="24"/>
              </w:rPr>
            </w:pPr>
            <w:r>
              <w:rPr>
                <w:rFonts w:hint="eastAsia" w:ascii="仿宋_GB2312"/>
                <w:sz w:val="24"/>
                <w:szCs w:val="24"/>
              </w:rPr>
              <w:t>前言</w:t>
            </w:r>
          </w:p>
        </w:tc>
      </w:tr>
      <w:tr w14:paraId="2EE0D24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846" w:type="dxa"/>
            <w:vMerge w:val="restart"/>
            <w:tcBorders>
              <w:tl2br w:val="nil"/>
              <w:tr2bl w:val="nil"/>
            </w:tcBorders>
            <w:vAlign w:val="center"/>
          </w:tcPr>
          <w:p w14:paraId="1B9B7096">
            <w:pPr>
              <w:spacing w:line="240" w:lineRule="auto"/>
              <w:ind w:firstLine="0" w:firstLineChars="0"/>
              <w:jc w:val="center"/>
              <w:rPr>
                <w:rFonts w:hint="eastAsia" w:ascii="仿宋_GB2312" w:eastAsia="仿宋_GB2312"/>
                <w:sz w:val="24"/>
                <w:szCs w:val="24"/>
                <w:lang w:val="en-US" w:eastAsia="zh-CN"/>
              </w:rPr>
            </w:pPr>
            <w:r>
              <w:rPr>
                <w:rFonts w:hint="eastAsia" w:ascii="仿宋_GB2312"/>
                <w:sz w:val="24"/>
                <w:szCs w:val="24"/>
                <w:lang w:val="en-US" w:eastAsia="zh-CN"/>
              </w:rPr>
              <w:t>2</w:t>
            </w:r>
          </w:p>
        </w:tc>
        <w:tc>
          <w:tcPr>
            <w:tcW w:w="2268" w:type="dxa"/>
            <w:vMerge w:val="restart"/>
            <w:tcBorders>
              <w:tl2br w:val="nil"/>
              <w:tr2bl w:val="nil"/>
            </w:tcBorders>
            <w:vAlign w:val="center"/>
          </w:tcPr>
          <w:p w14:paraId="26C9AAA2">
            <w:pPr>
              <w:spacing w:line="240" w:lineRule="auto"/>
              <w:ind w:firstLine="0" w:firstLineChars="0"/>
              <w:jc w:val="center"/>
              <w:rPr>
                <w:rFonts w:hint="eastAsia" w:ascii="仿宋_GB2312" w:eastAsia="仿宋_GB2312"/>
                <w:sz w:val="24"/>
                <w:szCs w:val="24"/>
                <w:lang w:eastAsia="zh-CN"/>
              </w:rPr>
            </w:pPr>
            <w:r>
              <w:rPr>
                <w:rFonts w:hint="eastAsia" w:ascii="仿宋_GB2312"/>
                <w:sz w:val="24"/>
                <w:szCs w:val="24"/>
                <w:lang w:eastAsia="zh-CN"/>
              </w:rPr>
              <w:t>规范性一般要素</w:t>
            </w:r>
          </w:p>
        </w:tc>
        <w:tc>
          <w:tcPr>
            <w:tcW w:w="5103" w:type="dxa"/>
            <w:tcBorders>
              <w:tl2br w:val="nil"/>
              <w:tr2bl w:val="nil"/>
            </w:tcBorders>
            <w:vAlign w:val="center"/>
          </w:tcPr>
          <w:p w14:paraId="6F145929">
            <w:pPr>
              <w:spacing w:line="240" w:lineRule="auto"/>
              <w:ind w:firstLine="0" w:firstLineChars="0"/>
              <w:jc w:val="center"/>
              <w:rPr>
                <w:rFonts w:ascii="仿宋_GB2312"/>
                <w:sz w:val="24"/>
                <w:szCs w:val="24"/>
              </w:rPr>
            </w:pPr>
            <w:r>
              <w:rPr>
                <w:rFonts w:hint="eastAsia" w:ascii="仿宋_GB2312"/>
                <w:sz w:val="24"/>
                <w:szCs w:val="24"/>
              </w:rPr>
              <w:t>范围</w:t>
            </w:r>
          </w:p>
        </w:tc>
      </w:tr>
      <w:tr w14:paraId="0AAB387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846" w:type="dxa"/>
            <w:vMerge w:val="continue"/>
            <w:tcBorders>
              <w:tl2br w:val="nil"/>
              <w:tr2bl w:val="nil"/>
            </w:tcBorders>
            <w:vAlign w:val="center"/>
          </w:tcPr>
          <w:p w14:paraId="7F3841F9">
            <w:pPr>
              <w:spacing w:line="240" w:lineRule="auto"/>
              <w:ind w:firstLine="0" w:firstLineChars="0"/>
              <w:jc w:val="center"/>
              <w:rPr>
                <w:rFonts w:ascii="仿宋_GB2312"/>
                <w:sz w:val="24"/>
                <w:szCs w:val="24"/>
              </w:rPr>
            </w:pPr>
          </w:p>
        </w:tc>
        <w:tc>
          <w:tcPr>
            <w:tcW w:w="2268" w:type="dxa"/>
            <w:vMerge w:val="continue"/>
            <w:tcBorders>
              <w:tl2br w:val="nil"/>
              <w:tr2bl w:val="nil"/>
            </w:tcBorders>
            <w:vAlign w:val="center"/>
          </w:tcPr>
          <w:p w14:paraId="2632F9DF">
            <w:pPr>
              <w:spacing w:line="240" w:lineRule="auto"/>
              <w:ind w:firstLine="0" w:firstLineChars="0"/>
              <w:jc w:val="center"/>
              <w:rPr>
                <w:rFonts w:ascii="仿宋_GB2312"/>
                <w:sz w:val="24"/>
                <w:szCs w:val="24"/>
              </w:rPr>
            </w:pPr>
          </w:p>
        </w:tc>
        <w:tc>
          <w:tcPr>
            <w:tcW w:w="5103" w:type="dxa"/>
            <w:tcBorders>
              <w:tl2br w:val="nil"/>
              <w:tr2bl w:val="nil"/>
            </w:tcBorders>
            <w:vAlign w:val="center"/>
          </w:tcPr>
          <w:p w14:paraId="264A26DB">
            <w:pPr>
              <w:spacing w:line="240" w:lineRule="auto"/>
              <w:ind w:firstLine="0" w:firstLineChars="0"/>
              <w:jc w:val="center"/>
              <w:rPr>
                <w:rFonts w:ascii="仿宋_GB2312"/>
                <w:sz w:val="24"/>
                <w:szCs w:val="24"/>
              </w:rPr>
            </w:pPr>
            <w:r>
              <w:rPr>
                <w:rFonts w:hint="eastAsia" w:ascii="仿宋_GB2312"/>
                <w:sz w:val="24"/>
                <w:szCs w:val="24"/>
              </w:rPr>
              <w:t>规范性引用文件</w:t>
            </w:r>
          </w:p>
        </w:tc>
      </w:tr>
      <w:tr w14:paraId="09051DB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846" w:type="dxa"/>
            <w:vMerge w:val="restart"/>
            <w:tcBorders>
              <w:tl2br w:val="nil"/>
              <w:tr2bl w:val="nil"/>
            </w:tcBorders>
            <w:vAlign w:val="center"/>
          </w:tcPr>
          <w:p w14:paraId="66D8C857">
            <w:pPr>
              <w:spacing w:line="240" w:lineRule="auto"/>
              <w:ind w:firstLine="0" w:firstLineChars="0"/>
              <w:jc w:val="center"/>
              <w:rPr>
                <w:rFonts w:ascii="仿宋_GB2312"/>
                <w:sz w:val="24"/>
                <w:szCs w:val="24"/>
              </w:rPr>
            </w:pPr>
            <w:r>
              <w:rPr>
                <w:rFonts w:ascii="仿宋_GB2312"/>
                <w:sz w:val="24"/>
                <w:szCs w:val="24"/>
              </w:rPr>
              <w:t>3</w:t>
            </w:r>
          </w:p>
        </w:tc>
        <w:tc>
          <w:tcPr>
            <w:tcW w:w="2268" w:type="dxa"/>
            <w:vMerge w:val="restart"/>
            <w:tcBorders>
              <w:tl2br w:val="nil"/>
              <w:tr2bl w:val="nil"/>
            </w:tcBorders>
            <w:vAlign w:val="center"/>
          </w:tcPr>
          <w:p w14:paraId="56ADEC1D">
            <w:pPr>
              <w:spacing w:line="240" w:lineRule="auto"/>
              <w:ind w:firstLine="0" w:firstLineChars="0"/>
              <w:jc w:val="center"/>
              <w:rPr>
                <w:rFonts w:ascii="仿宋_GB2312"/>
                <w:sz w:val="24"/>
                <w:szCs w:val="24"/>
              </w:rPr>
            </w:pPr>
            <w:r>
              <w:rPr>
                <w:rFonts w:hint="eastAsia" w:ascii="仿宋_GB2312"/>
                <w:sz w:val="24"/>
                <w:szCs w:val="24"/>
              </w:rPr>
              <w:t>规范性技术要素</w:t>
            </w:r>
          </w:p>
        </w:tc>
        <w:tc>
          <w:tcPr>
            <w:tcW w:w="5103" w:type="dxa"/>
            <w:tcBorders>
              <w:tl2br w:val="nil"/>
              <w:tr2bl w:val="nil"/>
            </w:tcBorders>
            <w:vAlign w:val="center"/>
          </w:tcPr>
          <w:p w14:paraId="515C3F75">
            <w:pPr>
              <w:spacing w:line="240" w:lineRule="auto"/>
              <w:ind w:firstLine="0" w:firstLineChars="0"/>
              <w:jc w:val="center"/>
              <w:rPr>
                <w:rFonts w:ascii="仿宋_GB2312"/>
                <w:sz w:val="24"/>
                <w:szCs w:val="24"/>
              </w:rPr>
            </w:pPr>
            <w:r>
              <w:rPr>
                <w:rFonts w:hint="eastAsia" w:ascii="仿宋_GB2312"/>
                <w:sz w:val="24"/>
                <w:szCs w:val="24"/>
              </w:rPr>
              <w:t>术语和定义</w:t>
            </w:r>
          </w:p>
        </w:tc>
      </w:tr>
      <w:tr w14:paraId="6E1860E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846" w:type="dxa"/>
            <w:vMerge w:val="continue"/>
            <w:tcBorders>
              <w:tl2br w:val="nil"/>
              <w:tr2bl w:val="nil"/>
            </w:tcBorders>
            <w:vAlign w:val="center"/>
          </w:tcPr>
          <w:p w14:paraId="1A91B08D">
            <w:pPr>
              <w:spacing w:line="240" w:lineRule="auto"/>
              <w:ind w:firstLine="0" w:firstLineChars="0"/>
              <w:jc w:val="center"/>
              <w:rPr>
                <w:rFonts w:ascii="仿宋_GB2312"/>
                <w:sz w:val="24"/>
                <w:szCs w:val="24"/>
              </w:rPr>
            </w:pPr>
          </w:p>
        </w:tc>
        <w:tc>
          <w:tcPr>
            <w:tcW w:w="2268" w:type="dxa"/>
            <w:vMerge w:val="continue"/>
            <w:tcBorders>
              <w:tl2br w:val="nil"/>
              <w:tr2bl w:val="nil"/>
            </w:tcBorders>
            <w:vAlign w:val="center"/>
          </w:tcPr>
          <w:p w14:paraId="70A5B188">
            <w:pPr>
              <w:spacing w:line="240" w:lineRule="auto"/>
              <w:ind w:firstLine="0" w:firstLineChars="0"/>
              <w:jc w:val="center"/>
              <w:rPr>
                <w:rFonts w:ascii="仿宋_GB2312"/>
                <w:sz w:val="24"/>
                <w:szCs w:val="24"/>
              </w:rPr>
            </w:pPr>
          </w:p>
        </w:tc>
        <w:tc>
          <w:tcPr>
            <w:tcW w:w="5103" w:type="dxa"/>
            <w:tcBorders>
              <w:tl2br w:val="nil"/>
              <w:tr2bl w:val="nil"/>
            </w:tcBorders>
            <w:vAlign w:val="center"/>
          </w:tcPr>
          <w:p w14:paraId="17712431">
            <w:pPr>
              <w:spacing w:line="240" w:lineRule="auto"/>
              <w:ind w:firstLine="0" w:firstLineChars="0"/>
              <w:jc w:val="center"/>
              <w:rPr>
                <w:rFonts w:ascii="仿宋_GB2312"/>
                <w:sz w:val="24"/>
                <w:szCs w:val="24"/>
              </w:rPr>
            </w:pPr>
            <w:r>
              <w:rPr>
                <w:rFonts w:hint="eastAsia" w:ascii="仿宋_GB2312"/>
                <w:sz w:val="24"/>
                <w:szCs w:val="24"/>
              </w:rPr>
              <w:t>基本规定</w:t>
            </w:r>
          </w:p>
        </w:tc>
      </w:tr>
      <w:tr w14:paraId="597BAC4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846" w:type="dxa"/>
            <w:vMerge w:val="continue"/>
            <w:tcBorders>
              <w:tl2br w:val="nil"/>
              <w:tr2bl w:val="nil"/>
            </w:tcBorders>
            <w:vAlign w:val="center"/>
          </w:tcPr>
          <w:p w14:paraId="080A133E">
            <w:pPr>
              <w:spacing w:line="240" w:lineRule="auto"/>
              <w:ind w:firstLine="0" w:firstLineChars="0"/>
              <w:jc w:val="center"/>
              <w:rPr>
                <w:rFonts w:ascii="仿宋_GB2312"/>
                <w:sz w:val="24"/>
                <w:szCs w:val="24"/>
              </w:rPr>
            </w:pPr>
          </w:p>
        </w:tc>
        <w:tc>
          <w:tcPr>
            <w:tcW w:w="2268" w:type="dxa"/>
            <w:vMerge w:val="continue"/>
            <w:tcBorders>
              <w:tl2br w:val="nil"/>
              <w:tr2bl w:val="nil"/>
            </w:tcBorders>
            <w:vAlign w:val="center"/>
          </w:tcPr>
          <w:p w14:paraId="1F004620">
            <w:pPr>
              <w:spacing w:line="240" w:lineRule="auto"/>
              <w:ind w:firstLine="0" w:firstLineChars="0"/>
              <w:jc w:val="center"/>
              <w:rPr>
                <w:rFonts w:ascii="仿宋_GB2312"/>
                <w:sz w:val="24"/>
                <w:szCs w:val="24"/>
              </w:rPr>
            </w:pPr>
          </w:p>
        </w:tc>
        <w:tc>
          <w:tcPr>
            <w:tcW w:w="5103" w:type="dxa"/>
            <w:tcBorders>
              <w:tl2br w:val="nil"/>
              <w:tr2bl w:val="nil"/>
            </w:tcBorders>
            <w:vAlign w:val="center"/>
          </w:tcPr>
          <w:p w14:paraId="22782FFD">
            <w:pPr>
              <w:spacing w:line="240" w:lineRule="auto"/>
              <w:ind w:firstLine="0" w:firstLineChars="0"/>
              <w:jc w:val="center"/>
              <w:rPr>
                <w:rFonts w:hint="eastAsia" w:ascii="仿宋_GB2312" w:eastAsia="仿宋_GB2312"/>
                <w:sz w:val="24"/>
                <w:szCs w:val="24"/>
                <w:lang w:eastAsia="zh-CN"/>
              </w:rPr>
            </w:pPr>
            <w:r>
              <w:rPr>
                <w:rFonts w:hint="eastAsia" w:ascii="仿宋_GB2312"/>
                <w:sz w:val="24"/>
                <w:szCs w:val="24"/>
                <w:lang w:eastAsia="zh-CN"/>
              </w:rPr>
              <w:t>材料</w:t>
            </w:r>
          </w:p>
        </w:tc>
      </w:tr>
      <w:tr w14:paraId="7AC6DB7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846" w:type="dxa"/>
            <w:vMerge w:val="continue"/>
            <w:tcBorders>
              <w:tl2br w:val="nil"/>
              <w:tr2bl w:val="nil"/>
            </w:tcBorders>
            <w:vAlign w:val="center"/>
          </w:tcPr>
          <w:p w14:paraId="47A873AF">
            <w:pPr>
              <w:spacing w:line="240" w:lineRule="auto"/>
              <w:ind w:firstLine="0" w:firstLineChars="0"/>
              <w:jc w:val="center"/>
              <w:rPr>
                <w:rFonts w:ascii="仿宋_GB2312"/>
                <w:sz w:val="24"/>
                <w:szCs w:val="24"/>
              </w:rPr>
            </w:pPr>
          </w:p>
        </w:tc>
        <w:tc>
          <w:tcPr>
            <w:tcW w:w="2268" w:type="dxa"/>
            <w:vMerge w:val="continue"/>
            <w:tcBorders>
              <w:tl2br w:val="nil"/>
              <w:tr2bl w:val="nil"/>
            </w:tcBorders>
            <w:vAlign w:val="center"/>
          </w:tcPr>
          <w:p w14:paraId="3F569BE6">
            <w:pPr>
              <w:spacing w:line="240" w:lineRule="auto"/>
              <w:ind w:firstLine="0" w:firstLineChars="0"/>
              <w:jc w:val="center"/>
              <w:rPr>
                <w:rFonts w:ascii="仿宋_GB2312"/>
                <w:sz w:val="24"/>
                <w:szCs w:val="24"/>
              </w:rPr>
            </w:pPr>
          </w:p>
        </w:tc>
        <w:tc>
          <w:tcPr>
            <w:tcW w:w="5103" w:type="dxa"/>
            <w:tcBorders>
              <w:tl2br w:val="nil"/>
              <w:tr2bl w:val="nil"/>
            </w:tcBorders>
            <w:vAlign w:val="center"/>
          </w:tcPr>
          <w:p w14:paraId="34E5B426">
            <w:pPr>
              <w:spacing w:line="240" w:lineRule="auto"/>
              <w:ind w:firstLine="0" w:firstLineChars="0"/>
              <w:jc w:val="center"/>
              <w:rPr>
                <w:rFonts w:hint="eastAsia" w:ascii="仿宋_GB2312" w:eastAsia="仿宋_GB2312"/>
                <w:sz w:val="24"/>
                <w:szCs w:val="24"/>
                <w:lang w:eastAsia="zh-CN"/>
              </w:rPr>
            </w:pPr>
            <w:r>
              <w:rPr>
                <w:rFonts w:hint="eastAsia" w:ascii="仿宋_GB2312"/>
                <w:sz w:val="24"/>
                <w:szCs w:val="24"/>
                <w:lang w:eastAsia="zh-CN"/>
              </w:rPr>
              <w:t>技术要求</w:t>
            </w:r>
          </w:p>
        </w:tc>
      </w:tr>
      <w:tr w14:paraId="5190872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846" w:type="dxa"/>
            <w:vMerge w:val="continue"/>
            <w:tcBorders>
              <w:tl2br w:val="nil"/>
              <w:tr2bl w:val="nil"/>
            </w:tcBorders>
            <w:vAlign w:val="center"/>
          </w:tcPr>
          <w:p w14:paraId="56EFA74A">
            <w:pPr>
              <w:spacing w:line="240" w:lineRule="auto"/>
              <w:ind w:firstLine="0" w:firstLineChars="0"/>
              <w:jc w:val="center"/>
              <w:rPr>
                <w:rFonts w:ascii="仿宋_GB2312"/>
                <w:sz w:val="24"/>
                <w:szCs w:val="24"/>
              </w:rPr>
            </w:pPr>
          </w:p>
        </w:tc>
        <w:tc>
          <w:tcPr>
            <w:tcW w:w="2268" w:type="dxa"/>
            <w:vMerge w:val="continue"/>
            <w:tcBorders>
              <w:tl2br w:val="nil"/>
              <w:tr2bl w:val="nil"/>
            </w:tcBorders>
            <w:vAlign w:val="center"/>
          </w:tcPr>
          <w:p w14:paraId="60D374DE">
            <w:pPr>
              <w:spacing w:line="240" w:lineRule="auto"/>
              <w:ind w:firstLine="0" w:firstLineChars="0"/>
              <w:jc w:val="center"/>
              <w:rPr>
                <w:rFonts w:ascii="仿宋_GB2312"/>
                <w:sz w:val="24"/>
                <w:szCs w:val="24"/>
              </w:rPr>
            </w:pPr>
          </w:p>
        </w:tc>
        <w:tc>
          <w:tcPr>
            <w:tcW w:w="5103" w:type="dxa"/>
            <w:tcBorders>
              <w:tl2br w:val="nil"/>
              <w:tr2bl w:val="nil"/>
            </w:tcBorders>
            <w:vAlign w:val="center"/>
          </w:tcPr>
          <w:p w14:paraId="443EEC3F">
            <w:pPr>
              <w:spacing w:line="240" w:lineRule="auto"/>
              <w:ind w:firstLine="0" w:firstLineChars="0"/>
              <w:jc w:val="center"/>
              <w:rPr>
                <w:rFonts w:hint="eastAsia" w:ascii="仿宋_GB2312" w:eastAsia="仿宋_GB2312"/>
                <w:sz w:val="24"/>
                <w:szCs w:val="24"/>
                <w:lang w:eastAsia="zh-CN"/>
              </w:rPr>
            </w:pPr>
            <w:r>
              <w:rPr>
                <w:rFonts w:hint="eastAsia" w:ascii="仿宋_GB2312"/>
                <w:sz w:val="24"/>
                <w:szCs w:val="24"/>
                <w:lang w:eastAsia="zh-CN"/>
              </w:rPr>
              <w:t>施工工艺</w:t>
            </w:r>
          </w:p>
        </w:tc>
      </w:tr>
      <w:tr w14:paraId="0627C1F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846" w:type="dxa"/>
            <w:vMerge w:val="continue"/>
            <w:tcBorders>
              <w:tl2br w:val="nil"/>
              <w:tr2bl w:val="nil"/>
            </w:tcBorders>
            <w:vAlign w:val="center"/>
          </w:tcPr>
          <w:p w14:paraId="7BC66D44">
            <w:pPr>
              <w:spacing w:line="240" w:lineRule="auto"/>
              <w:ind w:firstLine="0" w:firstLineChars="0"/>
              <w:jc w:val="center"/>
              <w:rPr>
                <w:rFonts w:ascii="仿宋_GB2312"/>
                <w:sz w:val="24"/>
                <w:szCs w:val="24"/>
              </w:rPr>
            </w:pPr>
          </w:p>
        </w:tc>
        <w:tc>
          <w:tcPr>
            <w:tcW w:w="2268" w:type="dxa"/>
            <w:vMerge w:val="continue"/>
            <w:tcBorders>
              <w:tl2br w:val="nil"/>
              <w:tr2bl w:val="nil"/>
            </w:tcBorders>
            <w:vAlign w:val="center"/>
          </w:tcPr>
          <w:p w14:paraId="6770D653">
            <w:pPr>
              <w:spacing w:line="240" w:lineRule="auto"/>
              <w:ind w:firstLine="0" w:firstLineChars="0"/>
              <w:jc w:val="center"/>
              <w:rPr>
                <w:rFonts w:ascii="仿宋_GB2312"/>
                <w:sz w:val="24"/>
                <w:szCs w:val="24"/>
              </w:rPr>
            </w:pPr>
          </w:p>
        </w:tc>
        <w:tc>
          <w:tcPr>
            <w:tcW w:w="5103" w:type="dxa"/>
            <w:tcBorders>
              <w:tl2br w:val="nil"/>
              <w:tr2bl w:val="nil"/>
            </w:tcBorders>
            <w:vAlign w:val="center"/>
          </w:tcPr>
          <w:p w14:paraId="28381D6C">
            <w:pPr>
              <w:spacing w:line="240" w:lineRule="auto"/>
              <w:ind w:firstLine="0" w:firstLineChars="0"/>
              <w:jc w:val="center"/>
              <w:rPr>
                <w:rFonts w:hint="eastAsia" w:ascii="仿宋_GB2312" w:eastAsia="仿宋_GB2312"/>
                <w:sz w:val="24"/>
                <w:szCs w:val="24"/>
                <w:lang w:eastAsia="zh-CN"/>
              </w:rPr>
            </w:pPr>
            <w:r>
              <w:rPr>
                <w:rFonts w:hint="eastAsia" w:ascii="仿宋_GB2312"/>
                <w:sz w:val="24"/>
                <w:szCs w:val="24"/>
                <w:lang w:eastAsia="zh-CN"/>
              </w:rPr>
              <w:t>试验检验</w:t>
            </w:r>
          </w:p>
        </w:tc>
      </w:tr>
      <w:tr w14:paraId="51629BE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846" w:type="dxa"/>
            <w:vMerge w:val="continue"/>
            <w:tcBorders>
              <w:tl2br w:val="nil"/>
              <w:tr2bl w:val="nil"/>
            </w:tcBorders>
            <w:vAlign w:val="center"/>
          </w:tcPr>
          <w:p w14:paraId="48B1AFF9">
            <w:pPr>
              <w:spacing w:line="240" w:lineRule="auto"/>
              <w:ind w:firstLine="0" w:firstLineChars="0"/>
              <w:jc w:val="center"/>
              <w:rPr>
                <w:rFonts w:ascii="仿宋_GB2312"/>
                <w:sz w:val="24"/>
                <w:szCs w:val="24"/>
              </w:rPr>
            </w:pPr>
          </w:p>
        </w:tc>
        <w:tc>
          <w:tcPr>
            <w:tcW w:w="2268" w:type="dxa"/>
            <w:vMerge w:val="continue"/>
            <w:tcBorders>
              <w:tl2br w:val="nil"/>
              <w:tr2bl w:val="nil"/>
            </w:tcBorders>
            <w:vAlign w:val="center"/>
          </w:tcPr>
          <w:p w14:paraId="755E90AF">
            <w:pPr>
              <w:spacing w:line="240" w:lineRule="auto"/>
              <w:ind w:firstLine="0" w:firstLineChars="0"/>
              <w:jc w:val="center"/>
              <w:rPr>
                <w:rFonts w:ascii="仿宋_GB2312"/>
                <w:sz w:val="24"/>
                <w:szCs w:val="24"/>
              </w:rPr>
            </w:pPr>
          </w:p>
        </w:tc>
        <w:tc>
          <w:tcPr>
            <w:tcW w:w="5103" w:type="dxa"/>
            <w:tcBorders>
              <w:tl2br w:val="nil"/>
              <w:tr2bl w:val="nil"/>
            </w:tcBorders>
            <w:vAlign w:val="center"/>
          </w:tcPr>
          <w:p w14:paraId="3C496570">
            <w:pPr>
              <w:spacing w:line="240" w:lineRule="auto"/>
              <w:ind w:firstLine="0" w:firstLineChars="0"/>
              <w:jc w:val="center"/>
              <w:rPr>
                <w:rFonts w:hint="eastAsia" w:ascii="仿宋_GB2312"/>
                <w:sz w:val="24"/>
                <w:szCs w:val="24"/>
                <w:lang w:eastAsia="zh-CN"/>
              </w:rPr>
            </w:pPr>
            <w:r>
              <w:rPr>
                <w:rFonts w:hint="eastAsia" w:ascii="仿宋_GB2312"/>
                <w:sz w:val="24"/>
                <w:szCs w:val="24"/>
                <w:lang w:eastAsia="zh-CN"/>
              </w:rPr>
              <w:t>验收</w:t>
            </w:r>
          </w:p>
        </w:tc>
      </w:tr>
      <w:tr w14:paraId="6AD7F34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846" w:type="dxa"/>
            <w:vMerge w:val="restart"/>
            <w:tcBorders>
              <w:tl2br w:val="nil"/>
              <w:tr2bl w:val="nil"/>
            </w:tcBorders>
            <w:vAlign w:val="center"/>
          </w:tcPr>
          <w:p w14:paraId="54C72135">
            <w:pPr>
              <w:spacing w:line="240" w:lineRule="auto"/>
              <w:ind w:firstLine="0" w:firstLineChars="0"/>
              <w:jc w:val="center"/>
              <w:rPr>
                <w:rFonts w:ascii="仿宋_GB2312"/>
                <w:sz w:val="24"/>
                <w:szCs w:val="24"/>
              </w:rPr>
            </w:pPr>
            <w:r>
              <w:rPr>
                <w:rFonts w:ascii="仿宋_GB2312"/>
                <w:sz w:val="24"/>
                <w:szCs w:val="24"/>
              </w:rPr>
              <w:t>4</w:t>
            </w:r>
          </w:p>
        </w:tc>
        <w:tc>
          <w:tcPr>
            <w:tcW w:w="2268" w:type="dxa"/>
            <w:vMerge w:val="restart"/>
            <w:tcBorders>
              <w:tl2br w:val="nil"/>
              <w:tr2bl w:val="nil"/>
            </w:tcBorders>
            <w:vAlign w:val="center"/>
          </w:tcPr>
          <w:p w14:paraId="509EBA24">
            <w:pPr>
              <w:spacing w:line="240" w:lineRule="auto"/>
              <w:ind w:firstLine="0" w:firstLineChars="0"/>
              <w:jc w:val="center"/>
              <w:rPr>
                <w:rFonts w:ascii="仿宋_GB2312"/>
                <w:sz w:val="24"/>
                <w:szCs w:val="24"/>
              </w:rPr>
            </w:pPr>
            <w:r>
              <w:rPr>
                <w:rFonts w:hint="eastAsia" w:ascii="仿宋_GB2312"/>
                <w:sz w:val="24"/>
                <w:szCs w:val="24"/>
              </w:rPr>
              <w:t>规范性补充要素</w:t>
            </w:r>
          </w:p>
        </w:tc>
        <w:tc>
          <w:tcPr>
            <w:tcW w:w="5103" w:type="dxa"/>
            <w:tcBorders>
              <w:tl2br w:val="nil"/>
              <w:tr2bl w:val="nil"/>
            </w:tcBorders>
            <w:shd w:val="clear" w:color="auto" w:fill="auto"/>
            <w:vAlign w:val="center"/>
          </w:tcPr>
          <w:p w14:paraId="27281D09">
            <w:pPr>
              <w:spacing w:line="240" w:lineRule="auto"/>
              <w:ind w:firstLine="0" w:firstLineChars="0"/>
              <w:jc w:val="center"/>
              <w:rPr>
                <w:rFonts w:ascii="仿宋_GB2312"/>
                <w:sz w:val="24"/>
                <w:szCs w:val="24"/>
              </w:rPr>
            </w:pPr>
            <w:r>
              <w:rPr>
                <w:rFonts w:hint="eastAsia" w:ascii="仿宋_GB2312"/>
                <w:sz w:val="24"/>
                <w:szCs w:val="24"/>
              </w:rPr>
              <w:t xml:space="preserve">附录A </w:t>
            </w:r>
            <w:r>
              <w:rPr>
                <w:rFonts w:hint="eastAsia" w:ascii="仿宋_GB2312"/>
                <w:sz w:val="24"/>
                <w:szCs w:val="24"/>
                <w:lang w:eastAsia="zh-CN"/>
              </w:rPr>
              <w:t>常用防腐</w:t>
            </w:r>
            <w:r>
              <w:rPr>
                <w:rFonts w:hint="eastAsia" w:ascii="仿宋_GB2312"/>
                <w:sz w:val="24"/>
                <w:szCs w:val="24"/>
              </w:rPr>
              <w:t>涂层配套</w:t>
            </w:r>
          </w:p>
        </w:tc>
      </w:tr>
      <w:tr w14:paraId="5934798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846" w:type="dxa"/>
            <w:vMerge w:val="continue"/>
            <w:tcBorders>
              <w:tl2br w:val="nil"/>
              <w:tr2bl w:val="nil"/>
            </w:tcBorders>
            <w:vAlign w:val="center"/>
          </w:tcPr>
          <w:p w14:paraId="19D23B27">
            <w:pPr>
              <w:spacing w:line="240" w:lineRule="auto"/>
              <w:ind w:firstLine="0" w:firstLineChars="0"/>
              <w:jc w:val="center"/>
              <w:rPr>
                <w:rFonts w:ascii="仿宋_GB2312"/>
                <w:sz w:val="24"/>
                <w:szCs w:val="24"/>
              </w:rPr>
            </w:pPr>
          </w:p>
        </w:tc>
        <w:tc>
          <w:tcPr>
            <w:tcW w:w="2268" w:type="dxa"/>
            <w:vMerge w:val="continue"/>
            <w:tcBorders>
              <w:tl2br w:val="nil"/>
              <w:tr2bl w:val="nil"/>
            </w:tcBorders>
            <w:vAlign w:val="center"/>
          </w:tcPr>
          <w:p w14:paraId="19D2458F">
            <w:pPr>
              <w:spacing w:line="240" w:lineRule="auto"/>
              <w:ind w:firstLine="0" w:firstLineChars="0"/>
              <w:jc w:val="center"/>
              <w:rPr>
                <w:rFonts w:ascii="仿宋_GB2312"/>
                <w:sz w:val="24"/>
                <w:szCs w:val="24"/>
              </w:rPr>
            </w:pPr>
          </w:p>
        </w:tc>
        <w:tc>
          <w:tcPr>
            <w:tcW w:w="5103" w:type="dxa"/>
            <w:tcBorders>
              <w:tl2br w:val="nil"/>
              <w:tr2bl w:val="nil"/>
            </w:tcBorders>
            <w:shd w:val="clear" w:color="auto" w:fill="auto"/>
            <w:vAlign w:val="center"/>
          </w:tcPr>
          <w:p w14:paraId="2D77770D">
            <w:pPr>
              <w:spacing w:line="240" w:lineRule="auto"/>
              <w:ind w:firstLine="0" w:firstLineChars="0"/>
              <w:jc w:val="center"/>
              <w:rPr>
                <w:rFonts w:hint="eastAsia" w:ascii="仿宋_GB2312" w:eastAsia="仿宋_GB2312"/>
                <w:sz w:val="24"/>
                <w:szCs w:val="24"/>
                <w:lang w:eastAsia="zh-CN"/>
              </w:rPr>
            </w:pPr>
            <w:r>
              <w:rPr>
                <w:rFonts w:hint="eastAsia" w:ascii="仿宋_GB2312"/>
                <w:sz w:val="24"/>
                <w:szCs w:val="24"/>
              </w:rPr>
              <w:t xml:space="preserve">附录B </w:t>
            </w:r>
            <w:r>
              <w:rPr>
                <w:rFonts w:hint="eastAsia" w:ascii="仿宋_GB2312"/>
                <w:sz w:val="24"/>
                <w:szCs w:val="24"/>
                <w:lang w:eastAsia="zh-CN"/>
              </w:rPr>
              <w:t>防腐涂层配套产品性能要求</w:t>
            </w:r>
          </w:p>
        </w:tc>
      </w:tr>
      <w:tr w14:paraId="4B54697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846" w:type="dxa"/>
            <w:vMerge w:val="continue"/>
            <w:tcBorders>
              <w:tl2br w:val="nil"/>
              <w:tr2bl w:val="nil"/>
            </w:tcBorders>
            <w:vAlign w:val="center"/>
          </w:tcPr>
          <w:p w14:paraId="6701DD87">
            <w:pPr>
              <w:spacing w:line="240" w:lineRule="auto"/>
              <w:ind w:firstLine="0" w:firstLineChars="0"/>
              <w:jc w:val="center"/>
              <w:rPr>
                <w:rFonts w:ascii="仿宋_GB2312"/>
                <w:sz w:val="24"/>
                <w:szCs w:val="24"/>
              </w:rPr>
            </w:pPr>
            <w:bookmarkStart w:id="8" w:name="_Toc9388"/>
          </w:p>
        </w:tc>
        <w:tc>
          <w:tcPr>
            <w:tcW w:w="2268" w:type="dxa"/>
            <w:vMerge w:val="continue"/>
            <w:tcBorders>
              <w:tl2br w:val="nil"/>
              <w:tr2bl w:val="nil"/>
            </w:tcBorders>
            <w:vAlign w:val="center"/>
          </w:tcPr>
          <w:p w14:paraId="0819F29C">
            <w:pPr>
              <w:spacing w:line="240" w:lineRule="auto"/>
              <w:ind w:firstLine="0" w:firstLineChars="0"/>
              <w:jc w:val="center"/>
              <w:rPr>
                <w:rFonts w:ascii="仿宋_GB2312"/>
                <w:sz w:val="24"/>
                <w:szCs w:val="24"/>
              </w:rPr>
            </w:pPr>
          </w:p>
        </w:tc>
        <w:tc>
          <w:tcPr>
            <w:tcW w:w="5103" w:type="dxa"/>
            <w:tcBorders>
              <w:tl2br w:val="nil"/>
              <w:tr2bl w:val="nil"/>
            </w:tcBorders>
            <w:shd w:val="clear" w:color="auto" w:fill="auto"/>
            <w:vAlign w:val="center"/>
          </w:tcPr>
          <w:p w14:paraId="327C1119">
            <w:pPr>
              <w:spacing w:line="240" w:lineRule="auto"/>
              <w:ind w:firstLine="0" w:firstLineChars="0"/>
              <w:jc w:val="center"/>
              <w:rPr>
                <w:rFonts w:hint="default" w:ascii="仿宋_GB2312"/>
                <w:sz w:val="24"/>
                <w:szCs w:val="24"/>
                <w:lang w:val="en-US" w:eastAsia="zh-CN"/>
              </w:rPr>
            </w:pPr>
            <w:r>
              <w:rPr>
                <w:rFonts w:hint="eastAsia" w:ascii="仿宋_GB2312"/>
                <w:sz w:val="24"/>
                <w:szCs w:val="24"/>
                <w:lang w:val="en-US" w:eastAsia="zh-CN"/>
              </w:rPr>
              <w:t>附录C 钢构件防腐涂料涂装工程检验批质量验收记录</w:t>
            </w:r>
          </w:p>
        </w:tc>
      </w:tr>
    </w:tbl>
    <w:p w14:paraId="2BDB9FCC">
      <w:pPr>
        <w:pStyle w:val="3"/>
      </w:pPr>
      <w:r>
        <w:rPr>
          <w:rFonts w:hint="eastAsia"/>
        </w:rPr>
        <w:t>主要内容</w:t>
      </w:r>
      <w:bookmarkEnd w:id="8"/>
    </w:p>
    <w:p w14:paraId="671EBE7C">
      <w:pPr>
        <w:ind w:firstLine="560"/>
        <w:rPr>
          <w:rFonts w:hint="eastAsia"/>
        </w:rPr>
      </w:pPr>
      <w:r>
        <w:t>本标准适用于电力工程中大气环境下各类电力钢结构涂镀锌防腐涂装的施工及验收工作，涵盖电站主厂房、输电塔、锅炉钢架、管道支架等建（构）筑物钢结构及设备支撑钢结构，明确了涂镀锌防腐从材料选型、技术要求、施工工艺到试验检验、质量验收的全流程技术规范，旨在提升电力钢结构涂镀锌防腐的针对性、规范性和有效性，降低腐蚀失效风险，延长钢结构使用寿命，控制运维成本。正文内容共包括</w:t>
      </w:r>
      <w:r>
        <w:rPr>
          <w:rFonts w:hint="eastAsia"/>
          <w:lang w:val="en-US" w:eastAsia="zh-CN"/>
        </w:rPr>
        <w:t>9</w:t>
      </w:r>
      <w:r>
        <w:t>个</w:t>
      </w:r>
      <w:r>
        <w:rPr>
          <w:rFonts w:hint="eastAsia"/>
        </w:rPr>
        <w:t>主要</w:t>
      </w:r>
      <w:r>
        <w:t>章节及</w:t>
      </w:r>
      <w:r>
        <w:rPr>
          <w:rFonts w:hint="eastAsia"/>
          <w:lang w:val="en-US" w:eastAsia="zh-CN"/>
        </w:rPr>
        <w:t>3</w:t>
      </w:r>
      <w:r>
        <w:t>个</w:t>
      </w:r>
      <w:r>
        <w:rPr>
          <w:rFonts w:hint="eastAsia"/>
        </w:rPr>
        <w:t>规范性引用</w:t>
      </w:r>
      <w:r>
        <w:t>附录，主要章节包括：范围、规范性引用文件、术语和定义、</w:t>
      </w:r>
      <w:r>
        <w:rPr>
          <w:rFonts w:hint="eastAsia"/>
          <w:lang w:eastAsia="zh-CN"/>
        </w:rPr>
        <w:t>基本</w:t>
      </w:r>
      <w:r>
        <w:t>规定、</w:t>
      </w:r>
      <w:r>
        <w:rPr>
          <w:rFonts w:hint="eastAsia"/>
          <w:lang w:eastAsia="zh-CN"/>
        </w:rPr>
        <w:t>材料</w:t>
      </w:r>
      <w:r>
        <w:t>、</w:t>
      </w:r>
      <w:r>
        <w:rPr>
          <w:rFonts w:hint="eastAsia"/>
          <w:lang w:eastAsia="zh-CN"/>
        </w:rPr>
        <w:t>技术要求</w:t>
      </w:r>
      <w:r>
        <w:t>、</w:t>
      </w:r>
      <w:r>
        <w:rPr>
          <w:rFonts w:hint="eastAsia"/>
          <w:lang w:eastAsia="zh-CN"/>
        </w:rPr>
        <w:t>施工工艺</w:t>
      </w:r>
      <w:r>
        <w:t>、</w:t>
      </w:r>
      <w:r>
        <w:rPr>
          <w:rFonts w:hint="eastAsia"/>
          <w:lang w:eastAsia="zh-CN"/>
        </w:rPr>
        <w:t>试验检验、验收</w:t>
      </w:r>
      <w:r>
        <w:rPr>
          <w:rFonts w:hint="eastAsia"/>
        </w:rPr>
        <w:t>；规范性引用</w:t>
      </w:r>
      <w:r>
        <w:t>附录包括：</w:t>
      </w:r>
      <w:r>
        <w:rPr>
          <w:rFonts w:hint="eastAsia"/>
          <w:lang w:eastAsia="zh-CN"/>
        </w:rPr>
        <w:t>常用防腐</w:t>
      </w:r>
      <w:r>
        <w:rPr>
          <w:shd w:val="clear"/>
        </w:rPr>
        <w:t>涂层配套</w:t>
      </w:r>
      <w:r>
        <w:rPr>
          <w:rFonts w:hint="eastAsia"/>
          <w:shd w:val="clear"/>
          <w:lang w:eastAsia="zh-CN"/>
        </w:rPr>
        <w:t>、防腐涂层配套产品性能要求和钢构件防腐涂料涂装工程检验批质量验收记录。</w:t>
      </w:r>
      <w:r>
        <w:rPr>
          <w:rFonts w:hint="eastAsia"/>
        </w:rPr>
        <w:t>标准参考了</w:t>
      </w:r>
      <w:r>
        <w:rPr>
          <w:rFonts w:hint="eastAsia"/>
          <w:lang w:eastAsia="zh-CN"/>
        </w:rPr>
        <w:t>《钢结构工程施工质量验收规范》（</w:t>
      </w:r>
      <w:r>
        <w:rPr>
          <w:rFonts w:hint="eastAsia"/>
          <w:lang w:val="en-US" w:eastAsia="zh-CN"/>
        </w:rPr>
        <w:t>GB 50205</w:t>
      </w:r>
      <w:r>
        <w:rPr>
          <w:rFonts w:hint="eastAsia"/>
          <w:lang w:eastAsia="zh-CN"/>
        </w:rPr>
        <w:t>）、</w:t>
      </w:r>
      <w:r>
        <w:t>《建筑防腐蚀工程施工规范》（GB 50212）</w:t>
      </w:r>
      <w:r>
        <w:rPr>
          <w:rFonts w:hint="eastAsia"/>
          <w:lang w:eastAsia="zh-CN"/>
        </w:rPr>
        <w:t>等建筑防腐蚀及钢结构工程领域现行成熟标准，引用了《冷涂锌涂料》（</w:t>
      </w:r>
      <w:r>
        <w:rPr>
          <w:rFonts w:hint="eastAsia"/>
          <w:lang w:val="en-US" w:eastAsia="zh-CN"/>
        </w:rPr>
        <w:t>HG/T 4845</w:t>
      </w:r>
      <w:r>
        <w:rPr>
          <w:rFonts w:hint="eastAsia"/>
          <w:lang w:eastAsia="zh-CN"/>
        </w:rPr>
        <w:t>）、《涂装作业安全规程》（</w:t>
      </w:r>
      <w:r>
        <w:rPr>
          <w:rFonts w:hint="eastAsia"/>
          <w:lang w:val="en-US" w:eastAsia="zh-CN"/>
        </w:rPr>
        <w:t>GB 7691</w:t>
      </w:r>
      <w:r>
        <w:rPr>
          <w:rFonts w:hint="eastAsia"/>
          <w:lang w:eastAsia="zh-CN"/>
        </w:rPr>
        <w:t>）等相关国家及行业标准的技术条款，结合电力钢结构服役特性及涂镀锌防腐技术应用特点进行创新完善，主要技术内容包括</w:t>
      </w:r>
      <w:r>
        <w:rPr>
          <w:rFonts w:hint="eastAsia"/>
        </w:rPr>
        <w:t>：</w:t>
      </w:r>
    </w:p>
    <w:p w14:paraId="3EEA37E8">
      <w:pPr>
        <w:numPr>
          <w:ilvl w:val="0"/>
          <w:numId w:val="3"/>
        </w:numPr>
        <w:ind w:firstLine="560" w:firstLineChars="200"/>
        <w:rPr>
          <w:rFonts w:cs="Times New Roman"/>
          <w:highlight w:val="none"/>
        </w:rPr>
      </w:pPr>
      <w:r>
        <w:rPr>
          <w:rFonts w:hint="eastAsia"/>
        </w:rPr>
        <w:t>明确标准适用边界、不适用场景，系统梳理并引用现行国家标准、行业标准中与涂镀锌材料、表面处理、涂装施工、安全环保、检验验收相关的强制性与推荐性条款，确保标准体系合规、完整、协调。</w:t>
      </w:r>
    </w:p>
    <w:p w14:paraId="53EEBFEB">
      <w:pPr>
        <w:numPr>
          <w:ilvl w:val="0"/>
          <w:numId w:val="3"/>
        </w:numPr>
        <w:ind w:firstLine="560" w:firstLineChars="200"/>
        <w:rPr>
          <w:rFonts w:cs="Times New Roman"/>
          <w:highlight w:val="none"/>
        </w:rPr>
      </w:pPr>
      <w:r>
        <w:rPr>
          <w:rFonts w:hint="eastAsia" w:cs="Times New Roman"/>
          <w:highlight w:val="none"/>
          <w:lang w:eastAsia="zh-CN"/>
        </w:rPr>
        <w:t>明确电力钢结构涂镀锌防腐相关术语定义，统一行业技术表述，规范标准适用边界及基本执行原则</w:t>
      </w:r>
      <w:r>
        <w:rPr>
          <w:rFonts w:hint="eastAsia" w:cs="Times New Roman"/>
          <w:highlight w:val="none"/>
        </w:rPr>
        <w:t>；</w:t>
      </w:r>
    </w:p>
    <w:p w14:paraId="785D1353">
      <w:pPr>
        <w:numPr>
          <w:ilvl w:val="0"/>
          <w:numId w:val="3"/>
        </w:numPr>
        <w:ind w:firstLine="560" w:firstLineChars="200"/>
        <w:rPr>
          <w:rFonts w:cs="Times New Roman"/>
          <w:highlight w:val="none"/>
        </w:rPr>
      </w:pPr>
      <w:r>
        <w:rPr>
          <w:rFonts w:hint="eastAsia" w:cs="Times New Roman"/>
          <w:highlight w:val="none"/>
          <w:lang w:val="en-US" w:eastAsia="zh-CN"/>
        </w:rPr>
        <w:t>提出总体执行原则，明确材料进场验收、施工环境条件（温度5℃～38℃、相对湿度≤90%、基材表面高于露点3℃以上）、施工方案与技术交底、涂层设计原则、全寿命周期成本控制、安全环保、验收程序与资料可追溯性等基础要求，为全过程管控提供纲领性依据。</w:t>
      </w:r>
    </w:p>
    <w:p w14:paraId="4F0143A6">
      <w:pPr>
        <w:numPr>
          <w:ilvl w:val="0"/>
          <w:numId w:val="3"/>
        </w:numPr>
        <w:ind w:firstLine="560" w:firstLineChars="200"/>
        <w:rPr>
          <w:rFonts w:cs="Times New Roman"/>
          <w:highlight w:val="none"/>
        </w:rPr>
      </w:pPr>
      <w:r>
        <w:rPr>
          <w:rFonts w:hint="eastAsia" w:cs="Times New Roman"/>
          <w:highlight w:val="none"/>
          <w:lang w:eastAsia="zh-CN"/>
        </w:rPr>
        <w:t>系统规定涂镀锌底层、中间层、面层涂料及稀释剂、修补材料的选型原则、质量指标、环保要求与配套兼容性要求；</w:t>
      </w:r>
    </w:p>
    <w:p w14:paraId="3EC74A96">
      <w:pPr>
        <w:numPr>
          <w:ilvl w:val="0"/>
          <w:numId w:val="3"/>
        </w:numPr>
        <w:ind w:firstLine="560" w:firstLineChars="200"/>
        <w:rPr>
          <w:rFonts w:cs="Times New Roman"/>
          <w:highlight w:val="none"/>
        </w:rPr>
      </w:pPr>
      <w:r>
        <w:rPr>
          <w:rFonts w:hint="eastAsia" w:cs="Times New Roman"/>
          <w:highlight w:val="none"/>
          <w:lang w:eastAsia="zh-CN"/>
        </w:rPr>
        <w:t>细化涂镀锌防腐涂装施工流程，明确表面处理、涂料调配、涂装作业、涂层固化等关键环节的操作规范，强化施工过程中的安全与环境保护要求</w:t>
      </w:r>
      <w:r>
        <w:rPr>
          <w:rFonts w:hint="eastAsia" w:cs="Times New Roman"/>
          <w:highlight w:val="none"/>
        </w:rPr>
        <w:t>；</w:t>
      </w:r>
    </w:p>
    <w:p w14:paraId="47B516A1">
      <w:pPr>
        <w:numPr>
          <w:ilvl w:val="0"/>
          <w:numId w:val="3"/>
        </w:numPr>
        <w:ind w:firstLine="560" w:firstLineChars="200"/>
        <w:rPr>
          <w:rFonts w:cs="Times New Roman"/>
          <w:highlight w:val="none"/>
        </w:rPr>
      </w:pPr>
      <w:r>
        <w:rPr>
          <w:rFonts w:hint="eastAsia" w:cs="Times New Roman"/>
          <w:highlight w:val="none"/>
          <w:lang w:eastAsia="zh-CN"/>
        </w:rPr>
        <w:t>建立全周期试验检验体系，规定原材料检验、施工过程检验、基底检验及涂装完工检验的项目、方法、数量及合格判定标准；</w:t>
      </w:r>
    </w:p>
    <w:p w14:paraId="0F5CBF9E">
      <w:pPr>
        <w:numPr>
          <w:ilvl w:val="0"/>
          <w:numId w:val="3"/>
        </w:numPr>
        <w:ind w:firstLine="560" w:firstLineChars="200"/>
        <w:rPr>
          <w:rFonts w:cs="Times New Roman"/>
          <w:highlight w:val="none"/>
        </w:rPr>
      </w:pPr>
      <w:r>
        <w:rPr>
          <w:rFonts w:hint="eastAsia" w:cs="Times New Roman"/>
          <w:highlight w:val="none"/>
          <w:lang w:eastAsia="zh-CN"/>
        </w:rPr>
        <w:t>规范质量验收流程及要求，明确验收资料清单、检验批划分、各分项工程验收标准及不合格项处置方式。</w:t>
      </w:r>
    </w:p>
    <w:p w14:paraId="42DC2BE5">
      <w:pPr>
        <w:pStyle w:val="3"/>
        <w:rPr>
          <w:highlight w:val="none"/>
        </w:rPr>
      </w:pPr>
      <w:bookmarkStart w:id="9" w:name="_Toc6038"/>
      <w:r>
        <w:rPr>
          <w:rFonts w:hint="eastAsia"/>
          <w:highlight w:val="none"/>
        </w:rPr>
        <w:t>主要内容确定依据</w:t>
      </w:r>
    </w:p>
    <w:p w14:paraId="12D28F07">
      <w:pPr>
        <w:numPr>
          <w:ilvl w:val="0"/>
          <w:numId w:val="4"/>
        </w:numPr>
        <w:ind w:firstLine="560" w:firstLineChars="200"/>
        <w:rPr>
          <w:highlight w:val="none"/>
        </w:rPr>
      </w:pPr>
      <w:r>
        <w:rPr>
          <w:rFonts w:hint="eastAsia"/>
          <w:highlight w:val="none"/>
          <w:lang w:eastAsia="zh-CN"/>
        </w:rPr>
        <w:t>腐蚀环境等级与技术要求</w:t>
      </w:r>
    </w:p>
    <w:p w14:paraId="565ADB2A">
      <w:pPr>
        <w:ind w:firstLine="560"/>
        <w:rPr>
          <w:rFonts w:hint="eastAsia" w:eastAsia="仿宋_GB2312"/>
          <w:lang w:val="en-US" w:eastAsia="zh-CN"/>
        </w:rPr>
      </w:pPr>
      <w:r>
        <w:rPr>
          <w:rFonts w:hint="eastAsia"/>
          <w:lang w:eastAsia="zh-CN"/>
        </w:rPr>
        <w:t>国家标准</w:t>
      </w:r>
      <w:r>
        <w:rPr>
          <w:rFonts w:hint="eastAsia"/>
        </w:rPr>
        <w:t>《</w:t>
      </w:r>
      <w:r>
        <w:rPr>
          <w:rFonts w:hint="eastAsia"/>
          <w:shd w:val="clear" w:color="auto"/>
        </w:rPr>
        <w:t>金属和合金的腐蚀 大气腐蚀性 第1部分：分类、测定和评估</w:t>
      </w:r>
      <w:r>
        <w:rPr>
          <w:rFonts w:hint="eastAsia"/>
        </w:rPr>
        <w:t>》（</w:t>
      </w:r>
      <w:r>
        <w:rPr>
          <w:rFonts w:hint="eastAsia"/>
          <w:shd w:val="clear" w:color="auto"/>
        </w:rPr>
        <w:t>GB/T 19292.1</w:t>
      </w:r>
      <w:r>
        <w:rPr>
          <w:rFonts w:hint="eastAsia"/>
        </w:rPr>
        <w:t>）依据金属标准试样在大气环境中暴晒第一年后的腐蚀损失测试结果将大气腐蚀环境等级分为C1-CX六个等级</w:t>
      </w:r>
      <w:r>
        <w:rPr>
          <w:rFonts w:hint="eastAsia"/>
          <w:lang w:eastAsia="zh-CN"/>
        </w:rPr>
        <w:t>。</w:t>
      </w:r>
    </w:p>
    <w:p w14:paraId="0207B725">
      <w:pPr>
        <w:ind w:firstLine="560"/>
        <w:rPr>
          <w:rFonts w:hint="eastAsia"/>
        </w:rPr>
      </w:pPr>
      <w:r>
        <w:rPr>
          <w:rFonts w:hint="eastAsia"/>
        </w:rPr>
        <w:t>针对不同腐蚀等级，制定差异化技术要求：表面处理方面，明确钢材表面初始锈蚀等级、除锈等级、表面粗糙度及清洁度标准，要求除锈后表面无油脂、氧化皮、铁锈等污染物且干燥无可见水分；特殊部位处理方面，规定焊缝需打磨平滑、去除焊瘤飞溅物，尖锐边角磨圆处理，高强螺栓连接面涂装后摩擦系数需符合设计要求；涂层配套及厚度方面，按腐蚀环境等级与设计工作年限（</w:t>
      </w:r>
      <w:r>
        <w:rPr>
          <w:rFonts w:hint="eastAsia"/>
          <w:lang w:val="en-US" w:eastAsia="zh-CN"/>
        </w:rPr>
        <w:t>20年、30</w:t>
      </w:r>
      <w:r>
        <w:rPr>
          <w:rFonts w:hint="eastAsia"/>
        </w:rPr>
        <w:t>年、</w:t>
      </w:r>
      <w:r>
        <w:rPr>
          <w:rFonts w:hint="eastAsia"/>
          <w:lang w:val="en-US" w:eastAsia="zh-CN"/>
        </w:rPr>
        <w:t>50</w:t>
      </w:r>
      <w:r>
        <w:rPr>
          <w:rFonts w:hint="eastAsia"/>
        </w:rPr>
        <w:t>年）匹配对应的涂层体系，明确底层、中间层、面层的材料选型及各层厚度，总厚度范围覆盖</w:t>
      </w:r>
      <w:r>
        <w:rPr>
          <w:rFonts w:hint="eastAsia"/>
          <w:lang w:val="en-US" w:eastAsia="zh-CN"/>
        </w:rPr>
        <w:t>200</w:t>
      </w:r>
      <w:r>
        <w:rPr>
          <w:rFonts w:hint="eastAsia"/>
        </w:rPr>
        <w:t>μm～3</w:t>
      </w:r>
      <w:r>
        <w:rPr>
          <w:rFonts w:hint="eastAsia"/>
          <w:lang w:val="en-US" w:eastAsia="zh-CN"/>
        </w:rPr>
        <w:t>20</w:t>
      </w:r>
      <w:r>
        <w:rPr>
          <w:rFonts w:hint="eastAsia"/>
        </w:rPr>
        <w:t>μm，确保涂层防护性能与服役环境精准适配。</w:t>
      </w:r>
    </w:p>
    <w:p w14:paraId="626CF55C">
      <w:pPr>
        <w:ind w:firstLine="560"/>
        <w:rPr>
          <w:rFonts w:hint="eastAsia"/>
        </w:rPr>
      </w:pPr>
      <w:r>
        <w:rPr>
          <w:rFonts w:hint="eastAsia"/>
        </w:rPr>
        <w:t>根据ISO 12944表一的规定，在C4腐蚀环境下，锌粉的年损失量为15-30g/㎡（本计算按照最高每年30g/㎡计算），涂镀锌中的金属锌粉含量在92%以上，因此涂镀锌自身的防腐年限可根据下式进行测算。</w:t>
      </w:r>
    </w:p>
    <w:p w14:paraId="04519EA1">
      <w:pPr>
        <w:ind w:firstLine="560"/>
        <w:rPr>
          <w:rFonts w:hint="eastAsia"/>
        </w:rPr>
      </w:pPr>
      <w:r>
        <w:rPr>
          <w:rFonts w:hint="eastAsia"/>
        </w:rPr>
        <w:t>涂镀锌的阴极保护年限：公式n=（G/g）×K</w:t>
      </w:r>
    </w:p>
    <w:p w14:paraId="5CEEBC3B">
      <w:pPr>
        <w:ind w:firstLine="560"/>
        <w:rPr>
          <w:rFonts w:hint="eastAsia"/>
        </w:rPr>
      </w:pPr>
      <w:r>
        <w:rPr>
          <w:rFonts w:hint="eastAsia"/>
        </w:rPr>
        <w:t>其中 n：耐用年数</w:t>
      </w:r>
    </w:p>
    <w:p w14:paraId="5A1E714E">
      <w:pPr>
        <w:ind w:firstLine="560"/>
        <w:rPr>
          <w:rFonts w:hint="eastAsia"/>
        </w:rPr>
      </w:pPr>
      <w:r>
        <w:rPr>
          <w:rFonts w:hint="eastAsia"/>
        </w:rPr>
        <w:t xml:space="preserve">    </w:t>
      </w:r>
      <w:r>
        <w:rPr>
          <w:rFonts w:hint="eastAsia"/>
          <w:lang w:val="en-US" w:eastAsia="zh-CN"/>
        </w:rPr>
        <w:t xml:space="preserve"> </w:t>
      </w:r>
      <w:r>
        <w:rPr>
          <w:rFonts w:hint="eastAsia"/>
        </w:rPr>
        <w:t>G：锌层总附着量，其中1um锌层涂布量约为  7.14g/m2</w:t>
      </w:r>
    </w:p>
    <w:p w14:paraId="7E5E8B3F">
      <w:pPr>
        <w:ind w:firstLine="560"/>
        <w:rPr>
          <w:rFonts w:hint="eastAsia"/>
        </w:rPr>
      </w:pPr>
      <w:r>
        <w:rPr>
          <w:rFonts w:hint="eastAsia"/>
        </w:rPr>
        <w:t xml:space="preserve">     g：年腐蚀量（按照C4腐蚀类型计算，钢结构锌层年腐蚀量为30g/m2）</w:t>
      </w:r>
    </w:p>
    <w:p w14:paraId="49837D41">
      <w:pPr>
        <w:ind w:firstLine="560"/>
        <w:rPr>
          <w:rFonts w:hint="eastAsia"/>
        </w:rPr>
      </w:pPr>
      <w:r>
        <w:rPr>
          <w:rFonts w:hint="eastAsia"/>
        </w:rPr>
        <w:t xml:space="preserve">          k：折减系数，涂镀锌一般以0.8计</w:t>
      </w:r>
    </w:p>
    <w:p w14:paraId="4EEC1367">
      <w:pPr>
        <w:ind w:firstLine="560"/>
        <w:rPr>
          <w:rFonts w:hint="eastAsia"/>
        </w:rPr>
      </w:pPr>
      <m:oMathPara>
        <m:oMath>
          <m:r>
            <m:rPr>
              <m:sty m:val="p"/>
            </m:rPr>
            <w:rPr>
              <w:rFonts w:hint="eastAsia" w:ascii="Times New Roman" w:hAnsi="Times New Roman"/>
            </w:rPr>
            <m:t>n1=</m:t>
          </m:r>
          <m:f>
            <m:fPr>
              <m:ctrlPr>
                <w:rPr>
                  <w:rFonts w:hint="eastAsia" w:ascii="Cambria Math" w:hAnsi="Cambria Math"/>
                </w:rPr>
              </m:ctrlPr>
            </m:fPr>
            <m:num>
              <m:r>
                <m:rPr>
                  <m:sty m:val="p"/>
                </m:rPr>
                <w:rPr>
                  <w:rFonts w:hint="eastAsia" w:ascii="Times New Roman" w:hAnsi="Times New Roman"/>
                </w:rPr>
                <m:t>(</m:t>
              </m:r>
              <m:f>
                <m:fPr>
                  <m:ctrlPr>
                    <w:rPr>
                      <w:rFonts w:hint="eastAsia" w:ascii="Cambria Math" w:hAnsi="Cambria Math"/>
                    </w:rPr>
                  </m:ctrlPr>
                </m:fPr>
                <m:num>
                  <m:r>
                    <m:rPr>
                      <m:sty m:val="p"/>
                    </m:rPr>
                    <w:rPr>
                      <w:rFonts w:hint="eastAsia" w:ascii="Times New Roman" w:hAnsi="Times New Roman"/>
                    </w:rPr>
                    <m:t>7.14g</m:t>
                  </m:r>
                  <m:ctrlPr>
                    <w:rPr>
                      <w:rFonts w:hint="eastAsia" w:ascii="Cambria Math" w:hAnsi="Cambria Math"/>
                    </w:rPr>
                  </m:ctrlPr>
                </m:num>
                <m:den>
                  <m:sSup>
                    <m:sSupPr>
                      <m:ctrlPr>
                        <w:rPr>
                          <w:rFonts w:hint="eastAsia" w:ascii="Cambria Math" w:hAnsi="Cambria Math"/>
                        </w:rPr>
                      </m:ctrlPr>
                    </m:sSupPr>
                    <m:e>
                      <m:r>
                        <m:rPr>
                          <m:sty m:val="p"/>
                        </m:rPr>
                        <w:rPr>
                          <w:rFonts w:hint="eastAsia" w:ascii="Times New Roman" w:hAnsi="Times New Roman"/>
                        </w:rPr>
                        <m:t>m</m:t>
                      </m:r>
                      <m:ctrlPr>
                        <w:rPr>
                          <w:rFonts w:hint="eastAsia" w:ascii="Cambria Math" w:hAnsi="Cambria Math"/>
                        </w:rPr>
                      </m:ctrlPr>
                    </m:e>
                    <m:sup>
                      <m:r>
                        <m:rPr>
                          <m:sty m:val="p"/>
                        </m:rPr>
                        <w:rPr>
                          <w:rFonts w:hint="eastAsia" w:ascii="Times New Roman" w:hAnsi="Times New Roman"/>
                        </w:rPr>
                        <m:t>2</m:t>
                      </m:r>
                      <m:ctrlPr>
                        <w:rPr>
                          <w:rFonts w:hint="eastAsia" w:ascii="Cambria Math" w:hAnsi="Cambria Math"/>
                        </w:rPr>
                      </m:ctrlPr>
                    </m:sup>
                  </m:sSup>
                  <m:r>
                    <m:rPr>
                      <m:sty m:val="p"/>
                    </m:rPr>
                    <w:rPr>
                      <w:rFonts w:hint="eastAsia" w:ascii="Times New Roman" w:hAnsi="Times New Roman"/>
                    </w:rPr>
                    <m:t>∙μm</m:t>
                  </m:r>
                  <m:ctrlPr>
                    <w:rPr>
                      <w:rFonts w:hint="eastAsia" w:ascii="Cambria Math" w:hAnsi="Cambria Math"/>
                    </w:rPr>
                  </m:ctrlPr>
                </m:den>
              </m:f>
              <m:r>
                <m:rPr>
                  <m:sty m:val="p"/>
                </m:rPr>
                <w:rPr>
                  <w:rFonts w:hint="eastAsia" w:ascii="Times New Roman" w:hAnsi="Times New Roman"/>
                </w:rPr>
                <m:t>×60μm×92%)×0.8</m:t>
              </m:r>
              <m:ctrlPr>
                <w:rPr>
                  <w:rFonts w:hint="eastAsia" w:ascii="Cambria Math" w:hAnsi="Cambria Math"/>
                </w:rPr>
              </m:ctrlPr>
            </m:num>
            <m:den>
              <m:r>
                <m:rPr>
                  <m:sty m:val="p"/>
                </m:rPr>
                <w:rPr>
                  <w:rFonts w:hint="eastAsia" w:ascii="Times New Roman" w:hAnsi="Times New Roman"/>
                </w:rPr>
                <m:t>30g/</m:t>
              </m:r>
              <m:sSup>
                <m:sSupPr>
                  <m:ctrlPr>
                    <w:rPr>
                      <w:rFonts w:hint="eastAsia" w:ascii="Cambria Math" w:hAnsi="Cambria Math"/>
                    </w:rPr>
                  </m:ctrlPr>
                </m:sSupPr>
                <m:e>
                  <m:r>
                    <m:rPr>
                      <m:sty m:val="p"/>
                    </m:rPr>
                    <w:rPr>
                      <w:rFonts w:hint="eastAsia" w:ascii="Times New Roman" w:hAnsi="Times New Roman"/>
                    </w:rPr>
                    <m:t>m</m:t>
                  </m:r>
                  <m:ctrlPr>
                    <w:rPr>
                      <w:rFonts w:hint="eastAsia" w:ascii="Cambria Math" w:hAnsi="Cambria Math"/>
                    </w:rPr>
                  </m:ctrlPr>
                </m:e>
                <m:sup>
                  <m:r>
                    <m:rPr>
                      <m:sty m:val="p"/>
                    </m:rPr>
                    <w:rPr>
                      <w:rFonts w:hint="eastAsia" w:ascii="Times New Roman" w:hAnsi="Times New Roman"/>
                    </w:rPr>
                    <m:t>2</m:t>
                  </m:r>
                  <m:ctrlPr>
                    <w:rPr>
                      <w:rFonts w:hint="eastAsia" w:ascii="Cambria Math" w:hAnsi="Cambria Math"/>
                    </w:rPr>
                  </m:ctrlPr>
                </m:sup>
              </m:sSup>
              <m:r>
                <m:rPr>
                  <m:sty m:val="p"/>
                </m:rPr>
                <w:rPr>
                  <w:rFonts w:hint="eastAsia" w:ascii="Times New Roman" w:hAnsi="Times New Roman"/>
                </w:rPr>
                <m:t>∙年</m:t>
              </m:r>
              <m:ctrlPr>
                <w:rPr>
                  <w:rFonts w:hint="eastAsia" w:ascii="Cambria Math" w:hAnsi="Cambria Math"/>
                </w:rPr>
              </m:ctrlPr>
            </m:den>
          </m:f>
          <m:r>
            <m:rPr>
              <m:sty m:val="p"/>
            </m:rPr>
            <w:rPr>
              <w:rFonts w:hint="eastAsia" w:ascii="Times New Roman" w:hAnsi="Times New Roman"/>
            </w:rPr>
            <m:t>≈10.5年</m:t>
          </m:r>
        </m:oMath>
      </m:oMathPara>
    </w:p>
    <w:p w14:paraId="6C10B542">
      <w:pPr>
        <w:ind w:firstLine="560"/>
        <w:rPr>
          <w:rFonts w:hint="eastAsia"/>
        </w:rPr>
      </w:pPr>
      <w:r>
        <w:rPr>
          <w:rFonts w:hint="eastAsia"/>
        </w:rPr>
        <w:t xml:space="preserve">   因此即使不考虑面漆的叠加效应，涂镀锌自身的防腐年限根据理论计算就可达10年以上。</w:t>
      </w:r>
    </w:p>
    <w:p w14:paraId="68315667">
      <w:pPr>
        <w:numPr>
          <w:ilvl w:val="0"/>
          <w:numId w:val="4"/>
        </w:numPr>
        <w:ind w:firstLine="560" w:firstLineChars="200"/>
      </w:pPr>
      <w:r>
        <w:rPr>
          <w:rFonts w:hint="eastAsia"/>
          <w:lang w:eastAsia="zh-CN"/>
        </w:rPr>
        <w:t>施工工艺</w:t>
      </w:r>
    </w:p>
    <w:p w14:paraId="6BD3190F">
      <w:pPr>
        <w:keepNext w:val="0"/>
        <w:keepLines w:val="0"/>
        <w:pageBreakBefore w:val="0"/>
        <w:widowControl w:val="0"/>
        <w:numPr>
          <w:ilvl w:val="0"/>
          <w:numId w:val="0"/>
        </w:numPr>
        <w:kinsoku/>
        <w:wordWrap/>
        <w:overflowPunct/>
        <w:topLinePunct w:val="0"/>
        <w:autoSpaceDE/>
        <w:autoSpaceDN/>
        <w:bidi w:val="0"/>
        <w:adjustRightInd w:val="0"/>
        <w:snapToGrid w:val="0"/>
        <w:ind w:firstLine="560" w:firstLineChars="200"/>
        <w:textAlignment w:val="auto"/>
        <w:rPr>
          <w:rFonts w:hint="eastAsia"/>
          <w:lang w:val="en-US" w:eastAsia="zh-CN"/>
        </w:rPr>
      </w:pPr>
      <w:r>
        <w:rPr>
          <w:rFonts w:hint="eastAsia"/>
          <w:lang w:val="en-US" w:eastAsia="zh-CN"/>
        </w:rPr>
        <w:t>本章围绕电力钢结构涂镀锌防腐全流程施工管控进行系统规定，内容覆盖一般规定、表面处理、涂装施工、涂层固化与膜厚控制、预涂/喷涂/刷涂工艺、安全和环境保护七大核心模块，是保障涂镀锌涂层附着力、厚度均匀性、外观质量与长效防腐寿命的关键技术章节。</w:t>
      </w:r>
    </w:p>
    <w:p w14:paraId="2CF80E4D">
      <w:pPr>
        <w:keepNext w:val="0"/>
        <w:keepLines w:val="0"/>
        <w:pageBreakBefore w:val="0"/>
        <w:widowControl w:val="0"/>
        <w:numPr>
          <w:ilvl w:val="0"/>
          <w:numId w:val="0"/>
        </w:numPr>
        <w:kinsoku/>
        <w:wordWrap/>
        <w:overflowPunct/>
        <w:topLinePunct w:val="0"/>
        <w:autoSpaceDE/>
        <w:autoSpaceDN/>
        <w:bidi w:val="0"/>
        <w:adjustRightInd w:val="0"/>
        <w:snapToGrid w:val="0"/>
        <w:ind w:firstLine="560" w:firstLineChars="200"/>
        <w:textAlignment w:val="auto"/>
        <w:rPr>
          <w:rFonts w:hint="eastAsia"/>
          <w:lang w:val="en-US" w:eastAsia="zh-CN"/>
        </w:rPr>
      </w:pPr>
      <w:r>
        <w:rPr>
          <w:rFonts w:hint="eastAsia"/>
          <w:lang w:val="en-US" w:eastAsia="zh-CN"/>
        </w:rPr>
        <w:t>本章编制以GB 50755《钢结构工程施工规范》、GB 50212《建筑防腐蚀工程施工规范》、GB 7691《涂装作业安全规程》、GB/T 50726《工业设备及管道防腐蚀工程技术标准》为基础依据，充分结合电力钢结构构件类型多样、现场工况复杂、户外作业占比高、腐蚀环境严酷、防腐寿命要求高的行业特点，对关键工艺参数、操作要点、过程控制、特殊部位处理、环境约束、质量节点等进行专项细化与量化，确保施工过程可控、涂层质量稳定，全面提升电力工程涂镀锌防腐施工的适用性、规范性与可操作性。</w:t>
      </w:r>
    </w:p>
    <w:p w14:paraId="357F0A14">
      <w:pPr>
        <w:keepNext w:val="0"/>
        <w:keepLines w:val="0"/>
        <w:pageBreakBefore w:val="0"/>
        <w:widowControl w:val="0"/>
        <w:numPr>
          <w:ilvl w:val="0"/>
          <w:numId w:val="0"/>
        </w:numPr>
        <w:kinsoku/>
        <w:wordWrap/>
        <w:overflowPunct/>
        <w:topLinePunct w:val="0"/>
        <w:autoSpaceDE/>
        <w:autoSpaceDN/>
        <w:bidi w:val="0"/>
        <w:adjustRightInd w:val="0"/>
        <w:snapToGrid w:val="0"/>
        <w:ind w:firstLine="560" w:firstLineChars="200"/>
        <w:textAlignment w:val="auto"/>
        <w:rPr>
          <w:rFonts w:hint="eastAsia"/>
          <w:lang w:val="en-US" w:eastAsia="zh-CN"/>
        </w:rPr>
      </w:pPr>
      <w:r>
        <w:rPr>
          <w:rFonts w:hint="eastAsia"/>
          <w:lang w:val="en-US" w:eastAsia="zh-CN"/>
        </w:rPr>
        <w:t>在表面处理环节，重点明确喷射/手工/动力工具三种处理方式的适用场景、等级要求、粗糙度控制区间、清洁度标准，以及处理后至涂装前的最长间隔时间，避免返锈导致附着力下降；针对焊缝、边角、螺栓孔、拼接缝、薄壁构件、异形构件等电力钢结构典型易腐蚀部位，单独规定局部处理方式与扩大处理范围要求，实现无死角预处理。</w:t>
      </w:r>
    </w:p>
    <w:p w14:paraId="66D83503">
      <w:pPr>
        <w:keepNext w:val="0"/>
        <w:keepLines w:val="0"/>
        <w:pageBreakBefore w:val="0"/>
        <w:widowControl w:val="0"/>
        <w:numPr>
          <w:ilvl w:val="0"/>
          <w:numId w:val="0"/>
        </w:numPr>
        <w:kinsoku/>
        <w:wordWrap/>
        <w:overflowPunct/>
        <w:topLinePunct w:val="0"/>
        <w:autoSpaceDE/>
        <w:autoSpaceDN/>
        <w:bidi w:val="0"/>
        <w:adjustRightInd w:val="0"/>
        <w:snapToGrid w:val="0"/>
        <w:ind w:firstLine="560" w:firstLineChars="200"/>
        <w:textAlignment w:val="auto"/>
        <w:rPr>
          <w:rFonts w:hint="eastAsia"/>
          <w:lang w:val="en-US" w:eastAsia="zh-CN"/>
        </w:rPr>
      </w:pPr>
      <w:r>
        <w:rPr>
          <w:rFonts w:hint="eastAsia"/>
          <w:lang w:val="en-US" w:eastAsia="zh-CN"/>
        </w:rPr>
        <w:t>在涂料准备与调配环节，针对涂镀锌高锌粉含量、易沉降的材料特性，明确搅拌方式、搅拌频率、熟化时间、适用期、主剂/固化剂配比、稀释剂限量使用等要求，杜绝因调配不当导致锌粉分层、胶化、涂层性能衰减等问题。</w:t>
      </w:r>
    </w:p>
    <w:p w14:paraId="58C8377A">
      <w:pPr>
        <w:keepNext w:val="0"/>
        <w:keepLines w:val="0"/>
        <w:pageBreakBefore w:val="0"/>
        <w:widowControl w:val="0"/>
        <w:numPr>
          <w:ilvl w:val="0"/>
          <w:numId w:val="0"/>
        </w:numPr>
        <w:kinsoku/>
        <w:wordWrap/>
        <w:overflowPunct/>
        <w:topLinePunct w:val="0"/>
        <w:autoSpaceDE/>
        <w:autoSpaceDN/>
        <w:bidi w:val="0"/>
        <w:adjustRightInd w:val="0"/>
        <w:snapToGrid w:val="0"/>
        <w:ind w:firstLine="560" w:firstLineChars="200"/>
        <w:textAlignment w:val="auto"/>
        <w:rPr>
          <w:rFonts w:hint="eastAsia"/>
          <w:lang w:val="en-US" w:eastAsia="zh-CN"/>
        </w:rPr>
      </w:pPr>
      <w:r>
        <w:rPr>
          <w:rFonts w:hint="eastAsia"/>
          <w:lang w:val="en-US" w:eastAsia="zh-CN"/>
        </w:rPr>
        <w:t>在涂装施工环节，结合电力工程工厂预制+现场安装的两段式施工模式，分别明确无气喷涂、刷涂、辊涂的适用部位与操作要点；强调施工顺序，对喷枪距离、角度、行走速度、搭接宽度、喷涂压力、层间间隔等给出量化指标；同时针对现场交叉作业、高空作业、有限空间作业、高温高湿作业等特殊工况，提出环境监测、遮蔽保护、工序交接、施工记录等强制性过程管控要求。</w:t>
      </w:r>
    </w:p>
    <w:p w14:paraId="20595590">
      <w:pPr>
        <w:keepNext w:val="0"/>
        <w:keepLines w:val="0"/>
        <w:pageBreakBefore w:val="0"/>
        <w:widowControl w:val="0"/>
        <w:numPr>
          <w:ilvl w:val="0"/>
          <w:numId w:val="0"/>
        </w:numPr>
        <w:kinsoku/>
        <w:wordWrap/>
        <w:overflowPunct/>
        <w:topLinePunct w:val="0"/>
        <w:autoSpaceDE/>
        <w:autoSpaceDN/>
        <w:bidi w:val="0"/>
        <w:adjustRightInd w:val="0"/>
        <w:snapToGrid w:val="0"/>
        <w:ind w:firstLine="560" w:firstLineChars="200"/>
        <w:textAlignment w:val="auto"/>
        <w:rPr>
          <w:rFonts w:hint="eastAsia"/>
          <w:lang w:val="en-US" w:eastAsia="zh-CN"/>
        </w:rPr>
      </w:pPr>
      <w:r>
        <w:rPr>
          <w:rFonts w:hint="eastAsia"/>
          <w:lang w:val="en-US" w:eastAsia="zh-CN"/>
        </w:rPr>
        <w:t>在涂层固化与膜厚控制环节，明确固化环境条件、湿/干膜检测频次、厚度不合格处置方式、局部修补工艺，确保涂层厚度满足附录A按腐蚀环境与设计使用年限规定的厚度要求，避免因膜厚不足或过厚导致针孔、流挂、开裂、脱落等质量缺陷。</w:t>
      </w:r>
    </w:p>
    <w:p w14:paraId="4BEF4FDF">
      <w:pPr>
        <w:keepNext w:val="0"/>
        <w:keepLines w:val="0"/>
        <w:pageBreakBefore w:val="0"/>
        <w:widowControl w:val="0"/>
        <w:numPr>
          <w:ilvl w:val="0"/>
          <w:numId w:val="0"/>
        </w:numPr>
        <w:kinsoku/>
        <w:wordWrap/>
        <w:overflowPunct/>
        <w:topLinePunct w:val="0"/>
        <w:autoSpaceDE/>
        <w:autoSpaceDN/>
        <w:bidi w:val="0"/>
        <w:adjustRightInd w:val="0"/>
        <w:snapToGrid w:val="0"/>
        <w:ind w:firstLine="560" w:firstLineChars="200"/>
        <w:textAlignment w:val="auto"/>
        <w:rPr>
          <w:rFonts w:hint="eastAsia"/>
          <w:lang w:val="en-US" w:eastAsia="zh-CN"/>
        </w:rPr>
      </w:pPr>
      <w:r>
        <w:rPr>
          <w:rFonts w:hint="eastAsia"/>
          <w:lang w:val="en-US" w:eastAsia="zh-CN"/>
        </w:rPr>
        <w:t>在安全与环境保护环节，严格遵循安全生产与绿色施工要求，对涂料储存、防火防爆、通风除尘、劳动防护、有限空间作业、动火隔离、VOC 控制、粉尘治理、危废分类收集与处置等作出明确规定，既满足现场安全施工需求，也符合电力工程绿色低碳、环保合规的建设导向。</w:t>
      </w:r>
    </w:p>
    <w:p w14:paraId="688E166D">
      <w:pPr>
        <w:numPr>
          <w:ilvl w:val="0"/>
          <w:numId w:val="4"/>
        </w:numPr>
        <w:ind w:firstLine="560" w:firstLineChars="200"/>
      </w:pPr>
      <w:r>
        <w:rPr>
          <w:rFonts w:hint="eastAsia"/>
          <w:lang w:eastAsia="zh-CN"/>
        </w:rPr>
        <w:t>试验检验和验收</w:t>
      </w:r>
    </w:p>
    <w:p w14:paraId="39D29999">
      <w:pPr>
        <w:ind w:firstLine="560"/>
        <w:rPr>
          <w:rFonts w:hint="eastAsia"/>
        </w:rPr>
      </w:pPr>
      <w:r>
        <w:rPr>
          <w:rFonts w:hint="eastAsia"/>
          <w:lang w:val="en-US" w:eastAsia="zh-CN"/>
        </w:rPr>
        <w:t>本章规定了电力钢结构涂镀锌的试验检验与验收要求，内容涵盖表面处理检验、原材料检验、涂层质量检验、基层处理验收、涂装施工验收、检验批划分及验收资料等关键内容。</w:t>
      </w:r>
    </w:p>
    <w:p w14:paraId="7B900DE9">
      <w:pPr>
        <w:ind w:firstLine="560"/>
      </w:pPr>
      <w:r>
        <w:rPr>
          <w:rFonts w:hint="eastAsia"/>
          <w:lang w:val="en-US" w:eastAsia="zh-CN"/>
        </w:rPr>
        <w:t>编制主要依据GB 50205《钢结构工程施工质量验收标准》、GB/T 50224《建筑防腐蚀工程施工质量验收标准》、JGJ/T 251《建筑钢结构防腐蚀技术规程》 以及相关涂料性能试验方法标准，结合涂镀锌复合涂层体系的质量控制特点，明确了除锈等级、粗糙度、涂层厚度、附着力、外观质量、针孔等核心检验项目，统一了抽样数量、检测方法与合格判定指标，规范了验收程序与资料归档要求，实现全过程质量可检测、可判定、可追溯，保障电力钢结构涂镀锌工程施工质量符合设计与使用要求。</w:t>
      </w:r>
    </w:p>
    <w:p w14:paraId="31DD67C2">
      <w:pPr>
        <w:pStyle w:val="2"/>
        <w:shd w:val="clear"/>
      </w:pPr>
      <w:r>
        <w:rPr>
          <w:rFonts w:hint="eastAsia" w:ascii="仿宋_GB2312" w:hAnsi="仿宋_GB2312" w:cs="仿宋_GB2312"/>
        </w:rPr>
        <w:t>试验验证的分析、综述报告，技术经济论证，预期的经济效益、社会效益和生态效益</w:t>
      </w:r>
      <w:bookmarkEnd w:id="9"/>
    </w:p>
    <w:p w14:paraId="5B4A9F9F">
      <w:pPr>
        <w:pStyle w:val="3"/>
      </w:pPr>
      <w:r>
        <w:rPr>
          <w:rFonts w:hint="eastAsia"/>
        </w:rPr>
        <w:t>验证分析、综述报告</w:t>
      </w:r>
    </w:p>
    <w:p w14:paraId="78E48985">
      <w:pPr>
        <w:keepNext w:val="0"/>
        <w:keepLines w:val="0"/>
        <w:pageBreakBefore w:val="0"/>
        <w:widowControl w:val="0"/>
        <w:numPr>
          <w:ilvl w:val="0"/>
          <w:numId w:val="0"/>
        </w:numPr>
        <w:kinsoku/>
        <w:wordWrap/>
        <w:overflowPunct/>
        <w:topLinePunct w:val="0"/>
        <w:autoSpaceDE/>
        <w:autoSpaceDN/>
        <w:bidi w:val="0"/>
        <w:adjustRightInd w:val="0"/>
        <w:snapToGrid w:val="0"/>
        <w:ind w:firstLine="560" w:firstLineChars="200"/>
        <w:textAlignment w:val="auto"/>
        <w:rPr>
          <w:rFonts w:hint="eastAsia"/>
        </w:rPr>
      </w:pPr>
      <w:r>
        <w:rPr>
          <w:rFonts w:hint="eastAsia"/>
          <w:lang w:val="en-US" w:eastAsia="zh-CN"/>
        </w:rPr>
        <w:t>本标准编制过程中，对电力钢结构涂镀锌技术应用现状、材料性能、施工工艺、试验检验及工程验收等内容开展全面调研、试验验证与综合分析，形成综述结论如下：</w:t>
      </w:r>
    </w:p>
    <w:p w14:paraId="1A8328EE">
      <w:pPr>
        <w:keepNext w:val="0"/>
        <w:keepLines w:val="0"/>
        <w:pageBreakBefore w:val="0"/>
        <w:widowControl w:val="0"/>
        <w:numPr>
          <w:ilvl w:val="0"/>
          <w:numId w:val="0"/>
        </w:numPr>
        <w:kinsoku/>
        <w:wordWrap/>
        <w:overflowPunct/>
        <w:topLinePunct w:val="0"/>
        <w:autoSpaceDE/>
        <w:autoSpaceDN/>
        <w:bidi w:val="0"/>
        <w:adjustRightInd w:val="0"/>
        <w:snapToGrid w:val="0"/>
        <w:ind w:firstLine="560" w:firstLineChars="200"/>
        <w:textAlignment w:val="auto"/>
        <w:rPr>
          <w:rFonts w:hint="eastAsia"/>
        </w:rPr>
      </w:pPr>
      <w:r>
        <w:rPr>
          <w:rFonts w:hint="eastAsia"/>
          <w:lang w:val="en-US" w:eastAsia="zh-CN"/>
        </w:rPr>
        <w:t>当前电力钢结构防腐以热浸锌、重防腐涂料为主，涂镀锌工艺兼具阴极保护、屏蔽防护、耐候防护复合功能，施工便捷、适配现场与工厂作业，可满足不同腐蚀环境下电力钢结构长效防腐需求，技术成熟、应用可行。</w:t>
      </w:r>
    </w:p>
    <w:p w14:paraId="31417AD7">
      <w:pPr>
        <w:keepNext w:val="0"/>
        <w:keepLines w:val="0"/>
        <w:pageBreakBefore w:val="0"/>
        <w:widowControl w:val="0"/>
        <w:numPr>
          <w:ilvl w:val="0"/>
          <w:numId w:val="0"/>
        </w:numPr>
        <w:kinsoku/>
        <w:wordWrap/>
        <w:overflowPunct/>
        <w:topLinePunct w:val="0"/>
        <w:autoSpaceDE/>
        <w:autoSpaceDN/>
        <w:bidi w:val="0"/>
        <w:adjustRightInd w:val="0"/>
        <w:snapToGrid w:val="0"/>
        <w:ind w:firstLine="560" w:firstLineChars="200"/>
        <w:textAlignment w:val="auto"/>
        <w:rPr>
          <w:rFonts w:hint="eastAsia"/>
          <w:lang w:val="en-US" w:eastAsia="zh-CN"/>
        </w:rPr>
      </w:pPr>
      <w:r>
        <w:rPr>
          <w:rFonts w:hint="eastAsia"/>
          <w:lang w:val="en-US" w:eastAsia="zh-CN"/>
        </w:rPr>
        <w:t>验证与综述表明：涂镀锌材料性能符合HG/T 3668、HG/T 4845、HG/T 3792等要求，底层锌含量、附着力、耐盐雾等关键指标满足长效防腐；表面处理Sa2½ 级及St3级、粗糙度30μm～75μm可保证涂层附着力；施工环境、涂装间隔、膜厚控制等工艺参数合理，可操作性强；检验项目与验收规则与GB 50205、GB/T 50224等协调一致，质量可控、可验收。</w:t>
      </w:r>
    </w:p>
    <w:p w14:paraId="5F1C6731">
      <w:pPr>
        <w:keepNext w:val="0"/>
        <w:keepLines w:val="0"/>
        <w:pageBreakBefore w:val="0"/>
        <w:widowControl w:val="0"/>
        <w:numPr>
          <w:ilvl w:val="0"/>
          <w:numId w:val="0"/>
        </w:numPr>
        <w:kinsoku/>
        <w:wordWrap/>
        <w:overflowPunct/>
        <w:topLinePunct w:val="0"/>
        <w:autoSpaceDE/>
        <w:autoSpaceDN/>
        <w:bidi w:val="0"/>
        <w:adjustRightInd w:val="0"/>
        <w:snapToGrid w:val="0"/>
        <w:ind w:firstLine="560" w:firstLineChars="200"/>
        <w:textAlignment w:val="auto"/>
        <w:rPr>
          <w:rFonts w:hint="eastAsia"/>
          <w:lang w:val="en-US" w:eastAsia="zh-CN"/>
        </w:rPr>
      </w:pPr>
      <w:r>
        <w:rPr>
          <w:rFonts w:hint="eastAsia"/>
          <w:lang w:val="en-US" w:eastAsia="zh-CN"/>
        </w:rPr>
        <w:t>涂镀锌涂层主要是通过电化学保护来阻止钢铁腐蚀。根据电化学腐蚀理论，在腐蚀电池中始终是电极电位较低的阳极受到腐蚀。金属锌的标准电极电位-0.76 V，较铁-0.44 V为活泼，涂膜在受到侵蚀时，锌粉作为阳极先受到腐蚀，基材钢铁为阴极受到保护。涂镀锌涂层中的锌粉在保护过程中逐渐被消耗，但速度很慢。其腐蚀产物的形成，使涂层与底材的电位差有所减少，当涂膜被损伤时，一旦露出新鲜的金属锌，电位差立即增大，产生较强的阴极保护作用。也可誉为涂镀锌的“自修复”性。锌在自然环境中的化学反应式如下：</w:t>
      </w:r>
    </w:p>
    <w:p w14:paraId="5FAF9B84">
      <w:pPr>
        <w:keepNext w:val="0"/>
        <w:keepLines w:val="0"/>
        <w:pageBreakBefore w:val="0"/>
        <w:widowControl w:val="0"/>
        <w:numPr>
          <w:ilvl w:val="0"/>
          <w:numId w:val="0"/>
        </w:numPr>
        <w:kinsoku/>
        <w:wordWrap/>
        <w:overflowPunct/>
        <w:topLinePunct w:val="0"/>
        <w:autoSpaceDE/>
        <w:autoSpaceDN/>
        <w:bidi w:val="0"/>
        <w:adjustRightInd w:val="0"/>
        <w:snapToGrid w:val="0"/>
        <w:ind w:firstLine="560" w:firstLineChars="200"/>
        <w:textAlignment w:val="auto"/>
        <w:rPr>
          <w:rFonts w:hint="eastAsia"/>
          <w:lang w:val="en-US" w:eastAsia="zh-CN"/>
        </w:rPr>
      </w:pPr>
      <w:r>
        <w:rPr>
          <w:rFonts w:hint="eastAsia"/>
          <w:lang w:val="en-US" w:eastAsia="zh-CN"/>
        </w:rPr>
        <w:t>Zn＋2H</w:t>
      </w:r>
      <w:r>
        <w:rPr>
          <w:rFonts w:hint="eastAsia"/>
          <w:vertAlign w:val="subscript"/>
          <w:lang w:val="en-US" w:eastAsia="zh-CN"/>
        </w:rPr>
        <w:t>2</w:t>
      </w:r>
      <w:r>
        <w:rPr>
          <w:rFonts w:hint="eastAsia"/>
          <w:lang w:val="en-US" w:eastAsia="zh-CN"/>
        </w:rPr>
        <w:t>O → Zn(OH)</w:t>
      </w:r>
      <w:r>
        <w:rPr>
          <w:rFonts w:hint="eastAsia"/>
          <w:vertAlign w:val="subscript"/>
          <w:lang w:val="en-US" w:eastAsia="zh-CN"/>
        </w:rPr>
        <w:t>2</w:t>
      </w:r>
      <w:r>
        <w:rPr>
          <w:rFonts w:hint="eastAsia"/>
          <w:lang w:val="en-US" w:eastAsia="zh-CN"/>
        </w:rPr>
        <w:t>＋H</w:t>
      </w:r>
      <w:r>
        <w:rPr>
          <w:rFonts w:hint="eastAsia"/>
          <w:vertAlign w:val="subscript"/>
          <w:lang w:val="en-US" w:eastAsia="zh-CN"/>
        </w:rPr>
        <w:t>2</w:t>
      </w:r>
    </w:p>
    <w:p w14:paraId="6EEDF330">
      <w:pPr>
        <w:keepNext w:val="0"/>
        <w:keepLines w:val="0"/>
        <w:pageBreakBefore w:val="0"/>
        <w:widowControl w:val="0"/>
        <w:numPr>
          <w:ilvl w:val="0"/>
          <w:numId w:val="0"/>
        </w:numPr>
        <w:kinsoku/>
        <w:wordWrap/>
        <w:overflowPunct/>
        <w:topLinePunct w:val="0"/>
        <w:autoSpaceDE/>
        <w:autoSpaceDN/>
        <w:bidi w:val="0"/>
        <w:adjustRightInd w:val="0"/>
        <w:snapToGrid w:val="0"/>
        <w:ind w:firstLine="560" w:firstLineChars="200"/>
        <w:textAlignment w:val="auto"/>
        <w:rPr>
          <w:rFonts w:hint="eastAsia"/>
          <w:vertAlign w:val="superscript"/>
          <w:lang w:val="en-US" w:eastAsia="zh-CN"/>
        </w:rPr>
      </w:pPr>
      <w:r>
        <w:rPr>
          <w:rFonts w:hint="eastAsia"/>
          <w:lang w:val="en-US" w:eastAsia="zh-CN"/>
        </w:rPr>
        <w:t>Zn(OH)</w:t>
      </w:r>
      <w:r>
        <w:rPr>
          <w:rFonts w:hint="eastAsia"/>
          <w:vertAlign w:val="subscript"/>
          <w:lang w:val="en-US" w:eastAsia="zh-CN"/>
        </w:rPr>
        <w:t>2</w:t>
      </w:r>
      <w:r>
        <w:rPr>
          <w:rFonts w:hint="eastAsia"/>
          <w:lang w:val="en-US" w:eastAsia="zh-CN"/>
        </w:rPr>
        <w:t xml:space="preserve"> → ZnO＋H</w:t>
      </w:r>
      <w:r>
        <w:rPr>
          <w:rFonts w:hint="eastAsia"/>
          <w:vertAlign w:val="subscript"/>
          <w:lang w:val="en-US" w:eastAsia="zh-CN"/>
        </w:rPr>
        <w:t>2</w:t>
      </w:r>
      <w:r>
        <w:rPr>
          <w:rFonts w:hint="eastAsia"/>
          <w:lang w:val="en-US" w:eastAsia="zh-CN"/>
        </w:rPr>
        <w:t>O</w:t>
      </w:r>
    </w:p>
    <w:p w14:paraId="39976948">
      <w:pPr>
        <w:keepNext w:val="0"/>
        <w:keepLines w:val="0"/>
        <w:pageBreakBefore w:val="0"/>
        <w:widowControl w:val="0"/>
        <w:numPr>
          <w:ilvl w:val="0"/>
          <w:numId w:val="0"/>
        </w:numPr>
        <w:kinsoku/>
        <w:wordWrap/>
        <w:overflowPunct/>
        <w:topLinePunct w:val="0"/>
        <w:autoSpaceDE/>
        <w:autoSpaceDN/>
        <w:bidi w:val="0"/>
        <w:adjustRightInd w:val="0"/>
        <w:snapToGrid w:val="0"/>
        <w:ind w:firstLine="560" w:firstLineChars="200"/>
        <w:textAlignment w:val="auto"/>
        <w:rPr>
          <w:rFonts w:hint="eastAsia"/>
          <w:lang w:val="en-US" w:eastAsia="zh-CN"/>
        </w:rPr>
      </w:pPr>
      <w:r>
        <w:rPr>
          <w:rFonts w:hint="eastAsia"/>
          <w:lang w:val="en-US" w:eastAsia="zh-CN"/>
        </w:rPr>
        <w:t>Zn(OH)</w:t>
      </w:r>
      <w:r>
        <w:rPr>
          <w:rFonts w:hint="eastAsia"/>
          <w:vertAlign w:val="subscript"/>
          <w:lang w:val="en-US" w:eastAsia="zh-CN"/>
        </w:rPr>
        <w:t>2</w:t>
      </w:r>
      <w:r>
        <w:rPr>
          <w:rFonts w:hint="eastAsia"/>
          <w:lang w:val="en-US" w:eastAsia="zh-CN"/>
        </w:rPr>
        <w:t>+CO</w:t>
      </w:r>
      <w:r>
        <w:rPr>
          <w:rFonts w:hint="eastAsia"/>
          <w:vertAlign w:val="subscript"/>
          <w:lang w:val="en-US" w:eastAsia="zh-CN"/>
        </w:rPr>
        <w:t>2</w:t>
      </w:r>
      <w:r>
        <w:rPr>
          <w:rFonts w:hint="eastAsia"/>
          <w:lang w:val="en-US" w:eastAsia="zh-CN"/>
        </w:rPr>
        <w:t xml:space="preserve"> → ZnCO</w:t>
      </w:r>
      <w:r>
        <w:rPr>
          <w:rFonts w:hint="eastAsia"/>
          <w:vertAlign w:val="subscript"/>
          <w:lang w:val="en-US" w:eastAsia="zh-CN"/>
        </w:rPr>
        <w:t>3</w:t>
      </w:r>
      <w:r>
        <w:rPr>
          <w:rFonts w:hint="eastAsia"/>
          <w:lang w:val="en-US" w:eastAsia="zh-CN"/>
        </w:rPr>
        <w:t>＋H</w:t>
      </w:r>
      <w:r>
        <w:rPr>
          <w:rFonts w:hint="eastAsia"/>
          <w:vertAlign w:val="subscript"/>
          <w:lang w:val="en-US" w:eastAsia="zh-CN"/>
        </w:rPr>
        <w:t>2</w:t>
      </w:r>
      <w:r>
        <w:rPr>
          <w:rFonts w:hint="eastAsia"/>
          <w:lang w:val="en-US" w:eastAsia="zh-CN"/>
        </w:rPr>
        <w:t>O</w:t>
      </w:r>
    </w:p>
    <w:p w14:paraId="00AEB7EA">
      <w:pPr>
        <w:keepNext w:val="0"/>
        <w:keepLines w:val="0"/>
        <w:pageBreakBefore w:val="0"/>
        <w:widowControl w:val="0"/>
        <w:numPr>
          <w:ilvl w:val="0"/>
          <w:numId w:val="0"/>
        </w:numPr>
        <w:kinsoku/>
        <w:wordWrap/>
        <w:overflowPunct/>
        <w:topLinePunct w:val="0"/>
        <w:autoSpaceDE/>
        <w:autoSpaceDN/>
        <w:bidi w:val="0"/>
        <w:adjustRightInd w:val="0"/>
        <w:snapToGrid w:val="0"/>
        <w:ind w:firstLine="560" w:firstLineChars="200"/>
        <w:textAlignment w:val="auto"/>
        <w:rPr>
          <w:rFonts w:hint="eastAsia"/>
          <w:lang w:val="en-US" w:eastAsia="zh-CN"/>
        </w:rPr>
      </w:pPr>
      <w:r>
        <w:rPr>
          <w:rFonts w:hint="eastAsia"/>
          <w:lang w:val="en-US" w:eastAsia="zh-CN"/>
        </w:rPr>
        <w:t>Zn(OH)</w:t>
      </w:r>
      <w:r>
        <w:rPr>
          <w:rFonts w:hint="eastAsia"/>
          <w:vertAlign w:val="subscript"/>
          <w:lang w:val="en-US" w:eastAsia="zh-CN"/>
        </w:rPr>
        <w:t>2</w:t>
      </w:r>
      <w:r>
        <w:rPr>
          <w:rFonts w:hint="eastAsia"/>
          <w:lang w:val="en-US" w:eastAsia="zh-CN"/>
        </w:rPr>
        <w:t>+CO</w:t>
      </w:r>
      <w:r>
        <w:rPr>
          <w:rFonts w:hint="eastAsia"/>
          <w:vertAlign w:val="subscript"/>
          <w:lang w:val="en-US" w:eastAsia="zh-CN"/>
        </w:rPr>
        <w:t>2</w:t>
      </w:r>
      <w:r>
        <w:rPr>
          <w:rFonts w:hint="eastAsia"/>
          <w:lang w:val="en-US" w:eastAsia="zh-CN"/>
        </w:rPr>
        <w:t>+H</w:t>
      </w:r>
      <w:r>
        <w:rPr>
          <w:rFonts w:hint="eastAsia"/>
          <w:vertAlign w:val="subscript"/>
          <w:lang w:val="en-US" w:eastAsia="zh-CN"/>
        </w:rPr>
        <w:t>2</w:t>
      </w:r>
      <w:r>
        <w:rPr>
          <w:rFonts w:hint="eastAsia"/>
          <w:lang w:val="en-US" w:eastAsia="zh-CN"/>
        </w:rPr>
        <w:t>O →ZnCO</w:t>
      </w:r>
      <w:r>
        <w:rPr>
          <w:rFonts w:hint="eastAsia"/>
          <w:vertAlign w:val="subscript"/>
          <w:lang w:val="en-US" w:eastAsia="zh-CN"/>
        </w:rPr>
        <w:t>3</w:t>
      </w:r>
      <w:r>
        <w:rPr>
          <w:rFonts w:hint="eastAsia"/>
          <w:lang w:val="en-US" w:eastAsia="zh-CN"/>
        </w:rPr>
        <w:t>·2Zn(OH)</w:t>
      </w:r>
      <w:r>
        <w:rPr>
          <w:rFonts w:hint="eastAsia"/>
          <w:vertAlign w:val="subscript"/>
          <w:lang w:val="en-US" w:eastAsia="zh-CN"/>
        </w:rPr>
        <w:t>2</w:t>
      </w:r>
      <w:r>
        <w:rPr>
          <w:rFonts w:hint="eastAsia"/>
          <w:lang w:val="en-US" w:eastAsia="zh-CN"/>
        </w:rPr>
        <w:t>·H</w:t>
      </w:r>
      <w:r>
        <w:rPr>
          <w:rFonts w:hint="eastAsia"/>
          <w:vertAlign w:val="subscript"/>
          <w:lang w:val="en-US" w:eastAsia="zh-CN"/>
        </w:rPr>
        <w:t>2</w:t>
      </w:r>
      <w:r>
        <w:rPr>
          <w:rFonts w:hint="eastAsia"/>
          <w:lang w:val="en-US" w:eastAsia="zh-CN"/>
        </w:rPr>
        <w:t>O</w:t>
      </w:r>
    </w:p>
    <w:p w14:paraId="5E5818F3">
      <w:pPr>
        <w:keepNext w:val="0"/>
        <w:keepLines w:val="0"/>
        <w:pageBreakBefore w:val="0"/>
        <w:widowControl w:val="0"/>
        <w:numPr>
          <w:ilvl w:val="0"/>
          <w:numId w:val="0"/>
        </w:numPr>
        <w:kinsoku/>
        <w:wordWrap/>
        <w:overflowPunct/>
        <w:topLinePunct w:val="0"/>
        <w:autoSpaceDE/>
        <w:autoSpaceDN/>
        <w:bidi w:val="0"/>
        <w:adjustRightInd w:val="0"/>
        <w:snapToGrid w:val="0"/>
        <w:ind w:firstLine="560" w:firstLineChars="200"/>
        <w:textAlignment w:val="auto"/>
        <w:rPr>
          <w:rFonts w:hint="eastAsia"/>
          <w:lang w:val="en-US" w:eastAsia="zh-CN"/>
        </w:rPr>
      </w:pPr>
      <w:r>
        <w:rPr>
          <w:rFonts w:hint="eastAsia"/>
          <w:lang w:val="en-US" w:eastAsia="zh-CN"/>
        </w:rPr>
        <w:t>随着锌粉的消耗而生成的ZnO、Zn(OH)</w:t>
      </w:r>
      <w:r>
        <w:rPr>
          <w:rFonts w:hint="eastAsia"/>
          <w:vertAlign w:val="subscript"/>
          <w:lang w:val="en-US" w:eastAsia="zh-CN"/>
        </w:rPr>
        <w:t>2</w:t>
      </w:r>
      <w:r>
        <w:rPr>
          <w:rFonts w:hint="eastAsia"/>
          <w:lang w:val="en-US" w:eastAsia="zh-CN"/>
        </w:rPr>
        <w:t>和碱式碳酸锌［ZnCO</w:t>
      </w:r>
      <w:r>
        <w:rPr>
          <w:rFonts w:hint="eastAsia"/>
          <w:vertAlign w:val="subscript"/>
          <w:lang w:val="en-US" w:eastAsia="zh-CN"/>
        </w:rPr>
        <w:t>3</w:t>
      </w:r>
      <w:r>
        <w:rPr>
          <w:rFonts w:hint="eastAsia"/>
          <w:lang w:val="en-US" w:eastAsia="zh-CN"/>
        </w:rPr>
        <w:t>·2Zn(OH)</w:t>
      </w:r>
      <w:r>
        <w:rPr>
          <w:rFonts w:hint="eastAsia"/>
          <w:vertAlign w:val="subscript"/>
          <w:lang w:val="en-US" w:eastAsia="zh-CN"/>
        </w:rPr>
        <w:t>2</w:t>
      </w:r>
      <w:r>
        <w:rPr>
          <w:rFonts w:hint="eastAsia"/>
          <w:lang w:val="en-US" w:eastAsia="zh-CN"/>
        </w:rPr>
        <w:t>·H</w:t>
      </w:r>
      <w:r>
        <w:rPr>
          <w:rFonts w:hint="eastAsia"/>
          <w:vertAlign w:val="subscript"/>
          <w:lang w:val="en-US" w:eastAsia="zh-CN"/>
        </w:rPr>
        <w:t>2</w:t>
      </w:r>
      <w:r>
        <w:rPr>
          <w:rFonts w:hint="eastAsia"/>
          <w:lang w:val="en-US" w:eastAsia="zh-CN"/>
        </w:rPr>
        <w:t>O］粉末沉积于涂膜空隙中，增加了涂膜的致密性，从而也起到了屏蔽保护作用，减缓了电化学腐蚀速度，使锌粉的消耗速度大大降低，耐久性得以提高。也有资料报导是因为这些碱性沉积物的存在起到了化学钝化作用。</w:t>
      </w:r>
    </w:p>
    <w:p w14:paraId="573473A5">
      <w:pPr>
        <w:keepNext w:val="0"/>
        <w:keepLines w:val="0"/>
        <w:pageBreakBefore w:val="0"/>
        <w:widowControl w:val="0"/>
        <w:numPr>
          <w:ilvl w:val="0"/>
          <w:numId w:val="0"/>
        </w:numPr>
        <w:kinsoku/>
        <w:wordWrap/>
        <w:overflowPunct/>
        <w:topLinePunct w:val="0"/>
        <w:autoSpaceDE/>
        <w:autoSpaceDN/>
        <w:bidi w:val="0"/>
        <w:adjustRightInd w:val="0"/>
        <w:snapToGrid w:val="0"/>
        <w:ind w:firstLine="560" w:firstLineChars="200"/>
        <w:textAlignment w:val="auto"/>
      </w:pPr>
      <w:r>
        <w:rPr>
          <w:rFonts w:hint="eastAsia"/>
          <w:lang w:val="en-US" w:eastAsia="zh-CN"/>
        </w:rPr>
        <w:t>综上，涂镀锌技术在电力钢结构中应用安全可靠、经济合理、便于推广，本标准各项技术指标设置科学，符合工程实际，能够有效指导施工与验收，保障电力钢结构防腐工程质量。</w:t>
      </w:r>
    </w:p>
    <w:p w14:paraId="333E1162">
      <w:pPr>
        <w:pStyle w:val="3"/>
      </w:pPr>
      <w:bookmarkStart w:id="10" w:name="_Toc14088"/>
      <w:r>
        <w:rPr>
          <w:rFonts w:hint="eastAsia"/>
        </w:rPr>
        <w:t>验证情况</w:t>
      </w:r>
      <w:bookmarkEnd w:id="10"/>
    </w:p>
    <w:bookmarkEnd w:id="6"/>
    <w:p w14:paraId="31B12845">
      <w:pPr>
        <w:ind w:firstLine="560"/>
        <w:rPr>
          <w:rFonts w:hint="eastAsia"/>
          <w:highlight w:val="none"/>
        </w:rPr>
      </w:pPr>
      <w:r>
        <w:rPr>
          <w:rFonts w:hint="eastAsia"/>
          <w:highlight w:val="none"/>
          <w:lang w:val="en-US" w:eastAsia="zh-CN"/>
        </w:rPr>
        <w:t>本标准基于参编单位多年电力钢结构防腐工程实践、多项试验检测成果及工程应用数据，对涂镀锌材料性能、表面处理、施工工艺、涂层质量、试验检验与验收等关键技术内容开展全面验证。</w:t>
      </w:r>
    </w:p>
    <w:p w14:paraId="0518E2FB">
      <w:pPr>
        <w:ind w:firstLine="560"/>
        <w:rPr>
          <w:rFonts w:hint="eastAsia"/>
          <w:highlight w:val="none"/>
          <w:lang w:val="en-US" w:eastAsia="zh-CN"/>
        </w:rPr>
      </w:pPr>
      <w:r>
        <w:rPr>
          <w:rFonts w:hint="eastAsia"/>
          <w:highlight w:val="none"/>
          <w:lang w:val="en-US" w:eastAsia="zh-CN"/>
        </w:rPr>
        <w:t>编制组依托火电厂、输电铁塔、变电站构架等电力钢结构工程，对涂镀锌底层、中间层、面层配套体系进行性能检测与现场施工验证，结果表明：涂镀锌涂料金属锌含量、不挥发物、附着力、耐盐雾、耐候性等指标均满足本标准及相关产品标准要求；钢材表面除锈等级、粗糙度、涂装间隔、涂层厚度等施工工艺参数设置科学合理；涂层外观、附着力、针孔等质量检验项目判定清晰、便于实施；验收程序与资料要求符合现行工程管理规定。</w:t>
      </w:r>
    </w:p>
    <w:p w14:paraId="01D1A8F1">
      <w:pPr>
        <w:ind w:firstLine="560"/>
        <w:rPr>
          <w:rFonts w:hint="eastAsia"/>
          <w:highlight w:val="none"/>
          <w:lang w:val="en-US" w:eastAsia="zh-CN"/>
        </w:rPr>
      </w:pPr>
      <w:r>
        <w:rPr>
          <w:rFonts w:hint="eastAsia"/>
          <w:highlight w:val="none"/>
          <w:lang w:val="en-US" w:eastAsia="zh-CN"/>
        </w:rPr>
        <w:t>同时在某电厂</w:t>
      </w:r>
      <w:r>
        <w:rPr>
          <w:rFonts w:hint="default"/>
          <w:sz w:val="28"/>
          <w:szCs w:val="28"/>
        </w:rPr>
        <w:t>所验证的涂镀锌技术体系为在高温高湿高盐这一极端严酷环境下的设备防腐树立了新的标杆。它为行业制定或修订更高级别的防腐技术规范（如《火电厂设备防腐涂装技术规程》）提供了宝贵的数据支持和实践案例，推动了全行业防腐标准的升级。</w:t>
      </w:r>
    </w:p>
    <w:p w14:paraId="6AEF5D88">
      <w:pPr>
        <w:spacing w:afterAutospacing="0"/>
        <w:ind w:firstLine="560" w:firstLineChars="200"/>
        <w:rPr>
          <w:rFonts w:hint="default"/>
          <w:sz w:val="28"/>
          <w:szCs w:val="28"/>
        </w:rPr>
      </w:pPr>
      <w:r>
        <w:rPr>
          <w:rFonts w:hint="eastAsia"/>
          <w:highlight w:val="none"/>
          <w:lang w:val="en-US" w:eastAsia="zh-CN"/>
        </w:rPr>
        <w:t>经多项工程应用验证，采用本标准技术要求实施的涂镀锌防腐工程，涂层附着力强、防腐寿命达标、施工质量稳定，可有效降低电力钢结构腐蚀风险，延长维护周期、减少运维成本。</w:t>
      </w:r>
      <w:r>
        <w:rPr>
          <w:rFonts w:hint="default"/>
          <w:sz w:val="28"/>
          <w:szCs w:val="28"/>
        </w:rPr>
        <w:t>其技术成果可无缝推广至面临类似腐蚀环境的海洋工程（如海上风电、港口机械）、石油化工（如沿海石化基地、 LNG 接收站）、交通运输（如跨海大桥、沿海铁路设施）等领域，为国民经济多个关键领域的资产保护提供了全新的解决方案，具有广泛的跨行业推广价值。</w:t>
      </w:r>
    </w:p>
    <w:p w14:paraId="4E1B8064">
      <w:pPr>
        <w:spacing w:afterAutospacing="0"/>
        <w:jc w:val="center"/>
      </w:pPr>
      <w:r>
        <w:drawing>
          <wp:inline distT="0" distB="0" distL="114300" distR="114300">
            <wp:extent cx="1572895" cy="1433195"/>
            <wp:effectExtent l="0" t="0" r="8255" b="14605"/>
            <wp:docPr id="14"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3"/>
                    <pic:cNvPicPr>
                      <a:picLocks noChangeAspect="1"/>
                    </pic:cNvPicPr>
                  </pic:nvPicPr>
                  <pic:blipFill>
                    <a:blip r:embed="rId12"/>
                    <a:stretch>
                      <a:fillRect/>
                    </a:stretch>
                  </pic:blipFill>
                  <pic:spPr>
                    <a:xfrm>
                      <a:off x="0" y="0"/>
                      <a:ext cx="1572895" cy="1433195"/>
                    </a:xfrm>
                    <a:prstGeom prst="rect">
                      <a:avLst/>
                    </a:prstGeom>
                  </pic:spPr>
                </pic:pic>
              </a:graphicData>
            </a:graphic>
          </wp:inline>
        </w:drawing>
      </w:r>
      <w:r>
        <w:drawing>
          <wp:inline distT="0" distB="0" distL="114300" distR="114300">
            <wp:extent cx="1482725" cy="1403985"/>
            <wp:effectExtent l="0" t="0" r="3175" b="5715"/>
            <wp:docPr id="25"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4"/>
                    <pic:cNvPicPr>
                      <a:picLocks noChangeAspect="1"/>
                    </pic:cNvPicPr>
                  </pic:nvPicPr>
                  <pic:blipFill>
                    <a:blip r:embed="rId13"/>
                    <a:stretch>
                      <a:fillRect/>
                    </a:stretch>
                  </pic:blipFill>
                  <pic:spPr>
                    <a:xfrm>
                      <a:off x="0" y="0"/>
                      <a:ext cx="1482725" cy="1403985"/>
                    </a:xfrm>
                    <a:prstGeom prst="rect">
                      <a:avLst/>
                    </a:prstGeom>
                  </pic:spPr>
                </pic:pic>
              </a:graphicData>
            </a:graphic>
          </wp:inline>
        </w:drawing>
      </w:r>
    </w:p>
    <w:p w14:paraId="67F7024A">
      <w:pPr>
        <w:pStyle w:val="11"/>
        <w:spacing w:afterAutospacing="0"/>
        <w:jc w:val="center"/>
        <w:rPr>
          <w:rFonts w:hint="eastAsia" w:eastAsia="仿宋_GB2312"/>
          <w:lang w:eastAsia="zh-CN"/>
        </w:rPr>
      </w:pPr>
      <w:r>
        <w:t xml:space="preserve">图 </w:t>
      </w:r>
      <w:r>
        <w:fldChar w:fldCharType="begin"/>
      </w:r>
      <w:r>
        <w:instrText xml:space="preserve"> SEQ 图 \* ARABIC </w:instrText>
      </w:r>
      <w:r>
        <w:fldChar w:fldCharType="separate"/>
      </w:r>
      <w:r>
        <w:t>1</w:t>
      </w:r>
      <w:r>
        <w:fldChar w:fldCharType="end"/>
      </w:r>
      <w:r>
        <w:rPr>
          <w:rFonts w:hint="eastAsia"/>
          <w:lang w:eastAsia="zh-CN"/>
        </w:rPr>
        <w:t>涂镀锌涂装前及</w:t>
      </w:r>
      <w:r>
        <w:rPr>
          <w:rFonts w:hint="eastAsia"/>
          <w:lang w:val="en-US" w:eastAsia="zh-CN"/>
        </w:rPr>
        <w:t>1年</w:t>
      </w:r>
      <w:r>
        <w:rPr>
          <w:rFonts w:hint="eastAsia"/>
          <w:lang w:eastAsia="zh-CN"/>
        </w:rPr>
        <w:t>后对比（左：涂装前；右：涂装后）</w:t>
      </w:r>
    </w:p>
    <w:p w14:paraId="4E646C8F">
      <w:pPr>
        <w:spacing w:afterAutospacing="0"/>
        <w:ind w:firstLine="560" w:firstLineChars="200"/>
        <w:jc w:val="center"/>
        <w:rPr>
          <w:sz w:val="28"/>
          <w:szCs w:val="28"/>
        </w:rPr>
      </w:pPr>
      <w:r>
        <w:rPr>
          <w:sz w:val="28"/>
          <w:szCs w:val="28"/>
        </w:rPr>
        <w:drawing>
          <wp:inline distT="0" distB="0" distL="0" distR="0">
            <wp:extent cx="2011680" cy="2179320"/>
            <wp:effectExtent l="0" t="0" r="7620" b="11430"/>
            <wp:docPr id="1289046802"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9046802" name="图片 19"/>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2011680" cy="2179320"/>
                    </a:xfrm>
                    <a:prstGeom prst="rect">
                      <a:avLst/>
                    </a:prstGeom>
                    <a:noFill/>
                    <a:ln>
                      <a:noFill/>
                    </a:ln>
                  </pic:spPr>
                </pic:pic>
              </a:graphicData>
            </a:graphic>
          </wp:inline>
        </w:drawing>
      </w:r>
    </w:p>
    <w:p w14:paraId="5BAECB30">
      <w:pPr>
        <w:pStyle w:val="11"/>
        <w:spacing w:afterAutospacing="0"/>
        <w:ind w:firstLine="400" w:firstLineChars="200"/>
        <w:jc w:val="center"/>
        <w:rPr>
          <w:rFonts w:hint="eastAsia"/>
          <w:lang w:eastAsia="zh-CN"/>
        </w:rPr>
      </w:pPr>
      <w:r>
        <w:t xml:space="preserve">图 </w:t>
      </w:r>
      <w:r>
        <w:fldChar w:fldCharType="begin"/>
      </w:r>
      <w:r>
        <w:instrText xml:space="preserve"> SEQ 图 \* ARABIC </w:instrText>
      </w:r>
      <w:r>
        <w:fldChar w:fldCharType="separate"/>
      </w:r>
      <w:r>
        <w:t>2</w:t>
      </w:r>
      <w:r>
        <w:fldChar w:fldCharType="end"/>
      </w:r>
      <w:r>
        <w:rPr>
          <w:rFonts w:hint="eastAsia"/>
          <w:lang w:eastAsia="zh-CN"/>
        </w:rPr>
        <w:t>铅笔硬度计来测量涂膜硬度的效果图（≥2H）</w:t>
      </w:r>
    </w:p>
    <w:p w14:paraId="6EBC0890">
      <w:pPr>
        <w:jc w:val="center"/>
        <w:rPr>
          <w:sz w:val="28"/>
          <w:szCs w:val="28"/>
        </w:rPr>
      </w:pPr>
      <w:r>
        <w:rPr>
          <w:sz w:val="28"/>
          <w:szCs w:val="28"/>
        </w:rPr>
        <w:drawing>
          <wp:inline distT="0" distB="0" distL="0" distR="0">
            <wp:extent cx="2415540" cy="1935480"/>
            <wp:effectExtent l="0" t="0" r="3810" b="7620"/>
            <wp:docPr id="66627585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6275856" name="图片 16"/>
                    <pic:cNvPicPr>
                      <a:picLocks noChangeAspect="1" noChangeArrowheads="1"/>
                    </pic:cNvPicPr>
                  </pic:nvPicPr>
                  <pic:blipFill>
                    <a:blip r:embed="rId15">
                      <a:extLst>
                        <a:ext uri="{28A0092B-C50C-407E-A947-70E740481C1C}">
                          <a14:useLocalDpi xmlns:a14="http://schemas.microsoft.com/office/drawing/2010/main" val="0"/>
                        </a:ext>
                      </a:extLst>
                    </a:blip>
                    <a:srcRect l="3497" t="2670" r="1961" b="3545"/>
                    <a:stretch>
                      <a:fillRect/>
                    </a:stretch>
                  </pic:blipFill>
                  <pic:spPr>
                    <a:xfrm>
                      <a:off x="0" y="0"/>
                      <a:ext cx="2415540" cy="1935480"/>
                    </a:xfrm>
                    <a:prstGeom prst="rect">
                      <a:avLst/>
                    </a:prstGeom>
                    <a:noFill/>
                    <a:ln>
                      <a:noFill/>
                    </a:ln>
                  </pic:spPr>
                </pic:pic>
              </a:graphicData>
            </a:graphic>
          </wp:inline>
        </w:drawing>
      </w:r>
      <w:r>
        <w:rPr>
          <w:sz w:val="28"/>
          <w:szCs w:val="28"/>
        </w:rPr>
        <w:drawing>
          <wp:inline distT="0" distB="0" distL="0" distR="0">
            <wp:extent cx="2392680" cy="1935480"/>
            <wp:effectExtent l="0" t="0" r="7620" b="7620"/>
            <wp:docPr id="605397039"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5397039" name="图片 15"/>
                    <pic:cNvPicPr>
                      <a:picLocks noChangeAspect="1" noChangeArrowheads="1"/>
                    </pic:cNvPicPr>
                  </pic:nvPicPr>
                  <pic:blipFill>
                    <a:blip r:embed="rId16">
                      <a:extLst>
                        <a:ext uri="{28A0092B-C50C-407E-A947-70E740481C1C}">
                          <a14:useLocalDpi xmlns:a14="http://schemas.microsoft.com/office/drawing/2010/main" val="0"/>
                        </a:ext>
                      </a:extLst>
                    </a:blip>
                    <a:srcRect l="3523" t="9091" b="3931"/>
                    <a:stretch>
                      <a:fillRect/>
                    </a:stretch>
                  </pic:blipFill>
                  <pic:spPr>
                    <a:xfrm>
                      <a:off x="0" y="0"/>
                      <a:ext cx="2392680" cy="1935480"/>
                    </a:xfrm>
                    <a:prstGeom prst="rect">
                      <a:avLst/>
                    </a:prstGeom>
                    <a:noFill/>
                    <a:ln>
                      <a:noFill/>
                    </a:ln>
                  </pic:spPr>
                </pic:pic>
              </a:graphicData>
            </a:graphic>
          </wp:inline>
        </w:drawing>
      </w:r>
    </w:p>
    <w:p w14:paraId="3A10B135">
      <w:pPr>
        <w:pStyle w:val="11"/>
        <w:jc w:val="center"/>
        <w:rPr>
          <w:rFonts w:hint="eastAsia"/>
          <w:lang w:eastAsia="zh-CN"/>
        </w:rPr>
      </w:pPr>
      <w:r>
        <w:t xml:space="preserve">图 </w:t>
      </w:r>
      <w:r>
        <w:fldChar w:fldCharType="begin"/>
      </w:r>
      <w:r>
        <w:instrText xml:space="preserve"> SEQ 图 \* ARABIC </w:instrText>
      </w:r>
      <w:r>
        <w:fldChar w:fldCharType="separate"/>
      </w:r>
      <w:r>
        <w:t>3</w:t>
      </w:r>
      <w:r>
        <w:fldChar w:fldCharType="end"/>
      </w:r>
      <w:r>
        <w:rPr>
          <w:rFonts w:hint="eastAsia"/>
          <w:lang w:eastAsia="zh-CN"/>
        </w:rPr>
        <w:t>漆膜耐冲击性测试效果图</w:t>
      </w:r>
    </w:p>
    <w:p w14:paraId="617DCB5F">
      <w:pPr>
        <w:ind w:left="0" w:leftChars="0" w:firstLine="0" w:firstLineChars="0"/>
        <w:jc w:val="center"/>
        <w:rPr>
          <w:sz w:val="21"/>
          <w:szCs w:val="21"/>
        </w:rPr>
      </w:pPr>
      <w:r>
        <w:rPr>
          <w:sz w:val="21"/>
          <w:szCs w:val="21"/>
        </w:rPr>
        <w:drawing>
          <wp:inline distT="0" distB="0" distL="0" distR="0">
            <wp:extent cx="2499360" cy="1744980"/>
            <wp:effectExtent l="0" t="0" r="15240" b="7620"/>
            <wp:docPr id="1478692261"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8692261" name="图片 26"/>
                    <pic:cNvPicPr>
                      <a:picLocks noChangeAspect="1" noChangeArrowheads="1"/>
                    </pic:cNvPicPr>
                  </pic:nvPicPr>
                  <pic:blipFill>
                    <a:blip r:embed="rId17" cstate="print">
                      <a:extLst>
                        <a:ext uri="{28A0092B-C50C-407E-A947-70E740481C1C}">
                          <a14:useLocalDpi xmlns:a14="http://schemas.microsoft.com/office/drawing/2010/main" val="0"/>
                        </a:ext>
                      </a:extLst>
                    </a:blip>
                    <a:srcRect l="2080" t="2519" r="1323" b="7808"/>
                    <a:stretch>
                      <a:fillRect/>
                    </a:stretch>
                  </pic:blipFill>
                  <pic:spPr>
                    <a:xfrm>
                      <a:off x="0" y="0"/>
                      <a:ext cx="2499360" cy="1744980"/>
                    </a:xfrm>
                    <a:prstGeom prst="rect">
                      <a:avLst/>
                    </a:prstGeom>
                    <a:noFill/>
                    <a:ln>
                      <a:noFill/>
                    </a:ln>
                  </pic:spPr>
                </pic:pic>
              </a:graphicData>
            </a:graphic>
          </wp:inline>
        </w:drawing>
      </w:r>
      <w:r>
        <w:rPr>
          <w:sz w:val="21"/>
          <w:szCs w:val="21"/>
        </w:rPr>
        <w:drawing>
          <wp:inline distT="0" distB="0" distL="0" distR="0">
            <wp:extent cx="2491740" cy="1744980"/>
            <wp:effectExtent l="0" t="0" r="3810" b="7620"/>
            <wp:docPr id="184082047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0820475" name="图片 25"/>
                    <pic:cNvPicPr>
                      <a:picLocks noChangeAspect="1" noChangeArrowheads="1"/>
                    </pic:cNvPicPr>
                  </pic:nvPicPr>
                  <pic:blipFill>
                    <a:blip r:embed="rId18" cstate="print">
                      <a:extLst>
                        <a:ext uri="{28A0092B-C50C-407E-A947-70E740481C1C}">
                          <a14:useLocalDpi xmlns:a14="http://schemas.microsoft.com/office/drawing/2010/main" val="0"/>
                        </a:ext>
                      </a:extLst>
                    </a:blip>
                    <a:srcRect l="1587" t="3391" r="2539" b="6621"/>
                    <a:stretch>
                      <a:fillRect/>
                    </a:stretch>
                  </pic:blipFill>
                  <pic:spPr>
                    <a:xfrm>
                      <a:off x="0" y="0"/>
                      <a:ext cx="2491740" cy="1744980"/>
                    </a:xfrm>
                    <a:prstGeom prst="rect">
                      <a:avLst/>
                    </a:prstGeom>
                    <a:noFill/>
                    <a:ln>
                      <a:noFill/>
                    </a:ln>
                  </pic:spPr>
                </pic:pic>
              </a:graphicData>
            </a:graphic>
          </wp:inline>
        </w:drawing>
      </w:r>
    </w:p>
    <w:p w14:paraId="4D6188CC">
      <w:pPr>
        <w:ind w:left="0" w:leftChars="0" w:firstLine="0" w:firstLineChars="0"/>
        <w:jc w:val="both"/>
        <w:rPr>
          <w:rFonts w:hint="default" w:eastAsia="仿宋_GB2312"/>
          <w:sz w:val="21"/>
          <w:szCs w:val="21"/>
          <w:lang w:val="en-US" w:eastAsia="zh-CN"/>
        </w:rPr>
      </w:pPr>
      <w:r>
        <w:rPr>
          <w:rFonts w:hint="eastAsia"/>
          <w:sz w:val="21"/>
          <w:szCs w:val="21"/>
          <w:lang w:val="en-US" w:eastAsia="zh-CN"/>
        </w:rPr>
        <w:t xml:space="preserve">                   LBL                                  XJ</w:t>
      </w:r>
    </w:p>
    <w:p w14:paraId="48FF87FA">
      <w:pPr>
        <w:ind w:left="0" w:leftChars="0" w:firstLine="0" w:firstLineChars="0"/>
        <w:jc w:val="center"/>
        <w:rPr>
          <w:sz w:val="21"/>
          <w:szCs w:val="21"/>
        </w:rPr>
      </w:pPr>
      <w:r>
        <w:rPr>
          <w:sz w:val="21"/>
          <w:szCs w:val="21"/>
        </w:rPr>
        <w:drawing>
          <wp:inline distT="0" distB="0" distL="0" distR="0">
            <wp:extent cx="2423160" cy="1729740"/>
            <wp:effectExtent l="0" t="0" r="15240" b="3810"/>
            <wp:docPr id="918562881"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8562881" name="图片 24"/>
                    <pic:cNvPicPr>
                      <a:picLocks noChangeAspect="1" noChangeArrowheads="1"/>
                    </pic:cNvPicPr>
                  </pic:nvPicPr>
                  <pic:blipFill>
                    <a:blip r:embed="rId19" cstate="print">
                      <a:extLst>
                        <a:ext uri="{28A0092B-C50C-407E-A947-70E740481C1C}">
                          <a14:useLocalDpi xmlns:a14="http://schemas.microsoft.com/office/drawing/2010/main" val="0"/>
                        </a:ext>
                      </a:extLst>
                    </a:blip>
                    <a:srcRect l="6551" t="1492" r="3514" b="12154"/>
                    <a:stretch>
                      <a:fillRect/>
                    </a:stretch>
                  </pic:blipFill>
                  <pic:spPr>
                    <a:xfrm>
                      <a:off x="0" y="0"/>
                      <a:ext cx="2423160" cy="1729740"/>
                    </a:xfrm>
                    <a:prstGeom prst="rect">
                      <a:avLst/>
                    </a:prstGeom>
                    <a:noFill/>
                    <a:ln>
                      <a:noFill/>
                    </a:ln>
                  </pic:spPr>
                </pic:pic>
              </a:graphicData>
            </a:graphic>
          </wp:inline>
        </w:drawing>
      </w:r>
      <w:r>
        <w:rPr>
          <w:sz w:val="21"/>
          <w:szCs w:val="21"/>
        </w:rPr>
        <w:drawing>
          <wp:inline distT="0" distB="0" distL="0" distR="0">
            <wp:extent cx="2491740" cy="1760220"/>
            <wp:effectExtent l="0" t="0" r="3810" b="11430"/>
            <wp:docPr id="88489887"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489887" name="图片 23"/>
                    <pic:cNvPicPr>
                      <a:picLocks noChangeAspect="1" noChangeArrowheads="1"/>
                    </pic:cNvPicPr>
                  </pic:nvPicPr>
                  <pic:blipFill>
                    <a:blip r:embed="rId20" cstate="print">
                      <a:extLst>
                        <a:ext uri="{28A0092B-C50C-407E-A947-70E740481C1C}">
                          <a14:useLocalDpi xmlns:a14="http://schemas.microsoft.com/office/drawing/2010/main" val="0"/>
                        </a:ext>
                      </a:extLst>
                    </a:blip>
                    <a:srcRect l="2917" t="3723" r="3728" b="8005"/>
                    <a:stretch>
                      <a:fillRect/>
                    </a:stretch>
                  </pic:blipFill>
                  <pic:spPr>
                    <a:xfrm>
                      <a:off x="0" y="0"/>
                      <a:ext cx="2491740" cy="1760220"/>
                    </a:xfrm>
                    <a:prstGeom prst="rect">
                      <a:avLst/>
                    </a:prstGeom>
                    <a:noFill/>
                    <a:ln>
                      <a:noFill/>
                    </a:ln>
                  </pic:spPr>
                </pic:pic>
              </a:graphicData>
            </a:graphic>
          </wp:inline>
        </w:drawing>
      </w:r>
    </w:p>
    <w:p w14:paraId="27F1084C">
      <w:pPr>
        <w:ind w:left="0" w:leftChars="0" w:firstLine="0" w:firstLineChars="0"/>
        <w:jc w:val="both"/>
        <w:rPr>
          <w:rFonts w:hint="eastAsia"/>
          <w:sz w:val="21"/>
          <w:szCs w:val="21"/>
          <w:lang w:eastAsia="zh-CN"/>
        </w:rPr>
      </w:pPr>
      <w:r>
        <w:rPr>
          <w:rFonts w:hint="eastAsia"/>
          <w:sz w:val="21"/>
          <w:szCs w:val="21"/>
          <w:lang w:eastAsia="zh-CN"/>
        </w:rPr>
        <w:t xml:space="preserve"> </w:t>
      </w:r>
      <w:r>
        <w:rPr>
          <w:rFonts w:hint="eastAsia"/>
          <w:sz w:val="21"/>
          <w:szCs w:val="21"/>
          <w:lang w:val="en-US" w:eastAsia="zh-CN"/>
        </w:rPr>
        <w:t xml:space="preserve">                </w:t>
      </w:r>
      <w:r>
        <w:rPr>
          <w:rFonts w:hint="eastAsia"/>
          <w:sz w:val="21"/>
          <w:szCs w:val="21"/>
          <w:lang w:eastAsia="zh-CN"/>
        </w:rPr>
        <w:t>CH                                 涂镀锌（800目）</w:t>
      </w:r>
    </w:p>
    <w:p w14:paraId="34B1D77B">
      <w:pPr>
        <w:pStyle w:val="11"/>
        <w:ind w:left="0" w:leftChars="0" w:firstLine="0" w:firstLineChars="0"/>
        <w:jc w:val="center"/>
        <w:rPr>
          <w:rFonts w:hint="eastAsia" w:eastAsia="仿宋_GB2312"/>
          <w:sz w:val="21"/>
          <w:szCs w:val="21"/>
          <w:lang w:eastAsia="zh-CN"/>
        </w:rPr>
      </w:pPr>
      <w:r>
        <w:t xml:space="preserve">图 </w:t>
      </w:r>
      <w:r>
        <w:fldChar w:fldCharType="begin"/>
      </w:r>
      <w:r>
        <w:instrText xml:space="preserve"> SEQ 图 \* ARABIC </w:instrText>
      </w:r>
      <w:r>
        <w:fldChar w:fldCharType="separate"/>
      </w:r>
      <w:r>
        <w:t>4</w:t>
      </w:r>
      <w:r>
        <w:fldChar w:fldCharType="end"/>
      </w:r>
      <w:r>
        <w:rPr>
          <w:rFonts w:hint="eastAsia"/>
          <w:lang w:eastAsia="zh-CN"/>
        </w:rPr>
        <w:t>耐盐雾60天后涂镀锌与同类产品对比效果图</w:t>
      </w:r>
    </w:p>
    <w:p w14:paraId="7A43C94E">
      <w:pPr>
        <w:pStyle w:val="3"/>
      </w:pPr>
      <w:bookmarkStart w:id="11" w:name="_Toc15689"/>
      <w:r>
        <w:rPr>
          <w:rFonts w:hint="eastAsia"/>
        </w:rPr>
        <w:t>预期</w:t>
      </w:r>
      <w:bookmarkEnd w:id="11"/>
      <w:r>
        <w:rPr>
          <w:rFonts w:hint="eastAsia"/>
        </w:rPr>
        <w:t>效益</w:t>
      </w:r>
    </w:p>
    <w:p w14:paraId="03FCA891">
      <w:pPr>
        <w:ind w:firstLine="560"/>
      </w:pPr>
      <w:r>
        <w:rPr>
          <w:rFonts w:hint="eastAsia"/>
        </w:rPr>
        <w:t>本标准预期达到以下效果：</w:t>
      </w:r>
    </w:p>
    <w:p w14:paraId="424A24D4">
      <w:pPr>
        <w:numPr>
          <w:ilvl w:val="0"/>
          <w:numId w:val="5"/>
        </w:numPr>
        <w:ind w:firstLine="560" w:firstLineChars="200"/>
      </w:pPr>
      <w:r>
        <w:t>统一电力钢结构涂镀锌施工与验收标准，可有效提升涂层防腐质量，延长钢结构防腐维修周期，降低因腐蚀失效带来的更换、维修成本。通过规范材料选型、优化施工工艺、严控验收标准，能够减少返工与材料浪费，降低全生命周期运维费用，提升电站与输电工程整体经济效益。同时，标准的推广应用将带动涂镀锌涂料、防腐施工、检测验收等相关产业链规范化、规模化发展，创造更大产业价值。</w:t>
      </w:r>
    </w:p>
    <w:p w14:paraId="34DA4B55">
      <w:pPr>
        <w:numPr>
          <w:ilvl w:val="0"/>
          <w:numId w:val="5"/>
        </w:numPr>
        <w:ind w:firstLine="560" w:firstLineChars="200"/>
      </w:pPr>
      <w:r>
        <w:t>本标准填补了电力钢结构涂镀锌防腐专项标准空白，提升行业技术水平与工程质量管控能力，保障电站主厂房、输电塔、锅炉钢架等重要结构安全稳定运行，降低腐蚀引发的设备故障与安全隐患。标准实施后可减少高空防腐维修等高风险作业频次，提升电力工程建设与运行安全水平，保障电力供应可靠性，服务能源安全稳定供给大局。</w:t>
      </w:r>
    </w:p>
    <w:p w14:paraId="733CF094">
      <w:pPr>
        <w:numPr>
          <w:ilvl w:val="0"/>
          <w:numId w:val="5"/>
        </w:numPr>
        <w:ind w:firstLine="560" w:firstLineChars="200"/>
      </w:pPr>
      <w:r>
        <w:t>标准严格限制涂料有害物质含量，规范施工过程废气、废水、固废处置，推动绿色防腐材料与环保施工工艺应用，降低施工环节环境影响。延长涂层使用寿命、减少重复涂装频次，可降低涂料消耗与危废物产生量，助力电力工程绿色低碳建设，符合国家生态环境保护与可持续发展要求。</w:t>
      </w:r>
    </w:p>
    <w:p w14:paraId="61CD3D15">
      <w:pPr>
        <w:pStyle w:val="2"/>
      </w:pPr>
      <w:bookmarkStart w:id="12" w:name="_Toc24462"/>
      <w:bookmarkStart w:id="13" w:name="_Toc19962"/>
      <w:r>
        <w:rPr>
          <w:rFonts w:hint="eastAsia" w:ascii="仿宋_GB2312" w:hAnsi="仿宋_GB2312" w:cs="仿宋_GB2312"/>
        </w:rPr>
        <w:t>与国际、国内同类标准技术内容的对比情况，或者与测试的样品、样机的有关数据对比情况</w:t>
      </w:r>
      <w:bookmarkEnd w:id="12"/>
    </w:p>
    <w:p w14:paraId="44FDD372">
      <w:pPr>
        <w:pStyle w:val="3"/>
      </w:pPr>
      <w:bookmarkStart w:id="14" w:name="_Toc5053"/>
      <w:r>
        <w:rPr>
          <w:rFonts w:hint="eastAsia"/>
        </w:rPr>
        <w:t>与同类标准技术内容对比情况</w:t>
      </w:r>
      <w:bookmarkEnd w:id="14"/>
    </w:p>
    <w:p w14:paraId="5D910673">
      <w:pPr>
        <w:ind w:firstLine="560"/>
        <w:rPr>
          <w:rFonts w:hint="eastAsia"/>
        </w:rPr>
      </w:pPr>
      <w:r>
        <w:rPr>
          <w:rFonts w:hint="eastAsia"/>
          <w:lang w:val="en-US" w:eastAsia="zh-CN"/>
        </w:rPr>
        <w:t>目前，我国电力钢结构防腐施工及验收主要依据GB/T 50046《工业建筑防腐蚀设计标准》、GB 50205《钢结构工程施工质量验收标准》、GB 50212《建筑防腐蚀工程施工规范》、GB 50755《钢结构工程施工规范》 等通用标准，材料性能则参照HG/T 4845《冷涂锌涂料》、HG/T 3668《富锌底漆》 等产品标准。上述标准多面向通用建筑与钢结构领域，未针对电力钢结构服役环境、构件特点及涂镀锌工艺形成专项规定。</w:t>
      </w:r>
    </w:p>
    <w:p w14:paraId="15426364">
      <w:pPr>
        <w:ind w:firstLine="560"/>
        <w:rPr>
          <w:rFonts w:hint="eastAsia"/>
        </w:rPr>
      </w:pPr>
      <w:r>
        <w:rPr>
          <w:rFonts w:hint="eastAsia"/>
          <w:lang w:val="en-US" w:eastAsia="zh-CN"/>
        </w:rPr>
        <w:t>同类通用标准主要存在以下不足：一是腐蚀环境分级与涂层配套未结合电力工程沿海高盐雾、工业腐蚀、高温差等特点细化；二是对焊缝、边角、螺栓连接面、输电塔、主厂房钢架等关键部位的处理要求不够具体；三是涂镀锌材料兼容性、涂装间隔、膜厚控制、预涂工艺等施工要点缺乏统一规定；四是检验项目、抽样数量、验收规则未形成适用于涂镀锌体系的完整闭环。</w:t>
      </w:r>
    </w:p>
    <w:p w14:paraId="288B2CB5">
      <w:pPr>
        <w:ind w:firstLine="560"/>
        <w:rPr>
          <w:rFonts w:hint="eastAsia"/>
        </w:rPr>
      </w:pPr>
      <w:r>
        <w:rPr>
          <w:rFonts w:hint="eastAsia"/>
          <w:lang w:val="en-US" w:eastAsia="zh-CN"/>
        </w:rPr>
        <w:t>本标准在充分采纳现行标准核心要求的基础上，聚焦电力钢结构专属场景，首次系统规定涂镀锌防腐的材料、施工、检验、验收全流程技术要求，明确不同腐蚀等级与使用年限下的涂层配套体系，细化表面处理、特殊部位处理、环保安全等关键条款，填补了电力行业涂镀锌防腐专项标准空白，与现有通用标准形成有效补充，技术内容更具针对性、可操作性与工程适用性，更符合电力工程长效防腐需求。</w:t>
      </w:r>
    </w:p>
    <w:p w14:paraId="628CC86C">
      <w:pPr>
        <w:pStyle w:val="3"/>
      </w:pPr>
      <w:bookmarkStart w:id="15" w:name="_Toc8969"/>
      <w:r>
        <w:rPr>
          <w:rFonts w:hint="eastAsia"/>
        </w:rPr>
        <w:t>采用国际标准情况</w:t>
      </w:r>
      <w:bookmarkEnd w:id="15"/>
    </w:p>
    <w:p w14:paraId="4092D56E">
      <w:pPr>
        <w:ind w:firstLine="560"/>
      </w:pPr>
      <w:r>
        <w:rPr>
          <w:rFonts w:hint="eastAsia"/>
        </w:rPr>
        <w:t>本标准未引用或采用国际国外标准，无采标情况。</w:t>
      </w:r>
    </w:p>
    <w:p w14:paraId="4EF19D76">
      <w:pPr>
        <w:pStyle w:val="2"/>
        <w:rPr>
          <w:rFonts w:hint="eastAsia" w:ascii="仿宋_GB2312" w:hAnsi="仿宋_GB2312" w:cs="仿宋_GB2312"/>
        </w:rPr>
      </w:pPr>
      <w:r>
        <w:rPr>
          <w:rFonts w:hint="eastAsia" w:ascii="仿宋_GB2312" w:hAnsi="仿宋_GB2312" w:cs="仿宋_GB2312"/>
        </w:rPr>
        <w:t>以国际、国内标准为基础的起草情况，以及是否合规引用或者采用相关标准，并说明未采用相关标准的原因</w:t>
      </w:r>
    </w:p>
    <w:p w14:paraId="10101025">
      <w:pPr>
        <w:widowControl/>
        <w:spacing w:line="560" w:lineRule="exact"/>
        <w:ind w:firstLine="560"/>
        <w:jc w:val="left"/>
      </w:pPr>
      <w:r>
        <w:rPr>
          <w:rFonts w:hint="eastAsia" w:ascii="仿宋_GB2312" w:hAnsi="仿宋_GB2312" w:cs="仿宋_GB2312"/>
        </w:rPr>
        <w:t>未有以国际、国内标准为基础的起草情况。</w:t>
      </w:r>
    </w:p>
    <w:p w14:paraId="1BCFB31A">
      <w:pPr>
        <w:pStyle w:val="2"/>
        <w:rPr>
          <w:rFonts w:hint="eastAsia" w:ascii="仿宋_GB2312" w:hAnsi="仿宋_GB2312" w:cs="仿宋_GB2312"/>
        </w:rPr>
      </w:pPr>
      <w:r>
        <w:rPr>
          <w:rFonts w:hint="eastAsia" w:ascii="仿宋_GB2312" w:hAnsi="仿宋_GB2312" w:cs="仿宋_GB2312"/>
        </w:rPr>
        <w:t>与现行法律法规、强制性标准及其他标准的关系</w:t>
      </w:r>
    </w:p>
    <w:p w14:paraId="7D12C93E">
      <w:pPr>
        <w:ind w:firstLine="560"/>
      </w:pPr>
      <w:r>
        <w:t>本标准的编制严格遵循国家现行的法律法规，如《中华人民共和国建筑法》《中华人民共和国安全生产法》等，确保工程建设活动合法合规。在与国家</w:t>
      </w:r>
      <w:r>
        <w:rPr>
          <w:rFonts w:hint="eastAsia"/>
        </w:rPr>
        <w:t>现行</w:t>
      </w:r>
      <w:r>
        <w:t>标准的关系方面，充分考虑并衔接了钢结构防腐蚀相关工程领域的现行标准，如《工业建筑防腐蚀设计标准》（GB/T 50046）、《建筑防腐蚀工程施工规范》（GB 50212）、《钢结构工程施工质量验收标准》（GB 50205）《工业设备及管道防腐蚀工程施工规范》（GB</w:t>
      </w:r>
      <w:r>
        <w:rPr>
          <w:rFonts w:hint="eastAsia"/>
          <w:lang w:val="en-US" w:eastAsia="zh-CN"/>
        </w:rPr>
        <w:t>/T</w:t>
      </w:r>
      <w:r>
        <w:t xml:space="preserve"> 50726）等强制性标准保持一致，明确表面处理、涂层质量、施工安全等核心要求不低于强制性标准规定；引用《冷涂锌涂料》（HG/T 4845）《色漆和清漆 拉开法附着力试验》（GB/T 5210）《涂装作业安全规程》（GB 7691）等专项标准的技术指标，规范涂料性能、试验方法、安全操作等内容；参考</w:t>
      </w:r>
      <w:r>
        <w:rPr>
          <w:rFonts w:hint="eastAsia"/>
          <w:lang w:eastAsia="zh-CN"/>
        </w:rPr>
        <w:t>了</w:t>
      </w:r>
      <w:r>
        <w:t>《钢结构工程施工规范》（GB 50755）等推荐性标准的先进理念，结合电力行业特性细化腐蚀环境分级、涂层配套方案、特殊部位处理等专项要求。本标准并非替代现有相关标准，而是针对电力钢结构涂镀锌防腐的专属需求，对现有标准体系进行补充和完善，形成 “通用标准为基础、专项标准为补充” 的协调统一关系，为电力工程钢结构涂镀锌防腐提供更具针对性和可操作性的技术依据，助力电力行业标准化体系的健全完善。</w:t>
      </w:r>
    </w:p>
    <w:p w14:paraId="714CBFBF">
      <w:pPr>
        <w:pStyle w:val="2"/>
        <w:rPr>
          <w:highlight w:val="none"/>
        </w:rPr>
      </w:pPr>
      <w:r>
        <w:rPr>
          <w:rFonts w:hint="eastAsia" w:ascii="仿宋_GB2312" w:hAnsi="仿宋_GB2312" w:cs="仿宋_GB2312"/>
          <w:highlight w:val="none"/>
        </w:rPr>
        <w:t>重大分歧意见的处理经过和依</w:t>
      </w:r>
      <w:r>
        <w:rPr>
          <w:rFonts w:hint="eastAsia"/>
          <w:highlight w:val="none"/>
        </w:rPr>
        <w:t>据</w:t>
      </w:r>
      <w:bookmarkEnd w:id="13"/>
    </w:p>
    <w:p w14:paraId="65FB37C8">
      <w:pPr>
        <w:ind w:firstLine="560"/>
        <w:rPr>
          <w:highlight w:val="none"/>
        </w:rPr>
      </w:pPr>
      <w:r>
        <w:rPr>
          <w:highlight w:val="none"/>
        </w:rPr>
        <w:t>本标准编制过程中</w:t>
      </w:r>
      <w:r>
        <w:rPr>
          <w:rFonts w:hint="eastAsia"/>
          <w:highlight w:val="none"/>
        </w:rPr>
        <w:t>暂</w:t>
      </w:r>
      <w:r>
        <w:rPr>
          <w:highlight w:val="none"/>
        </w:rPr>
        <w:t>无重大分歧意见。</w:t>
      </w:r>
    </w:p>
    <w:p w14:paraId="56950897">
      <w:pPr>
        <w:pStyle w:val="2"/>
      </w:pPr>
      <w:bookmarkStart w:id="16" w:name="_Toc16905"/>
      <w:r>
        <w:rPr>
          <w:rFonts w:hint="eastAsia" w:ascii="仿宋_GB2312" w:hAnsi="仿宋_GB2312" w:cs="仿宋_GB2312"/>
        </w:rPr>
        <w:t>涉及专利的有关说</w:t>
      </w:r>
      <w:r>
        <w:rPr>
          <w:rFonts w:hint="eastAsia"/>
        </w:rPr>
        <w:t>明</w:t>
      </w:r>
      <w:bookmarkEnd w:id="16"/>
    </w:p>
    <w:p w14:paraId="40039E00">
      <w:pPr>
        <w:ind w:firstLine="560"/>
      </w:pPr>
      <w:r>
        <w:rPr>
          <w:rFonts w:hint="eastAsia"/>
        </w:rPr>
        <w:t>本标准编制过程中，未识别出涉及专利的内容。</w:t>
      </w:r>
    </w:p>
    <w:p w14:paraId="6C0EA7FF">
      <w:pPr>
        <w:pStyle w:val="2"/>
      </w:pPr>
      <w:bookmarkStart w:id="17" w:name="_Toc27030"/>
      <w:bookmarkStart w:id="18" w:name="_Toc18400"/>
      <w:r>
        <w:rPr>
          <w:rFonts w:hint="eastAsia" w:ascii="仿宋_GB2312" w:hAnsi="仿宋_GB2312" w:cs="仿宋_GB2312"/>
        </w:rPr>
        <w:t>实施标准的要求，以及组织措施、技术措施、过渡期和实施日期的建议等措施建议</w:t>
      </w:r>
      <w:bookmarkEnd w:id="17"/>
    </w:p>
    <w:p w14:paraId="4274E7D6">
      <w:pPr>
        <w:numPr>
          <w:ilvl w:val="0"/>
          <w:numId w:val="6"/>
        </w:numPr>
        <w:ind w:firstLine="560" w:firstLineChars="200"/>
      </w:pPr>
      <w:r>
        <w:t>建议</w:t>
      </w:r>
      <w:r>
        <w:rPr>
          <w:rFonts w:hint="eastAsia"/>
        </w:rPr>
        <w:t>中电建协</w:t>
      </w:r>
      <w:r>
        <w:t>组织</w:t>
      </w:r>
      <w:r>
        <w:rPr>
          <w:rFonts w:hint="eastAsia"/>
        </w:rPr>
        <w:t>相关会员单位如设计院</w:t>
      </w:r>
      <w:r>
        <w:t>、施工单位、监理单位、生产</w:t>
      </w:r>
      <w:r>
        <w:rPr>
          <w:rFonts w:hint="eastAsia"/>
        </w:rPr>
        <w:t>厂家</w:t>
      </w:r>
      <w:r>
        <w:t>、</w:t>
      </w:r>
      <w:r>
        <w:rPr>
          <w:rFonts w:hint="eastAsia"/>
        </w:rPr>
        <w:t>电厂、</w:t>
      </w:r>
      <w:r>
        <w:t>质量监督机构等开展标准培训活动，详细解读标准内容，使从业人员深入理解和掌握标准要求，提高其质量意识和执行能力</w:t>
      </w:r>
      <w:r>
        <w:rPr>
          <w:rFonts w:hint="eastAsia"/>
        </w:rPr>
        <w:t>；</w:t>
      </w:r>
    </w:p>
    <w:p w14:paraId="3D4D9324">
      <w:pPr>
        <w:numPr>
          <w:ilvl w:val="0"/>
          <w:numId w:val="6"/>
        </w:numPr>
        <w:ind w:firstLine="560" w:firstLineChars="200"/>
      </w:pPr>
      <w:r>
        <w:rPr>
          <w:rFonts w:hint="eastAsia"/>
        </w:rPr>
        <w:t>为协会会员单位</w:t>
      </w:r>
      <w:r>
        <w:t>提供后期技术指导和服务，定期收集整理企业在执行标准过程中遇到的问题，及时予以反馈和解答，确保新标准应用过渡平稳、有序，避免因标准更新对工程建设、电站运营造成不利影响。</w:t>
      </w:r>
    </w:p>
    <w:bookmarkEnd w:id="18"/>
    <w:p w14:paraId="431D144D">
      <w:pPr>
        <w:pStyle w:val="2"/>
      </w:pPr>
      <w:bookmarkStart w:id="19" w:name="_Toc18419"/>
      <w:r>
        <w:rPr>
          <w:rFonts w:hint="eastAsia" w:ascii="仿宋_GB2312" w:hAnsi="仿宋_GB2312" w:cs="仿宋_GB2312"/>
        </w:rPr>
        <w:t>其他应当说明的事</w:t>
      </w:r>
      <w:r>
        <w:rPr>
          <w:rFonts w:hint="eastAsia"/>
        </w:rPr>
        <w:t>项</w:t>
      </w:r>
      <w:bookmarkEnd w:id="19"/>
    </w:p>
    <w:p w14:paraId="1CE5A470">
      <w:pPr>
        <w:ind w:firstLine="560"/>
      </w:pPr>
      <w:r>
        <w:t>无。</w:t>
      </w:r>
    </w:p>
    <w:sectPr>
      <w:headerReference r:id="rId7" w:type="first"/>
      <w:footerReference r:id="rId10" w:type="first"/>
      <w:headerReference r:id="rId5" w:type="default"/>
      <w:footerReference r:id="rId8" w:type="default"/>
      <w:headerReference r:id="rId6" w:type="even"/>
      <w:footerReference r:id="rId9" w:type="even"/>
      <w:pgSz w:w="11906" w:h="16838"/>
      <w:pgMar w:top="1440" w:right="1800" w:bottom="1440" w:left="1800" w:header="851" w:footer="992" w:gutter="0"/>
      <w:pgNumType w:start="1"/>
      <w:cols w:space="425"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ind w:firstLine="560"/>
      </w:pPr>
      <w:r>
        <w:separator/>
      </w:r>
    </w:p>
  </w:endnote>
  <w:endnote w:type="continuationSeparator" w:id="1">
    <w:p>
      <w:pPr>
        <w:spacing w:line="240" w:lineRule="auto"/>
        <w:ind w:firstLine="56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embedRegular r:id="rId1" w:fontKey="{724EC762-000D-4B30-823E-98E898D0748E}"/>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仿宋_GB2312">
    <w:panose1 w:val="02010609030101010101"/>
    <w:charset w:val="86"/>
    <w:family w:val="auto"/>
    <w:pitch w:val="default"/>
    <w:sig w:usb0="00000001" w:usb1="080E0000" w:usb2="00000000" w:usb3="00000000" w:csb0="00040000" w:csb1="00000000"/>
    <w:embedRegular r:id="rId2" w:fontKey="{04940029-D9DB-4645-95EF-1E0A70843F88}"/>
  </w:font>
  <w:font w:name="方正小标宋_GBK">
    <w:panose1 w:val="03000509000000000000"/>
    <w:charset w:val="86"/>
    <w:family w:val="auto"/>
    <w:pitch w:val="default"/>
    <w:sig w:usb0="00000001" w:usb1="080E0000" w:usb2="00000000" w:usb3="00000000" w:csb0="00040000" w:csb1="00000000"/>
    <w:embedRegular r:id="rId3" w:fontKey="{995B5596-3C90-4FEF-A690-1793B48ABCBD}"/>
  </w:font>
  <w:font w:name="Cambria Math">
    <w:panose1 w:val="02040503050406030204"/>
    <w:charset w:val="00"/>
    <w:family w:val="roman"/>
    <w:pitch w:val="default"/>
    <w:sig w:usb0="E00006FF" w:usb1="420024FF" w:usb2="02000000" w:usb3="00000000" w:csb0="2000019F" w:csb1="00000000"/>
    <w:embedRegular r:id="rId4" w:fontKey="{09C1D0BA-65E6-48EA-A7E1-99EF44F6F6AC}"/>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407712E">
    <w:pPr>
      <w:pStyle w:val="15"/>
      <w:ind w:firstLine="0" w:firstLineChars="0"/>
    </w:pPr>
    <w: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3" name="文本框 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6E9FF5B">
                          <w:pPr>
                            <w:pStyle w:val="15"/>
                            <w:ind w:firstLine="0" w:firstLineChars="0"/>
                          </w:pPr>
                          <w:r>
                            <w:t xml:space="preserve">第 </w:t>
                          </w:r>
                          <w:r>
                            <w:fldChar w:fldCharType="begin"/>
                          </w:r>
                          <w:r>
                            <w:instrText xml:space="preserve"> PAGE  \* MERGEFORMAT </w:instrText>
                          </w:r>
                          <w:r>
                            <w:fldChar w:fldCharType="separate"/>
                          </w:r>
                          <w:r>
                            <w:t>1</w:t>
                          </w:r>
                          <w:r>
                            <w:fldChar w:fldCharType="end"/>
                          </w:r>
                          <w:r>
                            <w:t xml:space="preserve"> 页</w:t>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z&#10;SVju0AAAAAUBAAAPAAAAAAAAAAEAIAAAACIAAABkcnMvZG93bnJldi54bWxQSwECFAAUAAAACACH&#10;TuJAvQ7dtywCAABVBAAADgAAAAAAAAABACAAAAAfAQAAZHJzL2Uyb0RvYy54bWxQSwUGAAAAAAYA&#10;BgBZAQAAvQUAAAAA&#10;">
              <v:fill on="f" focussize="0,0"/>
              <v:stroke on="f" weight="0.5pt"/>
              <v:imagedata o:title=""/>
              <o:lock v:ext="edit" aspectratio="f"/>
              <v:textbox inset="0mm,0mm,0mm,0mm" style="mso-fit-shape-to-text:t;">
                <w:txbxContent>
                  <w:p w14:paraId="36E9FF5B">
                    <w:pPr>
                      <w:pStyle w:val="15"/>
                      <w:ind w:firstLine="0" w:firstLineChars="0"/>
                    </w:pPr>
                    <w:r>
                      <w:t xml:space="preserve">第 </w:t>
                    </w:r>
                    <w:r>
                      <w:fldChar w:fldCharType="begin"/>
                    </w:r>
                    <w:r>
                      <w:instrText xml:space="preserve"> PAGE  \* MERGEFORMAT </w:instrText>
                    </w:r>
                    <w:r>
                      <w:fldChar w:fldCharType="separate"/>
                    </w:r>
                    <w:r>
                      <w:t>1</w:t>
                    </w:r>
                    <w:r>
                      <w:fldChar w:fldCharType="end"/>
                    </w:r>
                    <w:r>
                      <w:t xml:space="preserve"> 页</w:t>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EA8FCCE">
    <w:pPr>
      <w:pStyle w:val="15"/>
      <w:ind w:firstLine="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4CFAD04">
    <w:pPr>
      <w:pStyle w:val="15"/>
      <w:ind w:firstLine="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360" w:lineRule="auto"/>
        <w:ind w:firstLine="560"/>
      </w:pPr>
      <w:r>
        <w:separator/>
      </w:r>
    </w:p>
  </w:footnote>
  <w:footnote w:type="continuationSeparator" w:id="1">
    <w:p>
      <w:pPr>
        <w:spacing w:line="360" w:lineRule="auto"/>
        <w:ind w:firstLine="56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19B8572">
    <w:pPr>
      <w:pStyle w:val="16"/>
      <w:ind w:firstLine="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7A80E6E">
    <w:pPr>
      <w:pStyle w:val="16"/>
      <w:ind w:firstLine="36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EEF7DCF">
    <w:pPr>
      <w:pStyle w:val="16"/>
      <w:ind w:firstLine="36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34D77BF"/>
    <w:multiLevelType w:val="singleLevel"/>
    <w:tmpl w:val="834D77BF"/>
    <w:lvl w:ilvl="0" w:tentative="0">
      <w:start w:val="1"/>
      <w:numFmt w:val="decimal"/>
      <w:suff w:val="space"/>
      <w:lvlText w:val="(%1)"/>
      <w:lvlJc w:val="left"/>
      <w:pPr>
        <w:ind w:left="0" w:firstLine="40"/>
      </w:pPr>
      <w:rPr>
        <w:rFonts w:hint="default"/>
      </w:rPr>
    </w:lvl>
  </w:abstractNum>
  <w:abstractNum w:abstractNumId="1">
    <w:nsid w:val="97885138"/>
    <w:multiLevelType w:val="singleLevel"/>
    <w:tmpl w:val="97885138"/>
    <w:lvl w:ilvl="0" w:tentative="0">
      <w:start w:val="1"/>
      <w:numFmt w:val="decimal"/>
      <w:suff w:val="space"/>
      <w:lvlText w:val="(%1)"/>
      <w:lvlJc w:val="left"/>
      <w:pPr>
        <w:ind w:left="0" w:firstLine="40"/>
      </w:pPr>
      <w:rPr>
        <w:rFonts w:hint="default"/>
      </w:rPr>
    </w:lvl>
  </w:abstractNum>
  <w:abstractNum w:abstractNumId="2">
    <w:nsid w:val="9EFEFD4B"/>
    <w:multiLevelType w:val="multilevel"/>
    <w:tmpl w:val="9EFEFD4B"/>
    <w:lvl w:ilvl="0" w:tentative="0">
      <w:start w:val="1"/>
      <w:numFmt w:val="decimal"/>
      <w:pStyle w:val="2"/>
      <w:suff w:val="space"/>
      <w:lvlText w:val="%1."/>
      <w:lvlJc w:val="left"/>
      <w:pPr>
        <w:tabs>
          <w:tab w:val="left" w:pos="420"/>
        </w:tabs>
        <w:ind w:left="0" w:firstLine="0"/>
      </w:pPr>
      <w:rPr>
        <w:rFonts w:hint="default"/>
      </w:rPr>
    </w:lvl>
    <w:lvl w:ilvl="1" w:tentative="0">
      <w:start w:val="1"/>
      <w:numFmt w:val="decimal"/>
      <w:pStyle w:val="3"/>
      <w:suff w:val="space"/>
      <w:lvlText w:val="%1.%2."/>
      <w:lvlJc w:val="left"/>
      <w:pPr>
        <w:tabs>
          <w:tab w:val="left" w:pos="420"/>
        </w:tabs>
        <w:ind w:left="575" w:hanging="575"/>
      </w:pPr>
      <w:rPr>
        <w:rFonts w:hint="default"/>
      </w:rPr>
    </w:lvl>
    <w:lvl w:ilvl="2" w:tentative="0">
      <w:start w:val="1"/>
      <w:numFmt w:val="decimal"/>
      <w:pStyle w:val="4"/>
      <w:lvlText w:val="%1.%2.%3."/>
      <w:lvlJc w:val="left"/>
      <w:pPr>
        <w:ind w:left="720" w:hanging="720"/>
      </w:pPr>
      <w:rPr>
        <w:rFonts w:hint="default"/>
      </w:rPr>
    </w:lvl>
    <w:lvl w:ilvl="3" w:tentative="0">
      <w:start w:val="1"/>
      <w:numFmt w:val="decimal"/>
      <w:pStyle w:val="5"/>
      <w:lvlText w:val="%1.%2.%3.%4."/>
      <w:lvlJc w:val="left"/>
      <w:pPr>
        <w:ind w:left="864" w:hanging="864"/>
      </w:pPr>
      <w:rPr>
        <w:rFonts w:hint="default"/>
      </w:rPr>
    </w:lvl>
    <w:lvl w:ilvl="4" w:tentative="0">
      <w:start w:val="1"/>
      <w:numFmt w:val="decimal"/>
      <w:pStyle w:val="6"/>
      <w:lvlText w:val="%1.%2.%3.%4.%5."/>
      <w:lvlJc w:val="left"/>
      <w:pPr>
        <w:ind w:left="1008" w:hanging="1008"/>
      </w:pPr>
      <w:rPr>
        <w:rFonts w:hint="default"/>
      </w:rPr>
    </w:lvl>
    <w:lvl w:ilvl="5" w:tentative="0">
      <w:start w:val="1"/>
      <w:numFmt w:val="decimal"/>
      <w:pStyle w:val="7"/>
      <w:lvlText w:val="%1.%2.%3.%4.%5.%6."/>
      <w:lvlJc w:val="left"/>
      <w:pPr>
        <w:ind w:left="1151" w:hanging="1151"/>
      </w:pPr>
      <w:rPr>
        <w:rFonts w:hint="default"/>
      </w:rPr>
    </w:lvl>
    <w:lvl w:ilvl="6" w:tentative="0">
      <w:start w:val="1"/>
      <w:numFmt w:val="decimal"/>
      <w:pStyle w:val="8"/>
      <w:lvlText w:val="%1.%2.%3.%4.%5.%6.%7."/>
      <w:lvlJc w:val="left"/>
      <w:pPr>
        <w:ind w:left="1296" w:hanging="1296"/>
      </w:pPr>
      <w:rPr>
        <w:rFonts w:hint="default"/>
      </w:rPr>
    </w:lvl>
    <w:lvl w:ilvl="7" w:tentative="0">
      <w:start w:val="1"/>
      <w:numFmt w:val="decimal"/>
      <w:pStyle w:val="9"/>
      <w:lvlText w:val="%1.%2.%3.%4.%5.%6.%7.%8."/>
      <w:lvlJc w:val="left"/>
      <w:pPr>
        <w:ind w:left="1440" w:hanging="1440"/>
      </w:pPr>
      <w:rPr>
        <w:rFonts w:hint="default"/>
      </w:rPr>
    </w:lvl>
    <w:lvl w:ilvl="8" w:tentative="0">
      <w:start w:val="1"/>
      <w:numFmt w:val="decimal"/>
      <w:pStyle w:val="10"/>
      <w:lvlText w:val="%1.%2.%3.%4.%5.%6.%7.%8.%9."/>
      <w:lvlJc w:val="left"/>
      <w:pPr>
        <w:ind w:left="1583" w:hanging="1583"/>
      </w:pPr>
      <w:rPr>
        <w:rFonts w:hint="default"/>
      </w:rPr>
    </w:lvl>
  </w:abstractNum>
  <w:abstractNum w:abstractNumId="3">
    <w:nsid w:val="2F816502"/>
    <w:multiLevelType w:val="singleLevel"/>
    <w:tmpl w:val="2F816502"/>
    <w:lvl w:ilvl="0" w:tentative="0">
      <w:start w:val="1"/>
      <w:numFmt w:val="decimal"/>
      <w:suff w:val="space"/>
      <w:lvlText w:val="(%1)"/>
      <w:lvlJc w:val="left"/>
      <w:pPr>
        <w:ind w:left="0" w:firstLine="40"/>
      </w:pPr>
      <w:rPr>
        <w:rFonts w:hint="default"/>
      </w:rPr>
    </w:lvl>
  </w:abstractNum>
  <w:abstractNum w:abstractNumId="4">
    <w:nsid w:val="4F14A989"/>
    <w:multiLevelType w:val="singleLevel"/>
    <w:tmpl w:val="4F14A989"/>
    <w:lvl w:ilvl="0" w:tentative="0">
      <w:start w:val="1"/>
      <w:numFmt w:val="decimal"/>
      <w:suff w:val="space"/>
      <w:lvlText w:val="(%1)"/>
      <w:lvlJc w:val="left"/>
      <w:pPr>
        <w:ind w:left="0" w:firstLine="40"/>
      </w:pPr>
      <w:rPr>
        <w:rFonts w:hint="default"/>
      </w:rPr>
    </w:lvl>
  </w:abstractNum>
  <w:abstractNum w:abstractNumId="5">
    <w:nsid w:val="6EF4D273"/>
    <w:multiLevelType w:val="singleLevel"/>
    <w:tmpl w:val="6EF4D273"/>
    <w:lvl w:ilvl="0" w:tentative="0">
      <w:start w:val="1"/>
      <w:numFmt w:val="decimal"/>
      <w:suff w:val="space"/>
      <w:lvlText w:val="(%1)"/>
      <w:lvlJc w:val="left"/>
      <w:pPr>
        <w:ind w:left="0" w:firstLine="40"/>
      </w:pPr>
      <w:rPr>
        <w:rFonts w:hint="default"/>
      </w:rPr>
    </w:lvl>
  </w:abstractNum>
  <w:num w:numId="1">
    <w:abstractNumId w:val="2"/>
  </w:num>
  <w:num w:numId="2">
    <w:abstractNumId w:val="3"/>
  </w:num>
  <w:num w:numId="3">
    <w:abstractNumId w:val="5"/>
  </w:num>
  <w:num w:numId="4">
    <w:abstractNumId w:val="0"/>
  </w:num>
  <w:num w:numId="5">
    <w:abstractNumId w:val="1"/>
  </w:num>
  <w:num w:numId="6">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TrueTypeFonts/>
  <w:saveSubset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A6AF3"/>
    <w:rsid w:val="0001731D"/>
    <w:rsid w:val="000A6AF3"/>
    <w:rsid w:val="000E0A04"/>
    <w:rsid w:val="001620FB"/>
    <w:rsid w:val="001D6757"/>
    <w:rsid w:val="001E301F"/>
    <w:rsid w:val="00220AB3"/>
    <w:rsid w:val="002B6923"/>
    <w:rsid w:val="00361243"/>
    <w:rsid w:val="00372764"/>
    <w:rsid w:val="00541492"/>
    <w:rsid w:val="005624BD"/>
    <w:rsid w:val="0058725C"/>
    <w:rsid w:val="00624748"/>
    <w:rsid w:val="00694825"/>
    <w:rsid w:val="006D459F"/>
    <w:rsid w:val="006E50B2"/>
    <w:rsid w:val="00714940"/>
    <w:rsid w:val="007A3AA5"/>
    <w:rsid w:val="0094634A"/>
    <w:rsid w:val="00983751"/>
    <w:rsid w:val="00B564A2"/>
    <w:rsid w:val="00C156D2"/>
    <w:rsid w:val="00C32E82"/>
    <w:rsid w:val="00D55106"/>
    <w:rsid w:val="00D6154A"/>
    <w:rsid w:val="00DA0EB6"/>
    <w:rsid w:val="00E03BFE"/>
    <w:rsid w:val="00E13308"/>
    <w:rsid w:val="00E30B8C"/>
    <w:rsid w:val="00E5714E"/>
    <w:rsid w:val="00EB74EB"/>
    <w:rsid w:val="00F016A4"/>
    <w:rsid w:val="00F110DB"/>
    <w:rsid w:val="00F365FE"/>
    <w:rsid w:val="00F40F57"/>
    <w:rsid w:val="00F72850"/>
    <w:rsid w:val="00F76616"/>
    <w:rsid w:val="00FB2FE5"/>
    <w:rsid w:val="01017FB5"/>
    <w:rsid w:val="010319AE"/>
    <w:rsid w:val="01C866F9"/>
    <w:rsid w:val="01D02219"/>
    <w:rsid w:val="020D16B3"/>
    <w:rsid w:val="02937581"/>
    <w:rsid w:val="02C14713"/>
    <w:rsid w:val="045B2E31"/>
    <w:rsid w:val="04AB77B1"/>
    <w:rsid w:val="04BA64C7"/>
    <w:rsid w:val="04C94AE8"/>
    <w:rsid w:val="05034C87"/>
    <w:rsid w:val="05164BE7"/>
    <w:rsid w:val="0536539A"/>
    <w:rsid w:val="05383DBD"/>
    <w:rsid w:val="060C4B01"/>
    <w:rsid w:val="069C2465"/>
    <w:rsid w:val="06FC3783"/>
    <w:rsid w:val="06FC4B75"/>
    <w:rsid w:val="070908F3"/>
    <w:rsid w:val="078E0669"/>
    <w:rsid w:val="08331281"/>
    <w:rsid w:val="085375B8"/>
    <w:rsid w:val="087864F3"/>
    <w:rsid w:val="08871049"/>
    <w:rsid w:val="08950021"/>
    <w:rsid w:val="089B6AD3"/>
    <w:rsid w:val="08D87811"/>
    <w:rsid w:val="08FD1DEA"/>
    <w:rsid w:val="091650F7"/>
    <w:rsid w:val="092E0A5A"/>
    <w:rsid w:val="095203AE"/>
    <w:rsid w:val="095B721E"/>
    <w:rsid w:val="09646A02"/>
    <w:rsid w:val="09731C0E"/>
    <w:rsid w:val="0A2F0514"/>
    <w:rsid w:val="0AC97FC1"/>
    <w:rsid w:val="0B1722BE"/>
    <w:rsid w:val="0B2D2264"/>
    <w:rsid w:val="0B560EAA"/>
    <w:rsid w:val="0B5E62B6"/>
    <w:rsid w:val="0B8F3202"/>
    <w:rsid w:val="0B9F6D1F"/>
    <w:rsid w:val="0BBC0D77"/>
    <w:rsid w:val="0C9C373F"/>
    <w:rsid w:val="0C9E6D20"/>
    <w:rsid w:val="0CB664E7"/>
    <w:rsid w:val="0CB9746C"/>
    <w:rsid w:val="0D4E75B4"/>
    <w:rsid w:val="0D970F3A"/>
    <w:rsid w:val="0E154680"/>
    <w:rsid w:val="0F4920A4"/>
    <w:rsid w:val="0F663BD2"/>
    <w:rsid w:val="0F6D0FDF"/>
    <w:rsid w:val="0F764482"/>
    <w:rsid w:val="0F9C62AB"/>
    <w:rsid w:val="0FC6750B"/>
    <w:rsid w:val="0FF254C5"/>
    <w:rsid w:val="103D4F2D"/>
    <w:rsid w:val="10537FD8"/>
    <w:rsid w:val="10B65D95"/>
    <w:rsid w:val="11553EA2"/>
    <w:rsid w:val="11597885"/>
    <w:rsid w:val="11954480"/>
    <w:rsid w:val="11A045A7"/>
    <w:rsid w:val="11BF2AAD"/>
    <w:rsid w:val="11CA68BF"/>
    <w:rsid w:val="123526EB"/>
    <w:rsid w:val="12371472"/>
    <w:rsid w:val="12985838"/>
    <w:rsid w:val="13092A2C"/>
    <w:rsid w:val="13D20946"/>
    <w:rsid w:val="140838EB"/>
    <w:rsid w:val="141241FB"/>
    <w:rsid w:val="14322531"/>
    <w:rsid w:val="14871C3B"/>
    <w:rsid w:val="14B73B0A"/>
    <w:rsid w:val="150455A7"/>
    <w:rsid w:val="152B22BE"/>
    <w:rsid w:val="15B45E0E"/>
    <w:rsid w:val="15FF01DE"/>
    <w:rsid w:val="165C08BD"/>
    <w:rsid w:val="1706015E"/>
    <w:rsid w:val="173E0892"/>
    <w:rsid w:val="174156B7"/>
    <w:rsid w:val="17A440D7"/>
    <w:rsid w:val="17AB3A62"/>
    <w:rsid w:val="17B346F1"/>
    <w:rsid w:val="17F52BDC"/>
    <w:rsid w:val="183A58CF"/>
    <w:rsid w:val="18501FF1"/>
    <w:rsid w:val="18870497"/>
    <w:rsid w:val="193070E1"/>
    <w:rsid w:val="194C6A11"/>
    <w:rsid w:val="19CC27E2"/>
    <w:rsid w:val="1A2728A7"/>
    <w:rsid w:val="1A364410"/>
    <w:rsid w:val="1B933969"/>
    <w:rsid w:val="1BF765EF"/>
    <w:rsid w:val="1C045905"/>
    <w:rsid w:val="1C224EB5"/>
    <w:rsid w:val="1C7A627F"/>
    <w:rsid w:val="1CD37257"/>
    <w:rsid w:val="1D567831"/>
    <w:rsid w:val="1D584F32"/>
    <w:rsid w:val="1DCE45FC"/>
    <w:rsid w:val="1DD847C6"/>
    <w:rsid w:val="1E480DAA"/>
    <w:rsid w:val="1F3754B9"/>
    <w:rsid w:val="1F485A62"/>
    <w:rsid w:val="208C6FF3"/>
    <w:rsid w:val="21525AB7"/>
    <w:rsid w:val="219A172E"/>
    <w:rsid w:val="21A76846"/>
    <w:rsid w:val="21C328F3"/>
    <w:rsid w:val="21CD1190"/>
    <w:rsid w:val="21F31232"/>
    <w:rsid w:val="232B5A8E"/>
    <w:rsid w:val="23C27E3A"/>
    <w:rsid w:val="247B17E7"/>
    <w:rsid w:val="249B3E4F"/>
    <w:rsid w:val="24B23EBF"/>
    <w:rsid w:val="2549347B"/>
    <w:rsid w:val="256B35BC"/>
    <w:rsid w:val="258E02F8"/>
    <w:rsid w:val="25A869D6"/>
    <w:rsid w:val="25E53F57"/>
    <w:rsid w:val="265754CC"/>
    <w:rsid w:val="2664225A"/>
    <w:rsid w:val="288A4510"/>
    <w:rsid w:val="28983825"/>
    <w:rsid w:val="289912A7"/>
    <w:rsid w:val="28991DCC"/>
    <w:rsid w:val="28AC0BBA"/>
    <w:rsid w:val="28D42E04"/>
    <w:rsid w:val="28DC1C2C"/>
    <w:rsid w:val="28ED45B4"/>
    <w:rsid w:val="28F519C1"/>
    <w:rsid w:val="290B6CC3"/>
    <w:rsid w:val="294813D7"/>
    <w:rsid w:val="29AC49A7"/>
    <w:rsid w:val="29AF6870"/>
    <w:rsid w:val="29FF78F4"/>
    <w:rsid w:val="2A3D5B54"/>
    <w:rsid w:val="2A6145B4"/>
    <w:rsid w:val="2AB35024"/>
    <w:rsid w:val="2ABC352B"/>
    <w:rsid w:val="2ACB7893"/>
    <w:rsid w:val="2B17315A"/>
    <w:rsid w:val="2B675C22"/>
    <w:rsid w:val="2BC74CE2"/>
    <w:rsid w:val="2BEF3474"/>
    <w:rsid w:val="2C7460FF"/>
    <w:rsid w:val="2C7C7C88"/>
    <w:rsid w:val="2C933131"/>
    <w:rsid w:val="2CA67D76"/>
    <w:rsid w:val="2CBF7478"/>
    <w:rsid w:val="2D3F104B"/>
    <w:rsid w:val="2D975300"/>
    <w:rsid w:val="2E2272E9"/>
    <w:rsid w:val="2E2627B5"/>
    <w:rsid w:val="2E7312D9"/>
    <w:rsid w:val="2E9F5C62"/>
    <w:rsid w:val="2EAB7F1D"/>
    <w:rsid w:val="2EB61B31"/>
    <w:rsid w:val="2F5D5232"/>
    <w:rsid w:val="2FFB336C"/>
    <w:rsid w:val="30002DCD"/>
    <w:rsid w:val="30062758"/>
    <w:rsid w:val="3011436C"/>
    <w:rsid w:val="303B061C"/>
    <w:rsid w:val="3146605C"/>
    <w:rsid w:val="31704E8B"/>
    <w:rsid w:val="31D71836"/>
    <w:rsid w:val="31F8678B"/>
    <w:rsid w:val="321855CA"/>
    <w:rsid w:val="327A5A60"/>
    <w:rsid w:val="332D5503"/>
    <w:rsid w:val="33AF005B"/>
    <w:rsid w:val="33E85C36"/>
    <w:rsid w:val="34153F6D"/>
    <w:rsid w:val="350D15E3"/>
    <w:rsid w:val="351126E2"/>
    <w:rsid w:val="35121EA0"/>
    <w:rsid w:val="35316ED2"/>
    <w:rsid w:val="358878E1"/>
    <w:rsid w:val="35A93699"/>
    <w:rsid w:val="35C57746"/>
    <w:rsid w:val="361A6E50"/>
    <w:rsid w:val="361F020D"/>
    <w:rsid w:val="36AA0CBD"/>
    <w:rsid w:val="36C80ABF"/>
    <w:rsid w:val="36FE6867"/>
    <w:rsid w:val="373A70A6"/>
    <w:rsid w:val="378E0F6A"/>
    <w:rsid w:val="38677D19"/>
    <w:rsid w:val="386808FA"/>
    <w:rsid w:val="38CC1C3C"/>
    <w:rsid w:val="38FE3951"/>
    <w:rsid w:val="398D4278"/>
    <w:rsid w:val="39AA4467"/>
    <w:rsid w:val="39DD52FC"/>
    <w:rsid w:val="3A3A1E13"/>
    <w:rsid w:val="3A5F274A"/>
    <w:rsid w:val="3A8E3939"/>
    <w:rsid w:val="3AAA7E69"/>
    <w:rsid w:val="3AC64396"/>
    <w:rsid w:val="3B496768"/>
    <w:rsid w:val="3B807F2C"/>
    <w:rsid w:val="3B820DE6"/>
    <w:rsid w:val="3B877BF8"/>
    <w:rsid w:val="3BA36CCD"/>
    <w:rsid w:val="3BB6700C"/>
    <w:rsid w:val="3BE556D1"/>
    <w:rsid w:val="3C3812D4"/>
    <w:rsid w:val="3CEF1407"/>
    <w:rsid w:val="3D4F6EA2"/>
    <w:rsid w:val="3DE06791"/>
    <w:rsid w:val="3E1127E3"/>
    <w:rsid w:val="3E315296"/>
    <w:rsid w:val="3E5E28E2"/>
    <w:rsid w:val="3ED509E4"/>
    <w:rsid w:val="3EEA46C5"/>
    <w:rsid w:val="3EF8725E"/>
    <w:rsid w:val="3F096DC9"/>
    <w:rsid w:val="3F53403F"/>
    <w:rsid w:val="3F7953EA"/>
    <w:rsid w:val="3FD014BF"/>
    <w:rsid w:val="3FEF1D74"/>
    <w:rsid w:val="40250BC9"/>
    <w:rsid w:val="403768E5"/>
    <w:rsid w:val="41506B37"/>
    <w:rsid w:val="416937DF"/>
    <w:rsid w:val="41BC7AF1"/>
    <w:rsid w:val="41E6662C"/>
    <w:rsid w:val="421B164C"/>
    <w:rsid w:val="42585666"/>
    <w:rsid w:val="42714011"/>
    <w:rsid w:val="431F542F"/>
    <w:rsid w:val="4323756C"/>
    <w:rsid w:val="432F1CE7"/>
    <w:rsid w:val="43310BCC"/>
    <w:rsid w:val="438F3164"/>
    <w:rsid w:val="43AA1790"/>
    <w:rsid w:val="44480394"/>
    <w:rsid w:val="448A4681"/>
    <w:rsid w:val="455428F4"/>
    <w:rsid w:val="455F7B5C"/>
    <w:rsid w:val="45F261D2"/>
    <w:rsid w:val="46001944"/>
    <w:rsid w:val="46220A20"/>
    <w:rsid w:val="466B4B97"/>
    <w:rsid w:val="476E50DC"/>
    <w:rsid w:val="4873716A"/>
    <w:rsid w:val="498639D7"/>
    <w:rsid w:val="49C20FC1"/>
    <w:rsid w:val="4A1F73E8"/>
    <w:rsid w:val="4A2026A9"/>
    <w:rsid w:val="4A2B43F6"/>
    <w:rsid w:val="4A4C2273"/>
    <w:rsid w:val="4A6E0229"/>
    <w:rsid w:val="4B44280B"/>
    <w:rsid w:val="4B4751DB"/>
    <w:rsid w:val="4B71290D"/>
    <w:rsid w:val="4B8B2F80"/>
    <w:rsid w:val="4BBF2155"/>
    <w:rsid w:val="4BC154F0"/>
    <w:rsid w:val="4BC701B7"/>
    <w:rsid w:val="4C411429"/>
    <w:rsid w:val="4C763652"/>
    <w:rsid w:val="4C9435C3"/>
    <w:rsid w:val="4CA73517"/>
    <w:rsid w:val="4CB218CC"/>
    <w:rsid w:val="4CBA3ACA"/>
    <w:rsid w:val="4CC4300C"/>
    <w:rsid w:val="4D3F60F3"/>
    <w:rsid w:val="4D436175"/>
    <w:rsid w:val="4E1B4E0F"/>
    <w:rsid w:val="4E677B04"/>
    <w:rsid w:val="4ED3213C"/>
    <w:rsid w:val="4F010800"/>
    <w:rsid w:val="4F416B96"/>
    <w:rsid w:val="4F485E9E"/>
    <w:rsid w:val="5000564D"/>
    <w:rsid w:val="5030033E"/>
    <w:rsid w:val="5050032E"/>
    <w:rsid w:val="507254DD"/>
    <w:rsid w:val="50C75416"/>
    <w:rsid w:val="5131339E"/>
    <w:rsid w:val="532661FA"/>
    <w:rsid w:val="532F0545"/>
    <w:rsid w:val="53B474B1"/>
    <w:rsid w:val="54060DDF"/>
    <w:rsid w:val="54373AB8"/>
    <w:rsid w:val="546C6511"/>
    <w:rsid w:val="548C2213"/>
    <w:rsid w:val="549D31CB"/>
    <w:rsid w:val="54C54621"/>
    <w:rsid w:val="54F6179A"/>
    <w:rsid w:val="55351035"/>
    <w:rsid w:val="55937A20"/>
    <w:rsid w:val="56B227F1"/>
    <w:rsid w:val="56C9049F"/>
    <w:rsid w:val="57A10251"/>
    <w:rsid w:val="57A90EE1"/>
    <w:rsid w:val="57B204EC"/>
    <w:rsid w:val="57E24DA3"/>
    <w:rsid w:val="57ED06D1"/>
    <w:rsid w:val="583C0450"/>
    <w:rsid w:val="589715D5"/>
    <w:rsid w:val="58F24258"/>
    <w:rsid w:val="58F84A43"/>
    <w:rsid w:val="59346469"/>
    <w:rsid w:val="59564420"/>
    <w:rsid w:val="59620232"/>
    <w:rsid w:val="59A66C15"/>
    <w:rsid w:val="59ED0903"/>
    <w:rsid w:val="5A5B4884"/>
    <w:rsid w:val="5A67147B"/>
    <w:rsid w:val="5AB854FB"/>
    <w:rsid w:val="5ACE4F06"/>
    <w:rsid w:val="5AFD3265"/>
    <w:rsid w:val="5B260E18"/>
    <w:rsid w:val="5BAA6E73"/>
    <w:rsid w:val="5BAE7E92"/>
    <w:rsid w:val="5BC975D5"/>
    <w:rsid w:val="5BEF797A"/>
    <w:rsid w:val="5C370801"/>
    <w:rsid w:val="5C80137C"/>
    <w:rsid w:val="5CBB6CB0"/>
    <w:rsid w:val="5CD72D5D"/>
    <w:rsid w:val="5CE65575"/>
    <w:rsid w:val="5D3D2C52"/>
    <w:rsid w:val="5D3E3A06"/>
    <w:rsid w:val="5D43537A"/>
    <w:rsid w:val="5D7E76D7"/>
    <w:rsid w:val="5E0D2DD9"/>
    <w:rsid w:val="5E5A3234"/>
    <w:rsid w:val="5EE04437"/>
    <w:rsid w:val="5EF12152"/>
    <w:rsid w:val="5FD223D6"/>
    <w:rsid w:val="60392E2E"/>
    <w:rsid w:val="61DA7617"/>
    <w:rsid w:val="62991BCC"/>
    <w:rsid w:val="62DF1126"/>
    <w:rsid w:val="63310B98"/>
    <w:rsid w:val="63581F04"/>
    <w:rsid w:val="63BA450E"/>
    <w:rsid w:val="63F2555F"/>
    <w:rsid w:val="64482C14"/>
    <w:rsid w:val="647C2169"/>
    <w:rsid w:val="648C045C"/>
    <w:rsid w:val="64D34D76"/>
    <w:rsid w:val="650023C2"/>
    <w:rsid w:val="65026AFE"/>
    <w:rsid w:val="650F096B"/>
    <w:rsid w:val="65262602"/>
    <w:rsid w:val="652A1008"/>
    <w:rsid w:val="65341918"/>
    <w:rsid w:val="65841133"/>
    <w:rsid w:val="65BE2F61"/>
    <w:rsid w:val="65D43A20"/>
    <w:rsid w:val="66AD24F1"/>
    <w:rsid w:val="67061813"/>
    <w:rsid w:val="67600C28"/>
    <w:rsid w:val="678C2C25"/>
    <w:rsid w:val="67CB3B5A"/>
    <w:rsid w:val="67F307F2"/>
    <w:rsid w:val="68A05C2F"/>
    <w:rsid w:val="68D76E5D"/>
    <w:rsid w:val="691F787B"/>
    <w:rsid w:val="69C266CE"/>
    <w:rsid w:val="6A892D47"/>
    <w:rsid w:val="6A8D534D"/>
    <w:rsid w:val="6AAA4E8C"/>
    <w:rsid w:val="6ADD0B5E"/>
    <w:rsid w:val="6AF27431"/>
    <w:rsid w:val="6B730548"/>
    <w:rsid w:val="6B953B90"/>
    <w:rsid w:val="6C0341C4"/>
    <w:rsid w:val="6C303DC2"/>
    <w:rsid w:val="6C991B71"/>
    <w:rsid w:val="6CC13DA5"/>
    <w:rsid w:val="6CD1301A"/>
    <w:rsid w:val="6CD27D15"/>
    <w:rsid w:val="6CF60B65"/>
    <w:rsid w:val="6D033D67"/>
    <w:rsid w:val="6D162D88"/>
    <w:rsid w:val="6DAA7AA1"/>
    <w:rsid w:val="6DAB327B"/>
    <w:rsid w:val="6DE90B62"/>
    <w:rsid w:val="6E436899"/>
    <w:rsid w:val="6F245066"/>
    <w:rsid w:val="6F2C357A"/>
    <w:rsid w:val="6F352D82"/>
    <w:rsid w:val="6F7D69F9"/>
    <w:rsid w:val="6F7E447B"/>
    <w:rsid w:val="6F8B7F0D"/>
    <w:rsid w:val="6F917C18"/>
    <w:rsid w:val="70167E72"/>
    <w:rsid w:val="704C35C5"/>
    <w:rsid w:val="705C33D8"/>
    <w:rsid w:val="70CE09B6"/>
    <w:rsid w:val="70E62748"/>
    <w:rsid w:val="71320B17"/>
    <w:rsid w:val="716345F2"/>
    <w:rsid w:val="72190E55"/>
    <w:rsid w:val="721A055A"/>
    <w:rsid w:val="726A28C4"/>
    <w:rsid w:val="728B087B"/>
    <w:rsid w:val="7298621E"/>
    <w:rsid w:val="736827E7"/>
    <w:rsid w:val="737E1108"/>
    <w:rsid w:val="73AB0CD2"/>
    <w:rsid w:val="73B260DF"/>
    <w:rsid w:val="74460B51"/>
    <w:rsid w:val="74507755"/>
    <w:rsid w:val="7468238A"/>
    <w:rsid w:val="74FB7D02"/>
    <w:rsid w:val="75B6202C"/>
    <w:rsid w:val="76C92DEE"/>
    <w:rsid w:val="76F31A34"/>
    <w:rsid w:val="771A5176"/>
    <w:rsid w:val="77234781"/>
    <w:rsid w:val="77416EDC"/>
    <w:rsid w:val="7764686F"/>
    <w:rsid w:val="776D38FC"/>
    <w:rsid w:val="77727D83"/>
    <w:rsid w:val="779E40CB"/>
    <w:rsid w:val="77A14B15"/>
    <w:rsid w:val="77AE3DED"/>
    <w:rsid w:val="77BC1433"/>
    <w:rsid w:val="77C84DC0"/>
    <w:rsid w:val="78913A5E"/>
    <w:rsid w:val="78A06277"/>
    <w:rsid w:val="78A551F0"/>
    <w:rsid w:val="78BB2C66"/>
    <w:rsid w:val="78D750CC"/>
    <w:rsid w:val="78DE2519"/>
    <w:rsid w:val="78F76C86"/>
    <w:rsid w:val="7908577F"/>
    <w:rsid w:val="793379E4"/>
    <w:rsid w:val="794B2E8D"/>
    <w:rsid w:val="79AF2BB1"/>
    <w:rsid w:val="79D60872"/>
    <w:rsid w:val="79DE7E7D"/>
    <w:rsid w:val="7A1B4642"/>
    <w:rsid w:val="7A882894"/>
    <w:rsid w:val="7B191C40"/>
    <w:rsid w:val="7B8E7BC4"/>
    <w:rsid w:val="7B9A3006"/>
    <w:rsid w:val="7C14589E"/>
    <w:rsid w:val="7C344B14"/>
    <w:rsid w:val="7C4C4F8D"/>
    <w:rsid w:val="7C5D6F97"/>
    <w:rsid w:val="7CE56DD3"/>
    <w:rsid w:val="7D55752F"/>
    <w:rsid w:val="7D921C5C"/>
    <w:rsid w:val="7EBC7D7B"/>
    <w:rsid w:val="7EC44CC7"/>
    <w:rsid w:val="7F342EBD"/>
    <w:rsid w:val="7F7469E7"/>
    <w:rsid w:val="7FB1158D"/>
    <w:rsid w:val="7FD129C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0" w:semiHidden="0" w:name="toc 1"/>
    <w:lsdException w:qFormat="1" w:unhideWhenUsed="0" w:uiPriority="0" w:semiHidden="0" w:name="toc 2"/>
    <w:lsdException w:qFormat="1"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qFormat="1" w:uiPriority="99"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qFormat="1"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adjustRightInd w:val="0"/>
      <w:snapToGrid w:val="0"/>
      <w:spacing w:line="360" w:lineRule="auto"/>
      <w:ind w:firstLine="883" w:firstLineChars="200"/>
      <w:jc w:val="both"/>
    </w:pPr>
    <w:rPr>
      <w:rFonts w:ascii="Times New Roman" w:hAnsi="Times New Roman" w:eastAsia="仿宋_GB2312" w:cstheme="minorBidi"/>
      <w:kern w:val="2"/>
      <w:sz w:val="28"/>
      <w:szCs w:val="28"/>
      <w:lang w:val="en-US" w:eastAsia="zh-CN" w:bidi="ar-SA"/>
    </w:rPr>
  </w:style>
  <w:style w:type="paragraph" w:styleId="2">
    <w:name w:val="heading 1"/>
    <w:basedOn w:val="1"/>
    <w:next w:val="3"/>
    <w:qFormat/>
    <w:uiPriority w:val="0"/>
    <w:pPr>
      <w:keepNext/>
      <w:keepLines/>
      <w:numPr>
        <w:ilvl w:val="0"/>
        <w:numId w:val="1"/>
      </w:numPr>
      <w:outlineLvl w:val="0"/>
    </w:pPr>
    <w:rPr>
      <w:b/>
      <w:kern w:val="44"/>
      <w:sz w:val="32"/>
      <w:szCs w:val="32"/>
    </w:rPr>
  </w:style>
  <w:style w:type="paragraph" w:styleId="3">
    <w:name w:val="heading 2"/>
    <w:basedOn w:val="1"/>
    <w:next w:val="1"/>
    <w:unhideWhenUsed/>
    <w:qFormat/>
    <w:uiPriority w:val="0"/>
    <w:pPr>
      <w:keepNext/>
      <w:keepLines/>
      <w:numPr>
        <w:ilvl w:val="1"/>
        <w:numId w:val="1"/>
      </w:numPr>
      <w:ind w:firstLineChars="0"/>
      <w:outlineLvl w:val="1"/>
    </w:pPr>
    <w:rPr>
      <w:rFonts w:eastAsia="黑体"/>
    </w:rPr>
  </w:style>
  <w:style w:type="paragraph" w:styleId="4">
    <w:name w:val="heading 3"/>
    <w:basedOn w:val="1"/>
    <w:next w:val="1"/>
    <w:unhideWhenUsed/>
    <w:qFormat/>
    <w:uiPriority w:val="0"/>
    <w:pPr>
      <w:keepNext/>
      <w:keepLines/>
      <w:numPr>
        <w:ilvl w:val="2"/>
        <w:numId w:val="1"/>
      </w:numPr>
      <w:tabs>
        <w:tab w:val="left" w:pos="420"/>
      </w:tabs>
      <w:ind w:firstLineChars="0"/>
      <w:outlineLvl w:val="2"/>
    </w:pPr>
  </w:style>
  <w:style w:type="paragraph" w:styleId="5">
    <w:name w:val="heading 4"/>
    <w:basedOn w:val="1"/>
    <w:next w:val="1"/>
    <w:semiHidden/>
    <w:unhideWhenUsed/>
    <w:qFormat/>
    <w:uiPriority w:val="0"/>
    <w:pPr>
      <w:keepNext/>
      <w:keepLines/>
      <w:numPr>
        <w:ilvl w:val="3"/>
        <w:numId w:val="1"/>
      </w:numPr>
      <w:tabs>
        <w:tab w:val="left" w:pos="420"/>
      </w:tabs>
      <w:spacing w:before="280" w:after="290" w:line="372" w:lineRule="auto"/>
      <w:ind w:firstLineChars="0"/>
      <w:outlineLvl w:val="3"/>
    </w:pPr>
    <w:rPr>
      <w:rFonts w:ascii="Arial" w:hAnsi="Arial" w:eastAsia="黑体"/>
      <w:b/>
    </w:rPr>
  </w:style>
  <w:style w:type="paragraph" w:styleId="6">
    <w:name w:val="heading 5"/>
    <w:basedOn w:val="1"/>
    <w:next w:val="1"/>
    <w:semiHidden/>
    <w:unhideWhenUsed/>
    <w:qFormat/>
    <w:uiPriority w:val="0"/>
    <w:pPr>
      <w:keepNext/>
      <w:keepLines/>
      <w:numPr>
        <w:ilvl w:val="4"/>
        <w:numId w:val="1"/>
      </w:numPr>
      <w:spacing w:before="280" w:after="290" w:line="372" w:lineRule="auto"/>
      <w:ind w:firstLineChars="0"/>
      <w:outlineLvl w:val="4"/>
    </w:pPr>
    <w:rPr>
      <w:b/>
    </w:rPr>
  </w:style>
  <w:style w:type="paragraph" w:styleId="7">
    <w:name w:val="heading 6"/>
    <w:basedOn w:val="1"/>
    <w:next w:val="1"/>
    <w:semiHidden/>
    <w:unhideWhenUsed/>
    <w:qFormat/>
    <w:uiPriority w:val="0"/>
    <w:pPr>
      <w:keepNext/>
      <w:keepLines/>
      <w:numPr>
        <w:ilvl w:val="5"/>
        <w:numId w:val="1"/>
      </w:numPr>
      <w:spacing w:before="240" w:after="64" w:line="317" w:lineRule="auto"/>
      <w:ind w:firstLineChars="0"/>
      <w:outlineLvl w:val="5"/>
    </w:pPr>
    <w:rPr>
      <w:rFonts w:ascii="Arial" w:hAnsi="Arial" w:eastAsia="黑体"/>
      <w:b/>
      <w:sz w:val="24"/>
    </w:rPr>
  </w:style>
  <w:style w:type="paragraph" w:styleId="8">
    <w:name w:val="heading 7"/>
    <w:basedOn w:val="1"/>
    <w:next w:val="1"/>
    <w:semiHidden/>
    <w:unhideWhenUsed/>
    <w:qFormat/>
    <w:uiPriority w:val="0"/>
    <w:pPr>
      <w:keepNext/>
      <w:keepLines/>
      <w:numPr>
        <w:ilvl w:val="6"/>
        <w:numId w:val="1"/>
      </w:numPr>
      <w:spacing w:before="240" w:after="64" w:line="317" w:lineRule="auto"/>
      <w:ind w:firstLineChars="0"/>
      <w:outlineLvl w:val="6"/>
    </w:pPr>
    <w:rPr>
      <w:b/>
      <w:sz w:val="24"/>
    </w:rPr>
  </w:style>
  <w:style w:type="paragraph" w:styleId="9">
    <w:name w:val="heading 8"/>
    <w:basedOn w:val="1"/>
    <w:next w:val="1"/>
    <w:semiHidden/>
    <w:unhideWhenUsed/>
    <w:qFormat/>
    <w:uiPriority w:val="0"/>
    <w:pPr>
      <w:keepNext/>
      <w:keepLines/>
      <w:numPr>
        <w:ilvl w:val="7"/>
        <w:numId w:val="1"/>
      </w:numPr>
      <w:spacing w:before="240" w:after="64" w:line="317" w:lineRule="auto"/>
      <w:ind w:firstLineChars="0"/>
      <w:outlineLvl w:val="7"/>
    </w:pPr>
    <w:rPr>
      <w:rFonts w:ascii="Arial" w:hAnsi="Arial" w:eastAsia="黑体"/>
      <w:sz w:val="24"/>
    </w:rPr>
  </w:style>
  <w:style w:type="paragraph" w:styleId="10">
    <w:name w:val="heading 9"/>
    <w:basedOn w:val="1"/>
    <w:next w:val="1"/>
    <w:semiHidden/>
    <w:unhideWhenUsed/>
    <w:qFormat/>
    <w:uiPriority w:val="0"/>
    <w:pPr>
      <w:keepNext/>
      <w:keepLines/>
      <w:numPr>
        <w:ilvl w:val="8"/>
        <w:numId w:val="1"/>
      </w:numPr>
      <w:spacing w:before="240" w:after="64" w:line="317" w:lineRule="auto"/>
      <w:ind w:firstLineChars="0"/>
      <w:outlineLvl w:val="8"/>
    </w:pPr>
    <w:rPr>
      <w:rFonts w:ascii="Arial" w:hAnsi="Arial" w:eastAsia="黑体"/>
      <w:sz w:val="21"/>
    </w:rPr>
  </w:style>
  <w:style w:type="character" w:default="1" w:styleId="22">
    <w:name w:val="Default Paragraph Font"/>
    <w:semiHidden/>
    <w:unhideWhenUsed/>
    <w:qFormat/>
    <w:uiPriority w:val="1"/>
  </w:style>
  <w:style w:type="table" w:default="1" w:styleId="20">
    <w:name w:val="Normal Table"/>
    <w:semiHidden/>
    <w:unhideWhenUsed/>
    <w:qFormat/>
    <w:uiPriority w:val="99"/>
    <w:tblPr>
      <w:tblCellMar>
        <w:top w:w="0" w:type="dxa"/>
        <w:left w:w="108" w:type="dxa"/>
        <w:bottom w:w="0" w:type="dxa"/>
        <w:right w:w="108" w:type="dxa"/>
      </w:tblCellMar>
    </w:tblPr>
  </w:style>
  <w:style w:type="paragraph" w:styleId="11">
    <w:name w:val="caption"/>
    <w:basedOn w:val="1"/>
    <w:next w:val="1"/>
    <w:semiHidden/>
    <w:unhideWhenUsed/>
    <w:qFormat/>
    <w:uiPriority w:val="0"/>
    <w:rPr>
      <w:rFonts w:ascii="Arial" w:hAnsi="Arial" w:eastAsia="黑体"/>
      <w:sz w:val="20"/>
    </w:rPr>
  </w:style>
  <w:style w:type="paragraph" w:styleId="12">
    <w:name w:val="Body Text"/>
    <w:basedOn w:val="1"/>
    <w:unhideWhenUsed/>
    <w:qFormat/>
    <w:uiPriority w:val="99"/>
    <w:pPr>
      <w:autoSpaceDE w:val="0"/>
      <w:autoSpaceDN w:val="0"/>
      <w:ind w:left="480"/>
      <w:jc w:val="left"/>
    </w:pPr>
    <w:rPr>
      <w:rFonts w:hint="eastAsia" w:ascii="宋体" w:hAnsi="宋体"/>
      <w:kern w:val="0"/>
      <w:sz w:val="32"/>
      <w:szCs w:val="32"/>
    </w:rPr>
  </w:style>
  <w:style w:type="paragraph" w:styleId="13">
    <w:name w:val="toc 3"/>
    <w:basedOn w:val="1"/>
    <w:next w:val="1"/>
    <w:qFormat/>
    <w:uiPriority w:val="0"/>
    <w:pPr>
      <w:ind w:left="840" w:leftChars="400"/>
    </w:pPr>
  </w:style>
  <w:style w:type="paragraph" w:styleId="14">
    <w:name w:val="Plain Text"/>
    <w:basedOn w:val="1"/>
    <w:qFormat/>
    <w:uiPriority w:val="0"/>
    <w:pPr>
      <w:tabs>
        <w:tab w:val="left" w:pos="-945"/>
      </w:tabs>
    </w:pPr>
    <w:rPr>
      <w:rFonts w:ascii="宋体" w:hAnsi="Courier New"/>
    </w:rPr>
  </w:style>
  <w:style w:type="paragraph" w:styleId="15">
    <w:name w:val="footer"/>
    <w:basedOn w:val="1"/>
    <w:qFormat/>
    <w:uiPriority w:val="0"/>
    <w:pPr>
      <w:tabs>
        <w:tab w:val="center" w:pos="4153"/>
        <w:tab w:val="right" w:pos="8306"/>
      </w:tabs>
      <w:jc w:val="left"/>
    </w:pPr>
    <w:rPr>
      <w:sz w:val="18"/>
    </w:rPr>
  </w:style>
  <w:style w:type="paragraph" w:styleId="16">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pacing w:line="240" w:lineRule="auto"/>
    </w:pPr>
    <w:rPr>
      <w:sz w:val="18"/>
    </w:rPr>
  </w:style>
  <w:style w:type="paragraph" w:styleId="17">
    <w:name w:val="toc 1"/>
    <w:basedOn w:val="1"/>
    <w:next w:val="1"/>
    <w:qFormat/>
    <w:uiPriority w:val="0"/>
    <w:pPr>
      <w:ind w:firstLine="0" w:firstLineChars="0"/>
    </w:pPr>
  </w:style>
  <w:style w:type="paragraph" w:styleId="18">
    <w:name w:val="toc 2"/>
    <w:basedOn w:val="1"/>
    <w:next w:val="1"/>
    <w:qFormat/>
    <w:uiPriority w:val="0"/>
    <w:pPr>
      <w:ind w:left="420" w:leftChars="200" w:firstLine="0" w:firstLineChars="0"/>
    </w:pPr>
  </w:style>
  <w:style w:type="paragraph" w:styleId="19">
    <w:name w:val="Normal (Web)"/>
    <w:basedOn w:val="1"/>
    <w:qFormat/>
    <w:uiPriority w:val="0"/>
    <w:pPr>
      <w:spacing w:beforeAutospacing="1" w:afterAutospacing="1"/>
    </w:pPr>
    <w:rPr>
      <w:rFonts w:cs="Times New Roman"/>
      <w:lang w:eastAsia="zh-CN"/>
    </w:rPr>
  </w:style>
  <w:style w:type="table" w:styleId="21">
    <w:name w:val="Table Grid"/>
    <w:basedOn w:val="20"/>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3">
    <w:name w:val="Strong"/>
    <w:basedOn w:val="22"/>
    <w:qFormat/>
    <w:uiPriority w:val="0"/>
    <w:rPr>
      <w:b/>
    </w:rPr>
  </w:style>
  <w:style w:type="paragraph" w:customStyle="1" w:styleId="24">
    <w:name w:val="全文标题"/>
    <w:basedOn w:val="1"/>
    <w:qFormat/>
    <w:uiPriority w:val="0"/>
    <w:pPr>
      <w:spacing w:line="480" w:lineRule="auto"/>
    </w:pPr>
    <w:rPr>
      <w:rFonts w:eastAsia="黑体" w:asciiTheme="minorHAnsi" w:hAnsiTheme="minorHAnsi"/>
      <w:b/>
      <w:sz w:val="44"/>
    </w:rPr>
  </w:style>
  <w:style w:type="paragraph" w:customStyle="1" w:styleId="25">
    <w:name w:val="样式 宋体 四号 行距: 最小值 24 磅"/>
    <w:basedOn w:val="1"/>
    <w:qFormat/>
    <w:uiPriority w:val="0"/>
    <w:pPr>
      <w:spacing w:line="480" w:lineRule="atLeast"/>
      <w:ind w:firstLine="480"/>
    </w:pPr>
    <w:rPr>
      <w:rFonts w:cs="Times New Roman"/>
      <w:color w:val="FF0000"/>
      <w:sz w:val="24"/>
      <w:szCs w:val="24"/>
    </w:rPr>
  </w:style>
  <w:style w:type="paragraph" w:customStyle="1" w:styleId="26">
    <w:name w:val="手动目录 1"/>
    <w:qFormat/>
    <w:uiPriority w:val="0"/>
    <w:rPr>
      <w:rFonts w:ascii="Times New Roman" w:hAnsi="Times New Roman" w:eastAsia="仿宋_GB2312" w:cs="Times New Roman"/>
      <w:sz w:val="28"/>
      <w:lang w:val="en-US" w:eastAsia="zh-CN" w:bidi="ar-SA"/>
    </w:rPr>
  </w:style>
  <w:style w:type="paragraph" w:customStyle="1" w:styleId="27">
    <w:name w:val="手动目录 2"/>
    <w:qFormat/>
    <w:uiPriority w:val="0"/>
    <w:pPr>
      <w:ind w:firstLine="883" w:firstLineChars="200"/>
    </w:pPr>
    <w:rPr>
      <w:rFonts w:ascii="Times New Roman" w:hAnsi="Times New Roman" w:eastAsia="仿宋_GB2312" w:cs="Times New Roman"/>
      <w:sz w:val="28"/>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footer" Target="footer2.xml"/><Relationship Id="rId8" Type="http://schemas.openxmlformats.org/officeDocument/2006/relationships/footer" Target="footer1.xml"/><Relationship Id="rId7" Type="http://schemas.openxmlformats.org/officeDocument/2006/relationships/header" Target="header3.xml"/><Relationship Id="rId6" Type="http://schemas.openxmlformats.org/officeDocument/2006/relationships/header" Target="header2.xml"/><Relationship Id="rId5" Type="http://schemas.openxmlformats.org/officeDocument/2006/relationships/header" Target="header1.xml"/><Relationship Id="rId4" Type="http://schemas.openxmlformats.org/officeDocument/2006/relationships/endnotes" Target="endnotes.xml"/><Relationship Id="rId3" Type="http://schemas.openxmlformats.org/officeDocument/2006/relationships/footnotes" Target="footnotes.xml"/><Relationship Id="rId23" Type="http://schemas.openxmlformats.org/officeDocument/2006/relationships/fontTable" Target="fontTable.xml"/><Relationship Id="rId22" Type="http://schemas.openxmlformats.org/officeDocument/2006/relationships/numbering" Target="numbering.xml"/><Relationship Id="rId21" Type="http://schemas.openxmlformats.org/officeDocument/2006/relationships/customXml" Target="../customXml/item1.xml"/><Relationship Id="rId20" Type="http://schemas.openxmlformats.org/officeDocument/2006/relationships/image" Target="media/image9.jpeg"/><Relationship Id="rId2" Type="http://schemas.openxmlformats.org/officeDocument/2006/relationships/settings" Target="settings.xml"/><Relationship Id="rId19" Type="http://schemas.openxmlformats.org/officeDocument/2006/relationships/image" Target="media/image8.jpeg"/><Relationship Id="rId18" Type="http://schemas.openxmlformats.org/officeDocument/2006/relationships/image" Target="media/image7.jpeg"/><Relationship Id="rId17" Type="http://schemas.openxmlformats.org/officeDocument/2006/relationships/image" Target="media/image6.jpeg"/><Relationship Id="rId16" Type="http://schemas.openxmlformats.org/officeDocument/2006/relationships/image" Target="media/image5.png"/><Relationship Id="rId15" Type="http://schemas.openxmlformats.org/officeDocument/2006/relationships/image" Target="media/image4.png"/><Relationship Id="rId14" Type="http://schemas.openxmlformats.org/officeDocument/2006/relationships/image" Target="media/image3.png"/><Relationship Id="rId13" Type="http://schemas.openxmlformats.org/officeDocument/2006/relationships/image" Target="media/image2.png"/><Relationship Id="rId12" Type="http://schemas.openxmlformats.org/officeDocument/2006/relationships/image" Target="media/image1.png"/><Relationship Id="rId11" Type="http://schemas.openxmlformats.org/officeDocument/2006/relationships/theme" Target="theme/theme1.xml"/><Relationship Id="rId10" Type="http://schemas.openxmlformats.org/officeDocument/2006/relationships/footer" Target="footer3.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16</Pages>
  <Words>8655</Words>
  <Characters>9134</Characters>
  <Lines>163</Lines>
  <Paragraphs>117</Paragraphs>
  <TotalTime>10</TotalTime>
  <ScaleCrop>false</ScaleCrop>
  <LinksUpToDate>false</LinksUpToDate>
  <CharactersWithSpaces>9330</CharactersWithSpaces>
  <Application>WPS Office_12.1.0.25225_F1E327BC-269C-435d-A152-05C5408002CA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2024-11-06T06:57:00Z</dcterms:created>
  <dc:creator>铁维纯</dc:creator>
  <cp:lastModifiedBy>王嵩</cp:lastModifiedBy>
  <dcterms:modified xsi:type="dcterms:W3CDTF">2026-04-23T05:58:38Z</dcterms:modified>
  <cp:revision>21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2052-12.1.0.25225</vt:lpwstr>
  </property>
  <property fmtid="{D5CDD505-2E9C-101B-9397-08002B2CF9AE}" pid="3" name="ICV">
    <vt:lpwstr>36246433F4A34030A6A057958D678642_13</vt:lpwstr>
  </property>
  <property fmtid="{D5CDD505-2E9C-101B-9397-08002B2CF9AE}" pid="4" name="KSOTemplateDocerSaveRecord">
    <vt:lpwstr>eyJoZGlkIjoiNDYyNGFiOWVjNmUyNDJkMjQ4ZjU3YWM4YTY1MmJjYzMiLCJ1c2VySWQiOiIxNTgwMzA1OTc1In0=</vt:lpwstr>
  </property>
</Properties>
</file>