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6</w:t>
      </w:r>
    </w:p>
    <w:p w14:paraId="3EFBAA04">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中国电力建设企业协会团体标准</w:t>
      </w:r>
    </w:p>
    <w:p w14:paraId="2A8A305C">
      <w:pPr>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《输变电工程智慧工地技术规范》标准编制说明</w:t>
      </w:r>
    </w:p>
    <w:p w14:paraId="126DF046">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工作简况</w:t>
      </w:r>
    </w:p>
    <w:p w14:paraId="10C5458E">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1.1任务来源</w:t>
      </w:r>
    </w:p>
    <w:p w14:paraId="5808D247">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中国电力建设企业协会《关于印发2025年第一批中国电力建设企业协会团体标准制定计划的通知》（中电建协〔2025〕135号）的工作安排，《输变电工程智慧工地技术规范》的制定任务由中国电力建设企业协会标准化管理委员会负责管辖，由国网湖南省电力有限公司、南方电网能源发展研究院有限责任公司等17家单位组织完成编制。</w:t>
      </w:r>
    </w:p>
    <w:p w14:paraId="0325107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1.2编制必要性</w:t>
      </w:r>
    </w:p>
    <w:p w14:paraId="3A05C4D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（1）推动行业数字化转型，响应政策导向</w:t>
      </w:r>
    </w:p>
    <w:p w14:paraId="743084AC">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能源局等主管部门多次颁布政策，推动电力工程朝着智能化、数字化方向发展，并明确提出加快智慧工地建设。其中，国家发展改革委、国家能源局发布的《关于促进电网高质量发展的指导意见》（发改能源〔2025〕1710号）明确提出“推动人工智能技术和数字化技术赋能电网发展”，要求提升电网设施全寿命周期的智能化、数字化水平，以支撑新型电力系统高质量发展，这为本规范的编制提供了核心政策指引。</w:t>
      </w:r>
    </w:p>
    <w:p w14:paraId="6693E9B8">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发展改革委、国家能源局发布的《关于推进“人工智能+”能源高质量发展的实施意见》提出“推动人工智能技术深度融入电力建设工程管理全流程，构建贯穿施工全过程的‘智慧工地’管理平台，助力提升电力建设工程安全质量总体水平”，并明确到2027年要制定完善百项能源领域人工智能相关技术标准，为本规范的编制划定了核心方向和时间节点要求。</w:t>
      </w:r>
    </w:p>
    <w:p w14:paraId="33F0F8F8">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当前，输变电工程行业的数字化转型已进入关键阶段。编制本规范能够全面落实上述各项政策要求，响应国家政策导向，固化行业内可复制、可推广的实践经验，统一技术路径，引导行业从“粗放式”管理向“精细化、智能化”管理转型，助力电力行业高质量发展。 </w:t>
      </w:r>
    </w:p>
    <w:p w14:paraId="5C474EA1">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（2）推进输变电工程标准体系建设，完善行业标准架构的关键支撑</w:t>
      </w:r>
    </w:p>
    <w:p w14:paraId="4BE8A9FC">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推进输变电工程标准体系建设是国家能源局明确提出的重点任务，旨在健全以强制性标准为主体、推荐性标准为补充、国行企团地各级标准协调发展的电力标准体系，支撑新型电力系统高质量发展。当前输变电工程标准体系已形成一定基础，涵盖规划设计、工程建设、设备材料、安全环保等多个领域，但在智慧工地专项领域存在明显断层，现有相关标准未能有效融入输变电工程标准体系，具体结合现有标准阐述如下：一是通用建筑类智慧工地标准，如T/CAIEC 153-2025《建筑工程智慧工地建设技术规范》、JGJ/T 434-2018《建筑工程施工现场监管信息系统技术标准》及《河南省建设工程智慧工地建设与评价标准》等，主要针对房屋建筑、市政基础设施工程，未考虑输变电工程高空作业、带电作业、户外复杂环境等行业特殊性，与输变电工程标准体系中工程建设、安全管控等分支的适配性不足，无法直接纳入输变电工程标准体系；二是电力工程专项类标准，如GB/T 38436-2019《输变电工程数据移交规范》、GB 26860-2011《电力安全工作规程发电厂和变电站电气部分》及《电力工程数字化设计标准》等，虽属于输变电工程标准体系的重要组成部分，但仅聚焦于数据移交、设备安全、数字化设计等单一环节，未涉及智慧工地建设、运营、管理全流程技术要求，无法填补输变电工程标准体系中智慧建造领域的空白。</w:t>
      </w:r>
    </w:p>
    <w:p w14:paraId="77D4C537">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湖南省电力有限公司根据上述背景，为进一步推进输变电工程智慧工地标准化建设，适应新建、扩建、改建的35kV及以上输变电工程智慧工地建设需求，组织开展本标准编制工作并向中国电力建设企业协会提出申请。</w:t>
      </w:r>
    </w:p>
    <w:p w14:paraId="7FB2BC97">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1.3编制单位</w:t>
      </w:r>
    </w:p>
    <w:p w14:paraId="7F7CD071">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国网湖南省电力有限公司</w:t>
      </w:r>
    </w:p>
    <w:p w14:paraId="5C7C3AB3">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湖南省送变电工程有限公司</w:t>
      </w:r>
    </w:p>
    <w:p w14:paraId="3010BA83">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南方电网能源发展研究院有限责任公司</w:t>
      </w:r>
    </w:p>
    <w:p w14:paraId="62493C5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广州电力设计院有限公司</w:t>
      </w:r>
    </w:p>
    <w:p w14:paraId="44B2DE36">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湖南思极科技有限公司</w:t>
      </w:r>
    </w:p>
    <w:p w14:paraId="57918238">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云南电网公司昆明供电局</w:t>
      </w:r>
    </w:p>
    <w:p w14:paraId="1A39882C">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南方电网互联网服务有限公司</w:t>
      </w:r>
    </w:p>
    <w:p w14:paraId="35C9C33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广东省电力设计研究院有限公司</w:t>
      </w:r>
    </w:p>
    <w:p w14:paraId="1CA7A0ED">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广东电网有限责任公司广州供电局</w:t>
      </w:r>
    </w:p>
    <w:p w14:paraId="4E74088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国家电网有限公司特高压建设分公司</w:t>
      </w:r>
    </w:p>
    <w:p w14:paraId="7EB7D65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中国南方电网有限责任公司超高压输电公司</w:t>
      </w:r>
    </w:p>
    <w:p w14:paraId="29AADFE5">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贵州送变电有限责任公司</w:t>
      </w:r>
    </w:p>
    <w:p w14:paraId="79F0AE7A">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内蒙古电力(集团)有限责任公司</w:t>
      </w:r>
    </w:p>
    <w:p w14:paraId="3784682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北京洛斯达科技发展有限公司</w:t>
      </w:r>
    </w:p>
    <w:p w14:paraId="055B9739">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杭州浩联智能科技有限公司</w:t>
      </w:r>
    </w:p>
    <w:p w14:paraId="56C41971">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海南电网</w:t>
      </w:r>
    </w:p>
    <w:p w14:paraId="149318BB">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1.4主要工作过程</w:t>
      </w:r>
    </w:p>
    <w:p w14:paraId="582D1234">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2025年9月2日，国网湖南省电力有限公司联系了输变电工程智慧工地应用相关工作经验丰富的建设单位、施工单位、设计院等，涵盖国家电网、南方电网两大电网，成立标准编制工作组。</w:t>
      </w:r>
    </w:p>
    <w:p w14:paraId="64200EFF">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9月11日，标准编制工作组在线上组织召开了标准编制启动会，统一确定了标准名称，对初稿主要内容进行讨论，确认标准按照《标准化工作导则第1部分:标准化文件的结构和起草规则》（GB/T1.1-2020）和《标准编写规则》（GB/T20001）的规定格式编写，明确了标准大纲、编制分工及后续编写工作计划。</w:t>
      </w:r>
    </w:p>
    <w:p w14:paraId="625552D3">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2025年11月20日-21日，中国电力建设企业协会在湖南长沙召开了初稿集中讨论会，邀请相关单位专家参会标准编制工作组组织参编单位根据标准大纲及分工，对初稿进行修改完善，汇总形成征求意见稿。</w:t>
      </w:r>
    </w:p>
    <w:p w14:paraId="703500E6">
      <w:pPr>
        <w:numPr>
          <w:ilvl w:val="255"/>
          <w:numId w:val="0"/>
        </w:num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2026年1月29日，中国电力建设企业协会在浙江杭州召开了征求意见稿讨论会，邀请相关单位专家参会，会上对标准逐条进行讨论，确定最终版征求意见稿。</w:t>
      </w:r>
    </w:p>
    <w:p w14:paraId="30691C14">
      <w:pPr>
        <w:numPr>
          <w:ilvl w:val="0"/>
          <w:numId w:val="1"/>
        </w:num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团体标准编制原则、主要内容及其确定依据</w:t>
      </w:r>
    </w:p>
    <w:p w14:paraId="17A414B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 编制原则</w:t>
      </w:r>
    </w:p>
    <w:p w14:paraId="11728D2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本次编制的总体原则是结合当前输变电工程智慧工地应用现状，指导工程建设各方提升智能化管理水平，满足建设行业数字化转型需求，发挥引领行业技术发展的作用，具体包括：</w:t>
      </w:r>
    </w:p>
    <w:p w14:paraId="02C8997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（1）贯彻执行国家及行业现行政策、法律法规和标准规范。</w:t>
      </w:r>
    </w:p>
    <w:p w14:paraId="2D7BFE3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（2）规范应满足智慧工地建设的基本要求，有利于提升现场智能化管理与履职能力，适用于新建、扩建、改建的35kV及以上输变电工程智慧工地的建设。</w:t>
      </w:r>
    </w:p>
    <w:p w14:paraId="66E9B83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（3）响应国家发展改革委、国家能源局发布的《关于促进电网高质量发展的指导意见》要求，提升电网设施全寿命周期的智能化、数字化水平，以支撑新型电力系统高质量发展。</w:t>
      </w:r>
    </w:p>
    <w:p w14:paraId="6282017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（4）通过智慧化手段实现工程全过程监督管理，确保输变电工程建设各阶段符合安全生产以及质量要求，助力新型电力系统建设。</w:t>
      </w:r>
    </w:p>
    <w:p w14:paraId="1C4DCBE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（5）标准应具备实用性、可操作性和先进性，满足不同规模输变电工程智慧工地建设需求，发挥技术引领作用。</w:t>
      </w:r>
    </w:p>
    <w:p w14:paraId="08965F5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（6）符合《标准化工作导则第1部分:标准化文件的结构和起草规则》（GB/T1.1-2020）和《标准编写规则》（GB/T20001）要求，确保标准的规范性和科学性。</w:t>
      </w:r>
    </w:p>
    <w:p w14:paraId="20A4689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 编制依据</w:t>
      </w:r>
    </w:p>
    <w:p w14:paraId="196643B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本标准参照现行国家有关电力建设的法律、法规、管理标准、技术标准、电力行业有关标准和相关行业标准。主要有：</w:t>
      </w:r>
    </w:p>
    <w:p w14:paraId="1F7603D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22239-2019《信息安全技术 网络安全等级保护基本要求》</w:t>
      </w:r>
    </w:p>
    <w:p w14:paraId="62963E4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28181 《公共安全视频监控联网系统信息传输、交换、控制技术要求》</w:t>
      </w:r>
    </w:p>
    <w:p w14:paraId="6FE2A20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GB/T 28827.1-2012《信息技术服务 运行维护 第1部分：通用要求》 </w:t>
      </w:r>
    </w:p>
    <w:p w14:paraId="6A4624B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28827.3-2012《信息技术服务 运行维护 第3部分：应急响应规范》</w:t>
      </w:r>
    </w:p>
    <w:p w14:paraId="129F955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36073  数据管理能力成熟度评估模型</w:t>
      </w:r>
    </w:p>
    <w:p w14:paraId="2171857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36572-2018《电力监控系统网络安全防护导则》</w:t>
      </w:r>
    </w:p>
    <w:p w14:paraId="423F8AD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37138  电力信息系统安全防护等级保护实施指南</w:t>
      </w:r>
    </w:p>
    <w:p w14:paraId="0977926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38436-2019《输变电工程数据移交规范》</w:t>
      </w:r>
    </w:p>
    <w:p w14:paraId="2B3F2B8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50606-2010《智能建筑工程施工规范》</w:t>
      </w:r>
    </w:p>
    <w:p w14:paraId="737D75D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51061-2014《电网工程标识系统编码规范》</w:t>
      </w:r>
    </w:p>
    <w:p w14:paraId="4E56DA0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51301-2018《建筑信息模型设计交付标准》</w:t>
      </w:r>
    </w:p>
    <w:p w14:paraId="26865D9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DL/T 1363-2014《电网建设项目文件归档与档案整理规范》</w:t>
      </w:r>
    </w:p>
    <w:p w14:paraId="35018F4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JGJ/T 292   《建筑工程施工现场视频监控技术规范》</w:t>
      </w:r>
    </w:p>
    <w:p w14:paraId="44F0676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JGJ/T 434    《建筑工程施工现场监管信息系统技术标准》</w:t>
      </w:r>
    </w:p>
    <w:p w14:paraId="29EBBA3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NB/T 10096  电力建设工程施工安全管理导则</w:t>
      </w:r>
    </w:p>
    <w:p w14:paraId="0DD8850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 主要内容</w:t>
      </w:r>
    </w:p>
    <w:p w14:paraId="48A2BF1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输变电工程智慧工地技术规范》共15章和4个附录，主要内容包括：范围；规范性引用文件；术语和定义；缩略语；总体要求；设计管理；采购管理；施工管理；安全管理；质量管理；进度管理；造价管理；环境管理；应急管理；数字化移交；附录等。</w:t>
      </w:r>
    </w:p>
    <w:p w14:paraId="2E9CB68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3.试验验证的分析、综述报告，技术经济论证，预期的经济效益、社会效益和生态效益</w:t>
      </w:r>
    </w:p>
    <w:p w14:paraId="135075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 xml:space="preserve">本标准发布实施后，将契合电网高质量发展目标、新型电力系统建设等行业发展转型趋势，满足我国输变电工程智慧工地建设的技术发展需求，推动电力行业绿色发展、智能建造与数字化转型，推广绿色建造与智慧化深度融合的实施路径。 </w:t>
      </w:r>
    </w:p>
    <w:p w14:paraId="2F43EC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标准将明确输变电工程智慧工地的工作内容、技术要求，适用于新建、扩建、改建的35kV及以上输变电工程智慧工地的建设。通过规范物联网、大数据、人工智能等智慧化手段的应用，为工程建设各方开展智慧工地相关工作提供技术指导和实施依据。</w:t>
      </w:r>
    </w:p>
    <w:p w14:paraId="4D12D55F">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4.与国际、国外、国内同类标准技术内容的对比情况，或者与测试的样品、样机的有关数据对比情况</w:t>
      </w:r>
    </w:p>
    <w:p w14:paraId="062EDD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目前国内相关标准主要有 T/JSEE 006-2023《输变电工程智慧工地建设技术规范》、T/CIIA 014-2022《智慧工地总体规范》、T/CIIA 015-2022《智慧工地建设规范》、T/CIIA 016-2022《智慧工地应用规范》等标准。</w:t>
      </w:r>
    </w:p>
    <w:p w14:paraId="176920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T/JSEE 006-2023《输变电工程智慧工地建设技术规范》为输变电工程智慧工地团体标准，适用于 35kV 及以上输变电工程智慧工地建设，系统规定了智慧工地建设内容、硬件设施、软件功能、数据库、系统集成、数据接口、信息安全及运行维护等技术要求，但未对造价、应急、数字化移交等内容进行明确。</w:t>
      </w:r>
    </w:p>
    <w:p w14:paraId="08B4A6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T/CIIA 014-2022《智慧工地总体规范》为智慧工地领域团体标准，明确了智慧工地的总体框架、术语定义和基本原则，侧重顶层设计与总体要求，未针对输变电工程场景做出专项细化规定。</w:t>
      </w:r>
    </w:p>
    <w:p w14:paraId="373B66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T/CIIA 015-2022《智慧工地建设规范》为智慧工地建设类团体标准，规范了智慧工地平台、技术体系及基础设施建设要求，属于通用建设规范，未结合输变电工程特点进行专项界定。</w:t>
      </w:r>
    </w:p>
    <w:p w14:paraId="2241D6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T/CIIA 016-2022《智慧工地应用规范》为智慧工地应用类团体标准，规定了各应用模块的实施流程与应用要求，为通用应用指引，未明确输变电工程智慧工地的专属应用内容。</w:t>
      </w:r>
    </w:p>
    <w:p w14:paraId="66907B2C">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5.以国际、国内标准为基础的起草情况，以及是否合规引用或者采用相关标准，并说明未采用相关标准的原因</w:t>
      </w:r>
    </w:p>
    <w:p w14:paraId="1F1569E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编制过程中结合电网高质量发展目标、绿色建造、智能建造等最新形势和国内输变电工程智慧工地建设的发展需求，融入物联网、大数据、人工智能等智慧化技术应用，充分考虑了与国家现行有效法律法规之间的协调，所有技术条款均严格遵守国家法律法规和政策的要求。</w:t>
      </w:r>
    </w:p>
    <w:p w14:paraId="561DD83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执行过程中，除执行本标准关于智慧工地技术与管理的要求外，必须遵守国家现行法律、法规、政策及有关标准的规定。</w:t>
      </w:r>
    </w:p>
    <w:p w14:paraId="4FD222C5">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6.与有关法律、行政法规及相关标准的关系</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本标准编制过程中，未出现重大分歧意见。</w:t>
      </w:r>
      <w:r>
        <w:rPr>
          <w:rFonts w:hint="default" w:ascii="Times New Roman" w:hAnsi="Times New Roman" w:eastAsia="仿宋_GB2312" w:cs="Times New Roman"/>
          <w:sz w:val="32"/>
          <w:szCs w:val="32"/>
        </w:rPr>
        <w:t>。</w:t>
      </w:r>
    </w:p>
    <w:p w14:paraId="4B8CCCF6">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7.重大分歧意见的处理经过和依据</w:t>
      </w:r>
    </w:p>
    <w:p w14:paraId="611EAAA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本标准不涉及专利处置情况。</w:t>
      </w:r>
    </w:p>
    <w:p w14:paraId="739FDAB2">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8.涉及专利的有关说明</w:t>
      </w:r>
    </w:p>
    <w:p w14:paraId="5BB15A2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本标准适用于新建、扩建、改建的35kV及以上输变电工程智慧工地建设。</w:t>
      </w:r>
    </w:p>
    <w:p w14:paraId="232E11C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的制定和应用能够为工程建设各方开展输变电工程智慧工地建设提供技术指导和实施依据，进一步明确输变电工程智慧工地的技术要求，为业主单位、监理单位、施工单位等参与方开展智慧工地相关工作提供系统性框架，建议尽快批准发布本标准，并通过组织技术培训、现场观摩会等形式推动标准落地实施。</w:t>
      </w:r>
    </w:p>
    <w:p w14:paraId="1EC8F92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本标准不设立强制性条文。</w:t>
      </w:r>
    </w:p>
    <w:p w14:paraId="5695DCFE">
      <w:pP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9.实施团体标准的要求，以及组织措施、技术措施、过渡期和实施日期的建议等措施建议</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本标准不涉及代替或废止现行有关标准的情况。</w:t>
      </w:r>
    </w:p>
    <w:p w14:paraId="4E4BDFB4">
      <w:pPr>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10.其他应当说明的事项</w:t>
      </w:r>
      <w:r>
        <w:rPr>
          <w:rFonts w:hint="default" w:ascii="Times New Roman" w:hAnsi="Times New Roman" w:eastAsia="仿宋_GB2312" w:cs="Times New Roman"/>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848C9F-8EC7-4302-A5D4-C168EA9177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2" w:fontKey="{203B23BA-FD52-43D1-A12A-923A8279D14C}"/>
  </w:font>
  <w:font w:name="仿宋_GB2312">
    <w:panose1 w:val="02010609030101010101"/>
    <w:charset w:val="86"/>
    <w:family w:val="modern"/>
    <w:pitch w:val="default"/>
    <w:sig w:usb0="00000001" w:usb1="080E0000" w:usb2="00000000" w:usb3="00000000" w:csb0="00040000" w:csb1="00000000"/>
    <w:embedRegular r:id="rId3" w:fontKey="{588AF6DF-1176-456C-A4B4-21F00B8863F2}"/>
  </w:font>
  <w:font w:name="WPSEMBED7">
    <w:panose1 w:val="03000509000000000000"/>
    <w:charset w:val="86"/>
    <w:family w:val="auto"/>
    <w:pitch w:val="default"/>
    <w:sig w:usb0="00000001"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1D4206"/>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64029FC"/>
    <w:rsid w:val="07041C7C"/>
    <w:rsid w:val="071F0864"/>
    <w:rsid w:val="08FD6983"/>
    <w:rsid w:val="094E3682"/>
    <w:rsid w:val="0955045F"/>
    <w:rsid w:val="0BC65752"/>
    <w:rsid w:val="0CEE6D0E"/>
    <w:rsid w:val="0D132C19"/>
    <w:rsid w:val="0D8713A0"/>
    <w:rsid w:val="0F5A3229"/>
    <w:rsid w:val="0FBF0E36"/>
    <w:rsid w:val="0FF26B15"/>
    <w:rsid w:val="0FFF7484"/>
    <w:rsid w:val="120E7E53"/>
    <w:rsid w:val="12260CF8"/>
    <w:rsid w:val="12593627"/>
    <w:rsid w:val="13D80718"/>
    <w:rsid w:val="142D3CA5"/>
    <w:rsid w:val="144933C4"/>
    <w:rsid w:val="14C34F24"/>
    <w:rsid w:val="14D07641"/>
    <w:rsid w:val="14D26F15"/>
    <w:rsid w:val="15075231"/>
    <w:rsid w:val="1573694A"/>
    <w:rsid w:val="15916DD0"/>
    <w:rsid w:val="15993A76"/>
    <w:rsid w:val="16E16D46"/>
    <w:rsid w:val="17575DF8"/>
    <w:rsid w:val="1896773C"/>
    <w:rsid w:val="18B35F28"/>
    <w:rsid w:val="193463F1"/>
    <w:rsid w:val="1A93205A"/>
    <w:rsid w:val="1C163B8C"/>
    <w:rsid w:val="1CED6FE2"/>
    <w:rsid w:val="1E256308"/>
    <w:rsid w:val="1EE47F71"/>
    <w:rsid w:val="1FCC231E"/>
    <w:rsid w:val="200C3C23"/>
    <w:rsid w:val="204607B7"/>
    <w:rsid w:val="213571AA"/>
    <w:rsid w:val="2164183D"/>
    <w:rsid w:val="221943D6"/>
    <w:rsid w:val="22432B4E"/>
    <w:rsid w:val="225B3DF7"/>
    <w:rsid w:val="230E380E"/>
    <w:rsid w:val="23654DD1"/>
    <w:rsid w:val="23957A8C"/>
    <w:rsid w:val="23B720F8"/>
    <w:rsid w:val="23C12F77"/>
    <w:rsid w:val="2403362A"/>
    <w:rsid w:val="260B672B"/>
    <w:rsid w:val="26B648E9"/>
    <w:rsid w:val="26DB434F"/>
    <w:rsid w:val="27194E78"/>
    <w:rsid w:val="27D36DD5"/>
    <w:rsid w:val="2835183D"/>
    <w:rsid w:val="28B430AA"/>
    <w:rsid w:val="294D2BB7"/>
    <w:rsid w:val="297A3E18"/>
    <w:rsid w:val="2A3224D8"/>
    <w:rsid w:val="2A41271B"/>
    <w:rsid w:val="2A4D0323"/>
    <w:rsid w:val="2BB86A0D"/>
    <w:rsid w:val="2BC058C2"/>
    <w:rsid w:val="2C0927B9"/>
    <w:rsid w:val="2CE101E6"/>
    <w:rsid w:val="2E156399"/>
    <w:rsid w:val="2EE6563F"/>
    <w:rsid w:val="30110DE2"/>
    <w:rsid w:val="307B6091"/>
    <w:rsid w:val="30F46739"/>
    <w:rsid w:val="3126266B"/>
    <w:rsid w:val="317B29B7"/>
    <w:rsid w:val="31B9528D"/>
    <w:rsid w:val="31D10829"/>
    <w:rsid w:val="32316565"/>
    <w:rsid w:val="32586854"/>
    <w:rsid w:val="326A47D9"/>
    <w:rsid w:val="326C2300"/>
    <w:rsid w:val="32D63C1D"/>
    <w:rsid w:val="33022C64"/>
    <w:rsid w:val="339A10EE"/>
    <w:rsid w:val="37531CE0"/>
    <w:rsid w:val="37D03331"/>
    <w:rsid w:val="38595180"/>
    <w:rsid w:val="385B709E"/>
    <w:rsid w:val="39160DB7"/>
    <w:rsid w:val="394C69E7"/>
    <w:rsid w:val="3C5A58BF"/>
    <w:rsid w:val="3D127F47"/>
    <w:rsid w:val="3DBF3A9D"/>
    <w:rsid w:val="3E171CB9"/>
    <w:rsid w:val="3E965F19"/>
    <w:rsid w:val="3F676329"/>
    <w:rsid w:val="3FA24034"/>
    <w:rsid w:val="3FDB17EE"/>
    <w:rsid w:val="41412BA9"/>
    <w:rsid w:val="41727207"/>
    <w:rsid w:val="433D6BDD"/>
    <w:rsid w:val="43AA0EDA"/>
    <w:rsid w:val="44775260"/>
    <w:rsid w:val="448A56B6"/>
    <w:rsid w:val="45E958C2"/>
    <w:rsid w:val="46625A9C"/>
    <w:rsid w:val="48142DC6"/>
    <w:rsid w:val="48CE11C6"/>
    <w:rsid w:val="48F873C3"/>
    <w:rsid w:val="495E03EC"/>
    <w:rsid w:val="4A140E14"/>
    <w:rsid w:val="4A1B043B"/>
    <w:rsid w:val="4A282B58"/>
    <w:rsid w:val="4A83494B"/>
    <w:rsid w:val="4B4340EE"/>
    <w:rsid w:val="4B555BCF"/>
    <w:rsid w:val="4BC66D8F"/>
    <w:rsid w:val="4CDB0356"/>
    <w:rsid w:val="4DB12E65"/>
    <w:rsid w:val="4E115480"/>
    <w:rsid w:val="4E7B76FB"/>
    <w:rsid w:val="4ED25642"/>
    <w:rsid w:val="4F416B96"/>
    <w:rsid w:val="4FEC63D6"/>
    <w:rsid w:val="50A3118B"/>
    <w:rsid w:val="50B769E4"/>
    <w:rsid w:val="50C51101"/>
    <w:rsid w:val="50E61077"/>
    <w:rsid w:val="516A3A56"/>
    <w:rsid w:val="52974D1F"/>
    <w:rsid w:val="52A80CDA"/>
    <w:rsid w:val="535B75CD"/>
    <w:rsid w:val="53F73CC7"/>
    <w:rsid w:val="544B4013"/>
    <w:rsid w:val="544B7BAF"/>
    <w:rsid w:val="55AD6B1D"/>
    <w:rsid w:val="561072C2"/>
    <w:rsid w:val="56A65531"/>
    <w:rsid w:val="56B440F1"/>
    <w:rsid w:val="56D848CE"/>
    <w:rsid w:val="56DF518E"/>
    <w:rsid w:val="57805D82"/>
    <w:rsid w:val="58044C05"/>
    <w:rsid w:val="58615BB3"/>
    <w:rsid w:val="58E97957"/>
    <w:rsid w:val="58F72073"/>
    <w:rsid w:val="590B3D71"/>
    <w:rsid w:val="5921524A"/>
    <w:rsid w:val="596D2336"/>
    <w:rsid w:val="5A184997"/>
    <w:rsid w:val="5A4968FF"/>
    <w:rsid w:val="5AA004E9"/>
    <w:rsid w:val="5B841BB9"/>
    <w:rsid w:val="5E6F08FE"/>
    <w:rsid w:val="5E6F4DA2"/>
    <w:rsid w:val="5E9A37EC"/>
    <w:rsid w:val="5E9B16F3"/>
    <w:rsid w:val="5EAB402C"/>
    <w:rsid w:val="5EE543DC"/>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F70DFE"/>
    <w:rsid w:val="67087B42"/>
    <w:rsid w:val="67AD0D27"/>
    <w:rsid w:val="67D0240D"/>
    <w:rsid w:val="690F71C7"/>
    <w:rsid w:val="69EC72A7"/>
    <w:rsid w:val="6A113E14"/>
    <w:rsid w:val="6A714E92"/>
    <w:rsid w:val="6AFE4BC5"/>
    <w:rsid w:val="6B297183"/>
    <w:rsid w:val="6B673A76"/>
    <w:rsid w:val="6C9205D9"/>
    <w:rsid w:val="6D0A4613"/>
    <w:rsid w:val="6D5B09CB"/>
    <w:rsid w:val="6D761CA9"/>
    <w:rsid w:val="6D9E2FAE"/>
    <w:rsid w:val="6DFB3F5C"/>
    <w:rsid w:val="6E5B49FB"/>
    <w:rsid w:val="6EF56BFD"/>
    <w:rsid w:val="6F1654F2"/>
    <w:rsid w:val="6F6E431D"/>
    <w:rsid w:val="6F8710DE"/>
    <w:rsid w:val="6FBB7E47"/>
    <w:rsid w:val="72DF3E4C"/>
    <w:rsid w:val="73CD639B"/>
    <w:rsid w:val="746A1E3C"/>
    <w:rsid w:val="75BA46FD"/>
    <w:rsid w:val="779C40BA"/>
    <w:rsid w:val="77DA2E34"/>
    <w:rsid w:val="782A5B6A"/>
    <w:rsid w:val="787768D5"/>
    <w:rsid w:val="78A3770E"/>
    <w:rsid w:val="78D87374"/>
    <w:rsid w:val="79101DAE"/>
    <w:rsid w:val="79E41D48"/>
    <w:rsid w:val="7A9750AD"/>
    <w:rsid w:val="7AD85D51"/>
    <w:rsid w:val="7BA75723"/>
    <w:rsid w:val="7BD5403F"/>
    <w:rsid w:val="7CD673E6"/>
    <w:rsid w:val="7D943A85"/>
    <w:rsid w:val="7DAC5273"/>
    <w:rsid w:val="7EF40C80"/>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4177</Words>
  <Characters>4584</Characters>
  <Lines>110</Lines>
  <Paragraphs>78</Paragraphs>
  <TotalTime>0</TotalTime>
  <ScaleCrop>false</ScaleCrop>
  <LinksUpToDate>false</LinksUpToDate>
  <CharactersWithSpaces>4639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汪广涛</cp:lastModifiedBy>
  <dcterms:modified xsi:type="dcterms:W3CDTF">2026-04-27T02:07:31Z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8E710626F78449D1B174D18F3628D80E_13</vt:lpwstr>
  </property>
  <property fmtid="{D5CDD505-2E9C-101B-9397-08002B2CF9AE}" pid="4" name="KSOTemplateDocerSaveRecord">
    <vt:lpwstr>eyJoZGlkIjoiMjdkNjAwMjc0ZGRhMTE2ODAzODAwNTI2NDI1NzczZmUiLCJ1c2VySWQiOiIxMjEwMTI1MDE1In0=</vt:lpwstr>
  </property>
</Properties>
</file>