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A09B0">
      <w:pPr>
        <w:pStyle w:val="95"/>
        <w:framePr w:w="9639" w:h="624" w:hRule="exact" w:hSpace="181" w:vSpace="181" w:hAnchor="page" w:x="1279" w:y="2384"/>
        <w:rPr>
          <w:rFonts w:ascii="Times New Roman" w:eastAsia="黑体"/>
          <w:w w:val="110"/>
          <w:szCs w:val="52"/>
          <w:highlight w:val="none"/>
        </w:rPr>
      </w:pPr>
      <w:bookmarkStart w:id="0" w:name="_Hlk26473981"/>
      <w:r>
        <w:rPr>
          <w:rFonts w:hint="eastAsia" w:ascii="Times New Roman" w:eastAsia="黑体"/>
          <w:w w:val="110"/>
          <w:szCs w:val="52"/>
          <w:highlight w:val="none"/>
        </w:rPr>
        <w:t xml:space="preserve"> 团体标准</w:t>
      </w:r>
    </w:p>
    <w:bookmarkEnd w:id="0"/>
    <w:p w14:paraId="3850ADEF">
      <w:pPr>
        <w:pStyle w:val="100"/>
        <w:framePr w:y="3141"/>
        <w:ind w:firstLine="560"/>
        <w:rPr>
          <w:rFonts w:ascii="Times New Roman" w:eastAsia="方正小标宋_GBK" w:cs="方正小标宋_GBK"/>
          <w:highlight w:val="none"/>
        </w:rPr>
      </w:pPr>
      <w:r>
        <w:rPr>
          <w:rFonts w:hint="eastAsia" w:ascii="Times New Roman" w:eastAsia="方正小标宋_GBK" w:cs="方正小标宋_GBK"/>
          <w:highlight w:val="none"/>
        </w:rPr>
        <w:t>T/CEPCA XXXX—202</w:t>
      </w:r>
      <w:r>
        <w:rPr>
          <w:rFonts w:ascii="Times New Roman" w:eastAsia="方正小标宋_GBK" w:cs="方正小标宋_GBK"/>
          <w:highlight w:val="none"/>
        </w:rPr>
        <w:t>5</w:t>
      </w:r>
    </w:p>
    <w:p w14:paraId="46938D56">
      <w:pPr>
        <w:pStyle w:val="101"/>
        <w:framePr w:y="3141"/>
        <w:ind w:firstLine="420"/>
        <w:rPr>
          <w:rFonts w:ascii="Times New Roman"/>
          <w:highlight w:val="none"/>
        </w:rPr>
      </w:pPr>
    </w:p>
    <w:p w14:paraId="28E30D1B">
      <w:pPr>
        <w:pStyle w:val="101"/>
        <w:framePr w:y="3141"/>
        <w:ind w:firstLine="420"/>
        <w:rPr>
          <w:rFonts w:ascii="Times New Roman"/>
          <w:highlight w:val="none"/>
        </w:rPr>
      </w:pPr>
    </w:p>
    <w:p w14:paraId="4C8F2214">
      <w:pPr>
        <w:pBdr>
          <w:top w:val="none" w:color="auto" w:sz="0" w:space="0"/>
          <w:left w:val="none" w:color="auto" w:sz="0" w:space="0"/>
          <w:bottom w:val="none" w:color="auto" w:sz="0" w:space="0"/>
          <w:right w:val="none" w:color="auto" w:sz="0" w:space="0"/>
        </w:pBdr>
        <w:rPr>
          <w:rFonts w:ascii="Times New Roman" w:hAnsi="Times New Roman" w:eastAsia="黑体"/>
          <w:kern w:val="0"/>
          <w:sz w:val="10"/>
          <w:szCs w:val="10"/>
          <w:highlight w:val="none"/>
        </w:rPr>
      </w:pPr>
      <w:bookmarkStart w:id="125" w:name="_GoBack"/>
      <w:bookmarkEnd w:id="125"/>
      <w:r>
        <w:rPr>
          <w:sz w:val="28"/>
        </w:rPr>
        <mc:AlternateContent>
          <mc:Choice Requires="wps">
            <w:drawing>
              <wp:anchor distT="0" distB="0" distL="114300" distR="114300" simplePos="0" relativeHeight="251665408" behindDoc="0" locked="0" layoutInCell="1" allowOverlap="1">
                <wp:simplePos x="0" y="0"/>
                <wp:positionH relativeFrom="column">
                  <wp:posOffset>-1142365</wp:posOffset>
                </wp:positionH>
                <wp:positionV relativeFrom="paragraph">
                  <wp:posOffset>-922020</wp:posOffset>
                </wp:positionV>
                <wp:extent cx="914400" cy="470535"/>
                <wp:effectExtent l="0" t="0" r="0" b="0"/>
                <wp:wrapNone/>
                <wp:docPr id="9" name="文本框 9"/>
                <wp:cNvGraphicFramePr/>
                <a:graphic xmlns:a="http://schemas.openxmlformats.org/drawingml/2006/main">
                  <a:graphicData uri="http://schemas.microsoft.com/office/word/2010/wordprocessingShape">
                    <wps:wsp>
                      <wps:cNvSpPr txBox="1"/>
                      <wps:spPr>
                        <a:xfrm>
                          <a:off x="0" y="0"/>
                          <a:ext cx="914400" cy="4705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B6F5C9">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附件7</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9.95pt;margin-top:-72.6pt;height:37.05pt;width:72pt;z-index:251665408;mso-width-relative:page;mso-height-relative:page;" filled="f" stroked="f" coordsize="21600,21600" o:gfxdata="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&#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0aXLPdAAAADQEAAA8AAAAAAAAAAQAgAAAAIgAAAGRy&#10;cy9kb3ducmV2LnhtbFBLAQIUABQAAAAIAIdO4kADyFHqOQIAAGUEAAAOAAAAAAAAAAEAIAAAACwB&#10;AABkcnMvZTJvRG9jLnhtbFBLBQYAAAAABgAGAFkBAADXBQAAAAA=&#10;">
                <v:fill on="f" focussize="0,0"/>
                <v:stroke on="f" weight="0.5pt"/>
                <v:imagedata o:title=""/>
                <o:lock v:ext="edit" aspectratio="f"/>
                <v:textbox>
                  <w:txbxContent>
                    <w:p w14:paraId="25B6F5C9">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附件7</w:t>
                      </w:r>
                    </w:p>
                  </w:txbxContent>
                </v:textbox>
              </v:shape>
            </w:pict>
          </mc:Fallback>
        </mc:AlternateContent>
      </w:r>
      <w:r>
        <w:rPr>
          <w:rFonts w:ascii="Times New Roman" w:hAnsi="Times New Roman"/>
          <w:sz w:val="10"/>
          <w:highlight w:val="none"/>
        </w:rPr>
        <mc:AlternateContent>
          <mc:Choice Requires="wps">
            <w:drawing>
              <wp:anchor distT="0" distB="0" distL="114300" distR="114300" simplePos="0" relativeHeight="251661312" behindDoc="0" locked="0" layoutInCell="1" allowOverlap="1">
                <wp:simplePos x="0" y="0"/>
                <wp:positionH relativeFrom="column">
                  <wp:posOffset>-302260</wp:posOffset>
                </wp:positionH>
                <wp:positionV relativeFrom="paragraph">
                  <wp:posOffset>-655320</wp:posOffset>
                </wp:positionV>
                <wp:extent cx="1737360" cy="1334770"/>
                <wp:effectExtent l="0" t="0" r="0" b="0"/>
                <wp:wrapNone/>
                <wp:docPr id="2" name="文本框 2"/>
                <wp:cNvGraphicFramePr/>
                <a:graphic xmlns:a="http://schemas.openxmlformats.org/drawingml/2006/main">
                  <a:graphicData uri="http://schemas.microsoft.com/office/word/2010/wordprocessingShape">
                    <wps:wsp>
                      <wps:cNvSpPr txBox="1"/>
                      <wps:spPr>
                        <a:xfrm>
                          <a:off x="875665" y="513715"/>
                          <a:ext cx="1737360" cy="13347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2E507A">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 xml:space="preserve">ICS  </w:t>
                            </w:r>
                            <w:r>
                              <w:rPr>
                                <w:rFonts w:hint="eastAsia" w:ascii="Malgun Gothic" w:hAnsi="Malgun Gothic" w:eastAsia="Malgun Gothic" w:cs="Malgun Gothic"/>
                                <w:color w:val="000000" w:themeColor="text1"/>
                                <w:kern w:val="0"/>
                                <w:sz w:val="18"/>
                                <w:szCs w:val="18"/>
                                <w14:textFill>
                                  <w14:solidFill>
                                    <w14:schemeClr w14:val="tx1"/>
                                  </w14:solidFill>
                                </w14:textFill>
                              </w:rPr>
                              <w:t>2</w:t>
                            </w:r>
                            <w:r>
                              <w:rPr>
                                <w:rFonts w:hint="eastAsia" w:ascii="Malgun Gothic" w:hAnsi="Malgun Gothic" w:cs="Malgun Gothic"/>
                                <w:color w:val="000000" w:themeColor="text1"/>
                                <w:kern w:val="0"/>
                                <w:sz w:val="18"/>
                                <w:szCs w:val="18"/>
                                <w14:textFill>
                                  <w14:solidFill>
                                    <w14:schemeClr w14:val="tx1"/>
                                  </w14:solidFill>
                                </w14:textFill>
                              </w:rPr>
                              <w:t>7</w:t>
                            </w:r>
                            <w:r>
                              <w:rPr>
                                <w:rFonts w:hint="eastAsia" w:ascii="Malgun Gothic" w:hAnsi="Malgun Gothic" w:eastAsia="Malgun Gothic" w:cs="Malgun Gothic"/>
                                <w:color w:val="000000" w:themeColor="text1"/>
                                <w:kern w:val="0"/>
                                <w:sz w:val="18"/>
                                <w:szCs w:val="18"/>
                                <w14:textFill>
                                  <w14:solidFill>
                                    <w14:schemeClr w14:val="tx1"/>
                                  </w14:solidFill>
                                </w14:textFill>
                              </w:rPr>
                              <w:t>.</w:t>
                            </w:r>
                            <w:r>
                              <w:rPr>
                                <w:rFonts w:hint="eastAsia" w:ascii="Malgun Gothic" w:hAnsi="Malgun Gothic" w:cs="Malgun Gothic"/>
                                <w:color w:val="000000" w:themeColor="text1"/>
                                <w:kern w:val="0"/>
                                <w:sz w:val="18"/>
                                <w:szCs w:val="18"/>
                                <w14:textFill>
                                  <w14:solidFill>
                                    <w14:schemeClr w14:val="tx1"/>
                                  </w14:solidFill>
                                </w14:textFill>
                              </w:rPr>
                              <w:t>01</w:t>
                            </w:r>
                            <w:r>
                              <w:rPr>
                                <w:rFonts w:hint="eastAsia" w:ascii="Malgun Gothic" w:hAnsi="Malgun Gothic" w:eastAsia="Malgun Gothic" w:cs="Malgun Gothic"/>
                                <w:color w:val="000000" w:themeColor="text1"/>
                                <w:kern w:val="0"/>
                                <w:sz w:val="18"/>
                                <w:szCs w:val="18"/>
                                <w14:textFill>
                                  <w14:solidFill>
                                    <w14:schemeClr w14:val="tx1"/>
                                  </w14:solidFill>
                                </w14:textFill>
                              </w:rPr>
                              <w:t>0</w:t>
                            </w:r>
                          </w:p>
                          <w:p w14:paraId="17EBFE68">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CCS  F 01</w:t>
                            </w:r>
                          </w:p>
                          <w:p w14:paraId="3608686F">
                            <w:pPr>
                              <w:rPr>
                                <w:rFonts w:ascii="Times New Roman" w:hAnsi="Times New Roman"/>
                              </w:rPr>
                            </w:pPr>
                            <w:r>
                              <w:rPr>
                                <w:rFonts w:hint="eastAsia" w:ascii="Times New Roman" w:hAnsi="Times New Roman"/>
                              </w:rPr>
                              <w:drawing>
                                <wp:inline distT="0" distB="0" distL="114300" distR="114300">
                                  <wp:extent cx="657225" cy="657225"/>
                                  <wp:effectExtent l="0" t="0" r="3175" b="3175"/>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9"/>
                                          <a:stretch>
                                            <a:fillRect/>
                                          </a:stretch>
                                        </pic:blipFill>
                                        <pic:spPr>
                                          <a:xfrm>
                                            <a:off x="0" y="0"/>
                                            <a:ext cx="657225" cy="657225"/>
                                          </a:xfrm>
                                          <a:prstGeom prst="rect">
                                            <a:avLst/>
                                          </a:prstGeom>
                                        </pic:spPr>
                                      </pic:pic>
                                    </a:graphicData>
                                  </a:graphic>
                                </wp:inline>
                              </w:drawing>
                            </w:r>
                          </w:p>
                          <w:p w14:paraId="3ED4C8AD">
                            <w:pPr>
                              <w:rPr>
                                <w:rFonts w:ascii="Times New Roman" w:hAnsi="Times New Roman"/>
                              </w:rPr>
                            </w:pPr>
                          </w:p>
                          <w:p w14:paraId="0DFD84F7">
                            <w:pPr>
                              <w:rPr>
                                <w:rFonts w:ascii="Times New Roman" w:hAnsi="Times New Roman"/>
                              </w:rPr>
                            </w:pPr>
                          </w:p>
                          <w:p w14:paraId="074BE335">
                            <w:pPr>
                              <w:rPr>
                                <w:rFonts w:ascii="Times New Roman" w:hAnsi="Times New Roman"/>
                              </w:rPr>
                            </w:pPr>
                          </w:p>
                          <w:p w14:paraId="1A7895D0">
                            <w:pPr>
                              <w:rPr>
                                <w:rFonts w:ascii="Times New Roman" w:hAnsi="Times New Roman"/>
                              </w:rPr>
                            </w:pPr>
                          </w:p>
                          <w:p w14:paraId="3A676CE5">
                            <w:pPr>
                              <w:rPr>
                                <w:rFonts w:ascii="Times New Roman" w:hAnsi="Times New Roma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8pt;margin-top:-51.6pt;height:105.1pt;width:136.8pt;z-index:251661312;mso-width-relative:page;mso-height-relative:page;" filled="f" stroked="f" coordsize="21600,21600" o:gfxdata="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wY43jbAAAADAEAAA8AAAAA&#10;AAAAAQAgAAAAIgAAAGRycy9kb3ducmV2LnhtbFBLAQIUABQAAAAIAIdO4kCA/DM7SgIAAHEEAAAO&#10;AAAAAAAAAAEAIAAAACoBAABkcnMvZTJvRG9jLnhtbFBLBQYAAAAABgAGAFkBAADmBQAAAAA=&#10;">
                <v:fill on="f" focussize="0,0"/>
                <v:stroke on="f" weight="0.5pt"/>
                <v:imagedata o:title=""/>
                <o:lock v:ext="edit" aspectratio="f"/>
                <v:textbox>
                  <w:txbxContent>
                    <w:p w14:paraId="502E507A">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 xml:space="preserve">ICS  </w:t>
                      </w:r>
                      <w:r>
                        <w:rPr>
                          <w:rFonts w:hint="eastAsia" w:ascii="Malgun Gothic" w:hAnsi="Malgun Gothic" w:eastAsia="Malgun Gothic" w:cs="Malgun Gothic"/>
                          <w:color w:val="000000" w:themeColor="text1"/>
                          <w:kern w:val="0"/>
                          <w:sz w:val="18"/>
                          <w:szCs w:val="18"/>
                          <w14:textFill>
                            <w14:solidFill>
                              <w14:schemeClr w14:val="tx1"/>
                            </w14:solidFill>
                          </w14:textFill>
                        </w:rPr>
                        <w:t>2</w:t>
                      </w:r>
                      <w:r>
                        <w:rPr>
                          <w:rFonts w:hint="eastAsia" w:ascii="Malgun Gothic" w:hAnsi="Malgun Gothic" w:cs="Malgun Gothic"/>
                          <w:color w:val="000000" w:themeColor="text1"/>
                          <w:kern w:val="0"/>
                          <w:sz w:val="18"/>
                          <w:szCs w:val="18"/>
                          <w14:textFill>
                            <w14:solidFill>
                              <w14:schemeClr w14:val="tx1"/>
                            </w14:solidFill>
                          </w14:textFill>
                        </w:rPr>
                        <w:t>7</w:t>
                      </w:r>
                      <w:r>
                        <w:rPr>
                          <w:rFonts w:hint="eastAsia" w:ascii="Malgun Gothic" w:hAnsi="Malgun Gothic" w:eastAsia="Malgun Gothic" w:cs="Malgun Gothic"/>
                          <w:color w:val="000000" w:themeColor="text1"/>
                          <w:kern w:val="0"/>
                          <w:sz w:val="18"/>
                          <w:szCs w:val="18"/>
                          <w14:textFill>
                            <w14:solidFill>
                              <w14:schemeClr w14:val="tx1"/>
                            </w14:solidFill>
                          </w14:textFill>
                        </w:rPr>
                        <w:t>.</w:t>
                      </w:r>
                      <w:r>
                        <w:rPr>
                          <w:rFonts w:hint="eastAsia" w:ascii="Malgun Gothic" w:hAnsi="Malgun Gothic" w:cs="Malgun Gothic"/>
                          <w:color w:val="000000" w:themeColor="text1"/>
                          <w:kern w:val="0"/>
                          <w:sz w:val="18"/>
                          <w:szCs w:val="18"/>
                          <w14:textFill>
                            <w14:solidFill>
                              <w14:schemeClr w14:val="tx1"/>
                            </w14:solidFill>
                          </w14:textFill>
                        </w:rPr>
                        <w:t>01</w:t>
                      </w:r>
                      <w:r>
                        <w:rPr>
                          <w:rFonts w:hint="eastAsia" w:ascii="Malgun Gothic" w:hAnsi="Malgun Gothic" w:eastAsia="Malgun Gothic" w:cs="Malgun Gothic"/>
                          <w:color w:val="000000" w:themeColor="text1"/>
                          <w:kern w:val="0"/>
                          <w:sz w:val="18"/>
                          <w:szCs w:val="18"/>
                          <w14:textFill>
                            <w14:solidFill>
                              <w14:schemeClr w14:val="tx1"/>
                            </w14:solidFill>
                          </w14:textFill>
                        </w:rPr>
                        <w:t>0</w:t>
                      </w:r>
                    </w:p>
                    <w:p w14:paraId="17EBFE68">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CCS  F 01</w:t>
                      </w:r>
                    </w:p>
                    <w:p w14:paraId="3608686F">
                      <w:pPr>
                        <w:rPr>
                          <w:rFonts w:ascii="Times New Roman" w:hAnsi="Times New Roman"/>
                        </w:rPr>
                      </w:pPr>
                      <w:r>
                        <w:rPr>
                          <w:rFonts w:hint="eastAsia" w:ascii="Times New Roman" w:hAnsi="Times New Roman"/>
                        </w:rPr>
                        <w:drawing>
                          <wp:inline distT="0" distB="0" distL="114300" distR="114300">
                            <wp:extent cx="657225" cy="657225"/>
                            <wp:effectExtent l="0" t="0" r="3175" b="3175"/>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9"/>
                                    <a:stretch>
                                      <a:fillRect/>
                                    </a:stretch>
                                  </pic:blipFill>
                                  <pic:spPr>
                                    <a:xfrm>
                                      <a:off x="0" y="0"/>
                                      <a:ext cx="657225" cy="657225"/>
                                    </a:xfrm>
                                    <a:prstGeom prst="rect">
                                      <a:avLst/>
                                    </a:prstGeom>
                                  </pic:spPr>
                                </pic:pic>
                              </a:graphicData>
                            </a:graphic>
                          </wp:inline>
                        </w:drawing>
                      </w:r>
                    </w:p>
                    <w:p w14:paraId="3ED4C8AD">
                      <w:pPr>
                        <w:rPr>
                          <w:rFonts w:ascii="Times New Roman" w:hAnsi="Times New Roman"/>
                        </w:rPr>
                      </w:pPr>
                    </w:p>
                    <w:p w14:paraId="0DFD84F7">
                      <w:pPr>
                        <w:rPr>
                          <w:rFonts w:ascii="Times New Roman" w:hAnsi="Times New Roman"/>
                        </w:rPr>
                      </w:pPr>
                    </w:p>
                    <w:p w14:paraId="074BE335">
                      <w:pPr>
                        <w:rPr>
                          <w:rFonts w:ascii="Times New Roman" w:hAnsi="Times New Roman"/>
                        </w:rPr>
                      </w:pPr>
                    </w:p>
                    <w:p w14:paraId="1A7895D0">
                      <w:pPr>
                        <w:rPr>
                          <w:rFonts w:ascii="Times New Roman" w:hAnsi="Times New Roman"/>
                        </w:rPr>
                      </w:pPr>
                    </w:p>
                    <w:p w14:paraId="3A676CE5">
                      <w:pPr>
                        <w:rPr>
                          <w:rFonts w:ascii="Times New Roman" w:hAnsi="Times New Roman"/>
                        </w:rPr>
                      </w:pPr>
                    </w:p>
                  </w:txbxContent>
                </v:textbox>
              </v:shape>
            </w:pict>
          </mc:Fallback>
        </mc:AlternateContent>
      </w:r>
      <w:r>
        <w:rPr>
          <w:rFonts w:ascii="Times New Roman" w:hAnsi="Times New Roman"/>
          <w:sz w:val="10"/>
          <w:highlight w:val="none"/>
        </w:rPr>
        <mc:AlternateContent>
          <mc:Choice Requires="wps">
            <w:drawing>
              <wp:anchor distT="0" distB="0" distL="114300" distR="114300" simplePos="0" relativeHeight="251662336" behindDoc="0" locked="0" layoutInCell="1" allowOverlap="1">
                <wp:simplePos x="0" y="0"/>
                <wp:positionH relativeFrom="column">
                  <wp:posOffset>2750185</wp:posOffset>
                </wp:positionH>
                <wp:positionV relativeFrom="paragraph">
                  <wp:posOffset>-897890</wp:posOffset>
                </wp:positionV>
                <wp:extent cx="3000375" cy="824230"/>
                <wp:effectExtent l="0" t="0" r="0" b="0"/>
                <wp:wrapNone/>
                <wp:docPr id="3" name="文本框 3"/>
                <wp:cNvGraphicFramePr/>
                <a:graphic xmlns:a="http://schemas.openxmlformats.org/drawingml/2006/main">
                  <a:graphicData uri="http://schemas.microsoft.com/office/word/2010/wordprocessingShape">
                    <wps:wsp>
                      <wps:cNvSpPr txBox="1"/>
                      <wps:spPr>
                        <a:xfrm>
                          <a:off x="2494915" y="405130"/>
                          <a:ext cx="3000375" cy="8242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8BE915"/>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6.55pt;margin-top:-70.7pt;height:64.9pt;width:236.25pt;z-index:251662336;mso-width-relative:page;mso-height-relative:page;" filled="f" stroked="f" coordsize="21600,21600" o:gfxdata="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L7BG4t0AAAAMAQAADwAAAAAA&#10;AAABACAAAAAiAAAAZHJzL2Rvd25yZXYueG1sUEsBAhQAFAAAAAgAh07iQGG87YJHAgAAcQQAAA4A&#10;AAAAAAAAAQAgAAAALAEAAGRycy9lMm9Eb2MueG1sUEsFBgAAAAAGAAYAWQEAAOUFAAAAAA==&#10;">
                <v:fill on="f" focussize="0,0"/>
                <v:stroke on="f" weight="0.5pt"/>
                <v:imagedata o:title=""/>
                <o:lock v:ext="edit" aspectratio="f"/>
                <v:textbox>
                  <w:txbxContent>
                    <w:p w14:paraId="138BE915"/>
                  </w:txbxContent>
                </v:textbox>
              </v:shape>
            </w:pict>
          </mc:Fallback>
        </mc:AlternateContent>
      </w:r>
      <w:r>
        <w:rPr>
          <w:rFonts w:ascii="Times New Roman" w:hAnsi="Times New Roman" w:eastAsia="黑体"/>
          <w:kern w:val="0"/>
          <w:sz w:val="10"/>
          <w:szCs w:val="10"/>
          <w:highlight w:val="none"/>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FCE9013">
      <w:pPr>
        <w:keepNext w:val="0"/>
        <w:keepLines w:val="0"/>
        <w:pageBreakBefore w:val="0"/>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ind w:left="0" w:firstLine="0" w:firstLineChars="0"/>
        <w:jc w:val="center"/>
        <w:rPr>
          <w:rFonts w:ascii="Times New Roman" w:hAnsi="Times New Roman"/>
          <w:highlight w:val="none"/>
        </w:rPr>
      </w:pPr>
      <w:r>
        <w:rPr>
          <w:rFonts w:hint="eastAsia" w:ascii="Times New Roman" w:hAnsi="Times New Roman" w:eastAsia="黑体" w:cs="Times New Roman"/>
          <w:bCs/>
          <w:sz w:val="52"/>
          <w:szCs w:val="20"/>
          <w:highlight w:val="none"/>
          <w:lang w:val="en-US" w:eastAsia="zh-CN"/>
        </w:rPr>
        <w:t>配电网</w:t>
      </w:r>
      <w:r>
        <w:rPr>
          <w:rFonts w:hint="eastAsia" w:ascii="Times New Roman" w:hAnsi="Times New Roman" w:eastAsia="黑体" w:cs="Times New Roman"/>
          <w:bCs/>
          <w:sz w:val="52"/>
          <w:szCs w:val="20"/>
          <w:highlight w:val="none"/>
        </w:rPr>
        <w:t>工程智慧工地技术规范</w:t>
      </w:r>
    </w:p>
    <w:p w14:paraId="39C89D19">
      <w:pPr>
        <w:pStyle w:val="96"/>
        <w:keepNext w:val="0"/>
        <w:keepLines w:val="0"/>
        <w:pageBreakBefore w:val="0"/>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ind w:left="0" w:firstLine="0" w:firstLineChars="0"/>
        <w:jc w:val="center"/>
        <w:textAlignment w:val="bottom"/>
        <w:rPr>
          <w:rFonts w:hint="default" w:eastAsia="黑体"/>
          <w:szCs w:val="28"/>
          <w:highlight w:val="none"/>
          <w:lang w:val="en-US" w:eastAsia="zh-CN"/>
        </w:rPr>
      </w:pPr>
      <w:r>
        <w:rPr>
          <w:rFonts w:hint="eastAsia" w:eastAsia="黑体"/>
          <w:b/>
          <w:bCs/>
          <w:szCs w:val="28"/>
          <w:highlight w:val="none"/>
          <w:lang w:val="en-US" w:eastAsia="zh-CN"/>
        </w:rPr>
        <w:t>Technical specification for smart construction site of distribution network construction projects</w:t>
      </w:r>
    </w:p>
    <w:p w14:paraId="4471BBD8">
      <w:pPr>
        <w:pStyle w:val="96"/>
        <w:keepNext w:val="0"/>
        <w:keepLines w:val="0"/>
        <w:pageBreakBefore w:val="0"/>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40" w:after="160"/>
        <w:ind w:firstLine="0" w:firstLineChars="0"/>
        <w:jc w:val="center"/>
        <w:textAlignment w:val="bottom"/>
        <w:rPr>
          <w:b/>
          <w:bCs w:val="0"/>
          <w:sz w:val="24"/>
          <w:szCs w:val="28"/>
          <w:highlight w:val="none"/>
        </w:rPr>
      </w:pPr>
      <w:r>
        <w:rPr>
          <w:rFonts w:hint="eastAsia" w:ascii="新宋体" w:hAnsi="新宋体" w:eastAsia="新宋体"/>
          <w:b/>
          <w:bCs w:val="0"/>
          <w:sz w:val="36"/>
          <w:szCs w:val="36"/>
          <w:highlight w:val="none"/>
        </w:rPr>
        <w:t>（</w:t>
      </w:r>
      <w:r>
        <w:rPr>
          <w:rFonts w:hint="eastAsia" w:ascii="新宋体" w:hAnsi="新宋体" w:eastAsia="新宋体"/>
          <w:b/>
          <w:bCs w:val="0"/>
          <w:sz w:val="36"/>
          <w:szCs w:val="36"/>
          <w:highlight w:val="none"/>
          <w:lang w:val="en-US" w:eastAsia="zh-CN"/>
        </w:rPr>
        <w:t>征求意见稿</w:t>
      </w:r>
      <w:r>
        <w:rPr>
          <w:rFonts w:hint="eastAsia" w:ascii="新宋体" w:hAnsi="新宋体" w:eastAsia="新宋体"/>
          <w:b/>
          <w:bCs w:val="0"/>
          <w:sz w:val="36"/>
          <w:szCs w:val="36"/>
          <w:highlight w:val="none"/>
        </w:rPr>
        <w:t>）</w:t>
      </w:r>
    </w:p>
    <w:p w14:paraId="18314720">
      <w:pPr>
        <w:pStyle w:val="96"/>
        <w:framePr w:w="10302" w:h="6974" w:hRule="exact" w:wrap="around" w:vAnchor="page" w:hAnchor="page" w:x="710" w:y="5746" w:anchorLock="1"/>
        <w:pBdr>
          <w:top w:val="none" w:color="auto" w:sz="0" w:space="0"/>
          <w:left w:val="none" w:color="auto" w:sz="0" w:space="0"/>
          <w:bottom w:val="none" w:color="auto" w:sz="0" w:space="0"/>
          <w:right w:val="none" w:color="auto" w:sz="0" w:space="0"/>
        </w:pBdr>
        <w:spacing w:before="180" w:line="240" w:lineRule="atLeast"/>
        <w:ind w:firstLine="420"/>
        <w:textAlignment w:val="bottom"/>
        <w:rPr>
          <w:sz w:val="21"/>
          <w:szCs w:val="28"/>
          <w:highlight w:val="none"/>
        </w:rPr>
      </w:pPr>
    </w:p>
    <w:p w14:paraId="6F028833">
      <w:pPr>
        <w:pStyle w:val="96"/>
        <w:framePr w:w="10302" w:h="6974" w:hRule="exact" w:wrap="around" w:vAnchor="page" w:hAnchor="page" w:x="710" w:y="5746" w:anchorLock="1"/>
        <w:pBdr>
          <w:top w:val="none" w:color="auto" w:sz="0" w:space="0"/>
          <w:left w:val="none" w:color="auto" w:sz="0" w:space="0"/>
          <w:bottom w:val="none" w:color="auto" w:sz="0" w:space="0"/>
          <w:right w:val="none" w:color="auto" w:sz="0" w:space="0"/>
        </w:pBdr>
        <w:spacing w:before="954" w:beforeLines="300" w:after="95" w:afterLines="30" w:line="240" w:lineRule="auto"/>
        <w:ind w:firstLine="422"/>
        <w:textAlignment w:val="bottom"/>
        <w:rPr>
          <w:b/>
          <w:sz w:val="21"/>
          <w:szCs w:val="28"/>
          <w:highlight w:val="none"/>
        </w:rPr>
      </w:pPr>
    </w:p>
    <w:p w14:paraId="797384DA">
      <w:pPr>
        <w:pStyle w:val="98"/>
        <w:framePr w:y="14176"/>
        <w:rPr>
          <w:highlight w:val="none"/>
        </w:rPr>
      </w:pPr>
      <w:r>
        <w:rPr>
          <w:rFonts w:hint="eastAsia"/>
          <w:b/>
          <w:bCs/>
          <w:highlight w:val="none"/>
        </w:rPr>
        <w:t>202</w:t>
      </w:r>
      <w:r>
        <w:rPr>
          <w:rFonts w:hint="eastAsia"/>
          <w:b/>
          <w:bCs/>
          <w:highlight w:val="none"/>
          <w:lang w:val="en-US" w:eastAsia="zh-CN"/>
        </w:rPr>
        <w:t>6</w:t>
      </w:r>
      <w:r>
        <w:rPr>
          <w:b/>
          <w:bCs/>
          <w:highlight w:val="none"/>
        </w:rPr>
        <w:t xml:space="preserve"> - </w:t>
      </w:r>
      <w:r>
        <w:rPr>
          <w:rFonts w:hint="eastAsia"/>
          <w:b/>
          <w:bCs/>
          <w:highlight w:val="none"/>
        </w:rPr>
        <w:t>XX</w:t>
      </w:r>
      <w:r>
        <w:rPr>
          <w:b/>
          <w:bCs/>
          <w:highlight w:val="none"/>
        </w:rPr>
        <w:t xml:space="preserve"> - </w:t>
      </w:r>
      <w:r>
        <w:rPr>
          <w:rFonts w:hint="eastAsia"/>
          <w:b/>
          <w:bCs/>
          <w:highlight w:val="none"/>
        </w:rPr>
        <w:t>XX 发布</w:t>
      </w:r>
    </w:p>
    <w:p w14:paraId="6DEB7534">
      <w:pPr>
        <w:pStyle w:val="98"/>
        <w:framePr w:y="14176"/>
        <w:ind w:left="5250"/>
        <w:rPr>
          <w:highlight w:val="none"/>
        </w:rPr>
      </w:pPr>
      <w:r>
        <w:rPr>
          <w:highlight w:val="none"/>
        </w:rPr>
        <w:t xml:space="preserve"> - </w:t>
      </w:r>
      <w:r>
        <w:rPr>
          <w:highlight w:val="none"/>
        </w:rPr>
        <w:fldChar w:fldCharType="begin">
          <w:ffData>
            <w:name w:val="PLSH_DATE_M"/>
            <w:enabled/>
            <w:calcOnExit w:val="0"/>
            <w:textInput>
              <w:default w:val="XX"/>
              <w:maxLength w:val="2"/>
            </w:textInput>
          </w:ffData>
        </w:fldChar>
      </w:r>
      <w:bookmarkStart w:id="1" w:name="PLSH_DATE_M"/>
      <w:r>
        <w:rPr>
          <w:highlight w:val="none"/>
        </w:rPr>
        <w:instrText xml:space="preserve"> FORMTEXT </w:instrText>
      </w:r>
      <w:r>
        <w:rPr>
          <w:highlight w:val="none"/>
        </w:rPr>
        <w:fldChar w:fldCharType="separate"/>
      </w:r>
      <w:r>
        <w:rPr>
          <w:highlight w:val="none"/>
        </w:rPr>
        <w:t>XX</w:t>
      </w:r>
      <w:r>
        <w:rPr>
          <w:highlight w:val="none"/>
        </w:rPr>
        <w:fldChar w:fldCharType="end"/>
      </w:r>
      <w:bookmarkEnd w:id="1"/>
      <w:r>
        <w:rPr>
          <w:highlight w:val="none"/>
        </w:rPr>
        <w:t xml:space="preserve"> - </w:t>
      </w:r>
      <w:r>
        <w:rPr>
          <w:highlight w:val="none"/>
        </w:rPr>
        <w:fldChar w:fldCharType="begin">
          <w:ffData>
            <w:name w:val="PLSH_DATE_D"/>
            <w:enabled/>
            <w:calcOnExit w:val="0"/>
            <w:textInput>
              <w:default w:val="XX"/>
              <w:maxLength w:val="2"/>
            </w:textInput>
          </w:ffData>
        </w:fldChar>
      </w:r>
      <w:bookmarkStart w:id="2" w:name="PLSH_DATE_D"/>
      <w:r>
        <w:rPr>
          <w:highlight w:val="none"/>
        </w:rPr>
        <w:instrText xml:space="preserve"> FORMTEXT </w:instrText>
      </w:r>
      <w:r>
        <w:rPr>
          <w:highlight w:val="none"/>
        </w:rPr>
        <w:fldChar w:fldCharType="separate"/>
      </w:r>
      <w:r>
        <w:rPr>
          <w:highlight w:val="none"/>
        </w:rPr>
        <w:t>XX</w:t>
      </w:r>
      <w:r>
        <w:rPr>
          <w:highlight w:val="none"/>
        </w:rPr>
        <w:fldChar w:fldCharType="end"/>
      </w:r>
      <w:bookmarkEnd w:id="2"/>
      <w:r>
        <w:rPr>
          <w:rFonts w:hint="eastAsia"/>
          <w:highlight w:val="none"/>
        </w:rPr>
        <w:t>发布</w:t>
      </w:r>
    </w:p>
    <w:p w14:paraId="12055410">
      <w:pPr>
        <w:pStyle w:val="99"/>
        <w:framePr w:y="14176"/>
        <w:rPr>
          <w:b/>
          <w:bCs/>
          <w:highlight w:val="none"/>
        </w:rPr>
      </w:pPr>
      <w:r>
        <w:rPr>
          <w:rFonts w:hint="eastAsia"/>
          <w:b/>
          <w:bCs/>
          <w:highlight w:val="none"/>
        </w:rPr>
        <w:t>202</w:t>
      </w:r>
      <w:r>
        <w:rPr>
          <w:rFonts w:hint="eastAsia"/>
          <w:b/>
          <w:bCs/>
          <w:highlight w:val="none"/>
          <w:lang w:val="en-US" w:eastAsia="zh-CN"/>
        </w:rPr>
        <w:t>6</w:t>
      </w:r>
      <w:r>
        <w:rPr>
          <w:b/>
          <w:bCs/>
          <w:highlight w:val="none"/>
        </w:rPr>
        <w:t xml:space="preserve"> - </w:t>
      </w:r>
      <w:r>
        <w:rPr>
          <w:rFonts w:hint="eastAsia"/>
          <w:b/>
          <w:bCs/>
          <w:highlight w:val="none"/>
        </w:rPr>
        <w:t>XX</w:t>
      </w:r>
      <w:r>
        <w:rPr>
          <w:b/>
          <w:bCs/>
          <w:highlight w:val="none"/>
        </w:rPr>
        <w:t xml:space="preserve"> - </w:t>
      </w:r>
      <w:r>
        <w:rPr>
          <w:rFonts w:hint="eastAsia"/>
          <w:b/>
          <w:bCs/>
          <w:highlight w:val="none"/>
        </w:rPr>
        <w:t>XX 实施</w:t>
      </w:r>
    </w:p>
    <w:p w14:paraId="76ADE6F5">
      <w:pPr>
        <w:pStyle w:val="97"/>
        <w:framePr w:h="1084" w:hRule="exact" w:hSpace="181" w:vSpace="181" w:vAnchor="page" w:hAnchor="page" w:x="2460" w:y="15046"/>
        <w:rPr>
          <w:rFonts w:ascii="Times New Roman"/>
          <w:b/>
          <w:bCs/>
          <w:w w:val="100"/>
          <w:sz w:val="28"/>
          <w:highlight w:val="none"/>
        </w:rPr>
      </w:pPr>
      <w:r>
        <w:rPr>
          <w:rFonts w:hint="eastAsia" w:ascii="Times New Roman"/>
          <w:b/>
          <w:bCs/>
          <w:w w:val="100"/>
          <w:sz w:val="28"/>
          <w:highlight w:val="none"/>
        </w:rPr>
        <w:t>中国电力建设企业协会</w:t>
      </w:r>
    </w:p>
    <w:p w14:paraId="26031721">
      <w:pPr>
        <w:pStyle w:val="18"/>
        <w:jc w:val="center"/>
        <w:rPr>
          <w:rFonts w:ascii="Times New Roman" w:hAnsi="Times New Roman" w:eastAsia="黑体"/>
          <w:sz w:val="28"/>
          <w:szCs w:val="28"/>
          <w:highlight w:val="none"/>
        </w:rPr>
      </w:pPr>
    </w:p>
    <w:p w14:paraId="500EBF7E">
      <w:pPr>
        <w:pStyle w:val="25"/>
        <w:tabs>
          <w:tab w:val="right" w:leader="dot" w:pos="8302"/>
        </w:tabs>
        <w:jc w:val="center"/>
        <w:rPr>
          <w:rFonts w:ascii="Times New Roman" w:hAnsi="Times New Roman" w:cs="宋体"/>
          <w:b/>
          <w:sz w:val="32"/>
          <w:szCs w:val="32"/>
          <w:highlight w:val="none"/>
        </w:rPr>
        <w:sectPr>
          <w:headerReference r:id="rId3" w:type="default"/>
          <w:pgSz w:w="11906" w:h="16838"/>
          <w:pgMar w:top="1440" w:right="1797" w:bottom="1440" w:left="1797" w:header="851" w:footer="850" w:gutter="0"/>
          <w:pgNumType w:fmt="upperRoman" w:start="0"/>
          <w:cols w:space="0" w:num="1"/>
          <w:docGrid w:type="lines" w:linePitch="318" w:charSpace="0"/>
        </w:sectPr>
      </w:pPr>
      <w:r>
        <w:rPr>
          <w:sz w:val="28"/>
          <w:highlight w:val="none"/>
        </w:rPr>
        <mc:AlternateContent>
          <mc:Choice Requires="wps">
            <w:drawing>
              <wp:anchor distT="0" distB="0" distL="114300" distR="114300" simplePos="0" relativeHeight="251663360" behindDoc="0" locked="0" layoutInCell="1" allowOverlap="1">
                <wp:simplePos x="0" y="0"/>
                <wp:positionH relativeFrom="column">
                  <wp:posOffset>3776345</wp:posOffset>
                </wp:positionH>
                <wp:positionV relativeFrom="paragraph">
                  <wp:posOffset>6501765</wp:posOffset>
                </wp:positionV>
                <wp:extent cx="726440" cy="415290"/>
                <wp:effectExtent l="0" t="0" r="0" b="3810"/>
                <wp:wrapNone/>
                <wp:docPr id="8" name="文本框 8"/>
                <wp:cNvGraphicFramePr/>
                <a:graphic xmlns:a="http://schemas.openxmlformats.org/drawingml/2006/main">
                  <a:graphicData uri="http://schemas.microsoft.com/office/word/2010/wordprocessingShape">
                    <wps:wsp>
                      <wps:cNvSpPr txBox="1"/>
                      <wps:spPr>
                        <a:xfrm>
                          <a:off x="0" y="0"/>
                          <a:ext cx="726440" cy="4152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BEE8B4">
                            <w:r>
                              <w:rPr>
                                <w:rFonts w:hint="eastAsia" w:ascii="黑体" w:hAnsi="黑体" w:eastAsia="黑体" w:cs="黑体"/>
                                <w:b/>
                                <w:bCs/>
                                <w:sz w:val="28"/>
                              </w:rPr>
                              <w:t>发  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7.35pt;margin-top:511.95pt;height:32.7pt;width:57.2pt;z-index:251663360;mso-width-relative:page;mso-height-relative:page;" filled="f" stroked="f" coordsize="21600,21600" o:gfxdata="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tqJKl90AAAANAQAADwAAAAAAAAABACAAAAAiAAAA&#10;ZHJzL2Rvd25yZXYueG1sUEsBAhQAFAAAAAgAh07iQPVrbgU7AgAAZQQAAA4AAAAAAAAAAQAgAAAA&#10;LAEAAGRycy9lMm9Eb2MueG1sUEsFBgAAAAAGAAYAWQEAANkFAAAAAA==&#10;">
                <v:fill on="f" focussize="0,0"/>
                <v:stroke on="f" weight="0.5pt"/>
                <v:imagedata o:title=""/>
                <o:lock v:ext="edit" aspectratio="f"/>
                <v:textbox>
                  <w:txbxContent>
                    <w:p w14:paraId="41BEE8B4">
                      <w:r>
                        <w:rPr>
                          <w:rFonts w:hint="eastAsia" w:ascii="黑体" w:hAnsi="黑体" w:eastAsia="黑体" w:cs="黑体"/>
                          <w:b/>
                          <w:bCs/>
                          <w:sz w:val="28"/>
                        </w:rPr>
                        <w:t>发  布</w:t>
                      </w:r>
                    </w:p>
                  </w:txbxContent>
                </v:textbox>
              </v:shape>
            </w:pict>
          </mc:Fallback>
        </mc:AlternateContent>
      </w:r>
      <w:r>
        <w:rPr>
          <w:rFonts w:ascii="Times New Roman" w:hAnsi="Times New Roman" w:eastAsia="黑体"/>
          <w:kern w:val="0"/>
          <w:sz w:val="10"/>
          <w:szCs w:val="10"/>
          <w:highlight w:val="none"/>
        </w:rPr>
        <mc:AlternateContent>
          <mc:Choice Requires="wps">
            <w:drawing>
              <wp:anchor distT="0" distB="0" distL="114300" distR="114300" simplePos="0" relativeHeight="251660288" behindDoc="0" locked="0" layoutInCell="1" allowOverlap="0">
                <wp:simplePos x="0" y="0"/>
                <wp:positionH relativeFrom="page">
                  <wp:posOffset>929005</wp:posOffset>
                </wp:positionH>
                <wp:positionV relativeFrom="page">
                  <wp:posOffset>9367520</wp:posOffset>
                </wp:positionV>
                <wp:extent cx="6120130" cy="0"/>
                <wp:effectExtent l="0" t="4445" r="0" b="50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3.15pt;margin-top:737.6pt;height:0pt;width:481.9pt;mso-position-horizontal-relative:page;mso-position-vertical-relative:page;z-index:251660288;mso-width-relative:page;mso-height-relative:page;" filled="f" stroked="t" coordsize="21600,21600" o:allowoverlap="f" o:gfxdata="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RTXLXXAAAADgEA&#10;AA8AAAAAAAAAAQAgAAAAIgAAAGRycy9kb3ducmV2LnhtbFBLAQIUABQAAAAIAIdO4kBN1FcE4gEA&#10;AKoDAAAOAAAAAAAAAAEAIAAAACYBAABkcnMvZTJvRG9jLnhtbFBLBQYAAAAABgAGAFkBAAB6BQAA&#10;AAA=&#10;">
                <v:fill on="f" focussize="0,0"/>
                <v:stroke color="#000000" joinstyle="round"/>
                <v:imagedata o:title=""/>
                <o:lock v:ext="edit" aspectratio="f"/>
              </v:line>
            </w:pict>
          </mc:Fallback>
        </mc:AlternateContent>
      </w:r>
    </w:p>
    <w:sdt>
      <w:sdtPr>
        <w:rPr>
          <w:rFonts w:ascii="Times New Roman" w:hAnsi="Times New Roman"/>
          <w:highlight w:val="none"/>
        </w:rPr>
        <w:id w:val="147479596"/>
        <w15:color w:val="DBDBDB"/>
        <w:docPartObj>
          <w:docPartGallery w:val="Table of Contents"/>
          <w:docPartUnique/>
        </w:docPartObj>
      </w:sdtPr>
      <w:sdtEndPr>
        <w:rPr>
          <w:rFonts w:hint="eastAsia" w:ascii="Times New Roman" w:hAnsi="Times New Roman"/>
          <w:b/>
          <w:highlight w:val="none"/>
        </w:rPr>
      </w:sdtEndPr>
      <w:sdtContent>
        <w:p w14:paraId="05CBDB68">
          <w:pPr>
            <w:spacing w:before="480" w:after="477" w:afterLines="150"/>
            <w:jc w:val="center"/>
            <w:outlineLvl w:val="0"/>
            <w:rPr>
              <w:rFonts w:hint="eastAsia" w:ascii="Times New Roman" w:hAnsi="Times New Roman" w:eastAsia="宋体" w:cs="Times New Roman"/>
              <w:kern w:val="2"/>
              <w:sz w:val="21"/>
              <w:szCs w:val="24"/>
              <w:highlight w:val="none"/>
              <w:lang w:val="en-US" w:eastAsia="zh-CN" w:bidi="ar-SA"/>
            </w:rPr>
          </w:pPr>
          <w:bookmarkStart w:id="3" w:name="_Toc31881"/>
          <w:bookmarkStart w:id="4" w:name="_Toc20985"/>
          <w:bookmarkStart w:id="5" w:name="_Toc5463"/>
          <w:bookmarkStart w:id="6" w:name="_Toc6153"/>
          <w:bookmarkStart w:id="7" w:name="_Toc190350361"/>
          <w:bookmarkStart w:id="8" w:name="_Toc176603037"/>
          <w:bookmarkStart w:id="9" w:name="_Toc29246"/>
          <w:bookmarkStart w:id="10" w:name="_Toc6417"/>
          <w:bookmarkStart w:id="11" w:name="_Toc176553981"/>
          <w:bookmarkStart w:id="12" w:name="_Toc12041"/>
          <w:bookmarkStart w:id="13" w:name="_Toc190350166"/>
          <w:bookmarkStart w:id="14" w:name="_Toc16778"/>
          <w:bookmarkStart w:id="15" w:name="_Toc176531703"/>
          <w:bookmarkStart w:id="16" w:name="_Toc176597809"/>
          <w:bookmarkStart w:id="17" w:name="_Toc11471"/>
          <w:bookmarkStart w:id="18" w:name="_Toc25340"/>
          <w:bookmarkStart w:id="19" w:name="_Toc176530709"/>
          <w:bookmarkStart w:id="20" w:name="_Toc3510"/>
          <w:bookmarkStart w:id="21" w:name="_Toc8000"/>
          <w:r>
            <w:rPr>
              <w:rStyle w:val="143"/>
              <w:rFonts w:hint="eastAsia" w:ascii="Times New Roman"/>
              <w:highlight w:val="none"/>
            </w:rPr>
            <w:t>目  次</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hint="eastAsia" w:ascii="Times New Roman" w:hAnsi="Times New Roman"/>
              <w:highlight w:val="none"/>
            </w:rPr>
            <w:fldChar w:fldCharType="begin"/>
          </w:r>
          <w:r>
            <w:rPr>
              <w:rFonts w:hint="eastAsia" w:ascii="Times New Roman" w:hAnsi="Times New Roman"/>
              <w:highlight w:val="none"/>
            </w:rPr>
            <w:instrText xml:space="preserve">TOC \o "1-2" \h \u </w:instrText>
          </w:r>
          <w:r>
            <w:rPr>
              <w:rFonts w:hint="eastAsia" w:ascii="Times New Roman" w:hAnsi="Times New Roman"/>
              <w:highlight w:val="none"/>
            </w:rPr>
            <w:fldChar w:fldCharType="separate"/>
          </w:r>
        </w:p>
        <w:p w14:paraId="50F3E8B1">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_Toc6153 </w:instrText>
          </w:r>
          <w:r>
            <w:rPr>
              <w:rFonts w:hint="eastAsia" w:ascii="Times New Roman" w:hAnsi="Times New Roman"/>
              <w:highlight w:val="none"/>
            </w:rPr>
            <w:fldChar w:fldCharType="separate"/>
          </w:r>
          <w:r>
            <w:rPr>
              <w:rFonts w:hint="eastAsia" w:ascii="Times New Roman"/>
              <w:highlight w:val="none"/>
            </w:rPr>
            <w:t>目  次</w:t>
          </w:r>
          <w:r>
            <w:rPr>
              <w:highlight w:val="none"/>
            </w:rPr>
            <w:tab/>
          </w:r>
          <w:r>
            <w:rPr>
              <w:highlight w:val="none"/>
            </w:rPr>
            <w:fldChar w:fldCharType="begin"/>
          </w:r>
          <w:r>
            <w:rPr>
              <w:highlight w:val="none"/>
            </w:rPr>
            <w:instrText xml:space="preserve"> PAGEREF _Toc6153 \h </w:instrText>
          </w:r>
          <w:r>
            <w:rPr>
              <w:highlight w:val="none"/>
            </w:rPr>
            <w:fldChar w:fldCharType="separate"/>
          </w:r>
          <w:r>
            <w:rPr>
              <w:highlight w:val="none"/>
            </w:rPr>
            <w:t>I</w:t>
          </w:r>
          <w:r>
            <w:rPr>
              <w:highlight w:val="none"/>
            </w:rPr>
            <w:fldChar w:fldCharType="end"/>
          </w:r>
          <w:r>
            <w:rPr>
              <w:rFonts w:hint="eastAsia" w:ascii="Times New Roman" w:hAnsi="Times New Roman"/>
              <w:highlight w:val="none"/>
            </w:rPr>
            <w:fldChar w:fldCharType="end"/>
          </w:r>
        </w:p>
        <w:p w14:paraId="731A9BBB">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_Toc13261 </w:instrText>
          </w:r>
          <w:r>
            <w:rPr>
              <w:rFonts w:hint="eastAsia" w:ascii="Times New Roman" w:hAnsi="Times New Roman"/>
              <w:highlight w:val="none"/>
            </w:rPr>
            <w:fldChar w:fldCharType="separate"/>
          </w:r>
          <w:r>
            <w:rPr>
              <w:rFonts w:hint="eastAsia" w:ascii="Times New Roman"/>
              <w:highlight w:val="none"/>
            </w:rPr>
            <w:t>前  言</w:t>
          </w:r>
          <w:r>
            <w:rPr>
              <w:highlight w:val="none"/>
            </w:rPr>
            <w:tab/>
          </w:r>
          <w:r>
            <w:rPr>
              <w:highlight w:val="none"/>
            </w:rPr>
            <w:fldChar w:fldCharType="begin"/>
          </w:r>
          <w:r>
            <w:rPr>
              <w:highlight w:val="none"/>
            </w:rPr>
            <w:instrText xml:space="preserve"> PAGEREF _Toc13261 \h </w:instrText>
          </w:r>
          <w:r>
            <w:rPr>
              <w:highlight w:val="none"/>
            </w:rPr>
            <w:fldChar w:fldCharType="separate"/>
          </w:r>
          <w:r>
            <w:rPr>
              <w:highlight w:val="none"/>
            </w:rPr>
            <w:t>I</w:t>
          </w:r>
          <w:r>
            <w:rPr>
              <w:highlight w:val="none"/>
            </w:rPr>
            <w:fldChar w:fldCharType="end"/>
          </w:r>
          <w:r>
            <w:rPr>
              <w:rFonts w:hint="eastAsia" w:ascii="Times New Roman" w:hAnsi="Times New Roman"/>
              <w:highlight w:val="none"/>
            </w:rPr>
            <w:fldChar w:fldCharType="end"/>
          </w:r>
        </w:p>
        <w:p w14:paraId="40C75D92">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_Toc28900 </w:instrText>
          </w:r>
          <w:r>
            <w:rPr>
              <w:rFonts w:hint="eastAsia" w:ascii="Times New Roman" w:hAnsi="Times New Roman"/>
              <w:highlight w:val="none"/>
            </w:rPr>
            <w:fldChar w:fldCharType="separate"/>
          </w:r>
          <w:r>
            <w:rPr>
              <w:rFonts w:hint="default" w:ascii="黑体" w:hAnsi="Times New Roman" w:eastAsia="黑体"/>
              <w:i w:val="0"/>
              <w:highlight w:val="none"/>
            </w:rPr>
            <w:t xml:space="preserve">1 </w:t>
          </w:r>
          <w:r>
            <w:rPr>
              <w:rFonts w:hint="eastAsia" w:ascii="Times New Roman" w:hAnsi="Times New Roman"/>
              <w:highlight w:val="none"/>
            </w:rPr>
            <w:t>范围</w:t>
          </w:r>
          <w:r>
            <w:rPr>
              <w:highlight w:val="none"/>
            </w:rPr>
            <w:tab/>
          </w:r>
          <w:r>
            <w:rPr>
              <w:highlight w:val="none"/>
            </w:rPr>
            <w:fldChar w:fldCharType="begin"/>
          </w:r>
          <w:r>
            <w:rPr>
              <w:highlight w:val="none"/>
            </w:rPr>
            <w:instrText xml:space="preserve"> PAGEREF _Toc28900 \h </w:instrText>
          </w:r>
          <w:r>
            <w:rPr>
              <w:highlight w:val="none"/>
            </w:rPr>
            <w:fldChar w:fldCharType="separate"/>
          </w:r>
          <w:r>
            <w:rPr>
              <w:highlight w:val="none"/>
            </w:rPr>
            <w:t>2</w:t>
          </w:r>
          <w:r>
            <w:rPr>
              <w:highlight w:val="none"/>
            </w:rPr>
            <w:fldChar w:fldCharType="end"/>
          </w:r>
          <w:r>
            <w:rPr>
              <w:rFonts w:hint="eastAsia" w:ascii="Times New Roman" w:hAnsi="Times New Roman"/>
              <w:highlight w:val="none"/>
            </w:rPr>
            <w:fldChar w:fldCharType="end"/>
          </w:r>
        </w:p>
        <w:p w14:paraId="3652277F">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_Toc28324 </w:instrText>
          </w:r>
          <w:r>
            <w:rPr>
              <w:rFonts w:hint="eastAsia" w:ascii="Times New Roman" w:hAnsi="Times New Roman"/>
              <w:highlight w:val="none"/>
            </w:rPr>
            <w:fldChar w:fldCharType="separate"/>
          </w:r>
          <w:r>
            <w:rPr>
              <w:rFonts w:hint="default" w:ascii="黑体" w:hAnsi="Times New Roman" w:eastAsia="黑体"/>
              <w:i w:val="0"/>
              <w:highlight w:val="none"/>
            </w:rPr>
            <w:t xml:space="preserve">2 </w:t>
          </w:r>
          <w:r>
            <w:rPr>
              <w:rFonts w:hint="eastAsia" w:ascii="Times New Roman" w:hAnsi="Times New Roman"/>
              <w:highlight w:val="none"/>
            </w:rPr>
            <w:t>规范性引用文件</w:t>
          </w:r>
          <w:r>
            <w:rPr>
              <w:highlight w:val="none"/>
            </w:rPr>
            <w:tab/>
          </w:r>
          <w:r>
            <w:rPr>
              <w:highlight w:val="none"/>
            </w:rPr>
            <w:fldChar w:fldCharType="begin"/>
          </w:r>
          <w:r>
            <w:rPr>
              <w:highlight w:val="none"/>
            </w:rPr>
            <w:instrText xml:space="preserve"> PAGEREF _Toc28324 \h </w:instrText>
          </w:r>
          <w:r>
            <w:rPr>
              <w:highlight w:val="none"/>
            </w:rPr>
            <w:fldChar w:fldCharType="separate"/>
          </w:r>
          <w:r>
            <w:rPr>
              <w:highlight w:val="none"/>
            </w:rPr>
            <w:t>2</w:t>
          </w:r>
          <w:r>
            <w:rPr>
              <w:highlight w:val="none"/>
            </w:rPr>
            <w:fldChar w:fldCharType="end"/>
          </w:r>
          <w:r>
            <w:rPr>
              <w:rFonts w:hint="eastAsia" w:ascii="Times New Roman" w:hAnsi="Times New Roman"/>
              <w:highlight w:val="none"/>
            </w:rPr>
            <w:fldChar w:fldCharType="end"/>
          </w:r>
        </w:p>
        <w:p w14:paraId="78AF808D">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_Toc25543 </w:instrText>
          </w:r>
          <w:r>
            <w:rPr>
              <w:rFonts w:hint="eastAsia" w:ascii="Times New Roman" w:hAnsi="Times New Roman"/>
              <w:highlight w:val="none"/>
            </w:rPr>
            <w:fldChar w:fldCharType="separate"/>
          </w:r>
          <w:r>
            <w:rPr>
              <w:rFonts w:hint="default" w:ascii="黑体" w:hAnsi="Times New Roman" w:eastAsia="黑体"/>
              <w:i w:val="0"/>
              <w:highlight w:val="none"/>
            </w:rPr>
            <w:t xml:space="preserve">3 </w:t>
          </w:r>
          <w:r>
            <w:rPr>
              <w:rFonts w:hint="eastAsia" w:ascii="Times New Roman" w:hAnsi="Times New Roman"/>
              <w:highlight w:val="none"/>
            </w:rPr>
            <w:t>术语和定义</w:t>
          </w:r>
          <w:r>
            <w:rPr>
              <w:highlight w:val="none"/>
            </w:rPr>
            <w:tab/>
          </w:r>
          <w:r>
            <w:rPr>
              <w:highlight w:val="none"/>
            </w:rPr>
            <w:fldChar w:fldCharType="begin"/>
          </w:r>
          <w:r>
            <w:rPr>
              <w:highlight w:val="none"/>
            </w:rPr>
            <w:instrText xml:space="preserve"> PAGEREF _Toc25543 \h </w:instrText>
          </w:r>
          <w:r>
            <w:rPr>
              <w:highlight w:val="none"/>
            </w:rPr>
            <w:fldChar w:fldCharType="separate"/>
          </w:r>
          <w:r>
            <w:rPr>
              <w:highlight w:val="none"/>
            </w:rPr>
            <w:t>2</w:t>
          </w:r>
          <w:r>
            <w:rPr>
              <w:highlight w:val="none"/>
            </w:rPr>
            <w:fldChar w:fldCharType="end"/>
          </w:r>
          <w:r>
            <w:rPr>
              <w:rFonts w:hint="eastAsia" w:ascii="Times New Roman" w:hAnsi="Times New Roman"/>
              <w:highlight w:val="none"/>
            </w:rPr>
            <w:fldChar w:fldCharType="end"/>
          </w:r>
        </w:p>
        <w:p w14:paraId="72EB5A50">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_Toc20713 </w:instrText>
          </w:r>
          <w:r>
            <w:rPr>
              <w:rFonts w:hint="eastAsia" w:ascii="Times New Roman" w:hAnsi="Times New Roman"/>
              <w:highlight w:val="none"/>
            </w:rPr>
            <w:fldChar w:fldCharType="separate"/>
          </w:r>
          <w:r>
            <w:rPr>
              <w:rFonts w:hint="default" w:ascii="黑体" w:hAnsi="Times New Roman" w:eastAsia="黑体"/>
              <w:i w:val="0"/>
              <w:highlight w:val="none"/>
            </w:rPr>
            <w:t xml:space="preserve">4 </w:t>
          </w:r>
          <w:r>
            <w:rPr>
              <w:rFonts w:hint="eastAsia" w:ascii="Times New Roman" w:hAnsi="Times New Roman"/>
              <w:highlight w:val="none"/>
            </w:rPr>
            <w:t>总体要求</w:t>
          </w:r>
          <w:r>
            <w:rPr>
              <w:highlight w:val="none"/>
            </w:rPr>
            <w:tab/>
          </w:r>
          <w:r>
            <w:rPr>
              <w:highlight w:val="none"/>
            </w:rPr>
            <w:fldChar w:fldCharType="begin"/>
          </w:r>
          <w:r>
            <w:rPr>
              <w:highlight w:val="none"/>
            </w:rPr>
            <w:instrText xml:space="preserve"> PAGEREF _Toc20713 \h </w:instrText>
          </w:r>
          <w:r>
            <w:rPr>
              <w:highlight w:val="none"/>
            </w:rPr>
            <w:fldChar w:fldCharType="separate"/>
          </w:r>
          <w:r>
            <w:rPr>
              <w:highlight w:val="none"/>
            </w:rPr>
            <w:t>3</w:t>
          </w:r>
          <w:r>
            <w:rPr>
              <w:highlight w:val="none"/>
            </w:rPr>
            <w:fldChar w:fldCharType="end"/>
          </w:r>
          <w:r>
            <w:rPr>
              <w:rFonts w:hint="eastAsia" w:ascii="Times New Roman" w:hAnsi="Times New Roman"/>
              <w:highlight w:val="none"/>
            </w:rPr>
            <w:fldChar w:fldCharType="end"/>
          </w:r>
        </w:p>
        <w:p w14:paraId="3473956A">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_Toc7381 </w:instrText>
          </w:r>
          <w:r>
            <w:rPr>
              <w:rFonts w:hint="eastAsia" w:ascii="Times New Roman" w:hAnsi="Times New Roman"/>
              <w:highlight w:val="none"/>
            </w:rPr>
            <w:fldChar w:fldCharType="separate"/>
          </w:r>
          <w:r>
            <w:rPr>
              <w:rFonts w:hint="default" w:ascii="黑体" w:hAnsi="Times New Roman" w:eastAsia="黑体"/>
              <w:i w:val="0"/>
              <w:highlight w:val="none"/>
            </w:rPr>
            <w:t xml:space="preserve">5 </w:t>
          </w:r>
          <w:r>
            <w:rPr>
              <w:rFonts w:hint="eastAsia" w:ascii="Times New Roman" w:hAnsi="Times New Roman"/>
              <w:highlight w:val="none"/>
            </w:rPr>
            <w:t>设计管理</w:t>
          </w:r>
          <w:r>
            <w:rPr>
              <w:highlight w:val="none"/>
            </w:rPr>
            <w:tab/>
          </w:r>
          <w:r>
            <w:rPr>
              <w:highlight w:val="none"/>
            </w:rPr>
            <w:fldChar w:fldCharType="begin"/>
          </w:r>
          <w:r>
            <w:rPr>
              <w:highlight w:val="none"/>
            </w:rPr>
            <w:instrText xml:space="preserve"> PAGEREF _Toc7381 \h </w:instrText>
          </w:r>
          <w:r>
            <w:rPr>
              <w:highlight w:val="none"/>
            </w:rPr>
            <w:fldChar w:fldCharType="separate"/>
          </w:r>
          <w:r>
            <w:rPr>
              <w:highlight w:val="none"/>
            </w:rPr>
            <w:t>3</w:t>
          </w:r>
          <w:r>
            <w:rPr>
              <w:highlight w:val="none"/>
            </w:rPr>
            <w:fldChar w:fldCharType="end"/>
          </w:r>
          <w:r>
            <w:rPr>
              <w:rFonts w:hint="eastAsia" w:ascii="Times New Roman" w:hAnsi="Times New Roman"/>
              <w:highlight w:val="none"/>
            </w:rPr>
            <w:fldChar w:fldCharType="end"/>
          </w:r>
        </w:p>
        <w:p w14:paraId="1AF85D76">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_Toc21576 </w:instrText>
          </w:r>
          <w:r>
            <w:rPr>
              <w:rFonts w:hint="eastAsia" w:ascii="Times New Roman" w:hAnsi="Times New Roman"/>
              <w:highlight w:val="none"/>
            </w:rPr>
            <w:fldChar w:fldCharType="separate"/>
          </w:r>
          <w:r>
            <w:rPr>
              <w:rFonts w:hint="default" w:ascii="黑体" w:hAnsi="Times New Roman" w:eastAsia="黑体"/>
              <w:i w:val="0"/>
              <w:highlight w:val="none"/>
            </w:rPr>
            <w:t xml:space="preserve">6 </w:t>
          </w:r>
          <w:r>
            <w:rPr>
              <w:rFonts w:hint="eastAsia" w:ascii="Times New Roman" w:hAnsi="Times New Roman"/>
              <w:highlight w:val="none"/>
              <w:lang w:val="en-US" w:eastAsia="zh-CN"/>
            </w:rPr>
            <w:t>物资</w:t>
          </w:r>
          <w:r>
            <w:rPr>
              <w:rFonts w:hint="eastAsia" w:ascii="Times New Roman" w:hAnsi="Times New Roman"/>
              <w:highlight w:val="none"/>
            </w:rPr>
            <w:t>管理</w:t>
          </w:r>
          <w:r>
            <w:rPr>
              <w:highlight w:val="none"/>
            </w:rPr>
            <w:tab/>
          </w:r>
          <w:r>
            <w:rPr>
              <w:highlight w:val="none"/>
            </w:rPr>
            <w:fldChar w:fldCharType="begin"/>
          </w:r>
          <w:r>
            <w:rPr>
              <w:highlight w:val="none"/>
            </w:rPr>
            <w:instrText xml:space="preserve"> PAGEREF _Toc21576 \h </w:instrText>
          </w:r>
          <w:r>
            <w:rPr>
              <w:highlight w:val="none"/>
            </w:rPr>
            <w:fldChar w:fldCharType="separate"/>
          </w:r>
          <w:r>
            <w:rPr>
              <w:highlight w:val="none"/>
            </w:rPr>
            <w:t>4</w:t>
          </w:r>
          <w:r>
            <w:rPr>
              <w:highlight w:val="none"/>
            </w:rPr>
            <w:fldChar w:fldCharType="end"/>
          </w:r>
          <w:r>
            <w:rPr>
              <w:rFonts w:hint="eastAsia" w:ascii="Times New Roman" w:hAnsi="Times New Roman"/>
              <w:highlight w:val="none"/>
            </w:rPr>
            <w:fldChar w:fldCharType="end"/>
          </w:r>
        </w:p>
        <w:p w14:paraId="6183A9A1">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_Toc7357 </w:instrText>
          </w:r>
          <w:r>
            <w:rPr>
              <w:rFonts w:hint="eastAsia" w:ascii="Times New Roman" w:hAnsi="Times New Roman"/>
              <w:highlight w:val="none"/>
            </w:rPr>
            <w:fldChar w:fldCharType="separate"/>
          </w:r>
          <w:r>
            <w:rPr>
              <w:rFonts w:hint="default" w:ascii="黑体" w:hAnsi="Times New Roman" w:eastAsia="黑体"/>
              <w:i w:val="0"/>
              <w:highlight w:val="none"/>
            </w:rPr>
            <w:t xml:space="preserve">7 </w:t>
          </w:r>
          <w:r>
            <w:rPr>
              <w:rFonts w:hint="eastAsia" w:ascii="Times New Roman" w:hAnsi="Times New Roman"/>
              <w:highlight w:val="none"/>
            </w:rPr>
            <w:t>施工管理</w:t>
          </w:r>
          <w:r>
            <w:rPr>
              <w:highlight w:val="none"/>
            </w:rPr>
            <w:tab/>
          </w:r>
          <w:r>
            <w:rPr>
              <w:highlight w:val="none"/>
            </w:rPr>
            <w:fldChar w:fldCharType="begin"/>
          </w:r>
          <w:r>
            <w:rPr>
              <w:highlight w:val="none"/>
            </w:rPr>
            <w:instrText xml:space="preserve"> PAGEREF _Toc7357 \h </w:instrText>
          </w:r>
          <w:r>
            <w:rPr>
              <w:highlight w:val="none"/>
            </w:rPr>
            <w:fldChar w:fldCharType="separate"/>
          </w:r>
          <w:r>
            <w:rPr>
              <w:highlight w:val="none"/>
            </w:rPr>
            <w:t>5</w:t>
          </w:r>
          <w:r>
            <w:rPr>
              <w:highlight w:val="none"/>
            </w:rPr>
            <w:fldChar w:fldCharType="end"/>
          </w:r>
          <w:r>
            <w:rPr>
              <w:rFonts w:hint="eastAsia" w:ascii="Times New Roman" w:hAnsi="Times New Roman"/>
              <w:highlight w:val="none"/>
            </w:rPr>
            <w:fldChar w:fldCharType="end"/>
          </w:r>
        </w:p>
        <w:p w14:paraId="17D72C74">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_Toc30111 </w:instrText>
          </w:r>
          <w:r>
            <w:rPr>
              <w:rFonts w:hint="eastAsia" w:ascii="Times New Roman" w:hAnsi="Times New Roman"/>
              <w:highlight w:val="none"/>
            </w:rPr>
            <w:fldChar w:fldCharType="separate"/>
          </w:r>
          <w:r>
            <w:rPr>
              <w:rFonts w:hint="default" w:ascii="黑体" w:hAnsi="Times New Roman" w:eastAsia="黑体"/>
              <w:i w:val="0"/>
              <w:highlight w:val="none"/>
            </w:rPr>
            <w:t xml:space="preserve">8 </w:t>
          </w:r>
          <w:r>
            <w:rPr>
              <w:rFonts w:hint="eastAsia" w:ascii="Times New Roman" w:hAnsi="Times New Roman"/>
              <w:highlight w:val="none"/>
              <w:lang w:val="en-US" w:eastAsia="zh-CN"/>
            </w:rPr>
            <w:t>安全</w:t>
          </w:r>
          <w:r>
            <w:rPr>
              <w:rFonts w:hint="eastAsia" w:ascii="Times New Roman" w:hAnsi="Times New Roman"/>
              <w:highlight w:val="none"/>
            </w:rPr>
            <w:t>管理</w:t>
          </w:r>
          <w:r>
            <w:rPr>
              <w:highlight w:val="none"/>
            </w:rPr>
            <w:tab/>
          </w:r>
          <w:r>
            <w:rPr>
              <w:highlight w:val="none"/>
            </w:rPr>
            <w:fldChar w:fldCharType="begin"/>
          </w:r>
          <w:r>
            <w:rPr>
              <w:highlight w:val="none"/>
            </w:rPr>
            <w:instrText xml:space="preserve"> PAGEREF _Toc30111 \h </w:instrText>
          </w:r>
          <w:r>
            <w:rPr>
              <w:highlight w:val="none"/>
            </w:rPr>
            <w:fldChar w:fldCharType="separate"/>
          </w:r>
          <w:r>
            <w:rPr>
              <w:highlight w:val="none"/>
            </w:rPr>
            <w:t>8</w:t>
          </w:r>
          <w:r>
            <w:rPr>
              <w:highlight w:val="none"/>
            </w:rPr>
            <w:fldChar w:fldCharType="end"/>
          </w:r>
          <w:r>
            <w:rPr>
              <w:rFonts w:hint="eastAsia" w:ascii="Times New Roman" w:hAnsi="Times New Roman"/>
              <w:highlight w:val="none"/>
            </w:rPr>
            <w:fldChar w:fldCharType="end"/>
          </w:r>
        </w:p>
        <w:p w14:paraId="52C2BFB6">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_Toc6184 </w:instrText>
          </w:r>
          <w:r>
            <w:rPr>
              <w:rFonts w:hint="eastAsia" w:ascii="Times New Roman" w:hAnsi="Times New Roman"/>
              <w:highlight w:val="none"/>
            </w:rPr>
            <w:fldChar w:fldCharType="separate"/>
          </w:r>
          <w:r>
            <w:rPr>
              <w:rFonts w:hint="default" w:ascii="黑体" w:hAnsi="Times New Roman" w:eastAsia="黑体"/>
              <w:i w:val="0"/>
              <w:highlight w:val="none"/>
            </w:rPr>
            <w:t xml:space="preserve">9 </w:t>
          </w:r>
          <w:r>
            <w:rPr>
              <w:rFonts w:hint="eastAsia" w:ascii="Times New Roman" w:hAnsi="Times New Roman"/>
              <w:highlight w:val="none"/>
            </w:rPr>
            <w:t>质量</w:t>
          </w:r>
          <w:r>
            <w:rPr>
              <w:rFonts w:ascii="Times New Roman" w:hAnsi="Times New Roman"/>
              <w:highlight w:val="none"/>
            </w:rPr>
            <w:t>管理</w:t>
          </w:r>
          <w:r>
            <w:rPr>
              <w:highlight w:val="none"/>
            </w:rPr>
            <w:tab/>
          </w:r>
          <w:r>
            <w:rPr>
              <w:highlight w:val="none"/>
            </w:rPr>
            <w:fldChar w:fldCharType="begin"/>
          </w:r>
          <w:r>
            <w:rPr>
              <w:highlight w:val="none"/>
            </w:rPr>
            <w:instrText xml:space="preserve"> PAGEREF _Toc6184 \h </w:instrText>
          </w:r>
          <w:r>
            <w:rPr>
              <w:highlight w:val="none"/>
            </w:rPr>
            <w:fldChar w:fldCharType="separate"/>
          </w:r>
          <w:r>
            <w:rPr>
              <w:highlight w:val="none"/>
            </w:rPr>
            <w:t>9</w:t>
          </w:r>
          <w:r>
            <w:rPr>
              <w:highlight w:val="none"/>
            </w:rPr>
            <w:fldChar w:fldCharType="end"/>
          </w:r>
          <w:r>
            <w:rPr>
              <w:rFonts w:hint="eastAsia" w:ascii="Times New Roman" w:hAnsi="Times New Roman"/>
              <w:highlight w:val="none"/>
            </w:rPr>
            <w:fldChar w:fldCharType="end"/>
          </w:r>
        </w:p>
        <w:p w14:paraId="62317429">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_Toc7471 </w:instrText>
          </w:r>
          <w:r>
            <w:rPr>
              <w:rFonts w:hint="eastAsia" w:ascii="Times New Roman" w:hAnsi="Times New Roman"/>
              <w:highlight w:val="none"/>
            </w:rPr>
            <w:fldChar w:fldCharType="separate"/>
          </w:r>
          <w:r>
            <w:rPr>
              <w:rFonts w:hint="default" w:ascii="黑体" w:hAnsi="Times New Roman" w:eastAsia="黑体"/>
              <w:i w:val="0"/>
              <w:highlight w:val="none"/>
            </w:rPr>
            <w:t xml:space="preserve">10 </w:t>
          </w:r>
          <w:r>
            <w:rPr>
              <w:rFonts w:hint="eastAsia" w:ascii="Times New Roman" w:hAnsi="Times New Roman"/>
              <w:highlight w:val="none"/>
            </w:rPr>
            <w:t>进度管理</w:t>
          </w:r>
          <w:r>
            <w:rPr>
              <w:highlight w:val="none"/>
            </w:rPr>
            <w:tab/>
          </w:r>
          <w:r>
            <w:rPr>
              <w:highlight w:val="none"/>
            </w:rPr>
            <w:fldChar w:fldCharType="begin"/>
          </w:r>
          <w:r>
            <w:rPr>
              <w:highlight w:val="none"/>
            </w:rPr>
            <w:instrText xml:space="preserve"> PAGEREF _Toc7471 \h </w:instrText>
          </w:r>
          <w:r>
            <w:rPr>
              <w:highlight w:val="none"/>
            </w:rPr>
            <w:fldChar w:fldCharType="separate"/>
          </w:r>
          <w:r>
            <w:rPr>
              <w:highlight w:val="none"/>
            </w:rPr>
            <w:t>10</w:t>
          </w:r>
          <w:r>
            <w:rPr>
              <w:highlight w:val="none"/>
            </w:rPr>
            <w:fldChar w:fldCharType="end"/>
          </w:r>
          <w:r>
            <w:rPr>
              <w:rFonts w:hint="eastAsia" w:ascii="Times New Roman" w:hAnsi="Times New Roman"/>
              <w:highlight w:val="none"/>
            </w:rPr>
            <w:fldChar w:fldCharType="end"/>
          </w:r>
        </w:p>
        <w:p w14:paraId="5307A3BE">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_Toc11173 </w:instrText>
          </w:r>
          <w:r>
            <w:rPr>
              <w:rFonts w:hint="eastAsia" w:ascii="Times New Roman" w:hAnsi="Times New Roman"/>
              <w:highlight w:val="none"/>
            </w:rPr>
            <w:fldChar w:fldCharType="separate"/>
          </w:r>
          <w:r>
            <w:rPr>
              <w:rFonts w:hint="default" w:ascii="黑体" w:hAnsi="Times New Roman" w:eastAsia="黑体"/>
              <w:i w:val="0"/>
              <w:highlight w:val="none"/>
            </w:rPr>
            <w:t xml:space="preserve">11 </w:t>
          </w:r>
          <w:r>
            <w:rPr>
              <w:rFonts w:hint="eastAsia" w:ascii="Times New Roman" w:hAnsi="Times New Roman"/>
              <w:highlight w:val="none"/>
              <w:lang w:val="en-US" w:eastAsia="zh-CN"/>
            </w:rPr>
            <w:t>造价</w:t>
          </w:r>
          <w:r>
            <w:rPr>
              <w:rFonts w:hint="eastAsia" w:ascii="Times New Roman" w:hAnsi="Times New Roman"/>
              <w:highlight w:val="none"/>
            </w:rPr>
            <w:t>管理</w:t>
          </w:r>
          <w:r>
            <w:rPr>
              <w:highlight w:val="none"/>
            </w:rPr>
            <w:tab/>
          </w:r>
          <w:r>
            <w:rPr>
              <w:highlight w:val="none"/>
            </w:rPr>
            <w:fldChar w:fldCharType="begin"/>
          </w:r>
          <w:r>
            <w:rPr>
              <w:highlight w:val="none"/>
            </w:rPr>
            <w:instrText xml:space="preserve"> PAGEREF _Toc11173 \h </w:instrText>
          </w:r>
          <w:r>
            <w:rPr>
              <w:highlight w:val="none"/>
            </w:rPr>
            <w:fldChar w:fldCharType="separate"/>
          </w:r>
          <w:r>
            <w:rPr>
              <w:highlight w:val="none"/>
            </w:rPr>
            <w:t>10</w:t>
          </w:r>
          <w:r>
            <w:rPr>
              <w:highlight w:val="none"/>
            </w:rPr>
            <w:fldChar w:fldCharType="end"/>
          </w:r>
          <w:r>
            <w:rPr>
              <w:rFonts w:hint="eastAsia" w:ascii="Times New Roman" w:hAnsi="Times New Roman"/>
              <w:highlight w:val="none"/>
            </w:rPr>
            <w:fldChar w:fldCharType="end"/>
          </w:r>
        </w:p>
        <w:p w14:paraId="0B313B6A">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_Toc15702 </w:instrText>
          </w:r>
          <w:r>
            <w:rPr>
              <w:rFonts w:hint="eastAsia" w:ascii="Times New Roman" w:hAnsi="Times New Roman"/>
              <w:highlight w:val="none"/>
            </w:rPr>
            <w:fldChar w:fldCharType="separate"/>
          </w:r>
          <w:r>
            <w:rPr>
              <w:rFonts w:hint="default" w:ascii="黑体" w:hAnsi="Times New Roman" w:eastAsia="黑体"/>
              <w:i w:val="0"/>
              <w:highlight w:val="none"/>
            </w:rPr>
            <w:t xml:space="preserve">12 </w:t>
          </w:r>
          <w:r>
            <w:rPr>
              <w:rFonts w:hint="eastAsia" w:ascii="Times New Roman" w:hAnsi="Times New Roman"/>
              <w:highlight w:val="none"/>
            </w:rPr>
            <w:t>环境管理</w:t>
          </w:r>
          <w:r>
            <w:rPr>
              <w:highlight w:val="none"/>
            </w:rPr>
            <w:tab/>
          </w:r>
          <w:r>
            <w:rPr>
              <w:highlight w:val="none"/>
            </w:rPr>
            <w:fldChar w:fldCharType="begin"/>
          </w:r>
          <w:r>
            <w:rPr>
              <w:highlight w:val="none"/>
            </w:rPr>
            <w:instrText xml:space="preserve"> PAGEREF _Toc15702 \h </w:instrText>
          </w:r>
          <w:r>
            <w:rPr>
              <w:highlight w:val="none"/>
            </w:rPr>
            <w:fldChar w:fldCharType="separate"/>
          </w:r>
          <w:r>
            <w:rPr>
              <w:highlight w:val="none"/>
            </w:rPr>
            <w:t>11</w:t>
          </w:r>
          <w:r>
            <w:rPr>
              <w:highlight w:val="none"/>
            </w:rPr>
            <w:fldChar w:fldCharType="end"/>
          </w:r>
          <w:r>
            <w:rPr>
              <w:rFonts w:hint="eastAsia" w:ascii="Times New Roman" w:hAnsi="Times New Roman"/>
              <w:highlight w:val="none"/>
            </w:rPr>
            <w:fldChar w:fldCharType="end"/>
          </w:r>
        </w:p>
        <w:p w14:paraId="4183F97E">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_Toc20473 </w:instrText>
          </w:r>
          <w:r>
            <w:rPr>
              <w:rFonts w:hint="eastAsia" w:ascii="Times New Roman" w:hAnsi="Times New Roman"/>
              <w:highlight w:val="none"/>
            </w:rPr>
            <w:fldChar w:fldCharType="separate"/>
          </w:r>
          <w:r>
            <w:rPr>
              <w:rFonts w:hint="default" w:ascii="黑体" w:eastAsia="黑体"/>
              <w:i w:val="0"/>
              <w:highlight w:val="none"/>
            </w:rPr>
            <w:t xml:space="preserve">13 </w:t>
          </w:r>
          <w:r>
            <w:rPr>
              <w:rFonts w:hint="eastAsia"/>
              <w:highlight w:val="none"/>
            </w:rPr>
            <w:t>数字化档案移交</w:t>
          </w:r>
          <w:r>
            <w:rPr>
              <w:highlight w:val="none"/>
            </w:rPr>
            <w:tab/>
          </w:r>
          <w:r>
            <w:rPr>
              <w:highlight w:val="none"/>
            </w:rPr>
            <w:fldChar w:fldCharType="begin"/>
          </w:r>
          <w:r>
            <w:rPr>
              <w:highlight w:val="none"/>
            </w:rPr>
            <w:instrText xml:space="preserve"> PAGEREF _Toc20473 \h </w:instrText>
          </w:r>
          <w:r>
            <w:rPr>
              <w:highlight w:val="none"/>
            </w:rPr>
            <w:fldChar w:fldCharType="separate"/>
          </w:r>
          <w:r>
            <w:rPr>
              <w:highlight w:val="none"/>
            </w:rPr>
            <w:t>12</w:t>
          </w:r>
          <w:r>
            <w:rPr>
              <w:highlight w:val="none"/>
            </w:rPr>
            <w:fldChar w:fldCharType="end"/>
          </w:r>
          <w:r>
            <w:rPr>
              <w:rFonts w:hint="eastAsia" w:ascii="Times New Roman" w:hAnsi="Times New Roman"/>
              <w:highlight w:val="none"/>
            </w:rPr>
            <w:fldChar w:fldCharType="end"/>
          </w:r>
        </w:p>
        <w:p w14:paraId="765EB280">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_Toc1052 </w:instrText>
          </w:r>
          <w:r>
            <w:rPr>
              <w:rFonts w:hint="eastAsia" w:ascii="Times New Roman" w:hAnsi="Times New Roman"/>
              <w:highlight w:val="none"/>
            </w:rPr>
            <w:fldChar w:fldCharType="separate"/>
          </w:r>
          <w:r>
            <w:rPr>
              <w:rFonts w:hint="eastAsia" w:ascii="黑体" w:hAnsi="Times New Roman" w:eastAsia="黑体"/>
              <w:kern w:val="0"/>
              <w:szCs w:val="20"/>
              <w:highlight w:val="none"/>
            </w:rPr>
            <w:t>附  录  A</w:t>
          </w:r>
          <w:r>
            <w:rPr>
              <w:rFonts w:ascii="黑体" w:hAnsi="Times New Roman" w:eastAsia="黑体"/>
              <w:kern w:val="0"/>
              <w:szCs w:val="20"/>
              <w:highlight w:val="none"/>
            </w:rPr>
            <w:t xml:space="preserve"> </w:t>
          </w:r>
          <w:r>
            <w:rPr>
              <w:rFonts w:hint="eastAsia" w:ascii="黑体" w:hAnsi="Times New Roman" w:eastAsia="黑体"/>
              <w:kern w:val="0"/>
              <w:szCs w:val="20"/>
              <w:highlight w:val="none"/>
            </w:rPr>
            <w:t>（规范性）</w:t>
          </w:r>
          <w:r>
            <w:rPr>
              <w:rFonts w:ascii="黑体" w:hAnsi="Times New Roman" w:eastAsia="黑体"/>
              <w:kern w:val="0"/>
              <w:szCs w:val="20"/>
              <w:highlight w:val="none"/>
            </w:rPr>
            <w:t xml:space="preserve"> </w:t>
          </w:r>
          <w:r>
            <w:rPr>
              <w:rFonts w:hint="eastAsia" w:ascii="黑体" w:hAnsi="Times New Roman" w:eastAsia="黑体"/>
              <w:kern w:val="0"/>
              <w:szCs w:val="21"/>
              <w:highlight w:val="none"/>
            </w:rPr>
            <w:t>典型应用与系统架构</w:t>
          </w:r>
          <w:r>
            <w:rPr>
              <w:highlight w:val="none"/>
            </w:rPr>
            <w:tab/>
          </w:r>
          <w:r>
            <w:rPr>
              <w:highlight w:val="none"/>
            </w:rPr>
            <w:fldChar w:fldCharType="begin"/>
          </w:r>
          <w:r>
            <w:rPr>
              <w:highlight w:val="none"/>
            </w:rPr>
            <w:instrText xml:space="preserve"> PAGEREF _Toc1052 \h </w:instrText>
          </w:r>
          <w:r>
            <w:rPr>
              <w:highlight w:val="none"/>
            </w:rPr>
            <w:fldChar w:fldCharType="separate"/>
          </w:r>
          <w:r>
            <w:rPr>
              <w:highlight w:val="none"/>
            </w:rPr>
            <w:t>13</w:t>
          </w:r>
          <w:r>
            <w:rPr>
              <w:highlight w:val="none"/>
            </w:rPr>
            <w:fldChar w:fldCharType="end"/>
          </w:r>
          <w:r>
            <w:rPr>
              <w:rFonts w:hint="eastAsia" w:ascii="Times New Roman" w:hAnsi="Times New Roman"/>
              <w:highlight w:val="none"/>
            </w:rPr>
            <w:fldChar w:fldCharType="end"/>
          </w:r>
        </w:p>
        <w:p w14:paraId="11116847">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_Toc6657 </w:instrText>
          </w:r>
          <w:r>
            <w:rPr>
              <w:rFonts w:hint="eastAsia" w:ascii="Times New Roman" w:hAnsi="Times New Roman"/>
              <w:highlight w:val="none"/>
            </w:rPr>
            <w:fldChar w:fldCharType="separate"/>
          </w:r>
          <w:r>
            <w:rPr>
              <w:rFonts w:hint="eastAsia" w:ascii="黑体" w:hAnsi="Times New Roman" w:eastAsia="黑体"/>
              <w:kern w:val="0"/>
              <w:szCs w:val="20"/>
              <w:highlight w:val="none"/>
            </w:rPr>
            <w:t>附  录  B （</w:t>
          </w:r>
          <w:r>
            <w:rPr>
              <w:rFonts w:hint="eastAsia" w:ascii="黑体" w:hAnsi="Times New Roman" w:eastAsia="黑体"/>
              <w:kern w:val="0"/>
              <w:szCs w:val="20"/>
              <w:highlight w:val="none"/>
              <w:lang w:val="en-US" w:eastAsia="zh-CN"/>
            </w:rPr>
            <w:t>规范</w:t>
          </w:r>
          <w:r>
            <w:rPr>
              <w:rFonts w:hint="eastAsia" w:ascii="黑体" w:hAnsi="Times New Roman" w:eastAsia="黑体"/>
              <w:kern w:val="0"/>
              <w:szCs w:val="20"/>
              <w:highlight w:val="none"/>
            </w:rPr>
            <w:t>性） 基础设施配置清单</w:t>
          </w:r>
          <w:r>
            <w:rPr>
              <w:highlight w:val="none"/>
            </w:rPr>
            <w:tab/>
          </w:r>
          <w:r>
            <w:rPr>
              <w:highlight w:val="none"/>
            </w:rPr>
            <w:fldChar w:fldCharType="begin"/>
          </w:r>
          <w:r>
            <w:rPr>
              <w:highlight w:val="none"/>
            </w:rPr>
            <w:instrText xml:space="preserve"> PAGEREF _Toc6657 \h </w:instrText>
          </w:r>
          <w:r>
            <w:rPr>
              <w:highlight w:val="none"/>
            </w:rPr>
            <w:fldChar w:fldCharType="separate"/>
          </w:r>
          <w:r>
            <w:rPr>
              <w:highlight w:val="none"/>
            </w:rPr>
            <w:t>15</w:t>
          </w:r>
          <w:r>
            <w:rPr>
              <w:highlight w:val="none"/>
            </w:rPr>
            <w:fldChar w:fldCharType="end"/>
          </w:r>
          <w:r>
            <w:rPr>
              <w:rFonts w:hint="eastAsia" w:ascii="Times New Roman" w:hAnsi="Times New Roman"/>
              <w:highlight w:val="none"/>
            </w:rPr>
            <w:fldChar w:fldCharType="end"/>
          </w:r>
        </w:p>
        <w:p w14:paraId="5B75E044">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_Toc7701 </w:instrText>
          </w:r>
          <w:r>
            <w:rPr>
              <w:rFonts w:hint="eastAsia" w:ascii="Times New Roman" w:hAnsi="Times New Roman"/>
              <w:highlight w:val="none"/>
            </w:rPr>
            <w:fldChar w:fldCharType="separate"/>
          </w:r>
          <w:r>
            <w:rPr>
              <w:rFonts w:hint="eastAsia" w:ascii="黑体" w:hAnsi="Times New Roman" w:eastAsia="黑体"/>
              <w:kern w:val="0"/>
              <w:szCs w:val="20"/>
              <w:highlight w:val="none"/>
            </w:rPr>
            <w:t>附  录  C</w:t>
          </w:r>
          <w:r>
            <w:rPr>
              <w:rFonts w:ascii="黑体" w:hAnsi="Times New Roman" w:eastAsia="黑体"/>
              <w:kern w:val="0"/>
              <w:szCs w:val="20"/>
              <w:highlight w:val="none"/>
            </w:rPr>
            <w:t xml:space="preserve"> </w:t>
          </w:r>
          <w:r>
            <w:rPr>
              <w:rFonts w:hint="eastAsia" w:ascii="黑体" w:hAnsi="Times New Roman" w:eastAsia="黑体"/>
              <w:kern w:val="0"/>
              <w:szCs w:val="20"/>
              <w:highlight w:val="none"/>
            </w:rPr>
            <w:t>（规范性）</w:t>
          </w:r>
          <w:r>
            <w:rPr>
              <w:rFonts w:ascii="黑体" w:hAnsi="Times New Roman" w:eastAsia="黑体"/>
              <w:kern w:val="0"/>
              <w:szCs w:val="20"/>
              <w:highlight w:val="none"/>
            </w:rPr>
            <w:t xml:space="preserve"> </w:t>
          </w:r>
          <w:r>
            <w:rPr>
              <w:rFonts w:hint="eastAsia" w:ascii="黑体" w:hAnsi="Times New Roman" w:eastAsia="黑体"/>
              <w:kern w:val="0"/>
              <w:szCs w:val="21"/>
              <w:highlight w:val="none"/>
            </w:rPr>
            <w:t>系统部署安装与运行维护</w:t>
          </w:r>
          <w:r>
            <w:rPr>
              <w:highlight w:val="none"/>
            </w:rPr>
            <w:tab/>
          </w:r>
          <w:r>
            <w:rPr>
              <w:highlight w:val="none"/>
            </w:rPr>
            <w:fldChar w:fldCharType="begin"/>
          </w:r>
          <w:r>
            <w:rPr>
              <w:highlight w:val="none"/>
            </w:rPr>
            <w:instrText xml:space="preserve"> PAGEREF _Toc7701 \h </w:instrText>
          </w:r>
          <w:r>
            <w:rPr>
              <w:highlight w:val="none"/>
            </w:rPr>
            <w:fldChar w:fldCharType="separate"/>
          </w:r>
          <w:r>
            <w:rPr>
              <w:highlight w:val="none"/>
            </w:rPr>
            <w:t>16</w:t>
          </w:r>
          <w:r>
            <w:rPr>
              <w:highlight w:val="none"/>
            </w:rPr>
            <w:fldChar w:fldCharType="end"/>
          </w:r>
          <w:r>
            <w:rPr>
              <w:rFonts w:hint="eastAsia" w:ascii="Times New Roman" w:hAnsi="Times New Roman"/>
              <w:highlight w:val="none"/>
            </w:rPr>
            <w:fldChar w:fldCharType="end"/>
          </w:r>
        </w:p>
        <w:p w14:paraId="5D7FEFE5">
          <w:pPr>
            <w:pStyle w:val="25"/>
            <w:tabs>
              <w:tab w:val="right" w:leader="dot" w:pos="9355"/>
            </w:tabs>
            <w:rPr>
              <w:highlight w:val="none"/>
            </w:rPr>
          </w:pPr>
          <w:r>
            <w:rPr>
              <w:rFonts w:hint="eastAsia" w:ascii="Times New Roman" w:hAnsi="Times New Roman"/>
              <w:highlight w:val="none"/>
            </w:rPr>
            <w:fldChar w:fldCharType="begin"/>
          </w:r>
          <w:r>
            <w:rPr>
              <w:rFonts w:hint="eastAsia" w:ascii="Times New Roman" w:hAnsi="Times New Roman"/>
              <w:highlight w:val="none"/>
            </w:rPr>
            <w:instrText xml:space="preserve"> HYPERLINK \l _Toc27268 </w:instrText>
          </w:r>
          <w:r>
            <w:rPr>
              <w:rFonts w:hint="eastAsia" w:ascii="Times New Roman" w:hAnsi="Times New Roman"/>
              <w:highlight w:val="none"/>
            </w:rPr>
            <w:fldChar w:fldCharType="separate"/>
          </w:r>
          <w:r>
            <w:rPr>
              <w:rFonts w:hint="eastAsia" w:ascii="黑体" w:hAnsi="Times New Roman" w:eastAsia="黑体"/>
              <w:kern w:val="0"/>
              <w:szCs w:val="20"/>
              <w:highlight w:val="none"/>
            </w:rPr>
            <w:t xml:space="preserve">附  录  </w:t>
          </w:r>
          <w:r>
            <w:rPr>
              <w:rFonts w:hint="eastAsia" w:ascii="黑体" w:hAnsi="Times New Roman" w:eastAsia="黑体"/>
              <w:kern w:val="0"/>
              <w:szCs w:val="20"/>
              <w:highlight w:val="none"/>
              <w:lang w:val="en-US" w:eastAsia="zh-CN"/>
            </w:rPr>
            <w:t>D</w:t>
          </w:r>
          <w:r>
            <w:rPr>
              <w:rFonts w:ascii="黑体" w:hAnsi="Times New Roman" w:eastAsia="黑体"/>
              <w:kern w:val="0"/>
              <w:szCs w:val="20"/>
              <w:highlight w:val="none"/>
            </w:rPr>
            <w:t xml:space="preserve"> </w:t>
          </w:r>
          <w:r>
            <w:rPr>
              <w:rFonts w:hint="eastAsia" w:ascii="黑体" w:hAnsi="Times New Roman" w:eastAsia="黑体"/>
              <w:kern w:val="0"/>
              <w:szCs w:val="20"/>
              <w:highlight w:val="none"/>
            </w:rPr>
            <w:t>（规范性）</w:t>
          </w:r>
          <w:r>
            <w:rPr>
              <w:rFonts w:ascii="黑体" w:hAnsi="Times New Roman" w:eastAsia="黑体"/>
              <w:kern w:val="0"/>
              <w:szCs w:val="20"/>
              <w:highlight w:val="none"/>
            </w:rPr>
            <w:t xml:space="preserve"> </w:t>
          </w:r>
          <w:r>
            <w:rPr>
              <w:rFonts w:hint="eastAsia" w:ascii="黑体" w:hAnsi="Times New Roman" w:eastAsia="黑体"/>
              <w:kern w:val="0"/>
              <w:szCs w:val="21"/>
              <w:highlight w:val="none"/>
              <w:lang w:val="en-US" w:eastAsia="zh-CN"/>
            </w:rPr>
            <w:t>工程施工质量管理标准</w:t>
          </w:r>
          <w:r>
            <w:rPr>
              <w:highlight w:val="none"/>
            </w:rPr>
            <w:tab/>
          </w:r>
          <w:r>
            <w:rPr>
              <w:highlight w:val="none"/>
            </w:rPr>
            <w:fldChar w:fldCharType="begin"/>
          </w:r>
          <w:r>
            <w:rPr>
              <w:highlight w:val="none"/>
            </w:rPr>
            <w:instrText xml:space="preserve"> PAGEREF _Toc27268 \h </w:instrText>
          </w:r>
          <w:r>
            <w:rPr>
              <w:highlight w:val="none"/>
            </w:rPr>
            <w:fldChar w:fldCharType="separate"/>
          </w:r>
          <w:r>
            <w:rPr>
              <w:highlight w:val="none"/>
            </w:rPr>
            <w:t>17</w:t>
          </w:r>
          <w:r>
            <w:rPr>
              <w:highlight w:val="none"/>
            </w:rPr>
            <w:fldChar w:fldCharType="end"/>
          </w:r>
          <w:r>
            <w:rPr>
              <w:rFonts w:hint="eastAsia" w:ascii="Times New Roman" w:hAnsi="Times New Roman"/>
              <w:highlight w:val="none"/>
            </w:rPr>
            <w:fldChar w:fldCharType="end"/>
          </w:r>
        </w:p>
        <w:p w14:paraId="22B06E43">
          <w:pPr>
            <w:spacing w:before="480" w:after="477" w:afterLines="150"/>
            <w:jc w:val="center"/>
            <w:outlineLvl w:val="0"/>
            <w:rPr>
              <w:rFonts w:ascii="Times New Roman" w:hAnsi="Times New Roman"/>
              <w:highlight w:val="none"/>
            </w:rPr>
            <w:sectPr>
              <w:footerReference r:id="rId4" w:type="default"/>
              <w:pgSz w:w="11906" w:h="16838"/>
              <w:pgMar w:top="1701" w:right="1134" w:bottom="1134" w:left="1417" w:header="851" w:footer="850" w:gutter="0"/>
              <w:pgNumType w:fmt="upperRoman"/>
              <w:cols w:space="0" w:num="1"/>
              <w:docGrid w:type="lines" w:linePitch="318" w:charSpace="0"/>
            </w:sectPr>
          </w:pPr>
          <w:r>
            <w:rPr>
              <w:rFonts w:hint="eastAsia" w:ascii="Times New Roman" w:hAnsi="Times New Roman"/>
              <w:highlight w:val="none"/>
            </w:rPr>
            <w:fldChar w:fldCharType="end"/>
          </w:r>
        </w:p>
      </w:sdtContent>
    </w:sdt>
    <w:p w14:paraId="476B9225">
      <w:pPr>
        <w:pStyle w:val="108"/>
        <w:rPr>
          <w:rFonts w:ascii="Times New Roman"/>
          <w:highlight w:val="none"/>
        </w:rPr>
      </w:pPr>
      <w:bookmarkStart w:id="22" w:name="_Toc21495"/>
      <w:bookmarkStart w:id="23" w:name="_Toc190350362"/>
      <w:bookmarkStart w:id="24" w:name="_Toc18001"/>
      <w:bookmarkStart w:id="25" w:name="_Toc13261"/>
      <w:bookmarkStart w:id="26" w:name="_Toc30259"/>
      <w:bookmarkStart w:id="27" w:name="_Toc29158"/>
      <w:bookmarkStart w:id="28" w:name="_Toc28638"/>
      <w:bookmarkStart w:id="29" w:name="_Toc20607"/>
      <w:r>
        <w:rPr>
          <w:rFonts w:hint="eastAsia" w:ascii="Times New Roman"/>
          <w:highlight w:val="none"/>
        </w:rPr>
        <w:t>前  言</w:t>
      </w:r>
      <w:bookmarkEnd w:id="22"/>
      <w:bookmarkEnd w:id="23"/>
      <w:bookmarkEnd w:id="24"/>
      <w:bookmarkEnd w:id="25"/>
      <w:bookmarkEnd w:id="26"/>
      <w:bookmarkEnd w:id="27"/>
      <w:bookmarkEnd w:id="28"/>
    </w:p>
    <w:p w14:paraId="46467331">
      <w:pPr>
        <w:pStyle w:val="113"/>
        <w:ind w:firstLine="420"/>
        <w:rPr>
          <w:highlight w:val="none"/>
        </w:rPr>
      </w:pPr>
      <w:r>
        <w:rPr>
          <w:rFonts w:hint="eastAsia"/>
          <w:highlight w:val="none"/>
        </w:rPr>
        <w:t>本文件按照GB/T 1.1—2020《标准化工作导则 第1部分：标准化文件的结构和起草规则》的规定起草。</w:t>
      </w:r>
    </w:p>
    <w:p w14:paraId="2670C2A2">
      <w:pPr>
        <w:pStyle w:val="113"/>
        <w:ind w:firstLine="420"/>
        <w:rPr>
          <w:highlight w:val="none"/>
        </w:rPr>
      </w:pPr>
      <w:r>
        <w:rPr>
          <w:rFonts w:hint="eastAsia"/>
          <w:highlight w:val="none"/>
        </w:rPr>
        <w:t>请注意本文件的某些内容可能涉及专利。本文件的发布机构不承担识别专利的责任。</w:t>
      </w:r>
    </w:p>
    <w:p w14:paraId="34F70A30">
      <w:pPr>
        <w:pStyle w:val="113"/>
        <w:ind w:firstLine="420"/>
        <w:rPr>
          <w:highlight w:val="none"/>
        </w:rPr>
      </w:pPr>
      <w:r>
        <w:rPr>
          <w:rFonts w:hint="eastAsia"/>
          <w:highlight w:val="none"/>
        </w:rPr>
        <w:t>本文件由中国电力建设企业协会提出。</w:t>
      </w:r>
    </w:p>
    <w:p w14:paraId="0EA3A3F6">
      <w:pPr>
        <w:pStyle w:val="113"/>
        <w:ind w:firstLine="420"/>
        <w:rPr>
          <w:highlight w:val="none"/>
        </w:rPr>
      </w:pPr>
      <w:r>
        <w:rPr>
          <w:rFonts w:hint="eastAsia"/>
          <w:highlight w:val="none"/>
        </w:rPr>
        <w:t>本文件由中国电力建设企业协会归口。</w:t>
      </w:r>
    </w:p>
    <w:p w14:paraId="6162D43E">
      <w:pPr>
        <w:pStyle w:val="113"/>
        <w:ind w:firstLine="420"/>
        <w:rPr>
          <w:rFonts w:hint="default"/>
          <w:highlight w:val="none"/>
          <w:lang w:val="en-US" w:eastAsia="zh-CN"/>
        </w:rPr>
      </w:pPr>
      <w:r>
        <w:rPr>
          <w:rFonts w:hint="eastAsia"/>
          <w:highlight w:val="none"/>
        </w:rPr>
        <w:t>本文件起草单位：</w:t>
      </w:r>
    </w:p>
    <w:p w14:paraId="79FD9F3A">
      <w:pPr>
        <w:pStyle w:val="113"/>
        <w:ind w:firstLine="420"/>
        <w:rPr>
          <w:rFonts w:hint="default" w:eastAsia="宋体"/>
          <w:highlight w:val="none"/>
          <w:lang w:val="en-US" w:eastAsia="zh-CN"/>
        </w:rPr>
      </w:pPr>
      <w:r>
        <w:rPr>
          <w:rFonts w:hint="eastAsia"/>
          <w:highlight w:val="none"/>
        </w:rPr>
        <w:t>本文件主要起草人：</w:t>
      </w:r>
    </w:p>
    <w:p w14:paraId="7F2169C6">
      <w:pPr>
        <w:pStyle w:val="113"/>
        <w:ind w:firstLine="420"/>
        <w:rPr>
          <w:rFonts w:hint="default"/>
          <w:highlight w:val="none"/>
          <w:lang w:val="en-US" w:eastAsia="zh-CN"/>
        </w:rPr>
      </w:pPr>
      <w:r>
        <w:rPr>
          <w:rFonts w:hint="eastAsia"/>
          <w:highlight w:val="none"/>
        </w:rPr>
        <w:t>本文件主要审查人：</w:t>
      </w:r>
    </w:p>
    <w:p w14:paraId="5E4DC69B">
      <w:pPr>
        <w:pStyle w:val="113"/>
        <w:ind w:firstLine="420"/>
        <w:rPr>
          <w:rFonts w:hint="eastAsia"/>
          <w:highlight w:val="none"/>
        </w:rPr>
      </w:pPr>
      <w:r>
        <w:rPr>
          <w:rFonts w:hint="eastAsia"/>
          <w:highlight w:val="none"/>
        </w:rPr>
        <w:t>本文件在执行过程中的意见或建议反馈至中国电力建设企业协会（地址：北京市丰台区西四环南路35号中都科技大厦3层，100071）。</w:t>
      </w:r>
    </w:p>
    <w:p w14:paraId="0D318631">
      <w:pPr>
        <w:widowControl/>
        <w:jc w:val="left"/>
        <w:rPr>
          <w:rFonts w:ascii="Times New Roman" w:hAnsi="Times New Roman"/>
          <w:highlight w:val="none"/>
        </w:rPr>
      </w:pPr>
    </w:p>
    <w:p w14:paraId="29E688D7">
      <w:pPr>
        <w:pStyle w:val="113"/>
        <w:ind w:firstLine="420"/>
        <w:rPr>
          <w:highlight w:val="none"/>
        </w:rPr>
      </w:pPr>
    </w:p>
    <w:p w14:paraId="6892F0E2">
      <w:pPr>
        <w:pStyle w:val="113"/>
        <w:ind w:firstLine="420"/>
        <w:rPr>
          <w:highlight w:val="none"/>
        </w:rPr>
      </w:pPr>
    </w:p>
    <w:p w14:paraId="40590984">
      <w:pPr>
        <w:pStyle w:val="113"/>
        <w:ind w:firstLine="420"/>
        <w:rPr>
          <w:highlight w:val="none"/>
        </w:rPr>
      </w:pPr>
    </w:p>
    <w:p w14:paraId="488E0B6F">
      <w:pPr>
        <w:pStyle w:val="113"/>
        <w:ind w:firstLine="420"/>
        <w:rPr>
          <w:highlight w:val="none"/>
        </w:rPr>
      </w:pPr>
    </w:p>
    <w:p w14:paraId="311EC8E8">
      <w:pPr>
        <w:pStyle w:val="113"/>
        <w:ind w:firstLine="420"/>
        <w:rPr>
          <w:highlight w:val="none"/>
        </w:rPr>
        <w:sectPr>
          <w:footerReference r:id="rId5" w:type="default"/>
          <w:pgSz w:w="11906" w:h="16838"/>
          <w:pgMar w:top="1701" w:right="1134" w:bottom="1134" w:left="1417" w:header="851" w:footer="850" w:gutter="0"/>
          <w:pgNumType w:fmt="upperRoman" w:start="1"/>
          <w:cols w:space="0" w:num="1"/>
          <w:docGrid w:type="lines" w:linePitch="318" w:charSpace="0"/>
        </w:sectPr>
      </w:pPr>
    </w:p>
    <w:bookmarkEnd w:id="29"/>
    <w:p w14:paraId="4582FDD4">
      <w:pPr>
        <w:pStyle w:val="119"/>
        <w:rPr>
          <w:rFonts w:hint="default"/>
          <w:highlight w:val="none"/>
        </w:rPr>
      </w:pPr>
      <w:r>
        <w:rPr>
          <w:rFonts w:hint="eastAsia"/>
          <w:highlight w:val="none"/>
          <w:lang w:val="en-US" w:eastAsia="zh-CN"/>
        </w:rPr>
        <w:t>配电网</w:t>
      </w:r>
      <w:r>
        <w:rPr>
          <w:highlight w:val="none"/>
        </w:rPr>
        <w:t>工程智慧工地技术规范</w:t>
      </w:r>
    </w:p>
    <w:p w14:paraId="574694D7">
      <w:pPr>
        <w:pStyle w:val="85"/>
        <w:spacing w:before="312" w:after="312"/>
        <w:rPr>
          <w:rFonts w:ascii="Times New Roman" w:hAnsi="Times New Roman"/>
          <w:highlight w:val="none"/>
        </w:rPr>
      </w:pPr>
      <w:bookmarkStart w:id="30" w:name="_Toc30469"/>
      <w:bookmarkStart w:id="31" w:name="_Toc20154"/>
      <w:bookmarkStart w:id="32" w:name="_Toc190350364"/>
      <w:bookmarkStart w:id="33" w:name="_Toc28900"/>
      <w:bookmarkStart w:id="34" w:name="_Toc2548"/>
      <w:bookmarkStart w:id="35" w:name="_Toc1449"/>
      <w:r>
        <w:rPr>
          <w:rFonts w:hint="eastAsia" w:ascii="Times New Roman" w:hAnsi="Times New Roman"/>
          <w:highlight w:val="none"/>
        </w:rPr>
        <w:t>范围</w:t>
      </w:r>
      <w:bookmarkEnd w:id="30"/>
      <w:bookmarkEnd w:id="31"/>
      <w:bookmarkEnd w:id="32"/>
      <w:bookmarkEnd w:id="33"/>
      <w:bookmarkEnd w:id="34"/>
      <w:bookmarkEnd w:id="35"/>
    </w:p>
    <w:p w14:paraId="78244B24">
      <w:pPr>
        <w:widowControl/>
        <w:autoSpaceDE w:val="0"/>
        <w:autoSpaceDN w:val="0"/>
        <w:ind w:firstLine="420" w:firstLineChars="200"/>
        <w:rPr>
          <w:rFonts w:ascii="Times New Roman" w:hAnsi="Times New Roman"/>
          <w:kern w:val="0"/>
          <w:szCs w:val="20"/>
          <w:highlight w:val="none"/>
        </w:rPr>
      </w:pPr>
      <w:r>
        <w:rPr>
          <w:rFonts w:hint="eastAsia" w:ascii="Times New Roman" w:hAnsi="Times New Roman"/>
          <w:kern w:val="0"/>
          <w:szCs w:val="20"/>
          <w:highlight w:val="none"/>
        </w:rPr>
        <w:t>本文件规定了</w:t>
      </w:r>
      <w:r>
        <w:rPr>
          <w:rFonts w:hint="eastAsia" w:ascii="Times New Roman" w:hAnsi="Times New Roman"/>
          <w:kern w:val="0"/>
          <w:szCs w:val="20"/>
          <w:highlight w:val="none"/>
          <w:lang w:eastAsia="zh-CN"/>
        </w:rPr>
        <w:t>配电网</w:t>
      </w:r>
      <w:r>
        <w:rPr>
          <w:rFonts w:hint="eastAsia" w:ascii="Times New Roman" w:hAnsi="Times New Roman"/>
          <w:kern w:val="0"/>
          <w:szCs w:val="20"/>
          <w:highlight w:val="none"/>
        </w:rPr>
        <w:t>工程智慧工地的总体原则、管理要求、典型数字化应用及相关软件系统、硬件设备的部署安装与运行维护要求。</w:t>
      </w:r>
    </w:p>
    <w:p w14:paraId="040D9452">
      <w:pPr>
        <w:widowControl/>
        <w:autoSpaceDE w:val="0"/>
        <w:autoSpaceDN w:val="0"/>
        <w:ind w:firstLine="420" w:firstLineChars="200"/>
        <w:rPr>
          <w:rFonts w:ascii="Times New Roman" w:hAnsi="Times New Roman"/>
          <w:kern w:val="0"/>
          <w:szCs w:val="20"/>
          <w:highlight w:val="none"/>
        </w:rPr>
      </w:pPr>
      <w:r>
        <w:rPr>
          <w:rFonts w:hint="eastAsia" w:ascii="Times New Roman" w:hAnsi="Times New Roman"/>
          <w:kern w:val="0"/>
          <w:szCs w:val="20"/>
          <w:highlight w:val="none"/>
        </w:rPr>
        <w:t>本文件适用于新建、扩建和改建的</w:t>
      </w:r>
      <w:r>
        <w:rPr>
          <w:rFonts w:hint="eastAsia" w:ascii="Times New Roman" w:hAnsi="Times New Roman"/>
          <w:kern w:val="0"/>
          <w:szCs w:val="20"/>
          <w:highlight w:val="none"/>
          <w:lang w:eastAsia="zh-CN"/>
        </w:rPr>
        <w:t>配电网</w:t>
      </w:r>
      <w:r>
        <w:rPr>
          <w:rFonts w:hint="eastAsia" w:ascii="Times New Roman" w:hAnsi="Times New Roman"/>
          <w:kern w:val="0"/>
          <w:szCs w:val="20"/>
          <w:highlight w:val="none"/>
        </w:rPr>
        <w:t>工程智慧工地建设。</w:t>
      </w:r>
    </w:p>
    <w:p w14:paraId="45E82989">
      <w:pPr>
        <w:pStyle w:val="85"/>
        <w:spacing w:before="312" w:after="312"/>
        <w:rPr>
          <w:rFonts w:ascii="Times New Roman" w:hAnsi="Times New Roman"/>
          <w:highlight w:val="none"/>
        </w:rPr>
      </w:pPr>
      <w:bookmarkStart w:id="36" w:name="_Toc27484"/>
      <w:bookmarkStart w:id="37" w:name="_Toc6966"/>
      <w:bookmarkStart w:id="38" w:name="_Toc190350365"/>
      <w:bookmarkStart w:id="39" w:name="_Toc28324"/>
      <w:bookmarkStart w:id="40" w:name="_Toc27131"/>
      <w:bookmarkStart w:id="41" w:name="_Toc32217"/>
      <w:r>
        <w:rPr>
          <w:rFonts w:hint="eastAsia" w:ascii="Times New Roman" w:hAnsi="Times New Roman"/>
          <w:highlight w:val="none"/>
        </w:rPr>
        <w:t>规范性引用文件</w:t>
      </w:r>
      <w:bookmarkEnd w:id="36"/>
      <w:bookmarkEnd w:id="37"/>
      <w:bookmarkEnd w:id="38"/>
      <w:bookmarkEnd w:id="39"/>
      <w:bookmarkEnd w:id="40"/>
      <w:bookmarkEnd w:id="41"/>
    </w:p>
    <w:p w14:paraId="5BE40D12">
      <w:pPr>
        <w:widowControl/>
        <w:autoSpaceDE w:val="0"/>
        <w:autoSpaceDN w:val="0"/>
        <w:ind w:firstLine="420" w:firstLineChars="200"/>
        <w:rPr>
          <w:rFonts w:ascii="Times New Roman" w:hAnsi="Times New Roman"/>
          <w:kern w:val="0"/>
          <w:szCs w:val="20"/>
          <w:highlight w:val="none"/>
        </w:rPr>
      </w:pPr>
      <w:r>
        <w:rPr>
          <w:rFonts w:hint="eastAsia" w:ascii="Times New Roman" w:hAnsi="Times New Roman"/>
          <w:kern w:val="0"/>
          <w:szCs w:val="20"/>
          <w:highlight w:val="none"/>
        </w:rPr>
        <w:t>下列文件中的内容通过文中的规范性引用而构成本文件必不可少的条款。其中，注日期的引用文件，仅该日期对应的版本适用于本文件；不注</w:t>
      </w:r>
      <w:r>
        <w:rPr>
          <w:rFonts w:hint="eastAsia" w:ascii="Times New Roman" w:hAnsi="Times New Roman"/>
          <w:kern w:val="0"/>
          <w:szCs w:val="20"/>
          <w:highlight w:val="none"/>
          <w:lang w:eastAsia="zh"/>
          <w:woUserID w:val="6"/>
        </w:rPr>
        <w:t>明</w:t>
      </w:r>
      <w:r>
        <w:rPr>
          <w:rFonts w:hint="eastAsia" w:ascii="Times New Roman" w:hAnsi="Times New Roman"/>
          <w:kern w:val="0"/>
          <w:szCs w:val="20"/>
          <w:highlight w:val="none"/>
        </w:rPr>
        <w:t>日期的引用文件，其最新版本（包括所有的修改单）适用于本文件。</w:t>
      </w:r>
    </w:p>
    <w:p w14:paraId="1350C07F">
      <w:pPr>
        <w:widowControl/>
        <w:autoSpaceDE w:val="0"/>
        <w:autoSpaceDN w:val="0"/>
        <w:ind w:firstLine="420" w:firstLineChars="200"/>
        <w:rPr>
          <w:rFonts w:ascii="Times New Roman" w:hAnsi="Times New Roman"/>
          <w:kern w:val="0"/>
          <w:szCs w:val="20"/>
          <w:highlight w:val="none"/>
        </w:rPr>
      </w:pPr>
      <w:r>
        <w:rPr>
          <w:rFonts w:hint="eastAsia" w:ascii="Times New Roman" w:hAnsi="Times New Roman"/>
          <w:kern w:val="0"/>
          <w:szCs w:val="20"/>
          <w:highlight w:val="none"/>
        </w:rPr>
        <w:t xml:space="preserve">GB/T 34982  </w:t>
      </w:r>
      <w:r>
        <w:rPr>
          <w:rFonts w:hint="eastAsia" w:ascii="Times New Roman" w:hAnsi="Times New Roman"/>
          <w:kern w:val="0"/>
          <w:szCs w:val="20"/>
          <w:highlight w:val="none"/>
          <w:lang w:eastAsia="zh"/>
          <w:woUserID w:val="1"/>
        </w:rPr>
        <w:tab/>
      </w:r>
      <w:r>
        <w:rPr>
          <w:rFonts w:hint="eastAsia" w:ascii="Times New Roman" w:hAnsi="Times New Roman"/>
          <w:kern w:val="0"/>
          <w:szCs w:val="20"/>
          <w:highlight w:val="none"/>
        </w:rPr>
        <w:t>云计算数据中心基本要求</w:t>
      </w:r>
    </w:p>
    <w:p w14:paraId="76E793A0">
      <w:pPr>
        <w:widowControl/>
        <w:autoSpaceDE w:val="0"/>
        <w:autoSpaceDN w:val="0"/>
        <w:ind w:firstLine="420" w:firstLineChars="200"/>
        <w:rPr>
          <w:rFonts w:ascii="Times New Roman" w:hAnsi="Times New Roman"/>
          <w:kern w:val="0"/>
          <w:szCs w:val="20"/>
          <w:highlight w:val="none"/>
        </w:rPr>
      </w:pPr>
      <w:r>
        <w:rPr>
          <w:rFonts w:hint="eastAsia" w:ascii="Times New Roman" w:hAnsi="Times New Roman"/>
          <w:kern w:val="0"/>
          <w:szCs w:val="20"/>
          <w:highlight w:val="none"/>
        </w:rPr>
        <w:t xml:space="preserve">GB/T 36073  </w:t>
      </w:r>
      <w:r>
        <w:rPr>
          <w:rFonts w:hint="eastAsia" w:ascii="Times New Roman" w:hAnsi="Times New Roman"/>
          <w:kern w:val="0"/>
          <w:szCs w:val="20"/>
          <w:highlight w:val="none"/>
          <w:lang w:eastAsia="zh"/>
          <w:woUserID w:val="1"/>
        </w:rPr>
        <w:tab/>
      </w:r>
      <w:r>
        <w:rPr>
          <w:rFonts w:hint="eastAsia" w:ascii="Times New Roman" w:hAnsi="Times New Roman"/>
          <w:kern w:val="0"/>
          <w:szCs w:val="20"/>
          <w:highlight w:val="none"/>
        </w:rPr>
        <w:t>数据管理能力成熟度评估模型</w:t>
      </w:r>
    </w:p>
    <w:p w14:paraId="40628F67">
      <w:pPr>
        <w:widowControl/>
        <w:autoSpaceDE w:val="0"/>
        <w:autoSpaceDN w:val="0"/>
        <w:ind w:firstLine="420" w:firstLineChars="200"/>
        <w:rPr>
          <w:rFonts w:ascii="Times New Roman" w:hAnsi="Times New Roman"/>
          <w:kern w:val="0"/>
          <w:szCs w:val="20"/>
          <w:highlight w:val="none"/>
        </w:rPr>
      </w:pPr>
      <w:r>
        <w:rPr>
          <w:rFonts w:hint="eastAsia" w:ascii="Times New Roman" w:hAnsi="Times New Roman"/>
          <w:kern w:val="0"/>
          <w:szCs w:val="20"/>
          <w:highlight w:val="none"/>
        </w:rPr>
        <w:t xml:space="preserve">JGJ/T 292 </w:t>
      </w:r>
      <w:r>
        <w:rPr>
          <w:rFonts w:ascii="Times New Roman" w:hAnsi="Times New Roman"/>
          <w:kern w:val="0"/>
          <w:szCs w:val="20"/>
          <w:highlight w:val="none"/>
        </w:rPr>
        <w:t xml:space="preserve"> </w:t>
      </w:r>
      <w:r>
        <w:rPr>
          <w:rFonts w:hint="eastAsia" w:ascii="Times New Roman" w:hAnsi="Times New Roman"/>
          <w:kern w:val="0"/>
          <w:szCs w:val="20"/>
          <w:highlight w:val="none"/>
        </w:rPr>
        <w:t xml:space="preserve">  </w:t>
      </w:r>
      <w:r>
        <w:rPr>
          <w:rFonts w:hint="eastAsia" w:ascii="Times New Roman" w:hAnsi="Times New Roman"/>
          <w:kern w:val="0"/>
          <w:szCs w:val="20"/>
          <w:highlight w:val="none"/>
          <w:lang w:eastAsia="zh"/>
          <w:woUserID w:val="1"/>
        </w:rPr>
        <w:tab/>
      </w:r>
      <w:r>
        <w:rPr>
          <w:rFonts w:hint="eastAsia" w:ascii="Times New Roman" w:hAnsi="Times New Roman"/>
          <w:kern w:val="0"/>
          <w:szCs w:val="20"/>
          <w:highlight w:val="none"/>
        </w:rPr>
        <w:t>建筑工程施工现场视频监控技术规范</w:t>
      </w:r>
    </w:p>
    <w:p w14:paraId="1C372ED8">
      <w:pPr>
        <w:widowControl/>
        <w:autoSpaceDE w:val="0"/>
        <w:autoSpaceDN w:val="0"/>
        <w:ind w:firstLine="420" w:firstLineChars="200"/>
        <w:rPr>
          <w:rFonts w:hint="eastAsia" w:ascii="Times New Roman" w:hAnsi="Times New Roman"/>
          <w:kern w:val="0"/>
          <w:szCs w:val="20"/>
          <w:highlight w:val="none"/>
        </w:rPr>
      </w:pPr>
      <w:r>
        <w:rPr>
          <w:rFonts w:hint="eastAsia" w:ascii="Times New Roman" w:hAnsi="Times New Roman"/>
          <w:kern w:val="0"/>
          <w:szCs w:val="20"/>
          <w:highlight w:val="none"/>
        </w:rPr>
        <w:t xml:space="preserve">JGJ/T 434  </w:t>
      </w:r>
      <w:r>
        <w:rPr>
          <w:rFonts w:ascii="Times New Roman" w:hAnsi="Times New Roman"/>
          <w:kern w:val="0"/>
          <w:szCs w:val="20"/>
          <w:highlight w:val="none"/>
        </w:rPr>
        <w:t xml:space="preserve"> </w:t>
      </w:r>
      <w:r>
        <w:rPr>
          <w:rFonts w:hint="eastAsia" w:ascii="Times New Roman" w:hAnsi="Times New Roman"/>
          <w:kern w:val="0"/>
          <w:szCs w:val="20"/>
          <w:highlight w:val="none"/>
        </w:rPr>
        <w:t xml:space="preserve"> </w:t>
      </w:r>
      <w:r>
        <w:rPr>
          <w:rFonts w:hint="eastAsia" w:ascii="Times New Roman" w:hAnsi="Times New Roman"/>
          <w:kern w:val="0"/>
          <w:szCs w:val="20"/>
          <w:highlight w:val="none"/>
          <w:lang w:eastAsia="zh"/>
          <w:woUserID w:val="1"/>
        </w:rPr>
        <w:tab/>
      </w:r>
      <w:r>
        <w:rPr>
          <w:rFonts w:hint="eastAsia" w:ascii="Times New Roman" w:hAnsi="Times New Roman"/>
          <w:kern w:val="0"/>
          <w:szCs w:val="20"/>
          <w:highlight w:val="none"/>
        </w:rPr>
        <w:t>建筑工程施工现场监管信息系统技术标准</w:t>
      </w:r>
    </w:p>
    <w:p w14:paraId="56DF9634">
      <w:pPr>
        <w:widowControl/>
        <w:autoSpaceDE w:val="0"/>
        <w:autoSpaceDN w:val="0"/>
        <w:ind w:firstLine="420" w:firstLineChars="200"/>
        <w:rPr>
          <w:rFonts w:hint="eastAsia" w:ascii="Times New Roman" w:hAnsi="Times New Roman"/>
          <w:color w:val="000000"/>
          <w:kern w:val="0"/>
          <w:szCs w:val="20"/>
          <w:highlight w:val="none"/>
          <w:lang w:eastAsia="zh"/>
          <w:woUserID w:val="1"/>
        </w:rPr>
      </w:pPr>
      <w:r>
        <w:rPr>
          <w:rFonts w:hint="eastAsia" w:ascii="Times New Roman" w:hAnsi="Times New Roman"/>
          <w:color w:val="000000"/>
          <w:kern w:val="0"/>
          <w:szCs w:val="20"/>
          <w:highlight w:val="none"/>
          <w:lang w:eastAsia="zh"/>
          <w:woUserID w:val="1"/>
        </w:rPr>
        <w:t>DL/T 5759-2025   配电系统电气装置安装工程施工及验收规范</w:t>
      </w:r>
    </w:p>
    <w:p w14:paraId="56B95C0E">
      <w:pPr>
        <w:widowControl/>
        <w:autoSpaceDE w:val="0"/>
        <w:autoSpaceDN w:val="0"/>
        <w:ind w:firstLine="420" w:firstLineChars="200"/>
        <w:rPr>
          <w:rFonts w:hint="eastAsia" w:ascii="Times New Roman" w:hAnsi="Times New Roman"/>
          <w:color w:val="000000"/>
          <w:kern w:val="0"/>
          <w:szCs w:val="20"/>
          <w:highlight w:val="none"/>
          <w:lang w:eastAsia="zh"/>
          <w:woUserID w:val="1"/>
        </w:rPr>
      </w:pPr>
      <w:r>
        <w:rPr>
          <w:rFonts w:hint="eastAsia" w:ascii="Times New Roman" w:hAnsi="Times New Roman"/>
          <w:color w:val="000000"/>
          <w:kern w:val="0"/>
          <w:szCs w:val="20"/>
          <w:highlight w:val="none"/>
          <w:lang w:eastAsia="zh"/>
          <w:woUserID w:val="1"/>
        </w:rPr>
        <w:t>DL/T 499-2001</w:t>
      </w:r>
      <w:r>
        <w:rPr>
          <w:rFonts w:hint="eastAsia" w:ascii="Times New Roman" w:hAnsi="Times New Roman"/>
          <w:color w:val="000000"/>
          <w:kern w:val="0"/>
          <w:szCs w:val="20"/>
          <w:highlight w:val="none"/>
          <w:lang w:eastAsia="zh"/>
          <w:woUserID w:val="1"/>
        </w:rPr>
        <w:tab/>
      </w:r>
      <w:r>
        <w:rPr>
          <w:rFonts w:hint="eastAsia" w:ascii="Times New Roman" w:hAnsi="Times New Roman"/>
          <w:color w:val="000000"/>
          <w:kern w:val="0"/>
          <w:szCs w:val="20"/>
          <w:highlight w:val="none"/>
          <w:lang w:eastAsia="zh"/>
          <w:woUserID w:val="1"/>
        </w:rPr>
        <w:t>农村低压电力技术规程</w:t>
      </w:r>
    </w:p>
    <w:p w14:paraId="3FF7737B">
      <w:pPr>
        <w:pStyle w:val="85"/>
        <w:spacing w:before="312" w:after="312"/>
        <w:rPr>
          <w:rFonts w:ascii="Times New Roman" w:hAnsi="Times New Roman"/>
          <w:highlight w:val="none"/>
        </w:rPr>
      </w:pPr>
      <w:bookmarkStart w:id="42" w:name="_Toc2365"/>
      <w:bookmarkStart w:id="43" w:name="_Toc25543"/>
      <w:bookmarkStart w:id="44" w:name="_Toc3654"/>
      <w:bookmarkStart w:id="45" w:name="_Toc10195"/>
      <w:bookmarkStart w:id="46" w:name="_Toc23949"/>
      <w:bookmarkStart w:id="47" w:name="_Toc190350366"/>
      <w:r>
        <w:rPr>
          <w:rFonts w:hint="eastAsia" w:ascii="Times New Roman" w:hAnsi="Times New Roman"/>
          <w:highlight w:val="none"/>
        </w:rPr>
        <w:t>术语和定义</w:t>
      </w:r>
      <w:bookmarkEnd w:id="42"/>
      <w:bookmarkEnd w:id="43"/>
      <w:bookmarkEnd w:id="44"/>
      <w:bookmarkEnd w:id="45"/>
      <w:bookmarkEnd w:id="46"/>
      <w:bookmarkEnd w:id="47"/>
    </w:p>
    <w:p w14:paraId="544BEEA1">
      <w:pPr>
        <w:spacing w:after="160" w:line="278" w:lineRule="auto"/>
        <w:ind w:firstLine="420" w:firstLineChars="200"/>
        <w:jc w:val="left"/>
        <w:rPr>
          <w:rFonts w:ascii="Times New Roman" w:hAnsi="Times New Roman"/>
          <w:highlight w:val="none"/>
        </w:rPr>
      </w:pPr>
      <w:r>
        <w:rPr>
          <w:rFonts w:ascii="Times New Roman" w:hAnsi="Times New Roman"/>
          <w:highlight w:val="none"/>
        </w:rPr>
        <w:t>下列术语和定义适用于本文件。</w:t>
      </w:r>
    </w:p>
    <w:p w14:paraId="0D70F4B4">
      <w:pPr>
        <w:pStyle w:val="81"/>
        <w:rPr>
          <w:rFonts w:hint="default" w:ascii="Times New Roman" w:hAnsi="Times New Roman" w:cs="Times New Roman"/>
          <w:highlight w:val="none"/>
          <w:lang w:val="en-US" w:eastAsia="zh-CN"/>
          <w:woUserID w:val="1"/>
        </w:rPr>
      </w:pPr>
      <w:r>
        <w:rPr>
          <w:rFonts w:hint="eastAsia" w:ascii="Times New Roman" w:hAnsi="Times New Roman" w:eastAsia="黑体" w:cs="Times New Roman"/>
          <w:highlight w:val="none"/>
          <w:lang w:val="en-US" w:eastAsia="zh-CN"/>
          <w:woUserID w:val="1"/>
        </w:rPr>
        <w:t xml:space="preserve">配电网工程智慧工地 </w:t>
      </w:r>
      <w:r>
        <w:rPr>
          <w:rStyle w:val="37"/>
          <w:rFonts w:hint="eastAsia" w:ascii="Times New Roman" w:hAnsi="Times New Roman" w:eastAsia="黑体" w:cs="Times New Roman"/>
          <w:b w:val="0"/>
          <w:bCs w:val="0"/>
          <w:i w:val="0"/>
          <w:iCs w:val="0"/>
          <w:caps w:val="0"/>
          <w:color w:val="0F1115"/>
          <w:spacing w:val="0"/>
          <w:sz w:val="21"/>
          <w:szCs w:val="20"/>
          <w:highlight w:val="none"/>
          <w:shd w:val="clear" w:fill="FFFFFF"/>
          <w:woUserID w:val="1"/>
        </w:rPr>
        <w:t xml:space="preserve">Smart </w:t>
      </w:r>
      <w:r>
        <w:rPr>
          <w:rStyle w:val="37"/>
          <w:rFonts w:hint="eastAsia" w:ascii="Times New Roman" w:eastAsia="黑体" w:cs="Times New Roman"/>
          <w:b w:val="0"/>
          <w:bCs w:val="0"/>
          <w:i w:val="0"/>
          <w:iCs w:val="0"/>
          <w:caps w:val="0"/>
          <w:color w:val="0F1115"/>
          <w:spacing w:val="0"/>
          <w:sz w:val="21"/>
          <w:szCs w:val="20"/>
          <w:highlight w:val="none"/>
          <w:shd w:val="clear" w:fill="FFFFFF"/>
          <w:lang w:eastAsia="zh"/>
          <w:woUserID w:val="1"/>
        </w:rPr>
        <w:t>C</w:t>
      </w:r>
      <w:r>
        <w:rPr>
          <w:rStyle w:val="37"/>
          <w:rFonts w:hint="eastAsia" w:ascii="Times New Roman" w:hAnsi="Times New Roman" w:eastAsia="黑体" w:cs="Times New Roman"/>
          <w:b w:val="0"/>
          <w:bCs w:val="0"/>
          <w:i w:val="0"/>
          <w:iCs w:val="0"/>
          <w:caps w:val="0"/>
          <w:color w:val="0F1115"/>
          <w:spacing w:val="0"/>
          <w:sz w:val="21"/>
          <w:szCs w:val="20"/>
          <w:highlight w:val="none"/>
          <w:shd w:val="clear" w:fill="FFFFFF"/>
          <w:woUserID w:val="1"/>
        </w:rPr>
        <w:t>onstruction site for Power Distribution Network Project</w:t>
      </w:r>
    </w:p>
    <w:p w14:paraId="3F65DF6D">
      <w:pPr>
        <w:pStyle w:val="81"/>
        <w:rPr>
          <w:rFonts w:hint="default" w:ascii="Times New Roman" w:hAnsi="Times New Roman" w:cs="Times New Roman"/>
          <w:highlight w:val="none"/>
          <w:lang w:val="en-US" w:eastAsia="zh-CN"/>
          <w:woUserID w:val="1"/>
        </w:rPr>
      </w:pPr>
      <w:r>
        <w:rPr>
          <w:rFonts w:hint="default" w:ascii="Times New Roman" w:hAnsi="Times New Roman" w:cs="Times New Roman"/>
          <w:highlight w:val="none"/>
          <w:lang w:val="en-US" w:eastAsia="zh-CN"/>
          <w:woUserID w:val="1"/>
        </w:rPr>
        <w:t>采用云计算大数据、物联网、移动互联网、人工智能等技术，对</w:t>
      </w:r>
      <w:r>
        <w:rPr>
          <w:rFonts w:hint="eastAsia" w:ascii="Times New Roman" w:hAnsi="Times New Roman" w:cs="Times New Roman"/>
          <w:highlight w:val="none"/>
          <w:lang w:val="en-US" w:eastAsia="zh"/>
          <w:woUserID w:val="1"/>
        </w:rPr>
        <w:t>配电网</w:t>
      </w:r>
      <w:r>
        <w:rPr>
          <w:rFonts w:hint="default" w:ascii="Times New Roman" w:hAnsi="Times New Roman" w:cs="Times New Roman"/>
          <w:highlight w:val="none"/>
          <w:lang w:val="en-US" w:eastAsia="zh-CN"/>
          <w:woUserID w:val="1"/>
        </w:rPr>
        <w:t>工程关键环节进行实时监测、智能分析和科学决策，提升工程安全、质量、进度、效益等综合水平的管理系统。</w:t>
      </w:r>
    </w:p>
    <w:p w14:paraId="5B900641">
      <w:pPr>
        <w:widowControl/>
        <w:autoSpaceDE w:val="0"/>
        <w:autoSpaceDN w:val="0"/>
        <w:ind w:firstLine="420" w:firstLineChars="200"/>
        <w:rPr>
          <w:rFonts w:ascii="Times New Roman" w:hAnsi="Times New Roman" w:eastAsia="黑体"/>
          <w:kern w:val="0"/>
          <w:szCs w:val="20"/>
          <w:highlight w:val="none"/>
        </w:rPr>
      </w:pPr>
      <w:r>
        <w:rPr>
          <w:rFonts w:hint="eastAsia" w:ascii="Times New Roman" w:hAnsi="Times New Roman" w:eastAsia="黑体"/>
          <w:kern w:val="0"/>
          <w:szCs w:val="20"/>
          <w:highlight w:val="none"/>
        </w:rPr>
        <w:t xml:space="preserve">数字化建造 </w:t>
      </w:r>
      <w:r>
        <w:rPr>
          <w:rFonts w:hint="eastAsia" w:ascii="Times New Roman" w:hAnsi="Times New Roman" w:eastAsia="黑体"/>
          <w:kern w:val="0"/>
          <w:szCs w:val="20"/>
          <w:highlight w:val="none"/>
          <w:lang w:eastAsia="zh"/>
          <w:woUserID w:val="1"/>
        </w:rPr>
        <w:t>D</w:t>
      </w:r>
      <w:r>
        <w:rPr>
          <w:rFonts w:hint="eastAsia" w:ascii="Times New Roman" w:hAnsi="Times New Roman" w:eastAsia="黑体"/>
          <w:kern w:val="0"/>
          <w:szCs w:val="20"/>
          <w:highlight w:val="none"/>
        </w:rPr>
        <w:t xml:space="preserve">igitalized </w:t>
      </w:r>
      <w:r>
        <w:rPr>
          <w:rFonts w:hint="eastAsia" w:ascii="Times New Roman" w:hAnsi="Times New Roman" w:eastAsia="黑体"/>
          <w:kern w:val="0"/>
          <w:szCs w:val="20"/>
          <w:highlight w:val="none"/>
          <w:lang w:eastAsia="zh"/>
          <w:woUserID w:val="1"/>
        </w:rPr>
        <w:t>C</w:t>
      </w:r>
      <w:r>
        <w:rPr>
          <w:rFonts w:hint="eastAsia" w:ascii="Times New Roman" w:hAnsi="Times New Roman" w:eastAsia="黑体"/>
          <w:kern w:val="0"/>
          <w:szCs w:val="20"/>
          <w:highlight w:val="none"/>
        </w:rPr>
        <w:t>onstruction</w:t>
      </w:r>
    </w:p>
    <w:p w14:paraId="5EF69E1E">
      <w:pPr>
        <w:pStyle w:val="14"/>
        <w:ind w:firstLine="420" w:firstLineChars="200"/>
        <w:rPr>
          <w:rFonts w:ascii="Times New Roman" w:hAnsi="Times New Roman"/>
          <w:highlight w:val="none"/>
        </w:rPr>
      </w:pPr>
      <w:r>
        <w:rPr>
          <w:rFonts w:hint="eastAsia" w:ascii="Times New Roman" w:hAnsi="Times New Roman"/>
          <w:highlight w:val="none"/>
        </w:rPr>
        <w:t>数字化建造主要是指运用数字化技术在工程建设过程中，通过数据采集、计算、分析、模拟、监测、控制等手段辅助工程建造。</w:t>
      </w:r>
    </w:p>
    <w:p w14:paraId="6F6296CE">
      <w:pPr>
        <w:pStyle w:val="81"/>
        <w:rPr>
          <w:rFonts w:hint="eastAsia" w:ascii="Times New Roman" w:cs="Times New Roman"/>
          <w:highlight w:val="none"/>
          <w:lang w:val="en-US" w:eastAsia="zh"/>
          <w:woUserID w:val="9"/>
        </w:rPr>
      </w:pPr>
      <w:r>
        <w:rPr>
          <w:rFonts w:hint="eastAsia" w:ascii="Times New Roman" w:eastAsia="黑体" w:cs="Times New Roman"/>
          <w:highlight w:val="none"/>
          <w:lang w:val="en-US" w:eastAsia="zh-CN"/>
          <w:woUserID w:val="0"/>
        </w:rPr>
        <w:t>人员定位系统</w:t>
      </w:r>
      <w:r>
        <w:rPr>
          <w:rFonts w:hint="eastAsia" w:ascii="Times New Roman" w:cs="Times New Roman"/>
          <w:highlight w:val="none"/>
          <w:lang w:val="en-US" w:eastAsia="zh"/>
          <w:woUserID w:val="9"/>
        </w:rPr>
        <w:t xml:space="preserve"> Personnel Positioning System</w:t>
      </w:r>
    </w:p>
    <w:p w14:paraId="0D9DCE30">
      <w:pPr>
        <w:pStyle w:val="81"/>
        <w:rPr>
          <w:rFonts w:hint="eastAsia" w:ascii="Times New Roman" w:cs="Times New Roman"/>
          <w:highlight w:val="none"/>
          <w:lang w:val="en-US" w:eastAsia="zh"/>
          <w:woUserID w:val="9"/>
        </w:rPr>
      </w:pPr>
      <w:r>
        <w:rPr>
          <w:rFonts w:hint="eastAsia" w:ascii="Times New Roman" w:cs="Times New Roman"/>
          <w:highlight w:val="none"/>
          <w:lang w:val="en-US" w:eastAsia="zh"/>
          <w:woUserID w:val="9"/>
        </w:rPr>
        <w:t>利用UWB、蓝牙、RFID等定位技术，为进入施工现场的人员佩戴定位标签，实时追踪其精确位置、行动轨迹和分布状况。通常与考勤、风险区域告警联动，用于提高人员安全管理效率。</w:t>
      </w:r>
    </w:p>
    <w:p w14:paraId="466ED931">
      <w:pPr>
        <w:pStyle w:val="81"/>
        <w:rPr>
          <w:rFonts w:hint="eastAsia" w:ascii="Times New Roman" w:cs="Times New Roman"/>
          <w:highlight w:val="none"/>
          <w:lang w:val="en-US" w:eastAsia="zh"/>
          <w:woUserID w:val="9"/>
        </w:rPr>
      </w:pPr>
      <w:r>
        <w:rPr>
          <w:rFonts w:hint="eastAsia" w:ascii="Times New Roman" w:eastAsia="黑体" w:cs="Times New Roman"/>
          <w:highlight w:val="none"/>
          <w:lang w:val="en-US" w:eastAsia="zh-CN"/>
          <w:woUserID w:val="0"/>
        </w:rPr>
        <w:t>区域电子围栏</w:t>
      </w:r>
      <w:r>
        <w:rPr>
          <w:rFonts w:hint="eastAsia" w:ascii="Times New Roman" w:cs="Times New Roman"/>
          <w:highlight w:val="none"/>
          <w:lang w:val="en-US" w:eastAsia="zh"/>
          <w:woUserID w:val="9"/>
        </w:rPr>
        <w:t xml:space="preserve"> Virtual Electronic Fencing</w:t>
      </w:r>
    </w:p>
    <w:p w14:paraId="06EA994D">
      <w:pPr>
        <w:pStyle w:val="81"/>
        <w:rPr>
          <w:rFonts w:hint="eastAsia" w:ascii="Times New Roman" w:cs="Times New Roman"/>
          <w:highlight w:val="none"/>
          <w:lang w:val="en-US" w:eastAsia="zh"/>
          <w:woUserID w:val="9"/>
        </w:rPr>
      </w:pPr>
      <w:r>
        <w:rPr>
          <w:rFonts w:hint="eastAsia" w:ascii="Times New Roman" w:cs="Times New Roman"/>
          <w:highlight w:val="none"/>
          <w:lang w:val="en-US" w:eastAsia="zh"/>
          <w:woUserID w:val="9"/>
        </w:rPr>
        <w:t>基于定位系统在虚拟电子地图上划定的警戒区域。当未经授权的人员进入、靠近或离开预设的敏感区域时，系统会通过声光、短信或平台告警等方式自动发出预警，实现安全风险的主动防控。</w:t>
      </w:r>
    </w:p>
    <w:p w14:paraId="2DC50FEA">
      <w:pPr>
        <w:pStyle w:val="81"/>
        <w:rPr>
          <w:rFonts w:hint="eastAsia" w:ascii="Times New Roman" w:cs="Times New Roman"/>
          <w:highlight w:val="none"/>
          <w:lang w:val="en-US" w:eastAsia="zh"/>
          <w:woUserID w:val="9"/>
        </w:rPr>
      </w:pPr>
      <w:r>
        <w:rPr>
          <w:rFonts w:hint="eastAsia" w:ascii="Times New Roman" w:eastAsia="黑体" w:cs="Times New Roman"/>
          <w:highlight w:val="none"/>
          <w:lang w:val="en-US" w:eastAsia="zh-CN"/>
          <w:woUserID w:val="0"/>
        </w:rPr>
        <w:t>广播系统</w:t>
      </w:r>
      <w:r>
        <w:rPr>
          <w:rFonts w:hint="eastAsia" w:ascii="Times New Roman" w:cs="Times New Roman"/>
          <w:highlight w:val="none"/>
          <w:lang w:val="en-US" w:eastAsia="zh"/>
          <w:woUserID w:val="9"/>
        </w:rPr>
        <w:t xml:space="preserve"> Public Address System</w:t>
      </w:r>
    </w:p>
    <w:p w14:paraId="24A6318A">
      <w:pPr>
        <w:pStyle w:val="81"/>
        <w:rPr>
          <w:rFonts w:hint="eastAsia" w:ascii="Times New Roman" w:cs="Times New Roman"/>
          <w:highlight w:val="none"/>
          <w:lang w:val="en-US" w:eastAsia="zh"/>
          <w:woUserID w:val="9"/>
        </w:rPr>
      </w:pPr>
      <w:r>
        <w:rPr>
          <w:rFonts w:hint="eastAsia" w:ascii="Times New Roman" w:cs="Times New Roman"/>
          <w:highlight w:val="none"/>
          <w:lang w:val="en-US" w:eastAsia="zh"/>
          <w:woUserID w:val="9"/>
        </w:rPr>
        <w:t>在</w:t>
      </w:r>
      <w:r>
        <w:rPr>
          <w:rFonts w:hint="eastAsia" w:ascii="Times New Roman" w:cs="Times New Roman"/>
          <w:highlight w:val="none"/>
          <w:lang w:val="en-US" w:eastAsia="zh"/>
          <w:woUserID w:val="6"/>
        </w:rPr>
        <w:t>施工</w:t>
      </w:r>
      <w:r>
        <w:rPr>
          <w:rFonts w:hint="eastAsia" w:ascii="Times New Roman" w:cs="Times New Roman"/>
          <w:highlight w:val="none"/>
          <w:lang w:val="en-US" w:eastAsia="zh"/>
          <w:woUserID w:val="9"/>
        </w:rPr>
        <w:t>现场部署的网络音柱或扬声器组成的全覆盖语音系统。通过它进行日常通知、安全提示、工作调度，或在紧急情况下（如事故、灾害）发布统一的疏散指令和应急通知，确保信息快速、准确传达至整个施工区域。</w:t>
      </w:r>
    </w:p>
    <w:p w14:paraId="787F6C4B">
      <w:pPr>
        <w:pStyle w:val="81"/>
        <w:rPr>
          <w:rFonts w:hint="eastAsia" w:ascii="Times New Roman" w:cs="Times New Roman"/>
          <w:highlight w:val="none"/>
          <w:lang w:val="en-US" w:eastAsia="zh"/>
          <w:woUserID w:val="9"/>
        </w:rPr>
      </w:pPr>
      <w:r>
        <w:rPr>
          <w:rFonts w:hint="eastAsia" w:ascii="Times New Roman" w:eastAsia="黑体" w:cs="Times New Roman"/>
          <w:highlight w:val="none"/>
          <w:lang w:val="en-US" w:eastAsia="zh-CN"/>
          <w:woUserID w:val="0"/>
        </w:rPr>
        <w:t>应急会商系统</w:t>
      </w:r>
      <w:r>
        <w:rPr>
          <w:rFonts w:hint="eastAsia" w:ascii="Times New Roman" w:cs="Times New Roman"/>
          <w:highlight w:val="none"/>
          <w:lang w:val="en-US" w:eastAsia="zh"/>
          <w:woUserID w:val="9"/>
        </w:rPr>
        <w:t xml:space="preserve"> Emergency Consultation System</w:t>
      </w:r>
    </w:p>
    <w:p w14:paraId="31B8CA0E">
      <w:pPr>
        <w:pStyle w:val="81"/>
        <w:rPr>
          <w:rFonts w:hint="eastAsia" w:ascii="Times New Roman" w:cs="Times New Roman"/>
          <w:highlight w:val="none"/>
          <w:lang w:val="en-US" w:eastAsia="zh"/>
          <w:woUserID w:val="9"/>
        </w:rPr>
      </w:pPr>
      <w:r>
        <w:rPr>
          <w:rFonts w:hint="eastAsia" w:ascii="Times New Roman" w:cs="Times New Roman"/>
          <w:highlight w:val="none"/>
          <w:lang w:val="en-US" w:eastAsia="zh"/>
          <w:woUserID w:val="9"/>
        </w:rPr>
        <w:t>集成了视频会议、实时通信、资料共享等功能的指挥协调平台。在发生突发事件时，该系统能快速集结现场人员、后方专家及各级指挥中心进行多方远程会商，实现决策指令同步、现场画面共享与应急处置方案协同，提升应急响应能力。</w:t>
      </w:r>
    </w:p>
    <w:p w14:paraId="75A80C5A">
      <w:pPr>
        <w:pStyle w:val="81"/>
        <w:rPr>
          <w:rFonts w:hint="eastAsia" w:ascii="Times New Roman" w:cs="Times New Roman"/>
          <w:highlight w:val="none"/>
          <w:lang w:val="en-US" w:eastAsia="zh"/>
          <w:woUserID w:val="9"/>
        </w:rPr>
      </w:pPr>
      <w:r>
        <w:rPr>
          <w:rFonts w:hint="eastAsia" w:ascii="Times New Roman" w:eastAsia="黑体" w:cs="Times New Roman"/>
          <w:highlight w:val="none"/>
          <w:lang w:val="en-US" w:eastAsia="zh-CN"/>
          <w:woUserID w:val="0"/>
        </w:rPr>
        <w:t>延时摄影</w:t>
      </w:r>
      <w:r>
        <w:rPr>
          <w:rFonts w:hint="eastAsia" w:ascii="Times New Roman" w:cs="Times New Roman"/>
          <w:highlight w:val="none"/>
          <w:lang w:val="en-US" w:eastAsia="zh"/>
          <w:woUserID w:val="9"/>
        </w:rPr>
        <w:t xml:space="preserve"> Time-lapse Photography</w:t>
      </w:r>
    </w:p>
    <w:p w14:paraId="7002ABE8">
      <w:pPr>
        <w:pStyle w:val="81"/>
        <w:rPr>
          <w:rFonts w:hint="eastAsia" w:ascii="Times New Roman" w:cs="Times New Roman"/>
          <w:highlight w:val="none"/>
          <w:lang w:val="en-US" w:eastAsia="zh"/>
          <w:woUserID w:val="9"/>
        </w:rPr>
      </w:pPr>
      <w:r>
        <w:rPr>
          <w:rFonts w:hint="eastAsia" w:ascii="Times New Roman" w:cs="Times New Roman"/>
          <w:highlight w:val="none"/>
          <w:lang w:val="en-US" w:eastAsia="zh"/>
          <w:woUserID w:val="9"/>
        </w:rPr>
        <w:t>通过在现场固定点架设摄像机，以远低于正常频率的固定时间间隔（如每小时一张）自动拍摄照片，最终将长时间的工程建设过程压缩成短时间的连续视频。</w:t>
      </w:r>
    </w:p>
    <w:p w14:paraId="568EB371">
      <w:pPr>
        <w:pStyle w:val="81"/>
        <w:rPr>
          <w:rFonts w:hint="eastAsia" w:ascii="Times New Roman" w:cs="Times New Roman"/>
          <w:highlight w:val="none"/>
          <w:lang w:val="en-US" w:eastAsia="zh"/>
          <w:woUserID w:val="9"/>
        </w:rPr>
      </w:pPr>
      <w:r>
        <w:rPr>
          <w:rFonts w:hint="eastAsia" w:ascii="Times New Roman" w:eastAsia="黑体" w:cs="Times New Roman"/>
          <w:highlight w:val="none"/>
          <w:lang w:val="en-US" w:eastAsia="zh-CN"/>
          <w:woUserID w:val="0"/>
        </w:rPr>
        <w:t>数字化档案移交</w:t>
      </w:r>
      <w:r>
        <w:rPr>
          <w:rFonts w:hint="eastAsia" w:ascii="Times New Roman" w:cs="Times New Roman"/>
          <w:highlight w:val="none"/>
          <w:lang w:val="en-US" w:eastAsia="zh"/>
          <w:woUserID w:val="9"/>
        </w:rPr>
        <w:t xml:space="preserve"> Digital Archive Handover</w:t>
      </w:r>
    </w:p>
    <w:p w14:paraId="44140629">
      <w:pPr>
        <w:pStyle w:val="81"/>
        <w:rPr>
          <w:rFonts w:hint="eastAsia" w:ascii="Times New Roman" w:cs="Times New Roman"/>
          <w:highlight w:val="none"/>
          <w:lang w:val="en-US" w:eastAsia="zh"/>
          <w:woUserID w:val="9"/>
        </w:rPr>
      </w:pPr>
      <w:r>
        <w:rPr>
          <w:rFonts w:hint="eastAsia" w:ascii="Times New Roman" w:cs="Times New Roman"/>
          <w:highlight w:val="none"/>
          <w:lang w:val="en-US" w:eastAsia="zh"/>
          <w:woUserID w:val="9"/>
        </w:rPr>
        <w:t>指将工程建设全过程中产生的各类文档、图纸、影像、数据等资料，通过统一的数据标准与格式进行数字化处理、结构化归档，并在项目竣工时以完整的数字化形式向运营方移交的过程。</w:t>
      </w:r>
    </w:p>
    <w:p w14:paraId="65A7DC5E">
      <w:pPr>
        <w:pStyle w:val="81"/>
        <w:rPr>
          <w:rFonts w:hint="eastAsia" w:ascii="Times New Roman" w:eastAsia="黑体" w:cs="Times New Roman"/>
          <w:highlight w:val="none"/>
          <w:lang w:val="en-US" w:eastAsia="zh-CN"/>
          <w:woUserID w:val="0"/>
        </w:rPr>
      </w:pPr>
      <w:r>
        <w:rPr>
          <w:rFonts w:hint="eastAsia" w:ascii="Times New Roman" w:eastAsia="黑体" w:cs="Times New Roman"/>
          <w:highlight w:val="none"/>
          <w:lang w:val="en-US" w:eastAsia="zh-CN"/>
          <w:woUserID w:val="0"/>
        </w:rPr>
        <w:t xml:space="preserve">绿色建造 </w:t>
      </w:r>
      <w:r>
        <w:rPr>
          <w:rFonts w:hint="eastAsia" w:ascii="Times New Roman" w:eastAsia="黑体" w:cs="Times New Roman"/>
          <w:highlight w:val="none"/>
          <w:lang w:val="en-US" w:eastAsia="zh"/>
          <w:woUserID w:val="1"/>
        </w:rPr>
        <w:t>G</w:t>
      </w:r>
      <w:r>
        <w:rPr>
          <w:rFonts w:hint="eastAsia" w:ascii="Times New Roman" w:eastAsia="黑体" w:cs="Times New Roman"/>
          <w:highlight w:val="none"/>
          <w:lang w:val="en-US" w:eastAsia="zh-CN"/>
          <w:woUserID w:val="0"/>
        </w:rPr>
        <w:t xml:space="preserve">reen </w:t>
      </w:r>
      <w:r>
        <w:rPr>
          <w:rFonts w:hint="eastAsia" w:ascii="Times New Roman" w:eastAsia="黑体" w:cs="Times New Roman"/>
          <w:highlight w:val="none"/>
          <w:lang w:val="en-US" w:eastAsia="zh"/>
          <w:woUserID w:val="1"/>
        </w:rPr>
        <w:t>C</w:t>
      </w:r>
      <w:r>
        <w:rPr>
          <w:rFonts w:hint="eastAsia" w:ascii="Times New Roman" w:eastAsia="黑体" w:cs="Times New Roman"/>
          <w:highlight w:val="none"/>
          <w:lang w:val="en-US" w:eastAsia="zh-CN"/>
          <w:woUserID w:val="0"/>
        </w:rPr>
        <w:t>onstruction</w:t>
      </w:r>
    </w:p>
    <w:p w14:paraId="69EF658A">
      <w:pPr>
        <w:pStyle w:val="81"/>
        <w:rPr>
          <w:rFonts w:hint="eastAsia" w:ascii="Times New Roman" w:cs="Times New Roman"/>
          <w:highlight w:val="none"/>
          <w:lang w:val="en-US" w:eastAsia="zh"/>
          <w:woUserID w:val="9"/>
        </w:rPr>
      </w:pPr>
      <w:r>
        <w:rPr>
          <w:rFonts w:hint="eastAsia" w:ascii="Times New Roman" w:cs="Times New Roman"/>
          <w:highlight w:val="none"/>
          <w:lang w:val="en-US" w:eastAsia="zh"/>
          <w:woUserID w:val="9"/>
        </w:rPr>
        <w:t>按照绿色发展的要求，通过科学管理和技术创新，采用有利于节约资源、保护环境、减少排放、提高效率、保障品质的建造方式，实现人与自然和谐共生的工程建造活动。</w:t>
      </w:r>
    </w:p>
    <w:p w14:paraId="69D4E51C">
      <w:pPr>
        <w:pStyle w:val="85"/>
        <w:spacing w:before="312" w:after="312"/>
        <w:rPr>
          <w:rFonts w:ascii="Times New Roman" w:hAnsi="Times New Roman"/>
          <w:highlight w:val="none"/>
        </w:rPr>
      </w:pPr>
      <w:bookmarkStart w:id="48" w:name="_Toc190350367"/>
      <w:bookmarkStart w:id="49" w:name="_Toc14980"/>
      <w:bookmarkStart w:id="50" w:name="_Toc24460"/>
      <w:bookmarkStart w:id="51" w:name="_Toc32146"/>
      <w:bookmarkStart w:id="52" w:name="_Toc22587"/>
      <w:bookmarkStart w:id="53" w:name="_Toc20713"/>
      <w:r>
        <w:rPr>
          <w:rFonts w:hint="eastAsia" w:ascii="Times New Roman" w:hAnsi="Times New Roman"/>
          <w:highlight w:val="none"/>
        </w:rPr>
        <w:t>总体要求</w:t>
      </w:r>
      <w:bookmarkEnd w:id="48"/>
      <w:bookmarkEnd w:id="49"/>
      <w:bookmarkEnd w:id="50"/>
      <w:bookmarkEnd w:id="51"/>
      <w:bookmarkEnd w:id="52"/>
      <w:bookmarkEnd w:id="53"/>
    </w:p>
    <w:p w14:paraId="6DE88BC3">
      <w:pPr>
        <w:rPr>
          <w:rStyle w:val="137"/>
          <w:rFonts w:ascii="Times New Roman" w:cs="宋体"/>
          <w:highlight w:val="none"/>
        </w:rPr>
      </w:pPr>
      <w:r>
        <w:rPr>
          <w:rStyle w:val="137"/>
          <w:rFonts w:hint="eastAsia" w:ascii="Times New Roman" w:cs="宋体"/>
          <w:highlight w:val="none"/>
        </w:rPr>
        <w:t>4.1 智慧工地应通过云计算、大数据、物联网、移动互联网、人工智能等技术，实现数字化建造、一体化管控和数据统一管理，提升工程管控水平。</w:t>
      </w:r>
    </w:p>
    <w:p w14:paraId="1517734D">
      <w:pPr>
        <w:rPr>
          <w:rStyle w:val="137"/>
          <w:rFonts w:ascii="Times New Roman" w:cs="宋体"/>
          <w:highlight w:val="none"/>
        </w:rPr>
      </w:pPr>
      <w:r>
        <w:rPr>
          <w:rStyle w:val="137"/>
          <w:rFonts w:hint="eastAsia" w:ascii="Times New Roman" w:cs="宋体"/>
          <w:highlight w:val="none"/>
        </w:rPr>
        <w:t>4.2 智慧工地</w:t>
      </w:r>
      <w:r>
        <w:rPr>
          <w:rStyle w:val="137"/>
          <w:rFonts w:hint="eastAsia" w:ascii="Times New Roman" w:cs="宋体"/>
          <w:highlight w:val="none"/>
          <w:lang w:val="en-US"/>
        </w:rPr>
        <w:t>宜通过部署专门系统或若干专业化平台组合实现管理功能。智慧工地</w:t>
      </w:r>
      <w:r>
        <w:rPr>
          <w:rStyle w:val="137"/>
          <w:rFonts w:hint="eastAsia" w:ascii="Times New Roman" w:cs="宋体"/>
          <w:highlight w:val="none"/>
        </w:rPr>
        <w:t>管理系统应统一技术架构、开发设计、数据策略及安全防护等，应对系统设计、开发、实施过程</w:t>
      </w:r>
      <w:r>
        <w:rPr>
          <w:rStyle w:val="137"/>
          <w:rFonts w:hint="eastAsia" w:ascii="Times New Roman" w:cs="宋体"/>
          <w:highlight w:val="none"/>
          <w:lang w:eastAsia="zh"/>
          <w:woUserID w:val="1"/>
        </w:rPr>
        <w:t>实行</w:t>
      </w:r>
      <w:r>
        <w:rPr>
          <w:rStyle w:val="137"/>
          <w:rFonts w:hint="eastAsia" w:ascii="Times New Roman" w:cs="宋体"/>
          <w:highlight w:val="none"/>
        </w:rPr>
        <w:t>全过程标准化管理，系统架构应具备开放性，支持与第三方设备、软件系统进行数据对接与功能集成，兼容不同厂家、不同类型的硬件设备及应用软件。</w:t>
      </w:r>
    </w:p>
    <w:p w14:paraId="7A25AD57">
      <w:pPr>
        <w:rPr>
          <w:rStyle w:val="137"/>
          <w:rFonts w:ascii="Times New Roman" w:cs="宋体"/>
          <w:highlight w:val="none"/>
        </w:rPr>
      </w:pPr>
      <w:r>
        <w:rPr>
          <w:rStyle w:val="137"/>
          <w:rFonts w:hint="eastAsia" w:ascii="Times New Roman" w:cs="宋体"/>
          <w:highlight w:val="none"/>
        </w:rPr>
        <w:t>4.</w:t>
      </w:r>
      <w:r>
        <w:rPr>
          <w:rStyle w:val="137"/>
          <w:rFonts w:hint="eastAsia" w:ascii="Times New Roman" w:cs="宋体"/>
          <w:highlight w:val="none"/>
          <w:lang w:val="en-US"/>
        </w:rPr>
        <w:t>3</w:t>
      </w:r>
      <w:r>
        <w:rPr>
          <w:rStyle w:val="137"/>
          <w:rFonts w:hint="eastAsia" w:ascii="Times New Roman" w:cs="宋体"/>
          <w:highlight w:val="none"/>
        </w:rPr>
        <w:t xml:space="preserve"> 智慧工地管理系统应满足政府监管要求，应具备面向上级单位、参建单位管理系统及公用数据系统的接口。</w:t>
      </w:r>
    </w:p>
    <w:p w14:paraId="08B631E6">
      <w:pPr>
        <w:rPr>
          <w:rStyle w:val="137"/>
          <w:rFonts w:ascii="Times New Roman" w:cs="宋体"/>
          <w:highlight w:val="none"/>
        </w:rPr>
      </w:pPr>
      <w:r>
        <w:rPr>
          <w:rStyle w:val="137"/>
          <w:rFonts w:hint="eastAsia" w:ascii="Times New Roman" w:cs="宋体"/>
          <w:highlight w:val="none"/>
        </w:rPr>
        <w:t>4.</w:t>
      </w:r>
      <w:r>
        <w:rPr>
          <w:rStyle w:val="137"/>
          <w:rFonts w:hint="eastAsia" w:ascii="Times New Roman" w:cs="宋体"/>
          <w:highlight w:val="none"/>
          <w:lang w:val="en-US"/>
        </w:rPr>
        <w:t>4</w:t>
      </w:r>
      <w:r>
        <w:rPr>
          <w:rStyle w:val="137"/>
          <w:rFonts w:hint="eastAsia" w:ascii="Times New Roman" w:cs="宋体"/>
          <w:highlight w:val="none"/>
        </w:rPr>
        <w:t xml:space="preserve"> 智慧工地功能</w:t>
      </w:r>
      <w:r>
        <w:rPr>
          <w:rStyle w:val="137"/>
          <w:rFonts w:hint="eastAsia" w:ascii="Times New Roman" w:cs="宋体"/>
          <w:highlight w:val="none"/>
          <w:lang w:eastAsia="zh"/>
          <w:woUserID w:val="6"/>
        </w:rPr>
        <w:t>的实现</w:t>
      </w:r>
      <w:r>
        <w:rPr>
          <w:rStyle w:val="137"/>
          <w:rFonts w:hint="eastAsia" w:ascii="Times New Roman" w:cs="宋体"/>
          <w:highlight w:val="none"/>
        </w:rPr>
        <w:t>应采用模块化方式，按工程建设应用场景，兼顾整体数字化规划和生产期智慧</w:t>
      </w:r>
      <w:r>
        <w:rPr>
          <w:rStyle w:val="137"/>
          <w:rFonts w:hint="eastAsia" w:ascii="Times New Roman" w:cs="宋体"/>
          <w:highlight w:val="none"/>
          <w:lang w:val="en-US"/>
        </w:rPr>
        <w:t>配电网</w:t>
      </w:r>
      <w:r>
        <w:rPr>
          <w:rStyle w:val="137"/>
          <w:rFonts w:hint="eastAsia" w:ascii="Times New Roman" w:cs="宋体"/>
          <w:highlight w:val="none"/>
        </w:rPr>
        <w:t>应用扩展需求，典型应用及系统架构见附录A。</w:t>
      </w:r>
    </w:p>
    <w:p w14:paraId="0C2AAB80">
      <w:pPr>
        <w:rPr>
          <w:rStyle w:val="137"/>
          <w:rFonts w:ascii="Times New Roman" w:cs="宋体"/>
          <w:highlight w:val="none"/>
        </w:rPr>
      </w:pPr>
      <w:r>
        <w:rPr>
          <w:rStyle w:val="137"/>
          <w:rFonts w:hint="eastAsia" w:ascii="Times New Roman" w:cs="宋体"/>
          <w:highlight w:val="none"/>
        </w:rPr>
        <w:t>4.</w:t>
      </w:r>
      <w:r>
        <w:rPr>
          <w:rStyle w:val="137"/>
          <w:rFonts w:hint="eastAsia" w:ascii="Times New Roman" w:cs="宋体"/>
          <w:highlight w:val="none"/>
          <w:lang w:val="en-US"/>
        </w:rPr>
        <w:t>5</w:t>
      </w:r>
      <w:r>
        <w:rPr>
          <w:rStyle w:val="137"/>
          <w:rFonts w:hint="eastAsia" w:ascii="Times New Roman" w:cs="宋体"/>
          <w:highlight w:val="none"/>
        </w:rPr>
        <w:t xml:space="preserve"> 智慧工地管理系统应面对不同职能用户设置不同权限。</w:t>
      </w:r>
    </w:p>
    <w:p w14:paraId="235F3E4E">
      <w:pPr>
        <w:rPr>
          <w:rStyle w:val="137"/>
          <w:rFonts w:ascii="Times New Roman" w:cs="宋体"/>
          <w:highlight w:val="none"/>
        </w:rPr>
      </w:pPr>
      <w:r>
        <w:rPr>
          <w:rStyle w:val="137"/>
          <w:rFonts w:hint="eastAsia" w:ascii="Times New Roman" w:cs="宋体"/>
          <w:highlight w:val="none"/>
        </w:rPr>
        <w:t>4.</w:t>
      </w:r>
      <w:r>
        <w:rPr>
          <w:rStyle w:val="137"/>
          <w:rFonts w:hint="eastAsia" w:ascii="Times New Roman" w:cs="宋体"/>
          <w:highlight w:val="none"/>
          <w:lang w:val="en-US"/>
        </w:rPr>
        <w:t>6</w:t>
      </w:r>
      <w:r>
        <w:rPr>
          <w:rStyle w:val="137"/>
          <w:rFonts w:hint="eastAsia" w:ascii="Times New Roman" w:cs="宋体"/>
          <w:highlight w:val="none"/>
        </w:rPr>
        <w:t xml:space="preserve"> 智慧工地管理系统应建立数据平台，通过数据交互、数据关联，构建项目管理的综合应用场景，数据平台宜统一建设。</w:t>
      </w:r>
    </w:p>
    <w:p w14:paraId="4D81DBE8">
      <w:pPr>
        <w:rPr>
          <w:rStyle w:val="137"/>
          <w:rFonts w:ascii="Times New Roman" w:cs="宋体"/>
          <w:highlight w:val="none"/>
        </w:rPr>
      </w:pPr>
      <w:r>
        <w:rPr>
          <w:rStyle w:val="137"/>
          <w:rFonts w:hint="eastAsia" w:ascii="Times New Roman" w:cs="宋体"/>
          <w:highlight w:val="none"/>
        </w:rPr>
        <w:t>4.</w:t>
      </w:r>
      <w:r>
        <w:rPr>
          <w:rStyle w:val="137"/>
          <w:rFonts w:hint="eastAsia" w:ascii="Times New Roman" w:cs="宋体"/>
          <w:highlight w:val="none"/>
          <w:lang w:val="en-US"/>
        </w:rPr>
        <w:t>7</w:t>
      </w:r>
      <w:r>
        <w:rPr>
          <w:rStyle w:val="137"/>
          <w:rFonts w:hint="eastAsia" w:ascii="Times New Roman" w:cs="宋体"/>
          <w:highlight w:val="none"/>
        </w:rPr>
        <w:t xml:space="preserve"> 智慧工地管理系统应涵盖项目管理全过程、全要素，实现工作量化、过程控制、结果追溯、管理闭环</w:t>
      </w:r>
      <w:r>
        <w:rPr>
          <w:rStyle w:val="137"/>
          <w:rFonts w:hint="eastAsia" w:ascii="Times New Roman" w:cs="宋体"/>
          <w:highlight w:val="none"/>
          <w:lang w:eastAsia="zh"/>
          <w:woUserID w:val="1"/>
        </w:rPr>
        <w:t>，工单式推动各环节业务流转</w:t>
      </w:r>
      <w:r>
        <w:rPr>
          <w:rStyle w:val="137"/>
          <w:rFonts w:hint="eastAsia" w:ascii="Times New Roman" w:cs="宋体"/>
          <w:highlight w:val="none"/>
        </w:rPr>
        <w:t>。</w:t>
      </w:r>
    </w:p>
    <w:p w14:paraId="10E1DB23">
      <w:pPr>
        <w:rPr>
          <w:rStyle w:val="137"/>
          <w:rFonts w:ascii="Times New Roman" w:cs="宋体"/>
          <w:highlight w:val="none"/>
        </w:rPr>
      </w:pPr>
      <w:r>
        <w:rPr>
          <w:rStyle w:val="137"/>
          <w:rFonts w:hint="eastAsia" w:ascii="Times New Roman" w:cs="宋体"/>
          <w:highlight w:val="none"/>
        </w:rPr>
        <w:t>4.</w:t>
      </w:r>
      <w:r>
        <w:rPr>
          <w:rStyle w:val="137"/>
          <w:rFonts w:hint="eastAsia" w:ascii="Times New Roman" w:cs="宋体"/>
          <w:highlight w:val="none"/>
          <w:lang w:val="en-US"/>
        </w:rPr>
        <w:t>8</w:t>
      </w:r>
      <w:r>
        <w:rPr>
          <w:rStyle w:val="137"/>
          <w:rFonts w:hint="eastAsia" w:ascii="Times New Roman" w:cs="宋体"/>
          <w:highlight w:val="none"/>
        </w:rPr>
        <w:t xml:space="preserve"> 智慧工地管理系统硬件设备和软件系统选型应从技术安全性角度出发，坚持自主可控的原则和国产可替代的技术导向，明确技术路线图。</w:t>
      </w:r>
    </w:p>
    <w:p w14:paraId="66FF28A0">
      <w:pPr>
        <w:rPr>
          <w:rStyle w:val="137"/>
          <w:rFonts w:ascii="Times New Roman" w:cs="宋体"/>
          <w:highlight w:val="none"/>
        </w:rPr>
      </w:pPr>
      <w:r>
        <w:rPr>
          <w:rStyle w:val="137"/>
          <w:rFonts w:hint="eastAsia" w:ascii="Times New Roman" w:cs="宋体"/>
          <w:highlight w:val="none"/>
        </w:rPr>
        <w:t>4.</w:t>
      </w:r>
      <w:r>
        <w:rPr>
          <w:rStyle w:val="137"/>
          <w:rFonts w:hint="eastAsia" w:ascii="Times New Roman" w:cs="宋体"/>
          <w:highlight w:val="none"/>
          <w:lang w:val="en-US"/>
        </w:rPr>
        <w:t>9</w:t>
      </w:r>
      <w:r>
        <w:rPr>
          <w:rStyle w:val="137"/>
          <w:rFonts w:hint="eastAsia" w:ascii="Times New Roman" w:cs="宋体"/>
          <w:highlight w:val="none"/>
        </w:rPr>
        <w:t xml:space="preserve"> 智慧工地管理系统宜选择具有易维护、易扩展、轻量化特点的云平台。</w:t>
      </w:r>
    </w:p>
    <w:p w14:paraId="5095307C">
      <w:pPr>
        <w:rPr>
          <w:rStyle w:val="137"/>
          <w:rFonts w:ascii="Times New Roman" w:cs="宋体"/>
          <w:highlight w:val="none"/>
        </w:rPr>
      </w:pPr>
      <w:r>
        <w:rPr>
          <w:rStyle w:val="137"/>
          <w:rFonts w:hint="eastAsia" w:ascii="Times New Roman" w:cs="宋体"/>
          <w:highlight w:val="none"/>
        </w:rPr>
        <w:t>4.1</w:t>
      </w:r>
      <w:r>
        <w:rPr>
          <w:rStyle w:val="137"/>
          <w:rFonts w:hint="eastAsia" w:ascii="Times New Roman" w:cs="宋体"/>
          <w:highlight w:val="none"/>
          <w:lang w:val="en-US"/>
        </w:rPr>
        <w:t>0</w:t>
      </w:r>
      <w:r>
        <w:rPr>
          <w:rStyle w:val="137"/>
          <w:rFonts w:hint="eastAsia" w:ascii="Times New Roman" w:cs="宋体"/>
          <w:highlight w:val="none"/>
        </w:rPr>
        <w:t xml:space="preserve"> 智慧工地管理系统应建立统一规范的数字化移交标准。</w:t>
      </w:r>
    </w:p>
    <w:p w14:paraId="7865E069">
      <w:pPr>
        <w:rPr>
          <w:rStyle w:val="137"/>
          <w:rFonts w:ascii="Times New Roman" w:cs="宋体"/>
          <w:highlight w:val="none"/>
        </w:rPr>
      </w:pPr>
      <w:r>
        <w:rPr>
          <w:rStyle w:val="137"/>
          <w:rFonts w:hint="eastAsia" w:ascii="Times New Roman" w:cs="宋体"/>
          <w:highlight w:val="none"/>
        </w:rPr>
        <w:t>4.1</w:t>
      </w:r>
      <w:r>
        <w:rPr>
          <w:rStyle w:val="137"/>
          <w:rFonts w:hint="eastAsia" w:ascii="Times New Roman" w:cs="宋体"/>
          <w:highlight w:val="none"/>
          <w:lang w:val="en-US"/>
        </w:rPr>
        <w:t>1</w:t>
      </w:r>
      <w:r>
        <w:rPr>
          <w:rStyle w:val="137"/>
          <w:rFonts w:hint="eastAsia" w:ascii="Times New Roman" w:cs="宋体"/>
          <w:highlight w:val="none"/>
        </w:rPr>
        <w:t xml:space="preserve"> 智慧工地管理系统宜</w:t>
      </w:r>
      <w:r>
        <w:rPr>
          <w:rStyle w:val="137"/>
          <w:rFonts w:hint="eastAsia" w:ascii="Times New Roman" w:cs="宋体"/>
          <w:highlight w:val="none"/>
          <w:lang w:val="en-US"/>
        </w:rPr>
        <w:t>满足</w:t>
      </w:r>
      <w:r>
        <w:rPr>
          <w:rStyle w:val="137"/>
          <w:rFonts w:hint="eastAsia" w:ascii="Times New Roman" w:cs="宋体"/>
          <w:highlight w:val="none"/>
        </w:rPr>
        <w:t xml:space="preserve">GB/T 36073中受管理级、稳健级的要求。 </w:t>
      </w:r>
    </w:p>
    <w:p w14:paraId="4E0D8F38">
      <w:pPr>
        <w:rPr>
          <w:rStyle w:val="137"/>
          <w:rFonts w:ascii="Times New Roman" w:cs="宋体"/>
          <w:highlight w:val="none"/>
        </w:rPr>
      </w:pPr>
      <w:r>
        <w:rPr>
          <w:rStyle w:val="137"/>
          <w:rFonts w:hint="eastAsia" w:ascii="Times New Roman" w:cs="宋体"/>
          <w:highlight w:val="none"/>
        </w:rPr>
        <w:t>4.1</w:t>
      </w:r>
      <w:r>
        <w:rPr>
          <w:rStyle w:val="137"/>
          <w:rFonts w:hint="eastAsia" w:ascii="Times New Roman" w:cs="宋体"/>
          <w:highlight w:val="none"/>
          <w:lang w:val="en-US"/>
        </w:rPr>
        <w:t>2</w:t>
      </w:r>
      <w:r>
        <w:rPr>
          <w:rStyle w:val="137"/>
          <w:rFonts w:hint="eastAsia" w:ascii="Times New Roman" w:cs="宋体"/>
          <w:highlight w:val="none"/>
        </w:rPr>
        <w:t xml:space="preserve"> 智慧工地管理系统基础设施应包括信息采集设备、网络基础设施、技术平台、控制机房、信息应用终端，见附录B。智慧工地管理系统部署、安装、运行及维护，见附录C。</w:t>
      </w:r>
    </w:p>
    <w:p w14:paraId="5820A9B9">
      <w:pPr>
        <w:pStyle w:val="85"/>
        <w:spacing w:before="312" w:after="312"/>
        <w:rPr>
          <w:rFonts w:ascii="Times New Roman" w:hAnsi="Times New Roman"/>
          <w:highlight w:val="none"/>
        </w:rPr>
      </w:pPr>
      <w:bookmarkStart w:id="54" w:name="_Toc22611"/>
      <w:bookmarkStart w:id="55" w:name="_Toc30636"/>
      <w:bookmarkStart w:id="56" w:name="_Toc7381"/>
      <w:bookmarkStart w:id="57" w:name="_Toc25952"/>
      <w:bookmarkStart w:id="58" w:name="_Toc17527"/>
      <w:bookmarkStart w:id="59" w:name="_Toc190350368"/>
      <w:r>
        <w:rPr>
          <w:rFonts w:hint="eastAsia" w:ascii="Times New Roman" w:hAnsi="Times New Roman"/>
          <w:highlight w:val="none"/>
        </w:rPr>
        <w:t>设计管理</w:t>
      </w:r>
      <w:bookmarkEnd w:id="54"/>
      <w:bookmarkEnd w:id="55"/>
      <w:bookmarkEnd w:id="56"/>
      <w:bookmarkEnd w:id="57"/>
      <w:bookmarkEnd w:id="58"/>
      <w:bookmarkEnd w:id="59"/>
      <w:r>
        <w:rPr>
          <w:rFonts w:hint="eastAsia" w:ascii="Times New Roman" w:hAnsi="Times New Roman"/>
          <w:highlight w:val="none"/>
        </w:rPr>
        <w:t xml:space="preserve"> </w:t>
      </w:r>
    </w:p>
    <w:p w14:paraId="30F70A8A">
      <w:pPr>
        <w:rPr>
          <w:rStyle w:val="137"/>
          <w:rFonts w:ascii="Times New Roman" w:cs="宋体"/>
          <w:highlight w:val="none"/>
        </w:rPr>
      </w:pPr>
      <w:r>
        <w:rPr>
          <w:rStyle w:val="137"/>
          <w:rFonts w:hint="eastAsia" w:ascii="Times New Roman" w:cs="宋体"/>
          <w:highlight w:val="none"/>
        </w:rPr>
        <w:t>5.1 设计管理应包括设计资料导入、设计成品交底、设计成品展示、设计成品应用等。</w:t>
      </w:r>
    </w:p>
    <w:p w14:paraId="34815404">
      <w:pPr>
        <w:rPr>
          <w:rStyle w:val="137"/>
          <w:rFonts w:ascii="Times New Roman" w:cs="宋体"/>
          <w:highlight w:val="none"/>
        </w:rPr>
      </w:pPr>
      <w:r>
        <w:rPr>
          <w:rStyle w:val="137"/>
          <w:rFonts w:hint="eastAsia" w:ascii="Times New Roman" w:cs="宋体"/>
          <w:highlight w:val="none"/>
        </w:rPr>
        <w:t>5.2 设计资料导入包括图纸、说明书、环境要素等，应实现设计资料在智慧工地管理系统数据信息的开放和共享。</w:t>
      </w:r>
    </w:p>
    <w:p w14:paraId="41A49B0D">
      <w:pPr>
        <w:rPr>
          <w:rStyle w:val="137"/>
          <w:rFonts w:hint="default" w:ascii="Times New Roman" w:cs="宋体"/>
          <w:highlight w:val="none"/>
          <w:lang w:val="en-US"/>
        </w:rPr>
      </w:pPr>
      <w:r>
        <w:rPr>
          <w:rStyle w:val="137"/>
          <w:rFonts w:hint="eastAsia" w:ascii="Times New Roman" w:cs="宋体"/>
          <w:highlight w:val="none"/>
        </w:rPr>
        <w:t>5.3 设计成品</w:t>
      </w:r>
      <w:r>
        <w:rPr>
          <w:rStyle w:val="137"/>
          <w:rFonts w:hint="eastAsia" w:ascii="Times New Roman" w:cs="宋体"/>
          <w:highlight w:val="none"/>
          <w:lang w:val="en-US"/>
        </w:rPr>
        <w:t>宜</w:t>
      </w:r>
      <w:r>
        <w:rPr>
          <w:rStyle w:val="137"/>
          <w:rFonts w:hint="eastAsia" w:ascii="Times New Roman" w:cs="宋体"/>
          <w:highlight w:val="none"/>
        </w:rPr>
        <w:t>实现项目相关方协同在线审核，应实现批注、发送、接收、修改全过程数字化管理，应具备文档更新记录和查看功能，应体现设计变更过程。</w:t>
      </w:r>
      <w:r>
        <w:rPr>
          <w:rStyle w:val="137"/>
          <w:rFonts w:hint="eastAsia" w:ascii="Times New Roman" w:cs="宋体"/>
          <w:highlight w:val="none"/>
          <w:lang w:val="en-US"/>
        </w:rPr>
        <w:t>初设、施工图、竣工图、设计变更文件应在规定时限内交付。</w:t>
      </w:r>
    </w:p>
    <w:p w14:paraId="431B8E93">
      <w:pPr>
        <w:rPr>
          <w:rStyle w:val="137"/>
          <w:rFonts w:ascii="Times New Roman" w:cs="宋体"/>
          <w:highlight w:val="none"/>
        </w:rPr>
      </w:pPr>
      <w:r>
        <w:rPr>
          <w:rStyle w:val="137"/>
          <w:rFonts w:hint="eastAsia" w:ascii="Times New Roman" w:cs="宋体"/>
          <w:highlight w:val="none"/>
        </w:rPr>
        <w:t>5.4 设计成品宜实现采购信息、施工信息、地理信息与设计信息等数据的互通。</w:t>
      </w:r>
    </w:p>
    <w:p w14:paraId="469D39CF">
      <w:pPr>
        <w:rPr>
          <w:rStyle w:val="137"/>
          <w:rFonts w:ascii="Times New Roman" w:cs="宋体"/>
          <w:highlight w:val="none"/>
        </w:rPr>
      </w:pPr>
      <w:r>
        <w:rPr>
          <w:rStyle w:val="137"/>
          <w:rFonts w:hint="eastAsia" w:ascii="Times New Roman" w:cs="宋体"/>
          <w:highlight w:val="none"/>
        </w:rPr>
        <w:t>5.5 设计成品宜满足设计、采购业务链数字化协同，提高业务流程自动化，缩短采购周期，降低采购成本。</w:t>
      </w:r>
    </w:p>
    <w:p w14:paraId="5176E0C0">
      <w:pPr>
        <w:rPr>
          <w:rStyle w:val="137"/>
          <w:rFonts w:hint="eastAsia" w:ascii="Times New Roman" w:cs="宋体"/>
          <w:highlight w:val="none"/>
        </w:rPr>
      </w:pPr>
      <w:r>
        <w:rPr>
          <w:rStyle w:val="137"/>
          <w:rFonts w:hint="eastAsia" w:ascii="Times New Roman" w:cs="宋体"/>
          <w:highlight w:val="none"/>
        </w:rPr>
        <w:t>5.6 设计成品应</w:t>
      </w:r>
      <w:r>
        <w:rPr>
          <w:rStyle w:val="137"/>
          <w:rFonts w:hint="eastAsia" w:ascii="Times New Roman" w:cs="宋体"/>
          <w:highlight w:val="none"/>
          <w:lang w:val="en-US"/>
        </w:rPr>
        <w:t>具备</w:t>
      </w:r>
      <w:r>
        <w:rPr>
          <w:rStyle w:val="137"/>
          <w:rFonts w:hint="eastAsia" w:ascii="Times New Roman" w:cs="宋体"/>
          <w:highlight w:val="none"/>
        </w:rPr>
        <w:t>通过移动设备浏览项目模型及图纸</w:t>
      </w:r>
      <w:r>
        <w:rPr>
          <w:rStyle w:val="137"/>
          <w:rFonts w:hint="eastAsia" w:ascii="Times New Roman" w:cs="宋体"/>
          <w:highlight w:val="none"/>
          <w:lang w:val="en-US"/>
        </w:rPr>
        <w:t>功能</w:t>
      </w:r>
      <w:r>
        <w:rPr>
          <w:rStyle w:val="137"/>
          <w:rFonts w:hint="eastAsia" w:ascii="Times New Roman" w:cs="宋体"/>
          <w:highlight w:val="none"/>
        </w:rPr>
        <w:t>，并</w:t>
      </w:r>
      <w:r>
        <w:rPr>
          <w:rStyle w:val="137"/>
          <w:rFonts w:hint="eastAsia" w:ascii="Times New Roman" w:cs="宋体"/>
          <w:highlight w:val="none"/>
          <w:lang w:val="en-US"/>
        </w:rPr>
        <w:t>支持</w:t>
      </w:r>
      <w:r>
        <w:rPr>
          <w:rStyle w:val="137"/>
          <w:rFonts w:hint="eastAsia" w:ascii="Times New Roman" w:cs="宋体"/>
          <w:highlight w:val="none"/>
        </w:rPr>
        <w:t>版本更新。</w:t>
      </w:r>
    </w:p>
    <w:p w14:paraId="2A4BABFA">
      <w:pPr>
        <w:rPr>
          <w:rStyle w:val="137"/>
          <w:rFonts w:hint="eastAsia" w:ascii="Times New Roman" w:hAnsi="Times New Roman" w:eastAsia="宋体" w:cs="宋体"/>
          <w:highlight w:val="none"/>
          <w:lang w:val="en-US"/>
        </w:rPr>
      </w:pPr>
      <w:r>
        <w:rPr>
          <w:rStyle w:val="137"/>
          <w:rFonts w:hint="eastAsia" w:ascii="Times New Roman" w:hAnsi="Times New Roman" w:eastAsia="宋体" w:cs="宋体"/>
          <w:highlight w:val="none"/>
          <w:lang w:val="en-US"/>
        </w:rPr>
        <w:t xml:space="preserve">5.7 </w:t>
      </w:r>
      <w:r>
        <w:rPr>
          <w:rStyle w:val="137"/>
          <w:rFonts w:hint="eastAsia" w:ascii="Times New Roman" w:hAnsi="Times New Roman" w:cs="宋体"/>
          <w:highlight w:val="none"/>
          <w:lang w:val="en-US" w:eastAsia="zh"/>
          <w:woUserID w:val="1"/>
        </w:rPr>
        <w:t>项目前期应</w:t>
      </w:r>
      <w:r>
        <w:rPr>
          <w:rStyle w:val="137"/>
          <w:rFonts w:hint="eastAsia" w:ascii="Times New Roman" w:hAnsi="Times New Roman" w:eastAsia="宋体" w:cs="宋体"/>
          <w:highlight w:val="none"/>
          <w:lang w:val="en-US"/>
          <w:woUserID w:val="1"/>
        </w:rPr>
        <w:t>充分考虑智慧工地建设相关费用</w:t>
      </w:r>
      <w:r>
        <w:rPr>
          <w:rStyle w:val="137"/>
          <w:rFonts w:hint="eastAsia" w:ascii="Times New Roman" w:hAnsi="Times New Roman" w:cs="宋体"/>
          <w:highlight w:val="none"/>
          <w:lang w:val="en-US" w:eastAsia="zh"/>
          <w:woUserID w:val="1"/>
        </w:rPr>
        <w:t>，</w:t>
      </w:r>
      <w:r>
        <w:rPr>
          <w:rStyle w:val="137"/>
          <w:rFonts w:hint="eastAsia" w:ascii="Times New Roman" w:hAnsi="Times New Roman" w:eastAsia="宋体" w:cs="宋体"/>
          <w:highlight w:val="none"/>
          <w:lang w:val="en-US"/>
        </w:rPr>
        <w:t>设计阶段优先选用支持智慧工地建设相关信息交互的设备。</w:t>
      </w:r>
    </w:p>
    <w:p w14:paraId="2FAE4812">
      <w:pPr>
        <w:rPr>
          <w:rStyle w:val="137"/>
          <w:rFonts w:hint="eastAsia" w:ascii="Times New Roman" w:hAnsi="Times New Roman" w:eastAsia="宋体" w:cs="宋体"/>
          <w:highlight w:val="none"/>
          <w:lang w:val="en-US"/>
        </w:rPr>
      </w:pPr>
      <w:r>
        <w:rPr>
          <w:rStyle w:val="137"/>
          <w:rFonts w:hint="eastAsia" w:ascii="Times New Roman" w:hAnsi="Times New Roman" w:eastAsia="宋体" w:cs="宋体"/>
          <w:highlight w:val="none"/>
          <w:lang w:val="en-US"/>
        </w:rPr>
        <w:t>5.8 设备生产制造环节应积极响应智慧工地相关技术要求，</w:t>
      </w:r>
      <w:r>
        <w:rPr>
          <w:rStyle w:val="137"/>
          <w:rFonts w:hint="eastAsia" w:ascii="Times New Roman" w:hAnsi="Times New Roman" w:cs="宋体"/>
          <w:highlight w:val="none"/>
          <w:lang w:val="en-US" w:eastAsia="zh"/>
          <w:woUserID w:val="11"/>
        </w:rPr>
        <w:t>优先考虑预装式配电房设备和预制式基础，</w:t>
      </w:r>
      <w:r>
        <w:rPr>
          <w:rStyle w:val="137"/>
          <w:rFonts w:hint="eastAsia" w:ascii="Times New Roman" w:hAnsi="Times New Roman" w:eastAsia="宋体" w:cs="宋体"/>
          <w:highlight w:val="none"/>
          <w:lang w:val="en-US"/>
        </w:rPr>
        <w:t>为施工工地智慧化建设、配电设备智能化运维预留接口。</w:t>
      </w:r>
    </w:p>
    <w:p w14:paraId="011E54A4">
      <w:pPr>
        <w:pStyle w:val="85"/>
        <w:spacing w:before="312" w:after="312"/>
        <w:rPr>
          <w:rFonts w:ascii="Times New Roman" w:hAnsi="Times New Roman"/>
          <w:color w:val="auto"/>
          <w:highlight w:val="none"/>
        </w:rPr>
      </w:pPr>
      <w:bookmarkStart w:id="60" w:name="_Toc190350369"/>
      <w:bookmarkStart w:id="61" w:name="_Toc21576"/>
      <w:bookmarkStart w:id="62" w:name="_Toc14194"/>
      <w:bookmarkStart w:id="63" w:name="_Toc9885"/>
      <w:bookmarkStart w:id="64" w:name="_Toc27071"/>
      <w:bookmarkStart w:id="65" w:name="_Toc190350370"/>
      <w:bookmarkStart w:id="66" w:name="_Toc28537"/>
      <w:r>
        <w:rPr>
          <w:rFonts w:hint="eastAsia" w:ascii="Times New Roman" w:hAnsi="Times New Roman"/>
          <w:color w:val="auto"/>
          <w:highlight w:val="none"/>
          <w:lang w:val="en-US" w:eastAsia="zh"/>
          <w:woUserID w:val="1"/>
        </w:rPr>
        <w:t>采购</w:t>
      </w:r>
      <w:r>
        <w:rPr>
          <w:rFonts w:hint="eastAsia" w:ascii="Times New Roman" w:hAnsi="Times New Roman"/>
          <w:color w:val="auto"/>
          <w:highlight w:val="none"/>
        </w:rPr>
        <w:t>管理</w:t>
      </w:r>
      <w:bookmarkEnd w:id="60"/>
      <w:bookmarkEnd w:id="61"/>
    </w:p>
    <w:p w14:paraId="0D476716">
      <w:pPr>
        <w:rPr>
          <w:rStyle w:val="137"/>
          <w:rFonts w:hint="eastAsia" w:ascii="Times New Roman" w:cs="宋体"/>
          <w:color w:val="auto"/>
          <w:highlight w:val="none"/>
        </w:rPr>
      </w:pPr>
      <w:r>
        <w:rPr>
          <w:rStyle w:val="137"/>
          <w:rFonts w:hint="eastAsia" w:ascii="Times New Roman" w:cs="宋体"/>
          <w:color w:val="auto"/>
          <w:highlight w:val="none"/>
          <w:lang w:val="en-US"/>
        </w:rPr>
        <w:t>6.1</w:t>
      </w:r>
      <w:r>
        <w:rPr>
          <w:rStyle w:val="137"/>
          <w:rFonts w:hint="eastAsia" w:ascii="Times New Roman" w:cs="宋体"/>
          <w:color w:val="auto"/>
          <w:highlight w:val="none"/>
        </w:rPr>
        <w:t>物资需求管理</w:t>
      </w:r>
    </w:p>
    <w:p w14:paraId="5E85EF11">
      <w:pPr>
        <w:rPr>
          <w:rStyle w:val="137"/>
          <w:rFonts w:hint="eastAsia" w:ascii="Times New Roman" w:cs="宋体"/>
          <w:color w:val="auto"/>
          <w:highlight w:val="none"/>
          <w:woUserID w:val="1"/>
        </w:rPr>
      </w:pPr>
      <w:r>
        <w:rPr>
          <w:rStyle w:val="137"/>
          <w:rFonts w:hint="eastAsia" w:ascii="Times New Roman" w:cs="宋体"/>
          <w:color w:val="auto"/>
          <w:highlight w:val="none"/>
          <w:lang w:val="en-US"/>
          <w:woUserID w:val="1"/>
        </w:rPr>
        <w:t>6.1.</w:t>
      </w:r>
      <w:r>
        <w:rPr>
          <w:rStyle w:val="137"/>
          <w:rFonts w:hint="eastAsia" w:ascii="Times New Roman" w:cs="宋体"/>
          <w:color w:val="auto"/>
          <w:highlight w:val="none"/>
          <w:lang w:val="en-US" w:eastAsia="zh"/>
          <w:woUserID w:val="1"/>
        </w:rPr>
        <w:t>1</w:t>
      </w:r>
      <w:r>
        <w:rPr>
          <w:rStyle w:val="137"/>
          <w:rFonts w:hint="eastAsia" w:ascii="Times New Roman" w:cs="宋体"/>
          <w:color w:val="auto"/>
          <w:highlight w:val="none"/>
          <w:woUserID w:val="1"/>
        </w:rPr>
        <w:t>需求预测：利用历史工程数据，对通用物资进行消耗预测，辅助制定前瞻性采购策略。</w:t>
      </w:r>
    </w:p>
    <w:p w14:paraId="788483F0">
      <w:pPr>
        <w:rPr>
          <w:rStyle w:val="137"/>
          <w:rFonts w:hint="eastAsia" w:ascii="Times New Roman" w:cs="宋体"/>
          <w:color w:val="auto"/>
          <w:highlight w:val="none"/>
        </w:rPr>
      </w:pPr>
      <w:r>
        <w:rPr>
          <w:rStyle w:val="137"/>
          <w:rFonts w:hint="eastAsia" w:ascii="Times New Roman" w:cs="宋体"/>
          <w:color w:val="auto"/>
          <w:highlight w:val="none"/>
          <w:lang w:val="en-US"/>
        </w:rPr>
        <w:t>6.1.</w:t>
      </w:r>
      <w:r>
        <w:rPr>
          <w:rStyle w:val="137"/>
          <w:rFonts w:hint="eastAsia" w:ascii="Times New Roman" w:cs="宋体"/>
          <w:color w:val="auto"/>
          <w:highlight w:val="none"/>
          <w:lang w:val="en-US" w:eastAsia="zh"/>
          <w:woUserID w:val="1"/>
        </w:rPr>
        <w:t>2</w:t>
      </w:r>
      <w:r>
        <w:rPr>
          <w:rStyle w:val="137"/>
          <w:rFonts w:hint="eastAsia" w:ascii="Times New Roman" w:cs="宋体"/>
          <w:color w:val="auto"/>
          <w:highlight w:val="none"/>
        </w:rPr>
        <w:t>智能提报：基于施工进度计划，自动生成或辅助生成物料清单，实现需求计划的精准、自动提报。</w:t>
      </w:r>
    </w:p>
    <w:p w14:paraId="4D31759B">
      <w:pPr>
        <w:rPr>
          <w:rStyle w:val="137"/>
          <w:rFonts w:hint="eastAsia" w:ascii="Times New Roman" w:cs="宋体"/>
          <w:color w:val="auto"/>
          <w:highlight w:val="none"/>
        </w:rPr>
      </w:pPr>
      <w:r>
        <w:rPr>
          <w:rStyle w:val="137"/>
          <w:rFonts w:hint="eastAsia" w:ascii="Times New Roman" w:cs="宋体"/>
          <w:color w:val="auto"/>
          <w:highlight w:val="none"/>
          <w:lang w:val="en-US"/>
        </w:rPr>
        <w:t>6.1.</w:t>
      </w:r>
      <w:r>
        <w:rPr>
          <w:rStyle w:val="137"/>
          <w:rFonts w:hint="eastAsia" w:ascii="Times New Roman" w:cs="宋体"/>
          <w:color w:val="auto"/>
          <w:highlight w:val="none"/>
          <w:lang w:val="en-US" w:eastAsia="zh"/>
          <w:woUserID w:val="1"/>
        </w:rPr>
        <w:t>3</w:t>
      </w:r>
      <w:r>
        <w:rPr>
          <w:rStyle w:val="137"/>
          <w:rFonts w:hint="eastAsia" w:ascii="Times New Roman" w:cs="宋体"/>
          <w:color w:val="auto"/>
          <w:highlight w:val="none"/>
        </w:rPr>
        <w:t>需求协同：项目现场、设计、采购部门通过平台在线协同审核与确认需求计划，确保数据一致性，记录变更履历。</w:t>
      </w:r>
    </w:p>
    <w:p w14:paraId="652102E5">
      <w:pPr>
        <w:rPr>
          <w:rStyle w:val="137"/>
          <w:rFonts w:hint="eastAsia" w:ascii="Times New Roman" w:cs="宋体"/>
          <w:color w:val="auto"/>
          <w:highlight w:val="none"/>
        </w:rPr>
      </w:pPr>
      <w:r>
        <w:rPr>
          <w:rStyle w:val="137"/>
          <w:rFonts w:hint="eastAsia" w:ascii="Times New Roman" w:cs="宋体"/>
          <w:color w:val="auto"/>
          <w:highlight w:val="none"/>
          <w:lang w:val="en-US"/>
        </w:rPr>
        <w:t>6.2</w:t>
      </w:r>
      <w:r>
        <w:rPr>
          <w:rStyle w:val="137"/>
          <w:rFonts w:hint="eastAsia" w:ascii="Times New Roman" w:cs="宋体"/>
          <w:color w:val="auto"/>
          <w:highlight w:val="none"/>
        </w:rPr>
        <w:t>采购过程管理</w:t>
      </w:r>
    </w:p>
    <w:p w14:paraId="30AAFFA2">
      <w:pPr>
        <w:rPr>
          <w:rStyle w:val="137"/>
          <w:rFonts w:hint="eastAsia" w:ascii="Times New Roman" w:cs="宋体"/>
          <w:color w:val="auto"/>
          <w:highlight w:val="none"/>
        </w:rPr>
      </w:pPr>
      <w:r>
        <w:rPr>
          <w:rStyle w:val="137"/>
          <w:rFonts w:hint="eastAsia" w:ascii="Times New Roman" w:cs="宋体"/>
          <w:color w:val="auto"/>
          <w:highlight w:val="none"/>
          <w:lang w:val="en-US"/>
        </w:rPr>
        <w:t>6.2.1</w:t>
      </w:r>
      <w:r>
        <w:rPr>
          <w:rStyle w:val="137"/>
          <w:rFonts w:hint="eastAsia" w:ascii="Times New Roman" w:cs="宋体"/>
          <w:color w:val="auto"/>
          <w:highlight w:val="none"/>
        </w:rPr>
        <w:t>数字化采购：通过企业电子商城、招标采购平台等，实现在线寻源、电子招标、线上竞价、电子合同签订等功能。</w:t>
      </w:r>
    </w:p>
    <w:p w14:paraId="71436D5E">
      <w:pPr>
        <w:rPr>
          <w:rStyle w:val="137"/>
          <w:rFonts w:hint="eastAsia" w:ascii="Times New Roman" w:cs="宋体"/>
          <w:color w:val="auto"/>
          <w:highlight w:val="none"/>
        </w:rPr>
      </w:pPr>
      <w:r>
        <w:rPr>
          <w:rStyle w:val="137"/>
          <w:rFonts w:hint="eastAsia" w:ascii="Times New Roman" w:cs="宋体"/>
          <w:color w:val="auto"/>
          <w:highlight w:val="none"/>
          <w:lang w:val="en-US"/>
        </w:rPr>
        <w:t>6.2.2</w:t>
      </w:r>
      <w:r>
        <w:rPr>
          <w:rStyle w:val="137"/>
          <w:rFonts w:hint="eastAsia" w:ascii="Times New Roman" w:cs="宋体"/>
          <w:color w:val="auto"/>
          <w:highlight w:val="none"/>
        </w:rPr>
        <w:t>供应商智慧管理：建立动态供应商数据库，集成绩效评价（质量、交货、服务）、信用评级信息，实现供应商的自动筛选、分级与风险预警。</w:t>
      </w:r>
    </w:p>
    <w:p w14:paraId="25135108">
      <w:pPr>
        <w:rPr>
          <w:rStyle w:val="137"/>
          <w:rFonts w:hint="eastAsia" w:ascii="Times New Roman" w:cs="宋体"/>
          <w:color w:val="auto"/>
          <w:highlight w:val="none"/>
        </w:rPr>
      </w:pPr>
      <w:r>
        <w:rPr>
          <w:rStyle w:val="137"/>
          <w:rFonts w:hint="eastAsia" w:ascii="Times New Roman" w:cs="宋体"/>
          <w:color w:val="auto"/>
          <w:highlight w:val="none"/>
          <w:lang w:val="en-US"/>
        </w:rPr>
        <w:t>6.3</w:t>
      </w:r>
      <w:r>
        <w:rPr>
          <w:rStyle w:val="137"/>
          <w:rFonts w:hint="default" w:ascii="Times New Roman" w:cs="宋体"/>
          <w:color w:val="auto"/>
          <w:highlight w:val="none"/>
        </w:rPr>
        <w:t>生产制造与监造管理（适用关键设备）</w:t>
      </w:r>
    </w:p>
    <w:p w14:paraId="540B6C73">
      <w:pPr>
        <w:rPr>
          <w:rStyle w:val="137"/>
          <w:rFonts w:hint="eastAsia" w:ascii="Times New Roman" w:cs="宋体"/>
          <w:color w:val="auto"/>
          <w:highlight w:val="none"/>
        </w:rPr>
      </w:pPr>
      <w:r>
        <w:rPr>
          <w:rStyle w:val="137"/>
          <w:rFonts w:hint="eastAsia" w:ascii="Times New Roman" w:cs="宋体"/>
          <w:color w:val="auto"/>
          <w:highlight w:val="none"/>
          <w:lang w:val="en-US"/>
        </w:rPr>
        <w:t>6.3.1</w:t>
      </w:r>
      <w:r>
        <w:rPr>
          <w:rStyle w:val="137"/>
          <w:rFonts w:hint="eastAsia" w:ascii="Times New Roman" w:cs="宋体"/>
          <w:color w:val="auto"/>
          <w:highlight w:val="none"/>
        </w:rPr>
        <w:t>生产进度</w:t>
      </w:r>
      <w:r>
        <w:rPr>
          <w:rStyle w:val="137"/>
          <w:rFonts w:hint="eastAsia" w:ascii="Times New Roman" w:cs="宋体"/>
          <w:color w:val="auto"/>
          <w:highlight w:val="none"/>
          <w:lang w:eastAsia="zh"/>
          <w:woUserID w:val="1"/>
        </w:rPr>
        <w:t>监控</w:t>
      </w:r>
      <w:r>
        <w:rPr>
          <w:rStyle w:val="137"/>
          <w:rFonts w:hint="eastAsia" w:ascii="Times New Roman" w:cs="宋体"/>
          <w:color w:val="auto"/>
          <w:highlight w:val="none"/>
        </w:rPr>
        <w:t>：通过供应商协同平台，关键设备供应商反馈主要生产节点（如原材料入厂、组装、试验）进度，实现远程监控。</w:t>
      </w:r>
    </w:p>
    <w:p w14:paraId="50EFED25">
      <w:pPr>
        <w:rPr>
          <w:rStyle w:val="137"/>
          <w:rFonts w:hint="eastAsia" w:ascii="Times New Roman" w:cs="宋体"/>
          <w:color w:val="auto"/>
          <w:highlight w:val="none"/>
        </w:rPr>
      </w:pPr>
      <w:r>
        <w:rPr>
          <w:rStyle w:val="137"/>
          <w:rFonts w:hint="eastAsia" w:ascii="Times New Roman" w:cs="宋体"/>
          <w:color w:val="auto"/>
          <w:highlight w:val="none"/>
          <w:lang w:val="en-US"/>
        </w:rPr>
        <w:t>6.3.2</w:t>
      </w:r>
      <w:r>
        <w:rPr>
          <w:rStyle w:val="137"/>
          <w:rFonts w:hint="eastAsia" w:ascii="Times New Roman" w:cs="宋体"/>
          <w:color w:val="auto"/>
          <w:highlight w:val="none"/>
        </w:rPr>
        <w:t>关键质量控制点远程监控：对变压器、环网柜等关键设备，供应商</w:t>
      </w:r>
      <w:r>
        <w:rPr>
          <w:rStyle w:val="137"/>
          <w:rFonts w:hint="eastAsia" w:ascii="Times New Roman" w:cs="宋体"/>
          <w:color w:val="auto"/>
          <w:highlight w:val="none"/>
          <w:lang w:eastAsia="zh"/>
          <w:woUserID w:val="1"/>
        </w:rPr>
        <w:t>宜</w:t>
      </w:r>
      <w:r>
        <w:rPr>
          <w:rStyle w:val="137"/>
          <w:rFonts w:hint="eastAsia" w:ascii="Times New Roman" w:cs="宋体"/>
          <w:color w:val="auto"/>
          <w:highlight w:val="none"/>
        </w:rPr>
        <w:t>在关键试验工位（如出厂试验）部署视频监控或数据采集装置，支持远程见证或调阅数据。</w:t>
      </w:r>
    </w:p>
    <w:p w14:paraId="1F5CEDB0">
      <w:pPr>
        <w:rPr>
          <w:rStyle w:val="137"/>
          <w:rFonts w:hint="eastAsia" w:ascii="Times New Roman" w:cs="宋体"/>
          <w:color w:val="auto"/>
          <w:highlight w:val="none"/>
        </w:rPr>
      </w:pPr>
      <w:r>
        <w:rPr>
          <w:rStyle w:val="137"/>
          <w:rFonts w:hint="eastAsia" w:ascii="Times New Roman" w:cs="宋体"/>
          <w:color w:val="auto"/>
          <w:highlight w:val="none"/>
          <w:lang w:val="en-US"/>
        </w:rPr>
        <w:t>6.3.3</w:t>
      </w:r>
      <w:r>
        <w:rPr>
          <w:rStyle w:val="137"/>
          <w:rFonts w:hint="eastAsia" w:ascii="Times New Roman" w:cs="宋体"/>
          <w:color w:val="auto"/>
          <w:highlight w:val="none"/>
        </w:rPr>
        <w:t>电子化出厂资料：设备出厂时，供应商需同步提交电子版出厂试验报告、合格证、说明书等，与实物唯一编码绑定。</w:t>
      </w:r>
    </w:p>
    <w:p w14:paraId="17CE026E">
      <w:pPr>
        <w:rPr>
          <w:rStyle w:val="137"/>
          <w:rFonts w:hint="eastAsia" w:ascii="Times New Roman" w:cs="宋体"/>
          <w:color w:val="auto"/>
          <w:highlight w:val="none"/>
        </w:rPr>
      </w:pPr>
      <w:r>
        <w:rPr>
          <w:rStyle w:val="137"/>
          <w:rFonts w:hint="eastAsia" w:ascii="Times New Roman" w:cs="宋体"/>
          <w:color w:val="auto"/>
          <w:highlight w:val="none"/>
          <w:lang w:val="en-US"/>
        </w:rPr>
        <w:t>6.4</w:t>
      </w:r>
      <w:r>
        <w:rPr>
          <w:rStyle w:val="137"/>
          <w:rFonts w:hint="eastAsia" w:ascii="Times New Roman" w:cs="宋体"/>
          <w:color w:val="auto"/>
          <w:highlight w:val="none"/>
        </w:rPr>
        <w:t>物资运输与物流管理</w:t>
      </w:r>
    </w:p>
    <w:p w14:paraId="5CD59BCE">
      <w:pPr>
        <w:rPr>
          <w:rStyle w:val="137"/>
          <w:rFonts w:hint="eastAsia" w:ascii="Times New Roman" w:cs="宋体"/>
          <w:color w:val="auto"/>
          <w:highlight w:val="none"/>
        </w:rPr>
      </w:pPr>
      <w:r>
        <w:rPr>
          <w:rStyle w:val="137"/>
          <w:rFonts w:hint="eastAsia" w:ascii="Times New Roman" w:cs="宋体"/>
          <w:color w:val="auto"/>
          <w:highlight w:val="none"/>
          <w:lang w:val="en-US"/>
        </w:rPr>
        <w:t>6.4.1</w:t>
      </w:r>
      <w:r>
        <w:rPr>
          <w:rStyle w:val="137"/>
          <w:rFonts w:hint="eastAsia" w:ascii="Times New Roman" w:cs="宋体"/>
          <w:color w:val="auto"/>
          <w:highlight w:val="none"/>
        </w:rPr>
        <w:t>智能物流跟踪：对大型或关键设备，要求物流服务商提供基于GPS/北斗的实时位置跟踪信息，并接入智慧工地平台，实现运输轨迹可视化。</w:t>
      </w:r>
    </w:p>
    <w:p w14:paraId="0744D260">
      <w:pPr>
        <w:rPr>
          <w:rStyle w:val="137"/>
          <w:rFonts w:hint="eastAsia" w:ascii="Times New Roman" w:cs="宋体"/>
          <w:color w:val="auto"/>
          <w:highlight w:val="none"/>
        </w:rPr>
      </w:pPr>
      <w:r>
        <w:rPr>
          <w:rStyle w:val="137"/>
          <w:rFonts w:hint="eastAsia" w:ascii="Times New Roman" w:cs="宋体"/>
          <w:color w:val="auto"/>
          <w:highlight w:val="none"/>
          <w:lang w:val="en-US"/>
        </w:rPr>
        <w:t>6.4.2</w:t>
      </w:r>
      <w:r>
        <w:rPr>
          <w:rStyle w:val="137"/>
          <w:rFonts w:hint="eastAsia" w:ascii="Times New Roman" w:cs="宋体"/>
          <w:color w:val="auto"/>
          <w:highlight w:val="none"/>
        </w:rPr>
        <w:t>环境与状态监控：对运输环境有要求的物资（如电瓷产品），采用物联网传感器监测运输途中的震动、倾斜、温湿度等状态，异常情况自动报警。</w:t>
      </w:r>
    </w:p>
    <w:p w14:paraId="62BC5C93">
      <w:pPr>
        <w:rPr>
          <w:rStyle w:val="137"/>
          <w:rFonts w:hint="eastAsia" w:ascii="Times New Roman" w:cs="宋体"/>
          <w:color w:val="auto"/>
          <w:highlight w:val="none"/>
        </w:rPr>
      </w:pPr>
      <w:r>
        <w:rPr>
          <w:rStyle w:val="137"/>
          <w:rFonts w:hint="eastAsia" w:ascii="Times New Roman" w:cs="宋体"/>
          <w:color w:val="auto"/>
          <w:highlight w:val="none"/>
          <w:lang w:val="en-US"/>
        </w:rPr>
        <w:t>6.4.3</w:t>
      </w:r>
      <w:r>
        <w:rPr>
          <w:rStyle w:val="137"/>
          <w:rFonts w:hint="eastAsia" w:ascii="Times New Roman" w:cs="宋体"/>
          <w:color w:val="auto"/>
          <w:highlight w:val="none"/>
        </w:rPr>
        <w:t>到货预报：供应商或物流商在启运、到达前，通过平台自动推送预报信息，便于工地安排接货与存放。</w:t>
      </w:r>
    </w:p>
    <w:p w14:paraId="769C3E6E">
      <w:pPr>
        <w:rPr>
          <w:rStyle w:val="137"/>
          <w:rFonts w:hint="eastAsia" w:ascii="Times New Roman" w:cs="宋体"/>
          <w:color w:val="auto"/>
          <w:highlight w:val="none"/>
        </w:rPr>
      </w:pPr>
      <w:r>
        <w:rPr>
          <w:rStyle w:val="137"/>
          <w:rFonts w:hint="eastAsia" w:ascii="Times New Roman" w:cs="宋体"/>
          <w:color w:val="auto"/>
          <w:highlight w:val="none"/>
          <w:lang w:val="en-US"/>
        </w:rPr>
        <w:t>6.5</w:t>
      </w:r>
      <w:r>
        <w:rPr>
          <w:rStyle w:val="137"/>
          <w:rFonts w:hint="eastAsia" w:ascii="Times New Roman" w:cs="宋体"/>
          <w:color w:val="auto"/>
          <w:highlight w:val="none"/>
        </w:rPr>
        <w:t>物资验收管理</w:t>
      </w:r>
    </w:p>
    <w:p w14:paraId="6CD3974A">
      <w:pPr>
        <w:rPr>
          <w:rStyle w:val="137"/>
          <w:rFonts w:hint="eastAsia" w:ascii="Times New Roman" w:cs="宋体"/>
          <w:color w:val="auto"/>
          <w:highlight w:val="none"/>
        </w:rPr>
      </w:pPr>
      <w:r>
        <w:rPr>
          <w:rStyle w:val="137"/>
          <w:rFonts w:hint="eastAsia" w:ascii="Times New Roman" w:cs="宋体"/>
          <w:color w:val="auto"/>
          <w:highlight w:val="none"/>
          <w:lang w:val="en-US"/>
        </w:rPr>
        <w:t>6.5.1</w:t>
      </w:r>
      <w:r>
        <w:rPr>
          <w:rStyle w:val="137"/>
          <w:rFonts w:hint="eastAsia" w:ascii="Times New Roman" w:cs="宋体"/>
          <w:color w:val="auto"/>
          <w:highlight w:val="none"/>
        </w:rPr>
        <w:t>到货协同验收：现场人员通过移动终端扫描物资唯一标识（二维码/RFID），调取采购订单、技术规范、出厂资料，进行比对验收。</w:t>
      </w:r>
    </w:p>
    <w:p w14:paraId="6149FBCB">
      <w:pPr>
        <w:rPr>
          <w:rStyle w:val="137"/>
          <w:rFonts w:hint="eastAsia" w:ascii="Times New Roman" w:cs="宋体"/>
          <w:color w:val="auto"/>
          <w:highlight w:val="none"/>
        </w:rPr>
      </w:pPr>
      <w:r>
        <w:rPr>
          <w:rStyle w:val="137"/>
          <w:rFonts w:hint="eastAsia" w:ascii="Times New Roman" w:cs="宋体"/>
          <w:color w:val="auto"/>
          <w:highlight w:val="none"/>
          <w:lang w:val="en-US"/>
        </w:rPr>
        <w:t>6.5.2</w:t>
      </w:r>
      <w:r>
        <w:rPr>
          <w:rStyle w:val="137"/>
          <w:rFonts w:hint="eastAsia" w:ascii="Times New Roman" w:cs="宋体"/>
          <w:color w:val="auto"/>
          <w:highlight w:val="none"/>
        </w:rPr>
        <w:t>智能点数与称重：探索应用带有图像识别功能的移动设备或地磅自动称重系统，对散装材料（如电缆）进行快速验收。</w:t>
      </w:r>
    </w:p>
    <w:p w14:paraId="2C21ABBC">
      <w:pPr>
        <w:rPr>
          <w:rStyle w:val="137"/>
          <w:rFonts w:hint="eastAsia" w:ascii="Times New Roman" w:cs="宋体"/>
          <w:color w:val="auto"/>
          <w:highlight w:val="none"/>
          <w:lang w:eastAsia="zh-CN"/>
        </w:rPr>
      </w:pPr>
      <w:r>
        <w:rPr>
          <w:rStyle w:val="137"/>
          <w:rFonts w:hint="eastAsia" w:ascii="Times New Roman" w:cs="宋体"/>
          <w:color w:val="auto"/>
          <w:highlight w:val="none"/>
          <w:lang w:val="en-US"/>
        </w:rPr>
        <w:t>6.5.3</w:t>
      </w:r>
      <w:r>
        <w:rPr>
          <w:rStyle w:val="137"/>
          <w:rFonts w:hint="eastAsia" w:ascii="Times New Roman" w:cs="宋体"/>
          <w:color w:val="auto"/>
          <w:highlight w:val="none"/>
        </w:rPr>
        <w:t>验收数据实时上传：验收结果（合格、不合格、待处理）、现场照片、视频等实时上传至平台，形成电子化验收记录，并触发后续流程。</w:t>
      </w:r>
    </w:p>
    <w:p w14:paraId="39FFF57D">
      <w:pPr>
        <w:rPr>
          <w:rStyle w:val="137"/>
          <w:rFonts w:hint="eastAsia" w:ascii="Times New Roman" w:cs="宋体"/>
          <w:color w:val="auto"/>
          <w:highlight w:val="none"/>
          <w:lang w:eastAsia="zh-CN"/>
        </w:rPr>
      </w:pPr>
      <w:r>
        <w:rPr>
          <w:rStyle w:val="137"/>
          <w:rFonts w:hint="eastAsia" w:ascii="Times New Roman" w:cs="宋体"/>
          <w:color w:val="auto"/>
          <w:highlight w:val="none"/>
          <w:lang w:val="en-US" w:eastAsia="zh-CN"/>
        </w:rPr>
        <w:t>6.6</w:t>
      </w:r>
      <w:r>
        <w:rPr>
          <w:rStyle w:val="137"/>
          <w:rFonts w:hint="eastAsia" w:ascii="Times New Roman" w:cs="宋体"/>
          <w:color w:val="auto"/>
          <w:highlight w:val="none"/>
          <w:lang w:eastAsia="zh-CN"/>
        </w:rPr>
        <w:t>物资出入库与仓储管理</w:t>
      </w:r>
    </w:p>
    <w:p w14:paraId="2C93C4F4">
      <w:pPr>
        <w:rPr>
          <w:rStyle w:val="137"/>
          <w:rFonts w:hint="eastAsia" w:ascii="Times New Roman" w:cs="宋体"/>
          <w:color w:val="auto"/>
          <w:highlight w:val="none"/>
          <w:lang w:eastAsia="zh-CN"/>
        </w:rPr>
      </w:pPr>
      <w:r>
        <w:rPr>
          <w:rStyle w:val="137"/>
          <w:rFonts w:hint="eastAsia" w:ascii="Times New Roman" w:cs="宋体"/>
          <w:color w:val="auto"/>
          <w:highlight w:val="none"/>
          <w:lang w:val="en-US" w:eastAsia="zh-CN"/>
        </w:rPr>
        <w:t>6.6.1</w:t>
      </w:r>
      <w:r>
        <w:rPr>
          <w:rStyle w:val="137"/>
          <w:rFonts w:hint="eastAsia" w:ascii="Times New Roman" w:cs="宋体"/>
          <w:color w:val="auto"/>
          <w:highlight w:val="none"/>
          <w:lang w:eastAsia="zh-CN"/>
        </w:rPr>
        <w:t>智能化仓储：采用电子货架、RFID通道门等技术，实现物资快速、批量、自动化的入库、盘点与出库。</w:t>
      </w:r>
    </w:p>
    <w:p w14:paraId="49D76240">
      <w:pPr>
        <w:rPr>
          <w:rStyle w:val="137"/>
          <w:rFonts w:hint="eastAsia" w:ascii="Times New Roman" w:cs="宋体"/>
          <w:color w:val="auto"/>
          <w:highlight w:val="none"/>
          <w:lang w:eastAsia="zh-CN"/>
        </w:rPr>
      </w:pPr>
      <w:r>
        <w:rPr>
          <w:rStyle w:val="137"/>
          <w:rFonts w:hint="eastAsia" w:ascii="Times New Roman" w:cs="宋体"/>
          <w:color w:val="auto"/>
          <w:highlight w:val="none"/>
          <w:lang w:val="en-US" w:eastAsia="zh-CN"/>
        </w:rPr>
        <w:t>6.6.2</w:t>
      </w:r>
      <w:r>
        <w:rPr>
          <w:rStyle w:val="137"/>
          <w:rFonts w:hint="eastAsia" w:ascii="Times New Roman" w:cs="宋体"/>
          <w:color w:val="auto"/>
          <w:highlight w:val="none"/>
          <w:lang w:eastAsia="zh-CN"/>
        </w:rPr>
        <w:t>库存状态可视：仓储地图可视化，实时显示物资位置、数量、状态（待检、合格、冻结）。</w:t>
      </w:r>
    </w:p>
    <w:p w14:paraId="5BD22C32">
      <w:pPr>
        <w:rPr>
          <w:rStyle w:val="137"/>
          <w:rFonts w:hint="eastAsia" w:ascii="Times New Roman" w:cs="宋体"/>
          <w:color w:val="auto"/>
          <w:highlight w:val="none"/>
          <w:lang w:eastAsia="zh-CN"/>
        </w:rPr>
      </w:pPr>
      <w:r>
        <w:rPr>
          <w:rStyle w:val="137"/>
          <w:rFonts w:hint="eastAsia" w:ascii="Times New Roman" w:cs="宋体"/>
          <w:color w:val="auto"/>
          <w:highlight w:val="none"/>
          <w:lang w:val="en-US" w:eastAsia="zh-CN"/>
        </w:rPr>
        <w:t>6.6.3</w:t>
      </w:r>
      <w:r>
        <w:rPr>
          <w:rStyle w:val="137"/>
          <w:rFonts w:hint="eastAsia" w:ascii="Times New Roman" w:cs="宋体"/>
          <w:color w:val="auto"/>
          <w:highlight w:val="none"/>
          <w:lang w:eastAsia="zh-CN"/>
        </w:rPr>
        <w:t>智能领料与配送：施工班组通过移动端申请领料，系统可根据施工区域和进度，优化拣货路径，并支持AGV小车或无人配送车的调度指令下发。</w:t>
      </w:r>
    </w:p>
    <w:p w14:paraId="293A87E1">
      <w:pPr>
        <w:rPr>
          <w:rStyle w:val="137"/>
          <w:rFonts w:hint="eastAsia" w:ascii="Times New Roman" w:cs="宋体"/>
          <w:color w:val="auto"/>
          <w:highlight w:val="none"/>
          <w:lang w:eastAsia="zh-CN"/>
        </w:rPr>
      </w:pPr>
      <w:r>
        <w:rPr>
          <w:rStyle w:val="137"/>
          <w:rFonts w:hint="eastAsia" w:ascii="Times New Roman" w:cs="宋体"/>
          <w:color w:val="auto"/>
          <w:highlight w:val="none"/>
          <w:lang w:val="en-US" w:eastAsia="zh-CN"/>
        </w:rPr>
        <w:t>6.6.4</w:t>
      </w:r>
      <w:r>
        <w:rPr>
          <w:rStyle w:val="137"/>
          <w:rFonts w:hint="eastAsia" w:ascii="Times New Roman" w:cs="宋体"/>
          <w:color w:val="auto"/>
          <w:highlight w:val="none"/>
          <w:lang w:eastAsia="zh-CN"/>
        </w:rPr>
        <w:t>限额与预警：设置库存上下限，系统自动预警；对领用进行限额控制，关联施工计划与预算。</w:t>
      </w:r>
    </w:p>
    <w:bookmarkEnd w:id="62"/>
    <w:bookmarkEnd w:id="63"/>
    <w:bookmarkEnd w:id="64"/>
    <w:bookmarkEnd w:id="65"/>
    <w:bookmarkEnd w:id="66"/>
    <w:p w14:paraId="4754C246">
      <w:pPr>
        <w:pStyle w:val="85"/>
        <w:spacing w:before="312" w:after="312"/>
        <w:rPr>
          <w:rFonts w:ascii="Times New Roman" w:hAnsi="Times New Roman"/>
          <w:highlight w:val="none"/>
        </w:rPr>
      </w:pPr>
      <w:bookmarkStart w:id="67" w:name="_Toc7357"/>
      <w:bookmarkStart w:id="68" w:name="_Toc26839"/>
      <w:bookmarkStart w:id="69" w:name="_Toc9525"/>
      <w:bookmarkStart w:id="70" w:name="_Toc22716"/>
      <w:bookmarkStart w:id="71" w:name="_Toc13120"/>
      <w:bookmarkStart w:id="72" w:name="_Toc190350371"/>
      <w:r>
        <w:rPr>
          <w:rFonts w:hint="eastAsia" w:ascii="Times New Roman" w:hAnsi="Times New Roman"/>
          <w:highlight w:val="none"/>
        </w:rPr>
        <w:t>施工管理</w:t>
      </w:r>
      <w:bookmarkEnd w:id="67"/>
    </w:p>
    <w:p w14:paraId="25077046">
      <w:pPr>
        <w:rPr>
          <w:rStyle w:val="137"/>
          <w:rFonts w:hint="eastAsia" w:ascii="Times New Roman" w:cs="宋体"/>
          <w:highlight w:val="none"/>
          <w:lang w:eastAsia="zh"/>
          <w:woUserID w:val="1"/>
        </w:rPr>
      </w:pPr>
      <w:r>
        <w:rPr>
          <w:rStyle w:val="137"/>
          <w:rFonts w:hint="eastAsia" w:ascii="Times New Roman" w:cs="宋体"/>
          <w:highlight w:val="none"/>
        </w:rPr>
        <w:t>7.1 施工管理包括：</w:t>
      </w:r>
      <w:r>
        <w:rPr>
          <w:rStyle w:val="137"/>
          <w:rFonts w:hint="eastAsia" w:ascii="Times New Roman" w:cs="宋体"/>
          <w:highlight w:val="none"/>
          <w:lang w:eastAsia="zh"/>
          <w:woUserID w:val="14"/>
        </w:rPr>
        <w:t>通用功能要求及配电网施工场景管理内容</w:t>
      </w:r>
      <w:r>
        <w:rPr>
          <w:rStyle w:val="137"/>
          <w:rFonts w:hint="eastAsia" w:ascii="Times New Roman" w:cs="宋体"/>
          <w:highlight w:val="none"/>
        </w:rPr>
        <w:t>。具体功能宜符合表7.1</w:t>
      </w:r>
      <w:r>
        <w:rPr>
          <w:rStyle w:val="137"/>
          <w:rFonts w:hint="eastAsia" w:ascii="Times New Roman" w:cs="宋体"/>
          <w:highlight w:val="none"/>
          <w:lang w:eastAsia="zh"/>
          <w:woUserID w:val="14"/>
        </w:rPr>
        <w:t>-1、表</w:t>
      </w:r>
      <w:r>
        <w:rPr>
          <w:rStyle w:val="137"/>
          <w:rFonts w:hint="eastAsia" w:ascii="Times New Roman" w:cs="宋体"/>
          <w:highlight w:val="none"/>
          <w:woUserID w:val="14"/>
        </w:rPr>
        <w:t>7.1</w:t>
      </w:r>
      <w:r>
        <w:rPr>
          <w:rStyle w:val="137"/>
          <w:rFonts w:hint="eastAsia" w:ascii="Times New Roman" w:cs="宋体"/>
          <w:highlight w:val="none"/>
          <w:lang w:eastAsia="zh"/>
          <w:woUserID w:val="14"/>
        </w:rPr>
        <w:t>-2</w:t>
      </w:r>
      <w:r>
        <w:rPr>
          <w:rStyle w:val="137"/>
          <w:rFonts w:hint="eastAsia" w:ascii="Times New Roman" w:cs="宋体"/>
          <w:highlight w:val="none"/>
        </w:rPr>
        <w:t>的规定。</w:t>
      </w:r>
    </w:p>
    <w:p w14:paraId="136A197C">
      <w:pPr>
        <w:jc w:val="center"/>
        <w:rPr>
          <w:rStyle w:val="137"/>
          <w:rFonts w:hint="eastAsia" w:ascii="Times New Roman" w:cs="宋体"/>
          <w:highlight w:val="none"/>
          <w:lang w:eastAsia="zh"/>
          <w:woUserID w:val="12"/>
        </w:rPr>
      </w:pPr>
      <w:r>
        <w:rPr>
          <w:rStyle w:val="137"/>
          <w:rFonts w:hint="eastAsia" w:ascii="Times New Roman" w:cs="宋体"/>
          <w:highlight w:val="none"/>
          <w:lang w:eastAsia="zh"/>
          <w:woUserID w:val="12"/>
        </w:rPr>
        <w:t>7.1-1 配电网施工管理内容及通用功能要求</w:t>
      </w:r>
    </w:p>
    <w:tbl>
      <w:tblPr>
        <w:tblStyle w:val="35"/>
        <w:tblW w:w="830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8"/>
        <w:gridCol w:w="1216"/>
        <w:gridCol w:w="1806"/>
        <w:gridCol w:w="4596"/>
      </w:tblGrid>
      <w:tr w14:paraId="0BADB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 w:hRule="atLeast"/>
          <w:tblHeader/>
          <w:jc w:val="center"/>
        </w:trPr>
        <w:tc>
          <w:tcPr>
            <w:tcW w:w="41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08B2E4A">
            <w:pPr>
              <w:keepNext w:val="0"/>
              <w:keepLines w:val="0"/>
              <w:pageBreakBefore w:val="0"/>
              <w:widowControl/>
              <w:suppressLineNumbers w:val="0"/>
              <w:kinsoku/>
              <w:wordWrap/>
              <w:overflowPunct/>
              <w:topLinePunct w:val="0"/>
              <w:autoSpaceDE/>
              <w:autoSpaceDN/>
              <w:bidi w:val="0"/>
              <w:adjustRightInd/>
              <w:snapToGrid w:val="0"/>
              <w:ind w:left="0" w:leftChars="0"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 w:bidi="ar"/>
                <w:woUserID w:val="14"/>
              </w:rPr>
            </w:pPr>
            <w:r>
              <w:rPr>
                <w:rFonts w:hint="eastAsia" w:ascii="宋体" w:hAnsi="宋体" w:cs="宋体"/>
                <w:b/>
                <w:bCs/>
                <w:i w:val="0"/>
                <w:iCs w:val="0"/>
                <w:color w:val="000000"/>
                <w:kern w:val="0"/>
                <w:sz w:val="18"/>
                <w:szCs w:val="18"/>
                <w:highlight w:val="none"/>
                <w:u w:val="none"/>
                <w:lang w:val="en-US" w:eastAsia="zh" w:bidi="ar"/>
                <w:woUserID w:val="14"/>
              </w:rPr>
              <w:t>序号</w:t>
            </w:r>
          </w:p>
        </w:tc>
        <w:tc>
          <w:tcPr>
            <w:tcW w:w="7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D38937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sz w:val="18"/>
                <w:szCs w:val="18"/>
                <w:highlight w:val="none"/>
                <w:u w:val="none"/>
                <w:lang w:eastAsia="zh"/>
                <w:woUserID w:val="14"/>
              </w:rPr>
            </w:pPr>
            <w:r>
              <w:rPr>
                <w:rFonts w:hint="eastAsia" w:ascii="宋体" w:hAnsi="宋体" w:eastAsia="宋体" w:cs="宋体"/>
                <w:b/>
                <w:bCs/>
                <w:i w:val="0"/>
                <w:iCs w:val="0"/>
                <w:color w:val="000000"/>
                <w:kern w:val="0"/>
                <w:sz w:val="18"/>
                <w:szCs w:val="18"/>
                <w:highlight w:val="none"/>
                <w:u w:val="none"/>
                <w:lang w:val="en-US" w:eastAsia="zh-CN" w:bidi="ar"/>
                <w:woUserID w:val="12"/>
              </w:rPr>
              <w:t>管理维度</w:t>
            </w:r>
          </w:p>
        </w:tc>
        <w:tc>
          <w:tcPr>
            <w:tcW w:w="1087" w:type="pct"/>
            <w:tcBorders>
              <w:top w:val="single" w:color="auto" w:sz="4" w:space="0"/>
              <w:left w:val="nil"/>
              <w:bottom w:val="single" w:color="auto" w:sz="4" w:space="0"/>
              <w:right w:val="single" w:color="auto" w:sz="4" w:space="0"/>
            </w:tcBorders>
            <w:shd w:val="clear" w:color="auto" w:fill="auto"/>
            <w:noWrap/>
            <w:vAlign w:val="center"/>
          </w:tcPr>
          <w:p w14:paraId="0E21D0F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sz w:val="18"/>
                <w:szCs w:val="18"/>
                <w:highlight w:val="none"/>
                <w:u w:val="none"/>
                <w:woUserID w:val="12"/>
              </w:rPr>
            </w:pPr>
            <w:r>
              <w:rPr>
                <w:rFonts w:hint="eastAsia" w:ascii="宋体" w:hAnsi="宋体" w:eastAsia="宋体" w:cs="宋体"/>
                <w:b/>
                <w:bCs/>
                <w:i w:val="0"/>
                <w:iCs w:val="0"/>
                <w:color w:val="000000"/>
                <w:kern w:val="0"/>
                <w:sz w:val="18"/>
                <w:szCs w:val="18"/>
                <w:highlight w:val="none"/>
                <w:u w:val="none"/>
                <w:lang w:val="en-US" w:eastAsia="zh-CN" w:bidi="ar"/>
                <w:woUserID w:val="12"/>
              </w:rPr>
              <w:t>管理内容</w:t>
            </w:r>
          </w:p>
        </w:tc>
        <w:tc>
          <w:tcPr>
            <w:tcW w:w="2765" w:type="pct"/>
            <w:tcBorders>
              <w:top w:val="single" w:color="auto" w:sz="4" w:space="0"/>
              <w:left w:val="nil"/>
              <w:bottom w:val="single" w:color="auto" w:sz="4" w:space="0"/>
              <w:right w:val="single" w:color="auto" w:sz="4" w:space="0"/>
            </w:tcBorders>
            <w:shd w:val="clear" w:color="auto" w:fill="auto"/>
            <w:noWrap/>
            <w:vAlign w:val="center"/>
          </w:tcPr>
          <w:p w14:paraId="6D78109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sz w:val="18"/>
                <w:szCs w:val="18"/>
                <w:highlight w:val="none"/>
                <w:u w:val="none"/>
                <w:woUserID w:val="12"/>
              </w:rPr>
            </w:pPr>
            <w:r>
              <w:rPr>
                <w:rFonts w:hint="eastAsia" w:ascii="宋体" w:hAnsi="宋体" w:eastAsia="宋体" w:cs="宋体"/>
                <w:b/>
                <w:bCs/>
                <w:i w:val="0"/>
                <w:iCs w:val="0"/>
                <w:color w:val="000000"/>
                <w:kern w:val="0"/>
                <w:sz w:val="18"/>
                <w:szCs w:val="18"/>
                <w:highlight w:val="none"/>
                <w:u w:val="none"/>
                <w:lang w:val="en-US" w:eastAsia="zh-CN" w:bidi="ar"/>
                <w:woUserID w:val="12"/>
              </w:rPr>
              <w:t>功能要求</w:t>
            </w:r>
          </w:p>
        </w:tc>
      </w:tr>
      <w:tr w14:paraId="117B9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jc w:val="center"/>
        </w:trPr>
        <w:tc>
          <w:tcPr>
            <w:tcW w:w="414" w:type="pct"/>
            <w:tcBorders>
              <w:top w:val="nil"/>
              <w:left w:val="single" w:color="auto" w:sz="4" w:space="0"/>
              <w:bottom w:val="single" w:color="auto" w:sz="4" w:space="0"/>
              <w:right w:val="single" w:color="auto" w:sz="4" w:space="0"/>
            </w:tcBorders>
            <w:shd w:val="clear" w:color="auto" w:fill="auto"/>
            <w:noWrap/>
            <w:vAlign w:val="center"/>
          </w:tcPr>
          <w:p w14:paraId="6DFBBA5E">
            <w:pPr>
              <w:keepNext w:val="0"/>
              <w:keepLines w:val="0"/>
              <w:pageBreakBefore w:val="0"/>
              <w:widowControl/>
              <w:suppressLineNumbers w:val="0"/>
              <w:kinsoku/>
              <w:wordWrap/>
              <w:overflowPunct/>
              <w:topLinePunct w:val="0"/>
              <w:autoSpaceDE/>
              <w:autoSpaceDN/>
              <w:bidi w:val="0"/>
              <w:adjustRightInd/>
              <w:snapToGrid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 w:bidi="ar"/>
                <w:woUserID w:val="14"/>
              </w:rPr>
            </w:pPr>
            <w:r>
              <w:rPr>
                <w:rFonts w:hint="eastAsia" w:ascii="宋体" w:hAnsi="宋体" w:cs="宋体"/>
                <w:i w:val="0"/>
                <w:iCs w:val="0"/>
                <w:color w:val="000000"/>
                <w:kern w:val="0"/>
                <w:sz w:val="18"/>
                <w:szCs w:val="18"/>
                <w:highlight w:val="none"/>
                <w:u w:val="none"/>
                <w:lang w:val="en-US" w:eastAsia="zh" w:bidi="ar"/>
                <w:woUserID w:val="14"/>
              </w:rPr>
              <w:t>1</w:t>
            </w:r>
          </w:p>
        </w:tc>
        <w:tc>
          <w:tcPr>
            <w:tcW w:w="732" w:type="pct"/>
            <w:vMerge w:val="restart"/>
            <w:tcBorders>
              <w:top w:val="nil"/>
              <w:left w:val="single" w:color="auto" w:sz="4" w:space="0"/>
              <w:bottom w:val="single" w:color="auto" w:sz="4" w:space="0"/>
              <w:right w:val="single" w:color="auto" w:sz="4" w:space="0"/>
            </w:tcBorders>
            <w:shd w:val="clear" w:color="auto" w:fill="auto"/>
            <w:noWrap/>
            <w:vAlign w:val="center"/>
          </w:tcPr>
          <w:p w14:paraId="7B0E65C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cs="宋体"/>
                <w:i w:val="0"/>
                <w:iCs w:val="0"/>
                <w:color w:val="000000"/>
                <w:kern w:val="0"/>
                <w:sz w:val="18"/>
                <w:szCs w:val="18"/>
                <w:highlight w:val="none"/>
                <w:u w:val="none"/>
                <w:lang w:val="en-US" w:eastAsia="zh" w:bidi="ar"/>
                <w:woUserID w:val="14"/>
              </w:rPr>
              <w:t>人员管理</w:t>
            </w:r>
          </w:p>
        </w:tc>
        <w:tc>
          <w:tcPr>
            <w:tcW w:w="1087" w:type="pct"/>
            <w:tcBorders>
              <w:top w:val="nil"/>
              <w:left w:val="nil"/>
              <w:bottom w:val="single" w:color="auto" w:sz="4" w:space="0"/>
              <w:right w:val="single" w:color="auto" w:sz="4" w:space="0"/>
            </w:tcBorders>
            <w:shd w:val="clear" w:color="auto" w:fill="auto"/>
            <w:noWrap/>
            <w:vAlign w:val="center"/>
          </w:tcPr>
          <w:p w14:paraId="7511880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人员资质管理</w:t>
            </w:r>
          </w:p>
        </w:tc>
        <w:tc>
          <w:tcPr>
            <w:tcW w:w="2765" w:type="pct"/>
            <w:tcBorders>
              <w:top w:val="nil"/>
              <w:left w:val="nil"/>
              <w:bottom w:val="single" w:color="auto" w:sz="4" w:space="0"/>
              <w:right w:val="single" w:color="auto" w:sz="4" w:space="0"/>
            </w:tcBorders>
            <w:shd w:val="clear" w:color="auto" w:fill="auto"/>
            <w:vAlign w:val="center"/>
          </w:tcPr>
          <w:p w14:paraId="7278055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建立参建单位与人员电子资质库，宜同步对接国家资质平台进行在线核验。实现资质证书全生命周期管理，具备证件到期、年检提醒的自动预警功能，并与现场门禁、作业权限系统联动，杜绝无证上岗。</w:t>
            </w:r>
          </w:p>
        </w:tc>
      </w:tr>
      <w:tr w14:paraId="3DD67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jc w:val="center"/>
        </w:trPr>
        <w:tc>
          <w:tcPr>
            <w:tcW w:w="414" w:type="pct"/>
            <w:tcBorders>
              <w:top w:val="nil"/>
              <w:left w:val="single" w:color="auto" w:sz="4" w:space="0"/>
              <w:bottom w:val="single" w:color="auto" w:sz="4" w:space="0"/>
              <w:right w:val="single" w:color="auto" w:sz="4" w:space="0"/>
            </w:tcBorders>
            <w:shd w:val="clear" w:color="auto" w:fill="auto"/>
            <w:noWrap/>
            <w:vAlign w:val="center"/>
          </w:tcPr>
          <w:p w14:paraId="69158AF2">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2</w:t>
            </w:r>
          </w:p>
        </w:tc>
        <w:tc>
          <w:tcPr>
            <w:tcW w:w="732" w:type="pct"/>
            <w:vMerge w:val="continue"/>
            <w:tcBorders>
              <w:top w:val="nil"/>
              <w:left w:val="single" w:color="auto" w:sz="4" w:space="0"/>
              <w:bottom w:val="single" w:color="auto" w:sz="4" w:space="0"/>
              <w:right w:val="single" w:color="auto" w:sz="4" w:space="0"/>
            </w:tcBorders>
            <w:shd w:val="clear" w:color="auto" w:fill="auto"/>
            <w:noWrap/>
            <w:vAlign w:val="center"/>
          </w:tcPr>
          <w:p w14:paraId="65DA336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highlight w:val="none"/>
                <w:u w:val="none"/>
                <w:woUserID w:val="12"/>
              </w:rPr>
            </w:pPr>
          </w:p>
        </w:tc>
        <w:tc>
          <w:tcPr>
            <w:tcW w:w="1087" w:type="pct"/>
            <w:tcBorders>
              <w:top w:val="nil"/>
              <w:left w:val="nil"/>
              <w:bottom w:val="single" w:color="auto" w:sz="4" w:space="0"/>
              <w:right w:val="single" w:color="auto" w:sz="4" w:space="0"/>
            </w:tcBorders>
            <w:shd w:val="clear" w:color="auto" w:fill="auto"/>
            <w:noWrap/>
            <w:vAlign w:val="center"/>
          </w:tcPr>
          <w:p w14:paraId="206D223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人员培训管理</w:t>
            </w:r>
          </w:p>
        </w:tc>
        <w:tc>
          <w:tcPr>
            <w:tcW w:w="2765" w:type="pct"/>
            <w:tcBorders>
              <w:top w:val="nil"/>
              <w:left w:val="nil"/>
              <w:bottom w:val="single" w:color="auto" w:sz="4" w:space="0"/>
              <w:right w:val="single" w:color="auto" w:sz="4" w:space="0"/>
            </w:tcBorders>
            <w:shd w:val="clear" w:color="auto" w:fill="auto"/>
            <w:vAlign w:val="center"/>
          </w:tcPr>
          <w:p w14:paraId="7BCD544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使用视频记录进场人员安规、保命教育培训考试，确保所有作业人员必须经过安全培训，且培训考试过程真实。</w:t>
            </w:r>
          </w:p>
        </w:tc>
      </w:tr>
      <w:tr w14:paraId="6CAE0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jc w:val="center"/>
        </w:trPr>
        <w:tc>
          <w:tcPr>
            <w:tcW w:w="414" w:type="pct"/>
            <w:tcBorders>
              <w:top w:val="nil"/>
              <w:left w:val="single" w:color="auto" w:sz="4" w:space="0"/>
              <w:bottom w:val="single" w:color="auto" w:sz="4" w:space="0"/>
              <w:right w:val="single" w:color="auto" w:sz="4" w:space="0"/>
            </w:tcBorders>
            <w:shd w:val="clear" w:color="auto" w:fill="auto"/>
            <w:noWrap/>
            <w:vAlign w:val="center"/>
          </w:tcPr>
          <w:p w14:paraId="13685552">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3</w:t>
            </w:r>
          </w:p>
        </w:tc>
        <w:tc>
          <w:tcPr>
            <w:tcW w:w="732" w:type="pct"/>
            <w:vMerge w:val="continue"/>
            <w:tcBorders>
              <w:top w:val="nil"/>
              <w:left w:val="single" w:color="auto" w:sz="4" w:space="0"/>
              <w:bottom w:val="single" w:color="auto" w:sz="4" w:space="0"/>
              <w:right w:val="single" w:color="auto" w:sz="4" w:space="0"/>
            </w:tcBorders>
            <w:shd w:val="clear" w:color="auto" w:fill="auto"/>
            <w:noWrap/>
            <w:vAlign w:val="center"/>
          </w:tcPr>
          <w:p w14:paraId="358021F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highlight w:val="none"/>
                <w:u w:val="none"/>
                <w:woUserID w:val="12"/>
              </w:rPr>
            </w:pPr>
          </w:p>
        </w:tc>
        <w:tc>
          <w:tcPr>
            <w:tcW w:w="1087" w:type="pct"/>
            <w:tcBorders>
              <w:top w:val="nil"/>
              <w:left w:val="nil"/>
              <w:bottom w:val="single" w:color="auto" w:sz="4" w:space="0"/>
              <w:right w:val="single" w:color="auto" w:sz="4" w:space="0"/>
            </w:tcBorders>
            <w:shd w:val="clear" w:color="auto" w:fill="auto"/>
            <w:noWrap/>
            <w:vAlign w:val="center"/>
          </w:tcPr>
          <w:p w14:paraId="1502EE1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违章记录管理</w:t>
            </w:r>
          </w:p>
        </w:tc>
        <w:tc>
          <w:tcPr>
            <w:tcW w:w="2765" w:type="pct"/>
            <w:tcBorders>
              <w:top w:val="nil"/>
              <w:left w:val="nil"/>
              <w:bottom w:val="single" w:color="auto" w:sz="4" w:space="0"/>
              <w:right w:val="single" w:color="auto" w:sz="4" w:space="0"/>
            </w:tcBorders>
            <w:shd w:val="clear" w:color="auto" w:fill="auto"/>
            <w:vAlign w:val="center"/>
          </w:tcPr>
          <w:p w14:paraId="66681FB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使用人员违章管理记录作业违章，违章超过上限或计入黑名单人员不得进入现场。</w:t>
            </w:r>
          </w:p>
        </w:tc>
      </w:tr>
      <w:tr w14:paraId="038E4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jc w:val="center"/>
        </w:trPr>
        <w:tc>
          <w:tcPr>
            <w:tcW w:w="414" w:type="pct"/>
            <w:tcBorders>
              <w:top w:val="nil"/>
              <w:left w:val="single" w:color="auto" w:sz="4" w:space="0"/>
              <w:bottom w:val="single" w:color="auto" w:sz="4" w:space="0"/>
              <w:right w:val="single" w:color="auto" w:sz="4" w:space="0"/>
            </w:tcBorders>
            <w:shd w:val="clear" w:color="auto" w:fill="auto"/>
            <w:noWrap/>
            <w:vAlign w:val="center"/>
          </w:tcPr>
          <w:p w14:paraId="56284602">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4</w:t>
            </w:r>
          </w:p>
        </w:tc>
        <w:tc>
          <w:tcPr>
            <w:tcW w:w="732" w:type="pct"/>
            <w:vMerge w:val="continue"/>
            <w:tcBorders>
              <w:top w:val="nil"/>
              <w:left w:val="single" w:color="auto" w:sz="4" w:space="0"/>
              <w:bottom w:val="single" w:color="auto" w:sz="4" w:space="0"/>
              <w:right w:val="single" w:color="auto" w:sz="4" w:space="0"/>
            </w:tcBorders>
            <w:shd w:val="clear" w:color="auto" w:fill="auto"/>
            <w:noWrap/>
            <w:vAlign w:val="center"/>
          </w:tcPr>
          <w:p w14:paraId="4082687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highlight w:val="none"/>
                <w:u w:val="none"/>
                <w:woUserID w:val="12"/>
              </w:rPr>
            </w:pPr>
          </w:p>
        </w:tc>
        <w:tc>
          <w:tcPr>
            <w:tcW w:w="1087" w:type="pct"/>
            <w:tcBorders>
              <w:top w:val="nil"/>
              <w:left w:val="nil"/>
              <w:bottom w:val="single" w:color="auto" w:sz="4" w:space="0"/>
              <w:right w:val="single" w:color="auto" w:sz="4" w:space="0"/>
            </w:tcBorders>
            <w:shd w:val="clear" w:color="auto" w:fill="auto"/>
            <w:noWrap/>
            <w:vAlign w:val="center"/>
          </w:tcPr>
          <w:p w14:paraId="4F2EEDB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人员准入管理</w:t>
            </w:r>
          </w:p>
        </w:tc>
        <w:tc>
          <w:tcPr>
            <w:tcW w:w="2765" w:type="pct"/>
            <w:tcBorders>
              <w:top w:val="nil"/>
              <w:left w:val="nil"/>
              <w:bottom w:val="single" w:color="auto" w:sz="4" w:space="0"/>
              <w:right w:val="single" w:color="auto" w:sz="4" w:space="0"/>
            </w:tcBorders>
            <w:shd w:val="clear" w:color="auto" w:fill="auto"/>
            <w:vAlign w:val="center"/>
          </w:tcPr>
          <w:p w14:paraId="5EA2D69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使用电子道闸，人脸识别系统登记进出场人员，未经登记合格人员不得入场。</w:t>
            </w:r>
          </w:p>
        </w:tc>
      </w:tr>
      <w:tr w14:paraId="0E8AB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jc w:val="center"/>
        </w:trPr>
        <w:tc>
          <w:tcPr>
            <w:tcW w:w="414" w:type="pct"/>
            <w:tcBorders>
              <w:top w:val="nil"/>
              <w:left w:val="single" w:color="auto" w:sz="4" w:space="0"/>
              <w:bottom w:val="single" w:color="auto" w:sz="4" w:space="0"/>
              <w:right w:val="single" w:color="auto" w:sz="4" w:space="0"/>
            </w:tcBorders>
            <w:shd w:val="clear" w:color="auto" w:fill="auto"/>
            <w:noWrap/>
            <w:vAlign w:val="center"/>
          </w:tcPr>
          <w:p w14:paraId="044DD6FB">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5</w:t>
            </w:r>
          </w:p>
        </w:tc>
        <w:tc>
          <w:tcPr>
            <w:tcW w:w="732" w:type="pct"/>
            <w:vMerge w:val="continue"/>
            <w:tcBorders>
              <w:top w:val="nil"/>
              <w:left w:val="single" w:color="auto" w:sz="4" w:space="0"/>
              <w:bottom w:val="single" w:color="auto" w:sz="4" w:space="0"/>
              <w:right w:val="single" w:color="auto" w:sz="4" w:space="0"/>
            </w:tcBorders>
            <w:shd w:val="clear" w:color="auto" w:fill="auto"/>
            <w:noWrap/>
            <w:vAlign w:val="center"/>
          </w:tcPr>
          <w:p w14:paraId="6D5FBAC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highlight w:val="none"/>
                <w:u w:val="none"/>
                <w:woUserID w:val="12"/>
              </w:rPr>
            </w:pPr>
          </w:p>
        </w:tc>
        <w:tc>
          <w:tcPr>
            <w:tcW w:w="1087" w:type="pct"/>
            <w:tcBorders>
              <w:top w:val="nil"/>
              <w:left w:val="nil"/>
              <w:bottom w:val="single" w:color="auto" w:sz="4" w:space="0"/>
              <w:right w:val="single" w:color="auto" w:sz="4" w:space="0"/>
            </w:tcBorders>
            <w:shd w:val="clear" w:color="auto" w:fill="auto"/>
            <w:noWrap/>
            <w:vAlign w:val="center"/>
          </w:tcPr>
          <w:p w14:paraId="643DCD3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施工人员考勤管理</w:t>
            </w:r>
          </w:p>
        </w:tc>
        <w:tc>
          <w:tcPr>
            <w:tcW w:w="2765" w:type="pct"/>
            <w:tcBorders>
              <w:top w:val="nil"/>
              <w:left w:val="nil"/>
              <w:bottom w:val="single" w:color="auto" w:sz="4" w:space="0"/>
              <w:right w:val="single" w:color="auto" w:sz="4" w:space="0"/>
            </w:tcBorders>
            <w:shd w:val="clear" w:color="auto" w:fill="auto"/>
            <w:vAlign w:val="center"/>
          </w:tcPr>
          <w:p w14:paraId="21FDCFC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施工人员使用移动客户端进行入场、出场打卡，系统记录打卡日期、时间、经纬度、地点及关联的作业计划等信息。</w:t>
            </w:r>
          </w:p>
        </w:tc>
      </w:tr>
      <w:tr w14:paraId="28E34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jc w:val="center"/>
        </w:trPr>
        <w:tc>
          <w:tcPr>
            <w:tcW w:w="414" w:type="pct"/>
            <w:tcBorders>
              <w:top w:val="nil"/>
              <w:left w:val="single" w:color="auto" w:sz="4" w:space="0"/>
              <w:bottom w:val="single" w:color="auto" w:sz="4" w:space="0"/>
              <w:right w:val="single" w:color="auto" w:sz="4" w:space="0"/>
            </w:tcBorders>
            <w:shd w:val="clear" w:color="auto" w:fill="auto"/>
            <w:noWrap/>
            <w:vAlign w:val="center"/>
          </w:tcPr>
          <w:p w14:paraId="44DDA18A">
            <w:pPr>
              <w:keepNext w:val="0"/>
              <w:keepLines w:val="0"/>
              <w:pageBreakBefore w:val="0"/>
              <w:widowControl/>
              <w:suppressLineNumbers w:val="0"/>
              <w:kinsoku/>
              <w:wordWrap/>
              <w:overflowPunct/>
              <w:topLinePunct w:val="0"/>
              <w:autoSpaceDE/>
              <w:autoSpaceDN/>
              <w:bidi w:val="0"/>
              <w:adjustRightInd/>
              <w:snapToGrid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 w:bidi="ar"/>
                <w:woUserID w:val="14"/>
              </w:rPr>
            </w:pPr>
            <w:r>
              <w:rPr>
                <w:rFonts w:hint="eastAsia" w:ascii="宋体" w:hAnsi="宋体" w:cs="宋体"/>
                <w:i w:val="0"/>
                <w:iCs w:val="0"/>
                <w:color w:val="000000"/>
                <w:kern w:val="0"/>
                <w:sz w:val="18"/>
                <w:szCs w:val="18"/>
                <w:highlight w:val="none"/>
                <w:u w:val="none"/>
                <w:lang w:val="en-US" w:eastAsia="zh" w:bidi="ar"/>
                <w:woUserID w:val="14"/>
              </w:rPr>
              <w:t>6</w:t>
            </w:r>
          </w:p>
        </w:tc>
        <w:tc>
          <w:tcPr>
            <w:tcW w:w="732" w:type="pct"/>
            <w:tcBorders>
              <w:top w:val="nil"/>
              <w:left w:val="single" w:color="auto" w:sz="4" w:space="0"/>
              <w:bottom w:val="single" w:color="auto" w:sz="4" w:space="0"/>
              <w:right w:val="single" w:color="auto" w:sz="4" w:space="0"/>
            </w:tcBorders>
            <w:shd w:val="clear" w:color="auto" w:fill="auto"/>
            <w:noWrap/>
            <w:vAlign w:val="center"/>
          </w:tcPr>
          <w:p w14:paraId="3C3B241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cs="宋体"/>
                <w:i w:val="0"/>
                <w:iCs w:val="0"/>
                <w:color w:val="000000"/>
                <w:kern w:val="0"/>
                <w:sz w:val="18"/>
                <w:szCs w:val="18"/>
                <w:highlight w:val="none"/>
                <w:u w:val="none"/>
                <w:lang w:val="en-US" w:eastAsia="zh" w:bidi="ar"/>
                <w:woUserID w:val="14"/>
              </w:rPr>
              <w:t>施工机械及工器具管理</w:t>
            </w:r>
          </w:p>
        </w:tc>
        <w:tc>
          <w:tcPr>
            <w:tcW w:w="1087" w:type="pct"/>
            <w:tcBorders>
              <w:top w:val="nil"/>
              <w:left w:val="nil"/>
              <w:bottom w:val="single" w:color="auto" w:sz="4" w:space="0"/>
              <w:right w:val="single" w:color="auto" w:sz="4" w:space="0"/>
            </w:tcBorders>
            <w:shd w:val="clear" w:color="auto" w:fill="auto"/>
            <w:noWrap/>
            <w:vAlign w:val="center"/>
          </w:tcPr>
          <w:p w14:paraId="76FD8D0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施工机械管理</w:t>
            </w:r>
          </w:p>
        </w:tc>
        <w:tc>
          <w:tcPr>
            <w:tcW w:w="2765" w:type="pct"/>
            <w:tcBorders>
              <w:top w:val="nil"/>
              <w:left w:val="nil"/>
              <w:bottom w:val="single" w:color="auto" w:sz="4" w:space="0"/>
              <w:right w:val="single" w:color="auto" w:sz="4" w:space="0"/>
            </w:tcBorders>
            <w:shd w:val="clear" w:color="auto" w:fill="auto"/>
            <w:vAlign w:val="center"/>
          </w:tcPr>
          <w:p w14:paraId="0D677C1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施工机械及工器具使用唯一二维码或安装物联网标签，实现从进场、验收、使用、维护到退场的全流程数字化管理。具备产品合格证、制造许可证、检验报告，通过线上报审与核验，不合格设备自动锁定，禁止入场。特种作业车辆应具备合规证件与年检报告，通过唯一车牌识别实现车辆入场、施工、出场管理。</w:t>
            </w:r>
          </w:p>
        </w:tc>
      </w:tr>
      <w:tr w14:paraId="18552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jc w:val="center"/>
        </w:trPr>
        <w:tc>
          <w:tcPr>
            <w:tcW w:w="414" w:type="pct"/>
            <w:tcBorders>
              <w:top w:val="nil"/>
              <w:left w:val="single" w:color="auto" w:sz="4" w:space="0"/>
              <w:bottom w:val="single" w:color="auto" w:sz="4" w:space="0"/>
              <w:right w:val="single" w:color="auto" w:sz="4" w:space="0"/>
            </w:tcBorders>
            <w:shd w:val="clear" w:color="auto" w:fill="auto"/>
            <w:noWrap/>
            <w:vAlign w:val="center"/>
          </w:tcPr>
          <w:p w14:paraId="233D990C">
            <w:pPr>
              <w:keepNext w:val="0"/>
              <w:keepLines w:val="0"/>
              <w:pageBreakBefore w:val="0"/>
              <w:widowControl/>
              <w:suppressLineNumbers w:val="0"/>
              <w:kinsoku/>
              <w:wordWrap/>
              <w:overflowPunct/>
              <w:topLinePunct w:val="0"/>
              <w:autoSpaceDE/>
              <w:autoSpaceDN/>
              <w:bidi w:val="0"/>
              <w:adjustRightInd/>
              <w:snapToGrid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 w:bidi="ar"/>
                <w:woUserID w:val="14"/>
              </w:rPr>
            </w:pPr>
            <w:r>
              <w:rPr>
                <w:rFonts w:hint="eastAsia" w:ascii="宋体" w:hAnsi="宋体" w:cs="宋体"/>
                <w:i w:val="0"/>
                <w:iCs w:val="0"/>
                <w:color w:val="000000"/>
                <w:kern w:val="0"/>
                <w:sz w:val="18"/>
                <w:szCs w:val="18"/>
                <w:highlight w:val="none"/>
                <w:u w:val="none"/>
                <w:lang w:val="en-US" w:eastAsia="zh" w:bidi="ar"/>
                <w:woUserID w:val="14"/>
              </w:rPr>
              <w:t>7</w:t>
            </w:r>
          </w:p>
        </w:tc>
        <w:tc>
          <w:tcPr>
            <w:tcW w:w="732" w:type="pct"/>
            <w:tcBorders>
              <w:top w:val="nil"/>
              <w:left w:val="single" w:color="auto" w:sz="4" w:space="0"/>
              <w:bottom w:val="single" w:color="auto" w:sz="4" w:space="0"/>
              <w:right w:val="single" w:color="auto" w:sz="4" w:space="0"/>
            </w:tcBorders>
            <w:shd w:val="clear" w:color="auto" w:fill="auto"/>
            <w:noWrap/>
            <w:vAlign w:val="center"/>
          </w:tcPr>
          <w:p w14:paraId="591A18F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cs="宋体"/>
                <w:i w:val="0"/>
                <w:iCs w:val="0"/>
                <w:color w:val="000000"/>
                <w:kern w:val="0"/>
                <w:sz w:val="18"/>
                <w:szCs w:val="18"/>
                <w:highlight w:val="none"/>
                <w:u w:val="none"/>
                <w:lang w:val="en-US" w:eastAsia="zh" w:bidi="ar"/>
                <w:woUserID w:val="14"/>
              </w:rPr>
              <w:t>物资管理</w:t>
            </w:r>
          </w:p>
        </w:tc>
        <w:tc>
          <w:tcPr>
            <w:tcW w:w="1087" w:type="pct"/>
            <w:tcBorders>
              <w:top w:val="nil"/>
              <w:left w:val="nil"/>
              <w:bottom w:val="single" w:color="auto" w:sz="4" w:space="0"/>
              <w:right w:val="single" w:color="auto" w:sz="4" w:space="0"/>
            </w:tcBorders>
            <w:shd w:val="clear" w:color="auto" w:fill="auto"/>
            <w:noWrap/>
            <w:vAlign w:val="center"/>
          </w:tcPr>
          <w:p w14:paraId="1FAC73D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物料管理</w:t>
            </w:r>
          </w:p>
        </w:tc>
        <w:tc>
          <w:tcPr>
            <w:tcW w:w="2765" w:type="pct"/>
            <w:tcBorders>
              <w:top w:val="nil"/>
              <w:left w:val="nil"/>
              <w:bottom w:val="single" w:color="auto" w:sz="4" w:space="0"/>
              <w:right w:val="single" w:color="auto" w:sz="4" w:space="0"/>
            </w:tcBorders>
            <w:shd w:val="clear" w:color="auto" w:fill="auto"/>
            <w:vAlign w:val="center"/>
          </w:tcPr>
          <w:p w14:paraId="2D253EE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使用物料管理系统，涵盖原材料进场报审、见证取样送检、使用跟踪管理全过程。</w:t>
            </w:r>
          </w:p>
        </w:tc>
      </w:tr>
      <w:tr w14:paraId="5DCBF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jc w:val="center"/>
        </w:trPr>
        <w:tc>
          <w:tcPr>
            <w:tcW w:w="414" w:type="pct"/>
            <w:tcBorders>
              <w:top w:val="nil"/>
              <w:left w:val="single" w:color="auto" w:sz="4" w:space="0"/>
              <w:bottom w:val="single" w:color="auto" w:sz="4" w:space="0"/>
              <w:right w:val="single" w:color="auto" w:sz="4" w:space="0"/>
            </w:tcBorders>
            <w:shd w:val="clear" w:color="auto" w:fill="auto"/>
            <w:noWrap/>
            <w:vAlign w:val="center"/>
          </w:tcPr>
          <w:p w14:paraId="4B6C4900">
            <w:pPr>
              <w:keepNext w:val="0"/>
              <w:keepLines w:val="0"/>
              <w:pageBreakBefore w:val="0"/>
              <w:widowControl/>
              <w:suppressLineNumbers w:val="0"/>
              <w:kinsoku/>
              <w:wordWrap/>
              <w:overflowPunct/>
              <w:topLinePunct w:val="0"/>
              <w:autoSpaceDE/>
              <w:autoSpaceDN/>
              <w:bidi w:val="0"/>
              <w:adjustRightInd/>
              <w:snapToGrid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 w:bidi="ar"/>
                <w:woUserID w:val="14"/>
              </w:rPr>
            </w:pPr>
            <w:r>
              <w:rPr>
                <w:rFonts w:hint="eastAsia" w:ascii="宋体" w:hAnsi="宋体" w:cs="宋体"/>
                <w:i w:val="0"/>
                <w:iCs w:val="0"/>
                <w:color w:val="000000"/>
                <w:kern w:val="0"/>
                <w:sz w:val="18"/>
                <w:szCs w:val="18"/>
                <w:highlight w:val="none"/>
                <w:u w:val="none"/>
                <w:lang w:val="en-US" w:eastAsia="zh" w:bidi="ar"/>
                <w:woUserID w:val="14"/>
              </w:rPr>
              <w:t>8</w:t>
            </w:r>
          </w:p>
        </w:tc>
        <w:tc>
          <w:tcPr>
            <w:tcW w:w="732" w:type="pct"/>
            <w:vMerge w:val="restart"/>
            <w:tcBorders>
              <w:top w:val="nil"/>
              <w:left w:val="single" w:color="auto" w:sz="4" w:space="0"/>
              <w:bottom w:val="single" w:color="auto" w:sz="4" w:space="0"/>
              <w:right w:val="single" w:color="auto" w:sz="4" w:space="0"/>
            </w:tcBorders>
            <w:shd w:val="clear" w:color="auto" w:fill="auto"/>
            <w:noWrap/>
            <w:vAlign w:val="center"/>
          </w:tcPr>
          <w:p w14:paraId="222325B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cs="宋体"/>
                <w:i w:val="0"/>
                <w:iCs w:val="0"/>
                <w:color w:val="000000"/>
                <w:kern w:val="0"/>
                <w:sz w:val="18"/>
                <w:szCs w:val="18"/>
                <w:highlight w:val="none"/>
                <w:u w:val="none"/>
                <w:lang w:val="en-US" w:eastAsia="zh" w:bidi="ar"/>
                <w:woUserID w:val="14"/>
              </w:rPr>
              <w:t>技术管理</w:t>
            </w:r>
          </w:p>
        </w:tc>
        <w:tc>
          <w:tcPr>
            <w:tcW w:w="1087" w:type="pct"/>
            <w:tcBorders>
              <w:top w:val="nil"/>
              <w:left w:val="nil"/>
              <w:bottom w:val="single" w:color="auto" w:sz="4" w:space="0"/>
              <w:right w:val="single" w:color="auto" w:sz="4" w:space="0"/>
            </w:tcBorders>
            <w:shd w:val="clear" w:color="auto" w:fill="auto"/>
            <w:noWrap/>
            <w:vAlign w:val="center"/>
          </w:tcPr>
          <w:p w14:paraId="20B9038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施工技术文件管理</w:t>
            </w:r>
          </w:p>
        </w:tc>
        <w:tc>
          <w:tcPr>
            <w:tcW w:w="2765" w:type="pct"/>
            <w:tcBorders>
              <w:top w:val="nil"/>
              <w:left w:val="nil"/>
              <w:bottom w:val="single" w:color="auto" w:sz="4" w:space="0"/>
              <w:right w:val="single" w:color="auto" w:sz="4" w:space="0"/>
            </w:tcBorders>
            <w:shd w:val="clear" w:color="auto" w:fill="auto"/>
            <w:vAlign w:val="center"/>
          </w:tcPr>
          <w:p w14:paraId="3E6128A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应建立统一的施工技术文件数字化档案库，实现施工组织设计、施工方案、阶段性技术文件等资料的版本控制、在线协同审批与一键分发。</w:t>
            </w:r>
          </w:p>
        </w:tc>
      </w:tr>
      <w:tr w14:paraId="72B0A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jc w:val="center"/>
        </w:trPr>
        <w:tc>
          <w:tcPr>
            <w:tcW w:w="414" w:type="pct"/>
            <w:tcBorders>
              <w:top w:val="nil"/>
              <w:left w:val="single" w:color="auto" w:sz="4" w:space="0"/>
              <w:bottom w:val="single" w:color="auto" w:sz="4" w:space="0"/>
              <w:right w:val="single" w:color="auto" w:sz="4" w:space="0"/>
            </w:tcBorders>
            <w:shd w:val="clear" w:color="auto" w:fill="auto"/>
            <w:noWrap/>
            <w:vAlign w:val="center"/>
          </w:tcPr>
          <w:p w14:paraId="41EE8E00">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9</w:t>
            </w:r>
          </w:p>
        </w:tc>
        <w:tc>
          <w:tcPr>
            <w:tcW w:w="732" w:type="pct"/>
            <w:vMerge w:val="continue"/>
            <w:tcBorders>
              <w:top w:val="nil"/>
              <w:left w:val="single" w:color="auto" w:sz="4" w:space="0"/>
              <w:bottom w:val="single" w:color="auto" w:sz="4" w:space="0"/>
              <w:right w:val="single" w:color="auto" w:sz="4" w:space="0"/>
            </w:tcBorders>
            <w:shd w:val="clear" w:color="auto" w:fill="auto"/>
            <w:noWrap/>
            <w:vAlign w:val="center"/>
          </w:tcPr>
          <w:p w14:paraId="5AD146AD">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highlight w:val="none"/>
                <w:u w:val="none"/>
                <w:woUserID w:val="12"/>
              </w:rPr>
            </w:pPr>
          </w:p>
        </w:tc>
        <w:tc>
          <w:tcPr>
            <w:tcW w:w="1087" w:type="pct"/>
            <w:tcBorders>
              <w:top w:val="nil"/>
              <w:left w:val="nil"/>
              <w:bottom w:val="single" w:color="auto" w:sz="4" w:space="0"/>
              <w:right w:val="single" w:color="auto" w:sz="4" w:space="0"/>
            </w:tcBorders>
            <w:shd w:val="clear" w:color="auto" w:fill="auto"/>
            <w:noWrap/>
            <w:vAlign w:val="center"/>
          </w:tcPr>
          <w:p w14:paraId="2732721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作业计划管理</w:t>
            </w:r>
          </w:p>
        </w:tc>
        <w:tc>
          <w:tcPr>
            <w:tcW w:w="2765" w:type="pct"/>
            <w:tcBorders>
              <w:top w:val="nil"/>
              <w:left w:val="nil"/>
              <w:bottom w:val="single" w:color="auto" w:sz="4" w:space="0"/>
              <w:right w:val="single" w:color="auto" w:sz="4" w:space="0"/>
            </w:tcBorders>
            <w:shd w:val="clear" w:color="auto" w:fill="auto"/>
            <w:vAlign w:val="center"/>
          </w:tcPr>
          <w:p w14:paraId="0729DC6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应用计划系统管理作业计划，按照月、周、日逐层细化，杜绝无计划施工。</w:t>
            </w:r>
          </w:p>
        </w:tc>
      </w:tr>
      <w:tr w14:paraId="5E566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jc w:val="center"/>
        </w:trPr>
        <w:tc>
          <w:tcPr>
            <w:tcW w:w="414" w:type="pct"/>
            <w:tcBorders>
              <w:top w:val="nil"/>
              <w:left w:val="single" w:color="auto" w:sz="4" w:space="0"/>
              <w:bottom w:val="single" w:color="auto" w:sz="4" w:space="0"/>
              <w:right w:val="single" w:color="auto" w:sz="4" w:space="0"/>
            </w:tcBorders>
            <w:shd w:val="clear" w:color="auto" w:fill="auto"/>
            <w:noWrap/>
            <w:vAlign w:val="center"/>
          </w:tcPr>
          <w:p w14:paraId="2E93EEBA">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10</w:t>
            </w:r>
          </w:p>
        </w:tc>
        <w:tc>
          <w:tcPr>
            <w:tcW w:w="732" w:type="pct"/>
            <w:vMerge w:val="continue"/>
            <w:tcBorders>
              <w:top w:val="nil"/>
              <w:left w:val="single" w:color="auto" w:sz="4" w:space="0"/>
              <w:bottom w:val="single" w:color="auto" w:sz="4" w:space="0"/>
              <w:right w:val="single" w:color="auto" w:sz="4" w:space="0"/>
            </w:tcBorders>
            <w:shd w:val="clear" w:color="auto" w:fill="auto"/>
            <w:noWrap/>
            <w:vAlign w:val="center"/>
          </w:tcPr>
          <w:p w14:paraId="0AAAD225">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highlight w:val="none"/>
                <w:u w:val="none"/>
                <w:woUserID w:val="12"/>
              </w:rPr>
            </w:pPr>
          </w:p>
        </w:tc>
        <w:tc>
          <w:tcPr>
            <w:tcW w:w="1087" w:type="pct"/>
            <w:tcBorders>
              <w:top w:val="nil"/>
              <w:left w:val="nil"/>
              <w:bottom w:val="single" w:color="auto" w:sz="4" w:space="0"/>
              <w:right w:val="single" w:color="auto" w:sz="4" w:space="0"/>
            </w:tcBorders>
            <w:shd w:val="clear" w:color="auto" w:fill="auto"/>
            <w:noWrap/>
            <w:vAlign w:val="center"/>
          </w:tcPr>
          <w:p w14:paraId="618BEE1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知识库管理</w:t>
            </w:r>
          </w:p>
        </w:tc>
        <w:tc>
          <w:tcPr>
            <w:tcW w:w="2765" w:type="pct"/>
            <w:tcBorders>
              <w:top w:val="nil"/>
              <w:left w:val="nil"/>
              <w:bottom w:val="single" w:color="auto" w:sz="4" w:space="0"/>
              <w:right w:val="single" w:color="auto" w:sz="4" w:space="0"/>
            </w:tcBorders>
            <w:shd w:val="clear" w:color="auto" w:fill="auto"/>
            <w:vAlign w:val="center"/>
          </w:tcPr>
          <w:p w14:paraId="3D7ADE8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建立知识库，将调试过程中发现的典型问题、处理方法、优化建议进行分类归档，并结构化标签。支持智能检索，为后续项目提供决策支持，避免同类问题重复发生。</w:t>
            </w:r>
          </w:p>
        </w:tc>
      </w:tr>
      <w:tr w14:paraId="1CF73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jc w:val="center"/>
        </w:trPr>
        <w:tc>
          <w:tcPr>
            <w:tcW w:w="414" w:type="pct"/>
            <w:tcBorders>
              <w:top w:val="nil"/>
              <w:left w:val="single" w:color="auto" w:sz="4" w:space="0"/>
              <w:bottom w:val="single" w:color="auto" w:sz="4" w:space="0"/>
              <w:right w:val="single" w:color="auto" w:sz="4" w:space="0"/>
            </w:tcBorders>
            <w:shd w:val="clear" w:color="auto" w:fill="auto"/>
            <w:noWrap/>
            <w:vAlign w:val="center"/>
          </w:tcPr>
          <w:p w14:paraId="0A0925B9">
            <w:pPr>
              <w:keepNext w:val="0"/>
              <w:keepLines w:val="0"/>
              <w:pageBreakBefore w:val="0"/>
              <w:widowControl/>
              <w:suppressLineNumbers w:val="0"/>
              <w:kinsoku/>
              <w:wordWrap/>
              <w:overflowPunct/>
              <w:topLinePunct w:val="0"/>
              <w:autoSpaceDE/>
              <w:autoSpaceDN/>
              <w:bidi w:val="0"/>
              <w:adjustRightInd/>
              <w:snapToGrid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 w:bidi="ar"/>
                <w:woUserID w:val="14"/>
              </w:rPr>
            </w:pPr>
            <w:r>
              <w:rPr>
                <w:rFonts w:hint="eastAsia" w:ascii="宋体" w:hAnsi="宋体" w:cs="宋体"/>
                <w:i w:val="0"/>
                <w:iCs w:val="0"/>
                <w:color w:val="000000"/>
                <w:kern w:val="0"/>
                <w:sz w:val="18"/>
                <w:szCs w:val="18"/>
                <w:highlight w:val="none"/>
                <w:u w:val="none"/>
                <w:lang w:val="en-US" w:eastAsia="zh" w:bidi="ar"/>
                <w:woUserID w:val="14"/>
              </w:rPr>
              <w:t>11</w:t>
            </w:r>
          </w:p>
        </w:tc>
        <w:tc>
          <w:tcPr>
            <w:tcW w:w="732" w:type="pct"/>
            <w:vMerge w:val="restart"/>
            <w:tcBorders>
              <w:top w:val="nil"/>
              <w:left w:val="single" w:color="auto" w:sz="4" w:space="0"/>
              <w:bottom w:val="single" w:color="auto" w:sz="4" w:space="0"/>
              <w:right w:val="single" w:color="auto" w:sz="4" w:space="0"/>
            </w:tcBorders>
            <w:shd w:val="clear" w:color="auto" w:fill="auto"/>
            <w:noWrap/>
            <w:vAlign w:val="center"/>
          </w:tcPr>
          <w:p w14:paraId="4C76D79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cs="宋体"/>
                <w:i w:val="0"/>
                <w:iCs w:val="0"/>
                <w:color w:val="000000"/>
                <w:kern w:val="0"/>
                <w:sz w:val="18"/>
                <w:szCs w:val="18"/>
                <w:highlight w:val="none"/>
                <w:u w:val="none"/>
                <w:lang w:val="en-US" w:eastAsia="zh" w:bidi="ar"/>
                <w:woUserID w:val="14"/>
              </w:rPr>
              <w:t>环境监控管理</w:t>
            </w:r>
          </w:p>
        </w:tc>
        <w:tc>
          <w:tcPr>
            <w:tcW w:w="1087" w:type="pct"/>
            <w:tcBorders>
              <w:top w:val="nil"/>
              <w:left w:val="nil"/>
              <w:bottom w:val="single" w:color="auto" w:sz="4" w:space="0"/>
              <w:right w:val="single" w:color="auto" w:sz="4" w:space="0"/>
            </w:tcBorders>
            <w:shd w:val="clear" w:color="auto" w:fill="auto"/>
            <w:noWrap/>
            <w:vAlign w:val="center"/>
          </w:tcPr>
          <w:p w14:paraId="4E94999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施工用电管理</w:t>
            </w:r>
          </w:p>
        </w:tc>
        <w:tc>
          <w:tcPr>
            <w:tcW w:w="2765" w:type="pct"/>
            <w:tcBorders>
              <w:top w:val="nil"/>
              <w:left w:val="nil"/>
              <w:bottom w:val="single" w:color="auto" w:sz="4" w:space="0"/>
              <w:right w:val="single" w:color="auto" w:sz="4" w:space="0"/>
            </w:tcBorders>
            <w:shd w:val="clear" w:color="auto" w:fill="auto"/>
            <w:vAlign w:val="center"/>
          </w:tcPr>
          <w:p w14:paraId="374194B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提供智能集中管控、分户计量能耗、自动报警断电、远程操作、实时定位、移动报警功能。</w:t>
            </w:r>
          </w:p>
        </w:tc>
      </w:tr>
      <w:tr w14:paraId="6291A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jc w:val="center"/>
        </w:trPr>
        <w:tc>
          <w:tcPr>
            <w:tcW w:w="414" w:type="pct"/>
            <w:tcBorders>
              <w:top w:val="nil"/>
              <w:left w:val="single" w:color="auto" w:sz="4" w:space="0"/>
              <w:bottom w:val="single" w:color="auto" w:sz="4" w:space="0"/>
              <w:right w:val="single" w:color="auto" w:sz="4" w:space="0"/>
            </w:tcBorders>
            <w:shd w:val="clear" w:color="auto" w:fill="auto"/>
            <w:noWrap/>
            <w:vAlign w:val="center"/>
          </w:tcPr>
          <w:p w14:paraId="1F99723F">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12</w:t>
            </w:r>
          </w:p>
        </w:tc>
        <w:tc>
          <w:tcPr>
            <w:tcW w:w="732" w:type="pct"/>
            <w:vMerge w:val="continue"/>
            <w:tcBorders>
              <w:top w:val="nil"/>
              <w:left w:val="single" w:color="auto" w:sz="4" w:space="0"/>
              <w:bottom w:val="single" w:color="auto" w:sz="4" w:space="0"/>
              <w:right w:val="single" w:color="auto" w:sz="4" w:space="0"/>
            </w:tcBorders>
            <w:shd w:val="clear" w:color="auto" w:fill="auto"/>
            <w:noWrap/>
            <w:vAlign w:val="center"/>
          </w:tcPr>
          <w:p w14:paraId="73EED70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highlight w:val="none"/>
                <w:u w:val="none"/>
                <w:woUserID w:val="12"/>
              </w:rPr>
            </w:pPr>
          </w:p>
        </w:tc>
        <w:tc>
          <w:tcPr>
            <w:tcW w:w="1087" w:type="pct"/>
            <w:tcBorders>
              <w:top w:val="nil"/>
              <w:left w:val="nil"/>
              <w:bottom w:val="single" w:color="auto" w:sz="4" w:space="0"/>
              <w:right w:val="single" w:color="auto" w:sz="4" w:space="0"/>
            </w:tcBorders>
            <w:shd w:val="clear" w:color="auto" w:fill="auto"/>
            <w:noWrap/>
            <w:vAlign w:val="center"/>
          </w:tcPr>
          <w:p w14:paraId="6243035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现场作业监控管理</w:t>
            </w:r>
          </w:p>
        </w:tc>
        <w:tc>
          <w:tcPr>
            <w:tcW w:w="2765" w:type="pct"/>
            <w:tcBorders>
              <w:top w:val="nil"/>
              <w:left w:val="nil"/>
              <w:bottom w:val="single" w:color="auto" w:sz="4" w:space="0"/>
              <w:right w:val="single" w:color="auto" w:sz="4" w:space="0"/>
            </w:tcBorders>
            <w:shd w:val="clear" w:color="auto" w:fill="auto"/>
            <w:vAlign w:val="center"/>
          </w:tcPr>
          <w:p w14:paraId="5C058FB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应在施工作业点部署视频监控设备，视频监控设备宜具备AI识别功能，智能识别施工安全风险。应具备实时查看、回放现场施工视频的功能。</w:t>
            </w:r>
          </w:p>
        </w:tc>
      </w:tr>
      <w:tr w14:paraId="541A3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jc w:val="center"/>
        </w:trPr>
        <w:tc>
          <w:tcPr>
            <w:tcW w:w="414" w:type="pct"/>
            <w:tcBorders>
              <w:top w:val="nil"/>
              <w:left w:val="single" w:color="auto" w:sz="4" w:space="0"/>
              <w:bottom w:val="single" w:color="auto" w:sz="4" w:space="0"/>
              <w:right w:val="single" w:color="auto" w:sz="4" w:space="0"/>
            </w:tcBorders>
            <w:shd w:val="clear" w:color="auto" w:fill="auto"/>
            <w:noWrap/>
            <w:vAlign w:val="center"/>
          </w:tcPr>
          <w:p w14:paraId="3F247B92">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13</w:t>
            </w:r>
          </w:p>
        </w:tc>
        <w:tc>
          <w:tcPr>
            <w:tcW w:w="732" w:type="pct"/>
            <w:vMerge w:val="continue"/>
            <w:tcBorders>
              <w:top w:val="nil"/>
              <w:left w:val="single" w:color="auto" w:sz="4" w:space="0"/>
              <w:bottom w:val="single" w:color="auto" w:sz="4" w:space="0"/>
              <w:right w:val="single" w:color="auto" w:sz="4" w:space="0"/>
            </w:tcBorders>
            <w:shd w:val="clear" w:color="auto" w:fill="auto"/>
            <w:noWrap/>
            <w:vAlign w:val="center"/>
          </w:tcPr>
          <w:p w14:paraId="1D148765">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18"/>
                <w:szCs w:val="18"/>
                <w:highlight w:val="none"/>
                <w:u w:val="none"/>
                <w:woUserID w:val="12"/>
              </w:rPr>
            </w:pPr>
          </w:p>
        </w:tc>
        <w:tc>
          <w:tcPr>
            <w:tcW w:w="1087" w:type="pct"/>
            <w:tcBorders>
              <w:top w:val="nil"/>
              <w:left w:val="nil"/>
              <w:bottom w:val="single" w:color="auto" w:sz="4" w:space="0"/>
              <w:right w:val="single" w:color="auto" w:sz="4" w:space="0"/>
            </w:tcBorders>
            <w:shd w:val="clear" w:color="auto" w:fill="auto"/>
            <w:noWrap/>
            <w:vAlign w:val="center"/>
          </w:tcPr>
          <w:p w14:paraId="249E33A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环境监测管理</w:t>
            </w:r>
          </w:p>
        </w:tc>
        <w:tc>
          <w:tcPr>
            <w:tcW w:w="2765" w:type="pct"/>
            <w:tcBorders>
              <w:top w:val="nil"/>
              <w:left w:val="nil"/>
              <w:bottom w:val="single" w:color="auto" w:sz="4" w:space="0"/>
              <w:right w:val="single" w:color="auto" w:sz="4" w:space="0"/>
            </w:tcBorders>
            <w:shd w:val="clear" w:color="auto" w:fill="auto"/>
            <w:vAlign w:val="center"/>
          </w:tcPr>
          <w:p w14:paraId="0CBC3FE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场界及敏感点布设 TSP、PM10、PM2.5 监测点，与炮雾机联动，及时喷雾降尘。</w:t>
            </w:r>
          </w:p>
        </w:tc>
      </w:tr>
    </w:tbl>
    <w:p w14:paraId="3B79B6DA">
      <w:pPr>
        <w:jc w:val="center"/>
        <w:rPr>
          <w:rStyle w:val="137"/>
          <w:rFonts w:hint="eastAsia" w:ascii="Times New Roman" w:cs="宋体"/>
          <w:highlight w:val="none"/>
          <w:lang w:eastAsia="zh"/>
          <w:woUserID w:val="12"/>
        </w:rPr>
      </w:pPr>
      <w:r>
        <w:rPr>
          <w:rStyle w:val="137"/>
          <w:rFonts w:hint="eastAsia" w:ascii="Times New Roman" w:cs="宋体"/>
          <w:highlight w:val="none"/>
          <w:lang w:eastAsia="zh"/>
          <w:woUserID w:val="12"/>
        </w:rPr>
        <w:t>7.1-2 配电网施工场景管理内容及功能要求</w:t>
      </w:r>
    </w:p>
    <w:tbl>
      <w:tblPr>
        <w:tblStyle w:val="35"/>
        <w:tblW w:w="830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7"/>
        <w:gridCol w:w="1225"/>
        <w:gridCol w:w="1810"/>
        <w:gridCol w:w="4604"/>
      </w:tblGrid>
      <w:tr w14:paraId="1C7E0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tblHeader/>
          <w:jc w:val="center"/>
        </w:trPr>
        <w:tc>
          <w:tcPr>
            <w:tcW w:w="401" w:type="pct"/>
            <w:tcBorders>
              <w:top w:val="single" w:color="auto" w:sz="4" w:space="0"/>
              <w:left w:val="single" w:color="auto" w:sz="4" w:space="0"/>
              <w:bottom w:val="single" w:color="auto" w:sz="4" w:space="0"/>
              <w:right w:val="single" w:color="auto" w:sz="4" w:space="0"/>
            </w:tcBorders>
            <w:shd w:val="clear" w:color="auto" w:fill="auto"/>
            <w:noWrap/>
            <w:tcMar>
              <w:top w:w="0" w:type="dxa"/>
              <w:left w:w="6" w:type="dxa"/>
              <w:bottom w:w="0" w:type="dxa"/>
              <w:right w:w="6" w:type="dxa"/>
            </w:tcMar>
            <w:vAlign w:val="center"/>
          </w:tcPr>
          <w:p w14:paraId="326AB18C">
            <w:pPr>
              <w:keepNext w:val="0"/>
              <w:keepLines w:val="0"/>
              <w:pageBreakBefore w:val="0"/>
              <w:widowControl/>
              <w:suppressLineNumbers w:val="0"/>
              <w:kinsoku/>
              <w:wordWrap/>
              <w:overflowPunct/>
              <w:topLinePunct w:val="0"/>
              <w:autoSpaceDE/>
              <w:autoSpaceDN/>
              <w:bidi w:val="0"/>
              <w:adjustRightInd/>
              <w:snapToGrid w:val="0"/>
              <w:ind w:left="0" w:leftChars="0"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 w:bidi="ar"/>
                <w:woUserID w:val="14"/>
              </w:rPr>
            </w:pPr>
            <w:r>
              <w:rPr>
                <w:rFonts w:hint="eastAsia" w:ascii="宋体" w:hAnsi="宋体" w:cs="宋体"/>
                <w:b/>
                <w:bCs/>
                <w:i w:val="0"/>
                <w:iCs w:val="0"/>
                <w:color w:val="000000"/>
                <w:kern w:val="0"/>
                <w:sz w:val="18"/>
                <w:szCs w:val="18"/>
                <w:highlight w:val="none"/>
                <w:u w:val="none"/>
                <w:lang w:val="en-US" w:eastAsia="zh" w:bidi="ar"/>
                <w:woUserID w:val="14"/>
              </w:rPr>
              <w:t>序号</w:t>
            </w:r>
          </w:p>
        </w:tc>
        <w:tc>
          <w:tcPr>
            <w:tcW w:w="737" w:type="pct"/>
            <w:tcBorders>
              <w:top w:val="single" w:color="auto" w:sz="4" w:space="0"/>
              <w:left w:val="single" w:color="auto" w:sz="4" w:space="0"/>
              <w:bottom w:val="single" w:color="auto" w:sz="4" w:space="0"/>
              <w:right w:val="single" w:color="auto" w:sz="4" w:space="0"/>
            </w:tcBorders>
            <w:shd w:val="clear" w:color="auto" w:fill="auto"/>
            <w:noWrap/>
            <w:tcMar>
              <w:top w:w="0" w:type="dxa"/>
              <w:left w:w="6" w:type="dxa"/>
              <w:bottom w:w="0" w:type="dxa"/>
              <w:right w:w="6" w:type="dxa"/>
            </w:tcMar>
            <w:vAlign w:val="center"/>
          </w:tcPr>
          <w:p w14:paraId="4AFF421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sz w:val="18"/>
                <w:szCs w:val="18"/>
                <w:highlight w:val="none"/>
                <w:u w:val="none"/>
                <w:woUserID w:val="12"/>
              </w:rPr>
            </w:pPr>
            <w:r>
              <w:rPr>
                <w:rFonts w:hint="eastAsia" w:ascii="宋体" w:hAnsi="宋体" w:eastAsia="宋体" w:cs="宋体"/>
                <w:b/>
                <w:bCs/>
                <w:i w:val="0"/>
                <w:iCs w:val="0"/>
                <w:color w:val="000000"/>
                <w:kern w:val="0"/>
                <w:sz w:val="18"/>
                <w:szCs w:val="18"/>
                <w:highlight w:val="none"/>
                <w:u w:val="none"/>
                <w:lang w:val="en-US" w:eastAsia="zh-CN" w:bidi="ar"/>
                <w:woUserID w:val="12"/>
              </w:rPr>
              <w:t>作业场景</w:t>
            </w:r>
          </w:p>
        </w:tc>
        <w:tc>
          <w:tcPr>
            <w:tcW w:w="1089" w:type="pct"/>
            <w:tcBorders>
              <w:top w:val="single" w:color="auto" w:sz="4" w:space="0"/>
              <w:left w:val="nil"/>
              <w:bottom w:val="single" w:color="auto" w:sz="4" w:space="0"/>
              <w:right w:val="single" w:color="auto" w:sz="4" w:space="0"/>
            </w:tcBorders>
            <w:shd w:val="clear" w:color="auto" w:fill="auto"/>
            <w:noWrap/>
            <w:tcMar>
              <w:top w:w="0" w:type="dxa"/>
              <w:left w:w="6" w:type="dxa"/>
              <w:bottom w:w="0" w:type="dxa"/>
              <w:right w:w="6" w:type="dxa"/>
            </w:tcMar>
            <w:vAlign w:val="center"/>
          </w:tcPr>
          <w:p w14:paraId="0768983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sz w:val="18"/>
                <w:szCs w:val="18"/>
                <w:highlight w:val="none"/>
                <w:u w:val="none"/>
                <w:woUserID w:val="12"/>
              </w:rPr>
            </w:pPr>
            <w:r>
              <w:rPr>
                <w:rFonts w:hint="eastAsia" w:ascii="宋体" w:hAnsi="宋体" w:eastAsia="宋体" w:cs="宋体"/>
                <w:b/>
                <w:bCs/>
                <w:i w:val="0"/>
                <w:iCs w:val="0"/>
                <w:color w:val="000000"/>
                <w:kern w:val="0"/>
                <w:sz w:val="18"/>
                <w:szCs w:val="18"/>
                <w:highlight w:val="none"/>
                <w:u w:val="none"/>
                <w:lang w:val="en-US" w:eastAsia="zh-CN" w:bidi="ar"/>
                <w:woUserID w:val="12"/>
              </w:rPr>
              <w:t>作业任务</w:t>
            </w:r>
          </w:p>
        </w:tc>
        <w:tc>
          <w:tcPr>
            <w:tcW w:w="2771" w:type="pct"/>
            <w:tcBorders>
              <w:top w:val="single" w:color="auto" w:sz="4" w:space="0"/>
              <w:left w:val="nil"/>
              <w:bottom w:val="single" w:color="auto" w:sz="4" w:space="0"/>
              <w:right w:val="single" w:color="auto" w:sz="4" w:space="0"/>
            </w:tcBorders>
            <w:shd w:val="clear" w:color="auto" w:fill="auto"/>
            <w:noWrap/>
            <w:tcMar>
              <w:top w:w="0" w:type="dxa"/>
              <w:left w:w="6" w:type="dxa"/>
              <w:bottom w:w="0" w:type="dxa"/>
              <w:right w:w="6" w:type="dxa"/>
            </w:tcMar>
            <w:vAlign w:val="center"/>
          </w:tcPr>
          <w:p w14:paraId="7BD8671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sz w:val="18"/>
                <w:szCs w:val="18"/>
                <w:highlight w:val="none"/>
                <w:u w:val="none"/>
                <w:woUserID w:val="12"/>
              </w:rPr>
            </w:pPr>
            <w:r>
              <w:rPr>
                <w:rFonts w:hint="eastAsia" w:ascii="宋体" w:hAnsi="宋体" w:eastAsia="宋体" w:cs="宋体"/>
                <w:b/>
                <w:bCs/>
                <w:i w:val="0"/>
                <w:iCs w:val="0"/>
                <w:color w:val="000000"/>
                <w:kern w:val="0"/>
                <w:sz w:val="18"/>
                <w:szCs w:val="18"/>
                <w:highlight w:val="none"/>
                <w:u w:val="none"/>
                <w:lang w:val="en-US" w:eastAsia="zh-CN" w:bidi="ar"/>
                <w:woUserID w:val="12"/>
              </w:rPr>
              <w:t>功能要求</w:t>
            </w:r>
          </w:p>
        </w:tc>
      </w:tr>
      <w:tr w14:paraId="21EF6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jc w:val="center"/>
        </w:trPr>
        <w:tc>
          <w:tcPr>
            <w:tcW w:w="401" w:type="pct"/>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7E68CE75">
            <w:pPr>
              <w:keepNext w:val="0"/>
              <w:keepLines w:val="0"/>
              <w:pageBreakBefore w:val="0"/>
              <w:widowControl/>
              <w:suppressLineNumbers w:val="0"/>
              <w:kinsoku/>
              <w:wordWrap/>
              <w:overflowPunct/>
              <w:topLinePunct w:val="0"/>
              <w:autoSpaceDE/>
              <w:autoSpaceDN/>
              <w:bidi w:val="0"/>
              <w:adjustRightInd/>
              <w:snapToGrid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 w:bidi="ar"/>
                <w:woUserID w:val="14"/>
              </w:rPr>
            </w:pPr>
            <w:r>
              <w:rPr>
                <w:rFonts w:hint="eastAsia" w:ascii="宋体" w:hAnsi="宋体" w:cs="宋体"/>
                <w:i w:val="0"/>
                <w:iCs w:val="0"/>
                <w:color w:val="000000"/>
                <w:kern w:val="0"/>
                <w:sz w:val="18"/>
                <w:szCs w:val="18"/>
                <w:highlight w:val="none"/>
                <w:u w:val="none"/>
                <w:lang w:val="en-US" w:eastAsia="zh" w:bidi="ar"/>
                <w:woUserID w:val="14"/>
              </w:rPr>
              <w:t>1</w:t>
            </w:r>
          </w:p>
        </w:tc>
        <w:tc>
          <w:tcPr>
            <w:tcW w:w="737" w:type="pct"/>
            <w:vMerge w:val="restart"/>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71C6A9B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架空线路（含台架部分)</w:t>
            </w:r>
          </w:p>
        </w:tc>
        <w:tc>
          <w:tcPr>
            <w:tcW w:w="1089" w:type="pct"/>
            <w:tcBorders>
              <w:top w:val="nil"/>
              <w:left w:val="nil"/>
              <w:bottom w:val="single" w:color="auto" w:sz="4" w:space="0"/>
              <w:right w:val="single" w:color="auto" w:sz="4" w:space="0"/>
            </w:tcBorders>
            <w:shd w:val="clear" w:color="auto" w:fill="auto"/>
            <w:noWrap/>
            <w:tcMar>
              <w:top w:w="0" w:type="dxa"/>
              <w:left w:w="6" w:type="dxa"/>
              <w:bottom w:w="0" w:type="dxa"/>
              <w:right w:w="6" w:type="dxa"/>
            </w:tcMar>
            <w:vAlign w:val="center"/>
          </w:tcPr>
          <w:p w14:paraId="6523342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台区及架空线路土建工程</w:t>
            </w:r>
          </w:p>
        </w:tc>
        <w:tc>
          <w:tcPr>
            <w:tcW w:w="2771" w:type="pct"/>
            <w:tcBorders>
              <w:top w:val="nil"/>
              <w:left w:val="nil"/>
              <w:bottom w:val="single" w:color="auto" w:sz="4" w:space="0"/>
              <w:right w:val="single" w:color="auto" w:sz="4" w:space="0"/>
            </w:tcBorders>
            <w:shd w:val="clear" w:color="auto" w:fill="auto"/>
            <w:tcMar>
              <w:top w:w="0" w:type="dxa"/>
              <w:left w:w="6" w:type="dxa"/>
              <w:bottom w:w="0" w:type="dxa"/>
              <w:right w:w="6" w:type="dxa"/>
            </w:tcMar>
            <w:vAlign w:val="center"/>
          </w:tcPr>
          <w:p w14:paraId="58F917A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采用智能测斜仪、传感器等物联网设备，对基础坑深、垂直度、混凝土浇筑状态进行实时数据采集与超标预警。</w:t>
            </w:r>
          </w:p>
        </w:tc>
      </w:tr>
      <w:tr w14:paraId="67B01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jc w:val="center"/>
        </w:trPr>
        <w:tc>
          <w:tcPr>
            <w:tcW w:w="401" w:type="pct"/>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5D6F2C05">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2</w:t>
            </w:r>
          </w:p>
        </w:tc>
        <w:tc>
          <w:tcPr>
            <w:tcW w:w="737" w:type="pct"/>
            <w:vMerge w:val="continue"/>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16B9BE42">
            <w:pPr>
              <w:keepNext w:val="0"/>
              <w:keepLines w:val="0"/>
              <w:pageBreakBefore w:val="0"/>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highlight w:val="none"/>
                <w:u w:val="none"/>
                <w:woUserID w:val="12"/>
              </w:rPr>
            </w:pPr>
          </w:p>
        </w:tc>
        <w:tc>
          <w:tcPr>
            <w:tcW w:w="1089" w:type="pct"/>
            <w:tcBorders>
              <w:top w:val="nil"/>
              <w:left w:val="nil"/>
              <w:bottom w:val="single" w:color="auto" w:sz="4" w:space="0"/>
              <w:right w:val="single" w:color="auto" w:sz="4" w:space="0"/>
            </w:tcBorders>
            <w:shd w:val="clear" w:color="auto" w:fill="auto"/>
            <w:noWrap/>
            <w:tcMar>
              <w:top w:w="0" w:type="dxa"/>
              <w:left w:w="6" w:type="dxa"/>
              <w:bottom w:w="0" w:type="dxa"/>
              <w:right w:w="6" w:type="dxa"/>
            </w:tcMar>
            <w:vAlign w:val="center"/>
          </w:tcPr>
          <w:p w14:paraId="5A24ADE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杆塔组立及铁附件、金具安装工程</w:t>
            </w:r>
          </w:p>
        </w:tc>
        <w:tc>
          <w:tcPr>
            <w:tcW w:w="2771" w:type="pct"/>
            <w:tcBorders>
              <w:top w:val="nil"/>
              <w:left w:val="nil"/>
              <w:bottom w:val="single" w:color="auto" w:sz="4" w:space="0"/>
              <w:right w:val="single" w:color="auto" w:sz="4" w:space="0"/>
            </w:tcBorders>
            <w:shd w:val="clear" w:color="auto" w:fill="auto"/>
            <w:tcMar>
              <w:top w:w="0" w:type="dxa"/>
              <w:left w:w="6" w:type="dxa"/>
              <w:bottom w:w="0" w:type="dxa"/>
              <w:right w:w="6" w:type="dxa"/>
            </w:tcMar>
            <w:vAlign w:val="center"/>
          </w:tcPr>
          <w:p w14:paraId="44D005B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杆塔组立稳定性、垂直度、铁附件水平度预警。</w:t>
            </w:r>
          </w:p>
        </w:tc>
      </w:tr>
      <w:tr w14:paraId="2B3AB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jc w:val="center"/>
        </w:trPr>
        <w:tc>
          <w:tcPr>
            <w:tcW w:w="401" w:type="pct"/>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75DFCC7B">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3</w:t>
            </w:r>
          </w:p>
        </w:tc>
        <w:tc>
          <w:tcPr>
            <w:tcW w:w="737" w:type="pct"/>
            <w:vMerge w:val="continue"/>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3BD516AF">
            <w:pPr>
              <w:keepNext w:val="0"/>
              <w:keepLines w:val="0"/>
              <w:pageBreakBefore w:val="0"/>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highlight w:val="none"/>
                <w:u w:val="none"/>
                <w:woUserID w:val="12"/>
              </w:rPr>
            </w:pPr>
          </w:p>
        </w:tc>
        <w:tc>
          <w:tcPr>
            <w:tcW w:w="1089" w:type="pct"/>
            <w:tcBorders>
              <w:top w:val="nil"/>
              <w:left w:val="nil"/>
              <w:bottom w:val="single" w:color="auto" w:sz="4" w:space="0"/>
              <w:right w:val="single" w:color="auto" w:sz="4" w:space="0"/>
            </w:tcBorders>
            <w:shd w:val="clear" w:color="auto" w:fill="auto"/>
            <w:noWrap/>
            <w:tcMar>
              <w:top w:w="0" w:type="dxa"/>
              <w:left w:w="6" w:type="dxa"/>
              <w:bottom w:w="0" w:type="dxa"/>
              <w:right w:w="6" w:type="dxa"/>
            </w:tcMar>
            <w:vAlign w:val="center"/>
          </w:tcPr>
          <w:p w14:paraId="7AAC3DA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导线架设工程</w:t>
            </w:r>
          </w:p>
        </w:tc>
        <w:tc>
          <w:tcPr>
            <w:tcW w:w="2771" w:type="pct"/>
            <w:tcBorders>
              <w:top w:val="nil"/>
              <w:left w:val="nil"/>
              <w:bottom w:val="single" w:color="auto" w:sz="4" w:space="0"/>
              <w:right w:val="single" w:color="auto" w:sz="4" w:space="0"/>
            </w:tcBorders>
            <w:shd w:val="clear" w:color="auto" w:fill="auto"/>
            <w:tcMar>
              <w:top w:w="0" w:type="dxa"/>
              <w:left w:w="6" w:type="dxa"/>
              <w:bottom w:w="0" w:type="dxa"/>
              <w:right w:w="6" w:type="dxa"/>
            </w:tcMar>
            <w:vAlign w:val="center"/>
          </w:tcPr>
          <w:p w14:paraId="1C72D82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导线展放张力智能调控、绝缘子串定位精度实时校准及金具连接可靠性动态检测，保障线路电气性能与机械稳定性。导线弧垂动态控制。</w:t>
            </w:r>
            <w:r>
              <w:rPr>
                <w:rStyle w:val="151"/>
                <w:color w:val="000000"/>
                <w:sz w:val="18"/>
                <w:szCs w:val="18"/>
                <w:highlight w:val="none"/>
                <w:lang w:val="en-US" w:eastAsia="zh-CN" w:bidi="ar"/>
                <w:woUserID w:val="12"/>
              </w:rPr>
              <w:t>耐张线夹压接、接续管缺陷检测。</w:t>
            </w:r>
          </w:p>
        </w:tc>
      </w:tr>
      <w:tr w14:paraId="107E8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jc w:val="center"/>
        </w:trPr>
        <w:tc>
          <w:tcPr>
            <w:tcW w:w="401" w:type="pct"/>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79FE7409">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4</w:t>
            </w:r>
          </w:p>
        </w:tc>
        <w:tc>
          <w:tcPr>
            <w:tcW w:w="737" w:type="pct"/>
            <w:vMerge w:val="continue"/>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32E84741">
            <w:pPr>
              <w:keepNext w:val="0"/>
              <w:keepLines w:val="0"/>
              <w:pageBreakBefore w:val="0"/>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highlight w:val="none"/>
                <w:u w:val="none"/>
                <w:woUserID w:val="12"/>
              </w:rPr>
            </w:pPr>
          </w:p>
        </w:tc>
        <w:tc>
          <w:tcPr>
            <w:tcW w:w="1089" w:type="pct"/>
            <w:tcBorders>
              <w:top w:val="nil"/>
              <w:left w:val="nil"/>
              <w:bottom w:val="single" w:color="auto" w:sz="4" w:space="0"/>
              <w:right w:val="single" w:color="auto" w:sz="4" w:space="0"/>
            </w:tcBorders>
            <w:shd w:val="clear" w:color="auto" w:fill="auto"/>
            <w:noWrap/>
            <w:tcMar>
              <w:top w:w="0" w:type="dxa"/>
              <w:left w:w="6" w:type="dxa"/>
              <w:bottom w:w="0" w:type="dxa"/>
              <w:right w:w="6" w:type="dxa"/>
            </w:tcMar>
            <w:vAlign w:val="center"/>
          </w:tcPr>
          <w:p w14:paraId="0063190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架空线路设备安装工程</w:t>
            </w:r>
          </w:p>
        </w:tc>
        <w:tc>
          <w:tcPr>
            <w:tcW w:w="2771" w:type="pct"/>
            <w:tcBorders>
              <w:top w:val="nil"/>
              <w:left w:val="nil"/>
              <w:bottom w:val="single" w:color="auto" w:sz="4" w:space="0"/>
              <w:right w:val="single" w:color="auto" w:sz="4" w:space="0"/>
            </w:tcBorders>
            <w:shd w:val="clear" w:color="auto" w:fill="auto"/>
            <w:tcMar>
              <w:top w:w="0" w:type="dxa"/>
              <w:left w:w="6" w:type="dxa"/>
              <w:bottom w:w="0" w:type="dxa"/>
              <w:right w:w="6" w:type="dxa"/>
            </w:tcMar>
            <w:vAlign w:val="center"/>
          </w:tcPr>
          <w:p w14:paraId="2545C29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接线紧固无松动、绝缘防护到位且防雷接地可靠，保障户外运行安全稳定。</w:t>
            </w:r>
          </w:p>
        </w:tc>
      </w:tr>
      <w:tr w14:paraId="2EB73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jc w:val="center"/>
        </w:trPr>
        <w:tc>
          <w:tcPr>
            <w:tcW w:w="401" w:type="pct"/>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247F3E28">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5</w:t>
            </w:r>
          </w:p>
        </w:tc>
        <w:tc>
          <w:tcPr>
            <w:tcW w:w="737" w:type="pct"/>
            <w:vMerge w:val="continue"/>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56FC2904">
            <w:pPr>
              <w:keepNext w:val="0"/>
              <w:keepLines w:val="0"/>
              <w:pageBreakBefore w:val="0"/>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highlight w:val="none"/>
                <w:u w:val="none"/>
                <w:woUserID w:val="12"/>
              </w:rPr>
            </w:pPr>
          </w:p>
        </w:tc>
        <w:tc>
          <w:tcPr>
            <w:tcW w:w="1089" w:type="pct"/>
            <w:tcBorders>
              <w:top w:val="nil"/>
              <w:left w:val="nil"/>
              <w:bottom w:val="single" w:color="auto" w:sz="4" w:space="0"/>
              <w:right w:val="single" w:color="auto" w:sz="4" w:space="0"/>
            </w:tcBorders>
            <w:shd w:val="clear" w:color="auto" w:fill="auto"/>
            <w:noWrap/>
            <w:tcMar>
              <w:top w:w="0" w:type="dxa"/>
              <w:left w:w="6" w:type="dxa"/>
              <w:bottom w:w="0" w:type="dxa"/>
              <w:right w:w="6" w:type="dxa"/>
            </w:tcMar>
            <w:vAlign w:val="center"/>
          </w:tcPr>
          <w:p w14:paraId="6F45F8C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台式变压器安装工程</w:t>
            </w:r>
          </w:p>
        </w:tc>
        <w:tc>
          <w:tcPr>
            <w:tcW w:w="2771" w:type="pct"/>
            <w:tcBorders>
              <w:top w:val="nil"/>
              <w:left w:val="nil"/>
              <w:bottom w:val="single" w:color="auto" w:sz="4" w:space="0"/>
              <w:right w:val="single" w:color="auto" w:sz="4" w:space="0"/>
            </w:tcBorders>
            <w:shd w:val="clear" w:color="auto" w:fill="auto"/>
            <w:tcMar>
              <w:top w:w="0" w:type="dxa"/>
              <w:left w:w="6" w:type="dxa"/>
              <w:bottom w:w="0" w:type="dxa"/>
              <w:right w:w="6" w:type="dxa"/>
            </w:tcMar>
            <w:vAlign w:val="center"/>
          </w:tcPr>
          <w:p w14:paraId="5CB0CC4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设备精准定位、部件牢固连接及安全防护装置可靠，保障运行安全与性能稳定。</w:t>
            </w:r>
          </w:p>
        </w:tc>
      </w:tr>
      <w:tr w14:paraId="4B01A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jc w:val="center"/>
        </w:trPr>
        <w:tc>
          <w:tcPr>
            <w:tcW w:w="401" w:type="pct"/>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02DC074A">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6</w:t>
            </w:r>
          </w:p>
        </w:tc>
        <w:tc>
          <w:tcPr>
            <w:tcW w:w="737" w:type="pct"/>
            <w:vMerge w:val="continue"/>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7828D5E6">
            <w:pPr>
              <w:keepNext w:val="0"/>
              <w:keepLines w:val="0"/>
              <w:pageBreakBefore w:val="0"/>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highlight w:val="none"/>
                <w:u w:val="none"/>
                <w:woUserID w:val="12"/>
              </w:rPr>
            </w:pPr>
          </w:p>
        </w:tc>
        <w:tc>
          <w:tcPr>
            <w:tcW w:w="1089" w:type="pct"/>
            <w:tcBorders>
              <w:top w:val="nil"/>
              <w:left w:val="nil"/>
              <w:bottom w:val="single" w:color="auto" w:sz="4" w:space="0"/>
              <w:right w:val="single" w:color="auto" w:sz="4" w:space="0"/>
            </w:tcBorders>
            <w:shd w:val="clear" w:color="auto" w:fill="auto"/>
            <w:noWrap/>
            <w:tcMar>
              <w:top w:w="0" w:type="dxa"/>
              <w:left w:w="6" w:type="dxa"/>
              <w:bottom w:w="0" w:type="dxa"/>
              <w:right w:w="6" w:type="dxa"/>
            </w:tcMar>
            <w:vAlign w:val="center"/>
          </w:tcPr>
          <w:p w14:paraId="204AD45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架空线路设备试验</w:t>
            </w:r>
          </w:p>
        </w:tc>
        <w:tc>
          <w:tcPr>
            <w:tcW w:w="2771" w:type="pct"/>
            <w:tcBorders>
              <w:top w:val="nil"/>
              <w:left w:val="nil"/>
              <w:bottom w:val="single" w:color="auto" w:sz="4" w:space="0"/>
              <w:right w:val="single" w:color="auto" w:sz="4" w:space="0"/>
            </w:tcBorders>
            <w:shd w:val="clear" w:color="auto" w:fill="auto"/>
            <w:tcMar>
              <w:top w:w="0" w:type="dxa"/>
              <w:left w:w="6" w:type="dxa"/>
              <w:bottom w:w="0" w:type="dxa"/>
              <w:right w:w="6" w:type="dxa"/>
            </w:tcMar>
            <w:vAlign w:val="center"/>
          </w:tcPr>
          <w:p w14:paraId="1721433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绝缘电阻动态测试、耐压试验数据远程传输及局部放电智能定位。</w:t>
            </w:r>
          </w:p>
        </w:tc>
      </w:tr>
      <w:tr w14:paraId="22129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jc w:val="center"/>
        </w:trPr>
        <w:tc>
          <w:tcPr>
            <w:tcW w:w="401" w:type="pct"/>
            <w:tcBorders>
              <w:top w:val="nil"/>
              <w:left w:val="single" w:color="auto" w:sz="4" w:space="0"/>
              <w:bottom w:val="single" w:color="auto" w:sz="4" w:space="0"/>
              <w:right w:val="single" w:color="auto" w:sz="4" w:space="0"/>
            </w:tcBorders>
            <w:shd w:val="clear" w:color="auto" w:fill="auto"/>
            <w:noWrap/>
            <w:tcMar>
              <w:top w:w="0" w:type="dxa"/>
              <w:left w:w="6" w:type="dxa"/>
              <w:bottom w:w="0" w:type="dxa"/>
              <w:right w:w="6" w:type="dxa"/>
            </w:tcMar>
            <w:vAlign w:val="center"/>
          </w:tcPr>
          <w:p w14:paraId="5001AA5B">
            <w:pPr>
              <w:keepNext w:val="0"/>
              <w:keepLines w:val="0"/>
              <w:pageBreakBefore w:val="0"/>
              <w:widowControl/>
              <w:suppressLineNumbers w:val="0"/>
              <w:kinsoku/>
              <w:wordWrap/>
              <w:overflowPunct/>
              <w:topLinePunct w:val="0"/>
              <w:autoSpaceDE/>
              <w:autoSpaceDN/>
              <w:bidi w:val="0"/>
              <w:adjustRightInd/>
              <w:snapToGrid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 w:bidi="ar"/>
                <w:woUserID w:val="14"/>
              </w:rPr>
            </w:pPr>
            <w:r>
              <w:rPr>
                <w:rFonts w:hint="eastAsia" w:ascii="宋体" w:hAnsi="宋体" w:cs="宋体"/>
                <w:i w:val="0"/>
                <w:iCs w:val="0"/>
                <w:color w:val="000000"/>
                <w:kern w:val="0"/>
                <w:sz w:val="18"/>
                <w:szCs w:val="18"/>
                <w:highlight w:val="none"/>
                <w:u w:val="none"/>
                <w:lang w:val="en-US" w:eastAsia="zh" w:bidi="ar"/>
                <w:woUserID w:val="14"/>
              </w:rPr>
              <w:t>7</w:t>
            </w:r>
          </w:p>
        </w:tc>
        <w:tc>
          <w:tcPr>
            <w:tcW w:w="737" w:type="pct"/>
            <w:vMerge w:val="restart"/>
            <w:tcBorders>
              <w:top w:val="nil"/>
              <w:left w:val="single" w:color="auto" w:sz="4" w:space="0"/>
              <w:bottom w:val="single" w:color="auto" w:sz="4" w:space="0"/>
              <w:right w:val="single" w:color="auto" w:sz="4" w:space="0"/>
            </w:tcBorders>
            <w:shd w:val="clear" w:color="auto" w:fill="auto"/>
            <w:noWrap/>
            <w:tcMar>
              <w:top w:w="0" w:type="dxa"/>
              <w:left w:w="6" w:type="dxa"/>
              <w:bottom w:w="0" w:type="dxa"/>
              <w:right w:w="6" w:type="dxa"/>
            </w:tcMar>
            <w:vAlign w:val="center"/>
          </w:tcPr>
          <w:p w14:paraId="0DDCDB7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电缆线路</w:t>
            </w:r>
          </w:p>
        </w:tc>
        <w:tc>
          <w:tcPr>
            <w:tcW w:w="1089" w:type="pct"/>
            <w:tcBorders>
              <w:top w:val="nil"/>
              <w:left w:val="nil"/>
              <w:bottom w:val="single" w:color="auto" w:sz="4" w:space="0"/>
              <w:right w:val="single" w:color="auto" w:sz="4" w:space="0"/>
            </w:tcBorders>
            <w:shd w:val="clear" w:color="auto" w:fill="auto"/>
            <w:noWrap/>
            <w:tcMar>
              <w:top w:w="0" w:type="dxa"/>
              <w:left w:w="6" w:type="dxa"/>
              <w:bottom w:w="0" w:type="dxa"/>
              <w:right w:w="6" w:type="dxa"/>
            </w:tcMar>
            <w:vAlign w:val="center"/>
          </w:tcPr>
          <w:p w14:paraId="1FD8691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电缆线路土建工程</w:t>
            </w:r>
          </w:p>
        </w:tc>
        <w:tc>
          <w:tcPr>
            <w:tcW w:w="2771" w:type="pct"/>
            <w:tcBorders>
              <w:top w:val="nil"/>
              <w:left w:val="nil"/>
              <w:bottom w:val="single" w:color="auto" w:sz="4" w:space="0"/>
              <w:right w:val="single" w:color="auto" w:sz="4" w:space="0"/>
            </w:tcBorders>
            <w:shd w:val="clear" w:color="auto" w:fill="auto"/>
            <w:tcMar>
              <w:top w:w="0" w:type="dxa"/>
              <w:left w:w="6" w:type="dxa"/>
              <w:bottom w:w="0" w:type="dxa"/>
              <w:right w:w="6" w:type="dxa"/>
            </w:tcMar>
            <w:vAlign w:val="center"/>
          </w:tcPr>
          <w:p w14:paraId="23F736A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电缆沟槽深度/坡度实时监测、防火隔断密封性智能检测及回填土密实度动态评估。</w:t>
            </w:r>
          </w:p>
        </w:tc>
      </w:tr>
      <w:tr w14:paraId="3DE4E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jc w:val="center"/>
        </w:trPr>
        <w:tc>
          <w:tcPr>
            <w:tcW w:w="401" w:type="pct"/>
            <w:tcBorders>
              <w:top w:val="nil"/>
              <w:left w:val="single" w:color="auto" w:sz="4" w:space="0"/>
              <w:bottom w:val="single" w:color="auto" w:sz="4" w:space="0"/>
              <w:right w:val="single" w:color="auto" w:sz="4" w:space="0"/>
            </w:tcBorders>
            <w:shd w:val="clear" w:color="auto" w:fill="auto"/>
            <w:noWrap/>
            <w:tcMar>
              <w:top w:w="0" w:type="dxa"/>
              <w:left w:w="6" w:type="dxa"/>
              <w:bottom w:w="0" w:type="dxa"/>
              <w:right w:w="6" w:type="dxa"/>
            </w:tcMar>
            <w:vAlign w:val="center"/>
          </w:tcPr>
          <w:p w14:paraId="7F326AE6">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8</w:t>
            </w:r>
          </w:p>
        </w:tc>
        <w:tc>
          <w:tcPr>
            <w:tcW w:w="737" w:type="pct"/>
            <w:vMerge w:val="continue"/>
            <w:tcBorders>
              <w:top w:val="nil"/>
              <w:left w:val="single" w:color="auto" w:sz="4" w:space="0"/>
              <w:bottom w:val="single" w:color="auto" w:sz="4" w:space="0"/>
              <w:right w:val="single" w:color="auto" w:sz="4" w:space="0"/>
            </w:tcBorders>
            <w:shd w:val="clear" w:color="auto" w:fill="auto"/>
            <w:noWrap/>
            <w:tcMar>
              <w:top w:w="0" w:type="dxa"/>
              <w:left w:w="6" w:type="dxa"/>
              <w:bottom w:w="0" w:type="dxa"/>
              <w:right w:w="6" w:type="dxa"/>
            </w:tcMar>
            <w:vAlign w:val="center"/>
          </w:tcPr>
          <w:p w14:paraId="25CC698C">
            <w:pPr>
              <w:keepNext w:val="0"/>
              <w:keepLines w:val="0"/>
              <w:pageBreakBefore w:val="0"/>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highlight w:val="none"/>
                <w:u w:val="none"/>
                <w:woUserID w:val="12"/>
              </w:rPr>
            </w:pPr>
          </w:p>
        </w:tc>
        <w:tc>
          <w:tcPr>
            <w:tcW w:w="1089" w:type="pct"/>
            <w:tcBorders>
              <w:top w:val="nil"/>
              <w:left w:val="nil"/>
              <w:bottom w:val="single" w:color="auto" w:sz="4" w:space="0"/>
              <w:right w:val="single" w:color="auto" w:sz="4" w:space="0"/>
            </w:tcBorders>
            <w:shd w:val="clear" w:color="auto" w:fill="auto"/>
            <w:noWrap/>
            <w:tcMar>
              <w:top w:w="0" w:type="dxa"/>
              <w:left w:w="6" w:type="dxa"/>
              <w:bottom w:w="0" w:type="dxa"/>
              <w:right w:w="6" w:type="dxa"/>
            </w:tcMar>
            <w:vAlign w:val="center"/>
          </w:tcPr>
          <w:p w14:paraId="52B365B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电缆线路安装工程</w:t>
            </w:r>
          </w:p>
        </w:tc>
        <w:tc>
          <w:tcPr>
            <w:tcW w:w="2771" w:type="pct"/>
            <w:tcBorders>
              <w:top w:val="nil"/>
              <w:left w:val="nil"/>
              <w:bottom w:val="single" w:color="auto" w:sz="4" w:space="0"/>
              <w:right w:val="single" w:color="auto" w:sz="4" w:space="0"/>
            </w:tcBorders>
            <w:shd w:val="clear" w:color="auto" w:fill="auto"/>
            <w:tcMar>
              <w:top w:w="0" w:type="dxa"/>
              <w:left w:w="6" w:type="dxa"/>
              <w:bottom w:w="0" w:type="dxa"/>
              <w:right w:w="6" w:type="dxa"/>
            </w:tcMar>
            <w:vAlign w:val="center"/>
          </w:tcPr>
          <w:p w14:paraId="3466C56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电缆敷设轨迹精准导航、接头压接质量实时监测及绝缘层完整性智能检测。</w:t>
            </w:r>
          </w:p>
        </w:tc>
      </w:tr>
      <w:tr w14:paraId="27098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jc w:val="center"/>
        </w:trPr>
        <w:tc>
          <w:tcPr>
            <w:tcW w:w="401" w:type="pct"/>
            <w:tcBorders>
              <w:top w:val="nil"/>
              <w:left w:val="single" w:color="auto" w:sz="4" w:space="0"/>
              <w:bottom w:val="single" w:color="auto" w:sz="4" w:space="0"/>
              <w:right w:val="single" w:color="auto" w:sz="4" w:space="0"/>
            </w:tcBorders>
            <w:shd w:val="clear" w:color="auto" w:fill="auto"/>
            <w:noWrap/>
            <w:tcMar>
              <w:top w:w="0" w:type="dxa"/>
              <w:left w:w="6" w:type="dxa"/>
              <w:bottom w:w="0" w:type="dxa"/>
              <w:right w:w="6" w:type="dxa"/>
            </w:tcMar>
            <w:vAlign w:val="center"/>
          </w:tcPr>
          <w:p w14:paraId="277AD435">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9</w:t>
            </w:r>
          </w:p>
        </w:tc>
        <w:tc>
          <w:tcPr>
            <w:tcW w:w="737" w:type="pct"/>
            <w:vMerge w:val="continue"/>
            <w:tcBorders>
              <w:top w:val="nil"/>
              <w:left w:val="single" w:color="auto" w:sz="4" w:space="0"/>
              <w:bottom w:val="single" w:color="auto" w:sz="4" w:space="0"/>
              <w:right w:val="single" w:color="auto" w:sz="4" w:space="0"/>
            </w:tcBorders>
            <w:shd w:val="clear" w:color="auto" w:fill="auto"/>
            <w:noWrap/>
            <w:tcMar>
              <w:top w:w="0" w:type="dxa"/>
              <w:left w:w="6" w:type="dxa"/>
              <w:bottom w:w="0" w:type="dxa"/>
              <w:right w:w="6" w:type="dxa"/>
            </w:tcMar>
            <w:vAlign w:val="center"/>
          </w:tcPr>
          <w:p w14:paraId="7F2290B4">
            <w:pPr>
              <w:keepNext w:val="0"/>
              <w:keepLines w:val="0"/>
              <w:pageBreakBefore w:val="0"/>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highlight w:val="none"/>
                <w:u w:val="none"/>
                <w:woUserID w:val="12"/>
              </w:rPr>
            </w:pPr>
          </w:p>
        </w:tc>
        <w:tc>
          <w:tcPr>
            <w:tcW w:w="1089" w:type="pct"/>
            <w:tcBorders>
              <w:top w:val="nil"/>
              <w:left w:val="nil"/>
              <w:bottom w:val="single" w:color="auto" w:sz="4" w:space="0"/>
              <w:right w:val="single" w:color="auto" w:sz="4" w:space="0"/>
            </w:tcBorders>
            <w:shd w:val="clear" w:color="auto" w:fill="auto"/>
            <w:noWrap/>
            <w:tcMar>
              <w:top w:w="0" w:type="dxa"/>
              <w:left w:w="6" w:type="dxa"/>
              <w:bottom w:w="0" w:type="dxa"/>
              <w:right w:w="6" w:type="dxa"/>
            </w:tcMar>
            <w:vAlign w:val="center"/>
          </w:tcPr>
          <w:p w14:paraId="59F721B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电缆线路设备试验</w:t>
            </w:r>
          </w:p>
        </w:tc>
        <w:tc>
          <w:tcPr>
            <w:tcW w:w="2771" w:type="pct"/>
            <w:tcBorders>
              <w:top w:val="nil"/>
              <w:left w:val="nil"/>
              <w:bottom w:val="single" w:color="auto" w:sz="4" w:space="0"/>
              <w:right w:val="single" w:color="auto" w:sz="4" w:space="0"/>
            </w:tcBorders>
            <w:shd w:val="clear" w:color="auto" w:fill="auto"/>
            <w:tcMar>
              <w:top w:w="0" w:type="dxa"/>
              <w:left w:w="6" w:type="dxa"/>
              <w:bottom w:w="0" w:type="dxa"/>
              <w:right w:w="6" w:type="dxa"/>
            </w:tcMar>
            <w:vAlign w:val="center"/>
          </w:tcPr>
          <w:p w14:paraId="104110B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绝缘电阻连续监测、耐压试验异常波形实时预警及试验数据自动记录，确保电缆绝缘性能达标与试验安全。</w:t>
            </w:r>
          </w:p>
        </w:tc>
      </w:tr>
      <w:tr w14:paraId="4DB46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jc w:val="center"/>
        </w:trPr>
        <w:tc>
          <w:tcPr>
            <w:tcW w:w="401" w:type="pct"/>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0ADB3CBF">
            <w:pPr>
              <w:keepNext w:val="0"/>
              <w:keepLines w:val="0"/>
              <w:pageBreakBefore w:val="0"/>
              <w:widowControl/>
              <w:suppressLineNumbers w:val="0"/>
              <w:kinsoku/>
              <w:wordWrap/>
              <w:overflowPunct/>
              <w:topLinePunct w:val="0"/>
              <w:autoSpaceDE/>
              <w:autoSpaceDN/>
              <w:bidi w:val="0"/>
              <w:adjustRightInd/>
              <w:snapToGrid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 w:bidi="ar"/>
                <w:woUserID w:val="14"/>
              </w:rPr>
            </w:pPr>
            <w:r>
              <w:rPr>
                <w:rFonts w:hint="eastAsia" w:ascii="宋体" w:hAnsi="宋体" w:cs="宋体"/>
                <w:i w:val="0"/>
                <w:iCs w:val="0"/>
                <w:color w:val="000000"/>
                <w:kern w:val="0"/>
                <w:sz w:val="18"/>
                <w:szCs w:val="18"/>
                <w:highlight w:val="none"/>
                <w:u w:val="none"/>
                <w:lang w:val="en-US" w:eastAsia="zh" w:bidi="ar"/>
                <w:woUserID w:val="14"/>
              </w:rPr>
              <w:t>10</w:t>
            </w:r>
          </w:p>
        </w:tc>
        <w:tc>
          <w:tcPr>
            <w:tcW w:w="737" w:type="pct"/>
            <w:vMerge w:val="restart"/>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231486E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配电房施工（含箱式变</w:t>
            </w:r>
            <w:r>
              <w:rPr>
                <w:rFonts w:hint="eastAsia" w:ascii="宋体" w:hAnsi="宋体" w:eastAsia="宋体" w:cs="宋体"/>
                <w:i w:val="0"/>
                <w:iCs w:val="0"/>
                <w:color w:val="000000"/>
                <w:kern w:val="0"/>
                <w:sz w:val="18"/>
                <w:szCs w:val="18"/>
                <w:highlight w:val="none"/>
                <w:u w:val="none"/>
                <w:lang w:val="en-US" w:eastAsia="zh-CN" w:bidi="ar"/>
                <w:woUserID w:val="12"/>
              </w:rPr>
              <w:br w:type="textWrapping"/>
            </w:r>
            <w:r>
              <w:rPr>
                <w:rFonts w:hint="eastAsia" w:ascii="宋体" w:hAnsi="宋体" w:eastAsia="宋体" w:cs="宋体"/>
                <w:i w:val="0"/>
                <w:iCs w:val="0"/>
                <w:color w:val="000000"/>
                <w:kern w:val="0"/>
                <w:sz w:val="18"/>
                <w:szCs w:val="18"/>
                <w:highlight w:val="none"/>
                <w:u w:val="none"/>
                <w:lang w:val="en-US" w:eastAsia="zh-CN" w:bidi="ar"/>
                <w:woUserID w:val="12"/>
              </w:rPr>
              <w:t>、户外开关箱等）</w:t>
            </w:r>
          </w:p>
        </w:tc>
        <w:tc>
          <w:tcPr>
            <w:tcW w:w="1089" w:type="pct"/>
            <w:tcBorders>
              <w:top w:val="nil"/>
              <w:left w:val="nil"/>
              <w:bottom w:val="single" w:color="auto" w:sz="4" w:space="0"/>
              <w:right w:val="single" w:color="auto" w:sz="4" w:space="0"/>
            </w:tcBorders>
            <w:shd w:val="clear" w:color="auto" w:fill="auto"/>
            <w:noWrap/>
            <w:tcMar>
              <w:top w:w="0" w:type="dxa"/>
              <w:left w:w="6" w:type="dxa"/>
              <w:bottom w:w="0" w:type="dxa"/>
              <w:right w:w="6" w:type="dxa"/>
            </w:tcMar>
            <w:vAlign w:val="center"/>
          </w:tcPr>
          <w:p w14:paraId="542F4B1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配电站、箱式变电站和充电桩土建工程</w:t>
            </w:r>
          </w:p>
        </w:tc>
        <w:tc>
          <w:tcPr>
            <w:tcW w:w="2771" w:type="pct"/>
            <w:tcBorders>
              <w:top w:val="nil"/>
              <w:left w:val="nil"/>
              <w:bottom w:val="single" w:color="auto" w:sz="4" w:space="0"/>
              <w:right w:val="single" w:color="auto" w:sz="4" w:space="0"/>
            </w:tcBorders>
            <w:shd w:val="clear" w:color="auto" w:fill="auto"/>
            <w:tcMar>
              <w:top w:w="0" w:type="dxa"/>
              <w:left w:w="6" w:type="dxa"/>
              <w:bottom w:w="0" w:type="dxa"/>
              <w:right w:w="6" w:type="dxa"/>
            </w:tcMar>
            <w:vAlign w:val="center"/>
          </w:tcPr>
          <w:p w14:paraId="6FE9A30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基础施工阶段预埋沉降监测点，后期可进行不均匀沉降监测。</w:t>
            </w:r>
            <w:r>
              <w:rPr>
                <w:rFonts w:hint="eastAsia" w:ascii="宋体" w:hAnsi="宋体" w:eastAsia="宋体" w:cs="宋体"/>
                <w:i w:val="0"/>
                <w:iCs w:val="0"/>
                <w:color w:val="000000"/>
                <w:kern w:val="0"/>
                <w:sz w:val="18"/>
                <w:szCs w:val="18"/>
                <w:highlight w:val="none"/>
                <w:u w:val="none"/>
                <w:lang w:val="en-US" w:eastAsia="zh-CN" w:bidi="ar"/>
                <w:woUserID w:val="12"/>
              </w:rPr>
              <w:br w:type="textWrapping"/>
            </w:r>
            <w:r>
              <w:rPr>
                <w:rFonts w:hint="eastAsia" w:ascii="宋体" w:hAnsi="宋体" w:eastAsia="宋体" w:cs="宋体"/>
                <w:i w:val="0"/>
                <w:iCs w:val="0"/>
                <w:color w:val="000000"/>
                <w:kern w:val="0"/>
                <w:sz w:val="18"/>
                <w:szCs w:val="18"/>
                <w:highlight w:val="none"/>
                <w:u w:val="none"/>
                <w:lang w:val="en-US" w:eastAsia="zh-CN" w:bidi="ar"/>
                <w:woUserID w:val="12"/>
              </w:rPr>
              <w:t>箱体就位前，采用三维扫描对基础平整度、预埋件精度进行数字化验收。</w:t>
            </w:r>
            <w:r>
              <w:rPr>
                <w:rFonts w:hint="eastAsia" w:ascii="宋体" w:hAnsi="宋体" w:eastAsia="宋体" w:cs="宋体"/>
                <w:i w:val="0"/>
                <w:iCs w:val="0"/>
                <w:color w:val="000000"/>
                <w:kern w:val="0"/>
                <w:sz w:val="18"/>
                <w:szCs w:val="18"/>
                <w:highlight w:val="none"/>
                <w:u w:val="none"/>
                <w:lang w:val="en-US" w:eastAsia="zh-CN" w:bidi="ar"/>
                <w:woUserID w:val="12"/>
              </w:rPr>
              <w:br w:type="textWrapping"/>
            </w:r>
            <w:r>
              <w:rPr>
                <w:rFonts w:hint="eastAsia" w:ascii="宋体" w:hAnsi="宋体" w:eastAsia="宋体" w:cs="宋体"/>
                <w:i w:val="0"/>
                <w:iCs w:val="0"/>
                <w:color w:val="000000"/>
                <w:kern w:val="0"/>
                <w:sz w:val="18"/>
                <w:szCs w:val="18"/>
                <w:highlight w:val="none"/>
                <w:u w:val="none"/>
                <w:lang w:val="en-US" w:eastAsia="zh-CN" w:bidi="ar"/>
                <w:woUserID w:val="12"/>
              </w:rPr>
              <w:t>箱体就位后，进行防潮密封性智能检测并记录数据。</w:t>
            </w:r>
          </w:p>
        </w:tc>
      </w:tr>
      <w:tr w14:paraId="61F19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jc w:val="center"/>
        </w:trPr>
        <w:tc>
          <w:tcPr>
            <w:tcW w:w="401" w:type="pct"/>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2FF26B80">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11</w:t>
            </w:r>
          </w:p>
        </w:tc>
        <w:tc>
          <w:tcPr>
            <w:tcW w:w="737" w:type="pct"/>
            <w:vMerge w:val="continue"/>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2EBADCE8">
            <w:pPr>
              <w:keepNext w:val="0"/>
              <w:keepLines w:val="0"/>
              <w:pageBreakBefore w:val="0"/>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highlight w:val="none"/>
                <w:u w:val="none"/>
                <w:woUserID w:val="12"/>
              </w:rPr>
            </w:pPr>
          </w:p>
        </w:tc>
        <w:tc>
          <w:tcPr>
            <w:tcW w:w="1089" w:type="pct"/>
            <w:tcBorders>
              <w:top w:val="nil"/>
              <w:left w:val="nil"/>
              <w:bottom w:val="single" w:color="auto" w:sz="4" w:space="0"/>
              <w:right w:val="single" w:color="auto" w:sz="4" w:space="0"/>
            </w:tcBorders>
            <w:shd w:val="clear" w:color="auto" w:fill="auto"/>
            <w:noWrap/>
            <w:tcMar>
              <w:top w:w="0" w:type="dxa"/>
              <w:left w:w="6" w:type="dxa"/>
              <w:bottom w:w="0" w:type="dxa"/>
              <w:right w:w="6" w:type="dxa"/>
            </w:tcMar>
            <w:vAlign w:val="center"/>
          </w:tcPr>
          <w:p w14:paraId="3822005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配电站户内电气设备安装</w:t>
            </w:r>
          </w:p>
        </w:tc>
        <w:tc>
          <w:tcPr>
            <w:tcW w:w="2771" w:type="pct"/>
            <w:tcBorders>
              <w:top w:val="nil"/>
              <w:left w:val="nil"/>
              <w:bottom w:val="single" w:color="auto" w:sz="4" w:space="0"/>
              <w:right w:val="single" w:color="auto" w:sz="4" w:space="0"/>
            </w:tcBorders>
            <w:shd w:val="clear" w:color="auto" w:fill="auto"/>
            <w:tcMar>
              <w:top w:w="0" w:type="dxa"/>
              <w:left w:w="6" w:type="dxa"/>
              <w:bottom w:w="0" w:type="dxa"/>
              <w:right w:w="6" w:type="dxa"/>
            </w:tcMar>
            <w:vAlign w:val="center"/>
          </w:tcPr>
          <w:p w14:paraId="36A4B1F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设备定位精准校准、接地系统连续性实时监测及二次回路绝缘性能智能检测。</w:t>
            </w:r>
          </w:p>
        </w:tc>
      </w:tr>
      <w:tr w14:paraId="0EB9C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jc w:val="center"/>
        </w:trPr>
        <w:tc>
          <w:tcPr>
            <w:tcW w:w="401" w:type="pct"/>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67B6CB87">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12</w:t>
            </w:r>
          </w:p>
        </w:tc>
        <w:tc>
          <w:tcPr>
            <w:tcW w:w="737" w:type="pct"/>
            <w:vMerge w:val="continue"/>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63E230B3">
            <w:pPr>
              <w:keepNext w:val="0"/>
              <w:keepLines w:val="0"/>
              <w:pageBreakBefore w:val="0"/>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highlight w:val="none"/>
                <w:u w:val="none"/>
                <w:woUserID w:val="12"/>
              </w:rPr>
            </w:pPr>
          </w:p>
        </w:tc>
        <w:tc>
          <w:tcPr>
            <w:tcW w:w="1089" w:type="pct"/>
            <w:tcBorders>
              <w:top w:val="nil"/>
              <w:left w:val="nil"/>
              <w:bottom w:val="single" w:color="auto" w:sz="4" w:space="0"/>
              <w:right w:val="single" w:color="auto" w:sz="4" w:space="0"/>
            </w:tcBorders>
            <w:shd w:val="clear" w:color="auto" w:fill="auto"/>
            <w:noWrap/>
            <w:tcMar>
              <w:top w:w="0" w:type="dxa"/>
              <w:left w:w="6" w:type="dxa"/>
              <w:bottom w:w="0" w:type="dxa"/>
              <w:right w:w="6" w:type="dxa"/>
            </w:tcMar>
            <w:vAlign w:val="center"/>
          </w:tcPr>
          <w:p w14:paraId="2A8A3C0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配电站、箱式配电站和充电桩户外电气设备安装工程</w:t>
            </w:r>
          </w:p>
        </w:tc>
        <w:tc>
          <w:tcPr>
            <w:tcW w:w="2771" w:type="pct"/>
            <w:tcBorders>
              <w:top w:val="nil"/>
              <w:left w:val="nil"/>
              <w:bottom w:val="single" w:color="auto" w:sz="4" w:space="0"/>
              <w:right w:val="single" w:color="auto" w:sz="4" w:space="0"/>
            </w:tcBorders>
            <w:shd w:val="clear" w:color="auto" w:fill="auto"/>
            <w:tcMar>
              <w:top w:w="0" w:type="dxa"/>
              <w:left w:w="6" w:type="dxa"/>
              <w:bottom w:w="0" w:type="dxa"/>
              <w:right w:w="6" w:type="dxa"/>
            </w:tcMar>
            <w:vAlign w:val="center"/>
          </w:tcPr>
          <w:p w14:paraId="2B8C048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设备精准定位安装、电缆连接接触可靠性在线监测及箱体密封防潮性能智能验证，保障运行安全与稳定性。</w:t>
            </w:r>
            <w:r>
              <w:rPr>
                <w:rFonts w:hint="eastAsia" w:ascii="宋体" w:hAnsi="宋体" w:eastAsia="宋体" w:cs="宋体"/>
                <w:i w:val="0"/>
                <w:iCs w:val="0"/>
                <w:color w:val="000000"/>
                <w:kern w:val="0"/>
                <w:sz w:val="18"/>
                <w:szCs w:val="18"/>
                <w:highlight w:val="none"/>
                <w:u w:val="none"/>
                <w:lang w:val="en-US" w:eastAsia="zh-CN" w:bidi="ar"/>
                <w:woUserID w:val="12"/>
              </w:rPr>
              <w:br w:type="textWrapping"/>
            </w:r>
            <w:r>
              <w:rPr>
                <w:rFonts w:hint="eastAsia" w:ascii="宋体" w:hAnsi="宋体" w:eastAsia="宋体" w:cs="宋体"/>
                <w:i w:val="0"/>
                <w:iCs w:val="0"/>
                <w:color w:val="000000"/>
                <w:kern w:val="0"/>
                <w:sz w:val="18"/>
                <w:szCs w:val="18"/>
                <w:highlight w:val="none"/>
                <w:u w:val="none"/>
                <w:lang w:val="en-US" w:eastAsia="zh-CN" w:bidi="ar"/>
                <w:woUserID w:val="12"/>
              </w:rPr>
              <w:t>设备稳固安装、绝缘性能达标及防雷接地可靠，保障户外运行安全稳定。</w:t>
            </w:r>
          </w:p>
        </w:tc>
      </w:tr>
      <w:tr w14:paraId="24AAD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jc w:val="center"/>
        </w:trPr>
        <w:tc>
          <w:tcPr>
            <w:tcW w:w="401" w:type="pct"/>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39BEB6BA">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13</w:t>
            </w:r>
          </w:p>
        </w:tc>
        <w:tc>
          <w:tcPr>
            <w:tcW w:w="737" w:type="pct"/>
            <w:vMerge w:val="continue"/>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0B3B02C8">
            <w:pPr>
              <w:keepNext w:val="0"/>
              <w:keepLines w:val="0"/>
              <w:pageBreakBefore w:val="0"/>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highlight w:val="none"/>
                <w:u w:val="none"/>
                <w:woUserID w:val="12"/>
              </w:rPr>
            </w:pPr>
          </w:p>
        </w:tc>
        <w:tc>
          <w:tcPr>
            <w:tcW w:w="1089" w:type="pct"/>
            <w:tcBorders>
              <w:top w:val="nil"/>
              <w:left w:val="nil"/>
              <w:bottom w:val="single" w:color="auto" w:sz="4" w:space="0"/>
              <w:right w:val="single" w:color="auto" w:sz="4" w:space="0"/>
            </w:tcBorders>
            <w:shd w:val="clear" w:color="auto" w:fill="auto"/>
            <w:noWrap/>
            <w:tcMar>
              <w:top w:w="0" w:type="dxa"/>
              <w:left w:w="6" w:type="dxa"/>
              <w:bottom w:w="0" w:type="dxa"/>
              <w:right w:w="6" w:type="dxa"/>
            </w:tcMar>
            <w:vAlign w:val="center"/>
          </w:tcPr>
          <w:p w14:paraId="555F569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配网自动化设备安装工程</w:t>
            </w:r>
          </w:p>
        </w:tc>
        <w:tc>
          <w:tcPr>
            <w:tcW w:w="2771" w:type="pct"/>
            <w:tcBorders>
              <w:top w:val="nil"/>
              <w:left w:val="nil"/>
              <w:bottom w:val="single" w:color="auto" w:sz="4" w:space="0"/>
              <w:right w:val="single" w:color="auto" w:sz="4" w:space="0"/>
            </w:tcBorders>
            <w:shd w:val="clear" w:color="auto" w:fill="auto"/>
            <w:tcMar>
              <w:top w:w="0" w:type="dxa"/>
              <w:left w:w="6" w:type="dxa"/>
              <w:bottom w:w="0" w:type="dxa"/>
              <w:right w:w="6" w:type="dxa"/>
            </w:tcMar>
            <w:vAlign w:val="center"/>
          </w:tcPr>
          <w:p w14:paraId="4EB18B8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设备精准部署、数据交互实时准确且故障自愈功能可靠。</w:t>
            </w:r>
          </w:p>
        </w:tc>
      </w:tr>
      <w:tr w14:paraId="6E1FE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jc w:val="center"/>
        </w:trPr>
        <w:tc>
          <w:tcPr>
            <w:tcW w:w="401" w:type="pct"/>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652DA202">
            <w:pPr>
              <w:keepNext w:val="0"/>
              <w:keepLines w:val="0"/>
              <w:pageBreakBefore w:val="0"/>
              <w:kinsoku/>
              <w:wordWrap/>
              <w:overflowPunct/>
              <w:topLinePunct w:val="0"/>
              <w:autoSpaceDE/>
              <w:autoSpaceDN/>
              <w:bidi w:val="0"/>
              <w:adjustRightInd/>
              <w:snapToGrid w:val="0"/>
              <w:ind w:left="0" w:leftChars="0" w:firstLine="0" w:firstLineChars="0"/>
              <w:jc w:val="center"/>
              <w:rPr>
                <w:rFonts w:hint="eastAsia" w:ascii="宋体" w:hAnsi="宋体" w:eastAsia="宋体" w:cs="宋体"/>
                <w:i w:val="0"/>
                <w:iCs w:val="0"/>
                <w:color w:val="000000"/>
                <w:sz w:val="18"/>
                <w:szCs w:val="18"/>
                <w:highlight w:val="none"/>
                <w:u w:val="none"/>
                <w:lang w:eastAsia="zh"/>
                <w:woUserID w:val="14"/>
              </w:rPr>
            </w:pPr>
            <w:r>
              <w:rPr>
                <w:rFonts w:hint="eastAsia" w:ascii="宋体" w:hAnsi="宋体" w:cs="宋体"/>
                <w:i w:val="0"/>
                <w:iCs w:val="0"/>
                <w:color w:val="000000"/>
                <w:sz w:val="18"/>
                <w:szCs w:val="18"/>
                <w:highlight w:val="none"/>
                <w:u w:val="none"/>
                <w:lang w:eastAsia="zh"/>
                <w:woUserID w:val="14"/>
              </w:rPr>
              <w:t>14</w:t>
            </w:r>
          </w:p>
        </w:tc>
        <w:tc>
          <w:tcPr>
            <w:tcW w:w="737" w:type="pct"/>
            <w:vMerge w:val="continue"/>
            <w:tcBorders>
              <w:top w:val="nil"/>
              <w:left w:val="single" w:color="auto" w:sz="4" w:space="0"/>
              <w:bottom w:val="single" w:color="auto" w:sz="4" w:space="0"/>
              <w:right w:val="single" w:color="auto" w:sz="4" w:space="0"/>
            </w:tcBorders>
            <w:shd w:val="clear" w:color="auto" w:fill="auto"/>
            <w:tcMar>
              <w:top w:w="0" w:type="dxa"/>
              <w:left w:w="6" w:type="dxa"/>
              <w:bottom w:w="0" w:type="dxa"/>
              <w:right w:w="6" w:type="dxa"/>
            </w:tcMar>
            <w:vAlign w:val="center"/>
          </w:tcPr>
          <w:p w14:paraId="3D8EE4AE">
            <w:pPr>
              <w:keepNext w:val="0"/>
              <w:keepLines w:val="0"/>
              <w:pageBreakBefore w:val="0"/>
              <w:kinsoku/>
              <w:wordWrap/>
              <w:overflowPunct/>
              <w:topLinePunct w:val="0"/>
              <w:autoSpaceDE/>
              <w:autoSpaceDN/>
              <w:bidi w:val="0"/>
              <w:adjustRightInd/>
              <w:snapToGrid w:val="0"/>
              <w:jc w:val="left"/>
              <w:rPr>
                <w:rFonts w:hint="eastAsia" w:ascii="宋体" w:hAnsi="宋体" w:eastAsia="宋体" w:cs="宋体"/>
                <w:i w:val="0"/>
                <w:iCs w:val="0"/>
                <w:color w:val="000000"/>
                <w:sz w:val="18"/>
                <w:szCs w:val="18"/>
                <w:highlight w:val="none"/>
                <w:u w:val="none"/>
                <w:woUserID w:val="12"/>
              </w:rPr>
            </w:pPr>
          </w:p>
        </w:tc>
        <w:tc>
          <w:tcPr>
            <w:tcW w:w="1089" w:type="pct"/>
            <w:tcBorders>
              <w:top w:val="nil"/>
              <w:left w:val="nil"/>
              <w:bottom w:val="single" w:color="auto" w:sz="4" w:space="0"/>
              <w:right w:val="single" w:color="auto" w:sz="4" w:space="0"/>
            </w:tcBorders>
            <w:shd w:val="clear" w:color="auto" w:fill="auto"/>
            <w:noWrap/>
            <w:tcMar>
              <w:top w:w="0" w:type="dxa"/>
              <w:left w:w="6" w:type="dxa"/>
              <w:bottom w:w="0" w:type="dxa"/>
              <w:right w:w="6" w:type="dxa"/>
            </w:tcMar>
            <w:vAlign w:val="center"/>
          </w:tcPr>
          <w:p w14:paraId="76B62E7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配电站、箱式变电站和充电桩电气试验工程</w:t>
            </w:r>
          </w:p>
        </w:tc>
        <w:tc>
          <w:tcPr>
            <w:tcW w:w="2771" w:type="pct"/>
            <w:tcBorders>
              <w:top w:val="nil"/>
              <w:left w:val="nil"/>
              <w:bottom w:val="single" w:color="auto" w:sz="4" w:space="0"/>
              <w:right w:val="single" w:color="auto" w:sz="4" w:space="0"/>
            </w:tcBorders>
            <w:shd w:val="clear" w:color="auto" w:fill="auto"/>
            <w:tcMar>
              <w:top w:w="0" w:type="dxa"/>
              <w:left w:w="6" w:type="dxa"/>
              <w:bottom w:w="0" w:type="dxa"/>
              <w:right w:w="6" w:type="dxa"/>
            </w:tcMar>
            <w:vAlign w:val="center"/>
          </w:tcPr>
          <w:p w14:paraId="5600ED1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绝缘耐压精准测试、接地电阻动态监测及试验数据自动记录</w:t>
            </w:r>
          </w:p>
        </w:tc>
      </w:tr>
      <w:tr w14:paraId="7F8FB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jc w:val="center"/>
        </w:trPr>
        <w:tc>
          <w:tcPr>
            <w:tcW w:w="401" w:type="pct"/>
            <w:tcBorders>
              <w:top w:val="nil"/>
              <w:left w:val="single" w:color="auto" w:sz="4" w:space="0"/>
              <w:bottom w:val="single" w:color="auto" w:sz="4" w:space="0"/>
              <w:right w:val="single" w:color="auto" w:sz="4" w:space="0"/>
            </w:tcBorders>
            <w:shd w:val="clear" w:color="auto" w:fill="auto"/>
            <w:noWrap/>
            <w:tcMar>
              <w:top w:w="0" w:type="dxa"/>
              <w:left w:w="6" w:type="dxa"/>
              <w:bottom w:w="0" w:type="dxa"/>
              <w:right w:w="6" w:type="dxa"/>
            </w:tcMar>
            <w:vAlign w:val="center"/>
          </w:tcPr>
          <w:p w14:paraId="395ECC73">
            <w:pPr>
              <w:keepNext w:val="0"/>
              <w:keepLines w:val="0"/>
              <w:pageBreakBefore w:val="0"/>
              <w:widowControl/>
              <w:suppressLineNumbers w:val="0"/>
              <w:kinsoku/>
              <w:wordWrap/>
              <w:overflowPunct/>
              <w:topLinePunct w:val="0"/>
              <w:autoSpaceDE/>
              <w:autoSpaceDN/>
              <w:bidi w:val="0"/>
              <w:adjustRightInd/>
              <w:snapToGrid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 w:bidi="ar"/>
                <w:woUserID w:val="14"/>
              </w:rPr>
            </w:pPr>
            <w:r>
              <w:rPr>
                <w:rFonts w:hint="eastAsia" w:ascii="宋体" w:hAnsi="宋体" w:cs="宋体"/>
                <w:i w:val="0"/>
                <w:iCs w:val="0"/>
                <w:color w:val="000000"/>
                <w:kern w:val="0"/>
                <w:sz w:val="18"/>
                <w:szCs w:val="18"/>
                <w:highlight w:val="none"/>
                <w:u w:val="none"/>
                <w:lang w:val="en-US" w:eastAsia="zh" w:bidi="ar"/>
                <w:woUserID w:val="14"/>
              </w:rPr>
              <w:t>15</w:t>
            </w:r>
          </w:p>
        </w:tc>
        <w:tc>
          <w:tcPr>
            <w:tcW w:w="737" w:type="pct"/>
            <w:tcBorders>
              <w:top w:val="nil"/>
              <w:left w:val="single" w:color="auto" w:sz="4" w:space="0"/>
              <w:bottom w:val="single" w:color="auto" w:sz="4" w:space="0"/>
              <w:right w:val="single" w:color="auto" w:sz="4" w:space="0"/>
            </w:tcBorders>
            <w:shd w:val="clear" w:color="auto" w:fill="auto"/>
            <w:noWrap/>
            <w:tcMar>
              <w:top w:w="0" w:type="dxa"/>
              <w:left w:w="6" w:type="dxa"/>
              <w:bottom w:w="0" w:type="dxa"/>
              <w:right w:w="6" w:type="dxa"/>
            </w:tcMar>
            <w:vAlign w:val="center"/>
          </w:tcPr>
          <w:p w14:paraId="494495B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通信</w:t>
            </w:r>
          </w:p>
        </w:tc>
        <w:tc>
          <w:tcPr>
            <w:tcW w:w="1089" w:type="pct"/>
            <w:tcBorders>
              <w:top w:val="nil"/>
              <w:left w:val="nil"/>
              <w:bottom w:val="single" w:color="auto" w:sz="4" w:space="0"/>
              <w:right w:val="single" w:color="auto" w:sz="4" w:space="0"/>
            </w:tcBorders>
            <w:shd w:val="clear" w:color="auto" w:fill="auto"/>
            <w:noWrap/>
            <w:tcMar>
              <w:top w:w="0" w:type="dxa"/>
              <w:left w:w="6" w:type="dxa"/>
              <w:bottom w:w="0" w:type="dxa"/>
              <w:right w:w="6" w:type="dxa"/>
            </w:tcMar>
            <w:vAlign w:val="center"/>
          </w:tcPr>
          <w:p w14:paraId="0EF1D0E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通信设备安装调试工程</w:t>
            </w:r>
          </w:p>
        </w:tc>
        <w:tc>
          <w:tcPr>
            <w:tcW w:w="2771" w:type="pct"/>
            <w:tcBorders>
              <w:top w:val="nil"/>
              <w:left w:val="nil"/>
              <w:bottom w:val="single" w:color="auto" w:sz="4" w:space="0"/>
              <w:right w:val="single" w:color="auto" w:sz="4" w:space="0"/>
            </w:tcBorders>
            <w:shd w:val="clear" w:color="auto" w:fill="auto"/>
            <w:tcMar>
              <w:top w:w="0" w:type="dxa"/>
              <w:left w:w="6" w:type="dxa"/>
              <w:bottom w:w="0" w:type="dxa"/>
              <w:right w:w="6" w:type="dxa"/>
            </w:tcMar>
            <w:vAlign w:val="center"/>
          </w:tcPr>
          <w:p w14:paraId="1E6AB66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18"/>
                <w:szCs w:val="18"/>
                <w:highlight w:val="none"/>
                <w:u w:val="none"/>
                <w:woUserID w:val="12"/>
              </w:rPr>
            </w:pPr>
            <w:r>
              <w:rPr>
                <w:rFonts w:hint="eastAsia" w:ascii="宋体" w:hAnsi="宋体" w:eastAsia="宋体" w:cs="宋体"/>
                <w:i w:val="0"/>
                <w:iCs w:val="0"/>
                <w:color w:val="000000"/>
                <w:kern w:val="0"/>
                <w:sz w:val="18"/>
                <w:szCs w:val="18"/>
                <w:highlight w:val="none"/>
                <w:u w:val="none"/>
                <w:lang w:val="en-US" w:eastAsia="zh-CN" w:bidi="ar"/>
                <w:woUserID w:val="12"/>
              </w:rPr>
              <w:t>使用专业网络测试仪，对光纤熔接损耗等关键参数进行测试。</w:t>
            </w:r>
          </w:p>
        </w:tc>
      </w:tr>
    </w:tbl>
    <w:p w14:paraId="61A15E18">
      <w:pPr>
        <w:pStyle w:val="85"/>
        <w:spacing w:before="312" w:after="312"/>
        <w:rPr>
          <w:rFonts w:ascii="Times New Roman" w:hAnsi="Times New Roman"/>
          <w:highlight w:val="none"/>
        </w:rPr>
      </w:pPr>
      <w:bookmarkStart w:id="73" w:name="_Toc30111"/>
      <w:r>
        <w:rPr>
          <w:rFonts w:hint="eastAsia" w:ascii="Times New Roman" w:hAnsi="Times New Roman"/>
          <w:highlight w:val="none"/>
          <w:lang w:val="en-US" w:eastAsia="zh-CN"/>
        </w:rPr>
        <w:t>安全</w:t>
      </w:r>
      <w:r>
        <w:rPr>
          <w:rFonts w:hint="eastAsia" w:ascii="Times New Roman" w:hAnsi="Times New Roman"/>
          <w:highlight w:val="none"/>
        </w:rPr>
        <w:t>管理</w:t>
      </w:r>
      <w:bookmarkEnd w:id="73"/>
    </w:p>
    <w:p w14:paraId="0DADD354">
      <w:pPr>
        <w:numPr>
          <w:ilvl w:val="0"/>
          <w:numId w:val="11"/>
        </w:numPr>
        <w:rPr>
          <w:rFonts w:hint="eastAsia" w:ascii="Times New Roman" w:hAnsi="Times New Roman" w:eastAsia="宋体" w:cs="Times New Roman"/>
          <w:highlight w:val="none"/>
        </w:rPr>
      </w:pPr>
      <w:r>
        <w:rPr>
          <w:rFonts w:hint="eastAsia" w:ascii="Times New Roman" w:hAnsi="Times New Roman" w:eastAsia="宋体" w:cs="Times New Roman"/>
          <w:highlight w:val="none"/>
        </w:rPr>
        <w:t>安全管理应包含</w:t>
      </w:r>
      <w:r>
        <w:rPr>
          <w:rFonts w:hint="eastAsia" w:ascii="Times New Roman" w:hAnsi="Times New Roman" w:cs="Times New Roman"/>
          <w:highlight w:val="none"/>
          <w:lang w:eastAsia="zh"/>
          <w:woUserID w:val="1"/>
        </w:rPr>
        <w:t>计划</w:t>
      </w:r>
      <w:r>
        <w:rPr>
          <w:rFonts w:hint="eastAsia" w:ascii="Times New Roman" w:hAnsi="Times New Roman" w:eastAsia="宋体" w:cs="Times New Roman"/>
          <w:highlight w:val="none"/>
          <w:lang w:val="zh-CN" w:eastAsia="zh-CN"/>
        </w:rPr>
        <w:t>管理、</w:t>
      </w:r>
      <w:r>
        <w:rPr>
          <w:rFonts w:hint="eastAsia" w:ascii="Times New Roman" w:hAnsi="Times New Roman" w:eastAsia="宋体" w:cs="Times New Roman"/>
          <w:highlight w:val="none"/>
        </w:rPr>
        <w:t>安全风险管理、</w:t>
      </w:r>
      <w:r>
        <w:rPr>
          <w:rFonts w:hint="eastAsia" w:ascii="Times New Roman" w:hAnsi="Times New Roman" w:eastAsia="宋体" w:cs="Times New Roman"/>
          <w:highlight w:val="none"/>
          <w:lang w:val="en-US" w:eastAsia="zh-CN"/>
        </w:rPr>
        <w:t>违章管理、</w:t>
      </w:r>
      <w:r>
        <w:rPr>
          <w:rFonts w:hint="eastAsia" w:ascii="Times New Roman" w:hAnsi="Times New Roman" w:cs="Times New Roman"/>
          <w:highlight w:val="none"/>
          <w:lang w:val="en-US" w:eastAsia="zh"/>
          <w:woUserID w:val="1"/>
        </w:rPr>
        <w:t>安全准入、安全工器具、施工机具、</w:t>
      </w:r>
      <w:r>
        <w:rPr>
          <w:rFonts w:hint="eastAsia" w:ascii="Times New Roman" w:hAnsi="Times New Roman" w:eastAsia="宋体" w:cs="Times New Roman"/>
          <w:highlight w:val="none"/>
          <w:lang w:val="en-US" w:eastAsia="zh-CN"/>
        </w:rPr>
        <w:t>人员到位管理、</w:t>
      </w:r>
      <w:r>
        <w:rPr>
          <w:rFonts w:hint="eastAsia" w:ascii="Times New Roman" w:hAnsi="Times New Roman" w:eastAsia="宋体" w:cs="Times New Roman"/>
          <w:highlight w:val="none"/>
        </w:rPr>
        <w:t>隐患排查治理、安全教育培训、</w:t>
      </w:r>
      <w:r>
        <w:rPr>
          <w:rFonts w:hint="eastAsia" w:ascii="Times New Roman" w:hAnsi="Times New Roman" w:eastAsia="宋体" w:cs="Times New Roman"/>
          <w:highlight w:val="none"/>
          <w:lang w:val="en-US" w:eastAsia="zh-CN"/>
        </w:rPr>
        <w:t>实时</w:t>
      </w:r>
      <w:r>
        <w:rPr>
          <w:rFonts w:hint="eastAsia" w:ascii="Times New Roman" w:hAnsi="Times New Roman" w:eastAsia="宋体" w:cs="Times New Roman"/>
          <w:highlight w:val="none"/>
        </w:rPr>
        <w:t>安全监控、</w:t>
      </w:r>
      <w:r>
        <w:rPr>
          <w:rFonts w:hint="eastAsia" w:ascii="Times New Roman" w:hAnsi="Times New Roman" w:eastAsia="宋体" w:cs="Times New Roman"/>
          <w:highlight w:val="none"/>
          <w:lang w:val="en-US" w:eastAsia="zh-CN"/>
        </w:rPr>
        <w:t>实时气候预警、</w:t>
      </w:r>
      <w:r>
        <w:rPr>
          <w:rFonts w:hint="eastAsia" w:ascii="Times New Roman" w:hAnsi="Times New Roman" w:eastAsia="宋体" w:cs="Times New Roman"/>
          <w:highlight w:val="none"/>
        </w:rPr>
        <w:t>危险性较大的分部分项工程管理等内容。</w:t>
      </w:r>
    </w:p>
    <w:p w14:paraId="5712F9B9">
      <w:pPr>
        <w:numPr>
          <w:ilvl w:val="0"/>
          <w:numId w:val="11"/>
        </w:numPr>
        <w:rPr>
          <w:rFonts w:ascii="Times New Roman" w:hAnsi="Times New Roman"/>
          <w:highlight w:val="none"/>
        </w:rPr>
      </w:pPr>
      <w:r>
        <w:rPr>
          <w:rFonts w:hint="eastAsia" w:ascii="Times New Roman" w:hAnsi="Times New Roman"/>
          <w:highlight w:val="none"/>
          <w:lang w:eastAsia="zh-CN"/>
        </w:rPr>
        <w:t>8.</w:t>
      </w:r>
      <w:r>
        <w:rPr>
          <w:rFonts w:hint="eastAsia" w:ascii="Times New Roman" w:hAnsi="Times New Roman"/>
          <w:highlight w:val="none"/>
          <w:lang w:val="en-US" w:eastAsia="zh-CN"/>
        </w:rPr>
        <w:t>1</w:t>
      </w:r>
      <w:r>
        <w:rPr>
          <w:rFonts w:hint="eastAsia" w:ascii="Times New Roman" w:hAnsi="Times New Roman"/>
          <w:highlight w:val="none"/>
          <w:lang w:val="en-US" w:eastAsia="zh"/>
          <w:woUserID w:val="1"/>
        </w:rPr>
        <w:t>计划</w:t>
      </w:r>
      <w:r>
        <w:rPr>
          <w:rFonts w:hint="eastAsia" w:ascii="Times New Roman" w:hAnsi="Times New Roman" w:eastAsia="宋体" w:cs="Times New Roman"/>
          <w:highlight w:val="none"/>
          <w:lang w:val="zh-CN" w:eastAsia="zh-CN"/>
        </w:rPr>
        <w:t>管理，</w:t>
      </w:r>
      <w:r>
        <w:rPr>
          <w:rFonts w:hint="eastAsia" w:ascii="Times New Roman" w:hAnsi="Times New Roman"/>
          <w:highlight w:val="none"/>
        </w:rPr>
        <w:t>作业</w:t>
      </w:r>
      <w:r>
        <w:rPr>
          <w:rFonts w:hint="eastAsia" w:ascii="Times New Roman" w:hAnsi="Times New Roman"/>
          <w:highlight w:val="none"/>
          <w:lang w:eastAsia="zh"/>
          <w:woUserID w:val="1"/>
        </w:rPr>
        <w:t>计划</w:t>
      </w:r>
      <w:r>
        <w:rPr>
          <w:rFonts w:hint="eastAsia" w:ascii="Times New Roman" w:hAnsi="Times New Roman"/>
          <w:highlight w:val="none"/>
        </w:rPr>
        <w:t>分为</w:t>
      </w:r>
      <w:r>
        <w:rPr>
          <w:rFonts w:hint="eastAsia" w:ascii="Times New Roman" w:hAnsi="Times New Roman"/>
          <w:highlight w:val="none"/>
          <w:lang w:eastAsia="zh"/>
          <w:woUserID w:val="1"/>
        </w:rPr>
        <w:t>常规</w:t>
      </w:r>
      <w:r>
        <w:rPr>
          <w:rFonts w:hint="eastAsia" w:ascii="Times New Roman" w:hAnsi="Times New Roman"/>
          <w:highlight w:val="none"/>
        </w:rPr>
        <w:t>作业</w:t>
      </w:r>
      <w:r>
        <w:rPr>
          <w:rFonts w:hint="eastAsia" w:ascii="Times New Roman" w:hAnsi="Times New Roman"/>
          <w:highlight w:val="none"/>
          <w:lang w:eastAsia="zh"/>
          <w:woUserID w:val="1"/>
        </w:rPr>
        <w:t>计划</w:t>
      </w:r>
      <w:r>
        <w:rPr>
          <w:rFonts w:hint="eastAsia" w:ascii="Times New Roman" w:hAnsi="Times New Roman"/>
          <w:highlight w:val="none"/>
        </w:rPr>
        <w:t>和临时性作业</w:t>
      </w:r>
      <w:r>
        <w:rPr>
          <w:rFonts w:hint="eastAsia" w:ascii="Times New Roman" w:hAnsi="Times New Roman"/>
          <w:highlight w:val="none"/>
          <w:lang w:eastAsia="zh"/>
          <w:woUserID w:val="1"/>
        </w:rPr>
        <w:t>计划</w:t>
      </w:r>
      <w:r>
        <w:rPr>
          <w:rFonts w:hint="eastAsia" w:ascii="Times New Roman" w:hAnsi="Times New Roman"/>
          <w:highlight w:val="none"/>
        </w:rPr>
        <w:t>，</w:t>
      </w:r>
      <w:r>
        <w:rPr>
          <w:rFonts w:hint="eastAsia" w:ascii="Times New Roman" w:hAnsi="Times New Roman"/>
          <w:highlight w:val="none"/>
          <w:lang w:val="en-US" w:eastAsia="zh-CN"/>
        </w:rPr>
        <w:t>应</w:t>
      </w:r>
      <w:r>
        <w:rPr>
          <w:rFonts w:hint="eastAsia" w:ascii="Times New Roman" w:hAnsi="Times New Roman"/>
          <w:highlight w:val="none"/>
        </w:rPr>
        <w:t>全部纳入</w:t>
      </w:r>
      <w:r>
        <w:rPr>
          <w:rFonts w:hint="eastAsia" w:ascii="Times New Roman" w:hAnsi="Times New Roman"/>
          <w:highlight w:val="none"/>
          <w:lang w:val="en-US" w:eastAsia="zh-CN"/>
        </w:rPr>
        <w:t>系统进行</w:t>
      </w:r>
      <w:r>
        <w:rPr>
          <w:rFonts w:hint="eastAsia" w:ascii="Times New Roman" w:hAnsi="Times New Roman"/>
          <w:highlight w:val="none"/>
        </w:rPr>
        <w:t>管理</w:t>
      </w:r>
      <w:r>
        <w:rPr>
          <w:rFonts w:hint="eastAsia" w:ascii="Times New Roman" w:hAnsi="Times New Roman"/>
          <w:highlight w:val="none"/>
          <w:lang w:eastAsia="zh-CN"/>
        </w:rPr>
        <w:t>，</w:t>
      </w:r>
      <w:r>
        <w:rPr>
          <w:rFonts w:hint="eastAsia" w:ascii="Times New Roman" w:hAnsi="Times New Roman"/>
          <w:highlight w:val="none"/>
          <w:lang w:val="en-US" w:eastAsia="zh-CN"/>
        </w:rPr>
        <w:t>临时性作业当天录入系统并完成审批流程即可开展实施。</w:t>
      </w:r>
    </w:p>
    <w:p w14:paraId="58DFFB31">
      <w:pPr>
        <w:numPr>
          <w:ilvl w:val="0"/>
          <w:numId w:val="11"/>
        </w:numPr>
        <w:rPr>
          <w:rFonts w:ascii="Times New Roman" w:hAnsi="Times New Roman"/>
          <w:highlight w:val="none"/>
        </w:rPr>
      </w:pPr>
      <w:r>
        <w:rPr>
          <w:rFonts w:hint="eastAsia" w:ascii="Times New Roman" w:hAnsi="Times New Roman"/>
          <w:highlight w:val="none"/>
          <w:lang w:eastAsia="zh-CN"/>
        </w:rPr>
        <w:t>8.</w:t>
      </w:r>
      <w:r>
        <w:rPr>
          <w:rFonts w:hint="eastAsia" w:ascii="Times New Roman" w:hAnsi="Times New Roman"/>
          <w:highlight w:val="none"/>
          <w:lang w:val="en-US" w:eastAsia="zh-CN"/>
        </w:rPr>
        <w:t xml:space="preserve">2 </w:t>
      </w:r>
      <w:r>
        <w:rPr>
          <w:rFonts w:hint="eastAsia" w:ascii="Times New Roman" w:hAnsi="Times New Roman"/>
          <w:highlight w:val="none"/>
        </w:rPr>
        <w:t>安全风险管理</w:t>
      </w:r>
    </w:p>
    <w:p w14:paraId="7663C695">
      <w:pPr>
        <w:numPr>
          <w:ilvl w:val="0"/>
          <w:numId w:val="11"/>
        </w:numPr>
        <w:rPr>
          <w:rFonts w:ascii="Times New Roman" w:hAnsi="Times New Roman"/>
          <w:highlight w:val="none"/>
        </w:rPr>
      </w:pPr>
      <w:r>
        <w:rPr>
          <w:rFonts w:hint="eastAsia" w:ascii="Times New Roman" w:hAnsi="Times New Roman"/>
          <w:highlight w:val="none"/>
          <w:lang w:val="en-US" w:eastAsia="zh-CN"/>
        </w:rPr>
        <w:t>8.2.1所有施工作业均</w:t>
      </w:r>
      <w:r>
        <w:rPr>
          <w:rFonts w:hint="eastAsia" w:ascii="Times New Roman" w:hAnsi="Times New Roman"/>
          <w:highlight w:val="none"/>
        </w:rPr>
        <w:t>应</w:t>
      </w:r>
      <w:r>
        <w:rPr>
          <w:rFonts w:hint="eastAsia" w:ascii="Times New Roman" w:hAnsi="Times New Roman"/>
          <w:highlight w:val="none"/>
          <w:lang w:val="en-US" w:eastAsia="zh-CN"/>
        </w:rPr>
        <w:t>开展</w:t>
      </w:r>
      <w:r>
        <w:rPr>
          <w:rFonts w:hint="eastAsia" w:ascii="Times New Roman" w:hAnsi="Times New Roman"/>
          <w:highlight w:val="none"/>
        </w:rPr>
        <w:t>现场勘察，结合人、机、料、法、环的实际情况，</w:t>
      </w:r>
      <w:r>
        <w:rPr>
          <w:rFonts w:hint="eastAsia" w:ascii="Times New Roman" w:hAnsi="Times New Roman"/>
          <w:highlight w:val="none"/>
          <w:lang w:eastAsia="zh"/>
          <w:woUserID w:val="1"/>
        </w:rPr>
        <w:t>评估确定</w:t>
      </w:r>
      <w:r>
        <w:rPr>
          <w:rFonts w:hint="eastAsia" w:ascii="Times New Roman" w:hAnsi="Times New Roman"/>
          <w:highlight w:val="none"/>
          <w:lang w:val="en-US" w:eastAsia="zh-CN"/>
        </w:rPr>
        <w:t>风险等级。作业过程中根据作业标准、规程开展施工作业，不同层级项目管理人员根据作业风险等级开展过程管控。</w:t>
      </w:r>
      <w:r>
        <w:rPr>
          <w:rFonts w:hint="eastAsia" w:ascii="Times New Roman" w:hAnsi="Times New Roman"/>
          <w:highlight w:val="none"/>
          <w:lang w:val="en-US" w:eastAsia="zh-CN"/>
          <w:woUserID w:val="1"/>
        </w:rPr>
        <w:t>系统应</w:t>
      </w:r>
      <w:r>
        <w:rPr>
          <w:rFonts w:hint="eastAsia" w:ascii="Times New Roman" w:hAnsi="Times New Roman"/>
          <w:highlight w:val="none"/>
          <w:lang w:val="en-US" w:eastAsia="zh"/>
          <w:woUserID w:val="1"/>
        </w:rPr>
        <w:t>对</w:t>
      </w:r>
      <w:r>
        <w:rPr>
          <w:rFonts w:hint="eastAsia" w:ascii="Times New Roman" w:hAnsi="Times New Roman"/>
          <w:highlight w:val="none"/>
          <w:lang w:val="en-US" w:eastAsia="zh-CN"/>
        </w:rPr>
        <w:t>高等级风险的作业重点分类，并作为监管重点。</w:t>
      </w:r>
    </w:p>
    <w:p w14:paraId="4B8B62B2">
      <w:pPr>
        <w:numPr>
          <w:ilvl w:val="0"/>
          <w:numId w:val="0"/>
        </w:numPr>
        <w:ind w:leftChars="0"/>
        <w:rPr>
          <w:rFonts w:hint="eastAsia" w:ascii="Times New Roman" w:hAnsi="Times New Roman"/>
          <w:highlight w:val="none"/>
        </w:rPr>
      </w:pPr>
      <w:r>
        <w:rPr>
          <w:rFonts w:hint="eastAsia" w:ascii="Times New Roman" w:hAnsi="Times New Roman"/>
          <w:highlight w:val="none"/>
          <w:lang w:val="en-US" w:eastAsia="zh-CN"/>
        </w:rPr>
        <w:t>8.2.2</w:t>
      </w:r>
      <w:r>
        <w:rPr>
          <w:rFonts w:hint="eastAsia" w:ascii="Times New Roman" w:hAnsi="Times New Roman"/>
          <w:highlight w:val="none"/>
        </w:rPr>
        <w:t>安全风险管理</w:t>
      </w:r>
      <w:r>
        <w:rPr>
          <w:rFonts w:hint="eastAsia" w:ascii="Times New Roman" w:hAnsi="Times New Roman"/>
          <w:highlight w:val="none"/>
          <w:lang w:eastAsia="zh"/>
          <w:woUserID w:val="1"/>
        </w:rPr>
        <w:t>宜</w:t>
      </w:r>
      <w:r>
        <w:rPr>
          <w:rFonts w:hint="eastAsia" w:ascii="Times New Roman" w:hAnsi="Times New Roman"/>
          <w:highlight w:val="none"/>
        </w:rPr>
        <w:t>通过人员定位系统、区域电子围栏、现场广播系统</w:t>
      </w:r>
      <w:r>
        <w:rPr>
          <w:rFonts w:hint="eastAsia" w:ascii="Times New Roman" w:hAnsi="Times New Roman"/>
          <w:highlight w:val="none"/>
          <w:lang w:eastAsia="zh"/>
          <w:woUserID w:val="1"/>
        </w:rPr>
        <w:t>等辅助手段</w:t>
      </w:r>
      <w:r>
        <w:rPr>
          <w:rFonts w:hint="eastAsia" w:ascii="Times New Roman" w:hAnsi="Times New Roman"/>
          <w:highlight w:val="none"/>
        </w:rPr>
        <w:t>对进入危险区域作业人员进行提示、预警。</w:t>
      </w:r>
    </w:p>
    <w:p w14:paraId="5B7F07FC">
      <w:pPr>
        <w:numPr>
          <w:ilvl w:val="0"/>
          <w:numId w:val="0"/>
        </w:numPr>
        <w:rPr>
          <w:rFonts w:hint="default" w:ascii="Times New Roman" w:hAnsi="Times New Roman" w:eastAsia="宋体"/>
          <w:highlight w:val="none"/>
          <w:lang w:val="en-US" w:eastAsia="zh-CN"/>
        </w:rPr>
      </w:pPr>
      <w:r>
        <w:rPr>
          <w:rFonts w:hint="eastAsia" w:ascii="Times New Roman" w:hAnsi="Times New Roman"/>
          <w:highlight w:val="none"/>
          <w:lang w:val="en-US" w:eastAsia="zh-CN"/>
        </w:rPr>
        <w:t>8.3人员到位管理，根据风险等级安排</w:t>
      </w:r>
      <w:r>
        <w:rPr>
          <w:rFonts w:hint="eastAsia" w:ascii="Times New Roman" w:hAnsi="Times New Roman"/>
          <w:highlight w:val="none"/>
          <w:lang w:val="en-US" w:eastAsia="zh"/>
          <w:woUserID w:val="1"/>
        </w:rPr>
        <w:t>对应</w:t>
      </w:r>
      <w:r>
        <w:rPr>
          <w:rFonts w:hint="eastAsia" w:ascii="Times New Roman" w:hAnsi="Times New Roman"/>
          <w:highlight w:val="none"/>
          <w:lang w:val="en-US" w:eastAsia="zh-CN"/>
        </w:rPr>
        <w:t>层级人员到现场进行安全管控，</w:t>
      </w:r>
      <w:r>
        <w:rPr>
          <w:rFonts w:hint="eastAsia" w:ascii="Times New Roman" w:hAnsi="Times New Roman"/>
          <w:highlight w:val="none"/>
          <w:lang w:val="en-US" w:eastAsia="zh"/>
          <w:woUserID w:val="14"/>
        </w:rPr>
        <w:t>线上监督人员可</w:t>
      </w:r>
      <w:r>
        <w:rPr>
          <w:rFonts w:hint="eastAsia" w:ascii="Times New Roman" w:hAnsi="Times New Roman"/>
          <w:highlight w:val="none"/>
          <w:lang w:val="en-US" w:eastAsia="zh-CN"/>
        </w:rPr>
        <w:t>通过人员打卡、</w:t>
      </w:r>
      <w:r>
        <w:rPr>
          <w:rFonts w:hint="eastAsia" w:ascii="Times New Roman" w:hAnsi="Times New Roman"/>
          <w:highlight w:val="none"/>
          <w:lang w:val="en-US" w:eastAsia="zh"/>
          <w:woUserID w:val="14"/>
        </w:rPr>
        <w:t>定位、视频出镜</w:t>
      </w:r>
      <w:r>
        <w:rPr>
          <w:rFonts w:hint="eastAsia" w:ascii="Times New Roman" w:hAnsi="Times New Roman"/>
          <w:highlight w:val="none"/>
          <w:lang w:val="en-US" w:eastAsia="zh-CN"/>
        </w:rPr>
        <w:t>等方式实时</w:t>
      </w:r>
      <w:r>
        <w:rPr>
          <w:rFonts w:hint="eastAsia" w:ascii="Times New Roman" w:hAnsi="Times New Roman"/>
          <w:highlight w:val="none"/>
          <w:lang w:val="en-US" w:eastAsia="zh"/>
          <w:woUserID w:val="14"/>
        </w:rPr>
        <w:t>监督</w:t>
      </w:r>
      <w:r>
        <w:rPr>
          <w:rFonts w:hint="eastAsia" w:ascii="Times New Roman" w:hAnsi="Times New Roman"/>
          <w:highlight w:val="none"/>
          <w:lang w:val="en-US" w:eastAsia="zh-CN"/>
        </w:rPr>
        <w:t>人员到位履职。</w:t>
      </w:r>
    </w:p>
    <w:p w14:paraId="6A02D644">
      <w:pPr>
        <w:numPr>
          <w:ilvl w:val="0"/>
          <w:numId w:val="0"/>
        </w:numPr>
        <w:ind w:leftChars="0"/>
        <w:rPr>
          <w:rFonts w:hint="default" w:ascii="Times New Roman" w:hAnsi="Times New Roman"/>
          <w:highlight w:val="none"/>
          <w:lang w:val="en-US"/>
        </w:rPr>
      </w:pPr>
      <w:r>
        <w:rPr>
          <w:rFonts w:hint="eastAsia" w:ascii="Times New Roman" w:hAnsi="Times New Roman"/>
          <w:highlight w:val="none"/>
          <w:lang w:eastAsia="zh-CN"/>
        </w:rPr>
        <w:t>8.</w:t>
      </w:r>
      <w:r>
        <w:rPr>
          <w:rFonts w:hint="eastAsia" w:ascii="Times New Roman" w:hAnsi="Times New Roman"/>
          <w:highlight w:val="none"/>
          <w:lang w:val="en-US" w:eastAsia="zh-CN"/>
        </w:rPr>
        <w:t>4</w:t>
      </w:r>
      <w:r>
        <w:rPr>
          <w:rFonts w:hint="eastAsia" w:ascii="Times New Roman" w:hAnsi="Times New Roman"/>
          <w:highlight w:val="none"/>
        </w:rPr>
        <w:t xml:space="preserve"> </w:t>
      </w:r>
      <w:r>
        <w:rPr>
          <w:rFonts w:hint="eastAsia" w:ascii="Times New Roman" w:hAnsi="Times New Roman"/>
          <w:highlight w:val="none"/>
          <w:lang w:val="en-US" w:eastAsia="zh-CN"/>
        </w:rPr>
        <w:t>违章管理，现场严重违章行为及个人应录入系统进行管理，监理单位定期组织对违章人员进行教育培训，一个特定周期内的重复违章人员应纳入重点监管对象，进行“标注”管理。典型高发的违章行为，应进行专项整治。</w:t>
      </w:r>
    </w:p>
    <w:p w14:paraId="36C0A46F">
      <w:pPr>
        <w:numPr>
          <w:ilvl w:val="0"/>
          <w:numId w:val="11"/>
        </w:numPr>
        <w:rPr>
          <w:rFonts w:ascii="Times New Roman" w:hAnsi="Times New Roman"/>
          <w:highlight w:val="none"/>
        </w:rPr>
      </w:pPr>
      <w:r>
        <w:rPr>
          <w:rFonts w:hint="eastAsia" w:ascii="Times New Roman" w:hAnsi="Times New Roman"/>
          <w:highlight w:val="none"/>
          <w:lang w:eastAsia="zh-CN"/>
        </w:rPr>
        <w:t>8.</w:t>
      </w:r>
      <w:r>
        <w:rPr>
          <w:rFonts w:hint="eastAsia" w:ascii="Times New Roman" w:hAnsi="Times New Roman"/>
          <w:highlight w:val="none"/>
          <w:lang w:val="en-US" w:eastAsia="zh-CN"/>
        </w:rPr>
        <w:t>5</w:t>
      </w:r>
      <w:r>
        <w:rPr>
          <w:rFonts w:hint="eastAsia" w:ascii="Times New Roman" w:hAnsi="Times New Roman"/>
          <w:highlight w:val="none"/>
        </w:rPr>
        <w:t xml:space="preserve"> 隐患排查治理</w:t>
      </w:r>
      <w:r>
        <w:rPr>
          <w:rFonts w:hint="eastAsia" w:ascii="Times New Roman" w:hAnsi="Times New Roman"/>
          <w:highlight w:val="none"/>
          <w:lang w:eastAsia="zh-CN"/>
        </w:rPr>
        <w:t>，</w:t>
      </w:r>
      <w:r>
        <w:rPr>
          <w:rFonts w:hint="eastAsia" w:ascii="Times New Roman" w:hAnsi="Times New Roman"/>
          <w:highlight w:val="none"/>
        </w:rPr>
        <w:t>应支持隐患排查</w:t>
      </w:r>
      <w:r>
        <w:rPr>
          <w:rFonts w:hint="eastAsia" w:ascii="Times New Roman" w:hAnsi="Times New Roman"/>
          <w:highlight w:val="none"/>
          <w:lang w:val="en-US" w:eastAsia="zh-CN"/>
        </w:rPr>
        <w:t>结果</w:t>
      </w:r>
      <w:r>
        <w:rPr>
          <w:rFonts w:hint="eastAsia" w:ascii="Times New Roman" w:hAnsi="Times New Roman"/>
          <w:highlight w:val="none"/>
        </w:rPr>
        <w:t>在线录入、位置标记、生成和推送整改通知单、问题</w:t>
      </w:r>
      <w:r>
        <w:rPr>
          <w:rFonts w:hint="eastAsia" w:ascii="Times New Roman" w:hAnsi="Times New Roman"/>
          <w:highlight w:val="none"/>
          <w:woUserID w:val="1"/>
        </w:rPr>
        <w:t>整改</w:t>
      </w:r>
      <w:r>
        <w:rPr>
          <w:rFonts w:hint="eastAsia" w:ascii="Times New Roman" w:hAnsi="Times New Roman"/>
          <w:highlight w:val="none"/>
        </w:rPr>
        <w:t>跟踪和闭环、隐患统计分析。</w:t>
      </w:r>
    </w:p>
    <w:p w14:paraId="2CE03DEB">
      <w:pPr>
        <w:numPr>
          <w:ilvl w:val="0"/>
          <w:numId w:val="11"/>
        </w:numPr>
        <w:rPr>
          <w:rFonts w:ascii="Times New Roman" w:hAnsi="Times New Roman"/>
          <w:highlight w:val="none"/>
        </w:rPr>
      </w:pPr>
      <w:r>
        <w:rPr>
          <w:rFonts w:hint="eastAsia" w:ascii="Times New Roman" w:hAnsi="Times New Roman"/>
          <w:highlight w:val="none"/>
          <w:lang w:eastAsia="zh-CN"/>
        </w:rPr>
        <w:t>8.</w:t>
      </w:r>
      <w:r>
        <w:rPr>
          <w:rFonts w:hint="eastAsia" w:ascii="Times New Roman" w:hAnsi="Times New Roman"/>
          <w:highlight w:val="none"/>
          <w:lang w:val="en-US" w:eastAsia="zh-CN"/>
        </w:rPr>
        <w:t>6</w:t>
      </w:r>
      <w:r>
        <w:rPr>
          <w:rFonts w:hint="eastAsia" w:ascii="Times New Roman" w:hAnsi="Times New Roman"/>
          <w:highlight w:val="none"/>
        </w:rPr>
        <w:t xml:space="preserve"> 安全教育培训信息应与人员入场信息、职业健康信息、安全技术交底信息联动，实现入场人员三级教育培训</w:t>
      </w:r>
      <w:r>
        <w:rPr>
          <w:rFonts w:hint="eastAsia" w:ascii="Times New Roman" w:hAnsi="Times New Roman"/>
          <w:highlight w:val="none"/>
          <w:lang w:val="en-US" w:eastAsia="zh-CN"/>
        </w:rPr>
        <w:t>审核把关，完成相关安全教育培训</w:t>
      </w:r>
      <w:r>
        <w:rPr>
          <w:rFonts w:hint="eastAsia" w:ascii="Times New Roman" w:hAnsi="Times New Roman"/>
          <w:highlight w:val="none"/>
          <w:lang w:val="en-US" w:eastAsia="zh"/>
          <w:woUserID w:val="14"/>
        </w:rPr>
        <w:t>及</w:t>
      </w:r>
      <w:r>
        <w:rPr>
          <w:rFonts w:hint="eastAsia" w:ascii="Times New Roman" w:hAnsi="Times New Roman"/>
          <w:highlight w:val="none"/>
          <w:lang w:val="en-US" w:eastAsia="zh"/>
          <w:woUserID w:val="1"/>
        </w:rPr>
        <w:t>考试合格</w:t>
      </w:r>
      <w:r>
        <w:rPr>
          <w:rFonts w:hint="eastAsia" w:ascii="Times New Roman" w:hAnsi="Times New Roman"/>
          <w:highlight w:val="none"/>
          <w:lang w:val="en-US" w:eastAsia="zh-CN"/>
        </w:rPr>
        <w:t>人员</w:t>
      </w:r>
      <w:r>
        <w:rPr>
          <w:rFonts w:hint="eastAsia" w:ascii="Times New Roman" w:hAnsi="Times New Roman"/>
          <w:highlight w:val="none"/>
          <w:lang w:val="en-US" w:eastAsia="zh"/>
          <w:woUserID w:val="1"/>
        </w:rPr>
        <w:t>方可</w:t>
      </w:r>
      <w:r>
        <w:rPr>
          <w:rFonts w:hint="eastAsia" w:ascii="Times New Roman" w:hAnsi="Times New Roman"/>
          <w:highlight w:val="none"/>
          <w:lang w:val="en-US" w:eastAsia="zh-CN"/>
        </w:rPr>
        <w:t>参与</w:t>
      </w:r>
      <w:r>
        <w:rPr>
          <w:rFonts w:hint="eastAsia" w:ascii="Times New Roman" w:hAnsi="Times New Roman"/>
          <w:highlight w:val="none"/>
          <w:lang w:val="en-US" w:eastAsia="zh"/>
          <w:woUserID w:val="14"/>
        </w:rPr>
        <w:t>具体</w:t>
      </w:r>
      <w:r>
        <w:rPr>
          <w:rFonts w:hint="eastAsia" w:ascii="Times New Roman" w:hAnsi="Times New Roman"/>
          <w:highlight w:val="none"/>
          <w:lang w:val="en-US" w:eastAsia="zh-CN"/>
        </w:rPr>
        <w:t>工作。</w:t>
      </w:r>
    </w:p>
    <w:p w14:paraId="1619415B">
      <w:pPr>
        <w:numPr>
          <w:ilvl w:val="0"/>
          <w:numId w:val="11"/>
        </w:numPr>
        <w:rPr>
          <w:rFonts w:ascii="Times New Roman" w:hAnsi="Times New Roman"/>
          <w:highlight w:val="none"/>
        </w:rPr>
      </w:pPr>
      <w:r>
        <w:rPr>
          <w:rFonts w:hint="eastAsia" w:ascii="Times New Roman" w:hAnsi="Times New Roman"/>
          <w:highlight w:val="none"/>
          <w:lang w:eastAsia="zh-CN"/>
        </w:rPr>
        <w:t>8.</w:t>
      </w:r>
      <w:r>
        <w:rPr>
          <w:rFonts w:hint="eastAsia" w:ascii="Times New Roman" w:hAnsi="Times New Roman"/>
          <w:highlight w:val="none"/>
          <w:lang w:val="en-US" w:eastAsia="zh-CN"/>
        </w:rPr>
        <w:t>7</w:t>
      </w:r>
      <w:r>
        <w:rPr>
          <w:rFonts w:hint="eastAsia" w:ascii="Times New Roman" w:hAnsi="Times New Roman"/>
          <w:highlight w:val="none"/>
        </w:rPr>
        <w:t xml:space="preserve"> </w:t>
      </w:r>
      <w:r>
        <w:rPr>
          <w:rFonts w:hint="eastAsia" w:ascii="Times New Roman" w:hAnsi="Times New Roman"/>
          <w:highlight w:val="none"/>
          <w:lang w:val="en-US" w:eastAsia="zh-CN"/>
        </w:rPr>
        <w:t>实时</w:t>
      </w:r>
      <w:r>
        <w:rPr>
          <w:rFonts w:hint="eastAsia" w:ascii="Times New Roman" w:hAnsi="Times New Roman"/>
          <w:highlight w:val="none"/>
        </w:rPr>
        <w:t>安全监控</w:t>
      </w:r>
      <w:r>
        <w:rPr>
          <w:rFonts w:hint="eastAsia" w:ascii="Times New Roman" w:hAnsi="Times New Roman"/>
          <w:highlight w:val="none"/>
          <w:lang w:eastAsia="zh-CN"/>
        </w:rPr>
        <w:t>，</w:t>
      </w:r>
      <w:r>
        <w:rPr>
          <w:rFonts w:hint="eastAsia" w:ascii="Times New Roman" w:hAnsi="Times New Roman"/>
          <w:highlight w:val="none"/>
          <w:lang w:val="en-US" w:eastAsia="zh-CN"/>
        </w:rPr>
        <w:t>现场作业应纳入视频监控，现场配置可移动的监控设备，通过移动端、PC端可实时查看现场作业情况</w:t>
      </w:r>
      <w:r>
        <w:rPr>
          <w:rFonts w:hint="eastAsia" w:ascii="Times New Roman" w:hAnsi="Times New Roman"/>
          <w:highlight w:val="none"/>
        </w:rPr>
        <w:t>，</w:t>
      </w:r>
      <w:r>
        <w:rPr>
          <w:rFonts w:hint="eastAsia" w:ascii="Times New Roman" w:hAnsi="Times New Roman"/>
          <w:highlight w:val="none"/>
          <w:lang w:val="en-US" w:eastAsia="zh-CN"/>
        </w:rPr>
        <w:t>对于</w:t>
      </w:r>
      <w:r>
        <w:rPr>
          <w:rFonts w:hint="eastAsia" w:ascii="Times New Roman" w:hAnsi="Times New Roman"/>
          <w:highlight w:val="none"/>
          <w:lang w:val="en-US" w:eastAsia="zh"/>
          <w:woUserID w:val="1"/>
        </w:rPr>
        <w:t>高风险作业</w:t>
      </w:r>
      <w:r>
        <w:rPr>
          <w:rFonts w:hint="eastAsia" w:ascii="Times New Roman" w:hAnsi="Times New Roman"/>
          <w:highlight w:val="none"/>
          <w:lang w:val="en-US" w:eastAsia="zh-CN"/>
        </w:rPr>
        <w:t>可</w:t>
      </w:r>
      <w:r>
        <w:rPr>
          <w:rFonts w:hint="eastAsia" w:ascii="Times New Roman" w:hAnsi="Times New Roman"/>
          <w:highlight w:val="none"/>
          <w:woUserID w:val="1"/>
        </w:rPr>
        <w:t>实现</w:t>
      </w:r>
      <w:r>
        <w:rPr>
          <w:rFonts w:hint="eastAsia" w:ascii="Times New Roman" w:hAnsi="Times New Roman"/>
          <w:highlight w:val="none"/>
          <w:lang w:val="en-US" w:eastAsia="zh-CN"/>
        </w:rPr>
        <w:t>远程</w:t>
      </w:r>
      <w:r>
        <w:rPr>
          <w:rFonts w:hint="eastAsia" w:ascii="Times New Roman" w:hAnsi="Times New Roman"/>
          <w:highlight w:val="none"/>
        </w:rPr>
        <w:t>安全风险</w:t>
      </w:r>
      <w:r>
        <w:rPr>
          <w:rFonts w:hint="eastAsia" w:ascii="Times New Roman" w:hAnsi="Times New Roman"/>
          <w:highlight w:val="none"/>
          <w:lang w:val="en-US" w:eastAsia="zh-CN"/>
        </w:rPr>
        <w:t>提示</w:t>
      </w:r>
      <w:r>
        <w:rPr>
          <w:rFonts w:hint="eastAsia" w:ascii="Times New Roman" w:hAnsi="Times New Roman"/>
          <w:highlight w:val="none"/>
        </w:rPr>
        <w:t>和控制。</w:t>
      </w:r>
    </w:p>
    <w:p w14:paraId="7C27AA0C">
      <w:pPr>
        <w:numPr>
          <w:ilvl w:val="0"/>
          <w:numId w:val="11"/>
        </w:numPr>
        <w:rPr>
          <w:rFonts w:hint="eastAsia" w:ascii="Times New Roman" w:hAnsi="Times New Roman"/>
          <w:highlight w:val="none"/>
          <w:lang w:eastAsia="zh-CN"/>
        </w:rPr>
      </w:pPr>
      <w:r>
        <w:rPr>
          <w:rFonts w:hint="eastAsia" w:ascii="Times New Roman" w:hAnsi="Times New Roman"/>
          <w:highlight w:val="none"/>
          <w:lang w:eastAsia="zh-CN"/>
        </w:rPr>
        <w:t>8.</w:t>
      </w:r>
      <w:r>
        <w:rPr>
          <w:rFonts w:hint="eastAsia" w:ascii="Times New Roman" w:hAnsi="Times New Roman"/>
          <w:highlight w:val="none"/>
          <w:lang w:val="en-US" w:eastAsia="zh-CN"/>
        </w:rPr>
        <w:t>8 智慧工地建设应具备与当地气象信息联通机制，</w:t>
      </w:r>
      <w:r>
        <w:rPr>
          <w:rFonts w:hint="eastAsia" w:ascii="Times New Roman" w:hAnsi="Times New Roman"/>
          <w:highlight w:val="none"/>
          <w:lang w:eastAsia="zh-CN"/>
        </w:rPr>
        <w:t>通过信息系统、短信等形式，将</w:t>
      </w:r>
      <w:r>
        <w:rPr>
          <w:rFonts w:hint="eastAsia" w:ascii="Times New Roman" w:hAnsi="Times New Roman"/>
          <w:highlight w:val="none"/>
          <w:lang w:val="en-US" w:eastAsia="zh-CN"/>
        </w:rPr>
        <w:t>当地</w:t>
      </w:r>
      <w:r>
        <w:rPr>
          <w:rFonts w:hint="eastAsia" w:ascii="Times New Roman" w:hAnsi="Times New Roman"/>
          <w:highlight w:val="none"/>
          <w:lang w:eastAsia="zh-CN"/>
        </w:rPr>
        <w:t>天气预警信息第一时间传递至现场一线作业人员，提高重要信息传递效率及精准度。</w:t>
      </w:r>
    </w:p>
    <w:p w14:paraId="2908E6A8">
      <w:pPr>
        <w:numPr>
          <w:ilvl w:val="0"/>
          <w:numId w:val="11"/>
        </w:numPr>
        <w:rPr>
          <w:rFonts w:ascii="Times New Roman" w:hAnsi="Times New Roman"/>
          <w:highlight w:val="none"/>
        </w:rPr>
      </w:pPr>
      <w:r>
        <w:rPr>
          <w:rFonts w:hint="eastAsia" w:ascii="Times New Roman" w:hAnsi="Times New Roman"/>
          <w:highlight w:val="none"/>
          <w:lang w:eastAsia="zh-CN"/>
        </w:rPr>
        <w:t>8.</w:t>
      </w:r>
      <w:r>
        <w:rPr>
          <w:rFonts w:hint="eastAsia" w:ascii="Times New Roman" w:hAnsi="Times New Roman"/>
          <w:highlight w:val="none"/>
          <w:lang w:val="en-US" w:eastAsia="zh-CN"/>
        </w:rPr>
        <w:t>9</w:t>
      </w:r>
      <w:r>
        <w:rPr>
          <w:rFonts w:ascii="Times New Roman" w:hAnsi="Times New Roman"/>
          <w:highlight w:val="none"/>
        </w:rPr>
        <w:t xml:space="preserve"> </w:t>
      </w:r>
      <w:r>
        <w:rPr>
          <w:rFonts w:hint="eastAsia" w:ascii="Times New Roman" w:hAnsi="Times New Roman"/>
          <w:highlight w:val="none"/>
        </w:rPr>
        <w:t>危险性较大的分部分项工程管理宜</w:t>
      </w:r>
      <w:r>
        <w:rPr>
          <w:rFonts w:hint="eastAsia" w:ascii="Times New Roman" w:hAnsi="Times New Roman"/>
          <w:highlight w:val="none"/>
          <w:lang w:val="en-US" w:eastAsia="zh-CN"/>
        </w:rPr>
        <w:t>具备</w:t>
      </w:r>
      <w:r>
        <w:rPr>
          <w:rFonts w:hint="eastAsia" w:ascii="Times New Roman" w:hAnsi="Times New Roman"/>
          <w:highlight w:val="none"/>
        </w:rPr>
        <w:t>对专项施工方案在线评审</w:t>
      </w:r>
      <w:r>
        <w:rPr>
          <w:rFonts w:hint="eastAsia" w:ascii="Times New Roman" w:hAnsi="Times New Roman"/>
          <w:highlight w:val="none"/>
          <w:lang w:val="en-US" w:eastAsia="zh-CN"/>
        </w:rPr>
        <w:t>功能</w:t>
      </w:r>
      <w:r>
        <w:rPr>
          <w:rFonts w:hint="eastAsia" w:ascii="Times New Roman" w:hAnsi="Times New Roman"/>
          <w:highlight w:val="none"/>
        </w:rPr>
        <w:t>，并对实施过程中的危险部位、重要工序、重点区域等进行全面实时监测。</w:t>
      </w:r>
    </w:p>
    <w:p w14:paraId="38C4E250">
      <w:pPr>
        <w:pStyle w:val="31"/>
        <w:widowControl/>
        <w:pBdr>
          <w:top w:val="none" w:color="auto" w:sz="0" w:space="0"/>
          <w:left w:val="none" w:color="auto" w:sz="0" w:space="0"/>
          <w:bottom w:val="none" w:color="auto" w:sz="0" w:space="0"/>
          <w:right w:val="none" w:color="auto" w:sz="0" w:space="0"/>
        </w:pBdr>
        <w:spacing w:line="285" w:lineRule="atLeast"/>
        <w:jc w:val="left"/>
        <w:textAlignment w:val="baseline"/>
        <w:rPr>
          <w:rFonts w:ascii="Times New Roman" w:hAnsi="Times New Roman"/>
          <w:color w:val="auto"/>
          <w:highlight w:val="none"/>
        </w:rPr>
      </w:pPr>
      <w:r>
        <w:rPr>
          <w:rFonts w:hint="eastAsia" w:ascii="Times New Roman" w:hAnsi="Times New Roman"/>
          <w:sz w:val="21"/>
          <w:szCs w:val="21"/>
          <w:highlight w:val="none"/>
          <w:lang w:eastAsia="zh"/>
          <w:woUserID w:val="14"/>
        </w:rPr>
        <w:t>8.10 工器具管理，施工单位应设置规范的工器具仓库，</w:t>
      </w:r>
      <w:r>
        <w:rPr>
          <w:rFonts w:hint="default" w:ascii="sans-serif" w:hAnsi="sans-serif" w:eastAsia="sans-serif" w:cs="sans-serif"/>
          <w:i w:val="0"/>
          <w:iCs w:val="0"/>
          <w:caps w:val="0"/>
          <w:color w:val="000000"/>
          <w:spacing w:val="0"/>
          <w:sz w:val="21"/>
          <w:szCs w:val="21"/>
          <w:u w:val="none"/>
          <w:vertAlign w:val="baseline"/>
          <w:woUserID w:val="14"/>
        </w:rPr>
        <w:t>在日常工作中注重</w:t>
      </w:r>
      <w:r>
        <w:rPr>
          <w:rFonts w:hint="eastAsia" w:ascii="sans-serif" w:hAnsi="sans-serif" w:eastAsia="sans-serif" w:cs="sans-serif"/>
          <w:i w:val="0"/>
          <w:iCs w:val="0"/>
          <w:caps w:val="0"/>
          <w:color w:val="000000"/>
          <w:spacing w:val="0"/>
          <w:sz w:val="21"/>
          <w:szCs w:val="21"/>
          <w:u w:val="none"/>
          <w:vertAlign w:val="baseline"/>
          <w:lang w:eastAsia="zh"/>
          <w:woUserID w:val="14"/>
        </w:rPr>
        <w:t>工器具</w:t>
      </w:r>
      <w:r>
        <w:rPr>
          <w:rFonts w:hint="default" w:ascii="sans-serif" w:hAnsi="sans-serif" w:eastAsia="sans-serif" w:cs="sans-serif"/>
          <w:i w:val="0"/>
          <w:iCs w:val="0"/>
          <w:caps w:val="0"/>
          <w:color w:val="000000"/>
          <w:spacing w:val="0"/>
          <w:sz w:val="21"/>
          <w:szCs w:val="21"/>
          <w:u w:val="none"/>
          <w:vertAlign w:val="baseline"/>
          <w:woUserID w:val="14"/>
        </w:rPr>
        <w:t>的</w:t>
      </w:r>
      <w:r>
        <w:rPr>
          <w:rFonts w:hint="eastAsia" w:ascii="sans-serif" w:hAnsi="sans-serif" w:eastAsia="sans-serif" w:cs="sans-serif"/>
          <w:i w:val="0"/>
          <w:iCs w:val="0"/>
          <w:caps w:val="0"/>
          <w:color w:val="000000"/>
          <w:spacing w:val="0"/>
          <w:sz w:val="21"/>
          <w:szCs w:val="21"/>
          <w:u w:val="none"/>
          <w:vertAlign w:val="baseline"/>
          <w:lang w:eastAsia="zh"/>
          <w:woUserID w:val="14"/>
        </w:rPr>
        <w:t>登记</w:t>
      </w:r>
      <w:r>
        <w:rPr>
          <w:rFonts w:hint="default" w:ascii="sans-serif" w:hAnsi="sans-serif" w:eastAsia="sans-serif" w:cs="sans-serif"/>
          <w:i w:val="0"/>
          <w:iCs w:val="0"/>
          <w:caps w:val="0"/>
          <w:color w:val="000000"/>
          <w:spacing w:val="0"/>
          <w:sz w:val="21"/>
          <w:szCs w:val="21"/>
          <w:u w:val="none"/>
          <w:vertAlign w:val="baseline"/>
          <w:woUserID w:val="14"/>
        </w:rPr>
        <w:t>管理</w:t>
      </w:r>
      <w:r>
        <w:rPr>
          <w:rFonts w:hint="eastAsia" w:ascii="sans-serif" w:hAnsi="sans-serif" w:eastAsia="sans-serif" w:cs="sans-serif"/>
          <w:i w:val="0"/>
          <w:iCs w:val="0"/>
          <w:caps w:val="0"/>
          <w:color w:val="000000"/>
          <w:spacing w:val="0"/>
          <w:sz w:val="21"/>
          <w:szCs w:val="21"/>
          <w:u w:val="none"/>
          <w:vertAlign w:val="baseline"/>
          <w:lang w:eastAsia="zh"/>
          <w:woUserID w:val="14"/>
        </w:rPr>
        <w:t>，建立</w:t>
      </w:r>
      <w:r>
        <w:rPr>
          <w:rFonts w:hint="default" w:ascii="Arial" w:hAnsi="Arial" w:eastAsia="宋体" w:cs="Arial"/>
          <w:color w:val="000000"/>
          <w:spacing w:val="10"/>
          <w:kern w:val="0"/>
          <w:sz w:val="21"/>
          <w:szCs w:val="21"/>
          <w:woUserID w:val="14"/>
        </w:rPr>
        <w:t>安全工器具台账</w:t>
      </w:r>
      <w:r>
        <w:rPr>
          <w:rFonts w:hint="eastAsia" w:ascii="Arial" w:hAnsi="Arial" w:cs="Arial"/>
          <w:color w:val="000000"/>
          <w:spacing w:val="10"/>
          <w:kern w:val="0"/>
          <w:sz w:val="21"/>
          <w:szCs w:val="21"/>
          <w:lang w:eastAsia="zh"/>
          <w:woUserID w:val="14"/>
        </w:rPr>
        <w:t>，</w:t>
      </w:r>
      <w:r>
        <w:rPr>
          <w:rFonts w:hint="default" w:ascii="Arial" w:hAnsi="Arial" w:eastAsia="宋体" w:cs="Arial"/>
          <w:color w:val="000000"/>
          <w:spacing w:val="9"/>
          <w:kern w:val="0"/>
          <w:sz w:val="21"/>
          <w:szCs w:val="21"/>
          <w:woUserID w:val="14"/>
        </w:rPr>
        <w:t>机械设备、</w:t>
      </w:r>
      <w:r>
        <w:rPr>
          <w:rFonts w:hint="default" w:ascii="Arial" w:hAnsi="Arial" w:eastAsia="宋体" w:cs="Arial"/>
          <w:color w:val="000000"/>
          <w:spacing w:val="8"/>
          <w:kern w:val="0"/>
          <w:sz w:val="21"/>
          <w:szCs w:val="21"/>
          <w:woUserID w:val="14"/>
        </w:rPr>
        <w:t>施工机具台账</w:t>
      </w:r>
      <w:r>
        <w:rPr>
          <w:rFonts w:hint="eastAsia" w:ascii="Arial" w:hAnsi="Arial" w:cs="Arial"/>
          <w:color w:val="000000"/>
          <w:spacing w:val="8"/>
          <w:kern w:val="0"/>
          <w:sz w:val="21"/>
          <w:szCs w:val="21"/>
          <w:lang w:eastAsia="zh"/>
          <w:woUserID w:val="14"/>
        </w:rPr>
        <w:t>，加强领用、</w:t>
      </w:r>
      <w:r>
        <w:rPr>
          <w:rFonts w:hint="default" w:ascii="sans-serif" w:hAnsi="sans-serif" w:eastAsia="sans-serif" w:cs="sans-serif"/>
          <w:i w:val="0"/>
          <w:iCs w:val="0"/>
          <w:caps w:val="0"/>
          <w:color w:val="000000"/>
          <w:spacing w:val="0"/>
          <w:sz w:val="21"/>
          <w:szCs w:val="21"/>
          <w:u w:val="none"/>
          <w:vertAlign w:val="baseline"/>
          <w:woUserID w:val="14"/>
        </w:rPr>
        <w:t>使用与维护保养、检测与检验、</w:t>
      </w:r>
      <w:r>
        <w:rPr>
          <w:rFonts w:hint="eastAsia" w:ascii="sans-serif" w:hAnsi="sans-serif" w:eastAsia="sans-serif" w:cs="sans-serif"/>
          <w:i w:val="0"/>
          <w:iCs w:val="0"/>
          <w:caps w:val="0"/>
          <w:color w:val="000000"/>
          <w:spacing w:val="0"/>
          <w:sz w:val="21"/>
          <w:szCs w:val="21"/>
          <w:u w:val="none"/>
          <w:vertAlign w:val="baseline"/>
          <w:lang w:eastAsia="zh"/>
          <w:woUserID w:val="14"/>
        </w:rPr>
        <w:t>定期</w:t>
      </w:r>
      <w:r>
        <w:rPr>
          <w:rFonts w:hint="default" w:ascii="sans-serif" w:hAnsi="sans-serif" w:eastAsia="sans-serif" w:cs="sans-serif"/>
          <w:i w:val="0"/>
          <w:iCs w:val="0"/>
          <w:caps w:val="0"/>
          <w:color w:val="000000"/>
          <w:spacing w:val="0"/>
          <w:sz w:val="21"/>
          <w:szCs w:val="21"/>
          <w:u w:val="none"/>
          <w:vertAlign w:val="baseline"/>
          <w:woUserID w:val="14"/>
        </w:rPr>
        <w:t>检查</w:t>
      </w:r>
      <w:r>
        <w:rPr>
          <w:rFonts w:hint="eastAsia" w:ascii="sans-serif" w:hAnsi="sans-serif" w:eastAsia="sans-serif" w:cs="sans-serif"/>
          <w:i w:val="0"/>
          <w:iCs w:val="0"/>
          <w:caps w:val="0"/>
          <w:color w:val="000000"/>
          <w:spacing w:val="0"/>
          <w:sz w:val="21"/>
          <w:szCs w:val="21"/>
          <w:u w:val="none"/>
          <w:vertAlign w:val="baseline"/>
          <w:lang w:eastAsia="zh"/>
          <w:woUserID w:val="14"/>
        </w:rPr>
        <w:t>管理</w:t>
      </w:r>
      <w:r>
        <w:rPr>
          <w:rFonts w:hint="default" w:ascii="sans-serif" w:hAnsi="sans-serif" w:eastAsia="sans-serif" w:cs="sans-serif"/>
          <w:i w:val="0"/>
          <w:iCs w:val="0"/>
          <w:caps w:val="0"/>
          <w:color w:val="000000"/>
          <w:spacing w:val="0"/>
          <w:sz w:val="21"/>
          <w:szCs w:val="21"/>
          <w:u w:val="none"/>
          <w:vertAlign w:val="baseline"/>
          <w:woUserID w:val="14"/>
        </w:rPr>
        <w:t>等内容。</w:t>
      </w:r>
    </w:p>
    <w:bookmarkEnd w:id="68"/>
    <w:bookmarkEnd w:id="69"/>
    <w:bookmarkEnd w:id="70"/>
    <w:p w14:paraId="4A1614FE">
      <w:pPr>
        <w:pStyle w:val="85"/>
        <w:spacing w:before="312" w:after="312"/>
        <w:rPr>
          <w:rFonts w:ascii="Times New Roman" w:hAnsi="Times New Roman"/>
          <w:highlight w:val="none"/>
        </w:rPr>
      </w:pPr>
      <w:bookmarkStart w:id="74" w:name="_Toc24431"/>
      <w:bookmarkStart w:id="75" w:name="_Toc6184"/>
      <w:bookmarkStart w:id="76" w:name="_Toc29752"/>
      <w:bookmarkStart w:id="77" w:name="_Toc12909"/>
      <w:r>
        <w:rPr>
          <w:rFonts w:hint="eastAsia" w:ascii="Times New Roman" w:hAnsi="Times New Roman"/>
          <w:highlight w:val="none"/>
        </w:rPr>
        <w:t>质量</w:t>
      </w:r>
      <w:r>
        <w:rPr>
          <w:rFonts w:ascii="Times New Roman" w:hAnsi="Times New Roman"/>
          <w:highlight w:val="none"/>
        </w:rPr>
        <w:t>管理</w:t>
      </w:r>
      <w:bookmarkEnd w:id="74"/>
      <w:bookmarkEnd w:id="75"/>
      <w:bookmarkEnd w:id="76"/>
      <w:bookmarkEnd w:id="77"/>
    </w:p>
    <w:p w14:paraId="1A8184A7">
      <w:pPr>
        <w:numPr>
          <w:ilvl w:val="0"/>
          <w:numId w:val="11"/>
        </w:numPr>
        <w:rPr>
          <w:rFonts w:hint="eastAsia" w:ascii="Times New Roman" w:hAnsi="Times New Roman"/>
          <w:highlight w:val="none"/>
        </w:rPr>
      </w:pPr>
      <w:bookmarkStart w:id="78" w:name="_Toc30622"/>
      <w:bookmarkStart w:id="79" w:name="_Toc30924"/>
      <w:bookmarkStart w:id="80" w:name="_Toc25065"/>
      <w:r>
        <w:rPr>
          <w:rFonts w:hint="eastAsia" w:ascii="Times New Roman" w:hAnsi="Times New Roman"/>
          <w:highlight w:val="none"/>
        </w:rPr>
        <w:t>9.1 质量管理应包括进场材料与设备质量管理、</w:t>
      </w:r>
      <w:r>
        <w:rPr>
          <w:rFonts w:hint="eastAsia" w:ascii="Times New Roman" w:hAnsi="Times New Roman"/>
          <w:highlight w:val="none"/>
          <w:lang w:val="en-US" w:eastAsia="zh-CN"/>
        </w:rPr>
        <w:t>土建工程质量管理、电气工程质量管理、</w:t>
      </w:r>
      <w:r>
        <w:rPr>
          <w:rFonts w:hint="eastAsia" w:ascii="Times New Roman" w:hAnsi="Times New Roman"/>
          <w:highlight w:val="none"/>
        </w:rPr>
        <w:t>质量风险、质量监控、质量控制点动态监管、质量验收管理、缺陷管理等。</w:t>
      </w:r>
    </w:p>
    <w:p w14:paraId="017A6ED1">
      <w:pPr>
        <w:numPr>
          <w:ilvl w:val="0"/>
          <w:numId w:val="11"/>
        </w:numPr>
        <w:rPr>
          <w:rFonts w:hint="eastAsia" w:ascii="Times New Roman" w:hAnsi="Times New Roman"/>
          <w:highlight w:val="none"/>
        </w:rPr>
      </w:pPr>
      <w:r>
        <w:rPr>
          <w:rFonts w:hint="eastAsia" w:ascii="Times New Roman" w:hAnsi="Times New Roman"/>
          <w:highlight w:val="none"/>
        </w:rPr>
        <w:t>9.2 进场材料与设备质量管理应实现对原</w:t>
      </w:r>
      <w:r>
        <w:rPr>
          <w:rFonts w:hint="eastAsia" w:ascii="Times New Roman" w:hAnsi="Times New Roman"/>
          <w:highlight w:val="none"/>
          <w:lang w:eastAsia="zh-CN"/>
        </w:rPr>
        <w:t>材料</w:t>
      </w:r>
      <w:r>
        <w:rPr>
          <w:rFonts w:hint="eastAsia" w:ascii="Times New Roman" w:hAnsi="Times New Roman"/>
          <w:highlight w:val="none"/>
        </w:rPr>
        <w:t>报告、出厂合格证、见证取样、</w:t>
      </w:r>
      <w:r>
        <w:rPr>
          <w:rFonts w:hint="eastAsia" w:ascii="Times New Roman" w:hAnsi="Times New Roman"/>
          <w:highlight w:val="none"/>
          <w:woUserID w:val="16"/>
        </w:rPr>
        <w:t>检验检测工作相关信息</w:t>
      </w:r>
      <w:r>
        <w:rPr>
          <w:rFonts w:hint="eastAsia" w:ascii="Times New Roman" w:hAnsi="Times New Roman"/>
          <w:highlight w:val="none"/>
        </w:rPr>
        <w:t>进行录入、预警、查询、统计、分析、归档。</w:t>
      </w:r>
    </w:p>
    <w:p w14:paraId="4B1399B8">
      <w:pPr>
        <w:numPr>
          <w:ilvl w:val="0"/>
          <w:numId w:val="11"/>
        </w:numPr>
        <w:rPr>
          <w:rFonts w:hint="eastAsia" w:ascii="Times New Roman" w:hAnsi="Times New Roman"/>
          <w:highlight w:val="none"/>
        </w:rPr>
      </w:pPr>
      <w:r>
        <w:rPr>
          <w:rFonts w:hint="eastAsia" w:ascii="Times New Roman" w:hAnsi="Times New Roman"/>
          <w:highlight w:val="none"/>
        </w:rPr>
        <w:t>9.</w:t>
      </w:r>
      <w:r>
        <w:rPr>
          <w:rFonts w:hint="eastAsia" w:ascii="Times New Roman" w:hAnsi="Times New Roman"/>
          <w:highlight w:val="none"/>
          <w:lang w:eastAsia="zh"/>
          <w:woUserID w:val="16"/>
        </w:rPr>
        <w:t>3</w:t>
      </w:r>
      <w:r>
        <w:rPr>
          <w:rFonts w:hint="eastAsia" w:ascii="Times New Roman" w:hAnsi="Times New Roman"/>
          <w:highlight w:val="none"/>
        </w:rPr>
        <w:t xml:space="preserve"> </w:t>
      </w:r>
      <w:r>
        <w:rPr>
          <w:rFonts w:hint="eastAsia" w:ascii="Times New Roman" w:hAnsi="Times New Roman"/>
          <w:highlight w:val="none"/>
          <w:lang w:val="en-US" w:eastAsia="zh-CN"/>
        </w:rPr>
        <w:t>土建工程质量管理应对杆塔（埋深，防沉层，底盘石、卡盘石、拉盘石安装，现场浇筑基础、混凝土灌注桩基础、贯入桩基础、岩石）基础施工质量；建构筑物（开关站、配电室、环网室（防火防水防潮通风照明防盗措施），箱式变电站、预装式开关站、环网箱等户外设备基础及回填，电缆沟、隧道、竖井）施工安装质量进行过程控制、检验试验和验收等数字化管理流程，土建工程质量标准详见附录D</w:t>
      </w:r>
      <w:r>
        <w:rPr>
          <w:rFonts w:hint="eastAsia" w:ascii="Times New Roman" w:hAnsi="Times New Roman"/>
          <w:highlight w:val="none"/>
        </w:rPr>
        <w:t>。</w:t>
      </w:r>
    </w:p>
    <w:p w14:paraId="47115198">
      <w:pPr>
        <w:numPr>
          <w:ilvl w:val="0"/>
          <w:numId w:val="11"/>
        </w:numPr>
        <w:rPr>
          <w:rFonts w:hint="eastAsia" w:ascii="Times New Roman" w:hAnsi="Times New Roman"/>
          <w:highlight w:val="none"/>
        </w:rPr>
      </w:pPr>
      <w:r>
        <w:rPr>
          <w:rFonts w:hint="eastAsia" w:ascii="Times New Roman" w:hAnsi="Times New Roman"/>
          <w:highlight w:val="none"/>
          <w:lang w:val="en-US" w:eastAsia="zh-CN"/>
        </w:rPr>
        <w:t>9.</w:t>
      </w:r>
      <w:r>
        <w:rPr>
          <w:rFonts w:hint="eastAsia" w:ascii="Times New Roman" w:hAnsi="Times New Roman"/>
          <w:highlight w:val="none"/>
          <w:lang w:val="en-US" w:eastAsia="zh"/>
          <w:woUserID w:val="16"/>
        </w:rPr>
        <w:t>4</w:t>
      </w:r>
      <w:r>
        <w:rPr>
          <w:rFonts w:hint="eastAsia" w:ascii="Times New Roman" w:hAnsi="Times New Roman"/>
          <w:highlight w:val="none"/>
          <w:lang w:val="en-US" w:eastAsia="zh-CN"/>
        </w:rPr>
        <w:t xml:space="preserve"> 电气工程质量管理应对线缆敷设（杆塔组立、交叉跨越、电缆（光缆）敷设、附件安装、防雷接地）施工安装质量；设备安装（配变、变压器、低压交流配电箱、无功补偿箱、断路器开关等柱上设备、隔离开关、跌落式熔断器、配电自动化终端及引出线、接地等）施工安装质量；标识（杆号牌、相序牌、设备命名牌及各类警示标识）安装质量进行过程控制、检验试验和验收等数字化管理</w:t>
      </w:r>
      <w:r>
        <w:rPr>
          <w:rFonts w:hint="eastAsia" w:ascii="Times New Roman" w:hAnsi="Times New Roman"/>
          <w:highlight w:val="none"/>
          <w:lang w:val="en-US" w:eastAsia="zh-CN"/>
          <w:woUserID w:val="9"/>
        </w:rPr>
        <w:t>流程，</w:t>
      </w:r>
      <w:r>
        <w:rPr>
          <w:rFonts w:hint="eastAsia" w:ascii="Times New Roman" w:hAnsi="Times New Roman"/>
          <w:highlight w:val="none"/>
          <w:lang w:val="en-US" w:eastAsia="zh-CN"/>
        </w:rPr>
        <w:t>电气工程质量标准详见附录D。</w:t>
      </w:r>
    </w:p>
    <w:p w14:paraId="5B76565A">
      <w:pPr>
        <w:numPr>
          <w:ilvl w:val="0"/>
          <w:numId w:val="11"/>
        </w:numPr>
        <w:rPr>
          <w:rFonts w:hint="eastAsia" w:ascii="Times New Roman" w:hAnsi="Times New Roman"/>
          <w:highlight w:val="none"/>
        </w:rPr>
      </w:pPr>
      <w:r>
        <w:rPr>
          <w:rFonts w:hint="eastAsia" w:ascii="Times New Roman" w:hAnsi="Times New Roman"/>
          <w:highlight w:val="none"/>
        </w:rPr>
        <w:t>9.</w:t>
      </w:r>
      <w:r>
        <w:rPr>
          <w:rFonts w:hint="eastAsia" w:ascii="Times New Roman" w:hAnsi="Times New Roman"/>
          <w:highlight w:val="none"/>
          <w:lang w:eastAsia="zh"/>
          <w:woUserID w:val="16"/>
        </w:rPr>
        <w:t>5</w:t>
      </w:r>
      <w:r>
        <w:rPr>
          <w:rFonts w:hint="eastAsia" w:ascii="Times New Roman" w:hAnsi="Times New Roman"/>
          <w:highlight w:val="none"/>
        </w:rPr>
        <w:t xml:space="preserve"> 质量管理应设置</w:t>
      </w:r>
      <w:r>
        <w:rPr>
          <w:rFonts w:hint="eastAsia" w:ascii="Times New Roman" w:hAnsi="Times New Roman"/>
          <w:highlight w:val="none"/>
          <w:lang w:val="en-US" w:eastAsia="zh-CN"/>
        </w:rPr>
        <w:t>关键点监督</w:t>
      </w:r>
      <w:r>
        <w:rPr>
          <w:rFonts w:hint="eastAsia" w:ascii="Times New Roman" w:hAnsi="Times New Roman"/>
          <w:highlight w:val="none"/>
        </w:rPr>
        <w:t>，应包括</w:t>
      </w:r>
      <w:r>
        <w:rPr>
          <w:rFonts w:hint="eastAsia" w:ascii="Times New Roman" w:hAnsi="Times New Roman"/>
          <w:highlight w:val="none"/>
          <w:lang w:val="en-US" w:eastAsia="zh-CN"/>
        </w:rPr>
        <w:t>对隐蔽工程、重点工序施工质量的过程验收、</w:t>
      </w:r>
      <w:r>
        <w:rPr>
          <w:rFonts w:hint="eastAsia" w:ascii="Times New Roman" w:hAnsi="Times New Roman"/>
          <w:highlight w:val="none"/>
        </w:rPr>
        <w:t>检验、监测记录。</w:t>
      </w:r>
      <w:r>
        <w:rPr>
          <w:rFonts w:hint="eastAsia" w:ascii="Times New Roman" w:hAnsi="Times New Roman"/>
          <w:highlight w:val="none"/>
          <w:lang w:val="en-US" w:eastAsia="zh-CN"/>
        </w:rPr>
        <w:t xml:space="preserve"> </w:t>
      </w:r>
    </w:p>
    <w:p w14:paraId="7FAC7051">
      <w:pPr>
        <w:numPr>
          <w:ilvl w:val="0"/>
          <w:numId w:val="11"/>
        </w:numPr>
        <w:rPr>
          <w:rFonts w:hint="eastAsia" w:ascii="Times New Roman" w:hAnsi="Times New Roman"/>
          <w:highlight w:val="none"/>
        </w:rPr>
      </w:pPr>
      <w:r>
        <w:rPr>
          <w:rFonts w:hint="eastAsia" w:ascii="Times New Roman" w:hAnsi="Times New Roman"/>
          <w:highlight w:val="none"/>
        </w:rPr>
        <w:t>9.</w:t>
      </w:r>
      <w:r>
        <w:rPr>
          <w:rFonts w:hint="eastAsia" w:ascii="Times New Roman" w:hAnsi="Times New Roman"/>
          <w:highlight w:val="none"/>
          <w:lang w:eastAsia="zh"/>
          <w:woUserID w:val="16"/>
        </w:rPr>
        <w:t>6</w:t>
      </w:r>
      <w:r>
        <w:rPr>
          <w:rFonts w:hint="eastAsia" w:ascii="Times New Roman" w:hAnsi="Times New Roman"/>
          <w:highlight w:val="none"/>
        </w:rPr>
        <w:t xml:space="preserve"> 质量控制点动态监管应支持使用移动设备、视频监控、无人机等对</w:t>
      </w:r>
      <w:r>
        <w:rPr>
          <w:rFonts w:hint="eastAsia" w:ascii="Times New Roman" w:hAnsi="Times New Roman"/>
          <w:highlight w:val="none"/>
          <w:lang w:val="en-US" w:eastAsia="zh-CN"/>
        </w:rPr>
        <w:t>关键点</w:t>
      </w:r>
      <w:r>
        <w:rPr>
          <w:rFonts w:hint="eastAsia" w:ascii="Times New Roman" w:hAnsi="Times New Roman"/>
          <w:highlight w:val="none"/>
        </w:rPr>
        <w:t>实时监控，并对监控内容进行位置标记和信息录入的功能。应具备对监控信息及相关检验检测信息进行关联、统计、分析和查询，对发现的问题应具有及时报警的功能。</w:t>
      </w:r>
    </w:p>
    <w:p w14:paraId="1F3B4E87">
      <w:pPr>
        <w:numPr>
          <w:ilvl w:val="0"/>
          <w:numId w:val="11"/>
        </w:numPr>
        <w:rPr>
          <w:rFonts w:hint="eastAsia" w:ascii="Times New Roman" w:hAnsi="Times New Roman"/>
          <w:highlight w:val="none"/>
        </w:rPr>
      </w:pPr>
      <w:r>
        <w:rPr>
          <w:rFonts w:hint="eastAsia" w:ascii="Times New Roman" w:hAnsi="Times New Roman"/>
          <w:highlight w:val="none"/>
        </w:rPr>
        <w:t>9.</w:t>
      </w:r>
      <w:r>
        <w:rPr>
          <w:rFonts w:hint="eastAsia" w:ascii="Times New Roman" w:hAnsi="Times New Roman"/>
          <w:highlight w:val="none"/>
          <w:lang w:eastAsia="zh"/>
          <w:woUserID w:val="16"/>
        </w:rPr>
        <w:t>7</w:t>
      </w:r>
      <w:r>
        <w:rPr>
          <w:rFonts w:hint="eastAsia" w:ascii="Times New Roman" w:hAnsi="Times New Roman"/>
          <w:highlight w:val="none"/>
        </w:rPr>
        <w:t xml:space="preserve"> 质量验收管理应支持对</w:t>
      </w:r>
      <w:r>
        <w:rPr>
          <w:rFonts w:hint="eastAsia" w:ascii="Times New Roman" w:hAnsi="Times New Roman"/>
          <w:highlight w:val="none"/>
          <w:lang w:val="en-US" w:eastAsia="zh-CN"/>
        </w:rPr>
        <w:t>批次</w:t>
      </w:r>
      <w:r>
        <w:rPr>
          <w:rFonts w:hint="eastAsia" w:ascii="Times New Roman" w:hAnsi="Times New Roman"/>
          <w:highlight w:val="none"/>
        </w:rPr>
        <w:t>、单位工程验收过程中的行为信息和质量信息进行采集、分类、统计、查询、分析并存档。宜使用</w:t>
      </w:r>
      <w:r>
        <w:rPr>
          <w:rFonts w:hint="eastAsia" w:ascii="Times New Roman" w:hAnsi="Times New Roman"/>
          <w:highlight w:val="none"/>
          <w:lang w:val="en-US" w:eastAsia="zh-CN"/>
        </w:rPr>
        <w:t>数字化手段</w:t>
      </w:r>
      <w:r>
        <w:rPr>
          <w:rFonts w:hint="eastAsia" w:ascii="Times New Roman" w:hAnsi="Times New Roman"/>
          <w:highlight w:val="none"/>
        </w:rPr>
        <w:t>对施工质量判定</w:t>
      </w:r>
      <w:r>
        <w:rPr>
          <w:rFonts w:hint="eastAsia" w:ascii="Times New Roman" w:hAnsi="Times New Roman" w:eastAsia="宋体"/>
          <w:highlight w:val="none"/>
          <w:lang w:eastAsia="zh-CN"/>
        </w:rPr>
        <w:t>，</w:t>
      </w:r>
      <w:r>
        <w:rPr>
          <w:rFonts w:hint="eastAsia" w:ascii="Times New Roman" w:hAnsi="Times New Roman" w:eastAsia="宋体"/>
          <w:highlight w:val="none"/>
          <w:lang w:val="en-US" w:eastAsia="zh-CN"/>
        </w:rPr>
        <w:t>采用新设备、新技术开展设备质量验收</w:t>
      </w:r>
      <w:r>
        <w:rPr>
          <w:rFonts w:hint="eastAsia" w:ascii="Times New Roman" w:hAnsi="Times New Roman"/>
          <w:highlight w:val="none"/>
        </w:rPr>
        <w:t>。</w:t>
      </w:r>
      <w:r>
        <w:rPr>
          <w:rFonts w:hint="eastAsia" w:ascii="Times New Roman" w:hAnsi="Times New Roman"/>
          <w:highlight w:val="none"/>
          <w:lang w:val="en-US" w:eastAsia="zh-CN"/>
        </w:rPr>
        <w:t xml:space="preserve"> </w:t>
      </w:r>
    </w:p>
    <w:p w14:paraId="271DE1DD">
      <w:pPr>
        <w:numPr>
          <w:ilvl w:val="0"/>
          <w:numId w:val="11"/>
        </w:numPr>
        <w:rPr>
          <w:rFonts w:ascii="Times New Roman" w:hAnsi="Times New Roman"/>
          <w:highlight w:val="none"/>
        </w:rPr>
      </w:pPr>
      <w:r>
        <w:rPr>
          <w:rFonts w:hint="eastAsia" w:ascii="Times New Roman" w:hAnsi="Times New Roman"/>
          <w:highlight w:val="none"/>
        </w:rPr>
        <w:t>9.</w:t>
      </w:r>
      <w:r>
        <w:rPr>
          <w:rFonts w:hint="eastAsia" w:ascii="Times New Roman" w:hAnsi="Times New Roman"/>
          <w:highlight w:val="none"/>
          <w:lang w:eastAsia="zh"/>
          <w:woUserID w:val="16"/>
        </w:rPr>
        <w:t>8</w:t>
      </w:r>
      <w:r>
        <w:rPr>
          <w:rFonts w:hint="eastAsia" w:ascii="Times New Roman" w:hAnsi="Times New Roman"/>
          <w:highlight w:val="none"/>
        </w:rPr>
        <w:t xml:space="preserve"> 缺陷管理应具备一般缺陷、重大缺陷以及紧急缺陷的</w:t>
      </w:r>
      <w:r>
        <w:rPr>
          <w:rFonts w:hint="eastAsia" w:ascii="Times New Roman" w:hAnsi="Times New Roman"/>
          <w:highlight w:val="none"/>
          <w:lang w:eastAsia="zh"/>
          <w:woUserID w:val="16"/>
        </w:rPr>
        <w:t>线上工单流转，包括：</w:t>
      </w:r>
      <w:r>
        <w:rPr>
          <w:rFonts w:hint="eastAsia" w:ascii="Times New Roman" w:hAnsi="Times New Roman"/>
          <w:highlight w:val="none"/>
        </w:rPr>
        <w:t>编制审批、过程跟踪和闭环处理场景，宜支持设置工程质量控制点明细表、控制点维护、缺陷问题整改等功能，宜从缺陷的类型、数量、原因、解决时间等维度统计。</w:t>
      </w:r>
    </w:p>
    <w:p w14:paraId="633F9636">
      <w:pPr>
        <w:pStyle w:val="85"/>
        <w:spacing w:before="312" w:after="312"/>
        <w:rPr>
          <w:rFonts w:ascii="Times New Roman" w:hAnsi="Times New Roman"/>
          <w:highlight w:val="none"/>
        </w:rPr>
      </w:pPr>
      <w:bookmarkStart w:id="81" w:name="_Toc7471"/>
      <w:r>
        <w:rPr>
          <w:rFonts w:hint="eastAsia" w:ascii="Times New Roman" w:hAnsi="Times New Roman"/>
          <w:highlight w:val="none"/>
        </w:rPr>
        <w:t>进度管理</w:t>
      </w:r>
      <w:bookmarkEnd w:id="71"/>
      <w:bookmarkEnd w:id="72"/>
      <w:bookmarkEnd w:id="78"/>
      <w:bookmarkEnd w:id="79"/>
      <w:bookmarkEnd w:id="80"/>
      <w:bookmarkEnd w:id="81"/>
    </w:p>
    <w:p w14:paraId="2AA41384">
      <w:pPr>
        <w:widowControl w:val="0"/>
        <w:numPr>
          <w:ilvl w:val="0"/>
          <w:numId w:val="0"/>
        </w:numPr>
        <w:jc w:val="both"/>
        <w:rPr>
          <w:rFonts w:hint="eastAsia" w:ascii="Times New Roman" w:hAnsi="Times New Roman" w:eastAsia="宋体"/>
          <w:highlight w:val="none"/>
          <w:lang w:eastAsia="zh"/>
          <w:woUserID w:val="13"/>
        </w:rPr>
      </w:pPr>
      <w:bookmarkStart w:id="82" w:name="_Toc190350375"/>
      <w:bookmarkStart w:id="83" w:name="_Toc3513"/>
      <w:bookmarkStart w:id="84" w:name="_Toc8246"/>
      <w:bookmarkStart w:id="85" w:name="_Toc6289"/>
      <w:bookmarkStart w:id="86" w:name="_Toc32411"/>
      <w:r>
        <w:rPr>
          <w:rFonts w:hint="eastAsia" w:ascii="Times New Roman" w:hAnsi="Times New Roman"/>
          <w:highlight w:val="none"/>
          <w:lang w:eastAsia="zh-CN"/>
        </w:rPr>
        <w:t>10</w:t>
      </w:r>
      <w:r>
        <w:rPr>
          <w:rFonts w:hint="eastAsia" w:ascii="Times New Roman" w:hAnsi="Times New Roman"/>
          <w:highlight w:val="none"/>
          <w:lang w:eastAsia="zh"/>
          <w:woUserID w:val="13"/>
        </w:rPr>
        <w:t>.1</w:t>
      </w:r>
      <w:r>
        <w:rPr>
          <w:rFonts w:hint="eastAsia" w:ascii="宋体" w:hAnsi="宋体" w:cs="宋体"/>
          <w:kern w:val="2"/>
          <w:sz w:val="21"/>
          <w:szCs w:val="21"/>
          <w:highlight w:val="none"/>
          <w:lang w:eastAsia="zh"/>
          <w:woUserID w:val="13"/>
        </w:rPr>
        <w:t xml:space="preserve"> 进度管理需涵盖进度计划编制、控制、预警、纠偏等过程管理环节，应具备集成多源数据、智能分析、实时预警、辅助纠偏等功能。</w:t>
      </w:r>
    </w:p>
    <w:p w14:paraId="739645CC">
      <w:pPr>
        <w:widowControl w:val="0"/>
        <w:numPr>
          <w:ilvl w:val="0"/>
          <w:numId w:val="0"/>
        </w:numPr>
        <w:jc w:val="both"/>
        <w:rPr>
          <w:rFonts w:hint="eastAsia" w:ascii="Times New Roman" w:hAnsi="Times New Roman"/>
          <w:highlight w:val="none"/>
          <w:lang w:eastAsia="zh"/>
        </w:rPr>
      </w:pPr>
      <w:r>
        <w:rPr>
          <w:rFonts w:hint="eastAsia" w:ascii="Times New Roman" w:hAnsi="Times New Roman"/>
          <w:highlight w:val="none"/>
          <w:lang w:eastAsia="zh"/>
          <w:woUserID w:val="5"/>
        </w:rPr>
        <w:t xml:space="preserve">10.2 </w:t>
      </w:r>
      <w:r>
        <w:rPr>
          <w:rFonts w:hint="eastAsia" w:ascii="Times New Roman" w:hAnsi="Times New Roman"/>
          <w:highlight w:val="none"/>
          <w:lang w:eastAsia="zh"/>
          <w:woUserID w:val="0"/>
        </w:rPr>
        <w:t>进度</w:t>
      </w:r>
      <w:r>
        <w:rPr>
          <w:rFonts w:hint="eastAsia" w:ascii="Times New Roman" w:hAnsi="Times New Roman"/>
          <w:highlight w:val="none"/>
          <w:lang w:eastAsia="zh-CN"/>
          <w:woUserID w:val="0"/>
        </w:rPr>
        <w:t>计划</w:t>
      </w:r>
      <w:r>
        <w:rPr>
          <w:rFonts w:hint="eastAsia" w:ascii="Times New Roman" w:hAnsi="Times New Roman"/>
          <w:highlight w:val="none"/>
          <w:lang w:eastAsia="zh"/>
          <w:woUserID w:val="15"/>
        </w:rPr>
        <w:t>编制</w:t>
      </w:r>
      <w:r>
        <w:rPr>
          <w:rFonts w:hint="eastAsia" w:ascii="Times New Roman" w:hAnsi="Times New Roman"/>
          <w:highlight w:val="none"/>
          <w:lang w:eastAsia="zh"/>
          <w:woUserID w:val="0"/>
        </w:rPr>
        <w:t>应具备</w:t>
      </w:r>
      <w:r>
        <w:rPr>
          <w:rFonts w:hint="eastAsia" w:ascii="Times New Roman" w:hAnsi="Times New Roman"/>
          <w:highlight w:val="none"/>
          <w:lang w:eastAsia="zh-CN"/>
          <w:woUserID w:val="0"/>
        </w:rPr>
        <w:t>施工图</w:t>
      </w:r>
      <w:r>
        <w:rPr>
          <w:rFonts w:hint="eastAsia" w:ascii="Times New Roman" w:hAnsi="Times New Roman"/>
          <w:highlight w:val="none"/>
          <w:lang w:eastAsia="zh"/>
          <w:woUserID w:val="0"/>
        </w:rPr>
        <w:t>设计</w:t>
      </w:r>
      <w:r>
        <w:rPr>
          <w:rFonts w:hint="eastAsia" w:ascii="Times New Roman" w:hAnsi="Times New Roman"/>
          <w:highlight w:val="none"/>
          <w:lang w:eastAsia="zh-CN"/>
          <w:woUserID w:val="0"/>
        </w:rPr>
        <w:t>及评审</w:t>
      </w:r>
      <w:r>
        <w:rPr>
          <w:rFonts w:hint="eastAsia" w:ascii="Times New Roman" w:hAnsi="Times New Roman"/>
          <w:highlight w:val="none"/>
          <w:lang w:eastAsia="zh"/>
          <w:woUserID w:val="0"/>
        </w:rPr>
        <w:t>、设备采购</w:t>
      </w:r>
      <w:r>
        <w:rPr>
          <w:rFonts w:hint="eastAsia" w:ascii="Times New Roman" w:hAnsi="Times New Roman"/>
          <w:highlight w:val="none"/>
          <w:lang w:eastAsia="zh-CN"/>
          <w:woUserID w:val="0"/>
        </w:rPr>
        <w:t>及供</w:t>
      </w:r>
      <w:r>
        <w:rPr>
          <w:rFonts w:hint="eastAsia" w:ascii="Times New Roman" w:hAnsi="Times New Roman"/>
          <w:highlight w:val="none"/>
          <w:lang w:eastAsia="zh"/>
          <w:woUserID w:val="0"/>
        </w:rPr>
        <w:t>货、</w:t>
      </w:r>
      <w:r>
        <w:rPr>
          <w:rFonts w:hint="eastAsia" w:ascii="Times New Roman" w:hAnsi="Times New Roman"/>
          <w:highlight w:val="none"/>
          <w:lang w:eastAsia="zh-CN"/>
          <w:woUserID w:val="0"/>
        </w:rPr>
        <w:t>设备安装及</w:t>
      </w:r>
      <w:r>
        <w:rPr>
          <w:rFonts w:hint="eastAsia" w:ascii="Times New Roman" w:hAnsi="Times New Roman"/>
          <w:highlight w:val="none"/>
          <w:lang w:eastAsia="zh"/>
          <w:woUserID w:val="0"/>
        </w:rPr>
        <w:t>中间验收、投产</w:t>
      </w:r>
      <w:r>
        <w:rPr>
          <w:rFonts w:hint="eastAsia" w:ascii="Times New Roman" w:hAnsi="Times New Roman"/>
          <w:highlight w:val="none"/>
          <w:lang w:eastAsia="zh-CN"/>
          <w:woUserID w:val="0"/>
        </w:rPr>
        <w:t>验收及</w:t>
      </w:r>
      <w:r>
        <w:rPr>
          <w:rFonts w:hint="eastAsia" w:ascii="Times New Roman" w:hAnsi="Times New Roman"/>
          <w:highlight w:val="none"/>
          <w:lang w:eastAsia="zh"/>
          <w:woUserID w:val="0"/>
        </w:rPr>
        <w:t>试运行</w:t>
      </w:r>
      <w:r>
        <w:rPr>
          <w:rFonts w:hint="eastAsia" w:ascii="Times New Roman" w:hAnsi="Times New Roman"/>
          <w:highlight w:val="none"/>
          <w:lang w:eastAsia="zh-CN"/>
          <w:woUserID w:val="0"/>
        </w:rPr>
        <w:t>等总体</w:t>
      </w:r>
      <w:r>
        <w:rPr>
          <w:rFonts w:hint="eastAsia" w:ascii="Times New Roman" w:hAnsi="Times New Roman"/>
          <w:highlight w:val="none"/>
          <w:lang w:eastAsia="zh"/>
          <w:woUserID w:val="0"/>
        </w:rPr>
        <w:t>计划的上传等基础应用功能，同时应预留扩展接口。</w:t>
      </w:r>
    </w:p>
    <w:p w14:paraId="09D42BB1">
      <w:pPr>
        <w:widowControl w:val="0"/>
        <w:numPr>
          <w:ilvl w:val="0"/>
          <w:numId w:val="0"/>
        </w:numPr>
        <w:jc w:val="both"/>
        <w:rPr>
          <w:rFonts w:hint="eastAsia" w:ascii="Times New Roman" w:hAnsi="Times New Roman"/>
          <w:highlight w:val="none"/>
        </w:rPr>
      </w:pPr>
      <w:r>
        <w:rPr>
          <w:rFonts w:hint="eastAsia" w:ascii="Times New Roman" w:hAnsi="Times New Roman"/>
          <w:highlight w:val="none"/>
          <w:lang w:eastAsia="zh-CN"/>
        </w:rPr>
        <w:t>10</w:t>
      </w:r>
      <w:r>
        <w:rPr>
          <w:rFonts w:hint="eastAsia" w:ascii="Times New Roman" w:hAnsi="Times New Roman"/>
          <w:highlight w:val="none"/>
        </w:rPr>
        <w:t>.</w:t>
      </w:r>
      <w:r>
        <w:rPr>
          <w:rFonts w:hint="eastAsia" w:ascii="Times New Roman" w:hAnsi="Times New Roman"/>
          <w:highlight w:val="none"/>
          <w:lang w:eastAsia="zh"/>
          <w:woUserID w:val="5"/>
        </w:rPr>
        <w:t>3</w:t>
      </w:r>
      <w:r>
        <w:rPr>
          <w:rFonts w:hint="eastAsia" w:ascii="Times New Roman" w:hAnsi="Times New Roman"/>
          <w:highlight w:val="none"/>
        </w:rPr>
        <w:t xml:space="preserve"> 进度</w:t>
      </w:r>
      <w:r>
        <w:rPr>
          <w:rFonts w:hint="eastAsia" w:ascii="Times New Roman" w:hAnsi="Times New Roman"/>
          <w:highlight w:val="none"/>
          <w:lang w:val="en-US" w:eastAsia="zh-CN"/>
        </w:rPr>
        <w:t>计划</w:t>
      </w:r>
      <w:r>
        <w:rPr>
          <w:rFonts w:hint="eastAsia" w:ascii="Times New Roman" w:hAnsi="Times New Roman"/>
          <w:highlight w:val="none"/>
          <w:lang w:val="en-US" w:eastAsia="zh"/>
          <w:woUserID w:val="15"/>
        </w:rPr>
        <w:t>分解</w:t>
      </w:r>
      <w:r>
        <w:rPr>
          <w:rFonts w:hint="eastAsia" w:ascii="Times New Roman" w:hAnsi="Times New Roman"/>
          <w:highlight w:val="none"/>
        </w:rPr>
        <w:t>应具备项目清单</w:t>
      </w:r>
      <w:r>
        <w:rPr>
          <w:rFonts w:hint="eastAsia" w:ascii="Times New Roman" w:hAnsi="Times New Roman"/>
          <w:highlight w:val="none"/>
          <w:lang w:val="en-US" w:eastAsia="zh-CN"/>
        </w:rPr>
        <w:t>录入</w:t>
      </w:r>
      <w:r>
        <w:rPr>
          <w:rFonts w:hint="eastAsia" w:ascii="Times New Roman" w:hAnsi="Times New Roman"/>
          <w:highlight w:val="none"/>
        </w:rPr>
        <w:t>、</w:t>
      </w:r>
      <w:r>
        <w:rPr>
          <w:rFonts w:hint="eastAsia" w:ascii="Times New Roman" w:hAnsi="Times New Roman"/>
          <w:highlight w:val="none"/>
          <w:lang w:val="en-US" w:eastAsia="zh-CN"/>
        </w:rPr>
        <w:t>合规开工申请、实施</w:t>
      </w:r>
      <w:r>
        <w:rPr>
          <w:rFonts w:hint="eastAsia" w:ascii="Times New Roman" w:hAnsi="Times New Roman"/>
          <w:highlight w:val="none"/>
        </w:rPr>
        <w:t>计划</w:t>
      </w:r>
      <w:r>
        <w:rPr>
          <w:rFonts w:hint="eastAsia" w:ascii="Times New Roman" w:hAnsi="Times New Roman"/>
          <w:highlight w:val="none"/>
          <w:lang w:val="en-US" w:eastAsia="zh-CN"/>
        </w:rPr>
        <w:t>填报</w:t>
      </w:r>
      <w:r>
        <w:rPr>
          <w:rFonts w:hint="eastAsia" w:ascii="Times New Roman" w:hAnsi="Times New Roman"/>
          <w:highlight w:val="none"/>
        </w:rPr>
        <w:t>、计划变更</w:t>
      </w:r>
      <w:r>
        <w:rPr>
          <w:rFonts w:hint="eastAsia" w:ascii="Times New Roman" w:hAnsi="Times New Roman"/>
          <w:highlight w:val="none"/>
          <w:lang w:val="en-US" w:eastAsia="zh-CN"/>
        </w:rPr>
        <w:t>申请</w:t>
      </w:r>
      <w:r>
        <w:rPr>
          <w:rFonts w:hint="eastAsia" w:ascii="Times New Roman" w:hAnsi="Times New Roman"/>
          <w:highlight w:val="none"/>
        </w:rPr>
        <w:t>、项目实施申请、工程量计量、工程投产</w:t>
      </w:r>
      <w:r>
        <w:rPr>
          <w:rFonts w:hint="eastAsia" w:ascii="Times New Roman" w:hAnsi="Times New Roman"/>
          <w:highlight w:val="none"/>
          <w:lang w:val="en-US" w:eastAsia="zh-CN"/>
        </w:rPr>
        <w:t>申请</w:t>
      </w:r>
      <w:r>
        <w:rPr>
          <w:rFonts w:hint="eastAsia" w:ascii="Times New Roman" w:hAnsi="Times New Roman"/>
          <w:highlight w:val="none"/>
        </w:rPr>
        <w:t>填报、施工记录资料</w:t>
      </w:r>
      <w:r>
        <w:rPr>
          <w:rFonts w:hint="eastAsia" w:ascii="Times New Roman" w:hAnsi="Times New Roman"/>
          <w:highlight w:val="none"/>
          <w:lang w:val="en-US" w:eastAsia="zh-CN"/>
        </w:rPr>
        <w:t>等项目全过程关键节点</w:t>
      </w:r>
      <w:r>
        <w:rPr>
          <w:rFonts w:hint="eastAsia" w:ascii="Times New Roman" w:hAnsi="Times New Roman"/>
          <w:highlight w:val="none"/>
          <w:lang w:val="en-US" w:eastAsia="zh"/>
        </w:rPr>
        <w:t>的</w:t>
      </w:r>
      <w:r>
        <w:rPr>
          <w:rFonts w:hint="eastAsia" w:ascii="Times New Roman" w:hAnsi="Times New Roman"/>
          <w:highlight w:val="none"/>
          <w:lang w:val="en-US" w:eastAsia="zh-CN"/>
        </w:rPr>
        <w:t>线上填报</w:t>
      </w:r>
      <w:r>
        <w:rPr>
          <w:rFonts w:hint="eastAsia" w:ascii="Times New Roman" w:hAnsi="Times New Roman"/>
          <w:highlight w:val="none"/>
          <w:lang w:eastAsia="zh"/>
        </w:rPr>
        <w:t>基础</w:t>
      </w:r>
      <w:r>
        <w:rPr>
          <w:rFonts w:hint="eastAsia" w:ascii="Times New Roman" w:hAnsi="Times New Roman"/>
          <w:highlight w:val="none"/>
        </w:rPr>
        <w:t>应用功能，且</w:t>
      </w:r>
      <w:r>
        <w:rPr>
          <w:rFonts w:hint="eastAsia" w:ascii="Times New Roman" w:hAnsi="Times New Roman"/>
          <w:highlight w:val="none"/>
          <w:lang w:eastAsia="zh"/>
        </w:rPr>
        <w:t>需预留</w:t>
      </w:r>
      <w:r>
        <w:rPr>
          <w:rFonts w:hint="eastAsia" w:ascii="Times New Roman" w:hAnsi="Times New Roman"/>
          <w:highlight w:val="none"/>
        </w:rPr>
        <w:t>扩展接口。</w:t>
      </w:r>
    </w:p>
    <w:p w14:paraId="0B43958A">
      <w:pPr>
        <w:widowControl w:val="0"/>
        <w:numPr>
          <w:ilvl w:val="0"/>
          <w:numId w:val="0"/>
        </w:numPr>
        <w:jc w:val="both"/>
        <w:rPr>
          <w:rFonts w:hint="eastAsia" w:ascii="Times New Roman" w:hAnsi="Times New Roman"/>
          <w:highlight w:val="none"/>
        </w:rPr>
      </w:pPr>
      <w:r>
        <w:rPr>
          <w:rFonts w:hint="eastAsia" w:ascii="Times New Roman" w:hAnsi="Times New Roman"/>
          <w:highlight w:val="none"/>
          <w:lang w:eastAsia="zh-CN"/>
        </w:rPr>
        <w:t>10</w:t>
      </w:r>
      <w:r>
        <w:rPr>
          <w:rFonts w:hint="eastAsia" w:ascii="Times New Roman" w:hAnsi="Times New Roman"/>
          <w:highlight w:val="none"/>
        </w:rPr>
        <w:t>.</w:t>
      </w:r>
      <w:r>
        <w:rPr>
          <w:rFonts w:hint="eastAsia" w:ascii="Times New Roman" w:hAnsi="Times New Roman"/>
          <w:highlight w:val="none"/>
          <w:lang w:eastAsia="zh"/>
          <w:woUserID w:val="5"/>
        </w:rPr>
        <w:t>4</w:t>
      </w:r>
      <w:r>
        <w:rPr>
          <w:rFonts w:hint="eastAsia" w:ascii="Times New Roman" w:hAnsi="Times New Roman"/>
          <w:highlight w:val="none"/>
          <w:lang w:val="en-US" w:eastAsia="zh-CN"/>
        </w:rPr>
        <w:t xml:space="preserve"> </w:t>
      </w:r>
      <w:r>
        <w:rPr>
          <w:rFonts w:hint="eastAsia" w:ascii="Times New Roman" w:hAnsi="Times New Roman"/>
          <w:highlight w:val="none"/>
          <w:lang w:val="en-US" w:eastAsia="zh"/>
          <w:woUserID w:val="15"/>
        </w:rPr>
        <w:t>施工</w:t>
      </w:r>
      <w:r>
        <w:rPr>
          <w:rFonts w:hint="eastAsia" w:ascii="Times New Roman" w:hAnsi="Times New Roman"/>
          <w:highlight w:val="none"/>
        </w:rPr>
        <w:t>进度</w:t>
      </w:r>
      <w:r>
        <w:rPr>
          <w:rFonts w:hint="eastAsia" w:ascii="Times New Roman" w:hAnsi="Times New Roman"/>
          <w:highlight w:val="none"/>
          <w:lang w:eastAsia="zh"/>
          <w:woUserID w:val="15"/>
        </w:rPr>
        <w:t>策划</w:t>
      </w:r>
      <w:r>
        <w:rPr>
          <w:rFonts w:hint="eastAsia" w:ascii="Times New Roman" w:hAnsi="Times New Roman"/>
          <w:highlight w:val="none"/>
          <w:lang w:val="en-US" w:eastAsia="zh-CN"/>
        </w:rPr>
        <w:t>宜</w:t>
      </w:r>
      <w:r>
        <w:rPr>
          <w:rFonts w:hint="eastAsia" w:ascii="Times New Roman" w:hAnsi="Times New Roman"/>
          <w:highlight w:val="none"/>
        </w:rPr>
        <w:t>具备</w:t>
      </w:r>
      <w:r>
        <w:rPr>
          <w:rFonts w:hint="eastAsia" w:ascii="Times New Roman" w:hAnsi="Times New Roman"/>
          <w:highlight w:val="none"/>
          <w:lang w:eastAsia="zh"/>
        </w:rPr>
        <w:t>依据</w:t>
      </w:r>
      <w:r>
        <w:rPr>
          <w:rFonts w:hint="eastAsia" w:ascii="Times New Roman" w:hAnsi="Times New Roman"/>
          <w:highlight w:val="none"/>
        </w:rPr>
        <w:t>项目投资计划关键节点计划时间、投资金额、工程量，物资</w:t>
      </w:r>
      <w:r>
        <w:rPr>
          <w:rFonts w:hint="eastAsia" w:ascii="Times New Roman" w:hAnsi="Times New Roman"/>
          <w:highlight w:val="none"/>
          <w:lang w:val="en-US" w:eastAsia="zh-CN"/>
        </w:rPr>
        <w:t>预计</w:t>
      </w:r>
      <w:r>
        <w:rPr>
          <w:rFonts w:hint="eastAsia" w:ascii="Times New Roman" w:hAnsi="Times New Roman"/>
          <w:highlight w:val="none"/>
        </w:rPr>
        <w:t>到货时间</w:t>
      </w:r>
      <w:r>
        <w:rPr>
          <w:rFonts w:hint="eastAsia" w:ascii="Times New Roman" w:hAnsi="Times New Roman"/>
          <w:highlight w:val="none"/>
          <w:lang w:val="en-US" w:eastAsia="zh-CN"/>
        </w:rPr>
        <w:t>等</w:t>
      </w:r>
      <w:r>
        <w:rPr>
          <w:rFonts w:hint="eastAsia" w:ascii="Times New Roman" w:hAnsi="Times New Roman"/>
          <w:highlight w:val="none"/>
        </w:rPr>
        <w:t>自动编制里程碑进度计划</w:t>
      </w:r>
      <w:r>
        <w:rPr>
          <w:rFonts w:hint="eastAsia" w:ascii="Times New Roman" w:hAnsi="Times New Roman"/>
          <w:highlight w:val="none"/>
          <w:lang w:val="en-US" w:eastAsia="zh-CN"/>
        </w:rPr>
        <w:t>的智能化功能</w:t>
      </w:r>
      <w:r>
        <w:rPr>
          <w:rFonts w:hint="eastAsia" w:ascii="Times New Roman" w:hAnsi="Times New Roman"/>
          <w:highlight w:val="none"/>
        </w:rPr>
        <w:t>。</w:t>
      </w:r>
    </w:p>
    <w:p w14:paraId="0FD4E407">
      <w:pPr>
        <w:widowControl w:val="0"/>
        <w:numPr>
          <w:ilvl w:val="0"/>
          <w:numId w:val="0"/>
        </w:numPr>
        <w:jc w:val="both"/>
        <w:rPr>
          <w:rFonts w:hint="eastAsia" w:ascii="Times New Roman" w:hAnsi="Times New Roman"/>
          <w:highlight w:val="none"/>
          <w:lang w:eastAsia="zh"/>
        </w:rPr>
      </w:pPr>
      <w:r>
        <w:rPr>
          <w:rFonts w:hint="eastAsia" w:ascii="Times New Roman" w:hAnsi="Times New Roman"/>
          <w:highlight w:val="none"/>
          <w:lang w:eastAsia="zh-CN"/>
        </w:rPr>
        <w:t>10</w:t>
      </w:r>
      <w:r>
        <w:rPr>
          <w:rFonts w:hint="eastAsia" w:ascii="Times New Roman" w:hAnsi="Times New Roman"/>
          <w:highlight w:val="none"/>
          <w:lang w:eastAsia="zh"/>
        </w:rPr>
        <w:t>.</w:t>
      </w:r>
      <w:r>
        <w:rPr>
          <w:rFonts w:hint="eastAsia" w:ascii="Times New Roman" w:hAnsi="Times New Roman"/>
          <w:highlight w:val="none"/>
          <w:lang w:eastAsia="zh"/>
          <w:woUserID w:val="5"/>
        </w:rPr>
        <w:t>5</w:t>
      </w:r>
      <w:r>
        <w:rPr>
          <w:rFonts w:hint="eastAsia" w:ascii="Times New Roman" w:hAnsi="Times New Roman"/>
          <w:highlight w:val="none"/>
          <w:lang w:eastAsia="zh"/>
          <w:woUserID w:val="0"/>
        </w:rPr>
        <w:t xml:space="preserve"> </w:t>
      </w:r>
      <w:r>
        <w:rPr>
          <w:rFonts w:hint="eastAsia" w:ascii="Times New Roman" w:hAnsi="Times New Roman"/>
          <w:highlight w:val="none"/>
          <w:lang w:eastAsia="zh"/>
          <w:woUserID w:val="15"/>
        </w:rPr>
        <w:t>施工</w:t>
      </w:r>
      <w:r>
        <w:rPr>
          <w:rFonts w:hint="eastAsia" w:ascii="Times New Roman" w:hAnsi="Times New Roman"/>
          <w:highlight w:val="none"/>
          <w:lang w:eastAsia="zh"/>
          <w:woUserID w:val="0"/>
        </w:rPr>
        <w:t>进度</w:t>
      </w:r>
      <w:r>
        <w:rPr>
          <w:rFonts w:hint="eastAsia" w:ascii="Times New Roman" w:hAnsi="Times New Roman"/>
          <w:highlight w:val="none"/>
          <w:lang w:eastAsia="zh"/>
          <w:woUserID w:val="15"/>
        </w:rPr>
        <w:t>动态控制</w:t>
      </w:r>
      <w:r>
        <w:rPr>
          <w:rFonts w:hint="eastAsia" w:ascii="Times New Roman" w:hAnsi="Times New Roman"/>
          <w:highlight w:val="none"/>
          <w:lang w:eastAsia="zh"/>
          <w:woUserID w:val="0"/>
        </w:rPr>
        <w:t>宜</w:t>
      </w:r>
      <w:r>
        <w:rPr>
          <w:rFonts w:hint="eastAsia" w:ascii="Times New Roman" w:hAnsi="Times New Roman"/>
          <w:highlight w:val="none"/>
          <w:lang w:eastAsia="zh"/>
          <w:woUserID w:val="15"/>
        </w:rPr>
        <w:t>具备</w:t>
      </w:r>
      <w:r>
        <w:rPr>
          <w:rFonts w:hint="eastAsia" w:ascii="Times New Roman" w:hAnsi="Times New Roman"/>
          <w:highlight w:val="none"/>
          <w:lang w:eastAsia="zh"/>
          <w:woUserID w:val="0"/>
        </w:rPr>
        <w:t>开展关键路径分析，找出制约项目进度的关键偏差点，制定管理策略</w:t>
      </w:r>
      <w:r>
        <w:rPr>
          <w:rFonts w:hint="eastAsia" w:ascii="Times New Roman" w:hAnsi="Times New Roman"/>
          <w:highlight w:val="none"/>
          <w:lang w:eastAsia="zh-CN"/>
          <w:woUserID w:val="0"/>
        </w:rPr>
        <w:t>并细化为具体措施</w:t>
      </w:r>
      <w:r>
        <w:rPr>
          <w:rFonts w:hint="eastAsia" w:ascii="Times New Roman" w:hAnsi="Times New Roman"/>
          <w:highlight w:val="none"/>
          <w:lang w:eastAsia="zh"/>
          <w:woUserID w:val="0"/>
        </w:rPr>
        <w:t>，实施</w:t>
      </w:r>
      <w:r>
        <w:rPr>
          <w:rFonts w:hint="eastAsia" w:ascii="Times New Roman" w:hAnsi="Times New Roman"/>
          <w:highlight w:val="none"/>
          <w:lang w:eastAsia="zh-CN"/>
          <w:woUserID w:val="0"/>
        </w:rPr>
        <w:t>过程</w:t>
      </w:r>
      <w:r>
        <w:rPr>
          <w:rFonts w:hint="eastAsia" w:ascii="Times New Roman" w:hAnsi="Times New Roman"/>
          <w:highlight w:val="none"/>
          <w:lang w:eastAsia="zh"/>
          <w:woUserID w:val="0"/>
        </w:rPr>
        <w:t>管控。</w:t>
      </w:r>
    </w:p>
    <w:p w14:paraId="6BABA5ED">
      <w:pPr>
        <w:widowControl w:val="0"/>
        <w:numPr>
          <w:ilvl w:val="0"/>
          <w:numId w:val="0"/>
        </w:numPr>
        <w:jc w:val="both"/>
        <w:rPr>
          <w:rFonts w:hint="eastAsia" w:ascii="Times New Roman" w:hAnsi="Times New Roman"/>
          <w:highlight w:val="none"/>
          <w:lang w:eastAsia="zh"/>
        </w:rPr>
      </w:pPr>
      <w:r>
        <w:rPr>
          <w:rFonts w:hint="eastAsia" w:ascii="Times New Roman" w:hAnsi="Times New Roman"/>
          <w:highlight w:val="none"/>
          <w:lang w:eastAsia="zh-CN"/>
        </w:rPr>
        <w:t>10</w:t>
      </w:r>
      <w:r>
        <w:rPr>
          <w:rFonts w:hint="eastAsia" w:ascii="Times New Roman" w:hAnsi="Times New Roman"/>
          <w:highlight w:val="none"/>
          <w:lang w:eastAsia="zh"/>
        </w:rPr>
        <w:t>.</w:t>
      </w:r>
      <w:r>
        <w:rPr>
          <w:rFonts w:hint="eastAsia" w:ascii="Times New Roman" w:hAnsi="Times New Roman"/>
          <w:highlight w:val="none"/>
          <w:lang w:eastAsia="zh"/>
          <w:woUserID w:val="5"/>
        </w:rPr>
        <w:t>6</w:t>
      </w:r>
      <w:r>
        <w:rPr>
          <w:rFonts w:hint="eastAsia" w:ascii="Times New Roman" w:hAnsi="Times New Roman"/>
          <w:highlight w:val="none"/>
          <w:lang w:eastAsia="zh-CN"/>
          <w:woUserID w:val="0"/>
        </w:rPr>
        <w:t xml:space="preserve"> </w:t>
      </w:r>
      <w:r>
        <w:rPr>
          <w:rFonts w:hint="eastAsia" w:ascii="Times New Roman" w:hAnsi="Times New Roman"/>
          <w:highlight w:val="none"/>
          <w:lang w:eastAsia="zh"/>
          <w:woUserID w:val="15"/>
        </w:rPr>
        <w:t>施工</w:t>
      </w:r>
      <w:r>
        <w:rPr>
          <w:rFonts w:hint="eastAsia" w:ascii="Times New Roman" w:hAnsi="Times New Roman"/>
          <w:highlight w:val="none"/>
          <w:lang w:eastAsia="zh"/>
          <w:woUserID w:val="0"/>
        </w:rPr>
        <w:t>进度</w:t>
      </w:r>
      <w:r>
        <w:rPr>
          <w:rFonts w:hint="eastAsia" w:ascii="Times New Roman" w:hAnsi="Times New Roman"/>
          <w:highlight w:val="none"/>
          <w:lang w:eastAsia="zh"/>
          <w:woUserID w:val="15"/>
        </w:rPr>
        <w:t>资源保障</w:t>
      </w:r>
      <w:r>
        <w:rPr>
          <w:rFonts w:hint="eastAsia" w:ascii="Times New Roman" w:hAnsi="Times New Roman"/>
          <w:highlight w:val="none"/>
          <w:lang w:eastAsia="zh"/>
          <w:woUserID w:val="0"/>
        </w:rPr>
        <w:t>应具备实时收集作业计划、人员打卡、人员资质等数据的能力，运用大模型，计算一定周期内施工单位的承载力状况。</w:t>
      </w:r>
    </w:p>
    <w:p w14:paraId="2593069F">
      <w:pPr>
        <w:widowControl w:val="0"/>
        <w:numPr>
          <w:ilvl w:val="0"/>
          <w:numId w:val="0"/>
        </w:numPr>
        <w:jc w:val="both"/>
        <w:rPr>
          <w:rFonts w:hint="eastAsia" w:ascii="Times New Roman" w:hAnsi="Times New Roman"/>
          <w:highlight w:val="none"/>
        </w:rPr>
      </w:pPr>
      <w:r>
        <w:rPr>
          <w:rFonts w:hint="eastAsia" w:ascii="Times New Roman" w:hAnsi="Times New Roman"/>
          <w:highlight w:val="none"/>
          <w:lang w:val="en-US" w:eastAsia="zh-CN"/>
        </w:rPr>
        <w:t>10.</w:t>
      </w:r>
      <w:r>
        <w:rPr>
          <w:rFonts w:hint="eastAsia" w:ascii="Times New Roman" w:hAnsi="Times New Roman"/>
          <w:highlight w:val="none"/>
          <w:lang w:val="en-US" w:eastAsia="zh"/>
          <w:woUserID w:val="5"/>
        </w:rPr>
        <w:t>7</w:t>
      </w:r>
      <w:r>
        <w:rPr>
          <w:rFonts w:hint="eastAsia" w:ascii="Times New Roman" w:hAnsi="Times New Roman"/>
          <w:highlight w:val="none"/>
          <w:lang w:val="en-US" w:eastAsia="zh-CN"/>
        </w:rPr>
        <w:t xml:space="preserve"> </w:t>
      </w:r>
      <w:r>
        <w:rPr>
          <w:rFonts w:hint="eastAsia" w:ascii="Times New Roman" w:hAnsi="Times New Roman"/>
          <w:highlight w:val="none"/>
          <w:lang w:val="en-US" w:eastAsia="zh"/>
          <w:woUserID w:val="15"/>
        </w:rPr>
        <w:t>施工</w:t>
      </w:r>
      <w:r>
        <w:rPr>
          <w:rFonts w:hint="eastAsia" w:ascii="Times New Roman" w:hAnsi="Times New Roman"/>
          <w:highlight w:val="none"/>
        </w:rPr>
        <w:t>计划</w:t>
      </w:r>
      <w:r>
        <w:rPr>
          <w:rFonts w:hint="eastAsia" w:ascii="Times New Roman" w:hAnsi="Times New Roman"/>
          <w:highlight w:val="none"/>
          <w:lang w:eastAsia="zh"/>
          <w:woUserID w:val="15"/>
        </w:rPr>
        <w:t>实施</w:t>
      </w:r>
      <w:r>
        <w:rPr>
          <w:rFonts w:hint="eastAsia" w:ascii="Times New Roman" w:hAnsi="Times New Roman"/>
          <w:highlight w:val="none"/>
          <w:lang w:val="en-US" w:eastAsia="zh-CN"/>
        </w:rPr>
        <w:t>宜具备</w:t>
      </w:r>
      <w:r>
        <w:rPr>
          <w:rFonts w:hint="eastAsia" w:ascii="Times New Roman" w:hAnsi="Times New Roman"/>
          <w:highlight w:val="none"/>
        </w:rPr>
        <w:t>对专项施工方案进行智能审查，</w:t>
      </w:r>
      <w:r>
        <w:rPr>
          <w:rFonts w:hint="eastAsia" w:ascii="Times New Roman" w:hAnsi="Times New Roman"/>
          <w:highlight w:val="none"/>
          <w:lang w:eastAsia="zh"/>
        </w:rPr>
        <w:t>并</w:t>
      </w:r>
      <w:r>
        <w:rPr>
          <w:rFonts w:hint="eastAsia" w:ascii="Times New Roman" w:hAnsi="Times New Roman"/>
          <w:highlight w:val="none"/>
        </w:rPr>
        <w:t>自动生成审查、修改意见</w:t>
      </w:r>
      <w:r>
        <w:rPr>
          <w:rFonts w:hint="eastAsia" w:ascii="Times New Roman" w:hAnsi="Times New Roman"/>
          <w:highlight w:val="none"/>
          <w:lang w:eastAsia="zh"/>
        </w:rPr>
        <w:t>的功能</w:t>
      </w:r>
      <w:r>
        <w:rPr>
          <w:rFonts w:hint="eastAsia" w:ascii="Times New Roman" w:hAnsi="Times New Roman"/>
          <w:highlight w:val="none"/>
        </w:rPr>
        <w:t>。</w:t>
      </w:r>
    </w:p>
    <w:p w14:paraId="39B4E9EA">
      <w:pPr>
        <w:widowControl w:val="0"/>
        <w:numPr>
          <w:ilvl w:val="0"/>
          <w:numId w:val="0"/>
        </w:numPr>
        <w:jc w:val="both"/>
        <w:rPr>
          <w:rFonts w:hint="eastAsia" w:ascii="Times New Roman" w:hAnsi="Times New Roman" w:eastAsia="宋体"/>
          <w:strike/>
          <w:dstrike w:val="0"/>
          <w:highlight w:val="none"/>
          <w:lang w:eastAsia="zh"/>
        </w:rPr>
      </w:pPr>
      <w:r>
        <w:rPr>
          <w:rFonts w:hint="eastAsia" w:ascii="Times New Roman" w:hAnsi="Times New Roman"/>
          <w:highlight w:val="none"/>
          <w:lang w:val="en-US" w:eastAsia="zh-CN"/>
        </w:rPr>
        <w:t>10.</w:t>
      </w:r>
      <w:r>
        <w:rPr>
          <w:rFonts w:hint="eastAsia" w:ascii="Times New Roman" w:hAnsi="Times New Roman"/>
          <w:highlight w:val="none"/>
          <w:lang w:val="en-US" w:eastAsia="zh"/>
          <w:woUserID w:val="5"/>
        </w:rPr>
        <w:t>8</w:t>
      </w:r>
      <w:r>
        <w:rPr>
          <w:rFonts w:hint="eastAsia" w:ascii="Times New Roman" w:hAnsi="Times New Roman"/>
          <w:highlight w:val="none"/>
          <w:lang w:val="en-US" w:eastAsia="zh-CN"/>
        </w:rPr>
        <w:t xml:space="preserve"> </w:t>
      </w:r>
      <w:r>
        <w:rPr>
          <w:rFonts w:hint="eastAsia" w:ascii="Times New Roman" w:hAnsi="Times New Roman"/>
          <w:highlight w:val="none"/>
          <w:lang w:val="en-US" w:eastAsia="zh"/>
          <w:woUserID w:val="15"/>
        </w:rPr>
        <w:t>施工</w:t>
      </w:r>
      <w:r>
        <w:rPr>
          <w:rFonts w:hint="eastAsia" w:ascii="Times New Roman" w:hAnsi="Times New Roman"/>
          <w:highlight w:val="none"/>
          <w:lang w:eastAsia="zh"/>
          <w:woUserID w:val="15"/>
        </w:rPr>
        <w:t>组织协调</w:t>
      </w:r>
      <w:r>
        <w:rPr>
          <w:rFonts w:hint="eastAsia" w:ascii="Times New Roman" w:hAnsi="Times New Roman"/>
          <w:highlight w:val="none"/>
          <w:lang w:val="en-US" w:eastAsia="zh-CN"/>
        </w:rPr>
        <w:t>宜</w:t>
      </w:r>
      <w:r>
        <w:rPr>
          <w:rFonts w:hint="eastAsia" w:ascii="Times New Roman" w:hAnsi="Times New Roman"/>
          <w:highlight w:val="none"/>
        </w:rPr>
        <w:t>具备对施工方案中工程概况</w:t>
      </w:r>
      <w:r>
        <w:rPr>
          <w:rFonts w:hint="eastAsia" w:ascii="Times New Roman" w:hAnsi="Times New Roman"/>
          <w:highlight w:val="none"/>
          <w:lang w:eastAsia="zh"/>
        </w:rPr>
        <w:t>里的</w:t>
      </w:r>
      <w:r>
        <w:rPr>
          <w:rFonts w:hint="eastAsia" w:ascii="Times New Roman" w:hAnsi="Times New Roman"/>
          <w:highlight w:val="none"/>
        </w:rPr>
        <w:t>工程范围、主要工程量、施工现场平面布置安排等进行智能识别</w:t>
      </w:r>
      <w:r>
        <w:rPr>
          <w:rFonts w:hint="eastAsia" w:ascii="Times New Roman" w:hAnsi="Times New Roman"/>
          <w:highlight w:val="none"/>
          <w:lang w:eastAsia="zh"/>
        </w:rPr>
        <w:t>的功能</w:t>
      </w:r>
      <w:r>
        <w:rPr>
          <w:rFonts w:hint="eastAsia" w:ascii="Times New Roman" w:hAnsi="Times New Roman"/>
          <w:highlight w:val="none"/>
        </w:rPr>
        <w:t>，对施工方案中工程项目实施计划开展规范性审查，对施工计划、设备停电计划等对比工程</w:t>
      </w:r>
      <w:r>
        <w:rPr>
          <w:rFonts w:hint="eastAsia" w:ascii="Times New Roman" w:hAnsi="Times New Roman"/>
          <w:highlight w:val="none"/>
          <w:lang w:eastAsia="zh"/>
        </w:rPr>
        <w:t>概况</w:t>
      </w:r>
      <w:r>
        <w:rPr>
          <w:rFonts w:hint="eastAsia" w:ascii="Times New Roman" w:hAnsi="Times New Roman"/>
          <w:highlight w:val="none"/>
        </w:rPr>
        <w:t>、施工定额、电力网架接线等进行智能审查，</w:t>
      </w:r>
      <w:r>
        <w:rPr>
          <w:rFonts w:hint="eastAsia" w:ascii="Times New Roman" w:hAnsi="Times New Roman"/>
          <w:highlight w:val="none"/>
          <w:lang w:eastAsia="zh"/>
        </w:rPr>
        <w:t>审核</w:t>
      </w:r>
      <w:r>
        <w:rPr>
          <w:rFonts w:hint="eastAsia" w:ascii="Times New Roman" w:hAnsi="Times New Roman"/>
          <w:highlight w:val="none"/>
        </w:rPr>
        <w:t>施工计划时间安排的合理性</w:t>
      </w:r>
      <w:r>
        <w:rPr>
          <w:rFonts w:hint="eastAsia" w:ascii="Times New Roman" w:hAnsi="Times New Roman"/>
          <w:highlight w:val="none"/>
          <w:lang w:eastAsia="zh"/>
        </w:rPr>
        <w:t>以及</w:t>
      </w:r>
      <w:r>
        <w:rPr>
          <w:rFonts w:hint="eastAsia" w:ascii="Times New Roman" w:hAnsi="Times New Roman"/>
          <w:highlight w:val="none"/>
        </w:rPr>
        <w:t>设备停电安排</w:t>
      </w:r>
      <w:r>
        <w:rPr>
          <w:rFonts w:hint="eastAsia" w:ascii="Times New Roman" w:hAnsi="Times New Roman"/>
          <w:highlight w:val="none"/>
          <w:lang w:eastAsia="zh"/>
        </w:rPr>
        <w:t>的</w:t>
      </w:r>
      <w:r>
        <w:rPr>
          <w:rFonts w:hint="eastAsia" w:ascii="Times New Roman" w:hAnsi="Times New Roman"/>
          <w:highlight w:val="none"/>
        </w:rPr>
        <w:t>全面</w:t>
      </w:r>
      <w:r>
        <w:rPr>
          <w:rFonts w:hint="eastAsia" w:ascii="Times New Roman" w:hAnsi="Times New Roman"/>
          <w:highlight w:val="none"/>
          <w:lang w:eastAsia="zh"/>
        </w:rPr>
        <w:t>合理性</w:t>
      </w:r>
      <w:r>
        <w:rPr>
          <w:rFonts w:hint="eastAsia" w:ascii="Times New Roman" w:hAnsi="Times New Roman"/>
          <w:highlight w:val="none"/>
        </w:rPr>
        <w:t>，形成智能审核意见</w:t>
      </w:r>
      <w:r>
        <w:rPr>
          <w:rFonts w:hint="eastAsia" w:ascii="Times New Roman" w:hAnsi="Times New Roman"/>
          <w:highlight w:val="none"/>
          <w:lang w:eastAsia="zh"/>
        </w:rPr>
        <w:t>。</w:t>
      </w:r>
    </w:p>
    <w:p w14:paraId="62EDAA46">
      <w:pPr>
        <w:widowControl w:val="0"/>
        <w:numPr>
          <w:ilvl w:val="0"/>
          <w:numId w:val="0"/>
        </w:numPr>
        <w:jc w:val="both"/>
        <w:rPr>
          <w:rFonts w:hint="default" w:ascii="Times New Roman" w:hAnsi="Times New Roman" w:eastAsia="宋体"/>
          <w:highlight w:val="none"/>
          <w:lang w:val="en-US" w:eastAsia="zh-CN"/>
        </w:rPr>
      </w:pPr>
      <w:r>
        <w:rPr>
          <w:rFonts w:hint="eastAsia" w:ascii="Times New Roman" w:hAnsi="Times New Roman"/>
          <w:highlight w:val="none"/>
          <w:lang w:val="en-US" w:eastAsia="zh-CN"/>
        </w:rPr>
        <w:t>10.</w:t>
      </w:r>
      <w:r>
        <w:rPr>
          <w:rFonts w:hint="eastAsia" w:ascii="Times New Roman" w:hAnsi="Times New Roman"/>
          <w:highlight w:val="none"/>
          <w:lang w:val="en-US" w:eastAsia="zh"/>
          <w:woUserID w:val="7"/>
        </w:rPr>
        <w:t>9</w:t>
      </w:r>
      <w:r>
        <w:rPr>
          <w:rFonts w:hint="eastAsia" w:ascii="Times New Roman" w:hAnsi="Times New Roman"/>
          <w:highlight w:val="none"/>
          <w:lang w:val="en-US" w:eastAsia="zh-CN"/>
        </w:rPr>
        <w:t xml:space="preserve"> 项目</w:t>
      </w:r>
      <w:r>
        <w:rPr>
          <w:rFonts w:hint="eastAsia" w:ascii="Times New Roman" w:hAnsi="Times New Roman"/>
          <w:highlight w:val="none"/>
          <w:lang w:val="en-US" w:eastAsia="zh"/>
          <w:woUserID w:val="15"/>
        </w:rPr>
        <w:t>进度实时监测</w:t>
      </w:r>
      <w:r>
        <w:rPr>
          <w:rFonts w:hint="eastAsia" w:ascii="Times New Roman" w:hAnsi="Times New Roman"/>
          <w:highlight w:val="none"/>
        </w:rPr>
        <w:t>宜</w:t>
      </w:r>
      <w:r>
        <w:rPr>
          <w:rFonts w:hint="eastAsia" w:ascii="Times New Roman" w:hAnsi="Times New Roman"/>
          <w:highlight w:val="none"/>
          <w:lang w:val="en-US" w:eastAsia="zh-CN"/>
        </w:rPr>
        <w:t>具备</w:t>
      </w:r>
      <w:r>
        <w:rPr>
          <w:rFonts w:hint="eastAsia" w:ascii="Times New Roman" w:hAnsi="Times New Roman"/>
          <w:highlight w:val="none"/>
          <w:lang w:eastAsia="zh-CN"/>
        </w:rPr>
        <w:t>工程管理日志的编制、审核、分析等</w:t>
      </w:r>
      <w:r>
        <w:rPr>
          <w:rFonts w:hint="eastAsia" w:ascii="Times New Roman" w:hAnsi="Times New Roman"/>
          <w:highlight w:val="none"/>
          <w:lang w:val="en-US" w:eastAsia="zh-CN"/>
        </w:rPr>
        <w:t>功能</w:t>
      </w:r>
      <w:r>
        <w:rPr>
          <w:rFonts w:hint="eastAsia" w:ascii="Times New Roman" w:hAnsi="Times New Roman"/>
          <w:highlight w:val="none"/>
        </w:rPr>
        <w:t>。</w:t>
      </w:r>
    </w:p>
    <w:p w14:paraId="76E279F0">
      <w:pPr>
        <w:widowControl w:val="0"/>
        <w:numPr>
          <w:ilvl w:val="0"/>
          <w:numId w:val="0"/>
        </w:numPr>
        <w:jc w:val="both"/>
        <w:rPr>
          <w:rFonts w:hint="eastAsia" w:ascii="Times New Roman" w:hAnsi="Times New Roman" w:eastAsia="宋体"/>
          <w:highlight w:val="none"/>
          <w:lang w:eastAsia="zh"/>
        </w:rPr>
      </w:pPr>
      <w:r>
        <w:rPr>
          <w:rFonts w:hint="eastAsia" w:ascii="Times New Roman" w:hAnsi="Times New Roman"/>
          <w:highlight w:val="none"/>
          <w:lang w:eastAsia="zh-CN"/>
        </w:rPr>
        <w:t>10</w:t>
      </w:r>
      <w:r>
        <w:rPr>
          <w:rFonts w:hint="eastAsia" w:ascii="Times New Roman" w:hAnsi="Times New Roman"/>
          <w:highlight w:val="none"/>
        </w:rPr>
        <w:t>.</w:t>
      </w:r>
      <w:r>
        <w:rPr>
          <w:rFonts w:hint="eastAsia" w:ascii="Times New Roman" w:hAnsi="Times New Roman"/>
          <w:highlight w:val="none"/>
          <w:lang w:eastAsia="zh"/>
          <w:woUserID w:val="7"/>
        </w:rPr>
        <w:t>10</w:t>
      </w:r>
      <w:r>
        <w:rPr>
          <w:rFonts w:hint="eastAsia" w:ascii="Times New Roman" w:hAnsi="Times New Roman"/>
          <w:highlight w:val="none"/>
          <w:lang w:val="en-US" w:eastAsia="zh-CN"/>
        </w:rPr>
        <w:t xml:space="preserve"> </w:t>
      </w:r>
      <w:r>
        <w:rPr>
          <w:rFonts w:hint="eastAsia" w:ascii="Times New Roman" w:hAnsi="Times New Roman"/>
          <w:highlight w:val="none"/>
          <w:lang w:val="en-US" w:eastAsia="zh"/>
          <w:woUserID w:val="15"/>
        </w:rPr>
        <w:t>项目</w:t>
      </w:r>
      <w:r>
        <w:rPr>
          <w:rFonts w:hint="eastAsia" w:ascii="Times New Roman" w:hAnsi="Times New Roman"/>
          <w:highlight w:val="none"/>
          <w:lang w:val="en-US" w:eastAsia="zh-CN"/>
        </w:rPr>
        <w:t>纠偏</w:t>
      </w:r>
      <w:r>
        <w:rPr>
          <w:rFonts w:hint="eastAsia" w:ascii="Times New Roman" w:hAnsi="Times New Roman"/>
          <w:highlight w:val="none"/>
        </w:rPr>
        <w:t>应具备统计、对比、分析、预测等方法</w:t>
      </w:r>
      <w:r>
        <w:rPr>
          <w:rFonts w:hint="eastAsia" w:ascii="Times New Roman" w:hAnsi="Times New Roman"/>
          <w:highlight w:val="none"/>
          <w:lang w:eastAsia="zh"/>
        </w:rPr>
        <w:t>与</w:t>
      </w:r>
      <w:r>
        <w:rPr>
          <w:rFonts w:hint="eastAsia" w:ascii="Times New Roman" w:hAnsi="Times New Roman"/>
          <w:highlight w:val="none"/>
        </w:rPr>
        <w:t>措施，</w:t>
      </w:r>
      <w:r>
        <w:rPr>
          <w:rFonts w:hint="eastAsia" w:ascii="Times New Roman" w:hAnsi="Times New Roman"/>
          <w:highlight w:val="none"/>
          <w:lang w:val="en-US" w:eastAsia="zh-CN"/>
        </w:rPr>
        <w:t>实时开展</w:t>
      </w:r>
      <w:r>
        <w:rPr>
          <w:rFonts w:hint="eastAsia" w:ascii="Times New Roman" w:hAnsi="Times New Roman"/>
          <w:highlight w:val="none"/>
        </w:rPr>
        <w:t>进度预警</w:t>
      </w:r>
      <w:r>
        <w:rPr>
          <w:rFonts w:hint="eastAsia" w:ascii="Times New Roman" w:hAnsi="Times New Roman"/>
          <w:highlight w:val="none"/>
          <w:lang w:eastAsia="zh"/>
        </w:rPr>
        <w:t>工作</w:t>
      </w:r>
      <w:r>
        <w:rPr>
          <w:rFonts w:hint="eastAsia" w:ascii="Times New Roman" w:hAnsi="Times New Roman"/>
          <w:highlight w:val="none"/>
        </w:rPr>
        <w:t>。</w:t>
      </w:r>
      <w:r>
        <w:rPr>
          <w:rFonts w:hint="eastAsia" w:ascii="Times New Roman" w:hAnsi="Times New Roman"/>
          <w:highlight w:val="none"/>
          <w:lang w:eastAsia="zh"/>
        </w:rPr>
        <w:t xml:space="preserve"> </w:t>
      </w:r>
    </w:p>
    <w:p w14:paraId="5D1256C4">
      <w:pPr>
        <w:pStyle w:val="85"/>
        <w:spacing w:before="312" w:after="312"/>
        <w:rPr>
          <w:rFonts w:ascii="Times New Roman" w:hAnsi="Times New Roman"/>
          <w:highlight w:val="none"/>
        </w:rPr>
      </w:pPr>
      <w:bookmarkStart w:id="87" w:name="_Toc190350373"/>
      <w:bookmarkStart w:id="88" w:name="_Toc11173"/>
      <w:r>
        <w:rPr>
          <w:rFonts w:hint="eastAsia" w:ascii="Times New Roman" w:hAnsi="Times New Roman"/>
          <w:highlight w:val="none"/>
          <w:lang w:val="en-US" w:eastAsia="zh-CN"/>
        </w:rPr>
        <w:t>造价</w:t>
      </w:r>
      <w:r>
        <w:rPr>
          <w:rFonts w:hint="eastAsia" w:ascii="Times New Roman" w:hAnsi="Times New Roman"/>
          <w:highlight w:val="none"/>
        </w:rPr>
        <w:t>管理</w:t>
      </w:r>
      <w:bookmarkEnd w:id="87"/>
      <w:bookmarkEnd w:id="88"/>
    </w:p>
    <w:p w14:paraId="47C9693E">
      <w:pPr>
        <w:numPr>
          <w:ilvl w:val="0"/>
          <w:numId w:val="11"/>
        </w:numPr>
        <w:rPr>
          <w:rFonts w:hint="eastAsia" w:ascii="Times New Roman" w:hAnsi="Times New Roman"/>
          <w:highlight w:val="none"/>
        </w:rPr>
      </w:pPr>
      <w:bookmarkStart w:id="89" w:name="_Toc32065"/>
      <w:bookmarkStart w:id="90" w:name="_Toc18252"/>
      <w:bookmarkStart w:id="91" w:name="_Toc23256"/>
      <w:bookmarkStart w:id="92" w:name="_Toc12840"/>
      <w:bookmarkStart w:id="93" w:name="_Toc10396"/>
      <w:bookmarkStart w:id="94" w:name="_Toc17694"/>
      <w:bookmarkStart w:id="95" w:name="_Toc14100"/>
      <w:bookmarkStart w:id="96" w:name="_Toc1572"/>
      <w:r>
        <w:rPr>
          <w:rFonts w:hint="eastAsia" w:ascii="Times New Roman" w:hAnsi="Times New Roman"/>
          <w:highlight w:val="none"/>
        </w:rPr>
        <w:t>基</w:t>
      </w:r>
      <w:r>
        <w:rPr>
          <w:rFonts w:hint="eastAsia" w:ascii="Times New Roman" w:hAnsi="Times New Roman"/>
          <w:highlight w:val="none"/>
          <w:lang w:eastAsia="zh"/>
          <w:woUserID w:val="4"/>
        </w:rPr>
        <w:t>建造价管理应围绕资产全生命周期综合效益最大化目标，遵循依法合规、科学合理、</w:t>
      </w:r>
      <w:r>
        <w:rPr>
          <w:rFonts w:hint="eastAsia" w:ascii="Times New Roman" w:hAnsi="Times New Roman"/>
          <w:highlight w:val="none"/>
          <w:lang w:eastAsia="zh"/>
          <w:woUserID w:val="10"/>
        </w:rPr>
        <w:t>精准</w:t>
      </w:r>
      <w:r>
        <w:rPr>
          <w:rFonts w:hint="eastAsia" w:ascii="Times New Roman" w:hAnsi="Times New Roman" w:eastAsia="宋体" w:cs="Times New Roman"/>
          <w:kern w:val="2"/>
          <w:sz w:val="21"/>
          <w:szCs w:val="24"/>
          <w:highlight w:val="none"/>
          <w:lang w:eastAsia="zh"/>
          <w:woUserID w:val="4"/>
        </w:rPr>
        <w:t>管控，合理确定并有效控制配电网建设工程造价水平</w:t>
      </w:r>
      <w:r>
        <w:rPr>
          <w:rFonts w:hint="eastAsia" w:ascii="Times New Roman" w:hAnsi="Times New Roman"/>
          <w:highlight w:val="none"/>
          <w:lang w:eastAsia="zh"/>
          <w:woUserID w:val="4"/>
        </w:rPr>
        <w:t>。配电网建设工程智慧工地管理系统，经实现数据互通后，其造价管理功能</w:t>
      </w:r>
      <w:r>
        <w:rPr>
          <w:rFonts w:hint="eastAsia" w:ascii="Times New Roman" w:hAnsi="Times New Roman"/>
          <w:highlight w:val="none"/>
          <w:lang w:eastAsia="zh"/>
          <w:woUserID w:val="10"/>
        </w:rPr>
        <w:t>应</w:t>
      </w:r>
      <w:r>
        <w:rPr>
          <w:rFonts w:hint="eastAsia" w:ascii="Times New Roman" w:hAnsi="Times New Roman"/>
          <w:highlight w:val="none"/>
          <w:lang w:eastAsia="zh"/>
          <w:woUserID w:val="4"/>
        </w:rPr>
        <w:t>突破传统“事后核算”</w:t>
      </w:r>
      <w:r>
        <w:rPr>
          <w:rFonts w:hint="eastAsia" w:ascii="Times New Roman" w:hAnsi="Times New Roman"/>
          <w:highlight w:val="none"/>
          <w:lang w:eastAsia="zh"/>
          <w:woUserID w:val="10"/>
        </w:rPr>
        <w:t>管理</w:t>
      </w:r>
      <w:r>
        <w:rPr>
          <w:rFonts w:hint="eastAsia" w:ascii="Times New Roman" w:hAnsi="Times New Roman"/>
          <w:highlight w:val="none"/>
          <w:lang w:eastAsia="zh"/>
          <w:woUserID w:val="4"/>
        </w:rPr>
        <w:t>模式，实现工程造价从</w:t>
      </w:r>
      <w:r>
        <w:rPr>
          <w:rFonts w:hint="eastAsia" w:ascii="Times New Roman" w:hAnsi="Times New Roman"/>
          <w:highlight w:val="none"/>
          <w:lang w:eastAsia="zh"/>
          <w:woUserID w:val="10"/>
        </w:rPr>
        <w:t>项目策划</w:t>
      </w:r>
      <w:r>
        <w:rPr>
          <w:rFonts w:hint="eastAsia" w:ascii="Times New Roman" w:hAnsi="Times New Roman"/>
          <w:highlight w:val="none"/>
          <w:lang w:eastAsia="zh"/>
          <w:woUserID w:val="4"/>
        </w:rPr>
        <w:t>源头至竣工结算</w:t>
      </w:r>
      <w:r>
        <w:rPr>
          <w:rFonts w:hint="eastAsia" w:ascii="Times New Roman" w:hAnsi="Times New Roman"/>
          <w:highlight w:val="none"/>
          <w:lang w:eastAsia="zh"/>
          <w:woUserID w:val="10"/>
        </w:rPr>
        <w:t>、资产转固</w:t>
      </w:r>
      <w:r>
        <w:rPr>
          <w:rFonts w:hint="eastAsia" w:ascii="Times New Roman" w:hAnsi="Times New Roman"/>
          <w:highlight w:val="none"/>
          <w:lang w:eastAsia="zh"/>
          <w:woUserID w:val="4"/>
        </w:rPr>
        <w:t>的全流程智能</w:t>
      </w:r>
      <w:r>
        <w:rPr>
          <w:rFonts w:hint="eastAsia" w:ascii="Times New Roman" w:hAnsi="Times New Roman"/>
          <w:highlight w:val="none"/>
          <w:lang w:eastAsia="zh"/>
          <w:woUserID w:val="10"/>
        </w:rPr>
        <w:t>化</w:t>
      </w:r>
      <w:r>
        <w:rPr>
          <w:rFonts w:hint="eastAsia" w:ascii="Times New Roman" w:hAnsi="Times New Roman"/>
          <w:highlight w:val="none"/>
          <w:lang w:eastAsia="zh"/>
          <w:woUserID w:val="4"/>
        </w:rPr>
        <w:t>管控。</w:t>
      </w:r>
    </w:p>
    <w:p w14:paraId="5A0094CF">
      <w:pPr>
        <w:numPr>
          <w:ilvl w:val="0"/>
          <w:numId w:val="11"/>
        </w:numPr>
        <w:rPr>
          <w:rFonts w:hint="eastAsia" w:ascii="Times New Roman" w:hAnsi="Times New Roman"/>
          <w:highlight w:val="none"/>
        </w:rPr>
      </w:pPr>
      <w:r>
        <w:rPr>
          <w:rFonts w:hint="eastAsia" w:ascii="Times New Roman" w:hAnsi="Times New Roman"/>
          <w:highlight w:val="none"/>
        </w:rPr>
        <w:t>11.</w:t>
      </w:r>
      <w:r>
        <w:rPr>
          <w:rFonts w:hint="eastAsia" w:ascii="Times New Roman" w:hAnsi="Times New Roman"/>
          <w:highlight w:val="none"/>
          <w:lang w:eastAsia="zh"/>
          <w:woUserID w:val="4"/>
        </w:rPr>
        <w:t xml:space="preserve">1 </w:t>
      </w:r>
      <w:r>
        <w:rPr>
          <w:rFonts w:hint="eastAsia" w:ascii="Times New Roman" w:hAnsi="Times New Roman"/>
          <w:highlight w:val="none"/>
        </w:rPr>
        <w:t>智能造价编制与标准化</w:t>
      </w:r>
      <w:r>
        <w:rPr>
          <w:rFonts w:hint="eastAsia" w:ascii="Times New Roman" w:hAnsi="Times New Roman"/>
          <w:highlight w:val="none"/>
          <w:lang w:eastAsia="zh"/>
          <w:woUserID w:val="10"/>
        </w:rPr>
        <w:t>管理</w:t>
      </w:r>
    </w:p>
    <w:p w14:paraId="237AEA30">
      <w:pPr>
        <w:numPr>
          <w:ilvl w:val="0"/>
          <w:numId w:val="11"/>
        </w:numPr>
        <w:rPr>
          <w:rFonts w:hint="eastAsia" w:ascii="Times New Roman" w:hAnsi="Times New Roman"/>
          <w:highlight w:val="none"/>
        </w:rPr>
      </w:pPr>
      <w:r>
        <w:rPr>
          <w:rFonts w:hint="eastAsia" w:ascii="Times New Roman" w:hAnsi="Times New Roman" w:cs="Times New Roman"/>
          <w:kern w:val="2"/>
          <w:sz w:val="21"/>
          <w:szCs w:val="24"/>
          <w:highlight w:val="none"/>
          <w:lang w:eastAsia="zh"/>
          <w:woUserID w:val="10"/>
        </w:rPr>
        <w:t xml:space="preserve">11.1.1 </w:t>
      </w:r>
      <w:r>
        <w:rPr>
          <w:rFonts w:hint="eastAsia" w:ascii="Times New Roman" w:hAnsi="Times New Roman" w:eastAsia="宋体" w:cs="Times New Roman"/>
          <w:kern w:val="2"/>
          <w:sz w:val="21"/>
          <w:szCs w:val="24"/>
          <w:highlight w:val="none"/>
          <w:woUserID w:val="0"/>
        </w:rPr>
        <w:t>造价编制应与智慧工地设计管理模块实现业务协同与数据互通，支撑造价文件的快速、精准编制与生成</w:t>
      </w:r>
      <w:r>
        <w:rPr>
          <w:rFonts w:hint="eastAsia" w:ascii="Times New Roman" w:hAnsi="Times New Roman"/>
          <w:highlight w:val="none"/>
        </w:rPr>
        <w:t>。</w:t>
      </w:r>
    </w:p>
    <w:p w14:paraId="397D660D">
      <w:pPr>
        <w:numPr>
          <w:ilvl w:val="0"/>
          <w:numId w:val="11"/>
        </w:numPr>
        <w:rPr>
          <w:rFonts w:hint="eastAsia" w:ascii="Times New Roman" w:hAnsi="Times New Roman"/>
          <w:highlight w:val="none"/>
        </w:rPr>
      </w:pPr>
      <w:r>
        <w:rPr>
          <w:rFonts w:hint="eastAsia" w:ascii="Times New Roman" w:hAnsi="Times New Roman"/>
          <w:highlight w:val="none"/>
          <w:lang w:eastAsia="zh"/>
          <w:woUserID w:val="10"/>
        </w:rPr>
        <w:t>11.1.2 应</w:t>
      </w:r>
      <w:r>
        <w:rPr>
          <w:rFonts w:hint="eastAsia" w:ascii="Times New Roman" w:hAnsi="Times New Roman"/>
          <w:highlight w:val="none"/>
        </w:rPr>
        <w:t>基于标准物料</w:t>
      </w:r>
      <w:r>
        <w:rPr>
          <w:rFonts w:hint="eastAsia" w:ascii="Times New Roman" w:hAnsi="Times New Roman"/>
          <w:highlight w:val="none"/>
          <w:lang w:eastAsia="zh"/>
          <w:woUserID w:val="10"/>
        </w:rPr>
        <w:t>库</w:t>
      </w:r>
      <w:r>
        <w:rPr>
          <w:rFonts w:hint="eastAsia" w:ascii="Times New Roman" w:hAnsi="Times New Roman"/>
          <w:highlight w:val="none"/>
        </w:rPr>
        <w:t>、组件库和历史</w:t>
      </w:r>
      <w:r>
        <w:rPr>
          <w:rFonts w:hint="eastAsia" w:ascii="Times New Roman" w:hAnsi="Times New Roman"/>
          <w:highlight w:val="none"/>
          <w:lang w:eastAsia="zh"/>
          <w:woUserID w:val="10"/>
        </w:rPr>
        <w:t>工程造价</w:t>
      </w:r>
      <w:r>
        <w:rPr>
          <w:rFonts w:hint="eastAsia" w:ascii="Times New Roman" w:hAnsi="Times New Roman"/>
          <w:highlight w:val="none"/>
        </w:rPr>
        <w:t>数据</w:t>
      </w:r>
      <w:r>
        <w:rPr>
          <w:rFonts w:hint="eastAsia" w:ascii="Times New Roman" w:hAnsi="Times New Roman"/>
          <w:highlight w:val="none"/>
          <w:lang w:eastAsia="zh"/>
          <w:woUserID w:val="10"/>
        </w:rPr>
        <w:t>库</w:t>
      </w:r>
      <w:r>
        <w:rPr>
          <w:rFonts w:hint="eastAsia" w:ascii="Times New Roman" w:hAnsi="Times New Roman"/>
          <w:highlight w:val="none"/>
        </w:rPr>
        <w:t>，</w:t>
      </w:r>
      <w:r>
        <w:rPr>
          <w:rFonts w:hint="eastAsia" w:ascii="Times New Roman" w:hAnsi="Times New Roman"/>
          <w:highlight w:val="none"/>
          <w:lang w:eastAsia="zh"/>
          <w:woUserID w:val="10"/>
        </w:rPr>
        <w:t>实现定额</w:t>
      </w:r>
      <w:r>
        <w:rPr>
          <w:rFonts w:hint="eastAsia" w:ascii="Times New Roman" w:hAnsi="Times New Roman"/>
          <w:highlight w:val="none"/>
        </w:rPr>
        <w:t>自动套用</w:t>
      </w:r>
      <w:r>
        <w:rPr>
          <w:rFonts w:hint="eastAsia" w:ascii="Times New Roman" w:hAnsi="Times New Roman"/>
          <w:highlight w:val="none"/>
          <w:lang w:eastAsia="zh"/>
          <w:woUserID w:val="10"/>
        </w:rPr>
        <w:t>、工程量智能</w:t>
      </w:r>
      <w:r>
        <w:rPr>
          <w:rFonts w:hint="eastAsia" w:ascii="Times New Roman" w:hAnsi="Times New Roman"/>
          <w:highlight w:val="none"/>
        </w:rPr>
        <w:t>计算，</w:t>
      </w:r>
      <w:r>
        <w:rPr>
          <w:rFonts w:hint="eastAsia" w:ascii="Times New Roman" w:hAnsi="Times New Roman"/>
          <w:highlight w:val="none"/>
          <w:lang w:eastAsia="zh"/>
          <w:woUserID w:val="10"/>
        </w:rPr>
        <w:t>支持</w:t>
      </w:r>
      <w:r>
        <w:rPr>
          <w:rFonts w:hint="eastAsia" w:ascii="Times New Roman" w:hAnsi="Times New Roman"/>
          <w:highlight w:val="none"/>
          <w:woUserID w:val="4"/>
        </w:rPr>
        <w:t>一键生成初设概算与施工图预算</w:t>
      </w:r>
      <w:r>
        <w:rPr>
          <w:rFonts w:hint="eastAsia" w:ascii="Times New Roman" w:hAnsi="Times New Roman"/>
          <w:highlight w:val="none"/>
          <w:lang w:eastAsia="zh"/>
          <w:woUserID w:val="10"/>
        </w:rPr>
        <w:t>文件</w:t>
      </w:r>
      <w:r>
        <w:rPr>
          <w:rFonts w:hint="eastAsia" w:ascii="Times New Roman" w:hAnsi="Times New Roman"/>
          <w:highlight w:val="none"/>
        </w:rPr>
        <w:t>。</w:t>
      </w:r>
    </w:p>
    <w:p w14:paraId="32E3F23B">
      <w:pPr>
        <w:numPr>
          <w:ilvl w:val="0"/>
          <w:numId w:val="11"/>
        </w:numPr>
        <w:rPr>
          <w:rFonts w:hint="eastAsia" w:ascii="Times New Roman" w:hAnsi="Times New Roman"/>
          <w:highlight w:val="none"/>
        </w:rPr>
      </w:pPr>
      <w:r>
        <w:rPr>
          <w:rFonts w:hint="eastAsia" w:ascii="Times New Roman" w:hAnsi="Times New Roman"/>
          <w:highlight w:val="none"/>
          <w:lang w:eastAsia="zh"/>
          <w:woUserID w:val="10"/>
        </w:rPr>
        <w:t>11.1.3 应</w:t>
      </w:r>
      <w:r>
        <w:rPr>
          <w:rFonts w:hint="eastAsia" w:ascii="Times New Roman" w:hAnsi="Times New Roman"/>
          <w:highlight w:val="none"/>
        </w:rPr>
        <w:t>内置实时更新的地区性材料价格库与造价指标库，</w:t>
      </w:r>
      <w:r>
        <w:rPr>
          <w:rFonts w:hint="eastAsia" w:ascii="Times New Roman" w:hAnsi="Times New Roman" w:eastAsia="宋体" w:cs="Times New Roman"/>
          <w:kern w:val="2"/>
          <w:sz w:val="21"/>
          <w:szCs w:val="24"/>
          <w:highlight w:val="none"/>
          <w:woUserID w:val="4"/>
        </w:rPr>
        <w:t>支持自定义价格数据录入与更新，保障计价依据的合规性、准确性与时效性</w:t>
      </w:r>
      <w:r>
        <w:rPr>
          <w:rFonts w:hint="eastAsia" w:ascii="Times New Roman" w:hAnsi="Times New Roman"/>
          <w:highlight w:val="none"/>
        </w:rPr>
        <w:t>。</w:t>
      </w:r>
    </w:p>
    <w:p w14:paraId="7CBFF753">
      <w:pPr>
        <w:numPr>
          <w:ilvl w:val="0"/>
          <w:numId w:val="11"/>
        </w:numPr>
        <w:rPr>
          <w:rFonts w:hint="eastAsia" w:ascii="Times New Roman" w:hAnsi="Times New Roman"/>
          <w:highlight w:val="none"/>
        </w:rPr>
      </w:pPr>
      <w:r>
        <w:rPr>
          <w:rFonts w:hint="eastAsia" w:ascii="Times New Roman" w:hAnsi="Times New Roman"/>
          <w:highlight w:val="none"/>
        </w:rPr>
        <w:t>11.</w:t>
      </w:r>
      <w:r>
        <w:rPr>
          <w:rFonts w:hint="eastAsia" w:ascii="Times New Roman" w:hAnsi="Times New Roman"/>
          <w:highlight w:val="none"/>
          <w:lang w:eastAsia="zh"/>
          <w:woUserID w:val="4"/>
        </w:rPr>
        <w:t xml:space="preserve">2 </w:t>
      </w:r>
      <w:r>
        <w:rPr>
          <w:rFonts w:hint="eastAsia" w:ascii="Times New Roman" w:hAnsi="Times New Roman"/>
          <w:highlight w:val="none"/>
        </w:rPr>
        <w:t>全过程动态成本与进度管控</w:t>
      </w:r>
    </w:p>
    <w:p w14:paraId="7E67242F">
      <w:pPr>
        <w:numPr>
          <w:ilvl w:val="0"/>
          <w:numId w:val="11"/>
        </w:numPr>
        <w:rPr>
          <w:rFonts w:hint="eastAsia" w:ascii="Times New Roman" w:hAnsi="Times New Roman"/>
          <w:highlight w:val="none"/>
        </w:rPr>
      </w:pPr>
      <w:r>
        <w:rPr>
          <w:rFonts w:hint="eastAsia" w:ascii="Times New Roman" w:hAnsi="Times New Roman"/>
          <w:highlight w:val="none"/>
          <w:lang w:eastAsia="zh"/>
          <w:woUserID w:val="10"/>
        </w:rPr>
        <w:t>11.2.1 动态成本管控：应实现投资估算、施工图预算、实际成本的</w:t>
      </w:r>
      <w:r>
        <w:rPr>
          <w:rFonts w:hint="eastAsia" w:ascii="Times New Roman" w:hAnsi="Times New Roman"/>
          <w:highlight w:val="none"/>
        </w:rPr>
        <w:t>自动</w:t>
      </w:r>
      <w:r>
        <w:rPr>
          <w:rFonts w:hint="eastAsia" w:ascii="Times New Roman" w:hAnsi="Times New Roman"/>
          <w:highlight w:val="none"/>
          <w:lang w:eastAsia="zh"/>
          <w:woUserID w:val="10"/>
        </w:rPr>
        <w:t>比对</w:t>
      </w:r>
      <w:r>
        <w:rPr>
          <w:rFonts w:hint="eastAsia" w:ascii="Times New Roman" w:hAnsi="Times New Roman"/>
          <w:highlight w:val="none"/>
        </w:rPr>
        <w:t>，</w:t>
      </w:r>
      <w:r>
        <w:rPr>
          <w:rFonts w:hint="eastAsia" w:ascii="Times New Roman" w:hAnsi="Times New Roman"/>
          <w:highlight w:val="none"/>
          <w:lang w:eastAsia="zh"/>
          <w:woUserID w:val="10"/>
        </w:rPr>
        <w:t>开展全过程动态“三算对比”分析，实时定位成本偏差并触发分级预警，实现成本偏差的实时监控与超支风险的主动防范。</w:t>
      </w:r>
    </w:p>
    <w:p w14:paraId="1455DA05">
      <w:pPr>
        <w:numPr>
          <w:ilvl w:val="0"/>
          <w:numId w:val="11"/>
        </w:numPr>
        <w:rPr>
          <w:rFonts w:hint="eastAsia" w:ascii="Times New Roman" w:hAnsi="Times New Roman"/>
          <w:highlight w:val="none"/>
        </w:rPr>
      </w:pPr>
      <w:r>
        <w:rPr>
          <w:rFonts w:hint="eastAsia" w:ascii="Times New Roman" w:hAnsi="Times New Roman"/>
          <w:highlight w:val="none"/>
          <w:lang w:eastAsia="zh"/>
          <w:woUserID w:val="10"/>
        </w:rPr>
        <w:t xml:space="preserve">11.2.2 </w:t>
      </w:r>
      <w:r>
        <w:rPr>
          <w:rFonts w:hint="eastAsia" w:ascii="Times New Roman" w:hAnsi="Times New Roman" w:eastAsia="宋体" w:cs="Times New Roman"/>
          <w:kern w:val="2"/>
          <w:sz w:val="21"/>
          <w:szCs w:val="24"/>
          <w:highlight w:val="none"/>
          <w:lang w:eastAsia="zh"/>
          <w:woUserID w:val="10"/>
        </w:rPr>
        <w:t>合同全生命周期管理：应实现工程合同的全流程数字化管理，具备合同分类归档、电子台账管理、变更线上流转、合同收支管控等核心功能</w:t>
      </w:r>
      <w:r>
        <w:rPr>
          <w:rFonts w:hint="eastAsia" w:ascii="Times New Roman" w:hAnsi="Times New Roman"/>
          <w:highlight w:val="none"/>
        </w:rPr>
        <w:t>。</w:t>
      </w:r>
    </w:p>
    <w:p w14:paraId="24A8A206">
      <w:pPr>
        <w:numPr>
          <w:ilvl w:val="0"/>
          <w:numId w:val="11"/>
        </w:numPr>
        <w:rPr>
          <w:rFonts w:hint="eastAsia" w:ascii="Times New Roman" w:hAnsi="Times New Roman"/>
          <w:highlight w:val="none"/>
        </w:rPr>
      </w:pPr>
      <w:r>
        <w:rPr>
          <w:rFonts w:hint="eastAsia" w:ascii="Times New Roman" w:hAnsi="Times New Roman"/>
          <w:highlight w:val="none"/>
          <w:lang w:eastAsia="zh"/>
          <w:woUserID w:val="10"/>
        </w:rPr>
        <w:t xml:space="preserve">11.2.3 </w:t>
      </w:r>
      <w:r>
        <w:rPr>
          <w:rFonts w:hint="eastAsia" w:ascii="Times New Roman" w:hAnsi="Times New Roman" w:eastAsia="宋体" w:cs="Times New Roman"/>
          <w:kern w:val="2"/>
          <w:sz w:val="21"/>
          <w:szCs w:val="24"/>
          <w:highlight w:val="none"/>
          <w:lang w:eastAsia="zh"/>
          <w:woUserID w:val="10"/>
        </w:rPr>
        <w:t>进度与成本联动管控：应实现施工进度、资源消耗与成本支出的实时数据关联，支撑工程进度与成本联动变化的可视化监控</w:t>
      </w:r>
      <w:r>
        <w:rPr>
          <w:rFonts w:hint="eastAsia" w:ascii="Times New Roman" w:hAnsi="Times New Roman"/>
          <w:highlight w:val="none"/>
        </w:rPr>
        <w:t>。</w:t>
      </w:r>
    </w:p>
    <w:p w14:paraId="77419677">
      <w:pPr>
        <w:numPr>
          <w:ilvl w:val="0"/>
          <w:numId w:val="11"/>
        </w:numPr>
        <w:rPr>
          <w:rFonts w:hint="eastAsia" w:ascii="Times New Roman" w:hAnsi="Times New Roman"/>
          <w:highlight w:val="none"/>
        </w:rPr>
      </w:pPr>
      <w:r>
        <w:rPr>
          <w:rFonts w:hint="eastAsia" w:ascii="Times New Roman" w:hAnsi="Times New Roman"/>
          <w:highlight w:val="none"/>
          <w:lang w:eastAsia="zh"/>
          <w:woUserID w:val="10"/>
        </w:rPr>
        <w:t xml:space="preserve">11.2.4 </w:t>
      </w:r>
      <w:r>
        <w:rPr>
          <w:rFonts w:hint="eastAsia" w:ascii="Times New Roman" w:hAnsi="Times New Roman" w:eastAsia="宋体" w:cs="Times New Roman"/>
          <w:kern w:val="2"/>
          <w:sz w:val="21"/>
          <w:szCs w:val="24"/>
          <w:highlight w:val="none"/>
          <w:lang w:eastAsia="zh"/>
          <w:woUserID w:val="10"/>
        </w:rPr>
        <w:t>设计变更与现场签证管理：应实现设计变更与现场签证的线上工单化全流程管理，自动评估变更签证事项对工程造价的影响，同步动态调整对应预算</w:t>
      </w:r>
      <w:r>
        <w:rPr>
          <w:rFonts w:hint="eastAsia" w:ascii="Times New Roman" w:hAnsi="Times New Roman"/>
          <w:highlight w:val="none"/>
        </w:rPr>
        <w:t>。</w:t>
      </w:r>
    </w:p>
    <w:p w14:paraId="0F027461">
      <w:pPr>
        <w:numPr>
          <w:ilvl w:val="0"/>
          <w:numId w:val="11"/>
        </w:numPr>
        <w:rPr>
          <w:rFonts w:hint="eastAsia" w:ascii="Times New Roman" w:hAnsi="Times New Roman"/>
          <w:highlight w:val="none"/>
        </w:rPr>
      </w:pPr>
      <w:r>
        <w:rPr>
          <w:rFonts w:hint="eastAsia" w:ascii="Times New Roman" w:hAnsi="Times New Roman"/>
          <w:highlight w:val="none"/>
        </w:rPr>
        <w:t>11.</w:t>
      </w:r>
      <w:r>
        <w:rPr>
          <w:rFonts w:hint="eastAsia" w:ascii="Times New Roman" w:hAnsi="Times New Roman"/>
          <w:highlight w:val="none"/>
          <w:lang w:eastAsia="zh"/>
          <w:woUserID w:val="4"/>
        </w:rPr>
        <w:t>3</w:t>
      </w:r>
      <w:r>
        <w:rPr>
          <w:rFonts w:hint="eastAsia" w:ascii="Times New Roman" w:hAnsi="Times New Roman"/>
          <w:highlight w:val="none"/>
        </w:rPr>
        <w:t xml:space="preserve"> 投资</w:t>
      </w:r>
      <w:r>
        <w:rPr>
          <w:rFonts w:hint="eastAsia" w:ascii="Times New Roman" w:hAnsi="Times New Roman"/>
          <w:highlight w:val="none"/>
          <w:lang w:eastAsia="zh"/>
          <w:woUserID w:val="10"/>
        </w:rPr>
        <w:t>与专项</w:t>
      </w:r>
      <w:r>
        <w:rPr>
          <w:rFonts w:hint="eastAsia" w:ascii="Times New Roman" w:hAnsi="Times New Roman"/>
          <w:highlight w:val="none"/>
        </w:rPr>
        <w:t>费用管控</w:t>
      </w:r>
    </w:p>
    <w:p w14:paraId="1EA0705D">
      <w:pPr>
        <w:numPr>
          <w:ilvl w:val="0"/>
          <w:numId w:val="11"/>
        </w:numPr>
        <w:rPr>
          <w:rFonts w:hint="eastAsia" w:ascii="Times New Roman" w:hAnsi="Times New Roman"/>
          <w:highlight w:val="none"/>
        </w:rPr>
      </w:pPr>
      <w:r>
        <w:rPr>
          <w:rFonts w:hint="eastAsia" w:ascii="Times New Roman" w:hAnsi="Times New Roman"/>
          <w:highlight w:val="none"/>
          <w:lang w:eastAsia="zh"/>
          <w:woUserID w:val="10"/>
        </w:rPr>
        <w:t>11.3.1 投资计划管控：</w:t>
      </w:r>
      <w:r>
        <w:rPr>
          <w:rFonts w:hint="eastAsia" w:ascii="Times New Roman" w:hAnsi="Times New Roman"/>
          <w:highlight w:val="none"/>
        </w:rPr>
        <w:t>确保资金支付与项目实体进度精确匹配。年度投资需求</w:t>
      </w:r>
      <w:r>
        <w:rPr>
          <w:rFonts w:hint="eastAsia" w:ascii="Times New Roman" w:hAnsi="Times New Roman"/>
          <w:highlight w:val="none"/>
          <w:lang w:eastAsia="zh"/>
          <w:woUserID w:val="10"/>
        </w:rPr>
        <w:t>应依据</w:t>
      </w:r>
      <w:r>
        <w:rPr>
          <w:rFonts w:hint="eastAsia" w:ascii="Times New Roman" w:hAnsi="Times New Roman"/>
          <w:highlight w:val="none"/>
        </w:rPr>
        <w:t>项目进度计划</w:t>
      </w:r>
      <w:r>
        <w:rPr>
          <w:rFonts w:hint="eastAsia" w:ascii="Times New Roman" w:hAnsi="Times New Roman"/>
          <w:highlight w:val="none"/>
          <w:lang w:eastAsia="zh"/>
          <w:woUserID w:val="10"/>
        </w:rPr>
        <w:t>、施工图</w:t>
      </w:r>
      <w:r>
        <w:rPr>
          <w:rFonts w:hint="eastAsia" w:ascii="Times New Roman" w:hAnsi="Times New Roman"/>
          <w:highlight w:val="none"/>
        </w:rPr>
        <w:t>预算</w:t>
      </w:r>
      <w:r>
        <w:rPr>
          <w:rFonts w:hint="eastAsia" w:ascii="Times New Roman" w:hAnsi="Times New Roman"/>
          <w:highlight w:val="none"/>
          <w:lang w:eastAsia="zh"/>
          <w:woUserID w:val="10"/>
        </w:rPr>
        <w:t>及合同约定</w:t>
      </w:r>
      <w:r>
        <w:rPr>
          <w:rFonts w:hint="eastAsia" w:ascii="Times New Roman" w:hAnsi="Times New Roman"/>
          <w:highlight w:val="none"/>
        </w:rPr>
        <w:t>，</w:t>
      </w:r>
      <w:r>
        <w:rPr>
          <w:rFonts w:hint="eastAsia" w:ascii="Times New Roman" w:hAnsi="Times New Roman" w:eastAsia="宋体" w:cs="Times New Roman"/>
          <w:kern w:val="2"/>
          <w:sz w:val="21"/>
          <w:szCs w:val="24"/>
          <w:highlight w:val="none"/>
          <w:woUserID w:val="0"/>
        </w:rPr>
        <w:t>编制年度、月度投资需求计划，保障投资计划与工程进度精准匹配</w:t>
      </w:r>
      <w:r>
        <w:rPr>
          <w:rFonts w:hint="eastAsia" w:ascii="Times New Roman" w:hAnsi="Times New Roman"/>
          <w:highlight w:val="none"/>
        </w:rPr>
        <w:t>。</w:t>
      </w:r>
    </w:p>
    <w:p w14:paraId="0C3FB9FD">
      <w:pPr>
        <w:numPr>
          <w:ilvl w:val="0"/>
          <w:numId w:val="11"/>
        </w:numPr>
        <w:rPr>
          <w:rFonts w:hint="eastAsia" w:ascii="Times New Roman" w:hAnsi="Times New Roman"/>
          <w:highlight w:val="none"/>
        </w:rPr>
      </w:pPr>
      <w:r>
        <w:rPr>
          <w:rFonts w:hint="eastAsia" w:ascii="Times New Roman" w:hAnsi="Times New Roman"/>
          <w:highlight w:val="none"/>
          <w:lang w:eastAsia="zh"/>
          <w:woUserID w:val="10"/>
        </w:rPr>
        <w:t xml:space="preserve">11.3.2 </w:t>
      </w:r>
      <w:r>
        <w:rPr>
          <w:rFonts w:hint="eastAsia" w:ascii="Times New Roman" w:hAnsi="Times New Roman" w:eastAsia="宋体" w:cs="Times New Roman"/>
          <w:kern w:val="2"/>
          <w:sz w:val="21"/>
          <w:szCs w:val="24"/>
          <w:highlight w:val="none"/>
          <w:woUserID w:val="0"/>
        </w:rPr>
        <w:t>工程量确认与进度款管控：应通过移动端实现现场工程量随工即采，支持工程量的在线实时确认与报审，为工程进度款支付、投资计划调整提供精准数据支撑，实现投资与进度匹配性、资金支付与投资完成情况的全过程管控</w:t>
      </w:r>
      <w:r>
        <w:rPr>
          <w:rFonts w:hint="eastAsia" w:ascii="Times New Roman" w:hAnsi="Times New Roman"/>
          <w:highlight w:val="none"/>
        </w:rPr>
        <w:t>。</w:t>
      </w:r>
    </w:p>
    <w:p w14:paraId="0CDBCFCF">
      <w:pPr>
        <w:numPr>
          <w:ilvl w:val="0"/>
          <w:numId w:val="11"/>
        </w:numPr>
        <w:rPr>
          <w:rFonts w:hint="eastAsia" w:ascii="Times New Roman" w:hAnsi="Times New Roman"/>
          <w:highlight w:val="none"/>
        </w:rPr>
      </w:pPr>
      <w:r>
        <w:rPr>
          <w:rFonts w:hint="eastAsia" w:ascii="Times New Roman" w:hAnsi="Times New Roman"/>
          <w:highlight w:val="none"/>
          <w:lang w:eastAsia="zh"/>
          <w:woUserID w:val="10"/>
        </w:rPr>
        <w:t>11.3.3</w:t>
      </w:r>
      <w:r>
        <w:rPr>
          <w:rFonts w:hint="eastAsia" w:ascii="Times New Roman" w:hAnsi="Times New Roman" w:eastAsia="宋体" w:cs="Times New Roman"/>
          <w:kern w:val="2"/>
          <w:sz w:val="21"/>
          <w:szCs w:val="24"/>
          <w:highlight w:val="none"/>
          <w:woUserID w:val="0"/>
        </w:rPr>
        <w:t>农民工工资支付监管：</w:t>
      </w:r>
      <w:r>
        <w:rPr>
          <w:rFonts w:hint="eastAsia" w:ascii="Times New Roman" w:hAnsi="Times New Roman"/>
          <w:highlight w:val="none"/>
        </w:rPr>
        <w:t>通过</w:t>
      </w:r>
      <w:r>
        <w:rPr>
          <w:rFonts w:hint="eastAsia" w:ascii="Times New Roman" w:hAnsi="Times New Roman"/>
          <w:highlight w:val="none"/>
          <w:lang w:eastAsia="zh"/>
          <w:woUserID w:val="10"/>
        </w:rPr>
        <w:t>项目参建</w:t>
      </w:r>
      <w:r>
        <w:rPr>
          <w:rFonts w:hint="eastAsia" w:ascii="Times New Roman" w:hAnsi="Times New Roman"/>
          <w:highlight w:val="none"/>
        </w:rPr>
        <w:t>人员实名制管理系统信息数据采集</w:t>
      </w:r>
      <w:r>
        <w:rPr>
          <w:rFonts w:hint="eastAsia" w:ascii="Times New Roman" w:hAnsi="Times New Roman"/>
          <w:highlight w:val="none"/>
          <w:lang w:eastAsia="zh"/>
          <w:woUserID w:val="10"/>
        </w:rPr>
        <w:t>，</w:t>
      </w:r>
      <w:r>
        <w:rPr>
          <w:rFonts w:hint="eastAsia" w:ascii="Times New Roman" w:hAnsi="Times New Roman"/>
          <w:highlight w:val="none"/>
        </w:rPr>
        <w:t>实现对</w:t>
      </w:r>
      <w:r>
        <w:rPr>
          <w:rFonts w:hint="eastAsia" w:ascii="Times New Roman" w:hAnsi="Times New Roman"/>
          <w:highlight w:val="none"/>
          <w:lang w:eastAsia="zh"/>
          <w:woUserID w:val="4"/>
        </w:rPr>
        <w:t>农民工</w:t>
      </w:r>
      <w:r>
        <w:rPr>
          <w:rFonts w:hint="eastAsia" w:ascii="Times New Roman" w:hAnsi="Times New Roman"/>
          <w:highlight w:val="none"/>
        </w:rPr>
        <w:t>工资发放情况进行监管，按时上报、审核施工作业人工费用信息，将人工费用及时足额拨付至施工总承包单位开设的农民工工资专用账户。</w:t>
      </w:r>
    </w:p>
    <w:p w14:paraId="49713B6D">
      <w:pPr>
        <w:numPr>
          <w:ilvl w:val="0"/>
          <w:numId w:val="11"/>
        </w:numPr>
        <w:rPr>
          <w:rFonts w:hint="eastAsia" w:ascii="Times New Roman" w:hAnsi="Times New Roman"/>
          <w:highlight w:val="none"/>
        </w:rPr>
      </w:pPr>
      <w:r>
        <w:rPr>
          <w:rFonts w:hint="eastAsia" w:ascii="Times New Roman" w:hAnsi="Times New Roman"/>
          <w:highlight w:val="none"/>
          <w:lang w:eastAsia="zh"/>
          <w:woUserID w:val="10"/>
        </w:rPr>
        <w:t xml:space="preserve">11.3.4 </w:t>
      </w:r>
      <w:r>
        <w:rPr>
          <w:rFonts w:hint="eastAsia" w:ascii="Times New Roman" w:hAnsi="Times New Roman" w:eastAsia="宋体" w:cs="Times New Roman"/>
          <w:kern w:val="2"/>
          <w:sz w:val="21"/>
          <w:szCs w:val="24"/>
          <w:highlight w:val="none"/>
          <w:woUserID w:val="0"/>
        </w:rPr>
        <w:t>安全文明施工措施费管理：应具备安全文明施工措施费的线上审批、数据统计、偏差对比、趋势分析、风险预测全流程管理功能</w:t>
      </w:r>
      <w:r>
        <w:rPr>
          <w:rFonts w:hint="eastAsia" w:ascii="Times New Roman" w:hAnsi="Times New Roman"/>
          <w:highlight w:val="none"/>
        </w:rPr>
        <w:t>。</w:t>
      </w:r>
    </w:p>
    <w:p w14:paraId="1982B6E9">
      <w:pPr>
        <w:numPr>
          <w:ilvl w:val="0"/>
          <w:numId w:val="11"/>
        </w:numPr>
        <w:rPr>
          <w:rFonts w:hint="eastAsia" w:ascii="Times New Roman" w:hAnsi="Times New Roman"/>
          <w:highlight w:val="none"/>
        </w:rPr>
      </w:pPr>
      <w:r>
        <w:rPr>
          <w:rFonts w:hint="eastAsia" w:ascii="Times New Roman" w:hAnsi="Times New Roman"/>
          <w:highlight w:val="none"/>
        </w:rPr>
        <w:t>11.</w:t>
      </w:r>
      <w:r>
        <w:rPr>
          <w:rFonts w:hint="eastAsia" w:ascii="Times New Roman" w:hAnsi="Times New Roman"/>
          <w:highlight w:val="none"/>
          <w:lang w:eastAsia="zh"/>
          <w:woUserID w:val="4"/>
        </w:rPr>
        <w:t>4</w:t>
      </w:r>
      <w:r>
        <w:rPr>
          <w:rFonts w:hint="eastAsia" w:ascii="Times New Roman" w:hAnsi="Times New Roman"/>
          <w:highlight w:val="none"/>
        </w:rPr>
        <w:t xml:space="preserve"> 数字化竣工结算与</w:t>
      </w:r>
      <w:r>
        <w:rPr>
          <w:rFonts w:hint="eastAsia" w:ascii="Times New Roman" w:hAnsi="Times New Roman"/>
          <w:highlight w:val="none"/>
          <w:lang w:eastAsia="zh"/>
          <w:woUserID w:val="10"/>
        </w:rPr>
        <w:t>资产</w:t>
      </w:r>
      <w:r>
        <w:rPr>
          <w:rFonts w:hint="eastAsia" w:ascii="Times New Roman" w:hAnsi="Times New Roman"/>
          <w:highlight w:val="none"/>
        </w:rPr>
        <w:t>转固</w:t>
      </w:r>
      <w:r>
        <w:rPr>
          <w:rFonts w:hint="eastAsia" w:ascii="Times New Roman" w:hAnsi="Times New Roman"/>
          <w:highlight w:val="none"/>
          <w:lang w:eastAsia="zh"/>
          <w:woUserID w:val="10"/>
        </w:rPr>
        <w:t>管理</w:t>
      </w:r>
    </w:p>
    <w:p w14:paraId="076BFB4B">
      <w:pPr>
        <w:numPr>
          <w:ilvl w:val="0"/>
          <w:numId w:val="11"/>
        </w:numPr>
        <w:rPr>
          <w:rFonts w:hint="eastAsia" w:ascii="Times New Roman" w:hAnsi="Times New Roman"/>
          <w:highlight w:val="none"/>
        </w:rPr>
      </w:pPr>
      <w:r>
        <w:rPr>
          <w:rFonts w:hint="eastAsia" w:ascii="Times New Roman" w:hAnsi="Times New Roman"/>
          <w:highlight w:val="none"/>
          <w:lang w:eastAsia="zh"/>
          <w:woUserID w:val="10"/>
        </w:rPr>
        <w:t xml:space="preserve">11.4.1 </w:t>
      </w:r>
      <w:r>
        <w:rPr>
          <w:rFonts w:hint="eastAsia" w:ascii="Times New Roman" w:hAnsi="Times New Roman" w:eastAsia="宋体" w:cs="Times New Roman"/>
          <w:kern w:val="2"/>
          <w:sz w:val="21"/>
          <w:szCs w:val="24"/>
          <w:highlight w:val="none"/>
          <w:woUserID w:val="0"/>
        </w:rPr>
        <w:t>结算数据全量归集：应自动归集项目全生命周期全量结构化造价数据，包括但不限于最终版合同文件、全量设计变更与现场签证资料、全过程随工即采并确认的工程量数据、全部经审批的工程款支付记录、甲供材料领用与核销清单等</w:t>
      </w:r>
      <w:r>
        <w:rPr>
          <w:rFonts w:hint="eastAsia" w:ascii="Times New Roman" w:hAnsi="Times New Roman" w:cs="Times New Roman"/>
          <w:kern w:val="2"/>
          <w:sz w:val="21"/>
          <w:szCs w:val="24"/>
          <w:highlight w:val="none"/>
          <w:lang w:eastAsia="zh"/>
          <w:woUserID w:val="10"/>
        </w:rPr>
        <w:t>，</w:t>
      </w:r>
      <w:r>
        <w:rPr>
          <w:rFonts w:hint="eastAsia" w:ascii="Times New Roman" w:hAnsi="Times New Roman"/>
          <w:highlight w:val="none"/>
          <w:woUserID w:val="10"/>
        </w:rPr>
        <w:t>极速完成结算，加速资产形成。</w:t>
      </w:r>
    </w:p>
    <w:p w14:paraId="67F07094">
      <w:pPr>
        <w:numPr>
          <w:ilvl w:val="0"/>
          <w:numId w:val="11"/>
        </w:numPr>
        <w:rPr>
          <w:rFonts w:hint="eastAsia" w:ascii="Times New Roman" w:hAnsi="Times New Roman"/>
          <w:highlight w:val="none"/>
        </w:rPr>
      </w:pPr>
      <w:r>
        <w:rPr>
          <w:rFonts w:hint="eastAsia" w:ascii="Times New Roman" w:hAnsi="Times New Roman" w:cs="Times New Roman"/>
          <w:kern w:val="2"/>
          <w:sz w:val="21"/>
          <w:szCs w:val="24"/>
          <w:highlight w:val="none"/>
          <w:lang w:eastAsia="zh"/>
          <w:woUserID w:val="10"/>
        </w:rPr>
        <w:t xml:space="preserve">11.4.2 </w:t>
      </w:r>
      <w:r>
        <w:rPr>
          <w:rFonts w:hint="eastAsia" w:ascii="Times New Roman" w:hAnsi="Times New Roman" w:eastAsia="宋体" w:cs="Times New Roman"/>
          <w:kern w:val="2"/>
          <w:sz w:val="21"/>
          <w:szCs w:val="24"/>
          <w:highlight w:val="none"/>
          <w:woUserID w:val="0"/>
        </w:rPr>
        <w:t>智能化竣工结算编制：应基于项目全过程唯一、可追溯的合规数据源，按照预设的竣工结算报告模板，自动完成数据汇总、计算、比对校验，快速生成竣工结算书初稿及完整的结算支撑资料包，支撑竣工结算高效办理与资产快速转固</w:t>
      </w:r>
      <w:r>
        <w:rPr>
          <w:rFonts w:hint="eastAsia" w:ascii="Times New Roman" w:hAnsi="Times New Roman"/>
          <w:highlight w:val="none"/>
        </w:rPr>
        <w:t>。</w:t>
      </w:r>
    </w:p>
    <w:p w14:paraId="0AAFE27B">
      <w:pPr>
        <w:numPr>
          <w:ilvl w:val="0"/>
          <w:numId w:val="11"/>
        </w:numPr>
        <w:rPr>
          <w:rFonts w:ascii="Times New Roman" w:hAnsi="Times New Roman"/>
          <w:highlight w:val="none"/>
        </w:rPr>
      </w:pPr>
      <w:r>
        <w:rPr>
          <w:rFonts w:hint="eastAsia" w:ascii="Times New Roman" w:hAnsi="Times New Roman"/>
          <w:highlight w:val="none"/>
        </w:rPr>
        <w:t>11.</w:t>
      </w:r>
      <w:r>
        <w:rPr>
          <w:rFonts w:hint="eastAsia" w:ascii="Times New Roman" w:hAnsi="Times New Roman"/>
          <w:highlight w:val="none"/>
          <w:lang w:eastAsia="zh"/>
          <w:woUserID w:val="4"/>
        </w:rPr>
        <w:t>5</w:t>
      </w:r>
      <w:r>
        <w:rPr>
          <w:rFonts w:hint="eastAsia" w:ascii="Times New Roman" w:hAnsi="Times New Roman"/>
          <w:highlight w:val="none"/>
        </w:rPr>
        <w:t xml:space="preserve"> 智能化风险预警与决策支持</w:t>
      </w:r>
    </w:p>
    <w:p w14:paraId="74BC6129">
      <w:pPr>
        <w:numPr>
          <w:ilvl w:val="0"/>
          <w:numId w:val="11"/>
        </w:numPr>
        <w:rPr>
          <w:rFonts w:ascii="Times New Roman" w:hAnsi="Times New Roman"/>
          <w:highlight w:val="none"/>
        </w:rPr>
      </w:pPr>
      <w:r>
        <w:rPr>
          <w:rFonts w:hint="eastAsia" w:ascii="Times New Roman" w:hAnsi="Times New Roman"/>
          <w:highlight w:val="none"/>
          <w:lang w:eastAsia="zh"/>
          <w:woUserID w:val="10"/>
        </w:rPr>
        <w:t xml:space="preserve">11.5.1 </w:t>
      </w:r>
      <w:r>
        <w:rPr>
          <w:rFonts w:hint="eastAsia" w:ascii="Times New Roman" w:hAnsi="Times New Roman" w:eastAsia="宋体" w:cs="Times New Roman"/>
          <w:kern w:val="2"/>
          <w:sz w:val="21"/>
          <w:szCs w:val="24"/>
          <w:highlight w:val="none"/>
          <w:woUserID w:val="0"/>
        </w:rPr>
        <w:t>造价风险智能管控：应基于造价知识图谱与历史工程数据库，自动识别项目建设全过程中材料价格波动、工程量偏差、设计变更超量等造价潜在风险点，实现造价风险的智能识别、分级预警与超前预判，推动造价管理从经验驱动向数据智能决策转型</w:t>
      </w:r>
      <w:r>
        <w:rPr>
          <w:rFonts w:hint="eastAsia" w:ascii="Times New Roman" w:hAnsi="Times New Roman"/>
          <w:highlight w:val="none"/>
        </w:rPr>
        <w:t>。</w:t>
      </w:r>
    </w:p>
    <w:p w14:paraId="4C695CC7">
      <w:pPr>
        <w:numPr>
          <w:ilvl w:val="0"/>
          <w:numId w:val="11"/>
        </w:numPr>
        <w:rPr>
          <w:rFonts w:ascii="Times New Roman" w:hAnsi="Times New Roman"/>
          <w:highlight w:val="none"/>
        </w:rPr>
      </w:pPr>
      <w:r>
        <w:rPr>
          <w:rFonts w:hint="eastAsia" w:ascii="Times New Roman" w:hAnsi="Times New Roman"/>
          <w:highlight w:val="none"/>
          <w:lang w:eastAsia="zh"/>
          <w:woUserID w:val="10"/>
        </w:rPr>
        <w:t xml:space="preserve">11.5.2 </w:t>
      </w:r>
      <w:r>
        <w:rPr>
          <w:rFonts w:hint="eastAsia" w:ascii="Times New Roman" w:hAnsi="Times New Roman" w:eastAsia="宋体" w:cs="Times New Roman"/>
          <w:kern w:val="2"/>
          <w:sz w:val="21"/>
          <w:szCs w:val="24"/>
          <w:highlight w:val="none"/>
          <w:woUserID w:val="0"/>
        </w:rPr>
        <w:t>多维度造价分析决策：应搭建多维度造价分析可视化看板，针对不同层级管理需求，提供成本偏差率、结算办理效率、投资完成情况等核心指标的可视化展示与深度分析，为项目造价管理提供智能化决策支撑</w:t>
      </w:r>
      <w:r>
        <w:rPr>
          <w:rFonts w:hint="eastAsia" w:ascii="Times New Roman" w:hAnsi="Times New Roman"/>
          <w:highlight w:val="none"/>
        </w:rPr>
        <w:t>。</w:t>
      </w:r>
    </w:p>
    <w:bookmarkEnd w:id="89"/>
    <w:bookmarkEnd w:id="90"/>
    <w:bookmarkEnd w:id="91"/>
    <w:bookmarkEnd w:id="92"/>
    <w:bookmarkEnd w:id="93"/>
    <w:bookmarkEnd w:id="94"/>
    <w:bookmarkEnd w:id="95"/>
    <w:bookmarkEnd w:id="96"/>
    <w:p w14:paraId="6B041B09">
      <w:pPr>
        <w:pStyle w:val="85"/>
        <w:spacing w:before="312" w:after="312"/>
        <w:rPr>
          <w:rFonts w:ascii="Times New Roman" w:hAnsi="Times New Roman"/>
          <w:highlight w:val="none"/>
        </w:rPr>
      </w:pPr>
      <w:bookmarkStart w:id="97" w:name="_Toc15702"/>
      <w:r>
        <w:rPr>
          <w:rFonts w:hint="eastAsia" w:ascii="Times New Roman" w:hAnsi="Times New Roman"/>
          <w:highlight w:val="none"/>
        </w:rPr>
        <w:t>环境管理</w:t>
      </w:r>
      <w:bookmarkEnd w:id="82"/>
      <w:bookmarkEnd w:id="83"/>
      <w:bookmarkEnd w:id="84"/>
      <w:bookmarkEnd w:id="85"/>
      <w:bookmarkEnd w:id="86"/>
      <w:bookmarkEnd w:id="97"/>
    </w:p>
    <w:p w14:paraId="54A9B208">
      <w:pPr>
        <w:keepNext w:val="0"/>
        <w:keepLines w:val="0"/>
        <w:widowControl w:val="0"/>
        <w:numPr>
          <w:ilvl w:val="0"/>
          <w:numId w:val="12"/>
        </w:numPr>
        <w:suppressLineNumbers w:val="0"/>
        <w:spacing w:before="0" w:beforeAutospacing="0" w:after="0" w:afterAutospacing="0"/>
        <w:ind w:left="0" w:right="0" w:firstLine="0"/>
        <w:jc w:val="left"/>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12.1</w:t>
      </w:r>
      <w:r>
        <w:rPr>
          <w:rFonts w:hint="eastAsia" w:ascii="Times New Roman" w:hAnsi="Times New Roman" w:eastAsia="宋体" w:cs="Times New Roman"/>
          <w:kern w:val="2"/>
          <w:sz w:val="21"/>
          <w:szCs w:val="21"/>
          <w:lang w:val="en-US" w:eastAsia="zh-CN" w:bidi="ar"/>
          <w:woUserID w:val="8"/>
        </w:rPr>
        <w:t xml:space="preserve"> </w:t>
      </w:r>
      <w:r>
        <w:rPr>
          <w:rFonts w:hint="eastAsia" w:ascii="宋体" w:hAnsi="宋体" w:eastAsia="宋体" w:cs="宋体"/>
          <w:kern w:val="2"/>
          <w:sz w:val="21"/>
          <w:szCs w:val="21"/>
          <w:lang w:val="en-US" w:eastAsia="zh-CN" w:bidi="ar"/>
          <w:woUserID w:val="8"/>
        </w:rPr>
        <w:t>环境管理应包括环境因子监测、危险源与环境风险监测、污染治理与设备联动、绿色施工与生态保护措施等内容。</w:t>
      </w:r>
    </w:p>
    <w:p w14:paraId="32B2A659">
      <w:pPr>
        <w:keepNext w:val="0"/>
        <w:keepLines w:val="0"/>
        <w:widowControl w:val="0"/>
        <w:numPr>
          <w:ilvl w:val="0"/>
          <w:numId w:val="12"/>
        </w:numPr>
        <w:suppressLineNumbers w:val="0"/>
        <w:spacing w:before="0" w:beforeAutospacing="0" w:after="0" w:afterAutospacing="0"/>
        <w:ind w:left="0" w:right="0" w:firstLine="0"/>
        <w:jc w:val="left"/>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12.2</w:t>
      </w:r>
      <w:r>
        <w:rPr>
          <w:rFonts w:hint="eastAsia" w:ascii="Times New Roman" w:hAnsi="Times New Roman" w:eastAsia="宋体" w:cs="Times New Roman"/>
          <w:kern w:val="2"/>
          <w:sz w:val="21"/>
          <w:szCs w:val="21"/>
          <w:lang w:val="en-US" w:eastAsia="zh-CN" w:bidi="ar"/>
          <w:woUserID w:val="8"/>
        </w:rPr>
        <w:t xml:space="preserve"> </w:t>
      </w:r>
      <w:r>
        <w:rPr>
          <w:rFonts w:hint="eastAsia" w:ascii="宋体" w:hAnsi="宋体" w:eastAsia="宋体" w:cs="宋体"/>
          <w:kern w:val="2"/>
          <w:sz w:val="21"/>
          <w:szCs w:val="21"/>
          <w:lang w:val="en-US" w:eastAsia="zh-CN" w:bidi="ar"/>
          <w:woUserID w:val="8"/>
        </w:rPr>
        <w:t>环境因子监测主要对施工现场的各类环境指标进行实时数据采集，具体包括扬尘监测、噪声监测、现场小气候监测、有毒有害气体检测、废气排放监测等内容。</w:t>
      </w:r>
    </w:p>
    <w:p w14:paraId="5120B4CD">
      <w:pPr>
        <w:keepNext w:val="0"/>
        <w:keepLines w:val="0"/>
        <w:widowControl w:val="0"/>
        <w:numPr>
          <w:ilvl w:val="0"/>
          <w:numId w:val="12"/>
        </w:numPr>
        <w:suppressLineNumbers w:val="0"/>
        <w:spacing w:before="0" w:beforeAutospacing="0" w:after="0" w:afterAutospacing="0"/>
        <w:ind w:left="0" w:right="0" w:firstLine="0"/>
        <w:jc w:val="left"/>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12.2</w:t>
      </w:r>
      <w:r>
        <w:rPr>
          <w:rFonts w:hint="eastAsia" w:ascii="Times New Roman" w:hAnsi="Times New Roman" w:eastAsia="宋体" w:cs="Times New Roman"/>
          <w:kern w:val="2"/>
          <w:sz w:val="21"/>
          <w:szCs w:val="21"/>
          <w:lang w:val="en-US" w:eastAsia="zh-CN" w:bidi="ar"/>
          <w:woUserID w:val="8"/>
        </w:rPr>
        <w:t xml:space="preserve"> </w:t>
      </w:r>
      <w:r>
        <w:rPr>
          <w:rFonts w:hint="eastAsia" w:ascii="宋体" w:hAnsi="宋体" w:eastAsia="宋体" w:cs="宋体"/>
          <w:kern w:val="2"/>
          <w:sz w:val="21"/>
          <w:szCs w:val="21"/>
          <w:lang w:val="en-US" w:eastAsia="zh-CN" w:bidi="ar"/>
          <w:woUserID w:val="8"/>
        </w:rPr>
        <w:t>环境监测设备应满足国家现行相应标准及施工现场具体监测要求，能连续自动监测配电网工程现场的扬尘、噪声、气象等环境数据，并具备实时显示、提示预警功能，同时支持数据上传或上报功能，并可根据实际要求接入当地管理部门综合管理平台。</w:t>
      </w:r>
    </w:p>
    <w:p w14:paraId="2222C1F3">
      <w:pPr>
        <w:keepNext w:val="0"/>
        <w:keepLines w:val="0"/>
        <w:widowControl/>
        <w:numPr>
          <w:ilvl w:val="0"/>
          <w:numId w:val="12"/>
        </w:numPr>
        <w:suppressLineNumbers w:val="0"/>
        <w:spacing w:before="0" w:beforeAutospacing="0" w:after="0" w:afterAutospacing="0"/>
        <w:ind w:left="0" w:right="0" w:firstLine="0"/>
        <w:jc w:val="left"/>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12.3</w:t>
      </w:r>
      <w:r>
        <w:rPr>
          <w:rFonts w:hint="eastAsia" w:ascii="Times New Roman" w:hAnsi="Times New Roman" w:eastAsia="宋体" w:cs="Times New Roman"/>
          <w:kern w:val="2"/>
          <w:sz w:val="21"/>
          <w:szCs w:val="21"/>
          <w:lang w:val="en-US" w:eastAsia="zh-CN" w:bidi="ar"/>
          <w:woUserID w:val="8"/>
        </w:rPr>
        <w:t xml:space="preserve"> </w:t>
      </w:r>
      <w:r>
        <w:rPr>
          <w:rFonts w:hint="eastAsia" w:ascii="宋体" w:hAnsi="宋体" w:eastAsia="宋体" w:cs="宋体"/>
          <w:kern w:val="2"/>
          <w:sz w:val="21"/>
          <w:szCs w:val="21"/>
          <w:lang w:val="en-US" w:eastAsia="zh-CN" w:bidi="ar"/>
          <w:woUserID w:val="8"/>
        </w:rPr>
        <w:t>配电网工程现场贮存可燃物、有毒气体等危险物品的场所应设置探测或监控设备，确保对危险源数据的实时监测，当监测到异常情况时应发送警报并自动推送至相应管理人员，实现提示预警。</w:t>
      </w:r>
    </w:p>
    <w:p w14:paraId="2C05E17B">
      <w:pPr>
        <w:keepNext w:val="0"/>
        <w:keepLines w:val="0"/>
        <w:widowControl/>
        <w:numPr>
          <w:ilvl w:val="0"/>
          <w:numId w:val="12"/>
        </w:numPr>
        <w:suppressLineNumbers w:val="0"/>
        <w:spacing w:before="0" w:beforeAutospacing="0" w:after="0" w:afterAutospacing="0"/>
        <w:ind w:left="0" w:right="0" w:firstLine="0"/>
        <w:jc w:val="left"/>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12.4</w:t>
      </w:r>
      <w:r>
        <w:rPr>
          <w:rFonts w:hint="eastAsia" w:ascii="Times New Roman" w:hAnsi="Times New Roman" w:eastAsia="宋体" w:cs="Times New Roman"/>
          <w:kern w:val="2"/>
          <w:sz w:val="21"/>
          <w:szCs w:val="21"/>
          <w:lang w:val="en-US" w:eastAsia="zh-CN" w:bidi="ar"/>
          <w:woUserID w:val="8"/>
        </w:rPr>
        <w:t xml:space="preserve"> </w:t>
      </w:r>
      <w:r>
        <w:rPr>
          <w:rFonts w:hint="eastAsia" w:ascii="宋体" w:hAnsi="宋体" w:eastAsia="宋体" w:cs="宋体"/>
          <w:kern w:val="2"/>
          <w:sz w:val="21"/>
          <w:szCs w:val="21"/>
          <w:lang w:val="en-US" w:eastAsia="zh-CN" w:bidi="ar"/>
          <w:woUserID w:val="8"/>
        </w:rPr>
        <w:t>对有环境保护需求的配电网工程，现场应配备与气体、噪声监测系统关联的降尘、净化设备及报警装置，当监测数据达到或接近设定预警值时，自动报警并启动降尘、净化设备，同时将信息推送至相应管理人员，以便管理人员下达控制指令。</w:t>
      </w:r>
    </w:p>
    <w:p w14:paraId="77D75E5F">
      <w:pPr>
        <w:keepNext w:val="0"/>
        <w:keepLines w:val="0"/>
        <w:widowControl/>
        <w:numPr>
          <w:ilvl w:val="0"/>
          <w:numId w:val="12"/>
        </w:numPr>
        <w:suppressLineNumbers w:val="0"/>
        <w:spacing w:before="0" w:beforeAutospacing="0" w:after="0" w:afterAutospacing="0"/>
        <w:ind w:left="0" w:right="0" w:firstLine="0"/>
        <w:jc w:val="left"/>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12.5</w:t>
      </w:r>
      <w:r>
        <w:rPr>
          <w:rFonts w:hint="eastAsia" w:ascii="Times New Roman" w:hAnsi="Times New Roman" w:eastAsia="宋体" w:cs="Times New Roman"/>
          <w:kern w:val="2"/>
          <w:sz w:val="21"/>
          <w:szCs w:val="21"/>
          <w:lang w:val="en-US" w:eastAsia="zh-CN" w:bidi="ar"/>
          <w:woUserID w:val="8"/>
        </w:rPr>
        <w:t xml:space="preserve"> </w:t>
      </w:r>
      <w:r>
        <w:rPr>
          <w:rFonts w:hint="eastAsia" w:ascii="宋体" w:hAnsi="宋体" w:eastAsia="宋体" w:cs="宋体"/>
          <w:kern w:val="2"/>
          <w:sz w:val="21"/>
          <w:szCs w:val="21"/>
          <w:lang w:val="en-US" w:eastAsia="zh-CN" w:bidi="ar"/>
          <w:woUserID w:val="8"/>
        </w:rPr>
        <w:t>环境监测系统应支持分析气象信息，并与安全、应急管理系统联动。当监测到气象数据异常、临边防护数据异常或可能引发严重环境事件的征兆时，系统应自动推送预警信息至项目管理人员；对可能影响工程区域的极端气象灾害，应支持通过多种渠道发布预警；发现严重环境事件时，应立即启动应急响应。</w:t>
      </w:r>
    </w:p>
    <w:p w14:paraId="0D4256C8">
      <w:pPr>
        <w:keepNext w:val="0"/>
        <w:keepLines w:val="0"/>
        <w:widowControl/>
        <w:numPr>
          <w:ilvl w:val="0"/>
          <w:numId w:val="12"/>
        </w:numPr>
        <w:suppressLineNumbers w:val="0"/>
        <w:spacing w:before="0" w:beforeAutospacing="0" w:after="0" w:afterAutospacing="0"/>
        <w:ind w:left="0" w:right="0" w:firstLine="0"/>
        <w:jc w:val="left"/>
        <w:rPr>
          <w:rFonts w:hint="default"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12.6</w:t>
      </w:r>
      <w:r>
        <w:rPr>
          <w:rFonts w:hint="eastAsia" w:ascii="Times New Roman" w:hAnsi="Times New Roman" w:eastAsia="宋体" w:cs="Times New Roman"/>
          <w:kern w:val="2"/>
          <w:sz w:val="21"/>
          <w:szCs w:val="21"/>
          <w:lang w:val="en-US" w:eastAsia="zh-CN" w:bidi="ar"/>
          <w:woUserID w:val="8"/>
        </w:rPr>
        <w:t xml:space="preserve"> </w:t>
      </w:r>
      <w:r>
        <w:rPr>
          <w:rFonts w:hint="eastAsia" w:ascii="宋体" w:hAnsi="宋体" w:eastAsia="宋体" w:cs="宋体"/>
          <w:kern w:val="2"/>
          <w:sz w:val="21"/>
          <w:szCs w:val="21"/>
          <w:lang w:val="en-US" w:eastAsia="zh-CN" w:bidi="ar"/>
          <w:woUserID w:val="8"/>
        </w:rPr>
        <w:t>绿色施工应建立可回收废弃物专项处置机制，对施工垃圾实施分类回收，配电设备包装材料等工业废弃物须按环保标准再生利用。</w:t>
      </w:r>
    </w:p>
    <w:p w14:paraId="2DBF3593">
      <w:pPr>
        <w:keepNext w:val="0"/>
        <w:keepLines w:val="0"/>
        <w:widowControl/>
        <w:numPr>
          <w:ilvl w:val="0"/>
          <w:numId w:val="12"/>
        </w:numPr>
        <w:suppressLineNumbers w:val="0"/>
        <w:spacing w:before="0" w:beforeAutospacing="0" w:after="0" w:afterAutospacing="0"/>
        <w:ind w:left="0" w:right="0" w:firstLine="0"/>
        <w:jc w:val="left"/>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12.7</w:t>
      </w:r>
      <w:r>
        <w:rPr>
          <w:rFonts w:hint="eastAsia" w:ascii="Times New Roman" w:hAnsi="Times New Roman" w:eastAsia="宋体" w:cs="Times New Roman"/>
          <w:kern w:val="2"/>
          <w:sz w:val="21"/>
          <w:szCs w:val="21"/>
          <w:lang w:val="en-US" w:eastAsia="zh-CN" w:bidi="ar"/>
          <w:woUserID w:val="8"/>
        </w:rPr>
        <w:t xml:space="preserve"> </w:t>
      </w:r>
      <w:r>
        <w:rPr>
          <w:rFonts w:hint="eastAsia" w:ascii="宋体" w:hAnsi="宋体" w:eastAsia="宋体" w:cs="宋体"/>
          <w:kern w:val="2"/>
          <w:sz w:val="21"/>
          <w:szCs w:val="21"/>
          <w:lang w:val="en-US" w:eastAsia="zh-CN" w:bidi="ar"/>
          <w:woUserID w:val="8"/>
        </w:rPr>
        <w:t>对有环境保护需求的配电网工程，施工现场宜采用污水</w:t>
      </w:r>
      <w:r>
        <w:rPr>
          <w:rFonts w:hint="default" w:ascii="Times New Roman" w:hAnsi="Times New Roman" w:eastAsia="宋体" w:cs="Times New Roman"/>
          <w:kern w:val="2"/>
          <w:sz w:val="21"/>
          <w:szCs w:val="21"/>
          <w:lang w:val="en-US" w:eastAsia="zh-CN" w:bidi="ar"/>
          <w:woUserID w:val="8"/>
        </w:rPr>
        <w:t>PH</w:t>
      </w:r>
      <w:r>
        <w:rPr>
          <w:rFonts w:hint="eastAsia" w:ascii="宋体" w:hAnsi="宋体" w:eastAsia="宋体" w:cs="宋体"/>
          <w:kern w:val="2"/>
          <w:sz w:val="21"/>
          <w:szCs w:val="21"/>
          <w:lang w:val="en-US" w:eastAsia="zh-CN" w:bidi="ar"/>
          <w:woUserID w:val="8"/>
        </w:rPr>
        <w:t>值监测设备对排放的污水进行监测，并通过后台环境管理系统进行数据分析，针对超预警值的数据进行预警提示。确保环境指标符合国家标准要求。</w:t>
      </w:r>
    </w:p>
    <w:p w14:paraId="277A846B">
      <w:pPr>
        <w:widowControl/>
        <w:numPr>
          <w:ilvl w:val="0"/>
          <w:numId w:val="12"/>
        </w:numPr>
        <w:jc w:val="left"/>
        <w:rPr>
          <w:rFonts w:hint="eastAsia" w:ascii="Times New Roman" w:hAnsi="Times New Roman"/>
          <w:highlight w:val="none"/>
        </w:rPr>
      </w:pPr>
      <w:r>
        <w:rPr>
          <w:rFonts w:hint="default" w:ascii="Times New Roman" w:hAnsi="Times New Roman" w:eastAsia="宋体" w:cs="Times New Roman"/>
          <w:kern w:val="2"/>
          <w:sz w:val="21"/>
          <w:szCs w:val="21"/>
          <w:lang w:val="en-US" w:eastAsia="zh-CN" w:bidi="ar"/>
          <w:woUserID w:val="8"/>
        </w:rPr>
        <w:t>12.8</w:t>
      </w:r>
      <w:r>
        <w:rPr>
          <w:rFonts w:hint="eastAsia" w:ascii="Times New Roman" w:hAnsi="Times New Roman" w:eastAsia="宋体" w:cs="Times New Roman"/>
          <w:kern w:val="2"/>
          <w:sz w:val="21"/>
          <w:szCs w:val="21"/>
          <w:lang w:val="en-US" w:eastAsia="zh-CN" w:bidi="ar"/>
          <w:woUserID w:val="8"/>
        </w:rPr>
        <w:t xml:space="preserve"> </w:t>
      </w:r>
      <w:r>
        <w:rPr>
          <w:rFonts w:hint="eastAsia" w:ascii="宋体" w:hAnsi="宋体" w:eastAsia="宋体" w:cs="宋体"/>
          <w:kern w:val="2"/>
          <w:sz w:val="21"/>
          <w:szCs w:val="21"/>
          <w:lang w:val="en-US" w:eastAsia="zh-CN" w:bidi="ar"/>
          <w:woUserID w:val="8"/>
        </w:rPr>
        <w:t>针对水土流失重点管控区域，宜采用延时摄影监控设备对管控区域进行视频监管，关注水土流失变化情况。视频录像存储时长应满足绿色施工管理需要。</w:t>
      </w:r>
    </w:p>
    <w:p w14:paraId="2EE773B1">
      <w:pPr>
        <w:pStyle w:val="85"/>
        <w:spacing w:before="312" w:after="312"/>
        <w:rPr>
          <w:highlight w:val="none"/>
        </w:rPr>
      </w:pPr>
      <w:bookmarkStart w:id="98" w:name="_Toc20473"/>
      <w:r>
        <w:rPr>
          <w:rFonts w:hint="eastAsia"/>
          <w:highlight w:val="none"/>
          <w:lang w:eastAsia="zh"/>
          <w:woUserID w:val="3"/>
        </w:rPr>
        <w:t>应急管理</w:t>
      </w:r>
    </w:p>
    <w:p w14:paraId="4BCB2FF5">
      <w:pPr>
        <w:keepNext w:val="0"/>
        <w:keepLines w:val="0"/>
        <w:widowControl w:val="0"/>
        <w:numPr>
          <w:ilvl w:val="0"/>
          <w:numId w:val="13"/>
        </w:numPr>
        <w:suppressLineNumbers w:val="0"/>
        <w:spacing w:before="0" w:beforeAutospacing="0" w:after="0" w:afterAutospacing="0"/>
        <w:ind w:left="0" w:right="0" w:firstLine="0"/>
        <w:jc w:val="both"/>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 xml:space="preserve">13.1 </w:t>
      </w:r>
      <w:r>
        <w:rPr>
          <w:rFonts w:hint="eastAsia" w:ascii="宋体" w:hAnsi="宋体" w:eastAsia="宋体" w:cs="宋体"/>
          <w:kern w:val="2"/>
          <w:sz w:val="21"/>
          <w:szCs w:val="21"/>
          <w:lang w:val="en-US" w:eastAsia="zh-CN" w:bidi="ar"/>
          <w:woUserID w:val="8"/>
        </w:rPr>
        <w:t>应急管理应包括突发事件的预防与应急准备、监测与预警、应急处置与救援、应急信息与会商保障等内容。</w:t>
      </w:r>
    </w:p>
    <w:p w14:paraId="65687FD3">
      <w:pPr>
        <w:keepNext w:val="0"/>
        <w:keepLines w:val="0"/>
        <w:widowControl w:val="0"/>
        <w:numPr>
          <w:ilvl w:val="0"/>
          <w:numId w:val="13"/>
        </w:numPr>
        <w:suppressLineNumbers w:val="0"/>
        <w:spacing w:before="0" w:beforeAutospacing="0" w:after="0" w:afterAutospacing="0"/>
        <w:ind w:left="0" w:right="0" w:firstLine="0"/>
        <w:jc w:val="both"/>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13.2</w:t>
      </w:r>
      <w:r>
        <w:rPr>
          <w:rFonts w:hint="eastAsia" w:ascii="Times New Roman" w:hAnsi="Times New Roman" w:eastAsia="宋体" w:cs="Times New Roman"/>
          <w:kern w:val="2"/>
          <w:sz w:val="21"/>
          <w:szCs w:val="21"/>
          <w:lang w:val="en-US" w:eastAsia="zh-CN" w:bidi="ar"/>
          <w:woUserID w:val="8"/>
        </w:rPr>
        <w:t xml:space="preserve"> </w:t>
      </w:r>
      <w:r>
        <w:rPr>
          <w:rFonts w:hint="eastAsia" w:ascii="宋体" w:hAnsi="宋体" w:eastAsia="宋体" w:cs="宋体"/>
          <w:kern w:val="2"/>
          <w:sz w:val="21"/>
          <w:szCs w:val="21"/>
          <w:lang w:val="en-US" w:eastAsia="zh-CN" w:bidi="ar"/>
          <w:woUserID w:val="8"/>
        </w:rPr>
        <w:t>应急准备应结合工程特点制定</w:t>
      </w:r>
      <w:r>
        <w:rPr>
          <w:rFonts w:hint="eastAsia" w:ascii="宋体" w:hAnsi="宋体" w:eastAsia="宋体" w:cs="宋体"/>
          <w:color w:val="000000"/>
          <w:kern w:val="2"/>
          <w:sz w:val="21"/>
          <w:szCs w:val="21"/>
          <w:lang w:val="en-US" w:eastAsia="zh-CN" w:bidi="ar"/>
          <w:woUserID w:val="8"/>
        </w:rPr>
        <w:t>应急预案，并定期评审修订，确保其具备可操作性及实效性。</w:t>
      </w:r>
    </w:p>
    <w:p w14:paraId="5F42D98E">
      <w:pPr>
        <w:keepNext w:val="0"/>
        <w:keepLines w:val="0"/>
        <w:widowControl w:val="0"/>
        <w:numPr>
          <w:ilvl w:val="0"/>
          <w:numId w:val="13"/>
        </w:numPr>
        <w:suppressLineNumbers w:val="0"/>
        <w:spacing w:before="0" w:beforeAutospacing="0" w:after="0" w:afterAutospacing="0"/>
        <w:ind w:left="0" w:right="0" w:firstLine="0"/>
        <w:jc w:val="both"/>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 xml:space="preserve">13.3 </w:t>
      </w:r>
      <w:r>
        <w:rPr>
          <w:rFonts w:hint="eastAsia" w:ascii="宋体" w:hAnsi="宋体" w:eastAsia="宋体" w:cs="宋体"/>
          <w:kern w:val="2"/>
          <w:sz w:val="21"/>
          <w:szCs w:val="21"/>
          <w:lang w:val="en-US" w:eastAsia="zh-CN" w:bidi="ar"/>
          <w:woUserID w:val="8"/>
        </w:rPr>
        <w:t>应急准备应设定应急物资的种类与数量，</w:t>
      </w:r>
      <w:r>
        <w:rPr>
          <w:rFonts w:hint="eastAsia" w:ascii="宋体" w:hAnsi="宋体" w:eastAsia="宋体" w:cs="宋体"/>
          <w:i w:val="0"/>
          <w:iCs w:val="0"/>
          <w:caps w:val="0"/>
          <w:spacing w:val="0"/>
          <w:kern w:val="2"/>
          <w:sz w:val="21"/>
          <w:szCs w:val="21"/>
          <w:lang w:val="en-US" w:eastAsia="zh-CN" w:bidi="ar"/>
          <w:woUserID w:val="8"/>
        </w:rPr>
        <w:t>作为应急响应的资源基础。</w:t>
      </w:r>
      <w:r>
        <w:rPr>
          <w:rFonts w:hint="eastAsia" w:ascii="宋体" w:hAnsi="宋体" w:eastAsia="宋体" w:cs="宋体"/>
          <w:kern w:val="2"/>
          <w:sz w:val="21"/>
          <w:szCs w:val="21"/>
          <w:lang w:val="en-US" w:eastAsia="zh-CN" w:bidi="ar"/>
          <w:woUserID w:val="8"/>
        </w:rPr>
        <w:t>并应针对配电网工程不同场景和季节特点开展专项准备。</w:t>
      </w:r>
    </w:p>
    <w:p w14:paraId="6D29BF74">
      <w:pPr>
        <w:keepNext w:val="0"/>
        <w:keepLines w:val="0"/>
        <w:widowControl w:val="0"/>
        <w:numPr>
          <w:ilvl w:val="0"/>
          <w:numId w:val="13"/>
        </w:numPr>
        <w:suppressLineNumbers w:val="0"/>
        <w:spacing w:before="0" w:beforeAutospacing="0" w:after="0" w:afterAutospacing="0"/>
        <w:ind w:left="0" w:right="0" w:firstLine="0"/>
        <w:jc w:val="both"/>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13.4</w:t>
      </w:r>
      <w:r>
        <w:rPr>
          <w:rFonts w:hint="eastAsia" w:ascii="Times New Roman" w:hAnsi="Times New Roman" w:eastAsia="宋体" w:cs="Times New Roman"/>
          <w:kern w:val="2"/>
          <w:sz w:val="21"/>
          <w:szCs w:val="21"/>
          <w:lang w:val="en-US" w:eastAsia="zh-CN" w:bidi="ar"/>
          <w:woUserID w:val="8"/>
        </w:rPr>
        <w:t xml:space="preserve"> </w:t>
      </w:r>
      <w:r>
        <w:rPr>
          <w:rFonts w:hint="eastAsia" w:ascii="宋体" w:hAnsi="宋体" w:eastAsia="宋体" w:cs="宋体"/>
          <w:kern w:val="2"/>
          <w:sz w:val="21"/>
          <w:szCs w:val="21"/>
          <w:lang w:val="en-US" w:eastAsia="zh-CN" w:bidi="ar"/>
          <w:woUserID w:val="8"/>
        </w:rPr>
        <w:t>监测与预警应具备推送各类预警信息、应急预警次数统计、应急预警声光报警装置提示的功能。</w:t>
      </w:r>
    </w:p>
    <w:p w14:paraId="249BBC06">
      <w:pPr>
        <w:keepNext w:val="0"/>
        <w:keepLines w:val="0"/>
        <w:widowControl w:val="0"/>
        <w:numPr>
          <w:ilvl w:val="0"/>
          <w:numId w:val="13"/>
        </w:numPr>
        <w:suppressLineNumbers w:val="0"/>
        <w:spacing w:before="0" w:beforeAutospacing="0" w:after="0" w:afterAutospacing="0"/>
        <w:ind w:left="0" w:right="0" w:firstLine="0"/>
        <w:jc w:val="both"/>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13.5</w:t>
      </w:r>
      <w:r>
        <w:rPr>
          <w:rFonts w:hint="eastAsia" w:ascii="Times New Roman" w:hAnsi="Times New Roman" w:eastAsia="宋体" w:cs="Times New Roman"/>
          <w:kern w:val="2"/>
          <w:sz w:val="21"/>
          <w:szCs w:val="21"/>
          <w:lang w:val="en-US" w:eastAsia="zh-CN" w:bidi="ar"/>
          <w:woUserID w:val="8"/>
        </w:rPr>
        <w:t xml:space="preserve"> </w:t>
      </w:r>
      <w:r>
        <w:rPr>
          <w:rFonts w:hint="eastAsia" w:ascii="宋体" w:hAnsi="宋体" w:eastAsia="宋体" w:cs="宋体"/>
          <w:kern w:val="2"/>
          <w:sz w:val="21"/>
          <w:szCs w:val="21"/>
          <w:lang w:val="en-US" w:eastAsia="zh-CN" w:bidi="ar"/>
          <w:woUserID w:val="8"/>
        </w:rPr>
        <w:t>应急处置与救援应在突发事件发生时执行应急处置程序指令，满足不同场景下移动视频监控的要求。</w:t>
      </w:r>
    </w:p>
    <w:p w14:paraId="73ECA6A0">
      <w:pPr>
        <w:keepNext w:val="0"/>
        <w:keepLines w:val="0"/>
        <w:widowControl w:val="0"/>
        <w:numPr>
          <w:ilvl w:val="0"/>
          <w:numId w:val="13"/>
        </w:numPr>
        <w:suppressLineNumbers w:val="0"/>
        <w:spacing w:before="0" w:beforeAutospacing="0" w:after="0" w:afterAutospacing="0"/>
        <w:ind w:left="0" w:right="0" w:firstLine="0"/>
        <w:jc w:val="both"/>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13.6</w:t>
      </w:r>
      <w:r>
        <w:rPr>
          <w:rFonts w:hint="eastAsia" w:ascii="Times New Roman" w:hAnsi="Times New Roman" w:eastAsia="宋体" w:cs="Times New Roman"/>
          <w:kern w:val="2"/>
          <w:sz w:val="21"/>
          <w:szCs w:val="21"/>
          <w:lang w:val="en-US" w:eastAsia="zh-CN" w:bidi="ar"/>
          <w:woUserID w:val="8"/>
        </w:rPr>
        <w:t xml:space="preserve"> </w:t>
      </w:r>
      <w:r>
        <w:rPr>
          <w:rFonts w:hint="eastAsia" w:ascii="宋体" w:hAnsi="宋体" w:eastAsia="宋体" w:cs="宋体"/>
          <w:kern w:val="2"/>
          <w:sz w:val="21"/>
          <w:szCs w:val="21"/>
          <w:lang w:val="en-US" w:eastAsia="zh-CN" w:bidi="ar"/>
          <w:woUserID w:val="8"/>
        </w:rPr>
        <w:t>应急管理措施在配电网工程现场应特别关注雨季（如防洪、防涝、防滑坡）和风季（如防风、防物体打击、设备加固）的特定风险，并确保应急通道和逃生设施畅通有效。</w:t>
      </w:r>
    </w:p>
    <w:p w14:paraId="26A6F3B2">
      <w:pPr>
        <w:keepNext w:val="0"/>
        <w:keepLines w:val="0"/>
        <w:widowControl w:val="0"/>
        <w:numPr>
          <w:ilvl w:val="0"/>
          <w:numId w:val="13"/>
        </w:numPr>
        <w:suppressLineNumbers w:val="0"/>
        <w:spacing w:before="0" w:beforeAutospacing="0" w:after="0" w:afterAutospacing="0"/>
        <w:ind w:left="0" w:right="0" w:firstLine="0"/>
        <w:jc w:val="both"/>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13.7</w:t>
      </w:r>
      <w:r>
        <w:rPr>
          <w:rFonts w:hint="eastAsia" w:ascii="Times New Roman" w:hAnsi="Times New Roman" w:eastAsia="宋体" w:cs="Times New Roman"/>
          <w:kern w:val="2"/>
          <w:sz w:val="21"/>
          <w:szCs w:val="21"/>
          <w:lang w:val="en-US" w:eastAsia="zh-CN" w:bidi="ar"/>
          <w:woUserID w:val="8"/>
        </w:rPr>
        <w:t xml:space="preserve"> </w:t>
      </w:r>
      <w:r>
        <w:rPr>
          <w:rFonts w:hint="eastAsia" w:ascii="宋体" w:hAnsi="宋体" w:eastAsia="宋体" w:cs="宋体"/>
          <w:kern w:val="2"/>
          <w:sz w:val="21"/>
          <w:szCs w:val="21"/>
          <w:lang w:val="en-US" w:eastAsia="zh-CN" w:bidi="ar"/>
          <w:woUserID w:val="8"/>
        </w:rPr>
        <w:t>应急管理应具备与相关方的应急信息联动接口。</w:t>
      </w:r>
    </w:p>
    <w:p w14:paraId="76A2057D">
      <w:pPr>
        <w:numPr>
          <w:ilvl w:val="0"/>
          <w:numId w:val="13"/>
        </w:numPr>
        <w:rPr>
          <w:rFonts w:hint="eastAsia" w:ascii="Times New Roman" w:hAnsi="Times New Roman"/>
          <w:color w:val="auto"/>
          <w:highlight w:val="none"/>
          <w:woUserID w:val="3"/>
        </w:rPr>
      </w:pPr>
      <w:r>
        <w:rPr>
          <w:rFonts w:hint="default" w:ascii="Times New Roman" w:hAnsi="Times New Roman" w:eastAsia="宋体" w:cs="Times New Roman"/>
          <w:kern w:val="2"/>
          <w:sz w:val="21"/>
          <w:szCs w:val="21"/>
          <w:lang w:val="en-US" w:eastAsia="zh-CN" w:bidi="ar"/>
          <w:woUserID w:val="8"/>
        </w:rPr>
        <w:t>13.8</w:t>
      </w:r>
      <w:r>
        <w:rPr>
          <w:rFonts w:hint="eastAsia" w:ascii="Times New Roman" w:hAnsi="Times New Roman" w:eastAsia="宋体" w:cs="Times New Roman"/>
          <w:kern w:val="2"/>
          <w:sz w:val="21"/>
          <w:szCs w:val="21"/>
          <w:lang w:val="en-US" w:eastAsia="zh-CN" w:bidi="ar"/>
          <w:woUserID w:val="8"/>
        </w:rPr>
        <w:t xml:space="preserve"> </w:t>
      </w:r>
      <w:r>
        <w:rPr>
          <w:rFonts w:hint="eastAsia" w:ascii="宋体" w:hAnsi="宋体" w:eastAsia="宋体" w:cs="宋体"/>
          <w:kern w:val="2"/>
          <w:sz w:val="21"/>
          <w:szCs w:val="21"/>
          <w:lang w:val="en-US" w:eastAsia="zh-CN" w:bidi="ar"/>
          <w:woUserID w:val="8"/>
        </w:rPr>
        <w:t>应急管理应包括应急会商系统，宜通过无人机、现场视频监控、对讲设备等工具，实现突发事件的可视化应急处理。</w:t>
      </w:r>
    </w:p>
    <w:p w14:paraId="48751644">
      <w:pPr>
        <w:pStyle w:val="85"/>
        <w:spacing w:before="312" w:after="312"/>
        <w:rPr>
          <w:highlight w:val="none"/>
        </w:rPr>
      </w:pPr>
      <w:r>
        <w:rPr>
          <w:rFonts w:hint="eastAsia"/>
          <w:highlight w:val="none"/>
        </w:rPr>
        <w:t>数字化档案移交</w:t>
      </w:r>
      <w:bookmarkEnd w:id="98"/>
    </w:p>
    <w:p w14:paraId="278B8AE8">
      <w:pPr>
        <w:keepNext w:val="0"/>
        <w:keepLines w:val="0"/>
        <w:widowControl/>
        <w:numPr>
          <w:ilvl w:val="0"/>
          <w:numId w:val="14"/>
        </w:numPr>
        <w:suppressLineNumbers w:val="0"/>
        <w:spacing w:before="0" w:beforeAutospacing="0" w:after="0" w:afterAutospacing="0"/>
        <w:ind w:left="0" w:right="0" w:firstLine="0"/>
        <w:jc w:val="left"/>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 xml:space="preserve">14.1 </w:t>
      </w:r>
      <w:r>
        <w:rPr>
          <w:rFonts w:hint="eastAsia" w:ascii="宋体" w:hAnsi="宋体" w:eastAsia="宋体" w:cs="宋体"/>
          <w:kern w:val="2"/>
          <w:sz w:val="21"/>
          <w:szCs w:val="21"/>
          <w:lang w:val="en-US" w:eastAsia="zh-CN" w:bidi="ar"/>
          <w:woUserID w:val="8"/>
        </w:rPr>
        <w:t>数字化档案移交应包含文件管理、信息数据管理、数据接口与移交标准等内容。应通过对各系统模块信息的融合与统一管理，实现信息收集、传输与储存功能，挖掘数据价值，形成综合的数据生态。</w:t>
      </w:r>
    </w:p>
    <w:p w14:paraId="09924D32">
      <w:pPr>
        <w:keepNext w:val="0"/>
        <w:keepLines w:val="0"/>
        <w:widowControl/>
        <w:numPr>
          <w:ilvl w:val="0"/>
          <w:numId w:val="14"/>
        </w:numPr>
        <w:suppressLineNumbers w:val="0"/>
        <w:spacing w:before="0" w:beforeAutospacing="0" w:after="0" w:afterAutospacing="0"/>
        <w:ind w:left="0" w:right="0" w:firstLine="0"/>
        <w:jc w:val="left"/>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 xml:space="preserve">14.2 </w:t>
      </w:r>
      <w:r>
        <w:rPr>
          <w:rFonts w:hint="eastAsia" w:ascii="宋体" w:hAnsi="宋体" w:eastAsia="宋体" w:cs="宋体"/>
          <w:kern w:val="2"/>
          <w:sz w:val="21"/>
          <w:szCs w:val="21"/>
          <w:lang w:val="en-US" w:eastAsia="zh-CN" w:bidi="ar"/>
          <w:woUserID w:val="8"/>
        </w:rPr>
        <w:t>文件管理应</w:t>
      </w:r>
      <w:r>
        <w:rPr>
          <w:rFonts w:hint="eastAsia" w:ascii="宋体" w:hAnsi="宋体" w:eastAsia="宋体" w:cs="宋体"/>
          <w:i w:val="0"/>
          <w:iCs w:val="0"/>
          <w:caps w:val="0"/>
          <w:spacing w:val="0"/>
          <w:kern w:val="2"/>
          <w:sz w:val="21"/>
          <w:szCs w:val="21"/>
          <w:lang w:val="en-US" w:eastAsia="zh-CN" w:bidi="ar"/>
          <w:woUserID w:val="8"/>
        </w:rPr>
        <w:t>实现档案资料的电子化，</w:t>
      </w:r>
      <w:r>
        <w:rPr>
          <w:rFonts w:hint="eastAsia" w:ascii="宋体" w:hAnsi="宋体" w:eastAsia="宋体" w:cs="宋体"/>
          <w:kern w:val="2"/>
          <w:sz w:val="21"/>
          <w:szCs w:val="21"/>
          <w:lang w:val="en-US" w:eastAsia="zh-CN" w:bidi="ar"/>
          <w:woUserID w:val="8"/>
        </w:rPr>
        <w:t>支持信息共享、在线查看。</w:t>
      </w:r>
    </w:p>
    <w:p w14:paraId="701CF3F7">
      <w:pPr>
        <w:keepNext w:val="0"/>
        <w:keepLines w:val="0"/>
        <w:widowControl/>
        <w:numPr>
          <w:ilvl w:val="0"/>
          <w:numId w:val="14"/>
        </w:numPr>
        <w:suppressLineNumbers w:val="0"/>
        <w:spacing w:before="0" w:beforeAutospacing="0" w:after="0" w:afterAutospacing="0"/>
        <w:ind w:left="0" w:right="0" w:firstLine="0"/>
        <w:jc w:val="left"/>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 xml:space="preserve">14.3 </w:t>
      </w:r>
      <w:r>
        <w:rPr>
          <w:rFonts w:hint="eastAsia" w:ascii="宋体" w:hAnsi="宋体" w:eastAsia="宋体" w:cs="宋体"/>
          <w:kern w:val="2"/>
          <w:sz w:val="21"/>
          <w:szCs w:val="21"/>
          <w:lang w:val="en-US" w:eastAsia="zh-CN" w:bidi="ar"/>
          <w:woUserID w:val="8"/>
        </w:rPr>
        <w:t>信息数据管理应支持文件、三维可视化模型、设施对象的关联查看。</w:t>
      </w:r>
    </w:p>
    <w:p w14:paraId="482A5E80">
      <w:pPr>
        <w:keepNext w:val="0"/>
        <w:keepLines w:val="0"/>
        <w:widowControl/>
        <w:numPr>
          <w:ilvl w:val="0"/>
          <w:numId w:val="14"/>
        </w:numPr>
        <w:suppressLineNumbers w:val="0"/>
        <w:spacing w:before="0" w:beforeAutospacing="0" w:after="0" w:afterAutospacing="0"/>
        <w:ind w:left="0" w:right="0" w:firstLine="0"/>
        <w:jc w:val="left"/>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 xml:space="preserve">14.4 </w:t>
      </w:r>
      <w:r>
        <w:rPr>
          <w:rFonts w:hint="eastAsia" w:ascii="宋体" w:hAnsi="宋体" w:eastAsia="宋体" w:cs="宋体"/>
          <w:kern w:val="2"/>
          <w:sz w:val="21"/>
          <w:szCs w:val="21"/>
          <w:lang w:val="en-US" w:eastAsia="zh-CN" w:bidi="ar"/>
          <w:woUserID w:val="8"/>
        </w:rPr>
        <w:t>信息数据管理应支持数据同步备份，保持数据一致性，具备可恢复能力。</w:t>
      </w:r>
    </w:p>
    <w:p w14:paraId="628BCEB1">
      <w:pPr>
        <w:keepNext w:val="0"/>
        <w:keepLines w:val="0"/>
        <w:widowControl/>
        <w:numPr>
          <w:ilvl w:val="0"/>
          <w:numId w:val="14"/>
        </w:numPr>
        <w:suppressLineNumbers w:val="0"/>
        <w:spacing w:before="0" w:beforeAutospacing="0" w:after="0" w:afterAutospacing="0"/>
        <w:ind w:left="0" w:right="0" w:firstLine="0"/>
        <w:jc w:val="left"/>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 xml:space="preserve">14.5 </w:t>
      </w:r>
      <w:r>
        <w:rPr>
          <w:rFonts w:hint="eastAsia" w:ascii="宋体" w:hAnsi="宋体" w:eastAsia="宋体" w:cs="宋体"/>
          <w:kern w:val="2"/>
          <w:sz w:val="21"/>
          <w:szCs w:val="21"/>
          <w:lang w:val="en-US" w:eastAsia="zh-CN" w:bidi="ar"/>
          <w:woUserID w:val="8"/>
        </w:rPr>
        <w:t>信息数据管理</w:t>
      </w:r>
      <w:r>
        <w:rPr>
          <w:rFonts w:hint="eastAsia" w:ascii="宋体" w:hAnsi="宋体" w:eastAsia="宋体" w:cs="宋体"/>
          <w:b w:val="0"/>
          <w:bCs w:val="0"/>
          <w:kern w:val="2"/>
          <w:sz w:val="21"/>
          <w:szCs w:val="21"/>
          <w:lang w:val="en-US" w:eastAsia="zh-CN" w:bidi="ar"/>
          <w:woUserID w:val="8"/>
        </w:rPr>
        <w:t>应建立完善的安全防护体系，包括身份认证与权限设置，以及防止恶意攻击、病毒防护、数据灾难备份等措施。</w:t>
      </w:r>
    </w:p>
    <w:p w14:paraId="6D4DCDE9">
      <w:pPr>
        <w:keepNext w:val="0"/>
        <w:keepLines w:val="0"/>
        <w:widowControl/>
        <w:numPr>
          <w:ilvl w:val="0"/>
          <w:numId w:val="14"/>
        </w:numPr>
        <w:suppressLineNumbers w:val="0"/>
        <w:spacing w:before="0" w:beforeAutospacing="0" w:after="0" w:afterAutospacing="0"/>
        <w:ind w:left="0" w:right="0" w:firstLine="0"/>
        <w:jc w:val="left"/>
        <w:rPr>
          <w:rFonts w:hint="eastAsia" w:ascii="Times New Roman" w:hAnsi="Times New Roman" w:eastAsia="宋体" w:cs="Times New Roman"/>
          <w:kern w:val="2"/>
          <w:sz w:val="21"/>
          <w:szCs w:val="21"/>
          <w:woUserID w:val="8"/>
        </w:rPr>
      </w:pPr>
      <w:r>
        <w:rPr>
          <w:rFonts w:hint="default" w:ascii="Times New Roman" w:hAnsi="Times New Roman" w:eastAsia="宋体" w:cs="Times New Roman"/>
          <w:kern w:val="2"/>
          <w:sz w:val="21"/>
          <w:szCs w:val="21"/>
          <w:lang w:val="en-US" w:eastAsia="zh-CN" w:bidi="ar"/>
          <w:woUserID w:val="8"/>
        </w:rPr>
        <w:t xml:space="preserve">14.6 </w:t>
      </w:r>
      <w:r>
        <w:rPr>
          <w:rFonts w:hint="eastAsia" w:ascii="宋体" w:hAnsi="宋体" w:eastAsia="宋体" w:cs="宋体"/>
          <w:kern w:val="2"/>
          <w:sz w:val="21"/>
          <w:szCs w:val="21"/>
          <w:lang w:val="en-US" w:eastAsia="zh-CN" w:bidi="ar"/>
          <w:woUserID w:val="8"/>
        </w:rPr>
        <w:t>监控视频数据和其他数据存储应根据档案管理规定的存储时间进行留存。</w:t>
      </w:r>
    </w:p>
    <w:p w14:paraId="5AA75333">
      <w:pPr>
        <w:keepNext w:val="0"/>
        <w:keepLines w:val="0"/>
        <w:widowControl/>
        <w:numPr>
          <w:ilvl w:val="0"/>
          <w:numId w:val="14"/>
        </w:numPr>
        <w:suppressLineNumbers w:val="0"/>
        <w:spacing w:before="0" w:beforeAutospacing="0" w:after="0" w:afterAutospacing="0"/>
        <w:ind w:left="0" w:right="0" w:firstLine="0"/>
        <w:jc w:val="left"/>
        <w:rPr>
          <w:woUserID w:val="8"/>
        </w:rPr>
      </w:pPr>
      <w:r>
        <w:rPr>
          <w:rFonts w:hint="default" w:ascii="Times New Roman" w:hAnsi="Times New Roman" w:eastAsia="宋体" w:cs="Times New Roman"/>
          <w:kern w:val="2"/>
          <w:sz w:val="21"/>
          <w:szCs w:val="21"/>
          <w:lang w:val="en-US" w:eastAsia="zh-CN" w:bidi="ar"/>
          <w:woUserID w:val="8"/>
        </w:rPr>
        <w:t xml:space="preserve">14.7 </w:t>
      </w:r>
      <w:r>
        <w:rPr>
          <w:rFonts w:hint="eastAsia" w:ascii="宋体" w:hAnsi="宋体" w:eastAsia="宋体" w:cs="宋体"/>
          <w:kern w:val="2"/>
          <w:sz w:val="21"/>
          <w:szCs w:val="21"/>
          <w:lang w:val="en-US" w:eastAsia="zh-CN" w:bidi="ar"/>
          <w:woUserID w:val="8"/>
        </w:rPr>
        <w:t>应制订统一的数据接口与移交标准，规范移交数据的格式及结构，确保移交的信息数据符合标准要求，实现数据的有效集成与共享。</w:t>
      </w:r>
    </w:p>
    <w:p w14:paraId="76F1042B">
      <w:pPr>
        <w:keepNext w:val="0"/>
        <w:keepLines w:val="0"/>
        <w:widowControl/>
        <w:numPr>
          <w:ilvl w:val="0"/>
          <w:numId w:val="14"/>
        </w:numPr>
        <w:suppressLineNumbers w:val="0"/>
        <w:spacing w:before="0" w:beforeAutospacing="0" w:after="0" w:afterAutospacing="0"/>
        <w:ind w:left="0" w:right="0" w:firstLine="0"/>
        <w:jc w:val="left"/>
        <w:rPr>
          <w:rFonts w:hint="default" w:ascii="Times New Roman" w:hAnsi="Times New Roman" w:eastAsia="宋体" w:cs="Times New Roman"/>
          <w:kern w:val="2"/>
          <w:sz w:val="21"/>
          <w:szCs w:val="21"/>
          <w:woUserID w:val="8"/>
        </w:rPr>
        <w:sectPr>
          <w:footerReference r:id="rId6" w:type="default"/>
          <w:pgSz w:w="12242" w:h="15842"/>
          <w:pgMar w:top="1440" w:right="1800" w:bottom="1440" w:left="1800" w:header="851" w:footer="992" w:gutter="0"/>
          <w:cols w:space="425" w:num="1"/>
          <w:docGrid w:type="lines" w:linePitch="312" w:charSpace="0"/>
        </w:sectPr>
      </w:pPr>
    </w:p>
    <w:p w14:paraId="5EF4C939">
      <w:pPr>
        <w:keepNext/>
        <w:widowControl/>
        <w:shd w:val="clear" w:color="FFFFFF" w:fill="FFFFFF"/>
        <w:tabs>
          <w:tab w:val="left" w:pos="6405"/>
        </w:tabs>
        <w:spacing w:before="640" w:after="280"/>
        <w:jc w:val="center"/>
        <w:outlineLvl w:val="0"/>
        <w:rPr>
          <w:rFonts w:ascii="黑体" w:hAnsi="Times New Roman" w:eastAsia="黑体"/>
          <w:kern w:val="0"/>
          <w:szCs w:val="20"/>
          <w:highlight w:val="none"/>
        </w:rPr>
      </w:pPr>
      <w:bookmarkStart w:id="99" w:name="_Toc112366097"/>
      <w:bookmarkStart w:id="100" w:name="_Toc190350378"/>
      <w:bookmarkStart w:id="101" w:name="_Toc175671089"/>
      <w:bookmarkStart w:id="102" w:name="_Toc6315"/>
      <w:bookmarkStart w:id="103" w:name="_Toc1052"/>
      <w:bookmarkStart w:id="104" w:name="_Toc6721"/>
      <w:bookmarkStart w:id="105" w:name="_Toc4742"/>
      <w:bookmarkStart w:id="106" w:name="_Toc27449"/>
      <w:bookmarkStart w:id="107" w:name="_Toc28873"/>
      <w:r>
        <w:rPr>
          <w:rFonts w:hint="eastAsia" w:ascii="黑体" w:hAnsi="Times New Roman" w:eastAsia="黑体"/>
          <w:kern w:val="0"/>
          <w:szCs w:val="20"/>
          <w:highlight w:val="none"/>
        </w:rPr>
        <w:t>附  录  A</w:t>
      </w:r>
      <w:r>
        <w:rPr>
          <w:rFonts w:ascii="黑体" w:hAnsi="Times New Roman" w:eastAsia="黑体"/>
          <w:kern w:val="0"/>
          <w:szCs w:val="20"/>
          <w:highlight w:val="none"/>
        </w:rPr>
        <w:br w:type="textWrapping"/>
      </w:r>
      <w:r>
        <w:rPr>
          <w:rFonts w:hint="eastAsia" w:ascii="黑体" w:hAnsi="Times New Roman" w:eastAsia="黑体"/>
          <w:kern w:val="0"/>
          <w:szCs w:val="20"/>
          <w:highlight w:val="none"/>
        </w:rPr>
        <w:t>（规范性）</w:t>
      </w:r>
      <w:r>
        <w:rPr>
          <w:rFonts w:ascii="黑体" w:hAnsi="Times New Roman" w:eastAsia="黑体"/>
          <w:kern w:val="0"/>
          <w:szCs w:val="20"/>
          <w:highlight w:val="none"/>
        </w:rPr>
        <w:br w:type="textWrapping"/>
      </w:r>
      <w:bookmarkEnd w:id="99"/>
      <w:r>
        <w:rPr>
          <w:rFonts w:hint="eastAsia" w:ascii="黑体" w:hAnsi="Times New Roman" w:eastAsia="黑体"/>
          <w:kern w:val="0"/>
          <w:szCs w:val="21"/>
          <w:highlight w:val="none"/>
        </w:rPr>
        <w:t>典型应用与系统架构</w:t>
      </w:r>
      <w:bookmarkEnd w:id="100"/>
      <w:bookmarkEnd w:id="101"/>
      <w:bookmarkEnd w:id="102"/>
      <w:bookmarkEnd w:id="103"/>
      <w:bookmarkEnd w:id="104"/>
      <w:bookmarkEnd w:id="105"/>
      <w:bookmarkEnd w:id="106"/>
      <w:bookmarkEnd w:id="107"/>
    </w:p>
    <w:p w14:paraId="25437F48">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1" w:firstLineChars="100"/>
        <w:jc w:val="left"/>
        <w:textAlignment w:val="auto"/>
        <w:rPr>
          <w:rFonts w:ascii="宋体" w:hAnsi="Times New Roman" w:cs="宋体"/>
          <w:b/>
          <w:kern w:val="0"/>
          <w:szCs w:val="21"/>
          <w:highlight w:val="none"/>
        </w:rPr>
      </w:pPr>
      <w:r>
        <w:rPr>
          <w:rFonts w:ascii="宋体" w:hAnsi="Times New Roman" w:cs="宋体"/>
          <w:b/>
          <w:kern w:val="0"/>
          <w:szCs w:val="21"/>
          <w:highlight w:val="none"/>
        </w:rPr>
        <w:t>A.1</w:t>
      </w:r>
      <w:r>
        <w:rPr>
          <w:rFonts w:hint="eastAsia" w:ascii="宋体" w:hAnsi="Times New Roman" w:cs="宋体"/>
          <w:b/>
          <w:kern w:val="0"/>
          <w:szCs w:val="21"/>
          <w:highlight w:val="none"/>
        </w:rPr>
        <w:t>全场人员实名制管理及定位系统</w:t>
      </w:r>
    </w:p>
    <w:p w14:paraId="0F526252">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1" w:firstLineChars="100"/>
        <w:jc w:val="left"/>
        <w:textAlignment w:val="auto"/>
        <w:rPr>
          <w:rFonts w:ascii="宋体" w:hAnsi="Times New Roman" w:cs="宋体"/>
          <w:b/>
          <w:kern w:val="0"/>
          <w:szCs w:val="21"/>
          <w:highlight w:val="none"/>
        </w:rPr>
      </w:pPr>
      <w:r>
        <w:rPr>
          <w:rFonts w:hint="eastAsia" w:ascii="宋体" w:hAnsi="Times New Roman" w:cs="宋体"/>
          <w:b/>
          <w:kern w:val="0"/>
          <w:szCs w:val="21"/>
          <w:highlight w:val="none"/>
        </w:rPr>
        <w:t>A</w:t>
      </w:r>
      <w:r>
        <w:rPr>
          <w:rFonts w:ascii="宋体" w:hAnsi="Times New Roman" w:cs="宋体"/>
          <w:b/>
          <w:kern w:val="0"/>
          <w:szCs w:val="21"/>
          <w:highlight w:val="none"/>
        </w:rPr>
        <w:t>.1.1</w:t>
      </w:r>
      <w:r>
        <w:rPr>
          <w:rFonts w:hint="eastAsia" w:ascii="宋体" w:hAnsi="Times New Roman" w:cs="宋体"/>
          <w:b/>
          <w:kern w:val="0"/>
          <w:szCs w:val="21"/>
          <w:highlight w:val="none"/>
        </w:rPr>
        <w:t>全场人员实名制管理系统</w:t>
      </w:r>
    </w:p>
    <w:p w14:paraId="63FCB0DD">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A.1.1.1通过人脸、虹膜等身份识别技术进行人员实名制进出场管理和考勤。</w:t>
      </w:r>
    </w:p>
    <w:p w14:paraId="659A71D0">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A.1.1.</w:t>
      </w:r>
      <w:r>
        <w:rPr>
          <w:rFonts w:hint="eastAsia" w:ascii="宋体" w:hAnsi="Times New Roman" w:cs="宋体"/>
          <w:kern w:val="0"/>
          <w:szCs w:val="21"/>
          <w:highlight w:val="none"/>
          <w:lang w:val="en-US" w:eastAsia="zh-CN"/>
        </w:rPr>
        <w:t>2</w:t>
      </w:r>
      <w:r>
        <w:rPr>
          <w:rFonts w:hint="eastAsia" w:ascii="宋体" w:hAnsi="Times New Roman" w:cs="宋体"/>
          <w:kern w:val="0"/>
          <w:szCs w:val="21"/>
          <w:highlight w:val="none"/>
        </w:rPr>
        <w:t>结合管理需要配置视频监控系统、考勤管理系统、培训管理系统等进行管理联动。</w:t>
      </w:r>
    </w:p>
    <w:p w14:paraId="080C85B1">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1" w:firstLineChars="100"/>
        <w:jc w:val="left"/>
        <w:textAlignment w:val="auto"/>
        <w:rPr>
          <w:rFonts w:ascii="宋体" w:hAnsi="Times New Roman" w:cs="宋体"/>
          <w:b/>
          <w:kern w:val="0"/>
          <w:szCs w:val="21"/>
          <w:highlight w:val="none"/>
        </w:rPr>
      </w:pPr>
      <w:r>
        <w:rPr>
          <w:rFonts w:hint="eastAsia" w:ascii="宋体" w:hAnsi="Times New Roman" w:cs="宋体"/>
          <w:b/>
          <w:kern w:val="0"/>
          <w:szCs w:val="21"/>
          <w:highlight w:val="none"/>
        </w:rPr>
        <w:t>A</w:t>
      </w:r>
      <w:r>
        <w:rPr>
          <w:rFonts w:ascii="宋体" w:hAnsi="Times New Roman" w:cs="宋体"/>
          <w:b/>
          <w:kern w:val="0"/>
          <w:szCs w:val="21"/>
          <w:highlight w:val="none"/>
        </w:rPr>
        <w:t>.1.2</w:t>
      </w:r>
      <w:r>
        <w:rPr>
          <w:rFonts w:hint="eastAsia" w:ascii="宋体" w:hAnsi="Times New Roman" w:cs="宋体"/>
          <w:b/>
          <w:kern w:val="0"/>
          <w:szCs w:val="21"/>
          <w:highlight w:val="none"/>
        </w:rPr>
        <w:t>定位系统</w:t>
      </w:r>
    </w:p>
    <w:p w14:paraId="5FD6D338">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A.1.2.1结合定位系统进行室外定位，结合蓝牙网关、信标等辅助进行室内定位。</w:t>
      </w:r>
    </w:p>
    <w:p w14:paraId="4204FF0D">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A.1.2.2具备反映人员、设备、车辆等所在位置、进入施工区域时间和停留时间的功能。</w:t>
      </w:r>
    </w:p>
    <w:p w14:paraId="255E2131">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A.1.2.3配置历史轨迹追踪、电子围栏区域绘制、危险区域报警、倒地监测、语音对讲等功能。</w:t>
      </w:r>
    </w:p>
    <w:p w14:paraId="3DC54E1B">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1" w:firstLineChars="100"/>
        <w:jc w:val="left"/>
        <w:textAlignment w:val="auto"/>
        <w:rPr>
          <w:rFonts w:ascii="宋体" w:hAnsi="Times New Roman" w:cs="宋体"/>
          <w:b/>
          <w:kern w:val="0"/>
          <w:szCs w:val="21"/>
          <w:highlight w:val="none"/>
        </w:rPr>
      </w:pPr>
      <w:r>
        <w:rPr>
          <w:rFonts w:hint="eastAsia" w:ascii="宋体" w:hAnsi="Times New Roman" w:cs="宋体"/>
          <w:b/>
          <w:kern w:val="0"/>
          <w:szCs w:val="21"/>
          <w:highlight w:val="none"/>
        </w:rPr>
        <w:t>A</w:t>
      </w:r>
      <w:r>
        <w:rPr>
          <w:rFonts w:ascii="宋体" w:hAnsi="Times New Roman" w:cs="宋体"/>
          <w:b/>
          <w:kern w:val="0"/>
          <w:szCs w:val="21"/>
          <w:highlight w:val="none"/>
        </w:rPr>
        <w:t>.</w:t>
      </w:r>
      <w:r>
        <w:rPr>
          <w:rFonts w:hint="eastAsia" w:ascii="宋体" w:hAnsi="Times New Roman" w:cs="宋体"/>
          <w:b/>
          <w:kern w:val="0"/>
          <w:szCs w:val="21"/>
          <w:highlight w:val="none"/>
        </w:rPr>
        <w:t>2全场视频监控系统</w:t>
      </w:r>
    </w:p>
    <w:p w14:paraId="43C01281">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w:t>
      </w:r>
      <w:r>
        <w:rPr>
          <w:rFonts w:ascii="宋体" w:hAnsi="Times New Roman" w:cs="宋体"/>
          <w:kern w:val="0"/>
          <w:szCs w:val="21"/>
          <w:highlight w:val="none"/>
        </w:rPr>
        <w:t>.</w:t>
      </w:r>
      <w:r>
        <w:rPr>
          <w:rFonts w:hint="eastAsia" w:ascii="宋体" w:hAnsi="Times New Roman" w:cs="宋体"/>
          <w:kern w:val="0"/>
          <w:szCs w:val="21"/>
          <w:highlight w:val="none"/>
        </w:rPr>
        <w:t>2</w:t>
      </w:r>
      <w:r>
        <w:rPr>
          <w:rFonts w:ascii="宋体" w:hAnsi="Times New Roman" w:cs="宋体"/>
          <w:kern w:val="0"/>
          <w:szCs w:val="21"/>
          <w:highlight w:val="none"/>
        </w:rPr>
        <w:t>.</w:t>
      </w:r>
      <w:r>
        <w:rPr>
          <w:rFonts w:hint="eastAsia" w:ascii="宋体" w:hAnsi="Times New Roman" w:cs="宋体"/>
          <w:kern w:val="0"/>
          <w:szCs w:val="21"/>
          <w:highlight w:val="none"/>
        </w:rPr>
        <w:t>1施工现场视频监控摄像机的数量和位置布设符合JGJ/T 292的规定。</w:t>
      </w:r>
    </w:p>
    <w:p w14:paraId="423C00E1">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w:t>
      </w:r>
      <w:r>
        <w:rPr>
          <w:rFonts w:ascii="宋体" w:hAnsi="Times New Roman" w:cs="宋体"/>
          <w:kern w:val="0"/>
          <w:szCs w:val="21"/>
          <w:highlight w:val="none"/>
        </w:rPr>
        <w:t>.</w:t>
      </w:r>
      <w:r>
        <w:rPr>
          <w:rFonts w:hint="eastAsia" w:ascii="宋体" w:hAnsi="Times New Roman" w:cs="宋体"/>
          <w:kern w:val="0"/>
          <w:szCs w:val="21"/>
          <w:highlight w:val="none"/>
        </w:rPr>
        <w:t>2</w:t>
      </w:r>
      <w:r>
        <w:rPr>
          <w:rFonts w:ascii="宋体" w:hAnsi="Times New Roman" w:cs="宋体"/>
          <w:kern w:val="0"/>
          <w:szCs w:val="21"/>
          <w:highlight w:val="none"/>
        </w:rPr>
        <w:t>.</w:t>
      </w:r>
      <w:r>
        <w:rPr>
          <w:rFonts w:hint="eastAsia" w:ascii="宋体" w:hAnsi="Times New Roman" w:cs="宋体"/>
          <w:kern w:val="0"/>
          <w:szCs w:val="21"/>
          <w:highlight w:val="none"/>
        </w:rPr>
        <w:t>2视频监控摄像机按照外形分为枪式摄像机、球型摄像机、半球摄像机，根据用途及场景选择相应摄像机。如：固定监控区域采用枪式摄像机或球式摄像机，监控大范围场景的区域选用球型摄像机，办公区内部安装半球型摄像机。</w:t>
      </w:r>
    </w:p>
    <w:p w14:paraId="06560CBC">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w:t>
      </w:r>
      <w:r>
        <w:rPr>
          <w:rFonts w:ascii="宋体" w:hAnsi="Times New Roman" w:cs="宋体"/>
          <w:kern w:val="0"/>
          <w:szCs w:val="21"/>
          <w:highlight w:val="none"/>
        </w:rPr>
        <w:t>.</w:t>
      </w:r>
      <w:r>
        <w:rPr>
          <w:rFonts w:hint="eastAsia" w:ascii="宋体" w:hAnsi="Times New Roman" w:cs="宋体"/>
          <w:kern w:val="0"/>
          <w:szCs w:val="21"/>
          <w:highlight w:val="none"/>
        </w:rPr>
        <w:t>2</w:t>
      </w:r>
      <w:r>
        <w:rPr>
          <w:rFonts w:ascii="宋体" w:hAnsi="Times New Roman" w:cs="宋体"/>
          <w:kern w:val="0"/>
          <w:szCs w:val="21"/>
          <w:highlight w:val="none"/>
        </w:rPr>
        <w:t>.</w:t>
      </w:r>
      <w:r>
        <w:rPr>
          <w:rFonts w:hint="eastAsia" w:ascii="宋体" w:hAnsi="Times New Roman" w:cs="宋体"/>
          <w:kern w:val="0"/>
          <w:szCs w:val="21"/>
          <w:highlight w:val="none"/>
        </w:rPr>
        <w:t>3施工现场重点监控区域选用具备红外功能的摄像机，满足重点区域低照度时的监控质量。</w:t>
      </w:r>
    </w:p>
    <w:p w14:paraId="15C0368C">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w:t>
      </w:r>
      <w:r>
        <w:rPr>
          <w:rFonts w:ascii="宋体" w:hAnsi="Times New Roman" w:cs="宋体"/>
          <w:kern w:val="0"/>
          <w:szCs w:val="21"/>
          <w:highlight w:val="none"/>
        </w:rPr>
        <w:t>.</w:t>
      </w:r>
      <w:r>
        <w:rPr>
          <w:rFonts w:hint="eastAsia" w:ascii="宋体" w:hAnsi="Times New Roman" w:cs="宋体"/>
          <w:kern w:val="0"/>
          <w:szCs w:val="21"/>
          <w:highlight w:val="none"/>
        </w:rPr>
        <w:t>2</w:t>
      </w:r>
      <w:r>
        <w:rPr>
          <w:rFonts w:ascii="宋体" w:hAnsi="Times New Roman" w:cs="宋体"/>
          <w:kern w:val="0"/>
          <w:szCs w:val="21"/>
          <w:highlight w:val="none"/>
        </w:rPr>
        <w:t>.</w:t>
      </w:r>
      <w:r>
        <w:rPr>
          <w:rFonts w:hint="eastAsia" w:ascii="宋体" w:hAnsi="Times New Roman" w:cs="宋体"/>
          <w:kern w:val="0"/>
          <w:szCs w:val="21"/>
          <w:highlight w:val="none"/>
        </w:rPr>
        <w:t>4显示设备安装在空间较为宽敞的云平台驾驶舱房间或办公大厅，同时做好防雷接地措施。</w:t>
      </w:r>
    </w:p>
    <w:p w14:paraId="73585788">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w:t>
      </w:r>
      <w:r>
        <w:rPr>
          <w:rFonts w:ascii="宋体" w:hAnsi="Times New Roman" w:cs="宋体"/>
          <w:kern w:val="0"/>
          <w:szCs w:val="21"/>
          <w:highlight w:val="none"/>
        </w:rPr>
        <w:t>.</w:t>
      </w:r>
      <w:r>
        <w:rPr>
          <w:rFonts w:hint="eastAsia" w:ascii="宋体" w:hAnsi="Times New Roman" w:cs="宋体"/>
          <w:kern w:val="0"/>
          <w:szCs w:val="21"/>
          <w:highlight w:val="none"/>
        </w:rPr>
        <w:t>2</w:t>
      </w:r>
      <w:r>
        <w:rPr>
          <w:rFonts w:ascii="宋体" w:hAnsi="Times New Roman" w:cs="宋体"/>
          <w:kern w:val="0"/>
          <w:szCs w:val="21"/>
          <w:highlight w:val="none"/>
        </w:rPr>
        <w:t>.</w:t>
      </w:r>
      <w:r>
        <w:rPr>
          <w:rFonts w:hint="eastAsia" w:ascii="宋体" w:hAnsi="Times New Roman" w:cs="宋体"/>
          <w:kern w:val="0"/>
          <w:szCs w:val="21"/>
          <w:highlight w:val="none"/>
        </w:rPr>
        <w:t>5在施工现场的作业区域、料场、设备存放场地、厂区出入口、围墙、生活区、办公区等重点区域设置监控摄像机，重点监控区域无监控盲区。</w:t>
      </w:r>
    </w:p>
    <w:p w14:paraId="134D86B9">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w:t>
      </w:r>
      <w:r>
        <w:rPr>
          <w:rFonts w:ascii="宋体" w:hAnsi="Times New Roman" w:cs="宋体"/>
          <w:kern w:val="0"/>
          <w:szCs w:val="21"/>
          <w:highlight w:val="none"/>
        </w:rPr>
        <w:t>.</w:t>
      </w:r>
      <w:r>
        <w:rPr>
          <w:rFonts w:hint="eastAsia" w:ascii="宋体" w:hAnsi="Times New Roman" w:cs="宋体"/>
          <w:kern w:val="0"/>
          <w:szCs w:val="21"/>
          <w:highlight w:val="none"/>
        </w:rPr>
        <w:t>2</w:t>
      </w:r>
      <w:r>
        <w:rPr>
          <w:rFonts w:ascii="宋体" w:hAnsi="Times New Roman" w:cs="宋体"/>
          <w:kern w:val="0"/>
          <w:szCs w:val="21"/>
          <w:highlight w:val="none"/>
        </w:rPr>
        <w:t>.</w:t>
      </w:r>
      <w:r>
        <w:rPr>
          <w:rFonts w:hint="eastAsia" w:ascii="宋体" w:hAnsi="Times New Roman" w:cs="宋体"/>
          <w:kern w:val="0"/>
          <w:szCs w:val="21"/>
          <w:highlight w:val="none"/>
        </w:rPr>
        <w:t>6监控管理系统具备远程管理功能，在移动客户端或计算机客户端对监控摄像头进行远程控制。</w:t>
      </w:r>
    </w:p>
    <w:p w14:paraId="2F271ACF">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554" w:leftChars="164" w:right="215" w:hanging="210" w:hangingChars="100"/>
        <w:jc w:val="left"/>
        <w:textAlignment w:val="auto"/>
        <w:rPr>
          <w:rFonts w:ascii="宋体" w:hAnsi="Times New Roman" w:cs="宋体"/>
          <w:kern w:val="0"/>
          <w:szCs w:val="21"/>
          <w:highlight w:val="none"/>
        </w:rPr>
      </w:pPr>
      <w:r>
        <w:rPr>
          <w:rFonts w:ascii="宋体" w:hAnsi="Times New Roman" w:cs="宋体"/>
          <w:kern w:val="0"/>
          <w:szCs w:val="21"/>
          <w:highlight w:val="none"/>
        </w:rPr>
        <w:t>A.2.</w:t>
      </w:r>
      <w:r>
        <w:rPr>
          <w:rFonts w:hint="eastAsia" w:ascii="宋体" w:hAnsi="Times New Roman" w:cs="宋体"/>
          <w:kern w:val="0"/>
          <w:szCs w:val="21"/>
          <w:highlight w:val="none"/>
        </w:rPr>
        <w:t>7监控管理系统具备对监控视频的切换、处理、存储、检索和录像回放等功能。</w:t>
      </w:r>
    </w:p>
    <w:p w14:paraId="35A1BC07">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A.2.8视频监控系统违章行为识别，包含吸烟监测、安全帽监测、安全带监测、人员倒地监测、翻越围栏、危险区域入侵等。</w:t>
      </w:r>
    </w:p>
    <w:p w14:paraId="1BFB5FD9">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1" w:firstLineChars="100"/>
        <w:jc w:val="left"/>
        <w:textAlignment w:val="auto"/>
        <w:rPr>
          <w:rFonts w:ascii="宋体" w:hAnsi="Times New Roman" w:cs="宋体"/>
          <w:b/>
          <w:kern w:val="0"/>
          <w:szCs w:val="21"/>
          <w:highlight w:val="none"/>
        </w:rPr>
      </w:pPr>
      <w:r>
        <w:rPr>
          <w:rFonts w:hint="eastAsia" w:ascii="宋体" w:hAnsi="Times New Roman" w:cs="宋体"/>
          <w:b/>
          <w:kern w:val="0"/>
          <w:szCs w:val="21"/>
          <w:highlight w:val="none"/>
        </w:rPr>
        <w:t>A</w:t>
      </w:r>
      <w:r>
        <w:rPr>
          <w:rFonts w:ascii="宋体" w:hAnsi="Times New Roman" w:cs="宋体"/>
          <w:b/>
          <w:kern w:val="0"/>
          <w:szCs w:val="21"/>
          <w:highlight w:val="none"/>
        </w:rPr>
        <w:t>.</w:t>
      </w:r>
      <w:r>
        <w:rPr>
          <w:rFonts w:hint="eastAsia" w:ascii="宋体" w:hAnsi="Times New Roman" w:cs="宋体"/>
          <w:b/>
          <w:kern w:val="0"/>
          <w:szCs w:val="21"/>
          <w:highlight w:val="none"/>
        </w:rPr>
        <w:t>3全场环境监测系统</w:t>
      </w:r>
    </w:p>
    <w:p w14:paraId="2CA57585">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A.3.</w:t>
      </w:r>
      <w:r>
        <w:rPr>
          <w:rFonts w:ascii="宋体" w:hAnsi="Times New Roman" w:cs="宋体"/>
          <w:kern w:val="0"/>
          <w:szCs w:val="21"/>
          <w:highlight w:val="none"/>
        </w:rPr>
        <w:t>1</w:t>
      </w:r>
      <w:r>
        <w:rPr>
          <w:rFonts w:hint="eastAsia" w:ascii="宋体" w:hAnsi="Times New Roman" w:cs="宋体"/>
          <w:kern w:val="0"/>
          <w:szCs w:val="21"/>
          <w:highlight w:val="none"/>
        </w:rPr>
        <w:t>全场环境监测系统具备环境信息监测、监测数据分析、监测数据显示、预警提示等功能。</w:t>
      </w:r>
    </w:p>
    <w:p w14:paraId="77DD039D">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A.3.2全场环境监测设备的部署方式主要分为可移动监测设备和固定监测设备。固定式环境监测设备采用有线传输方式，可移动监测设备采用无线传输方式。</w:t>
      </w:r>
    </w:p>
    <w:p w14:paraId="53506DAB">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A.3.3环境监测系统具备数据处理分析及预警提示功能，当监测到的环境数据超标时及时预警提示。</w:t>
      </w:r>
    </w:p>
    <w:p w14:paraId="3C883096">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A.3.4布置在施工现场的环境监测设备具备监测数据实时显示功能，如：PM2.5浓度、PM10浓度、有毒有害气体浓度、风向、风速、温度、噪声值等。</w:t>
      </w:r>
    </w:p>
    <w:p w14:paraId="38AC8538">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A.3.5在计算机客户端显示实时监测信息及监测数据分析结果。</w:t>
      </w:r>
    </w:p>
    <w:p w14:paraId="4BB3B209">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555" w:leftChars="164" w:right="215" w:hanging="211" w:hangingChars="100"/>
        <w:jc w:val="left"/>
        <w:textAlignment w:val="auto"/>
        <w:rPr>
          <w:rFonts w:ascii="宋体" w:hAnsi="Times New Roman" w:cs="宋体"/>
          <w:b/>
          <w:kern w:val="0"/>
          <w:szCs w:val="21"/>
          <w:highlight w:val="none"/>
        </w:rPr>
      </w:pPr>
      <w:r>
        <w:rPr>
          <w:rFonts w:hint="eastAsia" w:ascii="宋体" w:hAnsi="Times New Roman" w:cs="宋体"/>
          <w:b/>
          <w:kern w:val="0"/>
          <w:szCs w:val="21"/>
          <w:highlight w:val="none"/>
        </w:rPr>
        <w:t>A</w:t>
      </w:r>
      <w:r>
        <w:rPr>
          <w:rFonts w:ascii="宋体" w:hAnsi="Times New Roman" w:cs="宋体"/>
          <w:b/>
          <w:kern w:val="0"/>
          <w:szCs w:val="21"/>
          <w:highlight w:val="none"/>
        </w:rPr>
        <w:t>.</w:t>
      </w:r>
      <w:r>
        <w:rPr>
          <w:rFonts w:hint="eastAsia" w:ascii="宋体" w:hAnsi="Times New Roman" w:cs="宋体"/>
          <w:b/>
          <w:kern w:val="0"/>
          <w:szCs w:val="21"/>
          <w:highlight w:val="none"/>
        </w:rPr>
        <w:t>4全场智能巡查</w:t>
      </w:r>
    </w:p>
    <w:p w14:paraId="2C50A6D6">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w:t>
      </w:r>
      <w:r>
        <w:rPr>
          <w:rFonts w:ascii="宋体" w:hAnsi="Times New Roman" w:cs="宋体"/>
          <w:kern w:val="0"/>
          <w:szCs w:val="21"/>
          <w:highlight w:val="none"/>
        </w:rPr>
        <w:t>.</w:t>
      </w:r>
      <w:r>
        <w:rPr>
          <w:rFonts w:hint="eastAsia" w:ascii="宋体" w:hAnsi="Times New Roman" w:cs="宋体"/>
          <w:kern w:val="0"/>
          <w:szCs w:val="21"/>
          <w:highlight w:val="none"/>
        </w:rPr>
        <w:t>4.1通过信息采集设备收集现场视频、图像、音频、文本、空间位置、巡查轨迹、巡查结果、异常记录等数据，实现全厂智能巡查数据采集。</w:t>
      </w:r>
    </w:p>
    <w:p w14:paraId="4B2A7E62">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w:t>
      </w:r>
      <w:r>
        <w:rPr>
          <w:rFonts w:ascii="宋体" w:hAnsi="Times New Roman" w:cs="宋体"/>
          <w:kern w:val="0"/>
          <w:szCs w:val="21"/>
          <w:highlight w:val="none"/>
        </w:rPr>
        <w:t>.</w:t>
      </w:r>
      <w:r>
        <w:rPr>
          <w:rFonts w:hint="eastAsia" w:ascii="宋体" w:hAnsi="Times New Roman" w:cs="宋体"/>
          <w:kern w:val="0"/>
          <w:szCs w:val="21"/>
          <w:highlight w:val="none"/>
        </w:rPr>
        <w:t>4.2通过视频监控设备，采集施工现场视频、图像、音频等数据。</w:t>
      </w:r>
    </w:p>
    <w:p w14:paraId="68039410">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w:t>
      </w:r>
      <w:r>
        <w:rPr>
          <w:rFonts w:ascii="宋体" w:hAnsi="Times New Roman" w:cs="宋体"/>
          <w:kern w:val="0"/>
          <w:szCs w:val="21"/>
          <w:highlight w:val="none"/>
        </w:rPr>
        <w:t>.</w:t>
      </w:r>
      <w:r>
        <w:rPr>
          <w:rFonts w:hint="eastAsia" w:ascii="宋体" w:hAnsi="Times New Roman" w:cs="宋体"/>
          <w:kern w:val="0"/>
          <w:szCs w:val="21"/>
          <w:highlight w:val="none"/>
        </w:rPr>
        <w:t>4.3通过车辆识别设备，采集车辆出入场时间、车牌号等数据。</w:t>
      </w:r>
    </w:p>
    <w:p w14:paraId="3C180441">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w:t>
      </w:r>
      <w:r>
        <w:rPr>
          <w:rFonts w:ascii="宋体" w:hAnsi="Times New Roman" w:cs="宋体"/>
          <w:kern w:val="0"/>
          <w:szCs w:val="21"/>
          <w:highlight w:val="none"/>
        </w:rPr>
        <w:t>.</w:t>
      </w:r>
      <w:r>
        <w:rPr>
          <w:rFonts w:hint="eastAsia" w:ascii="宋体" w:hAnsi="Times New Roman" w:cs="宋体"/>
          <w:kern w:val="0"/>
          <w:szCs w:val="21"/>
          <w:highlight w:val="none"/>
        </w:rPr>
        <w:t>4.4通过移动终端设备，采集施工现场视频、图片、音频、文本、异常记录等数据。</w:t>
      </w:r>
    </w:p>
    <w:p w14:paraId="5A0B051F">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w:t>
      </w:r>
      <w:r>
        <w:rPr>
          <w:rFonts w:ascii="宋体" w:hAnsi="Times New Roman" w:cs="宋体"/>
          <w:kern w:val="0"/>
          <w:szCs w:val="21"/>
          <w:highlight w:val="none"/>
        </w:rPr>
        <w:t>.</w:t>
      </w:r>
      <w:r>
        <w:rPr>
          <w:rFonts w:hint="eastAsia" w:ascii="宋体" w:hAnsi="Times New Roman" w:cs="宋体"/>
          <w:kern w:val="0"/>
          <w:szCs w:val="21"/>
          <w:highlight w:val="none"/>
        </w:rPr>
        <w:t>4.5通过航拍设备，定时巡航，采集施工现场进度情况的视频、图像等数据。</w:t>
      </w:r>
    </w:p>
    <w:p w14:paraId="76E7BC9C">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A</w:t>
      </w:r>
      <w:r>
        <w:rPr>
          <w:rFonts w:ascii="宋体" w:hAnsi="Times New Roman" w:cs="宋体"/>
          <w:kern w:val="0"/>
          <w:szCs w:val="21"/>
          <w:highlight w:val="none"/>
        </w:rPr>
        <w:t>.</w:t>
      </w:r>
      <w:r>
        <w:rPr>
          <w:rFonts w:hint="eastAsia" w:ascii="宋体" w:hAnsi="Times New Roman" w:cs="宋体"/>
          <w:kern w:val="0"/>
          <w:szCs w:val="21"/>
          <w:highlight w:val="none"/>
        </w:rPr>
        <w:t>4.6通过定位设备，采集巡查人员的空间位置、巡查轨迹等数据。</w:t>
      </w:r>
    </w:p>
    <w:p w14:paraId="264B4352">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555" w:leftChars="164" w:right="215" w:hanging="211" w:hangingChars="100"/>
        <w:jc w:val="left"/>
        <w:textAlignment w:val="auto"/>
        <w:rPr>
          <w:rFonts w:hint="eastAsia" w:ascii="宋体" w:hAnsi="Times New Roman" w:cs="宋体"/>
          <w:b/>
          <w:kern w:val="0"/>
          <w:szCs w:val="21"/>
          <w:highlight w:val="none"/>
        </w:rPr>
      </w:pPr>
      <w:r>
        <w:rPr>
          <w:rFonts w:hint="eastAsia" w:ascii="宋体" w:hAnsi="Times New Roman" w:cs="宋体"/>
          <w:b/>
          <w:kern w:val="0"/>
          <w:szCs w:val="21"/>
          <w:highlight w:val="none"/>
        </w:rPr>
        <w:t>A.</w:t>
      </w:r>
      <w:r>
        <w:rPr>
          <w:rFonts w:hint="eastAsia" w:ascii="宋体" w:hAnsi="Times New Roman" w:cs="宋体"/>
          <w:b/>
          <w:kern w:val="0"/>
          <w:szCs w:val="21"/>
          <w:highlight w:val="none"/>
          <w:lang w:val="en-US" w:eastAsia="zh-CN"/>
        </w:rPr>
        <w:t>5</w:t>
      </w:r>
      <w:r>
        <w:rPr>
          <w:rFonts w:hint="eastAsia" w:ascii="宋体" w:hAnsi="Times New Roman" w:cs="宋体"/>
          <w:b/>
          <w:kern w:val="0"/>
          <w:szCs w:val="21"/>
          <w:highlight w:val="none"/>
        </w:rPr>
        <w:t>系统架构</w:t>
      </w:r>
    </w:p>
    <w:p w14:paraId="0F89035D">
      <w:pPr>
        <w:overflowPunct w:val="0"/>
        <w:autoSpaceDE w:val="0"/>
        <w:autoSpaceDN w:val="0"/>
        <w:adjustRightInd w:val="0"/>
        <w:spacing w:before="156" w:beforeLines="50" w:line="278" w:lineRule="auto"/>
        <w:ind w:left="134" w:leftChars="64" w:right="215" w:firstLine="210" w:firstLineChars="100"/>
        <w:jc w:val="center"/>
        <w:rPr>
          <w:rFonts w:ascii="宋体" w:hAnsi="Times New Roman" w:cs="宋体"/>
          <w:kern w:val="0"/>
          <w:szCs w:val="21"/>
          <w:highlight w:val="none"/>
        </w:rPr>
      </w:pPr>
      <w:r>
        <w:rPr>
          <w:rFonts w:hint="default" w:ascii="Times New Roman" w:hAnsi="Times New Roman" w:cs="Times New Roman"/>
          <w:color w:val="auto"/>
          <w:highlight w:val="none"/>
          <w:woUserID w:val="1"/>
        </w:rPr>
        <w:drawing>
          <wp:inline distT="0" distB="0" distL="114300" distR="114300">
            <wp:extent cx="5273040" cy="4043680"/>
            <wp:effectExtent l="0" t="0" r="3810" b="13970"/>
            <wp:docPr id="7" name="图片 7" descr="系统架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系统架构图"/>
                    <pic:cNvPicPr>
                      <a:picLocks noChangeAspect="1"/>
                    </pic:cNvPicPr>
                  </pic:nvPicPr>
                  <pic:blipFill>
                    <a:blip r:embed="rId10"/>
                    <a:stretch>
                      <a:fillRect/>
                    </a:stretch>
                  </pic:blipFill>
                  <pic:spPr>
                    <a:xfrm>
                      <a:off x="0" y="0"/>
                      <a:ext cx="5273040" cy="4043680"/>
                    </a:xfrm>
                    <a:prstGeom prst="rect">
                      <a:avLst/>
                    </a:prstGeom>
                  </pic:spPr>
                </pic:pic>
              </a:graphicData>
            </a:graphic>
          </wp:inline>
        </w:drawing>
      </w:r>
      <w:r>
        <w:rPr>
          <w:rFonts w:ascii="宋体" w:hAnsi="Times New Roman" w:cs="宋体"/>
          <w:kern w:val="0"/>
          <w:szCs w:val="21"/>
          <w:highlight w:val="none"/>
        </w:rPr>
        <w:t>图A</w:t>
      </w:r>
      <w:r>
        <w:rPr>
          <w:rFonts w:hint="eastAsia" w:ascii="宋体" w:hAnsi="Times New Roman" w:cs="宋体"/>
          <w:kern w:val="0"/>
          <w:szCs w:val="21"/>
          <w:highlight w:val="none"/>
        </w:rPr>
        <w:t>.6 系统架构图</w:t>
      </w:r>
    </w:p>
    <w:p w14:paraId="705DB816">
      <w:pPr>
        <w:rPr>
          <w:highlight w:val="none"/>
        </w:rPr>
      </w:pPr>
      <w:r>
        <w:rPr>
          <w:highlight w:val="none"/>
        </w:rPr>
        <w:br w:type="page"/>
      </w:r>
    </w:p>
    <w:p w14:paraId="465F6544">
      <w:pPr>
        <w:keepNext/>
        <w:widowControl/>
        <w:shd w:val="clear" w:color="FFFFFF" w:fill="FFFFFF"/>
        <w:tabs>
          <w:tab w:val="left" w:pos="6405"/>
        </w:tabs>
        <w:spacing w:before="640" w:after="280"/>
        <w:jc w:val="center"/>
        <w:outlineLvl w:val="0"/>
        <w:rPr>
          <w:rFonts w:hint="eastAsia" w:ascii="黑体" w:hAnsi="Times New Roman" w:eastAsia="黑体"/>
          <w:kern w:val="0"/>
          <w:szCs w:val="20"/>
          <w:highlight w:val="none"/>
        </w:rPr>
      </w:pPr>
      <w:bookmarkStart w:id="108" w:name="_Toc190350379"/>
      <w:bookmarkStart w:id="109" w:name="_Toc21083"/>
      <w:bookmarkStart w:id="110" w:name="_Toc31069"/>
      <w:bookmarkStart w:id="111" w:name="_Toc175671090"/>
      <w:bookmarkStart w:id="112" w:name="_Toc7026"/>
      <w:bookmarkStart w:id="113" w:name="_Toc24869"/>
      <w:bookmarkStart w:id="114" w:name="_Toc23551"/>
      <w:bookmarkStart w:id="115" w:name="_Toc6657"/>
      <w:r>
        <w:rPr>
          <w:rFonts w:hint="eastAsia" w:ascii="黑体" w:hAnsi="Times New Roman" w:eastAsia="黑体"/>
          <w:kern w:val="0"/>
          <w:szCs w:val="20"/>
          <w:highlight w:val="none"/>
        </w:rPr>
        <w:t>附  录  B</w:t>
      </w:r>
      <w:r>
        <w:rPr>
          <w:rFonts w:hint="eastAsia" w:ascii="黑体" w:hAnsi="Times New Roman" w:eastAsia="黑体"/>
          <w:kern w:val="0"/>
          <w:szCs w:val="20"/>
          <w:highlight w:val="none"/>
        </w:rPr>
        <w:br w:type="textWrapping"/>
      </w:r>
      <w:r>
        <w:rPr>
          <w:rFonts w:hint="eastAsia" w:ascii="黑体" w:hAnsi="Times New Roman" w:eastAsia="黑体"/>
          <w:kern w:val="0"/>
          <w:szCs w:val="20"/>
          <w:highlight w:val="none"/>
        </w:rPr>
        <w:t>（</w:t>
      </w:r>
      <w:r>
        <w:rPr>
          <w:rFonts w:hint="eastAsia" w:ascii="黑体" w:hAnsi="Times New Roman" w:eastAsia="黑体"/>
          <w:kern w:val="0"/>
          <w:szCs w:val="20"/>
          <w:highlight w:val="none"/>
          <w:lang w:val="en-US" w:eastAsia="zh-CN"/>
        </w:rPr>
        <w:t>规范</w:t>
      </w:r>
      <w:r>
        <w:rPr>
          <w:rFonts w:hint="eastAsia" w:ascii="黑体" w:hAnsi="Times New Roman" w:eastAsia="黑体"/>
          <w:kern w:val="0"/>
          <w:szCs w:val="20"/>
          <w:highlight w:val="none"/>
        </w:rPr>
        <w:t>性）</w:t>
      </w:r>
      <w:r>
        <w:rPr>
          <w:rFonts w:hint="eastAsia" w:ascii="黑体" w:hAnsi="Times New Roman" w:eastAsia="黑体"/>
          <w:kern w:val="0"/>
          <w:szCs w:val="20"/>
          <w:highlight w:val="none"/>
        </w:rPr>
        <w:br w:type="textWrapping"/>
      </w:r>
      <w:r>
        <w:rPr>
          <w:rFonts w:hint="eastAsia" w:ascii="黑体" w:hAnsi="Times New Roman" w:eastAsia="黑体"/>
          <w:kern w:val="0"/>
          <w:szCs w:val="20"/>
          <w:highlight w:val="none"/>
        </w:rPr>
        <w:t>基础设施配置清单</w:t>
      </w:r>
      <w:bookmarkEnd w:id="108"/>
      <w:bookmarkEnd w:id="109"/>
      <w:bookmarkEnd w:id="110"/>
      <w:bookmarkEnd w:id="111"/>
      <w:bookmarkEnd w:id="112"/>
      <w:bookmarkEnd w:id="113"/>
      <w:bookmarkEnd w:id="114"/>
      <w:bookmarkEnd w:id="115"/>
    </w:p>
    <w:p w14:paraId="2B32939D">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lang w:eastAsia="zh-CN"/>
        </w:rPr>
        <w:t>配电网</w:t>
      </w:r>
      <w:r>
        <w:rPr>
          <w:rFonts w:hint="eastAsia" w:ascii="宋体" w:hAnsi="Times New Roman" w:cs="宋体"/>
          <w:kern w:val="0"/>
          <w:szCs w:val="21"/>
          <w:highlight w:val="none"/>
        </w:rPr>
        <w:t>工程智慧工地基础设施应包括信息采集设备、网络基础设施、技术平台、控制机房、信息应用终端。各设备应采用主流配置并适应信息通信技术发展趋势，技术平台能力应具备通用性及兼容性并适应信息应用技术发展要求。</w:t>
      </w:r>
    </w:p>
    <w:p w14:paraId="0916F2A8">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Cs w:val="21"/>
          <w:highlight w:val="none"/>
        </w:rPr>
      </w:pPr>
      <w:r>
        <w:rPr>
          <w:rFonts w:hint="eastAsia" w:ascii="宋体" w:hAnsi="Times New Roman" w:cs="宋体"/>
          <w:kern w:val="0"/>
          <w:szCs w:val="21"/>
          <w:highlight w:val="none"/>
        </w:rPr>
        <w:t>下表提供基本项与可选项，应结合项目实际，在项目实施时予以参考。</w:t>
      </w:r>
    </w:p>
    <w:p w14:paraId="77601474">
      <w:pPr>
        <w:autoSpaceDE w:val="0"/>
        <w:autoSpaceDN w:val="0"/>
        <w:adjustRightInd w:val="0"/>
        <w:ind w:firstLine="3360" w:firstLineChars="1600"/>
        <w:jc w:val="left"/>
        <w:rPr>
          <w:rFonts w:ascii="宋体" w:hAnsi="Times New Roman" w:cs="宋体"/>
          <w:kern w:val="0"/>
          <w:szCs w:val="21"/>
          <w:highlight w:val="none"/>
        </w:rPr>
      </w:pPr>
      <w:r>
        <w:rPr>
          <w:rFonts w:hint="eastAsia" w:ascii="宋体" w:hAnsi="Times New Roman" w:cs="宋体"/>
          <w:kern w:val="0"/>
          <w:szCs w:val="21"/>
          <w:highlight w:val="none"/>
        </w:rPr>
        <w:t>表B.1  基础设施配置表</w:t>
      </w:r>
    </w:p>
    <w:tbl>
      <w:tblPr>
        <w:tblStyle w:val="147"/>
        <w:tblW w:w="90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
        <w:gridCol w:w="1351"/>
        <w:gridCol w:w="874"/>
        <w:gridCol w:w="4829"/>
        <w:gridCol w:w="762"/>
        <w:gridCol w:w="747"/>
      </w:tblGrid>
      <w:tr w14:paraId="50436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505" w:type="dxa"/>
            <w:tcMar>
              <w:top w:w="0" w:type="dxa"/>
              <w:left w:w="0" w:type="dxa"/>
              <w:bottom w:w="0" w:type="dxa"/>
              <w:right w:w="0" w:type="dxa"/>
            </w:tcMar>
            <w:vAlign w:val="center"/>
          </w:tcPr>
          <w:p w14:paraId="16CF1758">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b/>
                <w:color w:val="000000"/>
                <w:sz w:val="21"/>
                <w:szCs w:val="21"/>
                <w:highlight w:val="none"/>
              </w:rPr>
            </w:pPr>
            <w:r>
              <w:rPr>
                <w:rFonts w:hint="eastAsia" w:ascii="宋体" w:hAnsi="宋体"/>
                <w:b/>
                <w:color w:val="000000"/>
                <w:sz w:val="21"/>
                <w:szCs w:val="21"/>
                <w:highlight w:val="none"/>
              </w:rPr>
              <w:t>序号</w:t>
            </w:r>
          </w:p>
        </w:tc>
        <w:tc>
          <w:tcPr>
            <w:tcW w:w="1351" w:type="dxa"/>
            <w:tcMar>
              <w:top w:w="0" w:type="dxa"/>
              <w:left w:w="0" w:type="dxa"/>
              <w:bottom w:w="0" w:type="dxa"/>
              <w:right w:w="0" w:type="dxa"/>
            </w:tcMar>
            <w:vAlign w:val="center"/>
          </w:tcPr>
          <w:p w14:paraId="2FC0B6B4">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b/>
                <w:color w:val="000000"/>
                <w:sz w:val="21"/>
                <w:szCs w:val="21"/>
                <w:highlight w:val="none"/>
              </w:rPr>
            </w:pPr>
            <w:r>
              <w:rPr>
                <w:rFonts w:hint="eastAsia" w:ascii="宋体" w:hAnsi="宋体"/>
                <w:b/>
                <w:color w:val="000000"/>
                <w:sz w:val="21"/>
                <w:szCs w:val="21"/>
                <w:highlight w:val="none"/>
              </w:rPr>
              <w:t>项目</w:t>
            </w:r>
          </w:p>
        </w:tc>
        <w:tc>
          <w:tcPr>
            <w:tcW w:w="5703" w:type="dxa"/>
            <w:gridSpan w:val="2"/>
            <w:tcMar>
              <w:top w:w="0" w:type="dxa"/>
              <w:left w:w="0" w:type="dxa"/>
              <w:bottom w:w="0" w:type="dxa"/>
              <w:right w:w="0" w:type="dxa"/>
            </w:tcMar>
            <w:vAlign w:val="center"/>
          </w:tcPr>
          <w:p w14:paraId="5CFD5636">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b/>
                <w:color w:val="000000"/>
                <w:sz w:val="21"/>
                <w:szCs w:val="21"/>
                <w:highlight w:val="none"/>
              </w:rPr>
            </w:pPr>
            <w:r>
              <w:rPr>
                <w:rFonts w:hint="eastAsia" w:ascii="宋体" w:hAnsi="宋体"/>
                <w:b/>
                <w:color w:val="000000"/>
                <w:sz w:val="21"/>
                <w:szCs w:val="21"/>
                <w:highlight w:val="none"/>
              </w:rPr>
              <w:t>要求</w:t>
            </w:r>
          </w:p>
        </w:tc>
        <w:tc>
          <w:tcPr>
            <w:tcW w:w="762" w:type="dxa"/>
            <w:tcMar>
              <w:top w:w="0" w:type="dxa"/>
              <w:left w:w="0" w:type="dxa"/>
              <w:bottom w:w="0" w:type="dxa"/>
              <w:right w:w="0" w:type="dxa"/>
            </w:tcMar>
            <w:vAlign w:val="center"/>
          </w:tcPr>
          <w:p w14:paraId="4FBCB8A0">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b/>
                <w:color w:val="000000"/>
                <w:sz w:val="21"/>
                <w:szCs w:val="21"/>
                <w:highlight w:val="none"/>
              </w:rPr>
            </w:pPr>
            <w:r>
              <w:rPr>
                <w:rFonts w:hint="eastAsia" w:ascii="宋体" w:hAnsi="宋体"/>
                <w:b/>
                <w:color w:val="000000"/>
                <w:sz w:val="21"/>
                <w:szCs w:val="21"/>
                <w:highlight w:val="none"/>
              </w:rPr>
              <w:t>基本项</w:t>
            </w:r>
          </w:p>
        </w:tc>
        <w:tc>
          <w:tcPr>
            <w:tcW w:w="747" w:type="dxa"/>
            <w:tcMar>
              <w:top w:w="0" w:type="dxa"/>
              <w:left w:w="0" w:type="dxa"/>
              <w:bottom w:w="0" w:type="dxa"/>
              <w:right w:w="0" w:type="dxa"/>
            </w:tcMar>
            <w:vAlign w:val="center"/>
          </w:tcPr>
          <w:p w14:paraId="7E4DE614">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b/>
                <w:color w:val="000000"/>
                <w:sz w:val="21"/>
                <w:szCs w:val="21"/>
                <w:highlight w:val="none"/>
              </w:rPr>
            </w:pPr>
            <w:r>
              <w:rPr>
                <w:rFonts w:hint="eastAsia" w:ascii="宋体" w:hAnsi="宋体"/>
                <w:b/>
                <w:color w:val="000000"/>
                <w:sz w:val="21"/>
                <w:szCs w:val="21"/>
                <w:highlight w:val="none"/>
              </w:rPr>
              <w:t>可选项</w:t>
            </w:r>
          </w:p>
        </w:tc>
      </w:tr>
      <w:tr w14:paraId="24192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tcMar>
              <w:top w:w="0" w:type="dxa"/>
              <w:left w:w="0" w:type="dxa"/>
              <w:bottom w:w="0" w:type="dxa"/>
              <w:right w:w="0" w:type="dxa"/>
            </w:tcMar>
            <w:vAlign w:val="center"/>
          </w:tcPr>
          <w:p w14:paraId="214AAFE2">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1</w:t>
            </w:r>
          </w:p>
        </w:tc>
        <w:tc>
          <w:tcPr>
            <w:tcW w:w="1351" w:type="dxa"/>
            <w:tcMar>
              <w:top w:w="0" w:type="dxa"/>
              <w:left w:w="0" w:type="dxa"/>
              <w:bottom w:w="0" w:type="dxa"/>
              <w:right w:w="0" w:type="dxa"/>
            </w:tcMar>
            <w:vAlign w:val="center"/>
          </w:tcPr>
          <w:p w14:paraId="4C82A54C">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信息采集设备</w:t>
            </w:r>
          </w:p>
        </w:tc>
        <w:tc>
          <w:tcPr>
            <w:tcW w:w="5703" w:type="dxa"/>
            <w:gridSpan w:val="2"/>
            <w:tcMar>
              <w:top w:w="0" w:type="dxa"/>
              <w:left w:w="0" w:type="dxa"/>
              <w:bottom w:w="0" w:type="dxa"/>
              <w:right w:w="0" w:type="dxa"/>
            </w:tcMar>
            <w:vAlign w:val="center"/>
          </w:tcPr>
          <w:p w14:paraId="568C3BF3">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符合JGJ/T 434的规定</w:t>
            </w:r>
          </w:p>
        </w:tc>
        <w:tc>
          <w:tcPr>
            <w:tcW w:w="762" w:type="dxa"/>
            <w:tcMar>
              <w:top w:w="0" w:type="dxa"/>
              <w:left w:w="0" w:type="dxa"/>
              <w:bottom w:w="0" w:type="dxa"/>
              <w:right w:w="0" w:type="dxa"/>
            </w:tcMar>
            <w:vAlign w:val="center"/>
          </w:tcPr>
          <w:p w14:paraId="62C29322">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w:t>
            </w:r>
          </w:p>
        </w:tc>
        <w:tc>
          <w:tcPr>
            <w:tcW w:w="747" w:type="dxa"/>
            <w:tcMar>
              <w:top w:w="0" w:type="dxa"/>
              <w:left w:w="0" w:type="dxa"/>
              <w:bottom w:w="0" w:type="dxa"/>
              <w:right w:w="0" w:type="dxa"/>
            </w:tcMar>
            <w:vAlign w:val="center"/>
          </w:tcPr>
          <w:p w14:paraId="346CBBEA">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r>
      <w:tr w14:paraId="54920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restart"/>
            <w:tcMar>
              <w:top w:w="0" w:type="dxa"/>
              <w:left w:w="0" w:type="dxa"/>
              <w:bottom w:w="0" w:type="dxa"/>
              <w:right w:w="0" w:type="dxa"/>
            </w:tcMar>
            <w:vAlign w:val="center"/>
          </w:tcPr>
          <w:p w14:paraId="047A91D7">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2</w:t>
            </w:r>
          </w:p>
        </w:tc>
        <w:tc>
          <w:tcPr>
            <w:tcW w:w="1351" w:type="dxa"/>
            <w:vMerge w:val="restart"/>
            <w:tcMar>
              <w:top w:w="0" w:type="dxa"/>
              <w:left w:w="0" w:type="dxa"/>
              <w:bottom w:w="0" w:type="dxa"/>
              <w:right w:w="0" w:type="dxa"/>
            </w:tcMar>
            <w:vAlign w:val="center"/>
          </w:tcPr>
          <w:p w14:paraId="3F6E6E99">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网络基础设施</w:t>
            </w:r>
          </w:p>
        </w:tc>
        <w:tc>
          <w:tcPr>
            <w:tcW w:w="5703" w:type="dxa"/>
            <w:gridSpan w:val="2"/>
            <w:tcMar>
              <w:top w:w="0" w:type="dxa"/>
              <w:left w:w="0" w:type="dxa"/>
              <w:bottom w:w="0" w:type="dxa"/>
              <w:right w:w="0" w:type="dxa"/>
            </w:tcMar>
            <w:vAlign w:val="center"/>
          </w:tcPr>
          <w:p w14:paraId="257876B5">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具备无线局域网络设施</w:t>
            </w:r>
          </w:p>
        </w:tc>
        <w:tc>
          <w:tcPr>
            <w:tcW w:w="762" w:type="dxa"/>
            <w:tcMar>
              <w:top w:w="0" w:type="dxa"/>
              <w:left w:w="0" w:type="dxa"/>
              <w:bottom w:w="0" w:type="dxa"/>
              <w:right w:w="0" w:type="dxa"/>
            </w:tcMar>
            <w:vAlign w:val="center"/>
          </w:tcPr>
          <w:p w14:paraId="2F2CF38B">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w:t>
            </w:r>
          </w:p>
        </w:tc>
        <w:tc>
          <w:tcPr>
            <w:tcW w:w="747" w:type="dxa"/>
            <w:tcMar>
              <w:top w:w="0" w:type="dxa"/>
              <w:left w:w="0" w:type="dxa"/>
              <w:bottom w:w="0" w:type="dxa"/>
              <w:right w:w="0" w:type="dxa"/>
            </w:tcMar>
            <w:vAlign w:val="center"/>
          </w:tcPr>
          <w:p w14:paraId="3E6875BC">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r>
      <w:tr w14:paraId="14C6F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continue"/>
            <w:tcMar>
              <w:top w:w="0" w:type="dxa"/>
              <w:left w:w="0" w:type="dxa"/>
              <w:bottom w:w="0" w:type="dxa"/>
              <w:right w:w="0" w:type="dxa"/>
            </w:tcMar>
            <w:vAlign w:val="center"/>
          </w:tcPr>
          <w:p w14:paraId="638FC698">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03FFE24B">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5703" w:type="dxa"/>
            <w:gridSpan w:val="2"/>
            <w:tcMar>
              <w:top w:w="0" w:type="dxa"/>
              <w:left w:w="0" w:type="dxa"/>
              <w:bottom w:w="0" w:type="dxa"/>
              <w:right w:w="0" w:type="dxa"/>
            </w:tcMar>
            <w:vAlign w:val="center"/>
          </w:tcPr>
          <w:p w14:paraId="6B5BD031">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无线局域网络信号覆盖所有信息采集设备装置点</w:t>
            </w:r>
          </w:p>
        </w:tc>
        <w:tc>
          <w:tcPr>
            <w:tcW w:w="762" w:type="dxa"/>
            <w:tcMar>
              <w:top w:w="0" w:type="dxa"/>
              <w:left w:w="0" w:type="dxa"/>
              <w:bottom w:w="0" w:type="dxa"/>
              <w:right w:w="0" w:type="dxa"/>
            </w:tcMar>
            <w:vAlign w:val="center"/>
          </w:tcPr>
          <w:p w14:paraId="548A324C">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w:t>
            </w:r>
          </w:p>
        </w:tc>
        <w:tc>
          <w:tcPr>
            <w:tcW w:w="747" w:type="dxa"/>
            <w:tcMar>
              <w:top w:w="0" w:type="dxa"/>
              <w:left w:w="0" w:type="dxa"/>
              <w:bottom w:w="0" w:type="dxa"/>
              <w:right w:w="0" w:type="dxa"/>
            </w:tcMar>
            <w:vAlign w:val="center"/>
          </w:tcPr>
          <w:p w14:paraId="6FE0B0AC">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r>
      <w:tr w14:paraId="141D5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continue"/>
            <w:tcMar>
              <w:top w:w="0" w:type="dxa"/>
              <w:left w:w="0" w:type="dxa"/>
              <w:bottom w:w="0" w:type="dxa"/>
              <w:right w:w="0" w:type="dxa"/>
            </w:tcMar>
            <w:vAlign w:val="center"/>
          </w:tcPr>
          <w:p w14:paraId="618FECCA">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048C5ABA">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5703" w:type="dxa"/>
            <w:gridSpan w:val="2"/>
            <w:tcMar>
              <w:top w:w="0" w:type="dxa"/>
              <w:left w:w="0" w:type="dxa"/>
              <w:bottom w:w="0" w:type="dxa"/>
              <w:right w:w="0" w:type="dxa"/>
            </w:tcMar>
            <w:vAlign w:val="center"/>
          </w:tcPr>
          <w:p w14:paraId="0A097F29">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移动通信网络覆盖主要工地办公区域</w:t>
            </w:r>
          </w:p>
        </w:tc>
        <w:tc>
          <w:tcPr>
            <w:tcW w:w="762" w:type="dxa"/>
            <w:tcMar>
              <w:top w:w="0" w:type="dxa"/>
              <w:left w:w="0" w:type="dxa"/>
              <w:bottom w:w="0" w:type="dxa"/>
              <w:right w:w="0" w:type="dxa"/>
            </w:tcMar>
            <w:vAlign w:val="center"/>
          </w:tcPr>
          <w:p w14:paraId="0E28F2BA">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w:t>
            </w:r>
          </w:p>
        </w:tc>
        <w:tc>
          <w:tcPr>
            <w:tcW w:w="747" w:type="dxa"/>
            <w:tcMar>
              <w:top w:w="0" w:type="dxa"/>
              <w:left w:w="0" w:type="dxa"/>
              <w:bottom w:w="0" w:type="dxa"/>
              <w:right w:w="0" w:type="dxa"/>
            </w:tcMar>
            <w:vAlign w:val="center"/>
          </w:tcPr>
          <w:p w14:paraId="25D7905A">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r>
      <w:tr w14:paraId="211D3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05" w:type="dxa"/>
            <w:vMerge w:val="continue"/>
            <w:tcMar>
              <w:top w:w="0" w:type="dxa"/>
              <w:left w:w="0" w:type="dxa"/>
              <w:bottom w:w="0" w:type="dxa"/>
              <w:right w:w="0" w:type="dxa"/>
            </w:tcMar>
            <w:vAlign w:val="center"/>
          </w:tcPr>
          <w:p w14:paraId="72B486F3">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5A7B2EEF">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5703" w:type="dxa"/>
            <w:gridSpan w:val="2"/>
            <w:tcMar>
              <w:top w:w="0" w:type="dxa"/>
              <w:left w:w="0" w:type="dxa"/>
              <w:bottom w:w="0" w:type="dxa"/>
              <w:right w:w="0" w:type="dxa"/>
            </w:tcMar>
            <w:vAlign w:val="center"/>
          </w:tcPr>
          <w:p w14:paraId="0651EFA1">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移动通信网络覆盖不低于90%办公区域和施工现场生活区域</w:t>
            </w:r>
          </w:p>
        </w:tc>
        <w:tc>
          <w:tcPr>
            <w:tcW w:w="762" w:type="dxa"/>
            <w:tcMar>
              <w:top w:w="0" w:type="dxa"/>
              <w:left w:w="0" w:type="dxa"/>
              <w:bottom w:w="0" w:type="dxa"/>
              <w:right w:w="0" w:type="dxa"/>
            </w:tcMar>
            <w:vAlign w:val="center"/>
          </w:tcPr>
          <w:p w14:paraId="7C76330C">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747" w:type="dxa"/>
            <w:tcMar>
              <w:top w:w="0" w:type="dxa"/>
              <w:left w:w="0" w:type="dxa"/>
              <w:bottom w:w="0" w:type="dxa"/>
              <w:right w:w="0" w:type="dxa"/>
            </w:tcMar>
            <w:vAlign w:val="center"/>
          </w:tcPr>
          <w:p w14:paraId="54FBE469">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w:t>
            </w:r>
          </w:p>
        </w:tc>
      </w:tr>
      <w:tr w14:paraId="1CD18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restart"/>
            <w:tcMar>
              <w:top w:w="0" w:type="dxa"/>
              <w:left w:w="0" w:type="dxa"/>
              <w:bottom w:w="0" w:type="dxa"/>
              <w:right w:w="0" w:type="dxa"/>
            </w:tcMar>
            <w:vAlign w:val="center"/>
          </w:tcPr>
          <w:p w14:paraId="20F02915">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3</w:t>
            </w:r>
          </w:p>
        </w:tc>
        <w:tc>
          <w:tcPr>
            <w:tcW w:w="1351" w:type="dxa"/>
            <w:vMerge w:val="restart"/>
            <w:tcMar>
              <w:top w:w="0" w:type="dxa"/>
              <w:left w:w="0" w:type="dxa"/>
              <w:bottom w:w="0" w:type="dxa"/>
              <w:right w:w="0" w:type="dxa"/>
            </w:tcMar>
            <w:vAlign w:val="center"/>
          </w:tcPr>
          <w:p w14:paraId="5B13E32D">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技术平台</w:t>
            </w:r>
          </w:p>
        </w:tc>
        <w:tc>
          <w:tcPr>
            <w:tcW w:w="874" w:type="dxa"/>
            <w:vMerge w:val="restart"/>
            <w:tcMar>
              <w:top w:w="0" w:type="dxa"/>
              <w:left w:w="0" w:type="dxa"/>
              <w:bottom w:w="0" w:type="dxa"/>
              <w:right w:w="0" w:type="dxa"/>
            </w:tcMar>
            <w:vAlign w:val="center"/>
          </w:tcPr>
          <w:p w14:paraId="324337E9">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互联</w:t>
            </w:r>
          </w:p>
          <w:p w14:paraId="1F8E0530">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网协</w:t>
            </w:r>
          </w:p>
          <w:p w14:paraId="7909FC03">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作类</w:t>
            </w:r>
          </w:p>
          <w:p w14:paraId="48609635">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功能</w:t>
            </w:r>
          </w:p>
        </w:tc>
        <w:tc>
          <w:tcPr>
            <w:tcW w:w="4829" w:type="dxa"/>
            <w:tcMar>
              <w:top w:w="0" w:type="dxa"/>
              <w:left w:w="0" w:type="dxa"/>
              <w:bottom w:w="0" w:type="dxa"/>
              <w:right w:w="0" w:type="dxa"/>
            </w:tcMar>
            <w:vAlign w:val="center"/>
          </w:tcPr>
          <w:p w14:paraId="00748B7D">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具备施工现场跨组织项目团队建立、职位、角色等管理能力</w:t>
            </w:r>
          </w:p>
        </w:tc>
        <w:tc>
          <w:tcPr>
            <w:tcW w:w="762" w:type="dxa"/>
            <w:tcMar>
              <w:top w:w="0" w:type="dxa"/>
              <w:left w:w="0" w:type="dxa"/>
              <w:bottom w:w="0" w:type="dxa"/>
              <w:right w:w="0" w:type="dxa"/>
            </w:tcMar>
            <w:vAlign w:val="center"/>
          </w:tcPr>
          <w:p w14:paraId="2B1A381B">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w:t>
            </w:r>
          </w:p>
        </w:tc>
        <w:tc>
          <w:tcPr>
            <w:tcW w:w="747" w:type="dxa"/>
            <w:tcMar>
              <w:top w:w="0" w:type="dxa"/>
              <w:left w:w="0" w:type="dxa"/>
              <w:bottom w:w="0" w:type="dxa"/>
              <w:right w:w="0" w:type="dxa"/>
            </w:tcMar>
            <w:vAlign w:val="center"/>
          </w:tcPr>
          <w:p w14:paraId="7949879A">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r>
      <w:tr w14:paraId="7D365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continue"/>
            <w:tcMar>
              <w:top w:w="0" w:type="dxa"/>
              <w:left w:w="0" w:type="dxa"/>
              <w:bottom w:w="0" w:type="dxa"/>
              <w:right w:w="0" w:type="dxa"/>
            </w:tcMar>
            <w:vAlign w:val="center"/>
          </w:tcPr>
          <w:p w14:paraId="3852DC9D">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48A2429E">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874" w:type="dxa"/>
            <w:vMerge w:val="continue"/>
            <w:tcMar>
              <w:top w:w="0" w:type="dxa"/>
              <w:left w:w="0" w:type="dxa"/>
              <w:bottom w:w="0" w:type="dxa"/>
              <w:right w:w="0" w:type="dxa"/>
            </w:tcMar>
            <w:vAlign w:val="center"/>
          </w:tcPr>
          <w:p w14:paraId="32B105A9">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4829" w:type="dxa"/>
            <w:tcMar>
              <w:top w:w="0" w:type="dxa"/>
              <w:left w:w="0" w:type="dxa"/>
              <w:bottom w:w="0" w:type="dxa"/>
              <w:right w:w="0" w:type="dxa"/>
            </w:tcMar>
            <w:vAlign w:val="center"/>
          </w:tcPr>
          <w:p w14:paraId="04E15E33">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具备文字、语音、视频等方式的即时沟通能力</w:t>
            </w:r>
          </w:p>
        </w:tc>
        <w:tc>
          <w:tcPr>
            <w:tcW w:w="762" w:type="dxa"/>
            <w:tcMar>
              <w:top w:w="0" w:type="dxa"/>
              <w:left w:w="0" w:type="dxa"/>
              <w:bottom w:w="0" w:type="dxa"/>
              <w:right w:w="0" w:type="dxa"/>
            </w:tcMar>
            <w:vAlign w:val="center"/>
          </w:tcPr>
          <w:p w14:paraId="7F72C3C2">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w:t>
            </w:r>
          </w:p>
        </w:tc>
        <w:tc>
          <w:tcPr>
            <w:tcW w:w="747" w:type="dxa"/>
            <w:tcMar>
              <w:top w:w="0" w:type="dxa"/>
              <w:left w:w="0" w:type="dxa"/>
              <w:bottom w:w="0" w:type="dxa"/>
              <w:right w:w="0" w:type="dxa"/>
            </w:tcMar>
            <w:vAlign w:val="center"/>
          </w:tcPr>
          <w:p w14:paraId="45A0CBA3">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r>
      <w:tr w14:paraId="18D0C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continue"/>
            <w:tcMar>
              <w:top w:w="0" w:type="dxa"/>
              <w:left w:w="0" w:type="dxa"/>
              <w:bottom w:w="0" w:type="dxa"/>
              <w:right w:w="0" w:type="dxa"/>
            </w:tcMar>
            <w:vAlign w:val="center"/>
          </w:tcPr>
          <w:p w14:paraId="757B5933">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3FCE183E">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874" w:type="dxa"/>
            <w:vMerge w:val="continue"/>
            <w:tcMar>
              <w:top w:w="0" w:type="dxa"/>
              <w:left w:w="0" w:type="dxa"/>
              <w:bottom w:w="0" w:type="dxa"/>
              <w:right w:w="0" w:type="dxa"/>
            </w:tcMar>
            <w:vAlign w:val="center"/>
          </w:tcPr>
          <w:p w14:paraId="736FA740">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4829" w:type="dxa"/>
            <w:tcMar>
              <w:top w:w="0" w:type="dxa"/>
              <w:left w:w="0" w:type="dxa"/>
              <w:bottom w:w="0" w:type="dxa"/>
              <w:right w:w="0" w:type="dxa"/>
            </w:tcMar>
            <w:vAlign w:val="center"/>
          </w:tcPr>
          <w:p w14:paraId="642C27C2">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具备包含但不限于云盘、云表格、协作任务等基础协作能力</w:t>
            </w:r>
          </w:p>
        </w:tc>
        <w:tc>
          <w:tcPr>
            <w:tcW w:w="762" w:type="dxa"/>
            <w:tcMar>
              <w:top w:w="0" w:type="dxa"/>
              <w:left w:w="0" w:type="dxa"/>
              <w:bottom w:w="0" w:type="dxa"/>
              <w:right w:w="0" w:type="dxa"/>
            </w:tcMar>
            <w:vAlign w:val="center"/>
          </w:tcPr>
          <w:p w14:paraId="1EA44135">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747" w:type="dxa"/>
            <w:tcMar>
              <w:top w:w="0" w:type="dxa"/>
              <w:left w:w="0" w:type="dxa"/>
              <w:bottom w:w="0" w:type="dxa"/>
              <w:right w:w="0" w:type="dxa"/>
            </w:tcMar>
            <w:vAlign w:val="center"/>
          </w:tcPr>
          <w:p w14:paraId="7A617F58">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w:t>
            </w:r>
          </w:p>
        </w:tc>
      </w:tr>
      <w:tr w14:paraId="6FD46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continue"/>
            <w:tcMar>
              <w:top w:w="0" w:type="dxa"/>
              <w:left w:w="0" w:type="dxa"/>
              <w:bottom w:w="0" w:type="dxa"/>
              <w:right w:w="0" w:type="dxa"/>
            </w:tcMar>
            <w:vAlign w:val="center"/>
          </w:tcPr>
          <w:p w14:paraId="43266A7D">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4D8502FB">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874" w:type="dxa"/>
            <w:vMerge w:val="continue"/>
            <w:tcMar>
              <w:top w:w="0" w:type="dxa"/>
              <w:left w:w="0" w:type="dxa"/>
              <w:bottom w:w="0" w:type="dxa"/>
              <w:right w:w="0" w:type="dxa"/>
            </w:tcMar>
            <w:vAlign w:val="center"/>
          </w:tcPr>
          <w:p w14:paraId="7FB5DC40">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4829" w:type="dxa"/>
            <w:tcMar>
              <w:top w:w="0" w:type="dxa"/>
              <w:left w:w="0" w:type="dxa"/>
              <w:bottom w:w="0" w:type="dxa"/>
              <w:right w:w="0" w:type="dxa"/>
            </w:tcMar>
            <w:vAlign w:val="center"/>
          </w:tcPr>
          <w:p w14:paraId="7BF5A4FB">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具备日志留溯能力</w:t>
            </w:r>
          </w:p>
        </w:tc>
        <w:tc>
          <w:tcPr>
            <w:tcW w:w="762" w:type="dxa"/>
            <w:tcMar>
              <w:top w:w="0" w:type="dxa"/>
              <w:left w:w="0" w:type="dxa"/>
              <w:bottom w:w="0" w:type="dxa"/>
              <w:right w:w="0" w:type="dxa"/>
            </w:tcMar>
            <w:vAlign w:val="center"/>
          </w:tcPr>
          <w:p w14:paraId="1DBF02E0">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w:t>
            </w:r>
          </w:p>
        </w:tc>
        <w:tc>
          <w:tcPr>
            <w:tcW w:w="747" w:type="dxa"/>
            <w:tcMar>
              <w:top w:w="0" w:type="dxa"/>
              <w:left w:w="0" w:type="dxa"/>
              <w:bottom w:w="0" w:type="dxa"/>
              <w:right w:w="0" w:type="dxa"/>
            </w:tcMar>
            <w:vAlign w:val="center"/>
          </w:tcPr>
          <w:p w14:paraId="0AB1082D">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r>
      <w:tr w14:paraId="345A7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continue"/>
            <w:tcMar>
              <w:top w:w="0" w:type="dxa"/>
              <w:left w:w="0" w:type="dxa"/>
              <w:bottom w:w="0" w:type="dxa"/>
              <w:right w:w="0" w:type="dxa"/>
            </w:tcMar>
            <w:vAlign w:val="center"/>
          </w:tcPr>
          <w:p w14:paraId="4709D1D8">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4A5702CF">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874" w:type="dxa"/>
            <w:vMerge w:val="restart"/>
            <w:tcMar>
              <w:top w:w="0" w:type="dxa"/>
              <w:left w:w="0" w:type="dxa"/>
              <w:bottom w:w="0" w:type="dxa"/>
              <w:right w:w="0" w:type="dxa"/>
            </w:tcMar>
            <w:vAlign w:val="center"/>
          </w:tcPr>
          <w:p w14:paraId="0CE96468">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管理</w:t>
            </w:r>
          </w:p>
          <w:p w14:paraId="5A9DC61D">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协同</w:t>
            </w:r>
          </w:p>
          <w:p w14:paraId="6B420EC4">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功能</w:t>
            </w:r>
          </w:p>
        </w:tc>
        <w:tc>
          <w:tcPr>
            <w:tcW w:w="4829" w:type="dxa"/>
            <w:tcMar>
              <w:top w:w="0" w:type="dxa"/>
              <w:left w:w="0" w:type="dxa"/>
              <w:bottom w:w="0" w:type="dxa"/>
              <w:right w:w="0" w:type="dxa"/>
            </w:tcMar>
            <w:vAlign w:val="center"/>
          </w:tcPr>
          <w:p w14:paraId="0498832A">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具备自定义表单、流程的审批功能</w:t>
            </w:r>
          </w:p>
        </w:tc>
        <w:tc>
          <w:tcPr>
            <w:tcW w:w="762" w:type="dxa"/>
            <w:tcMar>
              <w:top w:w="0" w:type="dxa"/>
              <w:left w:w="0" w:type="dxa"/>
              <w:bottom w:w="0" w:type="dxa"/>
              <w:right w:w="0" w:type="dxa"/>
            </w:tcMar>
            <w:vAlign w:val="center"/>
          </w:tcPr>
          <w:p w14:paraId="12652A14">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w:t>
            </w:r>
          </w:p>
        </w:tc>
        <w:tc>
          <w:tcPr>
            <w:tcW w:w="747" w:type="dxa"/>
            <w:tcMar>
              <w:top w:w="0" w:type="dxa"/>
              <w:left w:w="0" w:type="dxa"/>
              <w:bottom w:w="0" w:type="dxa"/>
              <w:right w:w="0" w:type="dxa"/>
            </w:tcMar>
            <w:vAlign w:val="center"/>
          </w:tcPr>
          <w:p w14:paraId="789C9E3E">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r>
      <w:tr w14:paraId="1208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continue"/>
            <w:tcMar>
              <w:top w:w="0" w:type="dxa"/>
              <w:left w:w="0" w:type="dxa"/>
              <w:bottom w:w="0" w:type="dxa"/>
              <w:right w:w="0" w:type="dxa"/>
            </w:tcMar>
            <w:vAlign w:val="center"/>
          </w:tcPr>
          <w:p w14:paraId="0126BBC5">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3ECDED7B">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874" w:type="dxa"/>
            <w:vMerge w:val="continue"/>
            <w:tcMar>
              <w:top w:w="0" w:type="dxa"/>
              <w:left w:w="0" w:type="dxa"/>
              <w:bottom w:w="0" w:type="dxa"/>
              <w:right w:w="0" w:type="dxa"/>
            </w:tcMar>
            <w:vAlign w:val="center"/>
          </w:tcPr>
          <w:p w14:paraId="310219F7">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4829" w:type="dxa"/>
            <w:tcMar>
              <w:top w:w="0" w:type="dxa"/>
              <w:left w:w="0" w:type="dxa"/>
              <w:bottom w:w="0" w:type="dxa"/>
              <w:right w:w="0" w:type="dxa"/>
            </w:tcMar>
            <w:vAlign w:val="center"/>
          </w:tcPr>
          <w:p w14:paraId="548A9D85">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具备跨组织即时在线会商功能</w:t>
            </w:r>
          </w:p>
        </w:tc>
        <w:tc>
          <w:tcPr>
            <w:tcW w:w="762" w:type="dxa"/>
            <w:tcMar>
              <w:top w:w="0" w:type="dxa"/>
              <w:left w:w="0" w:type="dxa"/>
              <w:bottom w:w="0" w:type="dxa"/>
              <w:right w:w="0" w:type="dxa"/>
            </w:tcMar>
            <w:vAlign w:val="center"/>
          </w:tcPr>
          <w:p w14:paraId="566EA50C">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747" w:type="dxa"/>
            <w:tcMar>
              <w:top w:w="0" w:type="dxa"/>
              <w:left w:w="0" w:type="dxa"/>
              <w:bottom w:w="0" w:type="dxa"/>
              <w:right w:w="0" w:type="dxa"/>
            </w:tcMar>
            <w:vAlign w:val="center"/>
          </w:tcPr>
          <w:p w14:paraId="6EEC9349">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w:t>
            </w:r>
          </w:p>
        </w:tc>
      </w:tr>
      <w:tr w14:paraId="7420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continue"/>
            <w:tcMar>
              <w:top w:w="0" w:type="dxa"/>
              <w:left w:w="0" w:type="dxa"/>
              <w:bottom w:w="0" w:type="dxa"/>
              <w:right w:w="0" w:type="dxa"/>
            </w:tcMar>
            <w:vAlign w:val="center"/>
          </w:tcPr>
          <w:p w14:paraId="42DE1628">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6DD56FBF">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874" w:type="dxa"/>
            <w:vMerge w:val="continue"/>
            <w:tcMar>
              <w:top w:w="0" w:type="dxa"/>
              <w:left w:w="0" w:type="dxa"/>
              <w:bottom w:w="0" w:type="dxa"/>
              <w:right w:w="0" w:type="dxa"/>
            </w:tcMar>
            <w:vAlign w:val="center"/>
          </w:tcPr>
          <w:p w14:paraId="03D03B7A">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4829" w:type="dxa"/>
            <w:tcMar>
              <w:top w:w="0" w:type="dxa"/>
              <w:left w:w="0" w:type="dxa"/>
              <w:bottom w:w="0" w:type="dxa"/>
              <w:right w:w="0" w:type="dxa"/>
            </w:tcMar>
            <w:vAlign w:val="center"/>
          </w:tcPr>
          <w:p w14:paraId="51E91EB4">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具备企业级协同管理、资源共享功能</w:t>
            </w:r>
          </w:p>
        </w:tc>
        <w:tc>
          <w:tcPr>
            <w:tcW w:w="762" w:type="dxa"/>
            <w:tcMar>
              <w:top w:w="0" w:type="dxa"/>
              <w:left w:w="0" w:type="dxa"/>
              <w:bottom w:w="0" w:type="dxa"/>
              <w:right w:w="0" w:type="dxa"/>
            </w:tcMar>
            <w:vAlign w:val="center"/>
          </w:tcPr>
          <w:p w14:paraId="368E78DC">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747" w:type="dxa"/>
            <w:tcMar>
              <w:top w:w="0" w:type="dxa"/>
              <w:left w:w="0" w:type="dxa"/>
              <w:bottom w:w="0" w:type="dxa"/>
              <w:right w:w="0" w:type="dxa"/>
            </w:tcMar>
            <w:vAlign w:val="center"/>
          </w:tcPr>
          <w:p w14:paraId="33DA6B8D">
            <w:pPr>
              <w:keepNext w:val="0"/>
              <w:keepLines w:val="0"/>
              <w:pageBreakBefore w:val="0"/>
              <w:widowControl w:val="0"/>
              <w:kinsoku/>
              <w:wordWrap/>
              <w:overflowPunct/>
              <w:topLinePunct w:val="0"/>
              <w:autoSpaceDE/>
              <w:autoSpaceDN/>
              <w:bidi w:val="0"/>
              <w:snapToGrid w:val="0"/>
              <w:jc w:val="center"/>
              <w:textAlignment w:val="auto"/>
              <w:rPr>
                <w:rFonts w:ascii="宋体" w:hAnsi="宋体"/>
                <w:sz w:val="21"/>
                <w:szCs w:val="21"/>
                <w:highlight w:val="none"/>
              </w:rPr>
            </w:pPr>
            <w:r>
              <w:rPr>
                <w:rFonts w:hint="eastAsia" w:ascii="宋体" w:hAnsi="宋体"/>
                <w:color w:val="000000"/>
                <w:sz w:val="21"/>
                <w:szCs w:val="21"/>
                <w:highlight w:val="none"/>
              </w:rPr>
              <w:t>√</w:t>
            </w:r>
          </w:p>
        </w:tc>
      </w:tr>
      <w:tr w14:paraId="4741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continue"/>
            <w:tcMar>
              <w:top w:w="0" w:type="dxa"/>
              <w:left w:w="0" w:type="dxa"/>
              <w:bottom w:w="0" w:type="dxa"/>
              <w:right w:w="0" w:type="dxa"/>
            </w:tcMar>
            <w:vAlign w:val="center"/>
          </w:tcPr>
          <w:p w14:paraId="185B9A93">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1CD75FB2">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874" w:type="dxa"/>
            <w:vMerge w:val="continue"/>
            <w:tcMar>
              <w:top w:w="0" w:type="dxa"/>
              <w:left w:w="0" w:type="dxa"/>
              <w:bottom w:w="0" w:type="dxa"/>
              <w:right w:w="0" w:type="dxa"/>
            </w:tcMar>
            <w:vAlign w:val="center"/>
          </w:tcPr>
          <w:p w14:paraId="506DD444">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4829" w:type="dxa"/>
            <w:tcMar>
              <w:top w:w="0" w:type="dxa"/>
              <w:left w:w="0" w:type="dxa"/>
              <w:bottom w:w="0" w:type="dxa"/>
              <w:right w:w="0" w:type="dxa"/>
            </w:tcMar>
            <w:vAlign w:val="center"/>
          </w:tcPr>
          <w:p w14:paraId="0FACBDB0">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具备工程建设参与方多协同管理功能</w:t>
            </w:r>
          </w:p>
        </w:tc>
        <w:tc>
          <w:tcPr>
            <w:tcW w:w="762" w:type="dxa"/>
            <w:tcMar>
              <w:top w:w="0" w:type="dxa"/>
              <w:left w:w="0" w:type="dxa"/>
              <w:bottom w:w="0" w:type="dxa"/>
              <w:right w:w="0" w:type="dxa"/>
            </w:tcMar>
            <w:vAlign w:val="center"/>
          </w:tcPr>
          <w:p w14:paraId="2ADE1C9B">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747" w:type="dxa"/>
            <w:tcMar>
              <w:top w:w="0" w:type="dxa"/>
              <w:left w:w="0" w:type="dxa"/>
              <w:bottom w:w="0" w:type="dxa"/>
              <w:right w:w="0" w:type="dxa"/>
            </w:tcMar>
            <w:vAlign w:val="center"/>
          </w:tcPr>
          <w:p w14:paraId="3FF48A27">
            <w:pPr>
              <w:keepNext w:val="0"/>
              <w:keepLines w:val="0"/>
              <w:pageBreakBefore w:val="0"/>
              <w:widowControl w:val="0"/>
              <w:kinsoku/>
              <w:wordWrap/>
              <w:overflowPunct/>
              <w:topLinePunct w:val="0"/>
              <w:autoSpaceDE/>
              <w:autoSpaceDN/>
              <w:bidi w:val="0"/>
              <w:snapToGrid w:val="0"/>
              <w:jc w:val="center"/>
              <w:textAlignment w:val="auto"/>
              <w:rPr>
                <w:rFonts w:ascii="宋体" w:hAnsi="宋体"/>
                <w:sz w:val="21"/>
                <w:szCs w:val="21"/>
                <w:highlight w:val="none"/>
              </w:rPr>
            </w:pPr>
            <w:r>
              <w:rPr>
                <w:rFonts w:hint="eastAsia" w:ascii="宋体" w:hAnsi="宋体"/>
                <w:color w:val="000000"/>
                <w:sz w:val="21"/>
                <w:szCs w:val="21"/>
                <w:highlight w:val="none"/>
              </w:rPr>
              <w:t>√</w:t>
            </w:r>
          </w:p>
        </w:tc>
      </w:tr>
      <w:tr w14:paraId="133EE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continue"/>
            <w:tcMar>
              <w:top w:w="0" w:type="dxa"/>
              <w:left w:w="0" w:type="dxa"/>
              <w:bottom w:w="0" w:type="dxa"/>
              <w:right w:w="0" w:type="dxa"/>
            </w:tcMar>
            <w:vAlign w:val="center"/>
          </w:tcPr>
          <w:p w14:paraId="29CA5F17">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59AA335C">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874" w:type="dxa"/>
            <w:vMerge w:val="restart"/>
            <w:tcMar>
              <w:top w:w="0" w:type="dxa"/>
              <w:left w:w="0" w:type="dxa"/>
              <w:bottom w:w="0" w:type="dxa"/>
              <w:right w:w="0" w:type="dxa"/>
            </w:tcMar>
            <w:vAlign w:val="center"/>
          </w:tcPr>
          <w:p w14:paraId="6D112ECB">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移动</w:t>
            </w:r>
          </w:p>
          <w:p w14:paraId="2DD88B46">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互联</w:t>
            </w:r>
          </w:p>
          <w:p w14:paraId="266F5CD6">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功能</w:t>
            </w:r>
          </w:p>
        </w:tc>
        <w:tc>
          <w:tcPr>
            <w:tcW w:w="4829" w:type="dxa"/>
            <w:tcMar>
              <w:top w:w="0" w:type="dxa"/>
              <w:left w:w="0" w:type="dxa"/>
              <w:bottom w:w="0" w:type="dxa"/>
              <w:right w:w="0" w:type="dxa"/>
            </w:tcMar>
            <w:vAlign w:val="center"/>
          </w:tcPr>
          <w:p w14:paraId="4CDB746F">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具备人员信息集成、项目管理各业务模块的功能</w:t>
            </w:r>
          </w:p>
        </w:tc>
        <w:tc>
          <w:tcPr>
            <w:tcW w:w="762" w:type="dxa"/>
            <w:tcMar>
              <w:top w:w="0" w:type="dxa"/>
              <w:left w:w="0" w:type="dxa"/>
              <w:bottom w:w="0" w:type="dxa"/>
              <w:right w:w="0" w:type="dxa"/>
            </w:tcMar>
            <w:vAlign w:val="center"/>
          </w:tcPr>
          <w:p w14:paraId="29E0BF1B">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w:t>
            </w:r>
          </w:p>
        </w:tc>
        <w:tc>
          <w:tcPr>
            <w:tcW w:w="747" w:type="dxa"/>
            <w:tcMar>
              <w:top w:w="0" w:type="dxa"/>
              <w:left w:w="0" w:type="dxa"/>
              <w:bottom w:w="0" w:type="dxa"/>
              <w:right w:w="0" w:type="dxa"/>
            </w:tcMar>
            <w:vAlign w:val="center"/>
          </w:tcPr>
          <w:p w14:paraId="21F4583D">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r>
      <w:tr w14:paraId="165C9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continue"/>
            <w:tcMar>
              <w:top w:w="0" w:type="dxa"/>
              <w:left w:w="0" w:type="dxa"/>
              <w:bottom w:w="0" w:type="dxa"/>
              <w:right w:w="0" w:type="dxa"/>
            </w:tcMar>
            <w:vAlign w:val="center"/>
          </w:tcPr>
          <w:p w14:paraId="36C082A6">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756C1297">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874" w:type="dxa"/>
            <w:vMerge w:val="continue"/>
            <w:tcMar>
              <w:top w:w="0" w:type="dxa"/>
              <w:left w:w="0" w:type="dxa"/>
              <w:bottom w:w="0" w:type="dxa"/>
              <w:right w:w="0" w:type="dxa"/>
            </w:tcMar>
            <w:vAlign w:val="center"/>
          </w:tcPr>
          <w:p w14:paraId="08289851">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4829" w:type="dxa"/>
            <w:tcMar>
              <w:top w:w="0" w:type="dxa"/>
              <w:left w:w="0" w:type="dxa"/>
              <w:bottom w:w="0" w:type="dxa"/>
              <w:right w:w="0" w:type="dxa"/>
            </w:tcMar>
            <w:vAlign w:val="center"/>
          </w:tcPr>
          <w:p w14:paraId="5E692B69">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具备支持接入其他系统、平台的功能</w:t>
            </w:r>
          </w:p>
        </w:tc>
        <w:tc>
          <w:tcPr>
            <w:tcW w:w="762" w:type="dxa"/>
            <w:tcMar>
              <w:top w:w="0" w:type="dxa"/>
              <w:left w:w="0" w:type="dxa"/>
              <w:bottom w:w="0" w:type="dxa"/>
              <w:right w:w="0" w:type="dxa"/>
            </w:tcMar>
            <w:vAlign w:val="center"/>
          </w:tcPr>
          <w:p w14:paraId="17361794">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747" w:type="dxa"/>
            <w:tcMar>
              <w:top w:w="0" w:type="dxa"/>
              <w:left w:w="0" w:type="dxa"/>
              <w:bottom w:w="0" w:type="dxa"/>
              <w:right w:w="0" w:type="dxa"/>
            </w:tcMar>
            <w:vAlign w:val="center"/>
          </w:tcPr>
          <w:p w14:paraId="6DC8D71E">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w:t>
            </w:r>
          </w:p>
        </w:tc>
      </w:tr>
      <w:tr w14:paraId="2F182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continue"/>
            <w:tcMar>
              <w:top w:w="0" w:type="dxa"/>
              <w:left w:w="0" w:type="dxa"/>
              <w:bottom w:w="0" w:type="dxa"/>
              <w:right w:w="0" w:type="dxa"/>
            </w:tcMar>
            <w:vAlign w:val="center"/>
          </w:tcPr>
          <w:p w14:paraId="168C6904">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1287E63E">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874" w:type="dxa"/>
            <w:tcMar>
              <w:top w:w="0" w:type="dxa"/>
              <w:left w:w="0" w:type="dxa"/>
              <w:bottom w:w="0" w:type="dxa"/>
              <w:right w:w="0" w:type="dxa"/>
            </w:tcMar>
            <w:vAlign w:val="center"/>
          </w:tcPr>
          <w:p w14:paraId="0E5A6F9E">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物联网接入功能</w:t>
            </w:r>
          </w:p>
        </w:tc>
        <w:tc>
          <w:tcPr>
            <w:tcW w:w="4829" w:type="dxa"/>
            <w:tcMar>
              <w:top w:w="0" w:type="dxa"/>
              <w:left w:w="0" w:type="dxa"/>
              <w:bottom w:w="0" w:type="dxa"/>
              <w:right w:w="0" w:type="dxa"/>
            </w:tcMar>
            <w:vAlign w:val="center"/>
          </w:tcPr>
          <w:p w14:paraId="699BA194">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具备施工现场物联网监测设备接口支撑功能</w:t>
            </w:r>
          </w:p>
        </w:tc>
        <w:tc>
          <w:tcPr>
            <w:tcW w:w="762" w:type="dxa"/>
            <w:tcMar>
              <w:top w:w="0" w:type="dxa"/>
              <w:left w:w="0" w:type="dxa"/>
              <w:bottom w:w="0" w:type="dxa"/>
              <w:right w:w="0" w:type="dxa"/>
            </w:tcMar>
            <w:vAlign w:val="center"/>
          </w:tcPr>
          <w:p w14:paraId="64C06B81">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w:t>
            </w:r>
          </w:p>
        </w:tc>
        <w:tc>
          <w:tcPr>
            <w:tcW w:w="747" w:type="dxa"/>
            <w:tcMar>
              <w:top w:w="0" w:type="dxa"/>
              <w:left w:w="0" w:type="dxa"/>
              <w:bottom w:w="0" w:type="dxa"/>
              <w:right w:w="0" w:type="dxa"/>
            </w:tcMar>
            <w:vAlign w:val="center"/>
          </w:tcPr>
          <w:p w14:paraId="5CADAB08">
            <w:pPr>
              <w:keepNext w:val="0"/>
              <w:keepLines w:val="0"/>
              <w:pageBreakBefore w:val="0"/>
              <w:widowControl w:val="0"/>
              <w:kinsoku/>
              <w:wordWrap/>
              <w:overflowPunct/>
              <w:topLinePunct w:val="0"/>
              <w:autoSpaceDE/>
              <w:autoSpaceDN/>
              <w:bidi w:val="0"/>
              <w:snapToGrid w:val="0"/>
              <w:jc w:val="center"/>
              <w:textAlignment w:val="auto"/>
              <w:rPr>
                <w:rFonts w:ascii="宋体" w:hAnsi="宋体"/>
                <w:color w:val="000000"/>
                <w:sz w:val="21"/>
                <w:szCs w:val="21"/>
                <w:highlight w:val="none"/>
              </w:rPr>
            </w:pPr>
          </w:p>
        </w:tc>
      </w:tr>
      <w:tr w14:paraId="42E81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continue"/>
            <w:tcMar>
              <w:top w:w="0" w:type="dxa"/>
              <w:left w:w="0" w:type="dxa"/>
              <w:bottom w:w="0" w:type="dxa"/>
              <w:right w:w="0" w:type="dxa"/>
            </w:tcMar>
            <w:vAlign w:val="center"/>
          </w:tcPr>
          <w:p w14:paraId="4C7F32DE">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28EE2DA9">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874" w:type="dxa"/>
            <w:vMerge w:val="restart"/>
            <w:tcMar>
              <w:top w:w="0" w:type="dxa"/>
              <w:left w:w="0" w:type="dxa"/>
              <w:bottom w:w="0" w:type="dxa"/>
              <w:right w:w="0" w:type="dxa"/>
            </w:tcMar>
            <w:vAlign w:val="center"/>
          </w:tcPr>
          <w:p w14:paraId="43661222">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地理信息系统</w:t>
            </w:r>
          </w:p>
          <w:p w14:paraId="7161C732">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功能</w:t>
            </w:r>
          </w:p>
        </w:tc>
        <w:tc>
          <w:tcPr>
            <w:tcW w:w="4829" w:type="dxa"/>
            <w:tcMar>
              <w:top w:w="0" w:type="dxa"/>
              <w:left w:w="0" w:type="dxa"/>
              <w:bottom w:w="0" w:type="dxa"/>
              <w:right w:w="0" w:type="dxa"/>
            </w:tcMar>
            <w:vAlign w:val="center"/>
          </w:tcPr>
          <w:p w14:paraId="194A03B8">
            <w:pPr>
              <w:keepNext w:val="0"/>
              <w:keepLines w:val="0"/>
              <w:pageBreakBefore w:val="0"/>
              <w:widowControl w:val="0"/>
              <w:kinsoku/>
              <w:wordWrap/>
              <w:overflowPunct/>
              <w:topLinePunct w:val="0"/>
              <w:autoSpaceDE/>
              <w:autoSpaceDN/>
              <w:bidi w:val="0"/>
              <w:adjustRightInd w:val="0"/>
              <w:snapToGrid w:val="0"/>
              <w:textAlignment w:val="auto"/>
              <w:rPr>
                <w:rFonts w:ascii="宋体" w:hAnsi="宋体"/>
                <w:color w:val="000000"/>
                <w:sz w:val="21"/>
                <w:szCs w:val="21"/>
                <w:highlight w:val="none"/>
              </w:rPr>
            </w:pPr>
            <w:r>
              <w:rPr>
                <w:rFonts w:hint="eastAsia" w:ascii="宋体" w:hAnsi="宋体"/>
                <w:color w:val="000000"/>
                <w:sz w:val="21"/>
                <w:szCs w:val="21"/>
                <w:highlight w:val="none"/>
              </w:rPr>
              <w:t>提供空间数据管理功能，包括但不限于图形管理、属性管理、拓扑管理、状态管理</w:t>
            </w:r>
          </w:p>
        </w:tc>
        <w:tc>
          <w:tcPr>
            <w:tcW w:w="762" w:type="dxa"/>
            <w:tcMar>
              <w:top w:w="0" w:type="dxa"/>
              <w:left w:w="0" w:type="dxa"/>
              <w:bottom w:w="0" w:type="dxa"/>
              <w:right w:w="0" w:type="dxa"/>
            </w:tcMar>
            <w:vAlign w:val="center"/>
          </w:tcPr>
          <w:p w14:paraId="628DB4C6">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747" w:type="dxa"/>
            <w:tcMar>
              <w:top w:w="0" w:type="dxa"/>
              <w:left w:w="0" w:type="dxa"/>
              <w:bottom w:w="0" w:type="dxa"/>
              <w:right w:w="0" w:type="dxa"/>
            </w:tcMar>
            <w:vAlign w:val="center"/>
          </w:tcPr>
          <w:p w14:paraId="4A4FCF48">
            <w:pPr>
              <w:keepNext w:val="0"/>
              <w:keepLines w:val="0"/>
              <w:pageBreakBefore w:val="0"/>
              <w:widowControl w:val="0"/>
              <w:kinsoku/>
              <w:wordWrap/>
              <w:overflowPunct/>
              <w:topLinePunct w:val="0"/>
              <w:autoSpaceDE/>
              <w:autoSpaceDN/>
              <w:bidi w:val="0"/>
              <w:snapToGrid w:val="0"/>
              <w:jc w:val="center"/>
              <w:textAlignment w:val="auto"/>
              <w:rPr>
                <w:rFonts w:ascii="宋体" w:hAnsi="宋体"/>
                <w:sz w:val="21"/>
                <w:szCs w:val="21"/>
                <w:highlight w:val="none"/>
              </w:rPr>
            </w:pPr>
            <w:r>
              <w:rPr>
                <w:rFonts w:hint="eastAsia" w:ascii="宋体" w:hAnsi="宋体"/>
                <w:color w:val="000000"/>
                <w:sz w:val="21"/>
                <w:szCs w:val="21"/>
                <w:highlight w:val="none"/>
              </w:rPr>
              <w:t>√</w:t>
            </w:r>
          </w:p>
        </w:tc>
      </w:tr>
      <w:tr w14:paraId="5CF6F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continue"/>
            <w:tcMar>
              <w:top w:w="0" w:type="dxa"/>
              <w:left w:w="0" w:type="dxa"/>
              <w:bottom w:w="0" w:type="dxa"/>
              <w:right w:w="0" w:type="dxa"/>
            </w:tcMar>
            <w:vAlign w:val="center"/>
          </w:tcPr>
          <w:p w14:paraId="589BD4B7">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0B1572F1">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874" w:type="dxa"/>
            <w:vMerge w:val="continue"/>
            <w:tcMar>
              <w:top w:w="0" w:type="dxa"/>
              <w:left w:w="0" w:type="dxa"/>
              <w:bottom w:w="0" w:type="dxa"/>
              <w:right w:w="0" w:type="dxa"/>
            </w:tcMar>
            <w:vAlign w:val="center"/>
          </w:tcPr>
          <w:p w14:paraId="4E8F4988">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4829" w:type="dxa"/>
            <w:tcMar>
              <w:top w:w="0" w:type="dxa"/>
              <w:left w:w="0" w:type="dxa"/>
              <w:bottom w:w="0" w:type="dxa"/>
              <w:right w:w="0" w:type="dxa"/>
            </w:tcMar>
            <w:vAlign w:val="center"/>
          </w:tcPr>
          <w:p w14:paraId="6BCC2FDB">
            <w:pPr>
              <w:keepNext w:val="0"/>
              <w:keepLines w:val="0"/>
              <w:pageBreakBefore w:val="0"/>
              <w:widowControl w:val="0"/>
              <w:kinsoku/>
              <w:wordWrap/>
              <w:overflowPunct/>
              <w:topLinePunct w:val="0"/>
              <w:autoSpaceDE/>
              <w:autoSpaceDN/>
              <w:bidi w:val="0"/>
              <w:adjustRightInd w:val="0"/>
              <w:snapToGrid w:val="0"/>
              <w:textAlignment w:val="auto"/>
              <w:rPr>
                <w:rFonts w:ascii="宋体" w:hAnsi="宋体"/>
                <w:color w:val="000000"/>
                <w:sz w:val="21"/>
                <w:szCs w:val="21"/>
                <w:highlight w:val="none"/>
              </w:rPr>
            </w:pPr>
            <w:r>
              <w:rPr>
                <w:rFonts w:hint="eastAsia" w:ascii="宋体" w:hAnsi="宋体"/>
                <w:color w:val="000000"/>
                <w:sz w:val="21"/>
                <w:szCs w:val="21"/>
                <w:highlight w:val="none"/>
              </w:rPr>
              <w:t>提供数据提取和转换功能，包括但不限于参数提取、坐标变换、格式转换</w:t>
            </w:r>
          </w:p>
        </w:tc>
        <w:tc>
          <w:tcPr>
            <w:tcW w:w="762" w:type="dxa"/>
            <w:tcMar>
              <w:top w:w="0" w:type="dxa"/>
              <w:left w:w="0" w:type="dxa"/>
              <w:bottom w:w="0" w:type="dxa"/>
              <w:right w:w="0" w:type="dxa"/>
            </w:tcMar>
            <w:vAlign w:val="center"/>
          </w:tcPr>
          <w:p w14:paraId="2AC2BB1F">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747" w:type="dxa"/>
            <w:tcMar>
              <w:top w:w="0" w:type="dxa"/>
              <w:left w:w="0" w:type="dxa"/>
              <w:bottom w:w="0" w:type="dxa"/>
              <w:right w:w="0" w:type="dxa"/>
            </w:tcMar>
            <w:vAlign w:val="center"/>
          </w:tcPr>
          <w:p w14:paraId="4406299B">
            <w:pPr>
              <w:keepNext w:val="0"/>
              <w:keepLines w:val="0"/>
              <w:pageBreakBefore w:val="0"/>
              <w:widowControl w:val="0"/>
              <w:kinsoku/>
              <w:wordWrap/>
              <w:overflowPunct/>
              <w:topLinePunct w:val="0"/>
              <w:autoSpaceDE/>
              <w:autoSpaceDN/>
              <w:bidi w:val="0"/>
              <w:snapToGrid w:val="0"/>
              <w:jc w:val="center"/>
              <w:textAlignment w:val="auto"/>
              <w:rPr>
                <w:rFonts w:ascii="宋体" w:hAnsi="宋体"/>
                <w:sz w:val="21"/>
                <w:szCs w:val="21"/>
                <w:highlight w:val="none"/>
              </w:rPr>
            </w:pPr>
            <w:r>
              <w:rPr>
                <w:rFonts w:hint="eastAsia" w:ascii="宋体" w:hAnsi="宋体"/>
                <w:color w:val="000000"/>
                <w:sz w:val="21"/>
                <w:szCs w:val="21"/>
                <w:highlight w:val="none"/>
              </w:rPr>
              <w:t>√</w:t>
            </w:r>
          </w:p>
        </w:tc>
      </w:tr>
      <w:tr w14:paraId="5F2BE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tcMar>
              <w:top w:w="0" w:type="dxa"/>
              <w:left w:w="0" w:type="dxa"/>
              <w:bottom w:w="0" w:type="dxa"/>
              <w:right w:w="0" w:type="dxa"/>
            </w:tcMar>
            <w:vAlign w:val="center"/>
          </w:tcPr>
          <w:p w14:paraId="0D474979">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4</w:t>
            </w:r>
          </w:p>
        </w:tc>
        <w:tc>
          <w:tcPr>
            <w:tcW w:w="1351" w:type="dxa"/>
            <w:tcMar>
              <w:top w:w="0" w:type="dxa"/>
              <w:left w:w="0" w:type="dxa"/>
              <w:bottom w:w="0" w:type="dxa"/>
              <w:right w:w="0" w:type="dxa"/>
            </w:tcMar>
            <w:vAlign w:val="center"/>
          </w:tcPr>
          <w:p w14:paraId="11E9FC92">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控制机房</w:t>
            </w:r>
          </w:p>
        </w:tc>
        <w:tc>
          <w:tcPr>
            <w:tcW w:w="5703" w:type="dxa"/>
            <w:gridSpan w:val="2"/>
            <w:tcMar>
              <w:top w:w="0" w:type="dxa"/>
              <w:left w:w="0" w:type="dxa"/>
              <w:bottom w:w="0" w:type="dxa"/>
              <w:right w:w="0" w:type="dxa"/>
            </w:tcMar>
            <w:vAlign w:val="center"/>
          </w:tcPr>
          <w:p w14:paraId="2538AA4A">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符合GB/T 34982第5章的规定</w:t>
            </w:r>
          </w:p>
        </w:tc>
        <w:tc>
          <w:tcPr>
            <w:tcW w:w="762" w:type="dxa"/>
            <w:tcMar>
              <w:top w:w="0" w:type="dxa"/>
              <w:left w:w="0" w:type="dxa"/>
              <w:bottom w:w="0" w:type="dxa"/>
              <w:right w:w="0" w:type="dxa"/>
            </w:tcMar>
            <w:vAlign w:val="center"/>
          </w:tcPr>
          <w:p w14:paraId="529B02AE">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w:t>
            </w:r>
          </w:p>
        </w:tc>
        <w:tc>
          <w:tcPr>
            <w:tcW w:w="747" w:type="dxa"/>
            <w:tcMar>
              <w:top w:w="0" w:type="dxa"/>
              <w:left w:w="0" w:type="dxa"/>
              <w:bottom w:w="0" w:type="dxa"/>
              <w:right w:w="0" w:type="dxa"/>
            </w:tcMar>
            <w:vAlign w:val="center"/>
          </w:tcPr>
          <w:p w14:paraId="6D9F1AE0">
            <w:pPr>
              <w:keepNext w:val="0"/>
              <w:keepLines w:val="0"/>
              <w:pageBreakBefore w:val="0"/>
              <w:widowControl w:val="0"/>
              <w:kinsoku/>
              <w:wordWrap/>
              <w:overflowPunct/>
              <w:topLinePunct w:val="0"/>
              <w:autoSpaceDE/>
              <w:autoSpaceDN/>
              <w:bidi w:val="0"/>
              <w:snapToGrid w:val="0"/>
              <w:jc w:val="center"/>
              <w:textAlignment w:val="auto"/>
              <w:rPr>
                <w:rFonts w:ascii="宋体" w:hAnsi="宋体"/>
                <w:color w:val="000000"/>
                <w:sz w:val="21"/>
                <w:szCs w:val="21"/>
                <w:highlight w:val="none"/>
              </w:rPr>
            </w:pPr>
          </w:p>
        </w:tc>
      </w:tr>
      <w:tr w14:paraId="47F8E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restart"/>
            <w:tcMar>
              <w:top w:w="0" w:type="dxa"/>
              <w:left w:w="0" w:type="dxa"/>
              <w:bottom w:w="0" w:type="dxa"/>
              <w:right w:w="0" w:type="dxa"/>
            </w:tcMar>
            <w:vAlign w:val="center"/>
          </w:tcPr>
          <w:p w14:paraId="5EC028D9">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5</w:t>
            </w:r>
          </w:p>
        </w:tc>
        <w:tc>
          <w:tcPr>
            <w:tcW w:w="1351" w:type="dxa"/>
            <w:vMerge w:val="restart"/>
            <w:tcMar>
              <w:top w:w="0" w:type="dxa"/>
              <w:left w:w="0" w:type="dxa"/>
              <w:bottom w:w="0" w:type="dxa"/>
              <w:right w:w="0" w:type="dxa"/>
            </w:tcMar>
            <w:vAlign w:val="center"/>
          </w:tcPr>
          <w:p w14:paraId="4F2F68F4">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r>
              <w:rPr>
                <w:rFonts w:hint="eastAsia" w:ascii="宋体" w:hAnsi="宋体"/>
                <w:color w:val="000000"/>
                <w:sz w:val="21"/>
                <w:szCs w:val="21"/>
                <w:highlight w:val="none"/>
              </w:rPr>
              <w:t>信息应用终端</w:t>
            </w:r>
          </w:p>
        </w:tc>
        <w:tc>
          <w:tcPr>
            <w:tcW w:w="5703" w:type="dxa"/>
            <w:gridSpan w:val="2"/>
            <w:tcMar>
              <w:top w:w="0" w:type="dxa"/>
              <w:left w:w="0" w:type="dxa"/>
              <w:bottom w:w="0" w:type="dxa"/>
              <w:right w:w="0" w:type="dxa"/>
            </w:tcMar>
            <w:vAlign w:val="center"/>
          </w:tcPr>
          <w:p w14:paraId="42AD8542">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具备固定终端设备，并具备现场综合信息处理功能</w:t>
            </w:r>
          </w:p>
        </w:tc>
        <w:tc>
          <w:tcPr>
            <w:tcW w:w="762" w:type="dxa"/>
            <w:tcMar>
              <w:top w:w="0" w:type="dxa"/>
              <w:left w:w="0" w:type="dxa"/>
              <w:bottom w:w="0" w:type="dxa"/>
              <w:right w:w="0" w:type="dxa"/>
            </w:tcMar>
            <w:vAlign w:val="center"/>
          </w:tcPr>
          <w:p w14:paraId="3CB8422A">
            <w:pPr>
              <w:keepNext w:val="0"/>
              <w:keepLines w:val="0"/>
              <w:pageBreakBefore w:val="0"/>
              <w:widowControl w:val="0"/>
              <w:kinsoku/>
              <w:wordWrap/>
              <w:overflowPunct/>
              <w:topLinePunct w:val="0"/>
              <w:autoSpaceDE/>
              <w:autoSpaceDN/>
              <w:bidi w:val="0"/>
              <w:snapToGrid w:val="0"/>
              <w:jc w:val="center"/>
              <w:textAlignment w:val="auto"/>
              <w:rPr>
                <w:rFonts w:ascii="宋体" w:hAnsi="宋体"/>
                <w:sz w:val="21"/>
                <w:szCs w:val="21"/>
                <w:highlight w:val="none"/>
              </w:rPr>
            </w:pPr>
            <w:r>
              <w:rPr>
                <w:rFonts w:hint="eastAsia" w:ascii="宋体" w:hAnsi="宋体"/>
                <w:color w:val="000000"/>
                <w:sz w:val="21"/>
                <w:szCs w:val="21"/>
                <w:highlight w:val="none"/>
              </w:rPr>
              <w:t>√</w:t>
            </w:r>
          </w:p>
        </w:tc>
        <w:tc>
          <w:tcPr>
            <w:tcW w:w="747" w:type="dxa"/>
            <w:tcMar>
              <w:top w:w="0" w:type="dxa"/>
              <w:left w:w="0" w:type="dxa"/>
              <w:bottom w:w="0" w:type="dxa"/>
              <w:right w:w="0" w:type="dxa"/>
            </w:tcMar>
            <w:vAlign w:val="center"/>
          </w:tcPr>
          <w:p w14:paraId="581DA3CD">
            <w:pPr>
              <w:keepNext w:val="0"/>
              <w:keepLines w:val="0"/>
              <w:pageBreakBefore w:val="0"/>
              <w:widowControl w:val="0"/>
              <w:kinsoku/>
              <w:wordWrap/>
              <w:overflowPunct/>
              <w:topLinePunct w:val="0"/>
              <w:autoSpaceDE/>
              <w:autoSpaceDN/>
              <w:bidi w:val="0"/>
              <w:snapToGrid w:val="0"/>
              <w:jc w:val="center"/>
              <w:textAlignment w:val="auto"/>
              <w:rPr>
                <w:rFonts w:ascii="宋体" w:hAnsi="宋体"/>
                <w:color w:val="000000"/>
                <w:sz w:val="21"/>
                <w:szCs w:val="21"/>
                <w:highlight w:val="none"/>
              </w:rPr>
            </w:pPr>
          </w:p>
        </w:tc>
      </w:tr>
      <w:tr w14:paraId="0AADD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continue"/>
            <w:tcMar>
              <w:top w:w="0" w:type="dxa"/>
              <w:left w:w="0" w:type="dxa"/>
              <w:bottom w:w="0" w:type="dxa"/>
              <w:right w:w="0" w:type="dxa"/>
            </w:tcMar>
            <w:vAlign w:val="center"/>
          </w:tcPr>
          <w:p w14:paraId="05A0C376">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19B2EA79">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5703" w:type="dxa"/>
            <w:gridSpan w:val="2"/>
            <w:tcMar>
              <w:top w:w="0" w:type="dxa"/>
              <w:left w:w="0" w:type="dxa"/>
              <w:bottom w:w="0" w:type="dxa"/>
              <w:right w:w="0" w:type="dxa"/>
            </w:tcMar>
            <w:vAlign w:val="center"/>
          </w:tcPr>
          <w:p w14:paraId="38CE15D7">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具备移动终端设备，并具备现场识别、监测、管理、控制等信息处理功能</w:t>
            </w:r>
          </w:p>
        </w:tc>
        <w:tc>
          <w:tcPr>
            <w:tcW w:w="762" w:type="dxa"/>
            <w:tcMar>
              <w:top w:w="0" w:type="dxa"/>
              <w:left w:w="0" w:type="dxa"/>
              <w:bottom w:w="0" w:type="dxa"/>
              <w:right w:w="0" w:type="dxa"/>
            </w:tcMar>
            <w:vAlign w:val="center"/>
          </w:tcPr>
          <w:p w14:paraId="6C79EF91">
            <w:pPr>
              <w:keepNext w:val="0"/>
              <w:keepLines w:val="0"/>
              <w:pageBreakBefore w:val="0"/>
              <w:widowControl w:val="0"/>
              <w:kinsoku/>
              <w:wordWrap/>
              <w:overflowPunct/>
              <w:topLinePunct w:val="0"/>
              <w:autoSpaceDE/>
              <w:autoSpaceDN/>
              <w:bidi w:val="0"/>
              <w:snapToGrid w:val="0"/>
              <w:jc w:val="center"/>
              <w:textAlignment w:val="auto"/>
              <w:rPr>
                <w:rFonts w:ascii="宋体" w:hAnsi="宋体"/>
                <w:sz w:val="21"/>
                <w:szCs w:val="21"/>
                <w:highlight w:val="none"/>
              </w:rPr>
            </w:pPr>
            <w:r>
              <w:rPr>
                <w:rFonts w:hint="eastAsia" w:ascii="宋体" w:hAnsi="宋体"/>
                <w:color w:val="000000"/>
                <w:sz w:val="21"/>
                <w:szCs w:val="21"/>
                <w:highlight w:val="none"/>
              </w:rPr>
              <w:t>√</w:t>
            </w:r>
          </w:p>
        </w:tc>
        <w:tc>
          <w:tcPr>
            <w:tcW w:w="747" w:type="dxa"/>
            <w:tcMar>
              <w:top w:w="0" w:type="dxa"/>
              <w:left w:w="0" w:type="dxa"/>
              <w:bottom w:w="0" w:type="dxa"/>
              <w:right w:w="0" w:type="dxa"/>
            </w:tcMar>
            <w:vAlign w:val="center"/>
          </w:tcPr>
          <w:p w14:paraId="0D15A230">
            <w:pPr>
              <w:keepNext w:val="0"/>
              <w:keepLines w:val="0"/>
              <w:pageBreakBefore w:val="0"/>
              <w:widowControl w:val="0"/>
              <w:kinsoku/>
              <w:wordWrap/>
              <w:overflowPunct/>
              <w:topLinePunct w:val="0"/>
              <w:autoSpaceDE/>
              <w:autoSpaceDN/>
              <w:bidi w:val="0"/>
              <w:snapToGrid w:val="0"/>
              <w:jc w:val="center"/>
              <w:textAlignment w:val="auto"/>
              <w:rPr>
                <w:rFonts w:ascii="宋体" w:hAnsi="宋体"/>
                <w:color w:val="000000"/>
                <w:sz w:val="21"/>
                <w:szCs w:val="21"/>
                <w:highlight w:val="none"/>
              </w:rPr>
            </w:pPr>
          </w:p>
        </w:tc>
      </w:tr>
      <w:tr w14:paraId="65148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continue"/>
            <w:tcMar>
              <w:top w:w="0" w:type="dxa"/>
              <w:left w:w="0" w:type="dxa"/>
              <w:bottom w:w="0" w:type="dxa"/>
              <w:right w:w="0" w:type="dxa"/>
            </w:tcMar>
            <w:vAlign w:val="center"/>
          </w:tcPr>
          <w:p w14:paraId="1101333E">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3DC6CA64">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5703" w:type="dxa"/>
            <w:gridSpan w:val="2"/>
            <w:tcMar>
              <w:top w:w="0" w:type="dxa"/>
              <w:left w:w="0" w:type="dxa"/>
              <w:bottom w:w="0" w:type="dxa"/>
              <w:right w:w="0" w:type="dxa"/>
            </w:tcMar>
            <w:vAlign w:val="center"/>
          </w:tcPr>
          <w:p w14:paraId="7C40336F">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具备语音广播设备并构建公共广播系统，提供信息广播功能</w:t>
            </w:r>
          </w:p>
        </w:tc>
        <w:tc>
          <w:tcPr>
            <w:tcW w:w="762" w:type="dxa"/>
            <w:tcMar>
              <w:top w:w="0" w:type="dxa"/>
              <w:left w:w="0" w:type="dxa"/>
              <w:bottom w:w="0" w:type="dxa"/>
              <w:right w:w="0" w:type="dxa"/>
            </w:tcMar>
            <w:vAlign w:val="center"/>
          </w:tcPr>
          <w:p w14:paraId="6CCE7366">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747" w:type="dxa"/>
            <w:tcMar>
              <w:top w:w="0" w:type="dxa"/>
              <w:left w:w="0" w:type="dxa"/>
              <w:bottom w:w="0" w:type="dxa"/>
              <w:right w:w="0" w:type="dxa"/>
            </w:tcMar>
            <w:vAlign w:val="center"/>
          </w:tcPr>
          <w:p w14:paraId="55C2566A">
            <w:pPr>
              <w:keepNext w:val="0"/>
              <w:keepLines w:val="0"/>
              <w:pageBreakBefore w:val="0"/>
              <w:widowControl w:val="0"/>
              <w:kinsoku/>
              <w:wordWrap/>
              <w:overflowPunct/>
              <w:topLinePunct w:val="0"/>
              <w:autoSpaceDE/>
              <w:autoSpaceDN/>
              <w:bidi w:val="0"/>
              <w:snapToGrid w:val="0"/>
              <w:jc w:val="center"/>
              <w:textAlignment w:val="auto"/>
              <w:rPr>
                <w:rFonts w:ascii="宋体" w:hAnsi="宋体"/>
                <w:sz w:val="21"/>
                <w:szCs w:val="21"/>
                <w:highlight w:val="none"/>
              </w:rPr>
            </w:pPr>
            <w:r>
              <w:rPr>
                <w:rFonts w:hint="eastAsia" w:ascii="宋体" w:hAnsi="宋体"/>
                <w:color w:val="000000"/>
                <w:sz w:val="21"/>
                <w:szCs w:val="21"/>
                <w:highlight w:val="none"/>
              </w:rPr>
              <w:t>√</w:t>
            </w:r>
          </w:p>
        </w:tc>
      </w:tr>
      <w:tr w14:paraId="27474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5" w:type="dxa"/>
            <w:vMerge w:val="continue"/>
            <w:tcMar>
              <w:top w:w="0" w:type="dxa"/>
              <w:left w:w="0" w:type="dxa"/>
              <w:bottom w:w="0" w:type="dxa"/>
              <w:right w:w="0" w:type="dxa"/>
            </w:tcMar>
            <w:vAlign w:val="center"/>
          </w:tcPr>
          <w:p w14:paraId="3CFA6C3D">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1351" w:type="dxa"/>
            <w:vMerge w:val="continue"/>
            <w:tcMar>
              <w:top w:w="0" w:type="dxa"/>
              <w:left w:w="0" w:type="dxa"/>
              <w:bottom w:w="0" w:type="dxa"/>
              <w:right w:w="0" w:type="dxa"/>
            </w:tcMar>
            <w:vAlign w:val="center"/>
          </w:tcPr>
          <w:p w14:paraId="2E451484">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5703" w:type="dxa"/>
            <w:gridSpan w:val="2"/>
            <w:tcMar>
              <w:top w:w="0" w:type="dxa"/>
              <w:left w:w="0" w:type="dxa"/>
              <w:bottom w:w="0" w:type="dxa"/>
              <w:right w:w="0" w:type="dxa"/>
            </w:tcMar>
            <w:vAlign w:val="center"/>
          </w:tcPr>
          <w:p w14:paraId="55517CCD">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olor w:val="000000"/>
                <w:sz w:val="21"/>
                <w:szCs w:val="21"/>
                <w:highlight w:val="none"/>
              </w:rPr>
            </w:pPr>
            <w:r>
              <w:rPr>
                <w:rFonts w:hint="eastAsia" w:ascii="宋体" w:hAnsi="宋体"/>
                <w:color w:val="000000"/>
                <w:sz w:val="21"/>
                <w:szCs w:val="21"/>
                <w:highlight w:val="none"/>
              </w:rPr>
              <w:t>具备设置固定电子屏并构建信息发布系统，提供信息检索、信息查询、信息推送等功能</w:t>
            </w:r>
          </w:p>
        </w:tc>
        <w:tc>
          <w:tcPr>
            <w:tcW w:w="762" w:type="dxa"/>
            <w:tcMar>
              <w:top w:w="0" w:type="dxa"/>
              <w:left w:w="0" w:type="dxa"/>
              <w:bottom w:w="0" w:type="dxa"/>
              <w:right w:w="0" w:type="dxa"/>
            </w:tcMar>
            <w:vAlign w:val="center"/>
          </w:tcPr>
          <w:p w14:paraId="3220D7CB">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olor w:val="000000"/>
                <w:sz w:val="21"/>
                <w:szCs w:val="21"/>
                <w:highlight w:val="none"/>
              </w:rPr>
            </w:pPr>
          </w:p>
        </w:tc>
        <w:tc>
          <w:tcPr>
            <w:tcW w:w="747" w:type="dxa"/>
            <w:tcMar>
              <w:top w:w="0" w:type="dxa"/>
              <w:left w:w="0" w:type="dxa"/>
              <w:bottom w:w="0" w:type="dxa"/>
              <w:right w:w="0" w:type="dxa"/>
            </w:tcMar>
            <w:vAlign w:val="center"/>
          </w:tcPr>
          <w:p w14:paraId="57C7E9D5">
            <w:pPr>
              <w:keepNext w:val="0"/>
              <w:keepLines w:val="0"/>
              <w:pageBreakBefore w:val="0"/>
              <w:widowControl w:val="0"/>
              <w:kinsoku/>
              <w:wordWrap/>
              <w:overflowPunct/>
              <w:topLinePunct w:val="0"/>
              <w:autoSpaceDE/>
              <w:autoSpaceDN/>
              <w:bidi w:val="0"/>
              <w:snapToGrid w:val="0"/>
              <w:jc w:val="center"/>
              <w:textAlignment w:val="auto"/>
              <w:rPr>
                <w:rFonts w:ascii="宋体" w:hAnsi="宋体"/>
                <w:sz w:val="21"/>
                <w:szCs w:val="21"/>
                <w:highlight w:val="none"/>
              </w:rPr>
            </w:pPr>
            <w:r>
              <w:rPr>
                <w:rFonts w:hint="eastAsia" w:ascii="宋体" w:hAnsi="宋体"/>
                <w:color w:val="000000"/>
                <w:sz w:val="21"/>
                <w:szCs w:val="21"/>
                <w:highlight w:val="none"/>
              </w:rPr>
              <w:t>√</w:t>
            </w:r>
          </w:p>
        </w:tc>
      </w:tr>
    </w:tbl>
    <w:p w14:paraId="5F4FAEAC">
      <w:pPr>
        <w:tabs>
          <w:tab w:val="left" w:pos="859"/>
        </w:tabs>
        <w:overflowPunct w:val="0"/>
        <w:autoSpaceDE w:val="0"/>
        <w:autoSpaceDN w:val="0"/>
        <w:adjustRightInd w:val="0"/>
        <w:spacing w:before="156" w:beforeLines="50" w:after="156" w:afterLines="50" w:line="278" w:lineRule="auto"/>
        <w:ind w:left="554" w:leftChars="164" w:right="215" w:hanging="210" w:hangingChars="100"/>
        <w:jc w:val="left"/>
        <w:rPr>
          <w:rFonts w:ascii="宋体" w:hAnsi="Times New Roman" w:cs="宋体"/>
          <w:kern w:val="0"/>
          <w:szCs w:val="21"/>
          <w:highlight w:val="none"/>
        </w:rPr>
      </w:pPr>
    </w:p>
    <w:p w14:paraId="49979568">
      <w:pPr>
        <w:rPr>
          <w:highlight w:val="none"/>
        </w:rPr>
      </w:pPr>
      <w:r>
        <w:rPr>
          <w:highlight w:val="none"/>
        </w:rPr>
        <w:br w:type="page"/>
      </w:r>
    </w:p>
    <w:p w14:paraId="07C14C53">
      <w:pPr>
        <w:keepNext/>
        <w:widowControl/>
        <w:shd w:val="clear" w:color="FFFFFF" w:fill="FFFFFF"/>
        <w:tabs>
          <w:tab w:val="left" w:pos="6405"/>
        </w:tabs>
        <w:jc w:val="center"/>
        <w:outlineLvl w:val="0"/>
        <w:rPr>
          <w:rFonts w:ascii="黑体" w:hAnsi="Times New Roman" w:eastAsia="黑体"/>
          <w:kern w:val="0"/>
          <w:szCs w:val="21"/>
          <w:highlight w:val="none"/>
        </w:rPr>
      </w:pPr>
      <w:bookmarkStart w:id="116" w:name="_Toc4802"/>
      <w:bookmarkStart w:id="117" w:name="_Toc7701"/>
      <w:bookmarkStart w:id="118" w:name="_Toc15992"/>
      <w:bookmarkStart w:id="119" w:name="_Toc32690"/>
      <w:bookmarkStart w:id="120" w:name="_Toc31681"/>
      <w:bookmarkStart w:id="121" w:name="_Toc12042"/>
      <w:bookmarkStart w:id="122" w:name="_Toc175671091"/>
      <w:bookmarkStart w:id="123" w:name="_Toc190350380"/>
      <w:r>
        <w:rPr>
          <w:rFonts w:hint="eastAsia" w:ascii="黑体" w:hAnsi="Times New Roman" w:eastAsia="黑体"/>
          <w:kern w:val="0"/>
          <w:szCs w:val="20"/>
          <w:highlight w:val="none"/>
        </w:rPr>
        <w:t>附  录  C</w:t>
      </w:r>
      <w:r>
        <w:rPr>
          <w:rFonts w:ascii="黑体" w:hAnsi="Times New Roman" w:eastAsia="黑体"/>
          <w:kern w:val="0"/>
          <w:szCs w:val="20"/>
          <w:highlight w:val="none"/>
        </w:rPr>
        <w:br w:type="textWrapping"/>
      </w:r>
      <w:r>
        <w:rPr>
          <w:rFonts w:hint="eastAsia" w:ascii="黑体" w:hAnsi="Times New Roman" w:eastAsia="黑体"/>
          <w:kern w:val="0"/>
          <w:szCs w:val="20"/>
          <w:highlight w:val="none"/>
        </w:rPr>
        <w:t>（规范性）</w:t>
      </w:r>
      <w:r>
        <w:rPr>
          <w:rFonts w:ascii="黑体" w:hAnsi="Times New Roman" w:eastAsia="黑体"/>
          <w:kern w:val="0"/>
          <w:szCs w:val="20"/>
          <w:highlight w:val="none"/>
        </w:rPr>
        <w:br w:type="textWrapping"/>
      </w:r>
      <w:r>
        <w:rPr>
          <w:rFonts w:hint="eastAsia" w:ascii="黑体" w:hAnsi="Times New Roman" w:eastAsia="黑体"/>
          <w:kern w:val="0"/>
          <w:szCs w:val="21"/>
          <w:highlight w:val="none"/>
        </w:rPr>
        <w:t>系统部署安装与运行维护</w:t>
      </w:r>
      <w:bookmarkEnd w:id="116"/>
      <w:bookmarkEnd w:id="117"/>
      <w:bookmarkEnd w:id="118"/>
      <w:bookmarkEnd w:id="119"/>
      <w:bookmarkEnd w:id="120"/>
      <w:bookmarkEnd w:id="121"/>
      <w:bookmarkEnd w:id="122"/>
      <w:bookmarkEnd w:id="123"/>
    </w:p>
    <w:p w14:paraId="1515587C">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1" w:firstLineChars="100"/>
        <w:jc w:val="left"/>
        <w:textAlignment w:val="auto"/>
        <w:rPr>
          <w:rFonts w:ascii="宋体" w:hAnsi="Times New Roman" w:cs="宋体"/>
          <w:b/>
          <w:kern w:val="0"/>
          <w:sz w:val="21"/>
          <w:szCs w:val="21"/>
          <w:highlight w:val="none"/>
        </w:rPr>
      </w:pPr>
      <w:r>
        <w:rPr>
          <w:rFonts w:hint="eastAsia" w:ascii="宋体" w:hAnsi="Times New Roman" w:cs="宋体"/>
          <w:b/>
          <w:kern w:val="0"/>
          <w:sz w:val="21"/>
          <w:szCs w:val="21"/>
          <w:highlight w:val="none"/>
        </w:rPr>
        <w:t>C</w:t>
      </w:r>
      <w:r>
        <w:rPr>
          <w:rFonts w:ascii="宋体" w:hAnsi="Times New Roman" w:cs="宋体"/>
          <w:b/>
          <w:kern w:val="0"/>
          <w:sz w:val="21"/>
          <w:szCs w:val="21"/>
          <w:highlight w:val="none"/>
        </w:rPr>
        <w:t>.1</w:t>
      </w:r>
      <w:r>
        <w:rPr>
          <w:rFonts w:hint="eastAsia" w:ascii="Times New Roman" w:hAnsi="Times New Roman"/>
          <w:b/>
          <w:bCs/>
          <w:kern w:val="0"/>
          <w:sz w:val="21"/>
          <w:szCs w:val="21"/>
          <w:highlight w:val="none"/>
        </w:rPr>
        <w:t>系统部署</w:t>
      </w:r>
    </w:p>
    <w:p w14:paraId="60DC1002">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C.1.1智慧工地硬件设备易安装、易施工、易维护，遵循安全、稳定、安装牢固原则。</w:t>
      </w:r>
    </w:p>
    <w:p w14:paraId="0CF160EC">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C.1.2智慧工地硬件设备部署在高压带电设备附近时，</w:t>
      </w:r>
      <w:r>
        <w:rPr>
          <w:rFonts w:hint="eastAsia" w:ascii="宋体" w:hAnsi="Times New Roman" w:cs="宋体"/>
          <w:kern w:val="0"/>
          <w:sz w:val="21"/>
          <w:szCs w:val="21"/>
          <w:highlight w:val="none"/>
          <w:lang w:val="en-US" w:eastAsia="zh-CN"/>
        </w:rPr>
        <w:t>应</w:t>
      </w:r>
      <w:r>
        <w:rPr>
          <w:rFonts w:hint="eastAsia" w:ascii="宋体" w:hAnsi="Times New Roman" w:cs="宋体"/>
          <w:kern w:val="0"/>
          <w:sz w:val="21"/>
          <w:szCs w:val="21"/>
          <w:highlight w:val="none"/>
        </w:rPr>
        <w:t>在安全净距之外。</w:t>
      </w:r>
    </w:p>
    <w:p w14:paraId="432D7200">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C.1.3智慧工地硬件设备的安装、运行、施工、维护等不得影响工地其他设备的运行及维护。</w:t>
      </w:r>
    </w:p>
    <w:p w14:paraId="7BD7F999">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C.1.4智慧工地监控设备部署做到重点区域监控全覆盖，包括工地主要出入口，主干道路，现场周界，施工危险区域，堆料</w:t>
      </w:r>
      <w:r>
        <w:rPr>
          <w:rFonts w:hint="eastAsia" w:ascii="宋体" w:hAnsi="Times New Roman" w:cs="宋体"/>
          <w:kern w:val="0"/>
          <w:sz w:val="21"/>
          <w:szCs w:val="21"/>
          <w:highlight w:val="none"/>
          <w:lang w:val="en-US" w:eastAsia="zh-CN"/>
        </w:rPr>
        <w:t>区</w:t>
      </w:r>
      <w:r>
        <w:rPr>
          <w:rFonts w:hint="eastAsia" w:ascii="宋体" w:hAnsi="Times New Roman" w:cs="宋体"/>
          <w:kern w:val="0"/>
          <w:sz w:val="21"/>
          <w:szCs w:val="21"/>
          <w:highlight w:val="none"/>
        </w:rPr>
        <w:t>等。</w:t>
      </w:r>
    </w:p>
    <w:p w14:paraId="26C96D9B">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C.1.5智慧工地监控设备选择视野无遮挡的位置安装，尽可能避免摄像机逆光安装。</w:t>
      </w:r>
    </w:p>
    <w:p w14:paraId="07FDC05B">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C.1.6智慧工地身份识别设备部署在工地主要出入口位置或其他人员权限管控区域。</w:t>
      </w:r>
    </w:p>
    <w:p w14:paraId="08417254">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C.1.</w:t>
      </w:r>
      <w:r>
        <w:rPr>
          <w:rFonts w:hint="eastAsia" w:ascii="宋体" w:hAnsi="Times New Roman" w:cs="宋体"/>
          <w:kern w:val="0"/>
          <w:sz w:val="21"/>
          <w:szCs w:val="21"/>
          <w:highlight w:val="none"/>
          <w:lang w:val="en-US" w:eastAsia="zh-CN"/>
        </w:rPr>
        <w:t>7</w:t>
      </w:r>
      <w:r>
        <w:rPr>
          <w:rFonts w:hint="eastAsia" w:ascii="宋体" w:hAnsi="Times New Roman" w:cs="宋体"/>
          <w:kern w:val="0"/>
          <w:sz w:val="21"/>
          <w:szCs w:val="21"/>
          <w:highlight w:val="none"/>
        </w:rPr>
        <w:t>智慧工地环境监测设备部署在环境影响变化显著的区域，应避开高大建筑物、树木或其他障碍物的遮挡，应避免强电磁干扰。</w:t>
      </w:r>
    </w:p>
    <w:p w14:paraId="42CE944C">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1" w:firstLineChars="100"/>
        <w:jc w:val="left"/>
        <w:textAlignment w:val="auto"/>
        <w:rPr>
          <w:rFonts w:ascii="宋体" w:hAnsi="Times New Roman" w:cs="宋体"/>
          <w:b/>
          <w:kern w:val="0"/>
          <w:sz w:val="21"/>
          <w:szCs w:val="21"/>
          <w:highlight w:val="none"/>
        </w:rPr>
      </w:pPr>
      <w:r>
        <w:rPr>
          <w:rFonts w:hint="eastAsia" w:ascii="宋体" w:hAnsi="Times New Roman" w:cs="宋体"/>
          <w:b/>
          <w:kern w:val="0"/>
          <w:sz w:val="21"/>
          <w:szCs w:val="21"/>
          <w:highlight w:val="none"/>
        </w:rPr>
        <w:t>C.2安装</w:t>
      </w:r>
    </w:p>
    <w:p w14:paraId="5982CE92">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C.2.1智慧工地通信设备安装符合现场安装的规范性和安全性，采用壁挂式或机柜式安装方式。</w:t>
      </w:r>
    </w:p>
    <w:p w14:paraId="4D10A55C">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C.2.2智慧工地监控设备根据现场的覆盖范围，做固定安装；当监控设备无合适安装点时，立杆安装。</w:t>
      </w:r>
    </w:p>
    <w:p w14:paraId="57D7B533">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C.2.3室外安装的智慧工地监控设备具备防雷保护措施。监控设备与立杆绝缘，严禁接地。</w:t>
      </w:r>
    </w:p>
    <w:p w14:paraId="185E226C">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C.2.4智慧工地硬件设备安装位置稳固、不晃动，安装位置及高度不易受外界干扰和破坏，且不应阻碍现场设备运行和人员、车辆通行。</w:t>
      </w:r>
    </w:p>
    <w:p w14:paraId="4F6C1BA3">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C.2.5室外安装的智慧工地设备设置防水、防抖、防攀爬和防腐措施。</w:t>
      </w:r>
    </w:p>
    <w:p w14:paraId="11BF94B4">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C.2.</w:t>
      </w:r>
      <w:r>
        <w:rPr>
          <w:rFonts w:ascii="宋体" w:hAnsi="Times New Roman" w:cs="宋体"/>
          <w:kern w:val="0"/>
          <w:sz w:val="21"/>
          <w:szCs w:val="21"/>
          <w:highlight w:val="none"/>
        </w:rPr>
        <w:t>6智慧工地</w:t>
      </w:r>
      <w:r>
        <w:rPr>
          <w:rFonts w:hint="eastAsia" w:ascii="宋体" w:hAnsi="Times New Roman" w:cs="宋体"/>
          <w:kern w:val="0"/>
          <w:sz w:val="21"/>
          <w:szCs w:val="21"/>
          <w:highlight w:val="none"/>
        </w:rPr>
        <w:t>硬件设备采取防止外部干扰信号侵入的措施。</w:t>
      </w:r>
    </w:p>
    <w:p w14:paraId="56EBAB87">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C.2.</w:t>
      </w:r>
      <w:r>
        <w:rPr>
          <w:rFonts w:ascii="宋体" w:hAnsi="Times New Roman" w:cs="宋体"/>
          <w:kern w:val="0"/>
          <w:sz w:val="21"/>
          <w:szCs w:val="21"/>
          <w:highlight w:val="none"/>
        </w:rPr>
        <w:t>7智慧工地</w:t>
      </w:r>
      <w:r>
        <w:rPr>
          <w:rFonts w:hint="eastAsia" w:ascii="宋体" w:hAnsi="Times New Roman" w:cs="宋体"/>
          <w:kern w:val="0"/>
          <w:sz w:val="21"/>
          <w:szCs w:val="21"/>
          <w:highlight w:val="none"/>
        </w:rPr>
        <w:t>硬件设备有工作接地和外壳接地，并具备明显标识。</w:t>
      </w:r>
    </w:p>
    <w:p w14:paraId="36AAE76D">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C.2.</w:t>
      </w:r>
      <w:r>
        <w:rPr>
          <w:rFonts w:ascii="宋体" w:hAnsi="Times New Roman" w:cs="宋体"/>
          <w:kern w:val="0"/>
          <w:sz w:val="21"/>
          <w:szCs w:val="21"/>
          <w:highlight w:val="none"/>
        </w:rPr>
        <w:t>8智慧工地设备</w:t>
      </w:r>
      <w:r>
        <w:rPr>
          <w:rFonts w:hint="eastAsia" w:ascii="宋体" w:hAnsi="Times New Roman" w:cs="宋体"/>
          <w:kern w:val="0"/>
          <w:sz w:val="21"/>
          <w:szCs w:val="21"/>
          <w:highlight w:val="none"/>
        </w:rPr>
        <w:t>现场电缆铺设支架齐全、油漆完整，电缆、电压符合设计要求，电缆绝缘良好。</w:t>
      </w:r>
    </w:p>
    <w:p w14:paraId="71F668BF">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C.2.</w:t>
      </w:r>
      <w:r>
        <w:rPr>
          <w:rFonts w:ascii="宋体" w:hAnsi="Times New Roman" w:cs="宋体"/>
          <w:kern w:val="0"/>
          <w:sz w:val="21"/>
          <w:szCs w:val="21"/>
          <w:highlight w:val="none"/>
        </w:rPr>
        <w:t>9智慧工地设备</w:t>
      </w:r>
      <w:r>
        <w:rPr>
          <w:rFonts w:hint="eastAsia" w:ascii="宋体" w:hAnsi="Times New Roman" w:cs="宋体"/>
          <w:kern w:val="0"/>
          <w:sz w:val="21"/>
          <w:szCs w:val="21"/>
          <w:highlight w:val="none"/>
        </w:rPr>
        <w:t>电力电缆与控制电缆分开排列，其两端均接地。</w:t>
      </w:r>
    </w:p>
    <w:p w14:paraId="47E48B99">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C.2.1</w:t>
      </w:r>
      <w:r>
        <w:rPr>
          <w:rFonts w:ascii="宋体" w:hAnsi="Times New Roman" w:cs="宋体"/>
          <w:kern w:val="0"/>
          <w:sz w:val="21"/>
          <w:szCs w:val="21"/>
          <w:highlight w:val="none"/>
        </w:rPr>
        <w:t>0智慧工地设备</w:t>
      </w:r>
      <w:r>
        <w:rPr>
          <w:rFonts w:hint="eastAsia" w:ascii="宋体" w:hAnsi="Times New Roman" w:cs="宋体"/>
          <w:kern w:val="0"/>
          <w:sz w:val="21"/>
          <w:szCs w:val="21"/>
          <w:highlight w:val="none"/>
        </w:rPr>
        <w:t>电缆埋线位置设置明显标识。</w:t>
      </w:r>
    </w:p>
    <w:p w14:paraId="085FD9F9">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C.2.1</w:t>
      </w:r>
      <w:r>
        <w:rPr>
          <w:rFonts w:ascii="宋体" w:hAnsi="Times New Roman" w:cs="宋体"/>
          <w:kern w:val="0"/>
          <w:sz w:val="21"/>
          <w:szCs w:val="21"/>
          <w:highlight w:val="none"/>
        </w:rPr>
        <w:t>1智慧工地设备</w:t>
      </w:r>
      <w:r>
        <w:rPr>
          <w:rFonts w:hint="eastAsia" w:ascii="宋体" w:hAnsi="Times New Roman" w:cs="宋体"/>
          <w:kern w:val="0"/>
          <w:sz w:val="21"/>
          <w:szCs w:val="21"/>
          <w:highlight w:val="none"/>
        </w:rPr>
        <w:t>线缆布线安全、可靠、规范、合理，接线端预留适当余量、不得拉紧。</w:t>
      </w:r>
    </w:p>
    <w:p w14:paraId="761530B7">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1" w:firstLineChars="100"/>
        <w:jc w:val="left"/>
        <w:textAlignment w:val="auto"/>
        <w:rPr>
          <w:rFonts w:ascii="宋体" w:hAnsi="Times New Roman" w:cs="宋体"/>
          <w:b/>
          <w:kern w:val="0"/>
          <w:sz w:val="21"/>
          <w:szCs w:val="21"/>
          <w:highlight w:val="none"/>
        </w:rPr>
      </w:pPr>
      <w:r>
        <w:rPr>
          <w:rFonts w:hint="eastAsia" w:ascii="宋体" w:hAnsi="Times New Roman" w:cs="宋体"/>
          <w:b/>
          <w:kern w:val="0"/>
          <w:sz w:val="21"/>
          <w:szCs w:val="21"/>
          <w:highlight w:val="none"/>
        </w:rPr>
        <w:t>C.3运行维护</w:t>
      </w:r>
    </w:p>
    <w:p w14:paraId="13A2EA84">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C.3.1定期对智慧工地硬件设备的运行状态及近期维修过的设备进行复检，保障设施设备正常运转。</w:t>
      </w:r>
    </w:p>
    <w:p w14:paraId="3DCA1EF3">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C.3.2定期对智慧工地网络线路进行检查与测试。</w:t>
      </w:r>
    </w:p>
    <w:p w14:paraId="04604C0D">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C.3.3定期对智慧工地设备内外部进行清洁工作。</w:t>
      </w:r>
    </w:p>
    <w:p w14:paraId="7DCF9367">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C.3.4定期检查智慧工地硬件设备备件数量是否满足相应系统最低运行要求，以满足智慧工地管理平台和政府监管系统的数据采集和共享要求。</w:t>
      </w:r>
    </w:p>
    <w:p w14:paraId="1EBCBD10">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C.3.5配备专业资格技术服务人员，确保设备的运行维护工作。</w:t>
      </w:r>
    </w:p>
    <w:p w14:paraId="099EED88">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C.3.6运维服务配套运维服务管理软件，实时查询运维现场工作内容。</w:t>
      </w:r>
    </w:p>
    <w:p w14:paraId="47CC585D">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ascii="宋体" w:hAnsi="Times New Roman" w:cs="宋体"/>
          <w:kern w:val="0"/>
          <w:sz w:val="21"/>
          <w:szCs w:val="21"/>
          <w:highlight w:val="none"/>
        </w:rPr>
      </w:pPr>
      <w:r>
        <w:rPr>
          <w:rFonts w:hint="eastAsia" w:ascii="宋体" w:hAnsi="Times New Roman" w:cs="宋体"/>
          <w:kern w:val="0"/>
          <w:sz w:val="21"/>
          <w:szCs w:val="21"/>
          <w:highlight w:val="none"/>
        </w:rPr>
        <w:t>C.3.7运维服务确保48小时内响应解决现场系统、设备技术问题。</w:t>
      </w:r>
    </w:p>
    <w:p w14:paraId="470229D8">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hint="eastAsia" w:ascii="宋体" w:hAnsi="Times New Roman" w:cs="宋体"/>
          <w:kern w:val="0"/>
          <w:sz w:val="21"/>
          <w:szCs w:val="21"/>
          <w:highlight w:val="none"/>
        </w:rPr>
        <w:sectPr>
          <w:footerReference r:id="rId7" w:type="default"/>
          <w:pgSz w:w="11906" w:h="16838"/>
          <w:pgMar w:top="1440" w:right="1800" w:bottom="1440" w:left="1800" w:header="851" w:footer="992" w:gutter="0"/>
          <w:cols w:space="425" w:num="1"/>
          <w:docGrid w:type="lines" w:linePitch="312" w:charSpace="0"/>
        </w:sectPr>
      </w:pPr>
      <w:r>
        <w:rPr>
          <w:rFonts w:hint="eastAsia" w:ascii="宋体" w:hAnsi="Times New Roman" w:cs="宋体"/>
          <w:kern w:val="0"/>
          <w:sz w:val="21"/>
          <w:szCs w:val="21"/>
          <w:highlight w:val="none"/>
        </w:rPr>
        <w:t>C.3.8依据工地实际施工进度，制定设备运维工作计划，保证相关设备运行正常。</w:t>
      </w:r>
    </w:p>
    <w:p w14:paraId="079DF03C">
      <w:pPr>
        <w:keepNext/>
        <w:widowControl/>
        <w:shd w:val="clear" w:color="FFFFFF" w:fill="FFFFFF"/>
        <w:tabs>
          <w:tab w:val="left" w:pos="6405"/>
        </w:tabs>
        <w:jc w:val="center"/>
        <w:outlineLvl w:val="0"/>
        <w:rPr>
          <w:rFonts w:hint="default" w:ascii="黑体" w:hAnsi="Times New Roman" w:eastAsia="黑体"/>
          <w:kern w:val="0"/>
          <w:szCs w:val="21"/>
          <w:highlight w:val="none"/>
          <w:lang w:val="en-US" w:eastAsia="zh-CN"/>
        </w:rPr>
      </w:pPr>
      <w:bookmarkStart w:id="124" w:name="_Toc27268"/>
      <w:r>
        <w:rPr>
          <w:rFonts w:hint="eastAsia" w:ascii="黑体" w:hAnsi="Times New Roman" w:eastAsia="黑体"/>
          <w:kern w:val="0"/>
          <w:szCs w:val="20"/>
          <w:highlight w:val="none"/>
        </w:rPr>
        <w:t xml:space="preserve">附  录  </w:t>
      </w:r>
      <w:r>
        <w:rPr>
          <w:rFonts w:hint="eastAsia" w:ascii="黑体" w:hAnsi="Times New Roman" w:eastAsia="黑体"/>
          <w:kern w:val="0"/>
          <w:szCs w:val="20"/>
          <w:highlight w:val="none"/>
          <w:lang w:val="en-US" w:eastAsia="zh-CN"/>
        </w:rPr>
        <w:t>D</w:t>
      </w:r>
      <w:r>
        <w:rPr>
          <w:rFonts w:ascii="黑体" w:hAnsi="Times New Roman" w:eastAsia="黑体"/>
          <w:kern w:val="0"/>
          <w:szCs w:val="20"/>
          <w:highlight w:val="none"/>
        </w:rPr>
        <w:br w:type="textWrapping"/>
      </w:r>
      <w:r>
        <w:rPr>
          <w:rFonts w:hint="eastAsia" w:ascii="黑体" w:hAnsi="Times New Roman" w:eastAsia="黑体"/>
          <w:kern w:val="0"/>
          <w:szCs w:val="20"/>
          <w:highlight w:val="none"/>
        </w:rPr>
        <w:t>（规范性）</w:t>
      </w:r>
      <w:r>
        <w:rPr>
          <w:rFonts w:ascii="黑体" w:hAnsi="Times New Roman" w:eastAsia="黑体"/>
          <w:kern w:val="0"/>
          <w:szCs w:val="20"/>
          <w:highlight w:val="none"/>
        </w:rPr>
        <w:br w:type="textWrapping"/>
      </w:r>
      <w:r>
        <w:rPr>
          <w:rFonts w:hint="eastAsia" w:ascii="黑体" w:hAnsi="Times New Roman" w:eastAsia="黑体"/>
          <w:kern w:val="0"/>
          <w:szCs w:val="21"/>
          <w:highlight w:val="none"/>
          <w:lang w:val="en-US" w:eastAsia="zh-CN"/>
        </w:rPr>
        <w:t>工程施工质量管理标准</w:t>
      </w:r>
      <w:bookmarkEnd w:id="124"/>
    </w:p>
    <w:p w14:paraId="23468564">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hint="eastAsia" w:ascii="宋体" w:hAnsi="Times New Roman" w:cs="宋体"/>
          <w:kern w:val="0"/>
          <w:sz w:val="21"/>
          <w:szCs w:val="21"/>
          <w:highlight w:val="none"/>
        </w:rPr>
      </w:pPr>
    </w:p>
    <w:tbl>
      <w:tblPr>
        <w:tblStyle w:val="35"/>
        <w:tblW w:w="846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0"/>
        <w:gridCol w:w="824"/>
        <w:gridCol w:w="793"/>
        <w:gridCol w:w="2128"/>
        <w:gridCol w:w="866"/>
        <w:gridCol w:w="866"/>
        <w:gridCol w:w="866"/>
        <w:gridCol w:w="1648"/>
      </w:tblGrid>
      <w:tr w14:paraId="10468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blHeader/>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DF49CC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824"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EDC34E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一级分类</w:t>
            </w:r>
          </w:p>
        </w:tc>
        <w:tc>
          <w:tcPr>
            <w:tcW w:w="793"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2ACEA3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二级分类</w:t>
            </w:r>
          </w:p>
        </w:tc>
        <w:tc>
          <w:tcPr>
            <w:tcW w:w="6374" w:type="dxa"/>
            <w:gridSpan w:val="5"/>
            <w:tcBorders>
              <w:top w:val="single" w:color="000000" w:sz="4" w:space="0"/>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41D8E7D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质量管理标准</w:t>
            </w:r>
          </w:p>
        </w:tc>
      </w:tr>
      <w:tr w14:paraId="4DBE4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DEFD10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824" w:type="dxa"/>
            <w:vMerge w:val="restart"/>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B01EF0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土建工程质量</w:t>
            </w:r>
          </w:p>
        </w:tc>
        <w:tc>
          <w:tcPr>
            <w:tcW w:w="793" w:type="dxa"/>
            <w:vMerge w:val="restart"/>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D030F9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基础</w:t>
            </w:r>
          </w:p>
        </w:tc>
        <w:tc>
          <w:tcPr>
            <w:tcW w:w="6374" w:type="dxa"/>
            <w:gridSpan w:val="5"/>
            <w:tcBorders>
              <w:top w:val="single" w:color="000000" w:sz="4" w:space="0"/>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14ED4FC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杆塔基坑符合下列规定。</w:t>
            </w:r>
          </w:p>
        </w:tc>
      </w:tr>
      <w:tr w14:paraId="1103F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2D92EE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7A8223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616B66B">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42CE942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1.坑底应平整，同基基础坑在允许偏差范围内应按最深基坑操平。</w:t>
            </w:r>
          </w:p>
        </w:tc>
      </w:tr>
      <w:tr w14:paraId="3472B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2EF32485">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DBC48C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19F758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10A05D5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2.坑深应以设计施工基面为基准。</w:t>
            </w:r>
          </w:p>
        </w:tc>
      </w:tr>
      <w:tr w14:paraId="234ED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4290BB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3EC640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C51A8D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56D7A5E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3.坑深允许偏差范围应为－50mm～＋100mm。</w:t>
            </w:r>
          </w:p>
        </w:tc>
      </w:tr>
      <w:tr w14:paraId="0F1D2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5DD09ED">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CD4866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22DCD2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322766F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4.岩石基础的尺寸不应有负偏差。</w:t>
            </w:r>
          </w:p>
        </w:tc>
      </w:tr>
      <w:tr w14:paraId="07BF6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2A08C1A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427549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A3D9A9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C6C9A4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拉线基础的坑深应以拉线基础中心的地面标高为基准，坑深无负偏差。</w:t>
            </w:r>
          </w:p>
        </w:tc>
      </w:tr>
      <w:tr w14:paraId="1842B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E32538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01AD6B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DA4F738">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C957A8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杆塔基坑及拉线基坑应筑防沉层，培土高度超出地面300mm，工程移交时坑口回填土不低于地面。沥青路面、砌有水泥花砖的路面或城市绿地内可不留防沉土台。</w:t>
            </w:r>
          </w:p>
        </w:tc>
      </w:tr>
      <w:tr w14:paraId="4BD37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50E0A1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8C8254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0A5A03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65D8F5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杆塔埋设深度符合下表所列数值。</w:t>
            </w:r>
          </w:p>
        </w:tc>
      </w:tr>
      <w:tr w14:paraId="405C5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DE1A48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3309FA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AC7E26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2128"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A6157A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杆长（米）</w:t>
            </w:r>
          </w:p>
        </w:tc>
        <w:tc>
          <w:tcPr>
            <w:tcW w:w="866"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7D68FD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523D6E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12</w:t>
            </w:r>
          </w:p>
        </w:tc>
        <w:tc>
          <w:tcPr>
            <w:tcW w:w="866"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21F69D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w:t>
            </w:r>
          </w:p>
        </w:tc>
        <w:tc>
          <w:tcPr>
            <w:tcW w:w="1648"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6C5AC9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18</w:t>
            </w:r>
          </w:p>
        </w:tc>
      </w:tr>
      <w:tr w14:paraId="513CC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A4C6DE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FEBC28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947BCA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2128"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DD56BA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埋深（米）</w:t>
            </w:r>
          </w:p>
        </w:tc>
        <w:tc>
          <w:tcPr>
            <w:tcW w:w="866"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E54A89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1.7</w:t>
            </w:r>
          </w:p>
        </w:tc>
        <w:tc>
          <w:tcPr>
            <w:tcW w:w="866"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D1F3FA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1.9</w:t>
            </w:r>
          </w:p>
        </w:tc>
        <w:tc>
          <w:tcPr>
            <w:tcW w:w="866"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7C20AD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2.3</w:t>
            </w:r>
          </w:p>
        </w:tc>
        <w:tc>
          <w:tcPr>
            <w:tcW w:w="1648"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EC395B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2.8</w:t>
            </w:r>
          </w:p>
        </w:tc>
      </w:tr>
      <w:tr w14:paraId="3414D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0D8F6C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1486628">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B29C83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8D1DD1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杆塔根据设计要求安装底盘石、卡盘石、拉盘石。</w:t>
            </w:r>
          </w:p>
        </w:tc>
      </w:tr>
      <w:tr w14:paraId="7225D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0D7F39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06D6E0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F624F2B">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E0A3CC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底盘坑底表面应保持水平，底盘石安装后，其埋深符合设计文件要求，底盘槽面中心和杆塔中心线应垂直，底盘石埋深允许偏差为-50mm～100mm，找正后填土夯实至底盘表面。</w:t>
            </w:r>
          </w:p>
        </w:tc>
      </w:tr>
      <w:tr w14:paraId="0620E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C0AC83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258648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1F2E75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F70A6A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卡盘石安装先夯实其下部回填土，安装位置、深度与方向应符合设计图纸规定，卡盘抱箍的螺母应紧固，卡盘石弧面与电杆接触紧密，卡盘上口距地面不小于0.5m。</w:t>
            </w:r>
          </w:p>
        </w:tc>
      </w:tr>
      <w:tr w14:paraId="1B3C1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F661AE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1DC64E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BDC050D">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DE2D07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拉盘石的埋设方向应符合设计文件要求，沿拉线方向的左、右偏差不超过拉盘石中心至相对应电杆中心水平距离的1%。拉线棒应顺马槽安置，并朝向杆塔拉线固定点，且拉线棒无弯曲。</w:t>
            </w:r>
          </w:p>
        </w:tc>
      </w:tr>
      <w:tr w14:paraId="06258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28E10D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DF62A4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391899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2ADFD7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现场浇筑基础应符合下列规定：现场浇筑基础中的地脚螺栓安装前除去浮锈，螺纹部分予以保护，或现场螺栓应固定，采取防护措施。</w:t>
            </w:r>
          </w:p>
        </w:tc>
      </w:tr>
      <w:tr w14:paraId="445E4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E388DC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536A705">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C75BF2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1E220B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贯入桩基础应符合下列规定：钢管桩焊缝应无气孔、焊瘤和裂缝。混凝土表面应平整、无蜂窝麻面和破损。桩法兰盘法兰无变形，孔位正确，断面垂直于杆段轴线。</w:t>
            </w:r>
          </w:p>
        </w:tc>
      </w:tr>
      <w:tr w14:paraId="18BB2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0B90307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3E3598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78460BD">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9B007D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岩石基础施工应符合下列规定：岩石基础开挖或钻孔时，岩石构造的整体性不受破坏。软质岩成孔后立即安装锚筋或地脚螺栓，并浇灌混凝土。岩石基础锚筋或地脚螺栓的埋入深度不小于设计值，安装后应有可靠的固定措施。</w:t>
            </w:r>
          </w:p>
        </w:tc>
      </w:tr>
      <w:tr w14:paraId="0882E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6C80933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11</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9CDB3F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0" w:type="dxa"/>
              <w:left w:w="0" w:type="dxa"/>
              <w:bottom w:w="0" w:type="dxa"/>
              <w:right w:w="0" w:type="dxa"/>
            </w:tcMar>
            <w:vAlign w:val="center"/>
          </w:tcPr>
          <w:p w14:paraId="47E17ED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建（构）筑物</w:t>
            </w: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D9EAC5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开关站、配电室、环网室设置在建筑物地下层时，应根据环境要求加设机械通风设备。地下多层时，不应设置在最底层；当只有地下一层时，采取抬高地面或预防洪水、积水浸泡等其他水害的措施。</w:t>
            </w:r>
          </w:p>
        </w:tc>
      </w:tr>
      <w:tr w14:paraId="7F69B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8EA352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12</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CDABF1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0" w:type="dxa"/>
              <w:left w:w="0" w:type="dxa"/>
              <w:bottom w:w="0" w:type="dxa"/>
              <w:right w:w="0" w:type="dxa"/>
            </w:tcMar>
            <w:vAlign w:val="center"/>
          </w:tcPr>
          <w:p w14:paraId="5036370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69E491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开关站和配电室建筑采取防噪音、防建筑共振、防电磁干扰等措施，并满足防洪、防雨雪冰冻、防火和排水等要求，室内配电站建筑满足防渗漏、防潮、防小动物和通风等要求。</w:t>
            </w:r>
          </w:p>
        </w:tc>
      </w:tr>
      <w:tr w14:paraId="2A4FE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73F61C6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13</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114FFD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0" w:type="dxa"/>
              <w:left w:w="0" w:type="dxa"/>
              <w:bottom w:w="0" w:type="dxa"/>
              <w:right w:w="0" w:type="dxa"/>
            </w:tcMar>
            <w:vAlign w:val="center"/>
          </w:tcPr>
          <w:p w14:paraId="5AEDB19B">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4A42C4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开关站、配电室、环网室楼层防水措施应符合设计文件要求；位于室外地坪下的电缆夹层、电缆沟和电缆室应采取防水、排水措施。</w:t>
            </w:r>
          </w:p>
        </w:tc>
      </w:tr>
      <w:tr w14:paraId="630A0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3FEE30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14</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BE4325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0" w:type="dxa"/>
              <w:left w:w="0" w:type="dxa"/>
              <w:bottom w:w="0" w:type="dxa"/>
              <w:right w:w="0" w:type="dxa"/>
            </w:tcMar>
            <w:vAlign w:val="center"/>
          </w:tcPr>
          <w:p w14:paraId="1EEC565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DC4190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开关站和配电室门窗、密网、纱窗和挡鼠板应符合设计文件要求，关闭密合，并满足防盗、防火、防止小动物进入功能</w:t>
            </w:r>
          </w:p>
        </w:tc>
      </w:tr>
      <w:tr w14:paraId="5329B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CC36A3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E8B919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0" w:type="dxa"/>
              <w:left w:w="0" w:type="dxa"/>
              <w:bottom w:w="0" w:type="dxa"/>
              <w:right w:w="0" w:type="dxa"/>
            </w:tcMar>
            <w:vAlign w:val="center"/>
          </w:tcPr>
          <w:p w14:paraId="21AC7D0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EFD71B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箱式变电站、预装式开关站、环网箱等户外设备基础符合设计文件要求,无下沉、开裂等异常现象，预埋件及预留孔符合设计文件要求,预埋件位置应正确，安装牢固，并无空鼓、倾斜等现象。</w:t>
            </w:r>
          </w:p>
        </w:tc>
      </w:tr>
      <w:tr w14:paraId="2D902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88D88C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16</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C700BF5">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0" w:type="dxa"/>
              <w:left w:w="0" w:type="dxa"/>
              <w:bottom w:w="0" w:type="dxa"/>
              <w:right w:w="0" w:type="dxa"/>
            </w:tcMar>
            <w:vAlign w:val="center"/>
          </w:tcPr>
          <w:p w14:paraId="36439DC8">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9043A8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箱式变电站、预装式开关站、环网箱等户外基础宜高于地坪面300mm至500mm，且不低于设计选择的洪水水位。保护性网门、栏杆及梯子等齐全。</w:t>
            </w:r>
          </w:p>
        </w:tc>
      </w:tr>
      <w:tr w14:paraId="53EAC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8E50E8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17</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A7CA85D">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0" w:type="dxa"/>
              <w:left w:w="0" w:type="dxa"/>
              <w:bottom w:w="0" w:type="dxa"/>
              <w:right w:w="0" w:type="dxa"/>
            </w:tcMar>
            <w:vAlign w:val="center"/>
          </w:tcPr>
          <w:p w14:paraId="73E565F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F6D161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建（构）筑物内电气照明应采用高效节能光源，亮度和照度应符合设计文件要求。灯具不宜设置在成套配电柜、配电变压器及母线的正上方，灯具安装应完整、牢固，不得采用吊链和软线吊装；灯具与电气设备裸导体的平净距不应小于1.0m。配置应急照明。</w:t>
            </w:r>
          </w:p>
        </w:tc>
      </w:tr>
      <w:tr w14:paraId="51B03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814FD7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18</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B394BD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0" w:type="dxa"/>
              <w:left w:w="0" w:type="dxa"/>
              <w:bottom w:w="0" w:type="dxa"/>
              <w:right w:w="0" w:type="dxa"/>
            </w:tcMar>
            <w:vAlign w:val="center"/>
          </w:tcPr>
          <w:p w14:paraId="3EB8265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B15535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电缆沟、隧道、竖井等应符合下列规定：电缆支架等预埋件符合设计文件要求，位置应准确，固定牢固。电缆夹层、电缆沟、隧道等清理干净，排水畅通。构筑物内预留接地接口。</w:t>
            </w:r>
          </w:p>
        </w:tc>
      </w:tr>
      <w:tr w14:paraId="20824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2B31514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19</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CE4B07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0" w:type="dxa"/>
              <w:left w:w="0" w:type="dxa"/>
              <w:bottom w:w="0" w:type="dxa"/>
              <w:right w:w="0" w:type="dxa"/>
            </w:tcMar>
            <w:vAlign w:val="center"/>
          </w:tcPr>
          <w:p w14:paraId="453ED91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06ED99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缆沟、电缆隧道、电缆导管、电缆井、交叉跨越管道及直埋电缆沟深度、宽度、弯曲半径等应符合设计文件要求。金属部分的防腐层应完整。隧道内照明、通风、消防应符合设计文件要求。电缆井内设有集水坑，上盖箅子。</w:t>
            </w:r>
          </w:p>
        </w:tc>
      </w:tr>
      <w:tr w14:paraId="5BAD4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63FC09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w:t>
            </w:r>
          </w:p>
        </w:tc>
        <w:tc>
          <w:tcPr>
            <w:tcW w:w="824" w:type="dxa"/>
            <w:vMerge w:val="restart"/>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B9D5A3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cs="宋体"/>
                <w:i w:val="0"/>
                <w:iCs w:val="0"/>
                <w:color w:val="000000"/>
                <w:kern w:val="0"/>
                <w:sz w:val="21"/>
                <w:szCs w:val="21"/>
                <w:highlight w:val="none"/>
                <w:u w:val="none"/>
                <w:lang w:val="en-US" w:eastAsia="zh" w:bidi="ar"/>
                <w:woUserID w:val="16"/>
              </w:rPr>
              <w:t>电气工程质量</w:t>
            </w:r>
            <w:r>
              <w:rPr>
                <w:rFonts w:hint="eastAsia" w:ascii="宋体" w:hAnsi="宋体" w:eastAsia="宋体" w:cs="宋体"/>
                <w:i w:val="0"/>
                <w:iCs w:val="0"/>
                <w:color w:val="000000"/>
                <w:kern w:val="0"/>
                <w:sz w:val="21"/>
                <w:szCs w:val="21"/>
                <w:highlight w:val="none"/>
                <w:u w:val="none"/>
                <w:lang w:val="en-US" w:eastAsia="zh-CN" w:bidi="ar"/>
              </w:rPr>
              <w:t xml:space="preserve"> </w:t>
            </w:r>
          </w:p>
        </w:tc>
        <w:tc>
          <w:tcPr>
            <w:tcW w:w="793" w:type="dxa"/>
            <w:vMerge w:val="restart"/>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5E45F3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线缆敷设</w:t>
            </w: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A29F50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杆塔质量应符合要求，电杆表面光洁平整，无露筋、跑浆、蜂窝等现象；钢管杆镀锌层完好、无剥落和锈蚀，爬梯脚钉应完整，连接应牢固；应利用铁塔自然接地，接地电阻不满足要求时，应增设人工接地装置。</w:t>
            </w:r>
          </w:p>
        </w:tc>
      </w:tr>
      <w:tr w14:paraId="400A5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A96EF9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21</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A8F66D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F59A81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BE2475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杆塔位于土质松软、水田、滩涂和地下水位较高时，采取加固杆基措施（如加卡盘石、人字拉线或浇筑混凝土基础等）。</w:t>
            </w:r>
          </w:p>
        </w:tc>
      </w:tr>
      <w:tr w14:paraId="39F2C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F94B61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22</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DC59C9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92DBAC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57BDD2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钢圈连接的混凝土电杆焊缝应呈现平滑的细鳞形，焊接后进行防锈处理。分段及整根电杆的弯曲均不超过其杆长的2‰。</w:t>
            </w:r>
          </w:p>
        </w:tc>
      </w:tr>
      <w:tr w14:paraId="6164B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9B5627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23</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D3B125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6B4BFC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861C92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钢管杆法兰应无变形，端面垂直于杆段轴线，螺栓应紧固，钢管杆连接后，其分段及整根电杆的弯曲均不应超过其杆长的2‰。</w:t>
            </w:r>
          </w:p>
        </w:tc>
      </w:tr>
      <w:tr w14:paraId="4A151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67D2EE5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88C172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FF593D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135450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杆塔组立后应正直，沿线电杆在一条直线上，直线杆塔的横向位移不应大于50mm，转角杆塔的横向位移不应大于50mm。</w:t>
            </w:r>
          </w:p>
        </w:tc>
      </w:tr>
      <w:tr w14:paraId="47B9A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3891C3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16ACB9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35E7A3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250F5C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双杆组立后应正直，迈步不大于30mm，根开不超过±30mm。</w:t>
            </w:r>
          </w:p>
        </w:tc>
      </w:tr>
      <w:tr w14:paraId="052E1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6DF32B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26</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ECCCA3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20605B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06D593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杆塔倾斜应符合规定，直线杆塔的倾斜不应超过杆高的5‰，转角、终端杆塔不应向内角倾斜，向外角的倾斜不宜超过的10‰。</w:t>
            </w:r>
          </w:p>
        </w:tc>
      </w:tr>
      <w:tr w14:paraId="6D634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350459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27</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4BC524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8813AF8">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3AB529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支架（铁件）焊接符合要求，防腐处理满足工艺要求。</w:t>
            </w:r>
          </w:p>
        </w:tc>
      </w:tr>
      <w:tr w14:paraId="21A6C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75C61D8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28</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7DE167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16C99E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8BE006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架空线路所采用的铁横担、铁附件均应热镀锌。</w:t>
            </w:r>
          </w:p>
        </w:tc>
      </w:tr>
      <w:tr w14:paraId="4E072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6D721DD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29</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436930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821409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F21260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直线杆横担应装于受电侧，90度转角杆及终端杆应装在拉线侧，转角杆应装在合力位置方向。</w:t>
            </w:r>
          </w:p>
        </w:tc>
      </w:tr>
      <w:tr w14:paraId="0B73F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6FABCEA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30</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399902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DA5C69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01CA89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横担安装应平正，安装偏差应符合设计要求，横担端部上下歪斜不大于20mm，左右扭斜不大于20mm，双杆横担与电杆连接处的高差不大于连接距离的5/1000，左右扭斜不大于横担长度的1/100。</w:t>
            </w:r>
          </w:p>
        </w:tc>
      </w:tr>
      <w:tr w14:paraId="57D8B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D95BEF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31</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91E3A7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EE53B3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1C406F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导线为水平排列时，上层横担上平面距杆顶，10kV线路不应小于300mm；低压线路不应小于200mm。导线为三角排列时，上层横担距杆顶宜为500mm。</w:t>
            </w:r>
          </w:p>
        </w:tc>
      </w:tr>
      <w:tr w14:paraId="1AA67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6877F95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32</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CC8D33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94693D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F3D679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金具安装工艺应美观、规范，与铁附件连接匹配，台架各层横担安装符合安全距离，螺栓连接或穿向符合标准要求。</w:t>
            </w:r>
          </w:p>
        </w:tc>
      </w:tr>
      <w:tr w14:paraId="3D342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40BF88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33</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FDF711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B1B41B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D723BF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铜绞线与铝绞线的接头，应采用铜铝过渡等类型线夹。</w:t>
            </w:r>
          </w:p>
        </w:tc>
      </w:tr>
      <w:tr w14:paraId="2A932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2192CDA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34</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D662A1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31F37B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B4D7CF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拉线的设置、安装应符合规范要求，拉线对地夹角、线夹、尾线等应符合规范。</w:t>
            </w:r>
          </w:p>
        </w:tc>
      </w:tr>
      <w:tr w14:paraId="5EFCA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6732AB3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35</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7B4943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45D9DA5">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2C68E7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拉线穿越导线时应安装拉线绝缘子且安装牢固，距带电部位最小安全距离为0.2m。</w:t>
            </w:r>
          </w:p>
        </w:tc>
      </w:tr>
      <w:tr w14:paraId="65AD2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1F8487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36</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636BD2B">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B6EEEB5">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763C78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拉线绝缘子应装在最低导线以下，应保证在拉线绝缘子以下断拉线情况下，拉线绝缘子距地面不应小于2.5m。</w:t>
            </w:r>
          </w:p>
        </w:tc>
      </w:tr>
      <w:tr w14:paraId="2887A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4486D6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37</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03314F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A6FF1D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43C218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拉线应使用加强型拉线抱箍，拉线和导线不得共用抱箍，抱箍不得歪斜。拉线宜固定在横担下不大于0.3m处。拉线与电杆夹角为45°，若受地形限制，不应小于30°。</w:t>
            </w:r>
          </w:p>
        </w:tc>
      </w:tr>
      <w:tr w14:paraId="1A770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095885E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38</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BD2B9BD">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51B6FB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24D121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杆上变压器高、低压引线应采用绝缘导线；导线应排列整齐、绑扎牢固。高、低压桩头绝缘罩安装应整齐、紧密，相色应一致。验电接地环安装应满足停电检修需求，排列整齐、铅垂于地面。</w:t>
            </w:r>
          </w:p>
        </w:tc>
      </w:tr>
      <w:tr w14:paraId="75806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603366F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39</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094C0F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8FC58D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90D9FA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绝缘附件应符合电压等级要求。绝缘管、绝缘包带表面应平整、色泽均匀和无硬化。绝缘支架、绝缘护罩表面应平整光滑、色泽均匀和关合紧密，并应无裂纹、毛刺和锐边。</w:t>
            </w:r>
          </w:p>
        </w:tc>
      </w:tr>
      <w:tr w14:paraId="003D1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21DB481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40</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F00563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E5EA26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778AEF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电缆支架应符合下列规定：钢材平直，无明显扭曲；偏差在5mm以内，切口无卷边、毛刺，靠通道侧有钝化处理；金属电缆支架进行防腐处理。</w:t>
            </w:r>
          </w:p>
        </w:tc>
      </w:tr>
      <w:tr w14:paraId="7873A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6B0F5EF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41</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F3F338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F4FC9D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6101FB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缆桥架在每个支吊架上的固定牢固，连接板的螺栓紧固，螺母位于电缆桥架的外侧。电缆托盘有可供电缆绑扎的固定点，铝合金梯架在钢制支吊架上固定时，有防电化腐蚀的措施。两相邻电缆桥架的接口紧密、无错位。</w:t>
            </w:r>
          </w:p>
        </w:tc>
      </w:tr>
      <w:tr w14:paraId="7FE98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8099E6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42</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C94D54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16F36A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CAED3C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电缆最小弯曲半径符合规定。</w:t>
            </w:r>
          </w:p>
        </w:tc>
      </w:tr>
      <w:tr w14:paraId="411A4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0B4DE1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43</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510261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4084E0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19DAF0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并列敷设的电缆，其接头位置宜相互错开。</w:t>
            </w:r>
          </w:p>
        </w:tc>
      </w:tr>
      <w:tr w14:paraId="1F372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730013F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44</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947448D">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3E5B31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919964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直埋电缆接头有防止机械损伤的保护结构或外设保护盒，位于冻土层内的保护盒，盒内宜注入沥青。</w:t>
            </w:r>
          </w:p>
        </w:tc>
      </w:tr>
      <w:tr w14:paraId="4D6FE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951FA6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45</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6ECC3B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01208C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B69020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电缆的金属护套、铠装及悬吊线均有良好的接地，满足规程及强度要求。</w:t>
            </w:r>
          </w:p>
        </w:tc>
      </w:tr>
      <w:tr w14:paraId="0FDA2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6EDBE8D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46</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EF52AB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167A69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D0B415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电力电缆金属护层接地线未随电缆芯线穿过互感器时，接地线直接接地；随电缆芯线穿过互感器时，接地线穿回互感器后接地。</w:t>
            </w:r>
          </w:p>
        </w:tc>
      </w:tr>
      <w:tr w14:paraId="7FF57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21A22C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47</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A03D55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7A6DF4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53ED8A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架空导线不应有散股、磨伤、断股、扭曲、金钩等缺陷。</w:t>
            </w:r>
          </w:p>
        </w:tc>
      </w:tr>
      <w:tr w14:paraId="32E6C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DBDCC6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48</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E4304E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EBD417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D72898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架空导线或架空地线各相间的弧垂应保持一致，满足10千伏以下偏差±5%以内。</w:t>
            </w:r>
          </w:p>
        </w:tc>
      </w:tr>
      <w:tr w14:paraId="10B7B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DCB24F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49</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01043B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6D19C3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0DAEDD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当导线采用线夹连接引流线时，线夹数量不应少于2个。线路每相引流线、引下线与邻相引流线、引下线或导线之间净空距离应符合安全要求。</w:t>
            </w:r>
          </w:p>
        </w:tc>
      </w:tr>
      <w:tr w14:paraId="72370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C9BD9D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50</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0F01795">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CD3583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82E862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绝缘导线的连接不得缠绕，应采用专用的线夹、接续管连接；绝缘导线连接处应进行绝缘处理；绝缘导线的全部端头、接头应进行绝缘护封，不得有导线、接头裸露。</w:t>
            </w:r>
          </w:p>
        </w:tc>
      </w:tr>
      <w:tr w14:paraId="487F4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4FC470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51</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A3E8EE8">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EF1779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81E5BB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架空绝缘导线采用绝缘子架设方式时，绝缘导线固定应符合下列规定：</w:t>
            </w:r>
          </w:p>
        </w:tc>
      </w:tr>
      <w:tr w14:paraId="6B85A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7A53261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52</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D69E28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16FD3A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B47FA8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1）针式或棒式绝缘子的绑扎，直线杆应采用顶槽绑扎法；直线角度杆应采用边槽绑扎法，并应绑扎在线路外角侧的边槽上。蝶式绝缘子应采用边槽绑扎法。应使用直径不小于2.5mm的单股塑料铜线绑扎。</w:t>
            </w:r>
          </w:p>
        </w:tc>
      </w:tr>
      <w:tr w14:paraId="46C6F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2E72D6E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53</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5AAD96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320832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EE1312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2）绝缘导线与绝缘子接触部分应用绝缘自粘带缠绕，缠绕长度应超出绑扎部位或与绝缘子接触部位两侧各30mm～50mm。</w:t>
            </w:r>
          </w:p>
        </w:tc>
      </w:tr>
      <w:tr w14:paraId="0B771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7244A99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54</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C80797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163CA4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35FAD5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低压架空线路档距裸导线不超过60m；架空绝缘导线不超过50m。</w:t>
            </w:r>
          </w:p>
        </w:tc>
      </w:tr>
      <w:tr w14:paraId="2D26E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44AFF7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55</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62CCA5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F30F69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8536F8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低压架空导线水平线间距离不应小于以下数值：裸导线档距50m及以下为0.4m，档距50-60m为0.45m，靠近电杆的两导线间距不小于0.5m；绝缘导线档距40m及以下为0.3m，档距40-50m为0.35m，靠近电杆的两导线间距不小于0.4m。</w:t>
            </w:r>
          </w:p>
        </w:tc>
      </w:tr>
      <w:tr w14:paraId="393E8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6A9CAA9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56</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A738C7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22F1B3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DE02A7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低压架空与高压架空线路同杆架设时，横担间的垂直距离，不应小于以下数值：直线杆1.2m；分支和转角杆1.0m。</w:t>
            </w:r>
          </w:p>
        </w:tc>
      </w:tr>
      <w:tr w14:paraId="184C6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7A32F44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57</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14C985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F243EB5">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1702F7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低压架空线路转角、分支、耐张、终端和跨越杆均应装设拉线，拉线及其铁附件均应热镀锌。</w:t>
            </w:r>
          </w:p>
        </w:tc>
      </w:tr>
      <w:tr w14:paraId="0BDF0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4C5030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58</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3574F3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DF88B2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0A7F49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接户线与低压线如为铜线与铝线连接，应采取加装铜铝过渡等类型的材料。</w:t>
            </w:r>
          </w:p>
        </w:tc>
      </w:tr>
      <w:tr w14:paraId="0B1B7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081346D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59</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2FBAB0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254444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D322B1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沿墙敷设的接户线以及进户线两支持点间的距离，不应大于6m；接户线和室外进户线最小线间距离一般不小于下列数值：自电杆引下：150mm；沿墙敷设：100mm。</w:t>
            </w:r>
          </w:p>
        </w:tc>
      </w:tr>
      <w:tr w14:paraId="13701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BD6F50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60</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623DA35">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5690D0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20587E9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接户线和进户线的进户端对地面的垂直距离不宜小于2.5m。</w:t>
            </w:r>
          </w:p>
        </w:tc>
      </w:tr>
      <w:tr w14:paraId="562B6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600262E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61</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D1DADE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0B7D87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35D1D49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接户线和进户线对公路、街道和人行道的垂直距离，在电线最大弧垂时，不应小于下列数值：</w:t>
            </w:r>
          </w:p>
        </w:tc>
      </w:tr>
      <w:tr w14:paraId="7FC30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0D0401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8272F5B">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309385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5813087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1.公路路面：6m；</w:t>
            </w:r>
          </w:p>
        </w:tc>
      </w:tr>
      <w:tr w14:paraId="3D29C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7737A30D">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482C9E8">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7B15C3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6C40373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2.通车困难的街道、人行道：3.5m；</w:t>
            </w:r>
          </w:p>
        </w:tc>
      </w:tr>
      <w:tr w14:paraId="57841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0BC3E38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47A2298">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ED2C26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DA3917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3.不通车的人行道、胡同：3m。</w:t>
            </w:r>
          </w:p>
        </w:tc>
      </w:tr>
      <w:tr w14:paraId="39012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B69F2B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62</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C7095B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F4551C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730AEB5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接户线、进户线与建筑物有关部分的距离不应小于下列数值：</w:t>
            </w:r>
          </w:p>
        </w:tc>
      </w:tr>
      <w:tr w14:paraId="18C88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0C98228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21A1F7B">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6895B3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47A659F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1.与下方窗户的垂直距离：0.3m；</w:t>
            </w:r>
          </w:p>
        </w:tc>
      </w:tr>
      <w:tr w14:paraId="3EB9F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6FCA6C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DBE892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683D0C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3913787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2.与上方阳台或窗户的垂直距离：0.8m；</w:t>
            </w:r>
          </w:p>
        </w:tc>
      </w:tr>
      <w:tr w14:paraId="7B30B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EF1278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524E2C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2382DB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05BE5FB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3.与窗户或阳台的水平距离：0.75m；</w:t>
            </w:r>
          </w:p>
        </w:tc>
      </w:tr>
      <w:tr w14:paraId="17A8B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299405A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16AE63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950D978">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321F855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4.与墙壁、构架的水平距离：0.05m。</w:t>
            </w:r>
          </w:p>
        </w:tc>
      </w:tr>
      <w:tr w14:paraId="40931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6416DD4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63</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B3BA1A8">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F68479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10B91FA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接户线、进户线与通信线、广播线交叉时，其垂直距离不应小于下列数值：</w:t>
            </w:r>
          </w:p>
        </w:tc>
      </w:tr>
      <w:tr w14:paraId="598A0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1826EEB">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687EB7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6092E6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312F4C0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1.接户线、进户线在上方时：0.6m；</w:t>
            </w:r>
          </w:p>
        </w:tc>
      </w:tr>
      <w:tr w14:paraId="521A1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946876B">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5496A1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EEA16E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931021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2.接户线、进户线在下方时：0.3m。</w:t>
            </w:r>
          </w:p>
        </w:tc>
      </w:tr>
      <w:tr w14:paraId="7E2B5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65042DF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64</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BA1E8D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AC4882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335370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进户线穿墙时，应套装硬质绝缘管，电线在室外应做滴水弯，穿墙绝缘管应内高外低，露出墙壁部分的两端不应小于10mm；滴水弯最低点距地面小于2m时进户线应加装绝缘护套。</w:t>
            </w:r>
          </w:p>
        </w:tc>
      </w:tr>
      <w:tr w14:paraId="74CFF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203FD1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65</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40EFDB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02ACE0D">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BDEE3A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线路避雷器引线应短而直、连接紧密，其截面应符合设计要求。</w:t>
            </w:r>
          </w:p>
        </w:tc>
      </w:tr>
      <w:tr w14:paraId="38C2E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223BAD8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66</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5DCF2C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1C3037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760AE1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线路带间隙氧化锌避雷器和绝缘导线线路直连氧化锌避雷器均应接地。</w:t>
            </w:r>
          </w:p>
        </w:tc>
      </w:tr>
      <w:tr w14:paraId="73FC0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73C10A3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67</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9C34BE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B45B20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3341A6D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接地网外露部分的连接应可靠，接地线规格应正确，防腐层应完好，标识应齐全明显。</w:t>
            </w:r>
          </w:p>
        </w:tc>
      </w:tr>
      <w:tr w14:paraId="591D4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2A408D5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68</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6E305F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1112B0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25A69C7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接地体的连接采用搭接焊时，应符合下列规定：</w:t>
            </w:r>
          </w:p>
        </w:tc>
      </w:tr>
      <w:tr w14:paraId="65380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F45828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28FE52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78893B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5E91AF4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r>
              <w:rPr>
                <w:rStyle w:val="149"/>
                <w:sz w:val="21"/>
                <w:szCs w:val="21"/>
                <w:highlight w:val="none"/>
                <w:lang w:val="en-US" w:eastAsia="zh-CN" w:bidi="ar"/>
              </w:rPr>
              <w:t>.扁钢的搭接长度不应小于宽度的2倍，不少于三面施焊。</w:t>
            </w:r>
          </w:p>
        </w:tc>
      </w:tr>
      <w:tr w14:paraId="21B60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6A44B1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C686BD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760E8AD">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33F8ABC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r>
              <w:rPr>
                <w:rStyle w:val="149"/>
                <w:sz w:val="21"/>
                <w:szCs w:val="21"/>
                <w:highlight w:val="none"/>
                <w:lang w:val="en-US" w:eastAsia="zh-CN" w:bidi="ar"/>
              </w:rPr>
              <w:t>.圆钢的搭接长度不应小于其直径的6倍，应双面施焊。</w:t>
            </w:r>
          </w:p>
        </w:tc>
      </w:tr>
      <w:tr w14:paraId="63278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BD71BCB">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6A16E0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2245FB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0672DA5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r>
              <w:rPr>
                <w:rStyle w:val="149"/>
                <w:sz w:val="21"/>
                <w:szCs w:val="21"/>
                <w:highlight w:val="none"/>
                <w:lang w:val="en-US" w:eastAsia="zh-CN" w:bidi="ar"/>
              </w:rPr>
              <w:t>.圆钢与扁钢连接时，其搭接长度不应小于圆钢直径的6倍，应双面施焊。</w:t>
            </w:r>
          </w:p>
        </w:tc>
      </w:tr>
      <w:tr w14:paraId="13889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757CCA0B">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12F756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07CB2C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4B0A476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r>
              <w:rPr>
                <w:rStyle w:val="149"/>
                <w:sz w:val="21"/>
                <w:szCs w:val="21"/>
                <w:highlight w:val="none"/>
                <w:lang w:val="en-US" w:eastAsia="zh-CN" w:bidi="ar"/>
              </w:rPr>
              <w:t>.扁钢与钢管、扁钢与角钢焊接时，除应在其接触部位两侧进行焊接外，并应辅以由钢带弯成的弧形或直角形，应与钢管或角钢焊接。</w:t>
            </w:r>
          </w:p>
        </w:tc>
      </w:tr>
      <w:tr w14:paraId="2628D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6B273FC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FBB392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EEBA3F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C070D0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r>
              <w:rPr>
                <w:rStyle w:val="149"/>
                <w:sz w:val="21"/>
                <w:szCs w:val="21"/>
                <w:highlight w:val="none"/>
                <w:lang w:val="en-US" w:eastAsia="zh-CN" w:bidi="ar"/>
              </w:rPr>
              <w:t>.所有焊接部位均应进行防腐处理。</w:t>
            </w:r>
          </w:p>
        </w:tc>
      </w:tr>
      <w:tr w14:paraId="3C6E9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275A4F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69</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8DF1788">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2A6166B">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2B3C76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接地引下线与接地体连接应接触良好可靠，并便于解开进行测量接地电阻和检修。当引下线从架空地线上引下时，接地引下线应紧靠杆身，并应每隔一定距离与杆身固定。</w:t>
            </w:r>
          </w:p>
        </w:tc>
      </w:tr>
      <w:tr w14:paraId="67A06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0A9F555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70</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7959C2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1696769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设备安装</w:t>
            </w: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CEECB3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配变台架整体平整，固定牢固，安装平台的水平倾斜不应大于5‰、对地高度不应小于2.5m。</w:t>
            </w:r>
          </w:p>
        </w:tc>
      </w:tr>
      <w:tr w14:paraId="24667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CFDF5B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71</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D80EE6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57D97A6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8B0052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变压器安装应稳固，其固定方式应符合设计文件要求；变压器套管压线螺栓等部件应齐全，并应紧固。</w:t>
            </w:r>
          </w:p>
        </w:tc>
      </w:tr>
      <w:tr w14:paraId="6EE95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1C9A08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72</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1198E8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2ABC0BA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535704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低压交流配电箱的安装吊、托架应安装牢固，设备连接可靠，进出线孔洞封堵良好。</w:t>
            </w:r>
          </w:p>
        </w:tc>
      </w:tr>
      <w:tr w14:paraId="4C178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755CE13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73</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830E21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2231D53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C1128E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无功补偿箱安装应牢固可靠，电源引接线应连接紧密，其截面符合设计要求。</w:t>
            </w:r>
          </w:p>
        </w:tc>
      </w:tr>
      <w:tr w14:paraId="5EF23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6FBC5BC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74</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79CDAD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680D61A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829505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断路器、开关等柱上设备外壳接地应可靠，接地电阻测试合格。</w:t>
            </w:r>
          </w:p>
        </w:tc>
      </w:tr>
      <w:tr w14:paraId="5CA6E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C56473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75</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6D2FFD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590D3A6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8000FA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断路器、开关等柱上设备应操作方便、灵活可靠，分、合闸位置指示应正确、清晰可见和便于观察。</w:t>
            </w:r>
          </w:p>
        </w:tc>
      </w:tr>
      <w:tr w14:paraId="4A9FB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5EE78B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76</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145029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1A1B12A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063EBD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隔离开关排列应整齐、高低一致，相间距离应符合设计文件要求，操作机构应动作灵活，合闸时动静触头应接触紧密，分闸时应可靠到位。</w:t>
            </w:r>
          </w:p>
        </w:tc>
      </w:tr>
      <w:tr w14:paraId="544B0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0C3A8B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77</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2124C1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5BE5D1F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D32F6C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跌落式熔断器本体轴线与地面垂线之间的夹角应在15度～30度范围内，跌落式熔断器和避雷器安装应牢固且高低一致。</w:t>
            </w:r>
          </w:p>
        </w:tc>
      </w:tr>
      <w:tr w14:paraId="0343A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23A1C7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78</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0F28F7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1C9B84B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0ADD83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配电自动化终端安装应有防尘、防水措施，终端设备外接电源和进出线应穿保护管。</w:t>
            </w:r>
          </w:p>
        </w:tc>
      </w:tr>
      <w:tr w14:paraId="0C5EF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603F78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79</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81188D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6D10CCB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222B16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配电自动化终端应有独立的保护接地端子，接地螺栓规格不应小于M6，并应与外壳和大地牢固连接，接地电阻值应小于4Ω。固定支架安装应牢固，并应便于操作，安装高度应符合设计文件要求。</w:t>
            </w:r>
          </w:p>
        </w:tc>
      </w:tr>
      <w:tr w14:paraId="0C62D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B62117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80</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322948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51B93718">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AB26CF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干式变压器底部宜加防振胶垫或弹簧底座，防振胶垫厚度不宜小于30mm。一次侧联结引线及分接位置连片连接应正确，安装应牢固。箱体应无损伤、变形，并应安装牢固、可靠。</w:t>
            </w:r>
          </w:p>
        </w:tc>
      </w:tr>
      <w:tr w14:paraId="6C634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A4E575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81</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8C541E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621ACCF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C4B59C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成套配电柜室内安装时，进出线柜应与进出线套管或预留孔洞的相对位置保持一致，母线安装时不得使进出线套管承受机械应力；双侧布置时，对侧柜的相对位置应一致。室内各种通道的最小宽度净距、柜顶与屋面的距离应符合设计文件要求。挂墙式配电箱的箱前操作通道宽度，不宜小于1m。</w:t>
            </w:r>
          </w:p>
        </w:tc>
      </w:tr>
      <w:tr w14:paraId="58ACB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A48C33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82</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300B35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0814486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82A50D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成套配电柜、箱式变电站、预装式开关站和环网箱箱体应调校平稳，柜体与基础宜采用螺栓固定，与基础的焊接或螺栓应连接牢固，当用焊接固定时，应做好防腐处理。底座与基础间的缝隙应采用水泥砂浆抺封。</w:t>
            </w:r>
          </w:p>
        </w:tc>
      </w:tr>
      <w:tr w14:paraId="2418E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24DFE04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83</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A2AE41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0D5E37A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EBFF2B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成套配电柜、箱式变电站、预装式开关站和环网箱内部元件安装应齐全，母线支持绝缘子应无损伤，柜及柜内设备与各构件间连接应牢固，导体的安全距离符合规定。</w:t>
            </w:r>
          </w:p>
        </w:tc>
      </w:tr>
      <w:tr w14:paraId="2E092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0ECC145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84</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C2897E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6ABFC09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15BED4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配电变压器高压、低压侧接线采用电缆时，电缆终端部件及接线端子符合设计文件要求，电缆终端与变压器引线接线柱连接可靠。</w:t>
            </w:r>
          </w:p>
        </w:tc>
      </w:tr>
      <w:tr w14:paraId="5DCF5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37CFFD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85</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0CE252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63E7C51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33F448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配电变压器低压侧的配电箱进出引线，采用具有绝缘护套的绝缘电线或电缆，穿越箱壳时加套管保护。</w:t>
            </w:r>
          </w:p>
        </w:tc>
      </w:tr>
      <w:tr w14:paraId="2442A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297C787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86</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B20367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4A81CBB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01113F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干式变压器一次侧联结引线及分接位置连片连接正确，安装牢固，干式变压器引出线绝缘层无损伤、裂纹，裸露导体外观无毛刺、尖角，裸导体相间及对地距离符合规定，防松件齐全、完好，引线支架固定牢固、无损伤。</w:t>
            </w:r>
          </w:p>
        </w:tc>
      </w:tr>
      <w:tr w14:paraId="12D14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7357AD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87</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324E0F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1B879E5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D3C0AE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跌落式熔断器上、下引线线径与熔断器接线端子匹配，且连接紧密可靠。</w:t>
            </w:r>
          </w:p>
        </w:tc>
      </w:tr>
      <w:tr w14:paraId="7E6A5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9D1698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88</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AF3DA7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1D8BC58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01AED8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实地检查。</w:t>
            </w:r>
          </w:p>
        </w:tc>
      </w:tr>
      <w:tr w14:paraId="0F44C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BD943E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89</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A964895">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45A6FA0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773FA5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避雷器安装引线应短而直、连接紧密。引线截面符合设计文件要求，且上引线铜线不小于16mm²、铝线不小于25mm²，下引线铜线不小于25mm²、铝线不小于35mm²，引线不应使避雷器接线端子承受额外应力，带脱扣器的避雷器动作后，下引线不碰及带电体，并保持电气安全距离。</w:t>
            </w:r>
          </w:p>
        </w:tc>
      </w:tr>
      <w:tr w14:paraId="7FE0A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9F5AF8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90</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3034E7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7178DD85">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02893B8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杆上电气设备（变压器、断路器、负荷开关、跌落式熔断器、隔离开关）引出线连接牢固可靠、端子匹配且不受额外应力，断路器和隔离开关的断口两侧（引线）带电部分之间距离满足安全净距离要求。</w:t>
            </w:r>
          </w:p>
        </w:tc>
      </w:tr>
      <w:tr w14:paraId="16276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EB947D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91</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1E5CBB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7A6795A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3EA2D2D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配电室进出引线可架空明敷或暗敷，明敷设宜采用耐气候型电缆或聚氯乙烯绝缘电线，暗敷设宜采用电缆或农用直埋塑料绝缘护套电线，敷设方式应满足下列要求：</w:t>
            </w:r>
          </w:p>
        </w:tc>
      </w:tr>
      <w:tr w14:paraId="3E853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806290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9E4529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2BEB680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nil"/>
              <w:right w:val="single" w:color="000000" w:sz="4" w:space="0"/>
            </w:tcBorders>
            <w:shd w:val="clear" w:color="auto" w:fill="FFFFFF"/>
            <w:tcMar>
              <w:top w:w="0" w:type="dxa"/>
              <w:left w:w="0" w:type="dxa"/>
              <w:bottom w:w="0" w:type="dxa"/>
              <w:right w:w="0" w:type="dxa"/>
            </w:tcMar>
            <w:vAlign w:val="center"/>
          </w:tcPr>
          <w:p w14:paraId="5005A28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1.架空明敷耐气候型绝缘电线时，其电线支架不应小于40mm×40mm×4mm角钢，穿墙时，绝缘电线应套保护管。出线的室外应做滴水弯，滴水弯最低点距离地面不应小于2.5m。</w:t>
            </w:r>
          </w:p>
        </w:tc>
      </w:tr>
      <w:tr w14:paraId="646A3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B7B7C1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320FFF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4D75618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D212C7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2.采用农用直埋塑料绝缘塑料护套电线时，应在冻土层以下且不小于0.8m处敷设，引上线在地面以上和地面以下0.8m的部位应有套管保护。</w:t>
            </w:r>
          </w:p>
        </w:tc>
      </w:tr>
      <w:tr w14:paraId="30C0E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64D58C6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92</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193603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30D65D0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nil"/>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583570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低压线路导线每相的过引线、引下线与邻相的过引线、引下线或导线之间的净空距离，不应小于150mm；导线与拉线、电杆间的最小间隙，不应小于50mm。</w:t>
            </w:r>
          </w:p>
        </w:tc>
      </w:tr>
      <w:tr w14:paraId="3D735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71DCE5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93</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6800A6B">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68FC9EAD">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CD0906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光缆引下线夹具的安装保证光缆顺直、圆滑，未有硬弯、折角。</w:t>
            </w:r>
          </w:p>
        </w:tc>
      </w:tr>
      <w:tr w14:paraId="287BA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7DCDF4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94</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6CFEF0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69F0F67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98E5DD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接地网敷设要求：接地网的埋设深度与间距应符合设计要求。当无具体规定时，接地极顶面埋设深度不宜小于0.8m，水平接地极的间距不宜小于5m，垂直接地极的间距不宜小于其长度的2倍。</w:t>
            </w:r>
          </w:p>
        </w:tc>
      </w:tr>
      <w:tr w14:paraId="718B6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200F642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4E0E7A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7A01547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1D997D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接地网连接要求：（1）焊接工艺：扁钢应为其宽度的2倍且不得少于3个棱边焊接，圆钢应为其直径的6倍；圆钢与扁钢连接时，其长度应为圆钢直径的6倍；扁钢与钢管、扁钢与角钢焊接时，除应在其接触部位两侧进行焊接外，还应由钢带或钢带弯成的卡子与钢管或角钢焊接；采用通用的焊接方法时,应在焊接处两侧不少于100mm做防腐处理，镀锌层破坏处亦应做处理。（2）放热焊接：被连接的导体截面应完全包裹在接头内；接头的表面应平滑；被连接的导体接头表面应完全熔合；接头应无贯穿性的气孔。</w:t>
            </w:r>
          </w:p>
        </w:tc>
      </w:tr>
      <w:tr w14:paraId="0F5D0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D23BEB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96</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3664C3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1831342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765B3A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接地网接地电阻值符合规范设计要求。</w:t>
            </w:r>
          </w:p>
        </w:tc>
      </w:tr>
      <w:tr w14:paraId="7B43D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22AC646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97</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1FE34D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18B3634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A94143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成列开关柜、负荷开关柜的接地母线与主接地网应有不少于两处的可靠连接点。金属柜门应采用不小于4mm²黄绿相间多股软铜线与柜体构架可靠连接。</w:t>
            </w:r>
          </w:p>
        </w:tc>
      </w:tr>
      <w:tr w14:paraId="0D1B5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2CE8D44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98</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D233A1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325893B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5BB220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电气设备的机构箱、汇控柜、接线盒、端子箱等，以及电缆金属保护管、电缆槽盒等均应有明显、可靠的接地。</w:t>
            </w:r>
          </w:p>
        </w:tc>
      </w:tr>
      <w:tr w14:paraId="3BCD1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4524E3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99</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199C8A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1CEA92A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C62B06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安装电气设备的金属构支架的接地端子应敷设专门接地线。</w:t>
            </w:r>
          </w:p>
        </w:tc>
      </w:tr>
      <w:tr w14:paraId="758FE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8EF97D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100</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3E9BEA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05FF2C4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BAD0AA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接地网外露部分的连接应可靠，接地线规格应正确，防腐层应完好，标识应齐全明显。</w:t>
            </w:r>
          </w:p>
        </w:tc>
      </w:tr>
      <w:tr w14:paraId="57642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230B469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101</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F977A0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138E5688">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35F9B5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成套装置中各设备或安装于同一设备台架上的多个电气装置，应分别引接至接地母线或共用接地引下线，再与接地网相连接。</w:t>
            </w:r>
          </w:p>
        </w:tc>
      </w:tr>
      <w:tr w14:paraId="55058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7ACD934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102</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0C3E705">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2DA5991B">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D36ED2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变压器箱体及其防护罩、围栏的保护接地、变压器接地引下线及其与主接地网的连接应符合设计文件要求，接地应可靠，紧固及防松零件应齐全，接地引线应有黄绿相间标识色。</w:t>
            </w:r>
          </w:p>
        </w:tc>
      </w:tr>
      <w:tr w14:paraId="7C09E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3489590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103</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90CE8E8">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48B8C9F8">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EAF5D4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杆上变压器安装工程的避雷器底座、变压器中性点、变压器外壳接地端子、低压配电箱接地端子接地线应独立引向接地极汇合点，接地极汇合点应经引下线与接地网可靠连接。</w:t>
            </w:r>
          </w:p>
        </w:tc>
      </w:tr>
      <w:tr w14:paraId="5786B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2E0F790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104</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22C244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14:paraId="5F1C308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C80620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干式变压器的铁芯接地线应直接接到底座接地端子，铁芯接地线不得经过夹件与底座接地端子连接。</w:t>
            </w:r>
          </w:p>
        </w:tc>
      </w:tr>
      <w:tr w14:paraId="07981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93E850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105</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399E9D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restart"/>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361376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标识安装</w:t>
            </w: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0E68BF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架空线路的杆号牌、相序牌、设备命名牌及各类警示标识安装齐全完备。</w:t>
            </w:r>
          </w:p>
        </w:tc>
      </w:tr>
      <w:tr w14:paraId="3E33E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71BEC18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106</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A0C9E6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2E06C9D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3B0D63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跨越道路的拉线，满足设计要求的同时均应设置反光标识，对路面边缘的垂直距离不小于6m，离公路较近或交通繁忙路口可能被车辆撞击的杆塔应有防撞墩或警示标识，并应涂刷或安装反光防撞标识，山坡或河边可能被冲刷的杆塔，应根据现场情况砌护坡或护台，公路边、人行道等易受碰撞处的拉线，在拉线下部设反光防撞标识。</w:t>
            </w:r>
          </w:p>
        </w:tc>
      </w:tr>
      <w:tr w14:paraId="7EFB5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58035B3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107</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2B9BEC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EA71C4B">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137E90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缆标识牌规格统一，字迹清晰，挂装牢固不易脱落，电缆标识牌注明线路编号等信息，电缆线路在电缆终端及接头处、电缆导管两端入孔及电缆井处、电缆隧道内转弯处、T型口、十字口、电缆分支处、直线段每隔50m～100m处等部位装设电缆标识牌。</w:t>
            </w:r>
          </w:p>
        </w:tc>
      </w:tr>
      <w:tr w14:paraId="77D65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5DCC3F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108</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6C37E28">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651C23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ED239F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明敷接地线全长、区间段或连接部位附近的表面，设有15mm～l00mm等宽的黄、绿色相间的条纹标识。</w:t>
            </w:r>
          </w:p>
        </w:tc>
      </w:tr>
      <w:tr w14:paraId="7DC87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1D1948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109</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1CE2DC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8821CE8">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93BC5C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电缆工井的盖板应符合设计文件要求，盖板表面应有明显且不易褪色的标识。</w:t>
            </w:r>
          </w:p>
        </w:tc>
      </w:tr>
      <w:tr w14:paraId="5C94D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9BD8ED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110</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330921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AB2349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841294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母线热缩套的相色应正确，使用相同颜色的热缩套时应标识相色。</w:t>
            </w:r>
          </w:p>
        </w:tc>
      </w:tr>
      <w:tr w14:paraId="7D59E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4AC95A2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111</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AA30D5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96BDAF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829953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端子排要有编号，端子号牌标识正确、齐全且不易脱落。强、弱电端子分开布置，当不能分开布置时，设置空端子或绝缘隔板隔开，并有明显标识。</w:t>
            </w:r>
          </w:p>
        </w:tc>
      </w:tr>
      <w:tr w14:paraId="12A20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1DC3168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112</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6D13E6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30F6C117">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595224E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电池柜体设有保护接地，接地处有防锈措施和明显标识，电池柜底部设置截面面积不小于l00mm</w:t>
            </w:r>
            <w:r>
              <w:rPr>
                <w:rStyle w:val="150"/>
                <w:sz w:val="21"/>
                <w:szCs w:val="21"/>
                <w:highlight w:val="none"/>
                <w:lang w:val="en-US" w:eastAsia="zh-CN" w:bidi="ar"/>
              </w:rPr>
              <w:t>2</w:t>
            </w:r>
            <w:r>
              <w:rPr>
                <w:rStyle w:val="149"/>
                <w:sz w:val="21"/>
                <w:szCs w:val="21"/>
                <w:highlight w:val="none"/>
                <w:lang w:val="en-US" w:eastAsia="zh-CN" w:bidi="ar"/>
              </w:rPr>
              <w:t>的接地铜排。</w:t>
            </w:r>
          </w:p>
        </w:tc>
      </w:tr>
      <w:tr w14:paraId="2FE85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229D559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113</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6983487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1EDFCD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44F74B2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柱上变压器、箱式变电站、预装式开关站和环网箱油漆完整，相序牌、设备命名牌及各类警示标识安装齐全完备，接地标识清楚。变压器箱体及其防护罩、围栏的保护接地、变压器接地引下线有黄绿相间标识色，配电站房建筑照明、通风、防护措施等各类标识悬挂正确齐全。</w:t>
            </w:r>
          </w:p>
        </w:tc>
      </w:tr>
      <w:tr w14:paraId="2BA80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0" w:type="dxa"/>
              <w:bottom w:w="0" w:type="dxa"/>
              <w:right w:w="0" w:type="dxa"/>
            </w:tcMar>
            <w:vAlign w:val="center"/>
          </w:tcPr>
          <w:p w14:paraId="676C5BF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114</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0820718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110E81D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sz w:val="21"/>
                <w:szCs w:val="21"/>
                <w:highlight w:val="none"/>
                <w:u w:val="none"/>
              </w:rPr>
            </w:pPr>
          </w:p>
        </w:tc>
        <w:tc>
          <w:tcPr>
            <w:tcW w:w="6374"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14:paraId="7B9362E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电气设备相序标识与实际电源相位一致。</w:t>
            </w:r>
          </w:p>
        </w:tc>
      </w:tr>
    </w:tbl>
    <w:p w14:paraId="7A433C97">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hint="eastAsia" w:ascii="宋体" w:hAnsi="Times New Roman" w:cs="宋体"/>
          <w:kern w:val="0"/>
          <w:sz w:val="21"/>
          <w:szCs w:val="2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ECAD85F-CA52-4785-BB3B-195FE10215B0}"/>
  </w:font>
  <w:font w:name="黑体">
    <w:panose1 w:val="02010609060101010101"/>
    <w:charset w:val="86"/>
    <w:family w:val="auto"/>
    <w:pitch w:val="default"/>
    <w:sig w:usb0="800002BF" w:usb1="38CF7CFA" w:usb2="00000016" w:usb3="00000000" w:csb0="00040001" w:csb1="00000000"/>
    <w:embedRegular r:id="rId2" w:fontKey="{EAF27014-A7D6-43B4-AEF1-EBFBD75D721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embedRegular r:id="rId3" w:fontKey="{99E48A72-0FEF-40D7-B633-B0F0DCD09ABC}"/>
  </w:font>
  <w:font w:name="Malgun Gothic">
    <w:panose1 w:val="020B0503020000020004"/>
    <w:charset w:val="81"/>
    <w:family w:val="swiss"/>
    <w:pitch w:val="default"/>
    <w:sig w:usb0="9000002F" w:usb1="29D77CFB" w:usb2="00000012" w:usb3="00000000" w:csb0="00080001" w:csb1="00000000"/>
    <w:embedRegular r:id="rId4" w:fontKey="{2EBFC5B5-FE62-4D39-AC54-92A45C7FC39B}"/>
  </w:font>
  <w:font w:name="方正公文小标宋">
    <w:altName w:val="宋体"/>
    <w:panose1 w:val="02000500000000000000"/>
    <w:charset w:val="86"/>
    <w:family w:val="auto"/>
    <w:pitch w:val="default"/>
    <w:sig w:usb0="00000000" w:usb1="00000000" w:usb2="00000016" w:usb3="00000000" w:csb0="00040001" w:csb1="00000000"/>
    <w:embedRegular r:id="rId5" w:fontKey="{2AF61626-4DC8-4122-84EA-98AE2D7A8E6E}"/>
  </w:font>
  <w:font w:name="新宋体">
    <w:panose1 w:val="02010609030101010101"/>
    <w:charset w:val="86"/>
    <w:family w:val="modern"/>
    <w:pitch w:val="default"/>
    <w:sig w:usb0="00000203" w:usb1="288F0000" w:usb2="00000006" w:usb3="00000000" w:csb0="00040001" w:csb1="00000000"/>
    <w:embedRegular r:id="rId6" w:fontKey="{26A5440F-364E-4E61-B891-2E16BA3E9EBF}"/>
  </w:font>
  <w:font w:name="sans-serif">
    <w:altName w:val="Times New Roman"/>
    <w:panose1 w:val="00000000000000000000"/>
    <w:charset w:val="00"/>
    <w:family w:val="auto"/>
    <w:pitch w:val="default"/>
    <w:sig w:usb0="00000000" w:usb1="00000000" w:usb2="00000000" w:usb3="00000000" w:csb0="00000000" w:csb1="00000000"/>
    <w:embedRegular r:id="rId7" w:fontKey="{4BC256DE-BAD2-4706-9A2C-F637DF56BFD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8E607">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842AE">
    <w:pPr>
      <w:pStyle w:val="2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1E160F">
                          <w:pPr>
                            <w:pStyle w:val="23"/>
                          </w:pPr>
                          <w:r>
                            <w:fldChar w:fldCharType="begin"/>
                          </w:r>
                          <w:r>
                            <w:instrText xml:space="preserve"> PAGE  \* MERGEFORMAT </w:instrText>
                          </w:r>
                          <w:r>
                            <w:fldChar w:fldCharType="separate"/>
                          </w:r>
                          <w:r>
                            <w:t>I</w:t>
                          </w:r>
                          <w:r>
                            <w:fldChar w:fldCharType="end"/>
                          </w:r>
                        </w:p>
                      </w:txbxContent>
                    </wps:txbx>
                    <wps:bodyPr wrap="none" lIns="0" tIns="0" rIns="0" bIns="0" upright="1">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5dsC8kBAACaAwAADgAAAGRycy9lMm9Eb2MueG1srVPNjtMwEL4j8Q6W&#10;79Rph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NeUOG5x4Jfv3y4/fl1+fiWr&#10;Ze5PH6DGtIeAiWm48wNuzewHdGbZg4o2f1EQwTh293ztrhwSEfnRerVeVxgSGJsviM8en4cI6a30&#10;lmSjoRHHV7rKT+8hjalzSq7m/L02pozQuL8ciJk9LHMfOWYrDfthErT37Rn19Dj5hjpcdErMO4eN&#10;zUsyG3E29rNxDFEfOqS2LLwg3B4TkijccoURdiqMIyvqpvXKO/HnvWQ9/lLb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vl2wLyQEAAJoDAAAOAAAAAAAAAAEAIAAAAB4BAABkcnMvZTJvRG9j&#10;LnhtbFBLBQYAAAAABgAGAFkBAABZBQAAAAA=&#10;">
              <v:fill on="f" focussize="0,0"/>
              <v:stroke on="f"/>
              <v:imagedata o:title=""/>
              <o:lock v:ext="edit" aspectratio="f"/>
              <v:textbox inset="0mm,0mm,0mm,0mm" style="mso-fit-shape-to-text:t;">
                <w:txbxContent>
                  <w:p w14:paraId="101E160F">
                    <w:pPr>
                      <w:pStyle w:val="23"/>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50D9D">
    <w:pPr>
      <w:pStyle w:val="23"/>
      <w:tabs>
        <w:tab w:val="center" w:pos="4677"/>
        <w:tab w:val="clear" w:pos="4153"/>
        <w:tab w:val="clear" w:pos="8306"/>
      </w:tabs>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F88CBE">
                          <w:pPr>
                            <w:pStyle w:val="23"/>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2AF88CBE">
                    <w:pPr>
                      <w:pStyle w:val="23"/>
                    </w:pPr>
                    <w:r>
                      <w:fldChar w:fldCharType="begin"/>
                    </w:r>
                    <w:r>
                      <w:instrText xml:space="preserve"> PAGE  \* MERGEFORMAT </w:instrText>
                    </w:r>
                    <w:r>
                      <w:fldChar w:fldCharType="separate"/>
                    </w:r>
                    <w:r>
                      <w:t>17</w:t>
                    </w:r>
                    <w:r>
                      <w:fldChar w:fldCharType="end"/>
                    </w:r>
                  </w:p>
                </w:txbxContent>
              </v:textbox>
            </v:shape>
          </w:pict>
        </mc:Fallback>
      </mc:AlternateContent>
    </w:r>
    <w:r>
      <w:tab/>
    </w:r>
  </w:p>
  <w:p w14:paraId="20535DB1">
    <w:pPr>
      <w:pStyle w:val="2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6BB6D">
    <w:pPr>
      <w:pStyle w:val="23"/>
      <w:tabs>
        <w:tab w:val="center" w:pos="4677"/>
        <w:tab w:val="clear" w:pos="4153"/>
        <w:tab w:val="clear" w:pos="8306"/>
      </w:tabs>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07A1C0">
                          <w:pPr>
                            <w:pStyle w:val="23"/>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6507A1C0">
                    <w:pPr>
                      <w:pStyle w:val="23"/>
                    </w:pPr>
                    <w:r>
                      <w:fldChar w:fldCharType="begin"/>
                    </w:r>
                    <w:r>
                      <w:instrText xml:space="preserve"> PAGE  \* MERGEFORMAT </w:instrText>
                    </w:r>
                    <w:r>
                      <w:fldChar w:fldCharType="separate"/>
                    </w:r>
                    <w:r>
                      <w:t>17</w:t>
                    </w:r>
                    <w:r>
                      <w:fldChar w:fldCharType="end"/>
                    </w:r>
                  </w:p>
                </w:txbxContent>
              </v:textbox>
            </v:shape>
          </w:pict>
        </mc:Fallback>
      </mc:AlternateContent>
    </w:r>
    <w:r>
      <w:tab/>
    </w:r>
  </w:p>
  <w:p w14:paraId="620C715E">
    <w:pPr>
      <w:pStyle w:val="2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A4AC5">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236CDE"/>
    <w:multiLevelType w:val="multilevel"/>
    <w:tmpl w:val="9F236CDE"/>
    <w:lvl w:ilvl="0" w:tentative="0">
      <w:start w:val="1"/>
      <w:numFmt w:val="decimal"/>
      <w:suff w:val="space"/>
      <w:lvlText w:val="%1."/>
      <w:lvlJc w:val="left"/>
      <w:pPr>
        <w:tabs>
          <w:tab w:val="left" w:pos="992"/>
        </w:tabs>
        <w:ind w:left="1424" w:hanging="432"/>
      </w:pPr>
      <w:rPr>
        <w:rFonts w:hint="default"/>
      </w:rPr>
    </w:lvl>
    <w:lvl w:ilvl="1" w:tentative="0">
      <w:start w:val="1"/>
      <w:numFmt w:val="decimal"/>
      <w:suff w:val="space"/>
      <w:lvlText w:val="%1.%2."/>
      <w:lvlJc w:val="left"/>
      <w:pPr>
        <w:ind w:left="992" w:firstLine="0"/>
      </w:pPr>
      <w:rPr>
        <w:rFonts w:hint="default"/>
      </w:rPr>
    </w:lvl>
    <w:lvl w:ilvl="2" w:tentative="0">
      <w:start w:val="1"/>
      <w:numFmt w:val="decimal"/>
      <w:suff w:val="space"/>
      <w:lvlText w:val="%1.%2.%3."/>
      <w:lvlJc w:val="left"/>
      <w:pPr>
        <w:ind w:left="1712" w:hanging="720"/>
      </w:pPr>
      <w:rPr>
        <w:rFonts w:hint="default"/>
      </w:rPr>
    </w:lvl>
    <w:lvl w:ilvl="3" w:tentative="0">
      <w:start w:val="1"/>
      <w:numFmt w:val="decimal"/>
      <w:pStyle w:val="5"/>
      <w:lvlText w:val="%1.%2.%3.%4."/>
      <w:lvlJc w:val="left"/>
      <w:pPr>
        <w:tabs>
          <w:tab w:val="left" w:pos="1412"/>
        </w:tabs>
        <w:ind w:left="1856" w:hanging="864"/>
      </w:pPr>
      <w:rPr>
        <w:rFonts w:hint="default"/>
      </w:rPr>
    </w:lvl>
    <w:lvl w:ilvl="4" w:tentative="0">
      <w:start w:val="1"/>
      <w:numFmt w:val="decimal"/>
      <w:lvlText w:val="%1.%2.%3.%4.%5."/>
      <w:lvlJc w:val="left"/>
      <w:pPr>
        <w:ind w:left="2000" w:hanging="1008"/>
      </w:pPr>
      <w:rPr>
        <w:rFonts w:hint="default"/>
      </w:rPr>
    </w:lvl>
    <w:lvl w:ilvl="5" w:tentative="0">
      <w:start w:val="1"/>
      <w:numFmt w:val="decimal"/>
      <w:lvlText w:val="%1.%2.%3.%4.%5.%6."/>
      <w:lvlJc w:val="left"/>
      <w:pPr>
        <w:ind w:left="2143" w:hanging="1151"/>
      </w:pPr>
      <w:rPr>
        <w:rFonts w:hint="default"/>
      </w:rPr>
    </w:lvl>
    <w:lvl w:ilvl="6" w:tentative="0">
      <w:start w:val="1"/>
      <w:numFmt w:val="decimal"/>
      <w:lvlText w:val="%1.%2.%3.%4.%5.%6.%7."/>
      <w:lvlJc w:val="left"/>
      <w:pPr>
        <w:ind w:left="2288" w:hanging="1296"/>
      </w:pPr>
      <w:rPr>
        <w:rFonts w:hint="default"/>
      </w:rPr>
    </w:lvl>
    <w:lvl w:ilvl="7" w:tentative="0">
      <w:start w:val="1"/>
      <w:numFmt w:val="decimal"/>
      <w:lvlText w:val="%1.%2.%3.%4.%5.%6.%7.%8."/>
      <w:lvlJc w:val="left"/>
      <w:pPr>
        <w:ind w:left="2432" w:hanging="1440"/>
      </w:pPr>
      <w:rPr>
        <w:rFonts w:hint="default"/>
      </w:rPr>
    </w:lvl>
    <w:lvl w:ilvl="8" w:tentative="0">
      <w:start w:val="1"/>
      <w:numFmt w:val="decimal"/>
      <w:lvlText w:val="%1.%2.%3.%4.%5.%6.%7.%8.%9."/>
      <w:lvlJc w:val="left"/>
      <w:pPr>
        <w:ind w:left="2575" w:hanging="1583"/>
      </w:pPr>
      <w:rPr>
        <w:rFonts w:hint="default"/>
      </w:rPr>
    </w:lvl>
  </w:abstractNum>
  <w:abstractNum w:abstractNumId="1">
    <w:nsid w:val="A0E87432"/>
    <w:multiLevelType w:val="multilevel"/>
    <w:tmpl w:val="A0E87432"/>
    <w:lvl w:ilvl="0" w:tentative="0">
      <w:start w:val="1"/>
      <w:numFmt w:val="none"/>
      <w:suff w:val="nothing"/>
      <w:lvlText w:val="%1"/>
      <w:lvlJc w:val="left"/>
      <w:pPr>
        <w:ind w:left="0" w:firstLine="0"/>
      </w:pPr>
      <w:rPr>
        <w:rFonts w:hint="eastAsia"/>
      </w:rPr>
    </w:lvl>
    <w:lvl w:ilvl="1" w:tentative="0">
      <w:start w:val="1"/>
      <w:numFmt w:val="decimal"/>
      <w:pStyle w:val="85"/>
      <w:suff w:val="nothing"/>
      <w:lvlText w:val="%1%2　"/>
      <w:lvlJc w:val="left"/>
      <w:pPr>
        <w:ind w:left="0" w:firstLine="0"/>
      </w:pPr>
      <w:rPr>
        <w:rFonts w:hint="default" w:ascii="黑体" w:eastAsia="黑体"/>
        <w:b w:val="0"/>
        <w:i w:val="0"/>
        <w:sz w:val="21"/>
      </w:rPr>
    </w:lvl>
    <w:lvl w:ilvl="2" w:tentative="0">
      <w:start w:val="1"/>
      <w:numFmt w:val="decimal"/>
      <w:pStyle w:val="84"/>
      <w:suff w:val="space"/>
      <w:lvlText w:val="%1%2.%3"/>
      <w:lvlJc w:val="left"/>
      <w:pPr>
        <w:ind w:left="0" w:firstLine="0"/>
      </w:pPr>
      <w:rPr>
        <w:rFonts w:hint="default" w:ascii="Times New Roman"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86"/>
      <w:suff w:val="nothing"/>
      <w:lvlText w:val="%1%2.%3.%4　"/>
      <w:lvlJc w:val="left"/>
      <w:pPr>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A72746C1"/>
    <w:multiLevelType w:val="multilevel"/>
    <w:tmpl w:val="A72746C1"/>
    <w:lvl w:ilvl="0" w:tentative="0">
      <w:start w:val="1"/>
      <w:numFmt w:val="decimal"/>
      <w:suff w:val="nothing"/>
      <w:lvlText w:val="%1"/>
      <w:lvlJc w:val="left"/>
      <w:pPr>
        <w:ind w:left="0" w:firstLine="0"/>
      </w:pPr>
      <w:rPr>
        <w:rFonts w:hint="default"/>
      </w:rPr>
    </w:lvl>
    <w:lvl w:ilvl="1" w:tentative="0">
      <w:start w:val="1"/>
      <w:numFmt w:val="decimal"/>
      <w:suff w:val="nothing"/>
      <w:lvlText w:val="%1.%2　"/>
      <w:lvlJc w:val="left"/>
      <w:pPr>
        <w:ind w:left="0" w:firstLine="0"/>
      </w:pPr>
      <w:rPr>
        <w:rFonts w:hint="default" w:ascii="黑体" w:eastAsia="黑体"/>
        <w:b w:val="0"/>
        <w:i w:val="0"/>
        <w:sz w:val="21"/>
      </w:rPr>
    </w:lvl>
    <w:lvl w:ilvl="2" w:tentative="0">
      <w:start w:val="1"/>
      <w:numFmt w:val="decimal"/>
      <w:pStyle w:val="87"/>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ACFE8370"/>
    <w:multiLevelType w:val="multilevel"/>
    <w:tmpl w:val="ACFE8370"/>
    <w:lvl w:ilvl="0" w:tentative="0">
      <w:start w:val="1"/>
      <w:numFmt w:val="none"/>
      <w:suff w:val="nothing"/>
      <w:lvlText w:val="%1"/>
      <w:lvlJc w:val="left"/>
      <w:pPr>
        <w:tabs>
          <w:tab w:val="left" w:pos="0"/>
        </w:tabs>
        <w:ind w:left="0" w:firstLine="0"/>
      </w:pPr>
      <w:rPr>
        <w:rFonts w:hint="eastAsia" w:ascii="宋体" w:hAnsi="宋体" w:eastAsia="宋体" w:cs="宋体"/>
      </w:rPr>
    </w:lvl>
    <w:lvl w:ilvl="1" w:tentative="0">
      <w:start w:val="1"/>
      <w:numFmt w:val="decimal"/>
      <w:suff w:val="nothing"/>
      <w:lvlText w:val="%1%2　"/>
      <w:lvlJc w:val="left"/>
      <w:pPr>
        <w:tabs>
          <w:tab w:val="left" w:pos="0"/>
        </w:tabs>
        <w:ind w:left="0" w:firstLine="0"/>
      </w:pPr>
      <w:rPr>
        <w:rFonts w:hint="default" w:ascii="黑体" w:hAnsi="宋体" w:eastAsia="黑体" w:cs="黑体"/>
        <w:b w:val="0"/>
        <w:i w:val="0"/>
        <w:sz w:val="21"/>
        <w:szCs w:val="21"/>
      </w:rPr>
    </w:lvl>
    <w:lvl w:ilvl="2" w:tentative="0">
      <w:start w:val="1"/>
      <w:numFmt w:val="decimal"/>
      <w:suff w:val="nothing"/>
      <w:lvlText w:val="%1%2.%3　"/>
      <w:lvlJc w:val="left"/>
      <w:pPr>
        <w:tabs>
          <w:tab w:val="left" w:pos="0"/>
        </w:tabs>
        <w:ind w:left="0" w:firstLine="0"/>
      </w:pPr>
      <w:rPr>
        <w:rFonts w:hint="default" w:ascii="黑体" w:hAnsi="Times New Roman" w:eastAsia="黑体" w:cs="Times New Roman"/>
        <w:b w:val="0"/>
        <w:bCs w:val="0"/>
        <w:i w:val="0"/>
        <w:iCs w:val="0"/>
        <w:caps w:val="0"/>
        <w:color w:val="000000"/>
        <w:spacing w:val="0"/>
        <w:sz w:val="21"/>
        <w:szCs w:val="21"/>
      </w:rPr>
    </w:lvl>
    <w:lvl w:ilvl="3" w:tentative="0">
      <w:start w:val="1"/>
      <w:numFmt w:val="decimal"/>
      <w:suff w:val="nothing"/>
      <w:lvlText w:val="%1%2.%3.%4　"/>
      <w:lvlJc w:val="left"/>
      <w:pPr>
        <w:tabs>
          <w:tab w:val="left" w:pos="0"/>
        </w:tabs>
        <w:ind w:left="0" w:firstLine="0"/>
      </w:pPr>
      <w:rPr>
        <w:rFonts w:hint="default" w:ascii="黑体" w:hAnsi="宋体" w:eastAsia="黑体" w:cs="黑体"/>
        <w:b w:val="0"/>
        <w:i w:val="0"/>
        <w:sz w:val="21"/>
        <w:szCs w:val="21"/>
      </w:rPr>
    </w:lvl>
    <w:lvl w:ilvl="4" w:tentative="0">
      <w:start w:val="1"/>
      <w:numFmt w:val="decimal"/>
      <w:suff w:val="nothing"/>
      <w:lvlText w:val="%1%2.%3.%4.%5　"/>
      <w:lvlJc w:val="left"/>
      <w:pPr>
        <w:tabs>
          <w:tab w:val="left" w:pos="0"/>
        </w:tabs>
        <w:ind w:left="0" w:firstLine="0"/>
      </w:pPr>
      <w:rPr>
        <w:rFonts w:hint="default" w:ascii="黑体" w:hAnsi="宋体" w:eastAsia="黑体" w:cs="黑体"/>
        <w:b w:val="0"/>
        <w:i w:val="0"/>
        <w:sz w:val="21"/>
        <w:szCs w:val="21"/>
      </w:rPr>
    </w:lvl>
    <w:lvl w:ilvl="5" w:tentative="0">
      <w:start w:val="1"/>
      <w:numFmt w:val="decimal"/>
      <w:suff w:val="nothing"/>
      <w:lvlText w:val="%1%2.%3.%4.%5.%6　"/>
      <w:lvlJc w:val="left"/>
      <w:pPr>
        <w:tabs>
          <w:tab w:val="left" w:pos="0"/>
        </w:tabs>
        <w:ind w:left="0" w:firstLine="0"/>
      </w:pPr>
      <w:rPr>
        <w:rFonts w:hint="default" w:ascii="黑体" w:hAnsi="宋体" w:eastAsia="黑体" w:cs="黑体"/>
        <w:b w:val="0"/>
        <w:i w:val="0"/>
        <w:sz w:val="21"/>
        <w:szCs w:val="21"/>
      </w:rPr>
    </w:lvl>
    <w:lvl w:ilvl="6" w:tentative="0">
      <w:start w:val="1"/>
      <w:numFmt w:val="decimal"/>
      <w:suff w:val="nothing"/>
      <w:lvlText w:val="%1%2.%3.%4.%5.%6.%7　"/>
      <w:lvlJc w:val="left"/>
      <w:pPr>
        <w:tabs>
          <w:tab w:val="left" w:pos="0"/>
        </w:tabs>
        <w:ind w:left="0" w:firstLine="0"/>
      </w:pPr>
      <w:rPr>
        <w:rFonts w:hint="default" w:ascii="黑体" w:hAnsi="宋体" w:eastAsia="黑体" w:cs="黑体"/>
        <w:b w:val="0"/>
        <w:i w:val="0"/>
        <w:sz w:val="21"/>
        <w:szCs w:val="21"/>
      </w:rPr>
    </w:lvl>
    <w:lvl w:ilvl="7" w:tentative="0">
      <w:start w:val="1"/>
      <w:numFmt w:val="decimal"/>
      <w:lvlText w:val="%1.%2.%3.%4.%5.%6.%7.%8"/>
      <w:lvlJc w:val="left"/>
      <w:pPr>
        <w:tabs>
          <w:tab w:val="left" w:pos="4351"/>
        </w:tabs>
        <w:ind w:left="3969" w:hanging="1418"/>
      </w:pPr>
      <w:rPr>
        <w:rFonts w:hint="eastAsia" w:ascii="宋体" w:hAnsi="宋体" w:eastAsia="宋体" w:cs="宋体"/>
      </w:rPr>
    </w:lvl>
    <w:lvl w:ilvl="8" w:tentative="0">
      <w:start w:val="1"/>
      <w:numFmt w:val="decimal"/>
      <w:lvlText w:val="%1.%2.%3.%4.%5.%6.%7.%8.%9"/>
      <w:lvlJc w:val="left"/>
      <w:pPr>
        <w:tabs>
          <w:tab w:val="left" w:pos="4777"/>
        </w:tabs>
        <w:ind w:left="4677" w:hanging="1700"/>
      </w:pPr>
      <w:rPr>
        <w:rFonts w:hint="eastAsia" w:ascii="宋体" w:hAnsi="宋体" w:eastAsia="宋体" w:cs="宋体"/>
      </w:rPr>
    </w:lvl>
  </w:abstractNum>
  <w:abstractNum w:abstractNumId="4">
    <w:nsid w:val="BDA5302F"/>
    <w:multiLevelType w:val="multilevel"/>
    <w:tmpl w:val="BDA5302F"/>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suff w:val="nothing"/>
      <w:lvlText w:val="%1.%2.%3.%4."/>
      <w:lvlJc w:val="left"/>
      <w:pPr>
        <w:tabs>
          <w:tab w:val="left" w:pos="0"/>
        </w:tabs>
        <w:ind w:left="0" w:firstLine="0"/>
      </w:pPr>
      <w:rPr>
        <w:rFonts w:hint="default"/>
      </w:rPr>
    </w:lvl>
    <w:lvl w:ilvl="4" w:tentative="0">
      <w:start w:val="1"/>
      <w:numFmt w:val="decimal"/>
      <w:pStyle w:val="110"/>
      <w:suff w:val="nothing"/>
      <w:lvlText w:val="%1.%2.%3.%4.%5."/>
      <w:lvlJc w:val="left"/>
      <w:pPr>
        <w:tabs>
          <w:tab w:val="left" w:pos="0"/>
        </w:tabs>
        <w:ind w:left="0" w:firstLine="0"/>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5">
    <w:nsid w:val="ED6BF646"/>
    <w:multiLevelType w:val="multilevel"/>
    <w:tmpl w:val="ED6BF646"/>
    <w:lvl w:ilvl="0" w:tentative="0">
      <w:start w:val="1"/>
      <w:numFmt w:val="upperLetter"/>
      <w:suff w:val="space"/>
      <w:lvlText w:val="%1"/>
      <w:lvlJc w:val="left"/>
      <w:pPr>
        <w:ind w:left="425" w:hanging="425"/>
      </w:pPr>
      <w:rPr>
        <w:rFonts w:hint="eastAsia"/>
      </w:rPr>
    </w:lvl>
    <w:lvl w:ilvl="1" w:tentative="0">
      <w:start w:val="1"/>
      <w:numFmt w:val="decimal"/>
      <w:pStyle w:val="14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EF7B3FB1"/>
    <w:multiLevelType w:val="multilevel"/>
    <w:tmpl w:val="EF7B3FB1"/>
    <w:lvl w:ilvl="0" w:tentative="0">
      <w:start w:val="1"/>
      <w:numFmt w:val="none"/>
      <w:suff w:val="nothing"/>
      <w:lvlText w:val="%1"/>
      <w:lvlJc w:val="left"/>
      <w:pPr>
        <w:tabs>
          <w:tab w:val="left" w:pos="0"/>
        </w:tabs>
        <w:ind w:left="0" w:firstLine="0"/>
      </w:pPr>
      <w:rPr>
        <w:rFonts w:hint="eastAsia" w:ascii="宋体" w:hAnsi="宋体" w:eastAsia="宋体" w:cs="宋体"/>
      </w:rPr>
    </w:lvl>
    <w:lvl w:ilvl="1" w:tentative="0">
      <w:start w:val="1"/>
      <w:numFmt w:val="decimal"/>
      <w:suff w:val="nothing"/>
      <w:lvlText w:val="%1%2　"/>
      <w:lvlJc w:val="left"/>
      <w:pPr>
        <w:tabs>
          <w:tab w:val="left" w:pos="0"/>
        </w:tabs>
        <w:ind w:left="0" w:firstLine="0"/>
      </w:pPr>
      <w:rPr>
        <w:rFonts w:hint="default" w:ascii="黑体" w:hAnsi="宋体" w:eastAsia="黑体" w:cs="黑体"/>
        <w:b w:val="0"/>
        <w:i w:val="0"/>
        <w:sz w:val="21"/>
        <w:szCs w:val="21"/>
      </w:rPr>
    </w:lvl>
    <w:lvl w:ilvl="2" w:tentative="0">
      <w:start w:val="1"/>
      <w:numFmt w:val="decimal"/>
      <w:suff w:val="nothing"/>
      <w:lvlText w:val="%1%2.%3　"/>
      <w:lvlJc w:val="left"/>
      <w:pPr>
        <w:tabs>
          <w:tab w:val="left" w:pos="0"/>
        </w:tabs>
        <w:ind w:left="0" w:firstLine="0"/>
      </w:pPr>
      <w:rPr>
        <w:rFonts w:hint="default" w:ascii="黑体" w:hAnsi="Times New Roman" w:eastAsia="黑体" w:cs="Times New Roman"/>
        <w:b w:val="0"/>
        <w:bCs w:val="0"/>
        <w:i w:val="0"/>
        <w:iCs w:val="0"/>
        <w:caps w:val="0"/>
        <w:color w:val="000000"/>
        <w:spacing w:val="0"/>
        <w:sz w:val="21"/>
        <w:szCs w:val="21"/>
      </w:rPr>
    </w:lvl>
    <w:lvl w:ilvl="3" w:tentative="0">
      <w:start w:val="1"/>
      <w:numFmt w:val="decimal"/>
      <w:suff w:val="nothing"/>
      <w:lvlText w:val="%1%2.%3.%4　"/>
      <w:lvlJc w:val="left"/>
      <w:pPr>
        <w:tabs>
          <w:tab w:val="left" w:pos="0"/>
        </w:tabs>
        <w:ind w:left="0" w:firstLine="0"/>
      </w:pPr>
      <w:rPr>
        <w:rFonts w:hint="default" w:ascii="黑体" w:hAnsi="宋体" w:eastAsia="黑体" w:cs="黑体"/>
        <w:b w:val="0"/>
        <w:i w:val="0"/>
        <w:sz w:val="21"/>
        <w:szCs w:val="21"/>
      </w:rPr>
    </w:lvl>
    <w:lvl w:ilvl="4" w:tentative="0">
      <w:start w:val="1"/>
      <w:numFmt w:val="decimal"/>
      <w:suff w:val="nothing"/>
      <w:lvlText w:val="%1%2.%3.%4.%5　"/>
      <w:lvlJc w:val="left"/>
      <w:pPr>
        <w:tabs>
          <w:tab w:val="left" w:pos="0"/>
        </w:tabs>
        <w:ind w:left="0" w:firstLine="0"/>
      </w:pPr>
      <w:rPr>
        <w:rFonts w:hint="default" w:ascii="黑体" w:hAnsi="宋体" w:eastAsia="黑体" w:cs="黑体"/>
        <w:b w:val="0"/>
        <w:i w:val="0"/>
        <w:sz w:val="21"/>
        <w:szCs w:val="21"/>
      </w:rPr>
    </w:lvl>
    <w:lvl w:ilvl="5" w:tentative="0">
      <w:start w:val="1"/>
      <w:numFmt w:val="decimal"/>
      <w:suff w:val="nothing"/>
      <w:lvlText w:val="%1%2.%3.%4.%5.%6　"/>
      <w:lvlJc w:val="left"/>
      <w:pPr>
        <w:tabs>
          <w:tab w:val="left" w:pos="0"/>
        </w:tabs>
        <w:ind w:left="0" w:firstLine="0"/>
      </w:pPr>
      <w:rPr>
        <w:rFonts w:hint="default" w:ascii="黑体" w:hAnsi="宋体" w:eastAsia="黑体" w:cs="黑体"/>
        <w:b w:val="0"/>
        <w:i w:val="0"/>
        <w:sz w:val="21"/>
        <w:szCs w:val="21"/>
      </w:rPr>
    </w:lvl>
    <w:lvl w:ilvl="6" w:tentative="0">
      <w:start w:val="1"/>
      <w:numFmt w:val="decimal"/>
      <w:suff w:val="nothing"/>
      <w:lvlText w:val="%1%2.%3.%4.%5.%6.%7　"/>
      <w:lvlJc w:val="left"/>
      <w:pPr>
        <w:tabs>
          <w:tab w:val="left" w:pos="0"/>
        </w:tabs>
        <w:ind w:left="0" w:firstLine="0"/>
      </w:pPr>
      <w:rPr>
        <w:rFonts w:hint="default" w:ascii="黑体" w:hAnsi="宋体" w:eastAsia="黑体" w:cs="黑体"/>
        <w:b w:val="0"/>
        <w:i w:val="0"/>
        <w:sz w:val="21"/>
        <w:szCs w:val="21"/>
      </w:rPr>
    </w:lvl>
    <w:lvl w:ilvl="7" w:tentative="0">
      <w:start w:val="1"/>
      <w:numFmt w:val="decimal"/>
      <w:lvlText w:val="%1.%2.%3.%4.%5.%6.%7.%8"/>
      <w:lvlJc w:val="left"/>
      <w:pPr>
        <w:tabs>
          <w:tab w:val="left" w:pos="4351"/>
        </w:tabs>
        <w:ind w:left="3969" w:hanging="1418"/>
      </w:pPr>
      <w:rPr>
        <w:rFonts w:hint="eastAsia" w:ascii="宋体" w:hAnsi="宋体" w:eastAsia="宋体" w:cs="宋体"/>
      </w:rPr>
    </w:lvl>
    <w:lvl w:ilvl="8" w:tentative="0">
      <w:start w:val="1"/>
      <w:numFmt w:val="decimal"/>
      <w:lvlText w:val="%1.%2.%3.%4.%5.%6.%7.%8.%9"/>
      <w:lvlJc w:val="left"/>
      <w:pPr>
        <w:tabs>
          <w:tab w:val="left" w:pos="4777"/>
        </w:tabs>
        <w:ind w:left="4677" w:hanging="1700"/>
      </w:pPr>
      <w:rPr>
        <w:rFonts w:hint="eastAsia" w:ascii="宋体" w:hAnsi="宋体" w:eastAsia="宋体" w:cs="宋体"/>
      </w:rPr>
    </w:lvl>
  </w:abstractNum>
  <w:abstractNum w:abstractNumId="7">
    <w:nsid w:val="F8807B10"/>
    <w:multiLevelType w:val="multilevel"/>
    <w:tmpl w:val="F8807B10"/>
    <w:lvl w:ilvl="0" w:tentative="0">
      <w:start w:val="1"/>
      <w:numFmt w:val="decimal"/>
      <w:pStyle w:val="128"/>
      <w:suff w:val="space"/>
      <w:lvlText w:val="%1."/>
      <w:lvlJc w:val="left"/>
      <w:pPr>
        <w:tabs>
          <w:tab w:val="left" w:pos="0"/>
        </w:tabs>
        <w:ind w:left="432" w:hanging="432"/>
      </w:pPr>
      <w:rPr>
        <w:rFonts w:hint="default"/>
      </w:rPr>
    </w:lvl>
    <w:lvl w:ilvl="1" w:tentative="0">
      <w:start w:val="1"/>
      <w:numFmt w:val="decimal"/>
      <w:pStyle w:val="3"/>
      <w:suff w:val="space"/>
      <w:lvlText w:val="%1.%2."/>
      <w:lvlJc w:val="left"/>
      <w:pPr>
        <w:ind w:left="0" w:firstLine="0"/>
      </w:pPr>
      <w:rPr>
        <w:rFonts w:hint="default"/>
      </w:rPr>
    </w:lvl>
    <w:lvl w:ilvl="2" w:tentative="0">
      <w:start w:val="1"/>
      <w:numFmt w:val="decimal"/>
      <w:pStyle w:val="4"/>
      <w:suff w:val="space"/>
      <w:lvlText w:val="%1.%2.%3."/>
      <w:lvlJc w:val="left"/>
      <w:pPr>
        <w:ind w:left="720" w:hanging="720"/>
      </w:pPr>
      <w:rPr>
        <w:rFonts w:hint="default"/>
      </w:rPr>
    </w:lvl>
    <w:lvl w:ilvl="3" w:tentative="0">
      <w:start w:val="1"/>
      <w:numFmt w:val="decimal"/>
      <w:lvlText w:val="%1.%2.%3.%4."/>
      <w:lvlJc w:val="left"/>
      <w:pPr>
        <w:tabs>
          <w:tab w:val="left" w:pos="0"/>
        </w:tabs>
        <w:ind w:left="0" w:firstLine="0"/>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8">
    <w:nsid w:val="1ED1720A"/>
    <w:multiLevelType w:val="multilevel"/>
    <w:tmpl w:val="1ED1720A"/>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27"/>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267E5BCB"/>
    <w:multiLevelType w:val="multilevel"/>
    <w:tmpl w:val="267E5BCB"/>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pStyle w:val="67"/>
      <w:lvlText w:val="%1.%2.%3."/>
      <w:lvlJc w:val="left"/>
      <w:pPr>
        <w:ind w:left="709" w:hanging="709"/>
      </w:pPr>
      <w:rPr>
        <w:rFonts w:hint="default"/>
      </w:rPr>
    </w:lvl>
    <w:lvl w:ilvl="3" w:tentative="0">
      <w:start w:val="1"/>
      <w:numFmt w:val="decimal"/>
      <w:lvlText w:val="%1.%2.%3.%4."/>
      <w:lvlJc w:val="left"/>
      <w:pPr>
        <w:ind w:left="851" w:hanging="851"/>
      </w:pPr>
      <w:rPr>
        <w:rFonts w:hint="default"/>
      </w:rPr>
    </w:lvl>
    <w:lvl w:ilvl="4" w:tentative="0">
      <w:start w:val="1"/>
      <w:numFmt w:val="decimal"/>
      <w:pStyle w:val="62"/>
      <w:lvlText w:val="%1.%2.%3.%4.%5."/>
      <w:lvlJc w:val="left"/>
      <w:pPr>
        <w:ind w:left="992" w:hanging="992"/>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6" w:hanging="1276"/>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9" w:hanging="1559"/>
      </w:pPr>
      <w:rPr>
        <w:rFonts w:hint="default"/>
      </w:rPr>
    </w:lvl>
  </w:abstractNum>
  <w:abstractNum w:abstractNumId="10">
    <w:nsid w:val="2E4B7CED"/>
    <w:multiLevelType w:val="multilevel"/>
    <w:tmpl w:val="2E4B7CED"/>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default" w:ascii="黑体" w:eastAsia="黑体"/>
        <w:b w:val="0"/>
        <w:i w:val="0"/>
        <w:sz w:val="21"/>
      </w:rPr>
    </w:lvl>
    <w:lvl w:ilvl="2" w:tentative="0">
      <w:start w:val="1"/>
      <w:numFmt w:val="decimal"/>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44C50F90"/>
    <w:multiLevelType w:val="multilevel"/>
    <w:tmpl w:val="44C50F90"/>
    <w:lvl w:ilvl="0" w:tentative="0">
      <w:start w:val="1"/>
      <w:numFmt w:val="lowerLetter"/>
      <w:pStyle w:val="88"/>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F3EE1A1"/>
    <w:multiLevelType w:val="multilevel"/>
    <w:tmpl w:val="4F3EE1A1"/>
    <w:lvl w:ilvl="0" w:tentative="0">
      <w:start w:val="1"/>
      <w:numFmt w:val="none"/>
      <w:suff w:val="nothing"/>
      <w:lvlText w:val="%1"/>
      <w:lvlJc w:val="left"/>
      <w:pPr>
        <w:ind w:left="0" w:firstLine="0"/>
      </w:pPr>
      <w:rPr>
        <w:rFonts w:hint="eastAsia" w:ascii="宋体" w:hAnsi="宋体" w:eastAsia="宋体" w:cs="宋体"/>
      </w:rPr>
    </w:lvl>
    <w:lvl w:ilvl="1" w:tentative="0">
      <w:start w:val="1"/>
      <w:numFmt w:val="decimal"/>
      <w:suff w:val="nothing"/>
      <w:lvlText w:val="%1%2　"/>
      <w:lvlJc w:val="left"/>
      <w:pPr>
        <w:ind w:left="0" w:firstLine="0"/>
      </w:pPr>
      <w:rPr>
        <w:rFonts w:hint="default" w:ascii="黑体" w:hAnsi="宋体" w:eastAsia="黑体" w:cs="黑体"/>
        <w:b w:val="0"/>
        <w:i w:val="0"/>
        <w:sz w:val="21"/>
        <w:szCs w:val="21"/>
      </w:rPr>
    </w:lvl>
    <w:lvl w:ilvl="2" w:tentative="0">
      <w:start w:val="1"/>
      <w:numFmt w:val="decimal"/>
      <w:suff w:val="nothing"/>
      <w:lvlText w:val="%1%2.%3　"/>
      <w:lvlJc w:val="left"/>
      <w:pPr>
        <w:ind w:left="0" w:firstLine="0"/>
      </w:pPr>
      <w:rPr>
        <w:rFonts w:hint="default" w:ascii="黑体" w:hAnsi="Times New Roman" w:eastAsia="黑体" w:cs="Times New Roman"/>
        <w:b w:val="0"/>
        <w:bCs w:val="0"/>
        <w:i w:val="0"/>
        <w:iCs w:val="0"/>
        <w:caps w:val="0"/>
        <w:color w:val="000000"/>
        <w:spacing w:val="0"/>
        <w:sz w:val="21"/>
        <w:szCs w:val="21"/>
      </w:rPr>
    </w:lvl>
    <w:lvl w:ilvl="3" w:tentative="0">
      <w:start w:val="1"/>
      <w:numFmt w:val="decimal"/>
      <w:suff w:val="nothing"/>
      <w:lvlText w:val="%1%2.%3.%4　"/>
      <w:lvlJc w:val="left"/>
      <w:pPr>
        <w:ind w:left="0" w:firstLine="0"/>
      </w:pPr>
      <w:rPr>
        <w:rFonts w:hint="default" w:ascii="黑体" w:hAnsi="宋体" w:eastAsia="黑体" w:cs="黑体"/>
        <w:b w:val="0"/>
        <w:i w:val="0"/>
        <w:sz w:val="21"/>
        <w:szCs w:val="21"/>
      </w:rPr>
    </w:lvl>
    <w:lvl w:ilvl="4" w:tentative="0">
      <w:start w:val="1"/>
      <w:numFmt w:val="decimal"/>
      <w:suff w:val="nothing"/>
      <w:lvlText w:val="%1%2.%3.%4.%5　"/>
      <w:lvlJc w:val="left"/>
      <w:pPr>
        <w:ind w:left="0" w:firstLine="0"/>
      </w:pPr>
      <w:rPr>
        <w:rFonts w:hint="default" w:ascii="黑体" w:hAnsi="宋体" w:eastAsia="黑体" w:cs="黑体"/>
        <w:b w:val="0"/>
        <w:i w:val="0"/>
        <w:sz w:val="21"/>
        <w:szCs w:val="21"/>
      </w:rPr>
    </w:lvl>
    <w:lvl w:ilvl="5" w:tentative="0">
      <w:start w:val="1"/>
      <w:numFmt w:val="decimal"/>
      <w:suff w:val="nothing"/>
      <w:lvlText w:val="%1%2.%3.%4.%5.%6　"/>
      <w:lvlJc w:val="left"/>
      <w:pPr>
        <w:ind w:left="0" w:firstLine="0"/>
      </w:pPr>
      <w:rPr>
        <w:rFonts w:hint="default" w:ascii="黑体" w:hAnsi="宋体" w:eastAsia="黑体" w:cs="黑体"/>
        <w:b w:val="0"/>
        <w:i w:val="0"/>
        <w:sz w:val="21"/>
        <w:szCs w:val="21"/>
      </w:rPr>
    </w:lvl>
    <w:lvl w:ilvl="6" w:tentative="0">
      <w:start w:val="1"/>
      <w:numFmt w:val="decimal"/>
      <w:suff w:val="nothing"/>
      <w:lvlText w:val="%1%2.%3.%4.%5.%6.%7　"/>
      <w:lvlJc w:val="left"/>
      <w:pPr>
        <w:ind w:left="0" w:firstLine="0"/>
      </w:pPr>
      <w:rPr>
        <w:rFonts w:hint="default" w:ascii="黑体" w:hAnsi="宋体" w:eastAsia="黑体" w:cs="黑体"/>
        <w:b w:val="0"/>
        <w:i w:val="0"/>
        <w:sz w:val="21"/>
        <w:szCs w:val="21"/>
      </w:rPr>
    </w:lvl>
    <w:lvl w:ilvl="7" w:tentative="0">
      <w:start w:val="1"/>
      <w:numFmt w:val="decimal"/>
      <w:lvlText w:val="%1.%2.%3.%4.%5.%6.%7.%8"/>
      <w:lvlJc w:val="left"/>
      <w:pPr>
        <w:tabs>
          <w:tab w:val="left" w:pos="4351"/>
        </w:tabs>
        <w:ind w:left="3969" w:hanging="1418"/>
      </w:pPr>
      <w:rPr>
        <w:rFonts w:hint="eastAsia" w:ascii="宋体" w:hAnsi="宋体" w:eastAsia="宋体" w:cs="宋体"/>
      </w:rPr>
    </w:lvl>
    <w:lvl w:ilvl="8" w:tentative="0">
      <w:start w:val="1"/>
      <w:numFmt w:val="decimal"/>
      <w:lvlText w:val="%1.%2.%3.%4.%5.%6.%7.%8.%9"/>
      <w:lvlJc w:val="left"/>
      <w:pPr>
        <w:tabs>
          <w:tab w:val="left" w:pos="4777"/>
        </w:tabs>
        <w:ind w:left="4677" w:hanging="1700"/>
      </w:pPr>
      <w:rPr>
        <w:rFonts w:hint="eastAsia" w:ascii="宋体" w:hAnsi="宋体" w:eastAsia="宋体" w:cs="宋体"/>
      </w:rPr>
    </w:lvl>
  </w:abstractNum>
  <w:abstractNum w:abstractNumId="13">
    <w:nsid w:val="657D3FBC"/>
    <w:multiLevelType w:val="multilevel"/>
    <w:tmpl w:val="657D3FBC"/>
    <w:lvl w:ilvl="0" w:tentative="0">
      <w:start w:val="1"/>
      <w:numFmt w:val="upperLetter"/>
      <w:pStyle w:val="123"/>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7"/>
  </w:num>
  <w:num w:numId="2">
    <w:abstractNumId w:val="0"/>
  </w:num>
  <w:num w:numId="3">
    <w:abstractNumId w:val="9"/>
  </w:num>
  <w:num w:numId="4">
    <w:abstractNumId w:val="1"/>
  </w:num>
  <w:num w:numId="5">
    <w:abstractNumId w:val="2"/>
  </w:num>
  <w:num w:numId="6">
    <w:abstractNumId w:val="11"/>
  </w:num>
  <w:num w:numId="7">
    <w:abstractNumId w:val="4"/>
  </w:num>
  <w:num w:numId="8">
    <w:abstractNumId w:val="13"/>
  </w:num>
  <w:num w:numId="9">
    <w:abstractNumId w:val="8"/>
  </w:num>
  <w:num w:numId="10">
    <w:abstractNumId w:val="5"/>
  </w:num>
  <w:num w:numId="11">
    <w:abstractNumId w:val="10"/>
  </w:num>
  <w:num w:numId="12">
    <w:abstractNumId w:val="12"/>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alignBordersAndEdges w:val="1"/>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RmMzZiZTU0MjNmMTNkNTFhOTg4ODE1OGY4YWY4YzYifQ=="/>
  </w:docVars>
  <w:rsids>
    <w:rsidRoot w:val="00172A27"/>
    <w:rsid w:val="000003D1"/>
    <w:rsid w:val="000007E5"/>
    <w:rsid w:val="00000C59"/>
    <w:rsid w:val="00000F1B"/>
    <w:rsid w:val="0000184C"/>
    <w:rsid w:val="00001E59"/>
    <w:rsid w:val="00001FA6"/>
    <w:rsid w:val="000024FA"/>
    <w:rsid w:val="000026CC"/>
    <w:rsid w:val="000027F5"/>
    <w:rsid w:val="00002BCA"/>
    <w:rsid w:val="000036A4"/>
    <w:rsid w:val="00005037"/>
    <w:rsid w:val="00005375"/>
    <w:rsid w:val="000069D4"/>
    <w:rsid w:val="0000705B"/>
    <w:rsid w:val="00007576"/>
    <w:rsid w:val="00007AD9"/>
    <w:rsid w:val="00010598"/>
    <w:rsid w:val="00010E64"/>
    <w:rsid w:val="000112C5"/>
    <w:rsid w:val="00012110"/>
    <w:rsid w:val="000123D4"/>
    <w:rsid w:val="00012608"/>
    <w:rsid w:val="00012B4A"/>
    <w:rsid w:val="00013283"/>
    <w:rsid w:val="00013C11"/>
    <w:rsid w:val="0001420D"/>
    <w:rsid w:val="000153E1"/>
    <w:rsid w:val="0001545A"/>
    <w:rsid w:val="000155D7"/>
    <w:rsid w:val="000156B2"/>
    <w:rsid w:val="00015F29"/>
    <w:rsid w:val="00016BF7"/>
    <w:rsid w:val="000173FF"/>
    <w:rsid w:val="00017AF5"/>
    <w:rsid w:val="00017B1B"/>
    <w:rsid w:val="000208D7"/>
    <w:rsid w:val="00023B30"/>
    <w:rsid w:val="00023D36"/>
    <w:rsid w:val="000245E5"/>
    <w:rsid w:val="00024CC4"/>
    <w:rsid w:val="00025096"/>
    <w:rsid w:val="000267E0"/>
    <w:rsid w:val="00026969"/>
    <w:rsid w:val="00026B47"/>
    <w:rsid w:val="0002703E"/>
    <w:rsid w:val="00027354"/>
    <w:rsid w:val="0002771C"/>
    <w:rsid w:val="0002797A"/>
    <w:rsid w:val="00027E4E"/>
    <w:rsid w:val="00030388"/>
    <w:rsid w:val="0003046F"/>
    <w:rsid w:val="00030D52"/>
    <w:rsid w:val="0003131D"/>
    <w:rsid w:val="000317D6"/>
    <w:rsid w:val="00031DD3"/>
    <w:rsid w:val="000329E0"/>
    <w:rsid w:val="00032D83"/>
    <w:rsid w:val="000331B8"/>
    <w:rsid w:val="000332AC"/>
    <w:rsid w:val="0003355A"/>
    <w:rsid w:val="00033E2F"/>
    <w:rsid w:val="000344D7"/>
    <w:rsid w:val="00034504"/>
    <w:rsid w:val="00034C8C"/>
    <w:rsid w:val="0003549D"/>
    <w:rsid w:val="000377D4"/>
    <w:rsid w:val="00040D2F"/>
    <w:rsid w:val="00040D5E"/>
    <w:rsid w:val="00041EBE"/>
    <w:rsid w:val="00042141"/>
    <w:rsid w:val="000427F0"/>
    <w:rsid w:val="00042883"/>
    <w:rsid w:val="00042AD3"/>
    <w:rsid w:val="000436B8"/>
    <w:rsid w:val="00043A76"/>
    <w:rsid w:val="0004461E"/>
    <w:rsid w:val="00044F1C"/>
    <w:rsid w:val="000451CB"/>
    <w:rsid w:val="000454E6"/>
    <w:rsid w:val="00045A2F"/>
    <w:rsid w:val="00045C90"/>
    <w:rsid w:val="000463FE"/>
    <w:rsid w:val="00046A8D"/>
    <w:rsid w:val="00046B71"/>
    <w:rsid w:val="00047138"/>
    <w:rsid w:val="0005026B"/>
    <w:rsid w:val="00050C41"/>
    <w:rsid w:val="00051032"/>
    <w:rsid w:val="00051976"/>
    <w:rsid w:val="00051C97"/>
    <w:rsid w:val="00051EB7"/>
    <w:rsid w:val="00052096"/>
    <w:rsid w:val="00052E99"/>
    <w:rsid w:val="0005358B"/>
    <w:rsid w:val="00053F85"/>
    <w:rsid w:val="00054844"/>
    <w:rsid w:val="000548C2"/>
    <w:rsid w:val="00054A1C"/>
    <w:rsid w:val="00054BAD"/>
    <w:rsid w:val="00054CCC"/>
    <w:rsid w:val="00055640"/>
    <w:rsid w:val="00055976"/>
    <w:rsid w:val="0006049A"/>
    <w:rsid w:val="00060A79"/>
    <w:rsid w:val="0006151A"/>
    <w:rsid w:val="00061567"/>
    <w:rsid w:val="0006225F"/>
    <w:rsid w:val="00062A50"/>
    <w:rsid w:val="00062A98"/>
    <w:rsid w:val="00062E5B"/>
    <w:rsid w:val="0006354D"/>
    <w:rsid w:val="00064073"/>
    <w:rsid w:val="000641C7"/>
    <w:rsid w:val="00065F4F"/>
    <w:rsid w:val="00066842"/>
    <w:rsid w:val="000669DB"/>
    <w:rsid w:val="00066A2D"/>
    <w:rsid w:val="00066B83"/>
    <w:rsid w:val="000700C4"/>
    <w:rsid w:val="00070596"/>
    <w:rsid w:val="00070B15"/>
    <w:rsid w:val="00070DEB"/>
    <w:rsid w:val="00070F3A"/>
    <w:rsid w:val="000717EB"/>
    <w:rsid w:val="0007196B"/>
    <w:rsid w:val="00071D7F"/>
    <w:rsid w:val="00071F01"/>
    <w:rsid w:val="00072749"/>
    <w:rsid w:val="00072B1C"/>
    <w:rsid w:val="00072E84"/>
    <w:rsid w:val="00073030"/>
    <w:rsid w:val="000732B6"/>
    <w:rsid w:val="00073432"/>
    <w:rsid w:val="00073F61"/>
    <w:rsid w:val="0007581B"/>
    <w:rsid w:val="00075915"/>
    <w:rsid w:val="00075AAB"/>
    <w:rsid w:val="00075B2B"/>
    <w:rsid w:val="000763FE"/>
    <w:rsid w:val="0007657E"/>
    <w:rsid w:val="00076AFC"/>
    <w:rsid w:val="00076E26"/>
    <w:rsid w:val="0007725F"/>
    <w:rsid w:val="000774E4"/>
    <w:rsid w:val="000775C5"/>
    <w:rsid w:val="00077919"/>
    <w:rsid w:val="00077964"/>
    <w:rsid w:val="00077A76"/>
    <w:rsid w:val="00077FEF"/>
    <w:rsid w:val="00080686"/>
    <w:rsid w:val="000806AC"/>
    <w:rsid w:val="00081438"/>
    <w:rsid w:val="0008157A"/>
    <w:rsid w:val="00081E98"/>
    <w:rsid w:val="00081FBF"/>
    <w:rsid w:val="00082293"/>
    <w:rsid w:val="00082665"/>
    <w:rsid w:val="000826AF"/>
    <w:rsid w:val="00083289"/>
    <w:rsid w:val="0008331F"/>
    <w:rsid w:val="0008342D"/>
    <w:rsid w:val="000834A4"/>
    <w:rsid w:val="00083662"/>
    <w:rsid w:val="00083D9B"/>
    <w:rsid w:val="00083F41"/>
    <w:rsid w:val="000841A7"/>
    <w:rsid w:val="00084C19"/>
    <w:rsid w:val="00084D1C"/>
    <w:rsid w:val="00085041"/>
    <w:rsid w:val="000853B3"/>
    <w:rsid w:val="000860F5"/>
    <w:rsid w:val="00086E7F"/>
    <w:rsid w:val="000872B5"/>
    <w:rsid w:val="000901D0"/>
    <w:rsid w:val="00090FEF"/>
    <w:rsid w:val="000916FE"/>
    <w:rsid w:val="00091889"/>
    <w:rsid w:val="00092131"/>
    <w:rsid w:val="00092506"/>
    <w:rsid w:val="000925A4"/>
    <w:rsid w:val="00092A37"/>
    <w:rsid w:val="00092E73"/>
    <w:rsid w:val="00093FA3"/>
    <w:rsid w:val="000944C9"/>
    <w:rsid w:val="00094D4A"/>
    <w:rsid w:val="00094E53"/>
    <w:rsid w:val="00094F10"/>
    <w:rsid w:val="00095516"/>
    <w:rsid w:val="00096578"/>
    <w:rsid w:val="0009728B"/>
    <w:rsid w:val="000976AA"/>
    <w:rsid w:val="000A0237"/>
    <w:rsid w:val="000A0B8D"/>
    <w:rsid w:val="000A0CDC"/>
    <w:rsid w:val="000A0E0F"/>
    <w:rsid w:val="000A0E9D"/>
    <w:rsid w:val="000A1016"/>
    <w:rsid w:val="000A18E0"/>
    <w:rsid w:val="000A1E31"/>
    <w:rsid w:val="000A1EAC"/>
    <w:rsid w:val="000A2887"/>
    <w:rsid w:val="000A29B3"/>
    <w:rsid w:val="000A2F32"/>
    <w:rsid w:val="000A3F22"/>
    <w:rsid w:val="000A5EEA"/>
    <w:rsid w:val="000A61D4"/>
    <w:rsid w:val="000A647E"/>
    <w:rsid w:val="000A64AC"/>
    <w:rsid w:val="000A6B1A"/>
    <w:rsid w:val="000A6E28"/>
    <w:rsid w:val="000A7D6C"/>
    <w:rsid w:val="000B0318"/>
    <w:rsid w:val="000B072F"/>
    <w:rsid w:val="000B140C"/>
    <w:rsid w:val="000B174B"/>
    <w:rsid w:val="000B1FF2"/>
    <w:rsid w:val="000B37C4"/>
    <w:rsid w:val="000B3E26"/>
    <w:rsid w:val="000B3F05"/>
    <w:rsid w:val="000B40B3"/>
    <w:rsid w:val="000B44D2"/>
    <w:rsid w:val="000B4797"/>
    <w:rsid w:val="000B61CC"/>
    <w:rsid w:val="000B6262"/>
    <w:rsid w:val="000B6398"/>
    <w:rsid w:val="000B7071"/>
    <w:rsid w:val="000B768F"/>
    <w:rsid w:val="000B793C"/>
    <w:rsid w:val="000B7A32"/>
    <w:rsid w:val="000C0354"/>
    <w:rsid w:val="000C07D7"/>
    <w:rsid w:val="000C1213"/>
    <w:rsid w:val="000C1994"/>
    <w:rsid w:val="000C2249"/>
    <w:rsid w:val="000C22AF"/>
    <w:rsid w:val="000C2E0E"/>
    <w:rsid w:val="000C31A7"/>
    <w:rsid w:val="000C46A1"/>
    <w:rsid w:val="000C470A"/>
    <w:rsid w:val="000C4793"/>
    <w:rsid w:val="000C4B0D"/>
    <w:rsid w:val="000C594A"/>
    <w:rsid w:val="000C5A9E"/>
    <w:rsid w:val="000C5FD3"/>
    <w:rsid w:val="000C6257"/>
    <w:rsid w:val="000C6DD6"/>
    <w:rsid w:val="000C7273"/>
    <w:rsid w:val="000D02B5"/>
    <w:rsid w:val="000D0895"/>
    <w:rsid w:val="000D0ECD"/>
    <w:rsid w:val="000D12FF"/>
    <w:rsid w:val="000D1904"/>
    <w:rsid w:val="000D251E"/>
    <w:rsid w:val="000D252C"/>
    <w:rsid w:val="000D31ED"/>
    <w:rsid w:val="000D36B3"/>
    <w:rsid w:val="000D40EF"/>
    <w:rsid w:val="000D4D8A"/>
    <w:rsid w:val="000D5430"/>
    <w:rsid w:val="000D5BAE"/>
    <w:rsid w:val="000D60C2"/>
    <w:rsid w:val="000D61C8"/>
    <w:rsid w:val="000D699B"/>
    <w:rsid w:val="000D6CC0"/>
    <w:rsid w:val="000D71A0"/>
    <w:rsid w:val="000D7EC0"/>
    <w:rsid w:val="000E0248"/>
    <w:rsid w:val="000E0660"/>
    <w:rsid w:val="000E0F11"/>
    <w:rsid w:val="000E13D0"/>
    <w:rsid w:val="000E1E97"/>
    <w:rsid w:val="000E2758"/>
    <w:rsid w:val="000E2A21"/>
    <w:rsid w:val="000E2FFE"/>
    <w:rsid w:val="000E3492"/>
    <w:rsid w:val="000E3DB9"/>
    <w:rsid w:val="000E457F"/>
    <w:rsid w:val="000E45AC"/>
    <w:rsid w:val="000E4894"/>
    <w:rsid w:val="000E4A11"/>
    <w:rsid w:val="000E4BB7"/>
    <w:rsid w:val="000E61A2"/>
    <w:rsid w:val="000E631F"/>
    <w:rsid w:val="000E6333"/>
    <w:rsid w:val="000E63A3"/>
    <w:rsid w:val="000E6539"/>
    <w:rsid w:val="000E6D34"/>
    <w:rsid w:val="000E727A"/>
    <w:rsid w:val="000E738A"/>
    <w:rsid w:val="000E7527"/>
    <w:rsid w:val="000E753D"/>
    <w:rsid w:val="000E7E70"/>
    <w:rsid w:val="000F118E"/>
    <w:rsid w:val="000F165B"/>
    <w:rsid w:val="000F2721"/>
    <w:rsid w:val="000F29BC"/>
    <w:rsid w:val="000F2A60"/>
    <w:rsid w:val="000F2AA6"/>
    <w:rsid w:val="000F2EF9"/>
    <w:rsid w:val="000F4259"/>
    <w:rsid w:val="000F4D55"/>
    <w:rsid w:val="000F548C"/>
    <w:rsid w:val="000F5E67"/>
    <w:rsid w:val="000F5FC6"/>
    <w:rsid w:val="000F6030"/>
    <w:rsid w:val="000F6D7B"/>
    <w:rsid w:val="000F77E1"/>
    <w:rsid w:val="0010095F"/>
    <w:rsid w:val="00100FC9"/>
    <w:rsid w:val="00101034"/>
    <w:rsid w:val="001010E1"/>
    <w:rsid w:val="0010137A"/>
    <w:rsid w:val="00101534"/>
    <w:rsid w:val="0010178E"/>
    <w:rsid w:val="00101D75"/>
    <w:rsid w:val="001023FD"/>
    <w:rsid w:val="00102614"/>
    <w:rsid w:val="0010295F"/>
    <w:rsid w:val="00103011"/>
    <w:rsid w:val="0010333C"/>
    <w:rsid w:val="0010433C"/>
    <w:rsid w:val="00104587"/>
    <w:rsid w:val="00104C4C"/>
    <w:rsid w:val="00105543"/>
    <w:rsid w:val="00107449"/>
    <w:rsid w:val="00107DC6"/>
    <w:rsid w:val="00107E52"/>
    <w:rsid w:val="001100B0"/>
    <w:rsid w:val="00110BE9"/>
    <w:rsid w:val="00111790"/>
    <w:rsid w:val="00111D36"/>
    <w:rsid w:val="00112AA4"/>
    <w:rsid w:val="00112D9D"/>
    <w:rsid w:val="00112E06"/>
    <w:rsid w:val="001130BF"/>
    <w:rsid w:val="0011428C"/>
    <w:rsid w:val="0011437B"/>
    <w:rsid w:val="00114E4D"/>
    <w:rsid w:val="00115532"/>
    <w:rsid w:val="001159D5"/>
    <w:rsid w:val="00115C41"/>
    <w:rsid w:val="001163F0"/>
    <w:rsid w:val="0011651F"/>
    <w:rsid w:val="001165C8"/>
    <w:rsid w:val="00116A32"/>
    <w:rsid w:val="00116AE6"/>
    <w:rsid w:val="00116C0D"/>
    <w:rsid w:val="00117AA5"/>
    <w:rsid w:val="00117F40"/>
    <w:rsid w:val="00120239"/>
    <w:rsid w:val="0012083D"/>
    <w:rsid w:val="0012099E"/>
    <w:rsid w:val="00120E40"/>
    <w:rsid w:val="0012132B"/>
    <w:rsid w:val="00121940"/>
    <w:rsid w:val="001230D9"/>
    <w:rsid w:val="0012329A"/>
    <w:rsid w:val="00123541"/>
    <w:rsid w:val="001249BA"/>
    <w:rsid w:val="00124D4C"/>
    <w:rsid w:val="00127196"/>
    <w:rsid w:val="001273D7"/>
    <w:rsid w:val="00127B63"/>
    <w:rsid w:val="00130B46"/>
    <w:rsid w:val="00130FDD"/>
    <w:rsid w:val="001322D4"/>
    <w:rsid w:val="00132C49"/>
    <w:rsid w:val="001331D9"/>
    <w:rsid w:val="001334A6"/>
    <w:rsid w:val="001334DC"/>
    <w:rsid w:val="001343A6"/>
    <w:rsid w:val="0013520A"/>
    <w:rsid w:val="001353DB"/>
    <w:rsid w:val="001356FC"/>
    <w:rsid w:val="00135B4E"/>
    <w:rsid w:val="00135FC8"/>
    <w:rsid w:val="00136147"/>
    <w:rsid w:val="0013616C"/>
    <w:rsid w:val="00136383"/>
    <w:rsid w:val="001370F1"/>
    <w:rsid w:val="001374A3"/>
    <w:rsid w:val="00137E2F"/>
    <w:rsid w:val="00137FE1"/>
    <w:rsid w:val="001403B8"/>
    <w:rsid w:val="00140ADD"/>
    <w:rsid w:val="00140F18"/>
    <w:rsid w:val="001411D7"/>
    <w:rsid w:val="00141845"/>
    <w:rsid w:val="00141BC1"/>
    <w:rsid w:val="00142D22"/>
    <w:rsid w:val="00143584"/>
    <w:rsid w:val="00143AFA"/>
    <w:rsid w:val="00144585"/>
    <w:rsid w:val="00144844"/>
    <w:rsid w:val="00145DB1"/>
    <w:rsid w:val="00145ED9"/>
    <w:rsid w:val="00145F7A"/>
    <w:rsid w:val="001465F9"/>
    <w:rsid w:val="001468F6"/>
    <w:rsid w:val="00146C2A"/>
    <w:rsid w:val="00147058"/>
    <w:rsid w:val="0014734A"/>
    <w:rsid w:val="00147556"/>
    <w:rsid w:val="00147952"/>
    <w:rsid w:val="001501F0"/>
    <w:rsid w:val="00152CF9"/>
    <w:rsid w:val="001534CF"/>
    <w:rsid w:val="001542EF"/>
    <w:rsid w:val="00154F56"/>
    <w:rsid w:val="0015542D"/>
    <w:rsid w:val="00155474"/>
    <w:rsid w:val="00155826"/>
    <w:rsid w:val="00155C63"/>
    <w:rsid w:val="00157F6C"/>
    <w:rsid w:val="00157F73"/>
    <w:rsid w:val="0016026D"/>
    <w:rsid w:val="001603C0"/>
    <w:rsid w:val="00160BC8"/>
    <w:rsid w:val="0016108C"/>
    <w:rsid w:val="001617B6"/>
    <w:rsid w:val="00161A06"/>
    <w:rsid w:val="00161BF2"/>
    <w:rsid w:val="00161EFD"/>
    <w:rsid w:val="00161FA0"/>
    <w:rsid w:val="00162381"/>
    <w:rsid w:val="001625E8"/>
    <w:rsid w:val="00162EE6"/>
    <w:rsid w:val="001630BE"/>
    <w:rsid w:val="0016350A"/>
    <w:rsid w:val="00164184"/>
    <w:rsid w:val="00164385"/>
    <w:rsid w:val="00164533"/>
    <w:rsid w:val="00164FB0"/>
    <w:rsid w:val="00165143"/>
    <w:rsid w:val="0016527E"/>
    <w:rsid w:val="00166025"/>
    <w:rsid w:val="001663F3"/>
    <w:rsid w:val="00167B9F"/>
    <w:rsid w:val="00170065"/>
    <w:rsid w:val="00170967"/>
    <w:rsid w:val="00170988"/>
    <w:rsid w:val="00171E29"/>
    <w:rsid w:val="0017221A"/>
    <w:rsid w:val="00172A1B"/>
    <w:rsid w:val="00172A27"/>
    <w:rsid w:val="00172B73"/>
    <w:rsid w:val="00172D11"/>
    <w:rsid w:val="00173036"/>
    <w:rsid w:val="001741D1"/>
    <w:rsid w:val="001742E6"/>
    <w:rsid w:val="00174D72"/>
    <w:rsid w:val="001751F9"/>
    <w:rsid w:val="00175366"/>
    <w:rsid w:val="00175661"/>
    <w:rsid w:val="00175C27"/>
    <w:rsid w:val="00176531"/>
    <w:rsid w:val="0017745F"/>
    <w:rsid w:val="00177B3F"/>
    <w:rsid w:val="00180884"/>
    <w:rsid w:val="001809A8"/>
    <w:rsid w:val="0018143D"/>
    <w:rsid w:val="001819B9"/>
    <w:rsid w:val="00182050"/>
    <w:rsid w:val="001822AF"/>
    <w:rsid w:val="0018296F"/>
    <w:rsid w:val="00182975"/>
    <w:rsid w:val="00182A75"/>
    <w:rsid w:val="001831B0"/>
    <w:rsid w:val="00183999"/>
    <w:rsid w:val="00183BE2"/>
    <w:rsid w:val="00183D94"/>
    <w:rsid w:val="001842AA"/>
    <w:rsid w:val="00184CAB"/>
    <w:rsid w:val="00184E13"/>
    <w:rsid w:val="0018539A"/>
    <w:rsid w:val="00185670"/>
    <w:rsid w:val="00185AA2"/>
    <w:rsid w:val="00186C13"/>
    <w:rsid w:val="001872B1"/>
    <w:rsid w:val="00187918"/>
    <w:rsid w:val="00187C1A"/>
    <w:rsid w:val="00190C46"/>
    <w:rsid w:val="00191234"/>
    <w:rsid w:val="001917F8"/>
    <w:rsid w:val="00191C19"/>
    <w:rsid w:val="00191C9E"/>
    <w:rsid w:val="00192B21"/>
    <w:rsid w:val="00193167"/>
    <w:rsid w:val="00194089"/>
    <w:rsid w:val="001945C4"/>
    <w:rsid w:val="00194811"/>
    <w:rsid w:val="00194E8F"/>
    <w:rsid w:val="0019558C"/>
    <w:rsid w:val="0019590C"/>
    <w:rsid w:val="00195967"/>
    <w:rsid w:val="00195EBB"/>
    <w:rsid w:val="001962EE"/>
    <w:rsid w:val="00196C44"/>
    <w:rsid w:val="00197001"/>
    <w:rsid w:val="0019794E"/>
    <w:rsid w:val="00197C06"/>
    <w:rsid w:val="001A0E04"/>
    <w:rsid w:val="001A0F12"/>
    <w:rsid w:val="001A11C5"/>
    <w:rsid w:val="001A12D2"/>
    <w:rsid w:val="001A1465"/>
    <w:rsid w:val="001A1ED9"/>
    <w:rsid w:val="001A2551"/>
    <w:rsid w:val="001A293E"/>
    <w:rsid w:val="001A2E0C"/>
    <w:rsid w:val="001A2FF9"/>
    <w:rsid w:val="001A31C1"/>
    <w:rsid w:val="001A32D2"/>
    <w:rsid w:val="001A4300"/>
    <w:rsid w:val="001A4606"/>
    <w:rsid w:val="001A48B4"/>
    <w:rsid w:val="001A4F29"/>
    <w:rsid w:val="001A5505"/>
    <w:rsid w:val="001A5AF9"/>
    <w:rsid w:val="001A675C"/>
    <w:rsid w:val="001A6B6D"/>
    <w:rsid w:val="001A6E34"/>
    <w:rsid w:val="001A7330"/>
    <w:rsid w:val="001A7837"/>
    <w:rsid w:val="001A7C3B"/>
    <w:rsid w:val="001B0672"/>
    <w:rsid w:val="001B0CEF"/>
    <w:rsid w:val="001B20A3"/>
    <w:rsid w:val="001B24C2"/>
    <w:rsid w:val="001B3004"/>
    <w:rsid w:val="001B3025"/>
    <w:rsid w:val="001B345E"/>
    <w:rsid w:val="001B3771"/>
    <w:rsid w:val="001B3CBC"/>
    <w:rsid w:val="001B42C3"/>
    <w:rsid w:val="001B455C"/>
    <w:rsid w:val="001B65D8"/>
    <w:rsid w:val="001B6E4B"/>
    <w:rsid w:val="001B7B46"/>
    <w:rsid w:val="001B7DCA"/>
    <w:rsid w:val="001B7F58"/>
    <w:rsid w:val="001C078C"/>
    <w:rsid w:val="001C0C79"/>
    <w:rsid w:val="001C1F4B"/>
    <w:rsid w:val="001C22E5"/>
    <w:rsid w:val="001C2571"/>
    <w:rsid w:val="001C27EF"/>
    <w:rsid w:val="001C33A6"/>
    <w:rsid w:val="001C35C7"/>
    <w:rsid w:val="001C375B"/>
    <w:rsid w:val="001C40C5"/>
    <w:rsid w:val="001C420B"/>
    <w:rsid w:val="001C42F0"/>
    <w:rsid w:val="001C4A20"/>
    <w:rsid w:val="001C4B17"/>
    <w:rsid w:val="001C5771"/>
    <w:rsid w:val="001C591B"/>
    <w:rsid w:val="001C5A84"/>
    <w:rsid w:val="001C5D99"/>
    <w:rsid w:val="001C602C"/>
    <w:rsid w:val="001C6F1D"/>
    <w:rsid w:val="001C7242"/>
    <w:rsid w:val="001C7824"/>
    <w:rsid w:val="001D0063"/>
    <w:rsid w:val="001D09F8"/>
    <w:rsid w:val="001D1311"/>
    <w:rsid w:val="001D17DA"/>
    <w:rsid w:val="001D1D15"/>
    <w:rsid w:val="001D262C"/>
    <w:rsid w:val="001D2924"/>
    <w:rsid w:val="001D2A93"/>
    <w:rsid w:val="001D2B64"/>
    <w:rsid w:val="001D2E3F"/>
    <w:rsid w:val="001D3184"/>
    <w:rsid w:val="001D31B6"/>
    <w:rsid w:val="001D340A"/>
    <w:rsid w:val="001D363F"/>
    <w:rsid w:val="001D3870"/>
    <w:rsid w:val="001D4569"/>
    <w:rsid w:val="001D4752"/>
    <w:rsid w:val="001D54E7"/>
    <w:rsid w:val="001D57C3"/>
    <w:rsid w:val="001D61BB"/>
    <w:rsid w:val="001D63A2"/>
    <w:rsid w:val="001D7288"/>
    <w:rsid w:val="001D7F1C"/>
    <w:rsid w:val="001D7FFE"/>
    <w:rsid w:val="001E0079"/>
    <w:rsid w:val="001E0231"/>
    <w:rsid w:val="001E06F4"/>
    <w:rsid w:val="001E0FAE"/>
    <w:rsid w:val="001E13E0"/>
    <w:rsid w:val="001E1625"/>
    <w:rsid w:val="001E1BB4"/>
    <w:rsid w:val="001E2B87"/>
    <w:rsid w:val="001E3EA4"/>
    <w:rsid w:val="001E4A8E"/>
    <w:rsid w:val="001E4D83"/>
    <w:rsid w:val="001E598E"/>
    <w:rsid w:val="001E6696"/>
    <w:rsid w:val="001E6AEB"/>
    <w:rsid w:val="001E7D85"/>
    <w:rsid w:val="001F018A"/>
    <w:rsid w:val="001F0B87"/>
    <w:rsid w:val="001F0D5D"/>
    <w:rsid w:val="001F10C0"/>
    <w:rsid w:val="001F205B"/>
    <w:rsid w:val="001F281B"/>
    <w:rsid w:val="001F3254"/>
    <w:rsid w:val="001F36AA"/>
    <w:rsid w:val="001F3AB2"/>
    <w:rsid w:val="001F4715"/>
    <w:rsid w:val="001F59C5"/>
    <w:rsid w:val="001F6D91"/>
    <w:rsid w:val="001F77B6"/>
    <w:rsid w:val="0020000B"/>
    <w:rsid w:val="002018E3"/>
    <w:rsid w:val="00201D86"/>
    <w:rsid w:val="00202B05"/>
    <w:rsid w:val="00202B17"/>
    <w:rsid w:val="00202BB3"/>
    <w:rsid w:val="00203038"/>
    <w:rsid w:val="00203665"/>
    <w:rsid w:val="00203CD7"/>
    <w:rsid w:val="002044DC"/>
    <w:rsid w:val="002047CD"/>
    <w:rsid w:val="00204B6E"/>
    <w:rsid w:val="00204ECD"/>
    <w:rsid w:val="00205143"/>
    <w:rsid w:val="0020578A"/>
    <w:rsid w:val="0020585F"/>
    <w:rsid w:val="00206297"/>
    <w:rsid w:val="00206C84"/>
    <w:rsid w:val="00207188"/>
    <w:rsid w:val="0020748D"/>
    <w:rsid w:val="0020753B"/>
    <w:rsid w:val="002077FD"/>
    <w:rsid w:val="0020787F"/>
    <w:rsid w:val="002102E6"/>
    <w:rsid w:val="0021060C"/>
    <w:rsid w:val="002107A1"/>
    <w:rsid w:val="00210EB9"/>
    <w:rsid w:val="002126A3"/>
    <w:rsid w:val="00214F18"/>
    <w:rsid w:val="00215D4C"/>
    <w:rsid w:val="0021688D"/>
    <w:rsid w:val="0021713E"/>
    <w:rsid w:val="00217CE4"/>
    <w:rsid w:val="00217D6F"/>
    <w:rsid w:val="002215E0"/>
    <w:rsid w:val="002219B1"/>
    <w:rsid w:val="00221ECE"/>
    <w:rsid w:val="00221FD7"/>
    <w:rsid w:val="0022208B"/>
    <w:rsid w:val="002220F0"/>
    <w:rsid w:val="002223BA"/>
    <w:rsid w:val="00222C8C"/>
    <w:rsid w:val="002238C4"/>
    <w:rsid w:val="00223D80"/>
    <w:rsid w:val="00223DB5"/>
    <w:rsid w:val="00223EDE"/>
    <w:rsid w:val="002252F2"/>
    <w:rsid w:val="002253C0"/>
    <w:rsid w:val="00225ABF"/>
    <w:rsid w:val="00226187"/>
    <w:rsid w:val="0022738D"/>
    <w:rsid w:val="002275D1"/>
    <w:rsid w:val="00227943"/>
    <w:rsid w:val="00227CC5"/>
    <w:rsid w:val="00230440"/>
    <w:rsid w:val="00230701"/>
    <w:rsid w:val="00230AA9"/>
    <w:rsid w:val="00230F19"/>
    <w:rsid w:val="00233000"/>
    <w:rsid w:val="0023344B"/>
    <w:rsid w:val="00233645"/>
    <w:rsid w:val="002339D6"/>
    <w:rsid w:val="00233A75"/>
    <w:rsid w:val="00234164"/>
    <w:rsid w:val="002343D4"/>
    <w:rsid w:val="00234D18"/>
    <w:rsid w:val="002351C0"/>
    <w:rsid w:val="00235502"/>
    <w:rsid w:val="00235BF5"/>
    <w:rsid w:val="00235F55"/>
    <w:rsid w:val="0023649E"/>
    <w:rsid w:val="00236DA1"/>
    <w:rsid w:val="00237211"/>
    <w:rsid w:val="00237490"/>
    <w:rsid w:val="0023765F"/>
    <w:rsid w:val="0024015B"/>
    <w:rsid w:val="00240AFD"/>
    <w:rsid w:val="00240B72"/>
    <w:rsid w:val="00240F2A"/>
    <w:rsid w:val="00241168"/>
    <w:rsid w:val="00241983"/>
    <w:rsid w:val="00241C81"/>
    <w:rsid w:val="002425A1"/>
    <w:rsid w:val="002425B1"/>
    <w:rsid w:val="0024276A"/>
    <w:rsid w:val="002429CF"/>
    <w:rsid w:val="00242A60"/>
    <w:rsid w:val="00242B4B"/>
    <w:rsid w:val="002434F9"/>
    <w:rsid w:val="00243CC6"/>
    <w:rsid w:val="00243FF7"/>
    <w:rsid w:val="00244302"/>
    <w:rsid w:val="002445AF"/>
    <w:rsid w:val="00244A8F"/>
    <w:rsid w:val="0024522F"/>
    <w:rsid w:val="00245FB1"/>
    <w:rsid w:val="002460B4"/>
    <w:rsid w:val="002463CD"/>
    <w:rsid w:val="002468D5"/>
    <w:rsid w:val="00247477"/>
    <w:rsid w:val="00247B28"/>
    <w:rsid w:val="002500BB"/>
    <w:rsid w:val="00250DC9"/>
    <w:rsid w:val="002513AC"/>
    <w:rsid w:val="002519DA"/>
    <w:rsid w:val="00251FB7"/>
    <w:rsid w:val="002528F1"/>
    <w:rsid w:val="00252F58"/>
    <w:rsid w:val="002546E7"/>
    <w:rsid w:val="002547AB"/>
    <w:rsid w:val="0025647A"/>
    <w:rsid w:val="0025647F"/>
    <w:rsid w:val="002578A2"/>
    <w:rsid w:val="00260600"/>
    <w:rsid w:val="00260BAB"/>
    <w:rsid w:val="00262049"/>
    <w:rsid w:val="00262099"/>
    <w:rsid w:val="002654F7"/>
    <w:rsid w:val="002655A9"/>
    <w:rsid w:val="00265B44"/>
    <w:rsid w:val="00266393"/>
    <w:rsid w:val="00266971"/>
    <w:rsid w:val="002669BF"/>
    <w:rsid w:val="00266CE8"/>
    <w:rsid w:val="00267855"/>
    <w:rsid w:val="00267D83"/>
    <w:rsid w:val="00270F7F"/>
    <w:rsid w:val="00271B11"/>
    <w:rsid w:val="00272485"/>
    <w:rsid w:val="00272F50"/>
    <w:rsid w:val="00273D18"/>
    <w:rsid w:val="0027460E"/>
    <w:rsid w:val="002754D7"/>
    <w:rsid w:val="00275AAD"/>
    <w:rsid w:val="00275C47"/>
    <w:rsid w:val="0027649E"/>
    <w:rsid w:val="0027656E"/>
    <w:rsid w:val="002768D0"/>
    <w:rsid w:val="0027698F"/>
    <w:rsid w:val="00276E52"/>
    <w:rsid w:val="00276EF7"/>
    <w:rsid w:val="0027705C"/>
    <w:rsid w:val="00280540"/>
    <w:rsid w:val="00280A50"/>
    <w:rsid w:val="002819F2"/>
    <w:rsid w:val="00281B70"/>
    <w:rsid w:val="0028200F"/>
    <w:rsid w:val="00282616"/>
    <w:rsid w:val="002839AD"/>
    <w:rsid w:val="00283C67"/>
    <w:rsid w:val="00285852"/>
    <w:rsid w:val="002858F9"/>
    <w:rsid w:val="0028646F"/>
    <w:rsid w:val="002870A3"/>
    <w:rsid w:val="00287368"/>
    <w:rsid w:val="00287D22"/>
    <w:rsid w:val="00290923"/>
    <w:rsid w:val="0029156C"/>
    <w:rsid w:val="00291943"/>
    <w:rsid w:val="002928B7"/>
    <w:rsid w:val="002949BB"/>
    <w:rsid w:val="00295B98"/>
    <w:rsid w:val="002960A5"/>
    <w:rsid w:val="00296AA4"/>
    <w:rsid w:val="002A06C7"/>
    <w:rsid w:val="002A1046"/>
    <w:rsid w:val="002A1197"/>
    <w:rsid w:val="002A12FB"/>
    <w:rsid w:val="002A146F"/>
    <w:rsid w:val="002A3E22"/>
    <w:rsid w:val="002A3E29"/>
    <w:rsid w:val="002A4649"/>
    <w:rsid w:val="002A4A67"/>
    <w:rsid w:val="002A51E4"/>
    <w:rsid w:val="002A53CA"/>
    <w:rsid w:val="002A596C"/>
    <w:rsid w:val="002A6CE8"/>
    <w:rsid w:val="002A7180"/>
    <w:rsid w:val="002A7280"/>
    <w:rsid w:val="002A72F7"/>
    <w:rsid w:val="002A77A5"/>
    <w:rsid w:val="002B04C7"/>
    <w:rsid w:val="002B0AB7"/>
    <w:rsid w:val="002B184E"/>
    <w:rsid w:val="002B1BB2"/>
    <w:rsid w:val="002B2569"/>
    <w:rsid w:val="002B26AC"/>
    <w:rsid w:val="002B30BD"/>
    <w:rsid w:val="002B34CE"/>
    <w:rsid w:val="002B37D1"/>
    <w:rsid w:val="002B4055"/>
    <w:rsid w:val="002B53B6"/>
    <w:rsid w:val="002B55D4"/>
    <w:rsid w:val="002B5D89"/>
    <w:rsid w:val="002B62E3"/>
    <w:rsid w:val="002B6B2E"/>
    <w:rsid w:val="002B75D7"/>
    <w:rsid w:val="002B7659"/>
    <w:rsid w:val="002C074B"/>
    <w:rsid w:val="002C09D2"/>
    <w:rsid w:val="002C166D"/>
    <w:rsid w:val="002C1AF0"/>
    <w:rsid w:val="002C22E0"/>
    <w:rsid w:val="002C295E"/>
    <w:rsid w:val="002C2E66"/>
    <w:rsid w:val="002C3088"/>
    <w:rsid w:val="002C3307"/>
    <w:rsid w:val="002C3DC6"/>
    <w:rsid w:val="002C52A4"/>
    <w:rsid w:val="002C5BD2"/>
    <w:rsid w:val="002C5F13"/>
    <w:rsid w:val="002C6153"/>
    <w:rsid w:val="002C69DD"/>
    <w:rsid w:val="002C72A5"/>
    <w:rsid w:val="002C74E3"/>
    <w:rsid w:val="002D0A71"/>
    <w:rsid w:val="002D0DF1"/>
    <w:rsid w:val="002D1395"/>
    <w:rsid w:val="002D171E"/>
    <w:rsid w:val="002D17A9"/>
    <w:rsid w:val="002D19E0"/>
    <w:rsid w:val="002D1E38"/>
    <w:rsid w:val="002D2238"/>
    <w:rsid w:val="002D3768"/>
    <w:rsid w:val="002D3B7B"/>
    <w:rsid w:val="002D3F90"/>
    <w:rsid w:val="002D4C72"/>
    <w:rsid w:val="002D5259"/>
    <w:rsid w:val="002D5440"/>
    <w:rsid w:val="002D58D2"/>
    <w:rsid w:val="002D6181"/>
    <w:rsid w:val="002D686F"/>
    <w:rsid w:val="002D68F8"/>
    <w:rsid w:val="002D7A3B"/>
    <w:rsid w:val="002D7EE9"/>
    <w:rsid w:val="002E13E3"/>
    <w:rsid w:val="002E1709"/>
    <w:rsid w:val="002E1F5E"/>
    <w:rsid w:val="002E1F82"/>
    <w:rsid w:val="002E29C2"/>
    <w:rsid w:val="002E2DD2"/>
    <w:rsid w:val="002E34E9"/>
    <w:rsid w:val="002E3522"/>
    <w:rsid w:val="002E4106"/>
    <w:rsid w:val="002E4387"/>
    <w:rsid w:val="002E4B3B"/>
    <w:rsid w:val="002E5464"/>
    <w:rsid w:val="002E64A3"/>
    <w:rsid w:val="002E73A1"/>
    <w:rsid w:val="002E743A"/>
    <w:rsid w:val="002E78C8"/>
    <w:rsid w:val="002E7A89"/>
    <w:rsid w:val="002E7AD4"/>
    <w:rsid w:val="002E7C40"/>
    <w:rsid w:val="002F0D19"/>
    <w:rsid w:val="002F156C"/>
    <w:rsid w:val="002F1A90"/>
    <w:rsid w:val="002F2B09"/>
    <w:rsid w:val="002F30A4"/>
    <w:rsid w:val="002F31AF"/>
    <w:rsid w:val="002F3401"/>
    <w:rsid w:val="002F3C24"/>
    <w:rsid w:val="002F444C"/>
    <w:rsid w:val="002F4F58"/>
    <w:rsid w:val="002F50BE"/>
    <w:rsid w:val="002F5146"/>
    <w:rsid w:val="002F589E"/>
    <w:rsid w:val="002F59DC"/>
    <w:rsid w:val="002F5C3F"/>
    <w:rsid w:val="002F6BC3"/>
    <w:rsid w:val="002F6CD7"/>
    <w:rsid w:val="002F7086"/>
    <w:rsid w:val="002F7A8F"/>
    <w:rsid w:val="002F7ADC"/>
    <w:rsid w:val="002F7C7F"/>
    <w:rsid w:val="002F7FAD"/>
    <w:rsid w:val="00300946"/>
    <w:rsid w:val="00300A55"/>
    <w:rsid w:val="003010C0"/>
    <w:rsid w:val="00301904"/>
    <w:rsid w:val="00301AA0"/>
    <w:rsid w:val="00301BDA"/>
    <w:rsid w:val="003022F5"/>
    <w:rsid w:val="003026B2"/>
    <w:rsid w:val="003030F8"/>
    <w:rsid w:val="003039DE"/>
    <w:rsid w:val="00303EF1"/>
    <w:rsid w:val="003040BC"/>
    <w:rsid w:val="0030466E"/>
    <w:rsid w:val="0030489D"/>
    <w:rsid w:val="0030502C"/>
    <w:rsid w:val="003050C9"/>
    <w:rsid w:val="0030536C"/>
    <w:rsid w:val="00305415"/>
    <w:rsid w:val="003059F5"/>
    <w:rsid w:val="00306402"/>
    <w:rsid w:val="00306DED"/>
    <w:rsid w:val="0030711E"/>
    <w:rsid w:val="0030715F"/>
    <w:rsid w:val="0030762B"/>
    <w:rsid w:val="00307D16"/>
    <w:rsid w:val="00310271"/>
    <w:rsid w:val="00310A80"/>
    <w:rsid w:val="00311096"/>
    <w:rsid w:val="00311AD1"/>
    <w:rsid w:val="003135EA"/>
    <w:rsid w:val="00313AAE"/>
    <w:rsid w:val="00313F1F"/>
    <w:rsid w:val="003140A8"/>
    <w:rsid w:val="0031465F"/>
    <w:rsid w:val="003147C8"/>
    <w:rsid w:val="00315149"/>
    <w:rsid w:val="0031561E"/>
    <w:rsid w:val="00315E72"/>
    <w:rsid w:val="003164D0"/>
    <w:rsid w:val="00316621"/>
    <w:rsid w:val="00316999"/>
    <w:rsid w:val="00316A48"/>
    <w:rsid w:val="0031706A"/>
    <w:rsid w:val="00317563"/>
    <w:rsid w:val="0031763C"/>
    <w:rsid w:val="00321BC3"/>
    <w:rsid w:val="00321FCA"/>
    <w:rsid w:val="00322399"/>
    <w:rsid w:val="003228A8"/>
    <w:rsid w:val="00322F7E"/>
    <w:rsid w:val="0032378A"/>
    <w:rsid w:val="00323810"/>
    <w:rsid w:val="00327DF7"/>
    <w:rsid w:val="003308A3"/>
    <w:rsid w:val="00331287"/>
    <w:rsid w:val="0033138B"/>
    <w:rsid w:val="0033156C"/>
    <w:rsid w:val="00331BD7"/>
    <w:rsid w:val="00331E19"/>
    <w:rsid w:val="003320C2"/>
    <w:rsid w:val="00332490"/>
    <w:rsid w:val="00332E91"/>
    <w:rsid w:val="003334F7"/>
    <w:rsid w:val="00333C26"/>
    <w:rsid w:val="00333D4E"/>
    <w:rsid w:val="003345A2"/>
    <w:rsid w:val="00334F9F"/>
    <w:rsid w:val="003355FD"/>
    <w:rsid w:val="00335D3E"/>
    <w:rsid w:val="00335DA8"/>
    <w:rsid w:val="003362D9"/>
    <w:rsid w:val="003365D4"/>
    <w:rsid w:val="00336BF7"/>
    <w:rsid w:val="00337216"/>
    <w:rsid w:val="00337883"/>
    <w:rsid w:val="00337BB1"/>
    <w:rsid w:val="00337D73"/>
    <w:rsid w:val="00342004"/>
    <w:rsid w:val="00342C0F"/>
    <w:rsid w:val="003433CB"/>
    <w:rsid w:val="003434BB"/>
    <w:rsid w:val="003436CE"/>
    <w:rsid w:val="003442C8"/>
    <w:rsid w:val="00344491"/>
    <w:rsid w:val="00344A78"/>
    <w:rsid w:val="00344FBD"/>
    <w:rsid w:val="003451A5"/>
    <w:rsid w:val="00345378"/>
    <w:rsid w:val="003460B7"/>
    <w:rsid w:val="003471E3"/>
    <w:rsid w:val="00347227"/>
    <w:rsid w:val="003477C2"/>
    <w:rsid w:val="00347CAE"/>
    <w:rsid w:val="003500C0"/>
    <w:rsid w:val="0035047F"/>
    <w:rsid w:val="003505A3"/>
    <w:rsid w:val="003514F5"/>
    <w:rsid w:val="003517E7"/>
    <w:rsid w:val="00351C49"/>
    <w:rsid w:val="00351F69"/>
    <w:rsid w:val="0035286C"/>
    <w:rsid w:val="00352BB7"/>
    <w:rsid w:val="0035355F"/>
    <w:rsid w:val="00353B72"/>
    <w:rsid w:val="003541C2"/>
    <w:rsid w:val="003547F2"/>
    <w:rsid w:val="003552FE"/>
    <w:rsid w:val="00356F46"/>
    <w:rsid w:val="00356F4F"/>
    <w:rsid w:val="00356FB6"/>
    <w:rsid w:val="00357764"/>
    <w:rsid w:val="003579A9"/>
    <w:rsid w:val="00357FF3"/>
    <w:rsid w:val="003602B9"/>
    <w:rsid w:val="00361256"/>
    <w:rsid w:val="0036180B"/>
    <w:rsid w:val="00361ABF"/>
    <w:rsid w:val="003621B7"/>
    <w:rsid w:val="003621FF"/>
    <w:rsid w:val="00362432"/>
    <w:rsid w:val="00362631"/>
    <w:rsid w:val="00362BA4"/>
    <w:rsid w:val="00363AD1"/>
    <w:rsid w:val="00363C56"/>
    <w:rsid w:val="00364026"/>
    <w:rsid w:val="003641BD"/>
    <w:rsid w:val="003644C7"/>
    <w:rsid w:val="003644ED"/>
    <w:rsid w:val="003656E9"/>
    <w:rsid w:val="00365861"/>
    <w:rsid w:val="003658B7"/>
    <w:rsid w:val="003659DD"/>
    <w:rsid w:val="00365A7C"/>
    <w:rsid w:val="00366258"/>
    <w:rsid w:val="00366293"/>
    <w:rsid w:val="0036695A"/>
    <w:rsid w:val="00366B1F"/>
    <w:rsid w:val="00366DB0"/>
    <w:rsid w:val="00370388"/>
    <w:rsid w:val="00370B2E"/>
    <w:rsid w:val="00371C58"/>
    <w:rsid w:val="00371EA9"/>
    <w:rsid w:val="00372047"/>
    <w:rsid w:val="003726B6"/>
    <w:rsid w:val="00372E40"/>
    <w:rsid w:val="0037304E"/>
    <w:rsid w:val="003765EC"/>
    <w:rsid w:val="00376DF7"/>
    <w:rsid w:val="003771AC"/>
    <w:rsid w:val="003776BE"/>
    <w:rsid w:val="00377FEE"/>
    <w:rsid w:val="003803C5"/>
    <w:rsid w:val="00381829"/>
    <w:rsid w:val="00382132"/>
    <w:rsid w:val="00382601"/>
    <w:rsid w:val="0038462D"/>
    <w:rsid w:val="00384D94"/>
    <w:rsid w:val="0038508D"/>
    <w:rsid w:val="00385AEB"/>
    <w:rsid w:val="003879E5"/>
    <w:rsid w:val="00387FF9"/>
    <w:rsid w:val="003901F7"/>
    <w:rsid w:val="003907E7"/>
    <w:rsid w:val="0039132F"/>
    <w:rsid w:val="003914BC"/>
    <w:rsid w:val="003921B8"/>
    <w:rsid w:val="003927C7"/>
    <w:rsid w:val="00392A97"/>
    <w:rsid w:val="0039345A"/>
    <w:rsid w:val="003938B2"/>
    <w:rsid w:val="00393982"/>
    <w:rsid w:val="00394112"/>
    <w:rsid w:val="003943ED"/>
    <w:rsid w:val="00394695"/>
    <w:rsid w:val="0039488E"/>
    <w:rsid w:val="00394AA2"/>
    <w:rsid w:val="00394B4F"/>
    <w:rsid w:val="0039505C"/>
    <w:rsid w:val="00395210"/>
    <w:rsid w:val="0039599E"/>
    <w:rsid w:val="003960A2"/>
    <w:rsid w:val="003963F6"/>
    <w:rsid w:val="003A03A6"/>
    <w:rsid w:val="003A0767"/>
    <w:rsid w:val="003A0D89"/>
    <w:rsid w:val="003A1BEA"/>
    <w:rsid w:val="003A205D"/>
    <w:rsid w:val="003A2321"/>
    <w:rsid w:val="003A3358"/>
    <w:rsid w:val="003A3721"/>
    <w:rsid w:val="003A3B9A"/>
    <w:rsid w:val="003A437A"/>
    <w:rsid w:val="003A4384"/>
    <w:rsid w:val="003A520E"/>
    <w:rsid w:val="003A5951"/>
    <w:rsid w:val="003A5F2E"/>
    <w:rsid w:val="003A6620"/>
    <w:rsid w:val="003A6830"/>
    <w:rsid w:val="003A687F"/>
    <w:rsid w:val="003A6CDD"/>
    <w:rsid w:val="003A6FAB"/>
    <w:rsid w:val="003A77FD"/>
    <w:rsid w:val="003A7B13"/>
    <w:rsid w:val="003B0118"/>
    <w:rsid w:val="003B05F7"/>
    <w:rsid w:val="003B0775"/>
    <w:rsid w:val="003B097C"/>
    <w:rsid w:val="003B0E93"/>
    <w:rsid w:val="003B137E"/>
    <w:rsid w:val="003B1A85"/>
    <w:rsid w:val="003B1DD2"/>
    <w:rsid w:val="003B2E07"/>
    <w:rsid w:val="003B3DA7"/>
    <w:rsid w:val="003B4B97"/>
    <w:rsid w:val="003B553D"/>
    <w:rsid w:val="003B6005"/>
    <w:rsid w:val="003B68FE"/>
    <w:rsid w:val="003B6CE6"/>
    <w:rsid w:val="003B6EDB"/>
    <w:rsid w:val="003B762A"/>
    <w:rsid w:val="003C008E"/>
    <w:rsid w:val="003C0418"/>
    <w:rsid w:val="003C09EA"/>
    <w:rsid w:val="003C0CDD"/>
    <w:rsid w:val="003C0E20"/>
    <w:rsid w:val="003C0F15"/>
    <w:rsid w:val="003C1C9F"/>
    <w:rsid w:val="003C2E4D"/>
    <w:rsid w:val="003C4A1B"/>
    <w:rsid w:val="003C4C8F"/>
    <w:rsid w:val="003C5873"/>
    <w:rsid w:val="003C6B5F"/>
    <w:rsid w:val="003C7CFE"/>
    <w:rsid w:val="003D06A4"/>
    <w:rsid w:val="003D0898"/>
    <w:rsid w:val="003D0C08"/>
    <w:rsid w:val="003D0DE3"/>
    <w:rsid w:val="003D1294"/>
    <w:rsid w:val="003D293C"/>
    <w:rsid w:val="003D332E"/>
    <w:rsid w:val="003D3B61"/>
    <w:rsid w:val="003D5FCE"/>
    <w:rsid w:val="003D60CD"/>
    <w:rsid w:val="003D6562"/>
    <w:rsid w:val="003D660B"/>
    <w:rsid w:val="003D66F8"/>
    <w:rsid w:val="003D7583"/>
    <w:rsid w:val="003D7A59"/>
    <w:rsid w:val="003E0F9E"/>
    <w:rsid w:val="003E114E"/>
    <w:rsid w:val="003E195D"/>
    <w:rsid w:val="003E2065"/>
    <w:rsid w:val="003E24DA"/>
    <w:rsid w:val="003E4614"/>
    <w:rsid w:val="003E534B"/>
    <w:rsid w:val="003E58CA"/>
    <w:rsid w:val="003E5A31"/>
    <w:rsid w:val="003E5ED5"/>
    <w:rsid w:val="003E61C4"/>
    <w:rsid w:val="003E64BD"/>
    <w:rsid w:val="003E6F04"/>
    <w:rsid w:val="003E70E7"/>
    <w:rsid w:val="003E741C"/>
    <w:rsid w:val="003E7699"/>
    <w:rsid w:val="003E771C"/>
    <w:rsid w:val="003E7C04"/>
    <w:rsid w:val="003F0312"/>
    <w:rsid w:val="003F07A5"/>
    <w:rsid w:val="003F0899"/>
    <w:rsid w:val="003F0984"/>
    <w:rsid w:val="003F0A8C"/>
    <w:rsid w:val="003F0C04"/>
    <w:rsid w:val="003F1A26"/>
    <w:rsid w:val="003F204A"/>
    <w:rsid w:val="003F28F1"/>
    <w:rsid w:val="003F2A9A"/>
    <w:rsid w:val="003F320F"/>
    <w:rsid w:val="003F3226"/>
    <w:rsid w:val="003F3531"/>
    <w:rsid w:val="003F4028"/>
    <w:rsid w:val="003F420D"/>
    <w:rsid w:val="003F4475"/>
    <w:rsid w:val="003F4DB7"/>
    <w:rsid w:val="003F5262"/>
    <w:rsid w:val="003F5BBE"/>
    <w:rsid w:val="003F5E1C"/>
    <w:rsid w:val="003F7663"/>
    <w:rsid w:val="003F7B32"/>
    <w:rsid w:val="003F7D27"/>
    <w:rsid w:val="0040015E"/>
    <w:rsid w:val="00400B33"/>
    <w:rsid w:val="00400D2A"/>
    <w:rsid w:val="004014FF"/>
    <w:rsid w:val="0040173F"/>
    <w:rsid w:val="0040421F"/>
    <w:rsid w:val="004044B7"/>
    <w:rsid w:val="00404ACF"/>
    <w:rsid w:val="00404D6E"/>
    <w:rsid w:val="00405AC1"/>
    <w:rsid w:val="00406887"/>
    <w:rsid w:val="00406A44"/>
    <w:rsid w:val="0040733B"/>
    <w:rsid w:val="0040788B"/>
    <w:rsid w:val="004105E1"/>
    <w:rsid w:val="004107BD"/>
    <w:rsid w:val="00410E10"/>
    <w:rsid w:val="004111EC"/>
    <w:rsid w:val="0041198A"/>
    <w:rsid w:val="00412C90"/>
    <w:rsid w:val="004135B7"/>
    <w:rsid w:val="0041363E"/>
    <w:rsid w:val="004138C7"/>
    <w:rsid w:val="004139C8"/>
    <w:rsid w:val="004144CE"/>
    <w:rsid w:val="00414864"/>
    <w:rsid w:val="00414E6A"/>
    <w:rsid w:val="00415243"/>
    <w:rsid w:val="0041543B"/>
    <w:rsid w:val="00416A0B"/>
    <w:rsid w:val="00417621"/>
    <w:rsid w:val="00420360"/>
    <w:rsid w:val="00422654"/>
    <w:rsid w:val="00422ED9"/>
    <w:rsid w:val="004230E5"/>
    <w:rsid w:val="0042369C"/>
    <w:rsid w:val="00423EBE"/>
    <w:rsid w:val="00424328"/>
    <w:rsid w:val="00424752"/>
    <w:rsid w:val="0042582B"/>
    <w:rsid w:val="00426067"/>
    <w:rsid w:val="004260D7"/>
    <w:rsid w:val="004271FC"/>
    <w:rsid w:val="00430D32"/>
    <w:rsid w:val="004312CA"/>
    <w:rsid w:val="004313F0"/>
    <w:rsid w:val="00431EBE"/>
    <w:rsid w:val="004320FE"/>
    <w:rsid w:val="0043215A"/>
    <w:rsid w:val="0043249F"/>
    <w:rsid w:val="004324B1"/>
    <w:rsid w:val="00433040"/>
    <w:rsid w:val="004339F6"/>
    <w:rsid w:val="00433ED0"/>
    <w:rsid w:val="0043460F"/>
    <w:rsid w:val="00434688"/>
    <w:rsid w:val="00434D83"/>
    <w:rsid w:val="0043522E"/>
    <w:rsid w:val="00435BAA"/>
    <w:rsid w:val="0043613F"/>
    <w:rsid w:val="00436A25"/>
    <w:rsid w:val="00436DAD"/>
    <w:rsid w:val="00437202"/>
    <w:rsid w:val="004374D5"/>
    <w:rsid w:val="00440461"/>
    <w:rsid w:val="00440A7D"/>
    <w:rsid w:val="00441743"/>
    <w:rsid w:val="0044231D"/>
    <w:rsid w:val="0044302E"/>
    <w:rsid w:val="00443101"/>
    <w:rsid w:val="004440B7"/>
    <w:rsid w:val="004441ED"/>
    <w:rsid w:val="00444695"/>
    <w:rsid w:val="00445C16"/>
    <w:rsid w:val="00445D75"/>
    <w:rsid w:val="00446216"/>
    <w:rsid w:val="00446582"/>
    <w:rsid w:val="00446A14"/>
    <w:rsid w:val="00446EC5"/>
    <w:rsid w:val="00447781"/>
    <w:rsid w:val="00447A3D"/>
    <w:rsid w:val="00450011"/>
    <w:rsid w:val="00450218"/>
    <w:rsid w:val="004509F6"/>
    <w:rsid w:val="00450D6E"/>
    <w:rsid w:val="00450F00"/>
    <w:rsid w:val="0045122C"/>
    <w:rsid w:val="0045282D"/>
    <w:rsid w:val="00452EA2"/>
    <w:rsid w:val="004555DB"/>
    <w:rsid w:val="004564CF"/>
    <w:rsid w:val="004567C1"/>
    <w:rsid w:val="00456D0F"/>
    <w:rsid w:val="004574F8"/>
    <w:rsid w:val="0045796E"/>
    <w:rsid w:val="00457972"/>
    <w:rsid w:val="004601AB"/>
    <w:rsid w:val="00460598"/>
    <w:rsid w:val="00460624"/>
    <w:rsid w:val="00461279"/>
    <w:rsid w:val="0046133D"/>
    <w:rsid w:val="00461383"/>
    <w:rsid w:val="00461E8D"/>
    <w:rsid w:val="00461F83"/>
    <w:rsid w:val="004621A0"/>
    <w:rsid w:val="00462BBC"/>
    <w:rsid w:val="00463029"/>
    <w:rsid w:val="00464CF0"/>
    <w:rsid w:val="0046521A"/>
    <w:rsid w:val="00466304"/>
    <w:rsid w:val="00466438"/>
    <w:rsid w:val="00466743"/>
    <w:rsid w:val="00467108"/>
    <w:rsid w:val="004671D7"/>
    <w:rsid w:val="004674DA"/>
    <w:rsid w:val="004705AB"/>
    <w:rsid w:val="00470BAD"/>
    <w:rsid w:val="00470E7F"/>
    <w:rsid w:val="00471C7B"/>
    <w:rsid w:val="0047251B"/>
    <w:rsid w:val="00472F7F"/>
    <w:rsid w:val="0047306A"/>
    <w:rsid w:val="00473226"/>
    <w:rsid w:val="0047324C"/>
    <w:rsid w:val="00473645"/>
    <w:rsid w:val="00473AB2"/>
    <w:rsid w:val="004743CA"/>
    <w:rsid w:val="004748C3"/>
    <w:rsid w:val="0047577C"/>
    <w:rsid w:val="004759AE"/>
    <w:rsid w:val="00475AFA"/>
    <w:rsid w:val="00476195"/>
    <w:rsid w:val="00476265"/>
    <w:rsid w:val="004763BC"/>
    <w:rsid w:val="004767A3"/>
    <w:rsid w:val="00476A05"/>
    <w:rsid w:val="004776A2"/>
    <w:rsid w:val="004778DC"/>
    <w:rsid w:val="00480063"/>
    <w:rsid w:val="00480101"/>
    <w:rsid w:val="004802EE"/>
    <w:rsid w:val="00480775"/>
    <w:rsid w:val="00480C98"/>
    <w:rsid w:val="00481497"/>
    <w:rsid w:val="004817A1"/>
    <w:rsid w:val="00482597"/>
    <w:rsid w:val="004826C4"/>
    <w:rsid w:val="00482A01"/>
    <w:rsid w:val="00482BED"/>
    <w:rsid w:val="004841BF"/>
    <w:rsid w:val="0048437B"/>
    <w:rsid w:val="00484FA5"/>
    <w:rsid w:val="00484FAD"/>
    <w:rsid w:val="00484FF9"/>
    <w:rsid w:val="004851EB"/>
    <w:rsid w:val="00486143"/>
    <w:rsid w:val="004861CD"/>
    <w:rsid w:val="004862B0"/>
    <w:rsid w:val="00486826"/>
    <w:rsid w:val="00486834"/>
    <w:rsid w:val="0048689F"/>
    <w:rsid w:val="00486DA7"/>
    <w:rsid w:val="00487202"/>
    <w:rsid w:val="004911A2"/>
    <w:rsid w:val="00491BF9"/>
    <w:rsid w:val="00491C57"/>
    <w:rsid w:val="0049287B"/>
    <w:rsid w:val="004928B8"/>
    <w:rsid w:val="004928D8"/>
    <w:rsid w:val="0049297F"/>
    <w:rsid w:val="00493801"/>
    <w:rsid w:val="004939B8"/>
    <w:rsid w:val="00493B70"/>
    <w:rsid w:val="004955E9"/>
    <w:rsid w:val="00496270"/>
    <w:rsid w:val="00496CCB"/>
    <w:rsid w:val="00496FF8"/>
    <w:rsid w:val="00497818"/>
    <w:rsid w:val="004979C2"/>
    <w:rsid w:val="004A010D"/>
    <w:rsid w:val="004A065D"/>
    <w:rsid w:val="004A0C18"/>
    <w:rsid w:val="004A1C4A"/>
    <w:rsid w:val="004A1E39"/>
    <w:rsid w:val="004A36CD"/>
    <w:rsid w:val="004A3837"/>
    <w:rsid w:val="004A3E78"/>
    <w:rsid w:val="004A3FBA"/>
    <w:rsid w:val="004A4051"/>
    <w:rsid w:val="004A463C"/>
    <w:rsid w:val="004A46B8"/>
    <w:rsid w:val="004A4B62"/>
    <w:rsid w:val="004A524D"/>
    <w:rsid w:val="004A5D3B"/>
    <w:rsid w:val="004A5D40"/>
    <w:rsid w:val="004A5E0C"/>
    <w:rsid w:val="004A67F0"/>
    <w:rsid w:val="004A6DCA"/>
    <w:rsid w:val="004A71A0"/>
    <w:rsid w:val="004A7654"/>
    <w:rsid w:val="004A7C55"/>
    <w:rsid w:val="004B0207"/>
    <w:rsid w:val="004B0368"/>
    <w:rsid w:val="004B0829"/>
    <w:rsid w:val="004B0850"/>
    <w:rsid w:val="004B0A69"/>
    <w:rsid w:val="004B20B2"/>
    <w:rsid w:val="004B21B6"/>
    <w:rsid w:val="004B2AD2"/>
    <w:rsid w:val="004B307F"/>
    <w:rsid w:val="004B3482"/>
    <w:rsid w:val="004B3724"/>
    <w:rsid w:val="004B3A82"/>
    <w:rsid w:val="004B4420"/>
    <w:rsid w:val="004B4819"/>
    <w:rsid w:val="004B4D0A"/>
    <w:rsid w:val="004B60F6"/>
    <w:rsid w:val="004B625A"/>
    <w:rsid w:val="004B6580"/>
    <w:rsid w:val="004B6AB7"/>
    <w:rsid w:val="004B70D4"/>
    <w:rsid w:val="004B736B"/>
    <w:rsid w:val="004C029A"/>
    <w:rsid w:val="004C055C"/>
    <w:rsid w:val="004C097D"/>
    <w:rsid w:val="004C11F5"/>
    <w:rsid w:val="004C1715"/>
    <w:rsid w:val="004C1803"/>
    <w:rsid w:val="004C1E79"/>
    <w:rsid w:val="004C2092"/>
    <w:rsid w:val="004C21DB"/>
    <w:rsid w:val="004C2A0F"/>
    <w:rsid w:val="004C2BE0"/>
    <w:rsid w:val="004C301B"/>
    <w:rsid w:val="004C35AB"/>
    <w:rsid w:val="004C3FF9"/>
    <w:rsid w:val="004C43CB"/>
    <w:rsid w:val="004C4878"/>
    <w:rsid w:val="004C549E"/>
    <w:rsid w:val="004C5D75"/>
    <w:rsid w:val="004C6AED"/>
    <w:rsid w:val="004C6FD4"/>
    <w:rsid w:val="004C753E"/>
    <w:rsid w:val="004C7D04"/>
    <w:rsid w:val="004D044D"/>
    <w:rsid w:val="004D0E1F"/>
    <w:rsid w:val="004D0F8B"/>
    <w:rsid w:val="004D12E8"/>
    <w:rsid w:val="004D17AD"/>
    <w:rsid w:val="004D1992"/>
    <w:rsid w:val="004D1D51"/>
    <w:rsid w:val="004D259C"/>
    <w:rsid w:val="004D2639"/>
    <w:rsid w:val="004D2943"/>
    <w:rsid w:val="004D2AFC"/>
    <w:rsid w:val="004D49BE"/>
    <w:rsid w:val="004D4C97"/>
    <w:rsid w:val="004D4FFE"/>
    <w:rsid w:val="004D5196"/>
    <w:rsid w:val="004D5EB3"/>
    <w:rsid w:val="004D63B9"/>
    <w:rsid w:val="004D6DF3"/>
    <w:rsid w:val="004D6F70"/>
    <w:rsid w:val="004E0548"/>
    <w:rsid w:val="004E07A2"/>
    <w:rsid w:val="004E1446"/>
    <w:rsid w:val="004E27D5"/>
    <w:rsid w:val="004E3C45"/>
    <w:rsid w:val="004E3D3F"/>
    <w:rsid w:val="004E4448"/>
    <w:rsid w:val="004E5D91"/>
    <w:rsid w:val="004E5F7D"/>
    <w:rsid w:val="004E605A"/>
    <w:rsid w:val="004E61DE"/>
    <w:rsid w:val="004E6D00"/>
    <w:rsid w:val="004E7786"/>
    <w:rsid w:val="004F032A"/>
    <w:rsid w:val="004F0BC3"/>
    <w:rsid w:val="004F1340"/>
    <w:rsid w:val="004F15C7"/>
    <w:rsid w:val="004F1EB1"/>
    <w:rsid w:val="004F1F51"/>
    <w:rsid w:val="004F21CB"/>
    <w:rsid w:val="004F2885"/>
    <w:rsid w:val="004F291F"/>
    <w:rsid w:val="004F3169"/>
    <w:rsid w:val="004F3E0E"/>
    <w:rsid w:val="004F4438"/>
    <w:rsid w:val="004F575C"/>
    <w:rsid w:val="004F578E"/>
    <w:rsid w:val="004F5CB2"/>
    <w:rsid w:val="004F6542"/>
    <w:rsid w:val="004F6710"/>
    <w:rsid w:val="004F7667"/>
    <w:rsid w:val="004F7B08"/>
    <w:rsid w:val="004F7D3C"/>
    <w:rsid w:val="00500633"/>
    <w:rsid w:val="00500D62"/>
    <w:rsid w:val="00500D63"/>
    <w:rsid w:val="00500DC7"/>
    <w:rsid w:val="00501908"/>
    <w:rsid w:val="0050387B"/>
    <w:rsid w:val="00503AE4"/>
    <w:rsid w:val="00503C34"/>
    <w:rsid w:val="00505DBA"/>
    <w:rsid w:val="00506014"/>
    <w:rsid w:val="005101E9"/>
    <w:rsid w:val="00510977"/>
    <w:rsid w:val="00510BEA"/>
    <w:rsid w:val="00510C53"/>
    <w:rsid w:val="00510D65"/>
    <w:rsid w:val="00511630"/>
    <w:rsid w:val="00511698"/>
    <w:rsid w:val="005123D3"/>
    <w:rsid w:val="00512D0B"/>
    <w:rsid w:val="00512E21"/>
    <w:rsid w:val="005133F2"/>
    <w:rsid w:val="00513434"/>
    <w:rsid w:val="0051427F"/>
    <w:rsid w:val="00514969"/>
    <w:rsid w:val="00514BA5"/>
    <w:rsid w:val="005151C2"/>
    <w:rsid w:val="0051598D"/>
    <w:rsid w:val="00515A2D"/>
    <w:rsid w:val="00515D5F"/>
    <w:rsid w:val="0051653C"/>
    <w:rsid w:val="00516861"/>
    <w:rsid w:val="00517145"/>
    <w:rsid w:val="00517663"/>
    <w:rsid w:val="005178E7"/>
    <w:rsid w:val="00520875"/>
    <w:rsid w:val="00521206"/>
    <w:rsid w:val="00521A59"/>
    <w:rsid w:val="00522998"/>
    <w:rsid w:val="00523211"/>
    <w:rsid w:val="00523785"/>
    <w:rsid w:val="00523E15"/>
    <w:rsid w:val="00523F4A"/>
    <w:rsid w:val="0052439E"/>
    <w:rsid w:val="00524A0E"/>
    <w:rsid w:val="00524FBB"/>
    <w:rsid w:val="00525FA0"/>
    <w:rsid w:val="00526292"/>
    <w:rsid w:val="0052630D"/>
    <w:rsid w:val="00527035"/>
    <w:rsid w:val="005270CA"/>
    <w:rsid w:val="005274A5"/>
    <w:rsid w:val="0053079B"/>
    <w:rsid w:val="00530C93"/>
    <w:rsid w:val="00530CE2"/>
    <w:rsid w:val="00531AAC"/>
    <w:rsid w:val="00531D17"/>
    <w:rsid w:val="005323CD"/>
    <w:rsid w:val="005326B9"/>
    <w:rsid w:val="00532EF9"/>
    <w:rsid w:val="0053473D"/>
    <w:rsid w:val="0053481E"/>
    <w:rsid w:val="00534F82"/>
    <w:rsid w:val="005358EA"/>
    <w:rsid w:val="00535F6C"/>
    <w:rsid w:val="00535F94"/>
    <w:rsid w:val="005403A4"/>
    <w:rsid w:val="005405D9"/>
    <w:rsid w:val="00540C47"/>
    <w:rsid w:val="005416C0"/>
    <w:rsid w:val="00542093"/>
    <w:rsid w:val="00542552"/>
    <w:rsid w:val="0054279F"/>
    <w:rsid w:val="00543098"/>
    <w:rsid w:val="005434FA"/>
    <w:rsid w:val="005439ED"/>
    <w:rsid w:val="00544915"/>
    <w:rsid w:val="00544C0F"/>
    <w:rsid w:val="00544CE0"/>
    <w:rsid w:val="005451AB"/>
    <w:rsid w:val="00545AE5"/>
    <w:rsid w:val="00545C78"/>
    <w:rsid w:val="005460AE"/>
    <w:rsid w:val="00546B22"/>
    <w:rsid w:val="00546C8F"/>
    <w:rsid w:val="00546D5D"/>
    <w:rsid w:val="005475B4"/>
    <w:rsid w:val="00547ABF"/>
    <w:rsid w:val="0055026A"/>
    <w:rsid w:val="0055062F"/>
    <w:rsid w:val="00551680"/>
    <w:rsid w:val="00551807"/>
    <w:rsid w:val="00551876"/>
    <w:rsid w:val="005523E2"/>
    <w:rsid w:val="00552C8B"/>
    <w:rsid w:val="00553025"/>
    <w:rsid w:val="0055321A"/>
    <w:rsid w:val="005535D2"/>
    <w:rsid w:val="00553D2B"/>
    <w:rsid w:val="00554A3B"/>
    <w:rsid w:val="00555605"/>
    <w:rsid w:val="0055609A"/>
    <w:rsid w:val="005560BC"/>
    <w:rsid w:val="00556891"/>
    <w:rsid w:val="005569A1"/>
    <w:rsid w:val="00556AD0"/>
    <w:rsid w:val="005572F3"/>
    <w:rsid w:val="0056165A"/>
    <w:rsid w:val="00561DAA"/>
    <w:rsid w:val="00561F38"/>
    <w:rsid w:val="00562329"/>
    <w:rsid w:val="00563072"/>
    <w:rsid w:val="00563408"/>
    <w:rsid w:val="0056392C"/>
    <w:rsid w:val="00564592"/>
    <w:rsid w:val="005646AF"/>
    <w:rsid w:val="0056482E"/>
    <w:rsid w:val="00565117"/>
    <w:rsid w:val="005657DE"/>
    <w:rsid w:val="00565EEF"/>
    <w:rsid w:val="00566021"/>
    <w:rsid w:val="005669BD"/>
    <w:rsid w:val="00567310"/>
    <w:rsid w:val="005677A7"/>
    <w:rsid w:val="0057097C"/>
    <w:rsid w:val="00571563"/>
    <w:rsid w:val="00571CE0"/>
    <w:rsid w:val="00572098"/>
    <w:rsid w:val="005723BA"/>
    <w:rsid w:val="00572A69"/>
    <w:rsid w:val="0057346D"/>
    <w:rsid w:val="00573C38"/>
    <w:rsid w:val="00573FD3"/>
    <w:rsid w:val="00574A4A"/>
    <w:rsid w:val="00575CA9"/>
    <w:rsid w:val="00576938"/>
    <w:rsid w:val="00576AE6"/>
    <w:rsid w:val="00576E0B"/>
    <w:rsid w:val="00576E3E"/>
    <w:rsid w:val="00577180"/>
    <w:rsid w:val="005776B4"/>
    <w:rsid w:val="00577D08"/>
    <w:rsid w:val="00580030"/>
    <w:rsid w:val="005802A2"/>
    <w:rsid w:val="005804BD"/>
    <w:rsid w:val="00580884"/>
    <w:rsid w:val="00580BBA"/>
    <w:rsid w:val="00580CB0"/>
    <w:rsid w:val="00581060"/>
    <w:rsid w:val="0058121F"/>
    <w:rsid w:val="0058174C"/>
    <w:rsid w:val="00581B0D"/>
    <w:rsid w:val="005825D5"/>
    <w:rsid w:val="005828A4"/>
    <w:rsid w:val="0058350E"/>
    <w:rsid w:val="00583C6C"/>
    <w:rsid w:val="00583E40"/>
    <w:rsid w:val="005841B3"/>
    <w:rsid w:val="00584269"/>
    <w:rsid w:val="00584DDC"/>
    <w:rsid w:val="005856E0"/>
    <w:rsid w:val="005859BC"/>
    <w:rsid w:val="005859BE"/>
    <w:rsid w:val="00585EE7"/>
    <w:rsid w:val="00585F4D"/>
    <w:rsid w:val="005863F4"/>
    <w:rsid w:val="005866C4"/>
    <w:rsid w:val="005869C5"/>
    <w:rsid w:val="00586F00"/>
    <w:rsid w:val="00587D4D"/>
    <w:rsid w:val="005904A2"/>
    <w:rsid w:val="00590925"/>
    <w:rsid w:val="00590D1A"/>
    <w:rsid w:val="005910F7"/>
    <w:rsid w:val="00591614"/>
    <w:rsid w:val="00591976"/>
    <w:rsid w:val="00591BB3"/>
    <w:rsid w:val="00591E24"/>
    <w:rsid w:val="00592088"/>
    <w:rsid w:val="00592487"/>
    <w:rsid w:val="00592504"/>
    <w:rsid w:val="005925A4"/>
    <w:rsid w:val="00592F85"/>
    <w:rsid w:val="005931A9"/>
    <w:rsid w:val="005941EF"/>
    <w:rsid w:val="005946A2"/>
    <w:rsid w:val="0059496A"/>
    <w:rsid w:val="00594BA3"/>
    <w:rsid w:val="0059529D"/>
    <w:rsid w:val="005955A2"/>
    <w:rsid w:val="005955CB"/>
    <w:rsid w:val="00595A1A"/>
    <w:rsid w:val="00595C47"/>
    <w:rsid w:val="00595EB6"/>
    <w:rsid w:val="005961D6"/>
    <w:rsid w:val="005964C4"/>
    <w:rsid w:val="00596FD9"/>
    <w:rsid w:val="005A117C"/>
    <w:rsid w:val="005A1BC1"/>
    <w:rsid w:val="005A28F8"/>
    <w:rsid w:val="005A2D64"/>
    <w:rsid w:val="005A30D6"/>
    <w:rsid w:val="005A4626"/>
    <w:rsid w:val="005A4EA9"/>
    <w:rsid w:val="005A5277"/>
    <w:rsid w:val="005A5499"/>
    <w:rsid w:val="005A5D9C"/>
    <w:rsid w:val="005A6899"/>
    <w:rsid w:val="005A6A9D"/>
    <w:rsid w:val="005A6D47"/>
    <w:rsid w:val="005A6E1D"/>
    <w:rsid w:val="005A6F3A"/>
    <w:rsid w:val="005A7B4D"/>
    <w:rsid w:val="005A7F31"/>
    <w:rsid w:val="005B0551"/>
    <w:rsid w:val="005B0FFB"/>
    <w:rsid w:val="005B1B19"/>
    <w:rsid w:val="005B21E0"/>
    <w:rsid w:val="005B27D9"/>
    <w:rsid w:val="005B29BE"/>
    <w:rsid w:val="005B308F"/>
    <w:rsid w:val="005B3311"/>
    <w:rsid w:val="005B3712"/>
    <w:rsid w:val="005B3BCA"/>
    <w:rsid w:val="005B3C48"/>
    <w:rsid w:val="005B419E"/>
    <w:rsid w:val="005B42DB"/>
    <w:rsid w:val="005B5072"/>
    <w:rsid w:val="005B51D4"/>
    <w:rsid w:val="005B564E"/>
    <w:rsid w:val="005B5892"/>
    <w:rsid w:val="005B6076"/>
    <w:rsid w:val="005B6645"/>
    <w:rsid w:val="005B6F29"/>
    <w:rsid w:val="005B743E"/>
    <w:rsid w:val="005B746C"/>
    <w:rsid w:val="005B751E"/>
    <w:rsid w:val="005B7581"/>
    <w:rsid w:val="005C009E"/>
    <w:rsid w:val="005C0D01"/>
    <w:rsid w:val="005C123C"/>
    <w:rsid w:val="005C1631"/>
    <w:rsid w:val="005C1C1B"/>
    <w:rsid w:val="005C21D0"/>
    <w:rsid w:val="005C2A8B"/>
    <w:rsid w:val="005C2C18"/>
    <w:rsid w:val="005C378E"/>
    <w:rsid w:val="005C3E07"/>
    <w:rsid w:val="005C43B8"/>
    <w:rsid w:val="005C4969"/>
    <w:rsid w:val="005C5185"/>
    <w:rsid w:val="005C5429"/>
    <w:rsid w:val="005C58CD"/>
    <w:rsid w:val="005C64D4"/>
    <w:rsid w:val="005C6989"/>
    <w:rsid w:val="005C698D"/>
    <w:rsid w:val="005C7FA3"/>
    <w:rsid w:val="005D02F8"/>
    <w:rsid w:val="005D049E"/>
    <w:rsid w:val="005D0F49"/>
    <w:rsid w:val="005D0F69"/>
    <w:rsid w:val="005D14B9"/>
    <w:rsid w:val="005D1567"/>
    <w:rsid w:val="005D1612"/>
    <w:rsid w:val="005D2394"/>
    <w:rsid w:val="005D2703"/>
    <w:rsid w:val="005D29BE"/>
    <w:rsid w:val="005D2A89"/>
    <w:rsid w:val="005D3A89"/>
    <w:rsid w:val="005D3B85"/>
    <w:rsid w:val="005D4394"/>
    <w:rsid w:val="005D47A3"/>
    <w:rsid w:val="005D523E"/>
    <w:rsid w:val="005D5A0D"/>
    <w:rsid w:val="005D5C0E"/>
    <w:rsid w:val="005D687E"/>
    <w:rsid w:val="005D6D1B"/>
    <w:rsid w:val="005D7429"/>
    <w:rsid w:val="005D7B4D"/>
    <w:rsid w:val="005E06A9"/>
    <w:rsid w:val="005E0C9F"/>
    <w:rsid w:val="005E0F3F"/>
    <w:rsid w:val="005E1D75"/>
    <w:rsid w:val="005E27CD"/>
    <w:rsid w:val="005E29C7"/>
    <w:rsid w:val="005E39D5"/>
    <w:rsid w:val="005E3BF1"/>
    <w:rsid w:val="005E3F59"/>
    <w:rsid w:val="005E4061"/>
    <w:rsid w:val="005E4550"/>
    <w:rsid w:val="005E45DB"/>
    <w:rsid w:val="005E5D4B"/>
    <w:rsid w:val="005E655A"/>
    <w:rsid w:val="005E66FA"/>
    <w:rsid w:val="005E6DBE"/>
    <w:rsid w:val="005E6E75"/>
    <w:rsid w:val="005E71D1"/>
    <w:rsid w:val="005E74B2"/>
    <w:rsid w:val="005F07CF"/>
    <w:rsid w:val="005F18BD"/>
    <w:rsid w:val="005F1A36"/>
    <w:rsid w:val="005F246D"/>
    <w:rsid w:val="005F311E"/>
    <w:rsid w:val="005F40AA"/>
    <w:rsid w:val="005F5FC9"/>
    <w:rsid w:val="005F7E2F"/>
    <w:rsid w:val="005F7E8B"/>
    <w:rsid w:val="0060074E"/>
    <w:rsid w:val="00600B69"/>
    <w:rsid w:val="00601613"/>
    <w:rsid w:val="00601674"/>
    <w:rsid w:val="00603B19"/>
    <w:rsid w:val="00604FA7"/>
    <w:rsid w:val="00605973"/>
    <w:rsid w:val="00605B9B"/>
    <w:rsid w:val="00606279"/>
    <w:rsid w:val="00607293"/>
    <w:rsid w:val="00607629"/>
    <w:rsid w:val="00607B5F"/>
    <w:rsid w:val="00607BBA"/>
    <w:rsid w:val="00607CD6"/>
    <w:rsid w:val="00607E4A"/>
    <w:rsid w:val="006100DE"/>
    <w:rsid w:val="006105C4"/>
    <w:rsid w:val="00610698"/>
    <w:rsid w:val="00610E35"/>
    <w:rsid w:val="00611AA2"/>
    <w:rsid w:val="006128AE"/>
    <w:rsid w:val="00612EF0"/>
    <w:rsid w:val="0061314B"/>
    <w:rsid w:val="006136E8"/>
    <w:rsid w:val="00613F8F"/>
    <w:rsid w:val="006148CA"/>
    <w:rsid w:val="00614AAF"/>
    <w:rsid w:val="00614F0A"/>
    <w:rsid w:val="00614F24"/>
    <w:rsid w:val="00615061"/>
    <w:rsid w:val="0061552C"/>
    <w:rsid w:val="0061578C"/>
    <w:rsid w:val="00615938"/>
    <w:rsid w:val="0061627A"/>
    <w:rsid w:val="00616934"/>
    <w:rsid w:val="00616F49"/>
    <w:rsid w:val="006177AA"/>
    <w:rsid w:val="00620A74"/>
    <w:rsid w:val="00621CC4"/>
    <w:rsid w:val="006224A4"/>
    <w:rsid w:val="00622A8D"/>
    <w:rsid w:val="00623620"/>
    <w:rsid w:val="00623B8D"/>
    <w:rsid w:val="00623FEC"/>
    <w:rsid w:val="006240A7"/>
    <w:rsid w:val="00624633"/>
    <w:rsid w:val="006246C8"/>
    <w:rsid w:val="00624734"/>
    <w:rsid w:val="00624737"/>
    <w:rsid w:val="00625084"/>
    <w:rsid w:val="0062584C"/>
    <w:rsid w:val="006258C4"/>
    <w:rsid w:val="0062654F"/>
    <w:rsid w:val="00626869"/>
    <w:rsid w:val="00626C53"/>
    <w:rsid w:val="00630524"/>
    <w:rsid w:val="00631589"/>
    <w:rsid w:val="00631852"/>
    <w:rsid w:val="00631D18"/>
    <w:rsid w:val="0063237F"/>
    <w:rsid w:val="00632F16"/>
    <w:rsid w:val="00633B87"/>
    <w:rsid w:val="00633C73"/>
    <w:rsid w:val="00633C85"/>
    <w:rsid w:val="00634008"/>
    <w:rsid w:val="006343C6"/>
    <w:rsid w:val="00634FF1"/>
    <w:rsid w:val="006353B3"/>
    <w:rsid w:val="0063569B"/>
    <w:rsid w:val="00635FA3"/>
    <w:rsid w:val="006364C3"/>
    <w:rsid w:val="006369F0"/>
    <w:rsid w:val="0063731D"/>
    <w:rsid w:val="006376D9"/>
    <w:rsid w:val="00640B7D"/>
    <w:rsid w:val="00640C5E"/>
    <w:rsid w:val="00641818"/>
    <w:rsid w:val="00641C07"/>
    <w:rsid w:val="00641D6A"/>
    <w:rsid w:val="00642320"/>
    <w:rsid w:val="00642399"/>
    <w:rsid w:val="0064241C"/>
    <w:rsid w:val="00642466"/>
    <w:rsid w:val="00642B81"/>
    <w:rsid w:val="00642E79"/>
    <w:rsid w:val="00644937"/>
    <w:rsid w:val="0064508D"/>
    <w:rsid w:val="0064550F"/>
    <w:rsid w:val="0064619B"/>
    <w:rsid w:val="00646AA7"/>
    <w:rsid w:val="00646C08"/>
    <w:rsid w:val="00646FA5"/>
    <w:rsid w:val="006476F2"/>
    <w:rsid w:val="00647EFE"/>
    <w:rsid w:val="00647F8A"/>
    <w:rsid w:val="00650B5D"/>
    <w:rsid w:val="0065109F"/>
    <w:rsid w:val="00651C86"/>
    <w:rsid w:val="00651CC2"/>
    <w:rsid w:val="0065275B"/>
    <w:rsid w:val="00652B22"/>
    <w:rsid w:val="0065427D"/>
    <w:rsid w:val="0065584E"/>
    <w:rsid w:val="006558EF"/>
    <w:rsid w:val="006564CC"/>
    <w:rsid w:val="0065675F"/>
    <w:rsid w:val="0065689E"/>
    <w:rsid w:val="00656919"/>
    <w:rsid w:val="00660D1B"/>
    <w:rsid w:val="00660DE9"/>
    <w:rsid w:val="006610E9"/>
    <w:rsid w:val="0066146C"/>
    <w:rsid w:val="00661CFD"/>
    <w:rsid w:val="00661E09"/>
    <w:rsid w:val="00662673"/>
    <w:rsid w:val="00662837"/>
    <w:rsid w:val="00663122"/>
    <w:rsid w:val="00663259"/>
    <w:rsid w:val="006636C3"/>
    <w:rsid w:val="00663AD5"/>
    <w:rsid w:val="00663E40"/>
    <w:rsid w:val="006640A8"/>
    <w:rsid w:val="00664156"/>
    <w:rsid w:val="006642A7"/>
    <w:rsid w:val="006646A3"/>
    <w:rsid w:val="00664F58"/>
    <w:rsid w:val="00665397"/>
    <w:rsid w:val="00665A00"/>
    <w:rsid w:val="00665BA0"/>
    <w:rsid w:val="00666073"/>
    <w:rsid w:val="00666B0D"/>
    <w:rsid w:val="00666B25"/>
    <w:rsid w:val="00667183"/>
    <w:rsid w:val="00667950"/>
    <w:rsid w:val="00667A88"/>
    <w:rsid w:val="00667FF8"/>
    <w:rsid w:val="00670067"/>
    <w:rsid w:val="00670711"/>
    <w:rsid w:val="006709FF"/>
    <w:rsid w:val="00670B19"/>
    <w:rsid w:val="00670B2D"/>
    <w:rsid w:val="006721F7"/>
    <w:rsid w:val="0067245B"/>
    <w:rsid w:val="006742CB"/>
    <w:rsid w:val="00674BE7"/>
    <w:rsid w:val="006753CB"/>
    <w:rsid w:val="006754A6"/>
    <w:rsid w:val="006754C3"/>
    <w:rsid w:val="00675A91"/>
    <w:rsid w:val="00676B2F"/>
    <w:rsid w:val="00676DE3"/>
    <w:rsid w:val="00676E17"/>
    <w:rsid w:val="00676EB9"/>
    <w:rsid w:val="00676FCC"/>
    <w:rsid w:val="00677859"/>
    <w:rsid w:val="00677F53"/>
    <w:rsid w:val="0068053C"/>
    <w:rsid w:val="006806EC"/>
    <w:rsid w:val="00680EDE"/>
    <w:rsid w:val="00681632"/>
    <w:rsid w:val="00681F6A"/>
    <w:rsid w:val="0068292B"/>
    <w:rsid w:val="006831BD"/>
    <w:rsid w:val="00684058"/>
    <w:rsid w:val="006846FB"/>
    <w:rsid w:val="00685094"/>
    <w:rsid w:val="00685351"/>
    <w:rsid w:val="0068562C"/>
    <w:rsid w:val="006857E4"/>
    <w:rsid w:val="006859CA"/>
    <w:rsid w:val="006861A0"/>
    <w:rsid w:val="00686591"/>
    <w:rsid w:val="00686ECE"/>
    <w:rsid w:val="00686FC6"/>
    <w:rsid w:val="006874BC"/>
    <w:rsid w:val="0068760E"/>
    <w:rsid w:val="0068798A"/>
    <w:rsid w:val="00687DBA"/>
    <w:rsid w:val="00687FC8"/>
    <w:rsid w:val="006902BC"/>
    <w:rsid w:val="00690ECA"/>
    <w:rsid w:val="00690F3F"/>
    <w:rsid w:val="006911A9"/>
    <w:rsid w:val="00691467"/>
    <w:rsid w:val="00691B44"/>
    <w:rsid w:val="00691F45"/>
    <w:rsid w:val="0069224D"/>
    <w:rsid w:val="00692733"/>
    <w:rsid w:val="00692D5B"/>
    <w:rsid w:val="00693151"/>
    <w:rsid w:val="00693276"/>
    <w:rsid w:val="00693A3B"/>
    <w:rsid w:val="00693FBB"/>
    <w:rsid w:val="0069422F"/>
    <w:rsid w:val="0069445C"/>
    <w:rsid w:val="00694AFC"/>
    <w:rsid w:val="00694CE2"/>
    <w:rsid w:val="00695402"/>
    <w:rsid w:val="0069571F"/>
    <w:rsid w:val="00695B06"/>
    <w:rsid w:val="00695C04"/>
    <w:rsid w:val="00696D3D"/>
    <w:rsid w:val="00696E0C"/>
    <w:rsid w:val="006978B3"/>
    <w:rsid w:val="006A02F6"/>
    <w:rsid w:val="006A0872"/>
    <w:rsid w:val="006A0A3C"/>
    <w:rsid w:val="006A0C60"/>
    <w:rsid w:val="006A12BC"/>
    <w:rsid w:val="006A14CD"/>
    <w:rsid w:val="006A16A0"/>
    <w:rsid w:val="006A1897"/>
    <w:rsid w:val="006A319D"/>
    <w:rsid w:val="006A31F1"/>
    <w:rsid w:val="006A3A50"/>
    <w:rsid w:val="006A4563"/>
    <w:rsid w:val="006A46C1"/>
    <w:rsid w:val="006A4928"/>
    <w:rsid w:val="006A56A8"/>
    <w:rsid w:val="006A5E23"/>
    <w:rsid w:val="006A6292"/>
    <w:rsid w:val="006A62E7"/>
    <w:rsid w:val="006A63FF"/>
    <w:rsid w:val="006A66E5"/>
    <w:rsid w:val="006A751E"/>
    <w:rsid w:val="006A77D3"/>
    <w:rsid w:val="006B0344"/>
    <w:rsid w:val="006B12EC"/>
    <w:rsid w:val="006B13B4"/>
    <w:rsid w:val="006B17E1"/>
    <w:rsid w:val="006B1D9B"/>
    <w:rsid w:val="006B1DF8"/>
    <w:rsid w:val="006B1F4C"/>
    <w:rsid w:val="006B291C"/>
    <w:rsid w:val="006B4656"/>
    <w:rsid w:val="006B5037"/>
    <w:rsid w:val="006B54BE"/>
    <w:rsid w:val="006B55A6"/>
    <w:rsid w:val="006B56CE"/>
    <w:rsid w:val="006B574D"/>
    <w:rsid w:val="006B5CF5"/>
    <w:rsid w:val="006B7164"/>
    <w:rsid w:val="006C008B"/>
    <w:rsid w:val="006C012F"/>
    <w:rsid w:val="006C0903"/>
    <w:rsid w:val="006C0D91"/>
    <w:rsid w:val="006C0E23"/>
    <w:rsid w:val="006C27D7"/>
    <w:rsid w:val="006C3F50"/>
    <w:rsid w:val="006C446B"/>
    <w:rsid w:val="006C52C9"/>
    <w:rsid w:val="006C57E7"/>
    <w:rsid w:val="006C5DCC"/>
    <w:rsid w:val="006C605D"/>
    <w:rsid w:val="006C7001"/>
    <w:rsid w:val="006C7B23"/>
    <w:rsid w:val="006D0AE5"/>
    <w:rsid w:val="006D15B0"/>
    <w:rsid w:val="006D1703"/>
    <w:rsid w:val="006D195E"/>
    <w:rsid w:val="006D1F19"/>
    <w:rsid w:val="006D2254"/>
    <w:rsid w:val="006D2A40"/>
    <w:rsid w:val="006D2C78"/>
    <w:rsid w:val="006D2CE5"/>
    <w:rsid w:val="006D33BB"/>
    <w:rsid w:val="006D3426"/>
    <w:rsid w:val="006D397A"/>
    <w:rsid w:val="006D47F7"/>
    <w:rsid w:val="006D4919"/>
    <w:rsid w:val="006D4A18"/>
    <w:rsid w:val="006D4E4E"/>
    <w:rsid w:val="006D4EA9"/>
    <w:rsid w:val="006D57FC"/>
    <w:rsid w:val="006D6252"/>
    <w:rsid w:val="006D62BC"/>
    <w:rsid w:val="006D7020"/>
    <w:rsid w:val="006D71F2"/>
    <w:rsid w:val="006E0881"/>
    <w:rsid w:val="006E0CA1"/>
    <w:rsid w:val="006E1730"/>
    <w:rsid w:val="006E1A6C"/>
    <w:rsid w:val="006E25B4"/>
    <w:rsid w:val="006E2992"/>
    <w:rsid w:val="006E2BCE"/>
    <w:rsid w:val="006E313D"/>
    <w:rsid w:val="006E3377"/>
    <w:rsid w:val="006E3484"/>
    <w:rsid w:val="006E430B"/>
    <w:rsid w:val="006E4FD6"/>
    <w:rsid w:val="006E58DF"/>
    <w:rsid w:val="006E68E0"/>
    <w:rsid w:val="006E696B"/>
    <w:rsid w:val="006E6D91"/>
    <w:rsid w:val="006E701B"/>
    <w:rsid w:val="006E7743"/>
    <w:rsid w:val="006F0862"/>
    <w:rsid w:val="006F1122"/>
    <w:rsid w:val="006F1800"/>
    <w:rsid w:val="006F241D"/>
    <w:rsid w:val="006F3254"/>
    <w:rsid w:val="006F3568"/>
    <w:rsid w:val="006F44EA"/>
    <w:rsid w:val="006F4605"/>
    <w:rsid w:val="006F4845"/>
    <w:rsid w:val="006F4B09"/>
    <w:rsid w:val="006F4BC5"/>
    <w:rsid w:val="006F6BC6"/>
    <w:rsid w:val="006F6CE1"/>
    <w:rsid w:val="006F7E9E"/>
    <w:rsid w:val="00700E4D"/>
    <w:rsid w:val="00701B12"/>
    <w:rsid w:val="00701B83"/>
    <w:rsid w:val="007021EC"/>
    <w:rsid w:val="007024F8"/>
    <w:rsid w:val="00702DB0"/>
    <w:rsid w:val="00703543"/>
    <w:rsid w:val="00703635"/>
    <w:rsid w:val="00703981"/>
    <w:rsid w:val="0070437F"/>
    <w:rsid w:val="00704D84"/>
    <w:rsid w:val="00704F3E"/>
    <w:rsid w:val="00705561"/>
    <w:rsid w:val="00705620"/>
    <w:rsid w:val="007060DB"/>
    <w:rsid w:val="00706674"/>
    <w:rsid w:val="00706D7E"/>
    <w:rsid w:val="0070725A"/>
    <w:rsid w:val="00707304"/>
    <w:rsid w:val="007076DA"/>
    <w:rsid w:val="007100AE"/>
    <w:rsid w:val="007105CD"/>
    <w:rsid w:val="007110F0"/>
    <w:rsid w:val="0071188D"/>
    <w:rsid w:val="0071241B"/>
    <w:rsid w:val="0071245C"/>
    <w:rsid w:val="0071291A"/>
    <w:rsid w:val="00713A73"/>
    <w:rsid w:val="00713E6A"/>
    <w:rsid w:val="00714471"/>
    <w:rsid w:val="007144AD"/>
    <w:rsid w:val="00714756"/>
    <w:rsid w:val="00714C44"/>
    <w:rsid w:val="007152D7"/>
    <w:rsid w:val="00716D91"/>
    <w:rsid w:val="00720CA0"/>
    <w:rsid w:val="00721E5E"/>
    <w:rsid w:val="0072240F"/>
    <w:rsid w:val="00722948"/>
    <w:rsid w:val="00722A18"/>
    <w:rsid w:val="00723205"/>
    <w:rsid w:val="0072370A"/>
    <w:rsid w:val="00723C33"/>
    <w:rsid w:val="00724495"/>
    <w:rsid w:val="0072468E"/>
    <w:rsid w:val="0072486D"/>
    <w:rsid w:val="00724AC6"/>
    <w:rsid w:val="00725506"/>
    <w:rsid w:val="00725C80"/>
    <w:rsid w:val="00726019"/>
    <w:rsid w:val="00726101"/>
    <w:rsid w:val="00726377"/>
    <w:rsid w:val="00726FA3"/>
    <w:rsid w:val="007274BB"/>
    <w:rsid w:val="00727837"/>
    <w:rsid w:val="007302D0"/>
    <w:rsid w:val="00730337"/>
    <w:rsid w:val="00730675"/>
    <w:rsid w:val="00730B93"/>
    <w:rsid w:val="00731785"/>
    <w:rsid w:val="0073188B"/>
    <w:rsid w:val="00731913"/>
    <w:rsid w:val="00732BDD"/>
    <w:rsid w:val="00732C8A"/>
    <w:rsid w:val="00732D8E"/>
    <w:rsid w:val="0073393B"/>
    <w:rsid w:val="007339A3"/>
    <w:rsid w:val="00733F52"/>
    <w:rsid w:val="00734963"/>
    <w:rsid w:val="00735F4E"/>
    <w:rsid w:val="00736895"/>
    <w:rsid w:val="0074004D"/>
    <w:rsid w:val="007404E2"/>
    <w:rsid w:val="00740C74"/>
    <w:rsid w:val="0074114E"/>
    <w:rsid w:val="00741601"/>
    <w:rsid w:val="00741C5F"/>
    <w:rsid w:val="0074228A"/>
    <w:rsid w:val="007427D7"/>
    <w:rsid w:val="00742D2D"/>
    <w:rsid w:val="00742DF8"/>
    <w:rsid w:val="007438F2"/>
    <w:rsid w:val="00743FE6"/>
    <w:rsid w:val="00744173"/>
    <w:rsid w:val="007447CE"/>
    <w:rsid w:val="007447E5"/>
    <w:rsid w:val="00744F4F"/>
    <w:rsid w:val="0074545B"/>
    <w:rsid w:val="00745744"/>
    <w:rsid w:val="00745830"/>
    <w:rsid w:val="00745859"/>
    <w:rsid w:val="0074596C"/>
    <w:rsid w:val="0074608A"/>
    <w:rsid w:val="00746970"/>
    <w:rsid w:val="00746992"/>
    <w:rsid w:val="00746A3E"/>
    <w:rsid w:val="00746C5E"/>
    <w:rsid w:val="0075026D"/>
    <w:rsid w:val="00750A92"/>
    <w:rsid w:val="00750E75"/>
    <w:rsid w:val="00750EB1"/>
    <w:rsid w:val="0075117D"/>
    <w:rsid w:val="00751259"/>
    <w:rsid w:val="007521C8"/>
    <w:rsid w:val="00752409"/>
    <w:rsid w:val="00754250"/>
    <w:rsid w:val="007546C6"/>
    <w:rsid w:val="007548A8"/>
    <w:rsid w:val="00754DD3"/>
    <w:rsid w:val="00756000"/>
    <w:rsid w:val="007568E5"/>
    <w:rsid w:val="00756F5C"/>
    <w:rsid w:val="0075700E"/>
    <w:rsid w:val="00757A68"/>
    <w:rsid w:val="00760329"/>
    <w:rsid w:val="00760793"/>
    <w:rsid w:val="00760B7B"/>
    <w:rsid w:val="00761181"/>
    <w:rsid w:val="00761C43"/>
    <w:rsid w:val="0076233A"/>
    <w:rsid w:val="007625AA"/>
    <w:rsid w:val="007629A3"/>
    <w:rsid w:val="00762E11"/>
    <w:rsid w:val="0076303F"/>
    <w:rsid w:val="00763A96"/>
    <w:rsid w:val="00765732"/>
    <w:rsid w:val="00765AE0"/>
    <w:rsid w:val="00765DD6"/>
    <w:rsid w:val="00766385"/>
    <w:rsid w:val="007665B7"/>
    <w:rsid w:val="007671F8"/>
    <w:rsid w:val="0076755D"/>
    <w:rsid w:val="00767AF4"/>
    <w:rsid w:val="00767B45"/>
    <w:rsid w:val="00767C8D"/>
    <w:rsid w:val="00767F5A"/>
    <w:rsid w:val="0077018A"/>
    <w:rsid w:val="007701CA"/>
    <w:rsid w:val="00770386"/>
    <w:rsid w:val="007703A6"/>
    <w:rsid w:val="00770C1D"/>
    <w:rsid w:val="0077125E"/>
    <w:rsid w:val="007716AB"/>
    <w:rsid w:val="0077200F"/>
    <w:rsid w:val="00772961"/>
    <w:rsid w:val="0077418C"/>
    <w:rsid w:val="00774909"/>
    <w:rsid w:val="007751D4"/>
    <w:rsid w:val="0077588A"/>
    <w:rsid w:val="00776CC7"/>
    <w:rsid w:val="00776FC0"/>
    <w:rsid w:val="007773D2"/>
    <w:rsid w:val="0077747A"/>
    <w:rsid w:val="00777AB5"/>
    <w:rsid w:val="007802AB"/>
    <w:rsid w:val="0078081A"/>
    <w:rsid w:val="00780E25"/>
    <w:rsid w:val="0078284D"/>
    <w:rsid w:val="00782A08"/>
    <w:rsid w:val="00782C75"/>
    <w:rsid w:val="00783709"/>
    <w:rsid w:val="00783EE6"/>
    <w:rsid w:val="007843BC"/>
    <w:rsid w:val="007847FE"/>
    <w:rsid w:val="0078492E"/>
    <w:rsid w:val="00784C47"/>
    <w:rsid w:val="00785220"/>
    <w:rsid w:val="0078561B"/>
    <w:rsid w:val="00785987"/>
    <w:rsid w:val="007859C9"/>
    <w:rsid w:val="00786E86"/>
    <w:rsid w:val="00787807"/>
    <w:rsid w:val="00787ADE"/>
    <w:rsid w:val="00787D87"/>
    <w:rsid w:val="007905DB"/>
    <w:rsid w:val="007906E7"/>
    <w:rsid w:val="00790FBB"/>
    <w:rsid w:val="00792605"/>
    <w:rsid w:val="0079264E"/>
    <w:rsid w:val="00792D8D"/>
    <w:rsid w:val="0079302D"/>
    <w:rsid w:val="007933F6"/>
    <w:rsid w:val="00793760"/>
    <w:rsid w:val="0079388C"/>
    <w:rsid w:val="00793A53"/>
    <w:rsid w:val="007945F8"/>
    <w:rsid w:val="007947C1"/>
    <w:rsid w:val="00794926"/>
    <w:rsid w:val="00795E41"/>
    <w:rsid w:val="007962F3"/>
    <w:rsid w:val="00796DD4"/>
    <w:rsid w:val="007972E3"/>
    <w:rsid w:val="00797E9B"/>
    <w:rsid w:val="00797EC2"/>
    <w:rsid w:val="007A0641"/>
    <w:rsid w:val="007A0673"/>
    <w:rsid w:val="007A0751"/>
    <w:rsid w:val="007A0D1E"/>
    <w:rsid w:val="007A0F76"/>
    <w:rsid w:val="007A0FF3"/>
    <w:rsid w:val="007A1115"/>
    <w:rsid w:val="007A131C"/>
    <w:rsid w:val="007A2C2E"/>
    <w:rsid w:val="007A321D"/>
    <w:rsid w:val="007A336F"/>
    <w:rsid w:val="007A361C"/>
    <w:rsid w:val="007A37B8"/>
    <w:rsid w:val="007A3975"/>
    <w:rsid w:val="007A3D18"/>
    <w:rsid w:val="007A44BF"/>
    <w:rsid w:val="007A4B46"/>
    <w:rsid w:val="007A6A02"/>
    <w:rsid w:val="007A6DF8"/>
    <w:rsid w:val="007A73F4"/>
    <w:rsid w:val="007B08B1"/>
    <w:rsid w:val="007B0A1F"/>
    <w:rsid w:val="007B0AC6"/>
    <w:rsid w:val="007B0C0B"/>
    <w:rsid w:val="007B1512"/>
    <w:rsid w:val="007B1F37"/>
    <w:rsid w:val="007B2327"/>
    <w:rsid w:val="007B29E6"/>
    <w:rsid w:val="007B4345"/>
    <w:rsid w:val="007B4D6E"/>
    <w:rsid w:val="007B4DF0"/>
    <w:rsid w:val="007B505C"/>
    <w:rsid w:val="007B51CB"/>
    <w:rsid w:val="007B51CD"/>
    <w:rsid w:val="007B5372"/>
    <w:rsid w:val="007B54C2"/>
    <w:rsid w:val="007B55C2"/>
    <w:rsid w:val="007B60DA"/>
    <w:rsid w:val="007B6203"/>
    <w:rsid w:val="007B644B"/>
    <w:rsid w:val="007B713E"/>
    <w:rsid w:val="007B73E7"/>
    <w:rsid w:val="007B74F1"/>
    <w:rsid w:val="007B7932"/>
    <w:rsid w:val="007C053E"/>
    <w:rsid w:val="007C0A7B"/>
    <w:rsid w:val="007C0E1C"/>
    <w:rsid w:val="007C1BD0"/>
    <w:rsid w:val="007C2C37"/>
    <w:rsid w:val="007C2D64"/>
    <w:rsid w:val="007C3810"/>
    <w:rsid w:val="007C473E"/>
    <w:rsid w:val="007C4958"/>
    <w:rsid w:val="007C50C9"/>
    <w:rsid w:val="007C709D"/>
    <w:rsid w:val="007C7750"/>
    <w:rsid w:val="007D0202"/>
    <w:rsid w:val="007D0810"/>
    <w:rsid w:val="007D156E"/>
    <w:rsid w:val="007D2164"/>
    <w:rsid w:val="007D2816"/>
    <w:rsid w:val="007D2F6A"/>
    <w:rsid w:val="007D3122"/>
    <w:rsid w:val="007D34C5"/>
    <w:rsid w:val="007D3D3C"/>
    <w:rsid w:val="007D49E1"/>
    <w:rsid w:val="007D4AA8"/>
    <w:rsid w:val="007D5A85"/>
    <w:rsid w:val="007D62CC"/>
    <w:rsid w:val="007D62F7"/>
    <w:rsid w:val="007D6BD1"/>
    <w:rsid w:val="007D6C48"/>
    <w:rsid w:val="007D7432"/>
    <w:rsid w:val="007D7B0A"/>
    <w:rsid w:val="007E0668"/>
    <w:rsid w:val="007E0D1B"/>
    <w:rsid w:val="007E0E18"/>
    <w:rsid w:val="007E1588"/>
    <w:rsid w:val="007E205C"/>
    <w:rsid w:val="007E25BD"/>
    <w:rsid w:val="007E2821"/>
    <w:rsid w:val="007E2A67"/>
    <w:rsid w:val="007E2A8E"/>
    <w:rsid w:val="007E2AA4"/>
    <w:rsid w:val="007E31F2"/>
    <w:rsid w:val="007E332E"/>
    <w:rsid w:val="007E3920"/>
    <w:rsid w:val="007E3BD3"/>
    <w:rsid w:val="007E3DE6"/>
    <w:rsid w:val="007E5137"/>
    <w:rsid w:val="007E5D92"/>
    <w:rsid w:val="007E5ED2"/>
    <w:rsid w:val="007E5FDA"/>
    <w:rsid w:val="007E72AB"/>
    <w:rsid w:val="007E7876"/>
    <w:rsid w:val="007F05F8"/>
    <w:rsid w:val="007F1290"/>
    <w:rsid w:val="007F12D3"/>
    <w:rsid w:val="007F1395"/>
    <w:rsid w:val="007F1D42"/>
    <w:rsid w:val="007F1E83"/>
    <w:rsid w:val="007F2103"/>
    <w:rsid w:val="007F2119"/>
    <w:rsid w:val="007F2509"/>
    <w:rsid w:val="007F27FE"/>
    <w:rsid w:val="007F45C6"/>
    <w:rsid w:val="007F4A41"/>
    <w:rsid w:val="007F4C7B"/>
    <w:rsid w:val="007F5521"/>
    <w:rsid w:val="007F561A"/>
    <w:rsid w:val="007F57C8"/>
    <w:rsid w:val="007F6988"/>
    <w:rsid w:val="007F7067"/>
    <w:rsid w:val="007F7311"/>
    <w:rsid w:val="007F7411"/>
    <w:rsid w:val="007F7C8A"/>
    <w:rsid w:val="008007CF"/>
    <w:rsid w:val="00801041"/>
    <w:rsid w:val="00801C0E"/>
    <w:rsid w:val="0080230A"/>
    <w:rsid w:val="00802E7C"/>
    <w:rsid w:val="0080402F"/>
    <w:rsid w:val="008043E4"/>
    <w:rsid w:val="00804DD7"/>
    <w:rsid w:val="0080506A"/>
    <w:rsid w:val="00805F39"/>
    <w:rsid w:val="00806AF4"/>
    <w:rsid w:val="0081014C"/>
    <w:rsid w:val="0081162D"/>
    <w:rsid w:val="00811A18"/>
    <w:rsid w:val="00811AD8"/>
    <w:rsid w:val="00812967"/>
    <w:rsid w:val="00812969"/>
    <w:rsid w:val="00813753"/>
    <w:rsid w:val="00813D73"/>
    <w:rsid w:val="00813EA9"/>
    <w:rsid w:val="00814394"/>
    <w:rsid w:val="0081483A"/>
    <w:rsid w:val="00815072"/>
    <w:rsid w:val="008170E2"/>
    <w:rsid w:val="0081729D"/>
    <w:rsid w:val="008173F4"/>
    <w:rsid w:val="00817493"/>
    <w:rsid w:val="0082006D"/>
    <w:rsid w:val="00820D51"/>
    <w:rsid w:val="00821326"/>
    <w:rsid w:val="0082179E"/>
    <w:rsid w:val="008226A9"/>
    <w:rsid w:val="00822946"/>
    <w:rsid w:val="008229CC"/>
    <w:rsid w:val="00822E23"/>
    <w:rsid w:val="00823A3F"/>
    <w:rsid w:val="00824248"/>
    <w:rsid w:val="0082456E"/>
    <w:rsid w:val="00824938"/>
    <w:rsid w:val="008251FC"/>
    <w:rsid w:val="008252D3"/>
    <w:rsid w:val="008254F2"/>
    <w:rsid w:val="00825D0E"/>
    <w:rsid w:val="008262B2"/>
    <w:rsid w:val="008263E8"/>
    <w:rsid w:val="00826921"/>
    <w:rsid w:val="0082717D"/>
    <w:rsid w:val="0082749A"/>
    <w:rsid w:val="00827589"/>
    <w:rsid w:val="00830E42"/>
    <w:rsid w:val="0083111C"/>
    <w:rsid w:val="008315BC"/>
    <w:rsid w:val="00831B43"/>
    <w:rsid w:val="00832E6B"/>
    <w:rsid w:val="00833378"/>
    <w:rsid w:val="00833AE7"/>
    <w:rsid w:val="00835220"/>
    <w:rsid w:val="00835974"/>
    <w:rsid w:val="008369E0"/>
    <w:rsid w:val="00836C78"/>
    <w:rsid w:val="00837263"/>
    <w:rsid w:val="0083766B"/>
    <w:rsid w:val="00837DAA"/>
    <w:rsid w:val="00837DF1"/>
    <w:rsid w:val="00837E49"/>
    <w:rsid w:val="0084006E"/>
    <w:rsid w:val="00840EB0"/>
    <w:rsid w:val="00841181"/>
    <w:rsid w:val="0084131E"/>
    <w:rsid w:val="008413DE"/>
    <w:rsid w:val="00841627"/>
    <w:rsid w:val="00842173"/>
    <w:rsid w:val="008438BE"/>
    <w:rsid w:val="00844293"/>
    <w:rsid w:val="008444BC"/>
    <w:rsid w:val="008448D9"/>
    <w:rsid w:val="00844CA2"/>
    <w:rsid w:val="0084605A"/>
    <w:rsid w:val="008466FC"/>
    <w:rsid w:val="00846A3F"/>
    <w:rsid w:val="00846EA2"/>
    <w:rsid w:val="00847DFE"/>
    <w:rsid w:val="008501C5"/>
    <w:rsid w:val="008506B7"/>
    <w:rsid w:val="00850807"/>
    <w:rsid w:val="0085114F"/>
    <w:rsid w:val="00851AB4"/>
    <w:rsid w:val="00851B9C"/>
    <w:rsid w:val="00851BEE"/>
    <w:rsid w:val="00853A45"/>
    <w:rsid w:val="008543CC"/>
    <w:rsid w:val="00854858"/>
    <w:rsid w:val="008548DD"/>
    <w:rsid w:val="008555F0"/>
    <w:rsid w:val="0085565E"/>
    <w:rsid w:val="00855A17"/>
    <w:rsid w:val="00855D41"/>
    <w:rsid w:val="00856451"/>
    <w:rsid w:val="00857C6B"/>
    <w:rsid w:val="00860362"/>
    <w:rsid w:val="00860DE2"/>
    <w:rsid w:val="0086143E"/>
    <w:rsid w:val="00861CD3"/>
    <w:rsid w:val="00861E97"/>
    <w:rsid w:val="00862689"/>
    <w:rsid w:val="0086268D"/>
    <w:rsid w:val="0086311A"/>
    <w:rsid w:val="008639A2"/>
    <w:rsid w:val="0086523D"/>
    <w:rsid w:val="00865C0D"/>
    <w:rsid w:val="00865DB0"/>
    <w:rsid w:val="008667EA"/>
    <w:rsid w:val="00866D0B"/>
    <w:rsid w:val="00867248"/>
    <w:rsid w:val="00867A72"/>
    <w:rsid w:val="00867B57"/>
    <w:rsid w:val="00867EBB"/>
    <w:rsid w:val="00870736"/>
    <w:rsid w:val="00870E66"/>
    <w:rsid w:val="008714C3"/>
    <w:rsid w:val="00871FAE"/>
    <w:rsid w:val="008725BF"/>
    <w:rsid w:val="00872C6E"/>
    <w:rsid w:val="00874D64"/>
    <w:rsid w:val="008753DB"/>
    <w:rsid w:val="00875899"/>
    <w:rsid w:val="008760BA"/>
    <w:rsid w:val="008762BF"/>
    <w:rsid w:val="00876352"/>
    <w:rsid w:val="00876B96"/>
    <w:rsid w:val="00877665"/>
    <w:rsid w:val="00877668"/>
    <w:rsid w:val="00877F60"/>
    <w:rsid w:val="00880BAC"/>
    <w:rsid w:val="00880F63"/>
    <w:rsid w:val="00882ACD"/>
    <w:rsid w:val="00882F68"/>
    <w:rsid w:val="00883EA2"/>
    <w:rsid w:val="00884102"/>
    <w:rsid w:val="00884D70"/>
    <w:rsid w:val="00884D84"/>
    <w:rsid w:val="00885808"/>
    <w:rsid w:val="00885AAB"/>
    <w:rsid w:val="00885C3E"/>
    <w:rsid w:val="00885E4F"/>
    <w:rsid w:val="00885FF6"/>
    <w:rsid w:val="0088652E"/>
    <w:rsid w:val="00886578"/>
    <w:rsid w:val="008866E4"/>
    <w:rsid w:val="0088670F"/>
    <w:rsid w:val="00886B86"/>
    <w:rsid w:val="00886E6F"/>
    <w:rsid w:val="00887618"/>
    <w:rsid w:val="00890A95"/>
    <w:rsid w:val="00890B60"/>
    <w:rsid w:val="00890E82"/>
    <w:rsid w:val="0089157D"/>
    <w:rsid w:val="008916F3"/>
    <w:rsid w:val="008919E6"/>
    <w:rsid w:val="008927FD"/>
    <w:rsid w:val="00893DE9"/>
    <w:rsid w:val="008940EA"/>
    <w:rsid w:val="00895966"/>
    <w:rsid w:val="00895E1C"/>
    <w:rsid w:val="00896195"/>
    <w:rsid w:val="008965E6"/>
    <w:rsid w:val="00897DE4"/>
    <w:rsid w:val="008A0326"/>
    <w:rsid w:val="008A0A90"/>
    <w:rsid w:val="008A0CFF"/>
    <w:rsid w:val="008A1935"/>
    <w:rsid w:val="008A1A19"/>
    <w:rsid w:val="008A1AFC"/>
    <w:rsid w:val="008A1B71"/>
    <w:rsid w:val="008A210C"/>
    <w:rsid w:val="008A28BE"/>
    <w:rsid w:val="008A2A7C"/>
    <w:rsid w:val="008A2D55"/>
    <w:rsid w:val="008A3C61"/>
    <w:rsid w:val="008A3F37"/>
    <w:rsid w:val="008A4017"/>
    <w:rsid w:val="008A44E1"/>
    <w:rsid w:val="008A4BDF"/>
    <w:rsid w:val="008A5641"/>
    <w:rsid w:val="008A5E89"/>
    <w:rsid w:val="008A6334"/>
    <w:rsid w:val="008A7180"/>
    <w:rsid w:val="008A7AF0"/>
    <w:rsid w:val="008A7EEE"/>
    <w:rsid w:val="008B0426"/>
    <w:rsid w:val="008B0649"/>
    <w:rsid w:val="008B0C0E"/>
    <w:rsid w:val="008B2C55"/>
    <w:rsid w:val="008B4198"/>
    <w:rsid w:val="008B41D1"/>
    <w:rsid w:val="008B47B4"/>
    <w:rsid w:val="008B5435"/>
    <w:rsid w:val="008B54F7"/>
    <w:rsid w:val="008B58D2"/>
    <w:rsid w:val="008B660A"/>
    <w:rsid w:val="008B6778"/>
    <w:rsid w:val="008B7118"/>
    <w:rsid w:val="008B7F62"/>
    <w:rsid w:val="008C271C"/>
    <w:rsid w:val="008C34A1"/>
    <w:rsid w:val="008C3598"/>
    <w:rsid w:val="008C3B57"/>
    <w:rsid w:val="008C4657"/>
    <w:rsid w:val="008C4B76"/>
    <w:rsid w:val="008C62CC"/>
    <w:rsid w:val="008C7798"/>
    <w:rsid w:val="008C77F0"/>
    <w:rsid w:val="008C7978"/>
    <w:rsid w:val="008C7ED1"/>
    <w:rsid w:val="008D1459"/>
    <w:rsid w:val="008D1494"/>
    <w:rsid w:val="008D14EF"/>
    <w:rsid w:val="008D1A54"/>
    <w:rsid w:val="008D1C21"/>
    <w:rsid w:val="008D263A"/>
    <w:rsid w:val="008D2785"/>
    <w:rsid w:val="008D2B54"/>
    <w:rsid w:val="008D2E93"/>
    <w:rsid w:val="008D3762"/>
    <w:rsid w:val="008D3EFD"/>
    <w:rsid w:val="008D3F74"/>
    <w:rsid w:val="008D3F9B"/>
    <w:rsid w:val="008D42DF"/>
    <w:rsid w:val="008D4C77"/>
    <w:rsid w:val="008D4D07"/>
    <w:rsid w:val="008D510F"/>
    <w:rsid w:val="008D53AE"/>
    <w:rsid w:val="008D573F"/>
    <w:rsid w:val="008D5872"/>
    <w:rsid w:val="008D5D55"/>
    <w:rsid w:val="008D60AD"/>
    <w:rsid w:val="008D64C3"/>
    <w:rsid w:val="008D6698"/>
    <w:rsid w:val="008D6E37"/>
    <w:rsid w:val="008D6EE2"/>
    <w:rsid w:val="008E1C46"/>
    <w:rsid w:val="008E562C"/>
    <w:rsid w:val="008E5732"/>
    <w:rsid w:val="008E5B82"/>
    <w:rsid w:val="008E63C5"/>
    <w:rsid w:val="008E64F2"/>
    <w:rsid w:val="008E6915"/>
    <w:rsid w:val="008E6DBE"/>
    <w:rsid w:val="008E7D2E"/>
    <w:rsid w:val="008E7DBC"/>
    <w:rsid w:val="008F058E"/>
    <w:rsid w:val="008F07D1"/>
    <w:rsid w:val="008F0EF3"/>
    <w:rsid w:val="008F15EA"/>
    <w:rsid w:val="008F17A3"/>
    <w:rsid w:val="008F19C1"/>
    <w:rsid w:val="008F1BA4"/>
    <w:rsid w:val="008F1D76"/>
    <w:rsid w:val="008F1DE0"/>
    <w:rsid w:val="008F1EE0"/>
    <w:rsid w:val="008F2501"/>
    <w:rsid w:val="008F350D"/>
    <w:rsid w:val="008F374D"/>
    <w:rsid w:val="008F4C52"/>
    <w:rsid w:val="008F5380"/>
    <w:rsid w:val="008F6110"/>
    <w:rsid w:val="008F6183"/>
    <w:rsid w:val="008F68E6"/>
    <w:rsid w:val="008F6D93"/>
    <w:rsid w:val="00901294"/>
    <w:rsid w:val="00901792"/>
    <w:rsid w:val="00901CCF"/>
    <w:rsid w:val="00902605"/>
    <w:rsid w:val="009043B4"/>
    <w:rsid w:val="00904602"/>
    <w:rsid w:val="0090493A"/>
    <w:rsid w:val="00904953"/>
    <w:rsid w:val="00904A73"/>
    <w:rsid w:val="00904D63"/>
    <w:rsid w:val="00904F8A"/>
    <w:rsid w:val="00905D24"/>
    <w:rsid w:val="00906A4D"/>
    <w:rsid w:val="00906B66"/>
    <w:rsid w:val="00906D95"/>
    <w:rsid w:val="00906DD8"/>
    <w:rsid w:val="0090710C"/>
    <w:rsid w:val="00907769"/>
    <w:rsid w:val="00907CA5"/>
    <w:rsid w:val="00907CC1"/>
    <w:rsid w:val="00907DBA"/>
    <w:rsid w:val="009106B6"/>
    <w:rsid w:val="00910709"/>
    <w:rsid w:val="00910AB4"/>
    <w:rsid w:val="0091107E"/>
    <w:rsid w:val="00911877"/>
    <w:rsid w:val="00911969"/>
    <w:rsid w:val="009129BA"/>
    <w:rsid w:val="00912B19"/>
    <w:rsid w:val="00913100"/>
    <w:rsid w:val="00913265"/>
    <w:rsid w:val="009133A2"/>
    <w:rsid w:val="009135A9"/>
    <w:rsid w:val="009135F9"/>
    <w:rsid w:val="009138AE"/>
    <w:rsid w:val="00913D1B"/>
    <w:rsid w:val="009143B9"/>
    <w:rsid w:val="00914563"/>
    <w:rsid w:val="00915205"/>
    <w:rsid w:val="0091623D"/>
    <w:rsid w:val="00916423"/>
    <w:rsid w:val="0091659B"/>
    <w:rsid w:val="009168B0"/>
    <w:rsid w:val="00916ABF"/>
    <w:rsid w:val="00916F5F"/>
    <w:rsid w:val="009174AE"/>
    <w:rsid w:val="009174B2"/>
    <w:rsid w:val="0092024B"/>
    <w:rsid w:val="0092163D"/>
    <w:rsid w:val="009218AF"/>
    <w:rsid w:val="00921D05"/>
    <w:rsid w:val="009222BC"/>
    <w:rsid w:val="00922604"/>
    <w:rsid w:val="00922942"/>
    <w:rsid w:val="00922D00"/>
    <w:rsid w:val="00923CF3"/>
    <w:rsid w:val="00924139"/>
    <w:rsid w:val="009245E6"/>
    <w:rsid w:val="009247D2"/>
    <w:rsid w:val="00925306"/>
    <w:rsid w:val="009258B5"/>
    <w:rsid w:val="009258EA"/>
    <w:rsid w:val="00925A63"/>
    <w:rsid w:val="00925E64"/>
    <w:rsid w:val="00926B0D"/>
    <w:rsid w:val="00926FD6"/>
    <w:rsid w:val="00927B9B"/>
    <w:rsid w:val="009303CC"/>
    <w:rsid w:val="0093082B"/>
    <w:rsid w:val="00930D8B"/>
    <w:rsid w:val="00931431"/>
    <w:rsid w:val="00932AF0"/>
    <w:rsid w:val="00932D16"/>
    <w:rsid w:val="00932EC9"/>
    <w:rsid w:val="00932FAF"/>
    <w:rsid w:val="00933332"/>
    <w:rsid w:val="009347C9"/>
    <w:rsid w:val="00934EB0"/>
    <w:rsid w:val="00935270"/>
    <w:rsid w:val="00935550"/>
    <w:rsid w:val="00935975"/>
    <w:rsid w:val="00935BFD"/>
    <w:rsid w:val="00935CC7"/>
    <w:rsid w:val="00935DF0"/>
    <w:rsid w:val="00936B11"/>
    <w:rsid w:val="009373BC"/>
    <w:rsid w:val="00937A41"/>
    <w:rsid w:val="00937BAD"/>
    <w:rsid w:val="009400B4"/>
    <w:rsid w:val="009403BD"/>
    <w:rsid w:val="00940A44"/>
    <w:rsid w:val="00941BBD"/>
    <w:rsid w:val="00941FBD"/>
    <w:rsid w:val="00942489"/>
    <w:rsid w:val="009428C9"/>
    <w:rsid w:val="00942F4B"/>
    <w:rsid w:val="00943E5C"/>
    <w:rsid w:val="00944123"/>
    <w:rsid w:val="00944170"/>
    <w:rsid w:val="009441BC"/>
    <w:rsid w:val="00944754"/>
    <w:rsid w:val="00944E07"/>
    <w:rsid w:val="00945E47"/>
    <w:rsid w:val="009468E4"/>
    <w:rsid w:val="00946917"/>
    <w:rsid w:val="00947826"/>
    <w:rsid w:val="00947AA7"/>
    <w:rsid w:val="009506C9"/>
    <w:rsid w:val="009514B2"/>
    <w:rsid w:val="00951563"/>
    <w:rsid w:val="009515D2"/>
    <w:rsid w:val="00951C27"/>
    <w:rsid w:val="009523E2"/>
    <w:rsid w:val="00952436"/>
    <w:rsid w:val="00952FDB"/>
    <w:rsid w:val="0095333D"/>
    <w:rsid w:val="009536A2"/>
    <w:rsid w:val="009537F4"/>
    <w:rsid w:val="00953850"/>
    <w:rsid w:val="0095392A"/>
    <w:rsid w:val="00953E5F"/>
    <w:rsid w:val="00953ED4"/>
    <w:rsid w:val="0095496B"/>
    <w:rsid w:val="00954A4A"/>
    <w:rsid w:val="00954C36"/>
    <w:rsid w:val="00955877"/>
    <w:rsid w:val="00955CA3"/>
    <w:rsid w:val="00956252"/>
    <w:rsid w:val="0095627F"/>
    <w:rsid w:val="00956983"/>
    <w:rsid w:val="00960391"/>
    <w:rsid w:val="00960AAB"/>
    <w:rsid w:val="009613BE"/>
    <w:rsid w:val="009640FF"/>
    <w:rsid w:val="009642A8"/>
    <w:rsid w:val="00964679"/>
    <w:rsid w:val="0096558F"/>
    <w:rsid w:val="00965679"/>
    <w:rsid w:val="00965E52"/>
    <w:rsid w:val="00966E43"/>
    <w:rsid w:val="0096757C"/>
    <w:rsid w:val="00967849"/>
    <w:rsid w:val="00971700"/>
    <w:rsid w:val="009725D9"/>
    <w:rsid w:val="009729CE"/>
    <w:rsid w:val="00972BA4"/>
    <w:rsid w:val="00972BAE"/>
    <w:rsid w:val="0097401E"/>
    <w:rsid w:val="0097435B"/>
    <w:rsid w:val="009744B2"/>
    <w:rsid w:val="00974A09"/>
    <w:rsid w:val="0097516B"/>
    <w:rsid w:val="0097528A"/>
    <w:rsid w:val="00975434"/>
    <w:rsid w:val="00975AA4"/>
    <w:rsid w:val="00976123"/>
    <w:rsid w:val="0097639C"/>
    <w:rsid w:val="00977338"/>
    <w:rsid w:val="0098013A"/>
    <w:rsid w:val="00980B38"/>
    <w:rsid w:val="00980C4B"/>
    <w:rsid w:val="00981490"/>
    <w:rsid w:val="00982A58"/>
    <w:rsid w:val="00982B42"/>
    <w:rsid w:val="0098345C"/>
    <w:rsid w:val="009834B1"/>
    <w:rsid w:val="00983673"/>
    <w:rsid w:val="00983C7F"/>
    <w:rsid w:val="0098404E"/>
    <w:rsid w:val="00984115"/>
    <w:rsid w:val="00984318"/>
    <w:rsid w:val="009844C5"/>
    <w:rsid w:val="00984672"/>
    <w:rsid w:val="00985178"/>
    <w:rsid w:val="009854B6"/>
    <w:rsid w:val="00985554"/>
    <w:rsid w:val="009858BC"/>
    <w:rsid w:val="0098693C"/>
    <w:rsid w:val="00986AC8"/>
    <w:rsid w:val="00986BF4"/>
    <w:rsid w:val="00986C6D"/>
    <w:rsid w:val="009870E1"/>
    <w:rsid w:val="009879E8"/>
    <w:rsid w:val="00987BB7"/>
    <w:rsid w:val="0099040E"/>
    <w:rsid w:val="00990A46"/>
    <w:rsid w:val="00990F2C"/>
    <w:rsid w:val="00990FBF"/>
    <w:rsid w:val="00991450"/>
    <w:rsid w:val="009915C9"/>
    <w:rsid w:val="00991877"/>
    <w:rsid w:val="0099246C"/>
    <w:rsid w:val="009929E3"/>
    <w:rsid w:val="00992ABA"/>
    <w:rsid w:val="00992DEB"/>
    <w:rsid w:val="009930A3"/>
    <w:rsid w:val="00993AB1"/>
    <w:rsid w:val="00994768"/>
    <w:rsid w:val="00994D9B"/>
    <w:rsid w:val="0099502C"/>
    <w:rsid w:val="00997C6F"/>
    <w:rsid w:val="009A00C2"/>
    <w:rsid w:val="009A066B"/>
    <w:rsid w:val="009A0997"/>
    <w:rsid w:val="009A0999"/>
    <w:rsid w:val="009A09F4"/>
    <w:rsid w:val="009A0BB8"/>
    <w:rsid w:val="009A1616"/>
    <w:rsid w:val="009A18C6"/>
    <w:rsid w:val="009A1A9C"/>
    <w:rsid w:val="009A232B"/>
    <w:rsid w:val="009A242D"/>
    <w:rsid w:val="009A28B9"/>
    <w:rsid w:val="009A2BFA"/>
    <w:rsid w:val="009A2F05"/>
    <w:rsid w:val="009A3CF1"/>
    <w:rsid w:val="009A4034"/>
    <w:rsid w:val="009A45C4"/>
    <w:rsid w:val="009A4976"/>
    <w:rsid w:val="009A4CB4"/>
    <w:rsid w:val="009A4D3E"/>
    <w:rsid w:val="009A4F1E"/>
    <w:rsid w:val="009A4FFB"/>
    <w:rsid w:val="009A66A3"/>
    <w:rsid w:val="009A69D8"/>
    <w:rsid w:val="009A7350"/>
    <w:rsid w:val="009A7CA5"/>
    <w:rsid w:val="009A7F16"/>
    <w:rsid w:val="009B0408"/>
    <w:rsid w:val="009B0C72"/>
    <w:rsid w:val="009B172A"/>
    <w:rsid w:val="009B1ADC"/>
    <w:rsid w:val="009B26FB"/>
    <w:rsid w:val="009B3D8E"/>
    <w:rsid w:val="009B46FB"/>
    <w:rsid w:val="009B4F70"/>
    <w:rsid w:val="009B4FC3"/>
    <w:rsid w:val="009B5F05"/>
    <w:rsid w:val="009B6773"/>
    <w:rsid w:val="009B69B9"/>
    <w:rsid w:val="009B6BB2"/>
    <w:rsid w:val="009B6C21"/>
    <w:rsid w:val="009B6C51"/>
    <w:rsid w:val="009B6D08"/>
    <w:rsid w:val="009B7110"/>
    <w:rsid w:val="009B73F6"/>
    <w:rsid w:val="009B7B4C"/>
    <w:rsid w:val="009B7E55"/>
    <w:rsid w:val="009C024A"/>
    <w:rsid w:val="009C0360"/>
    <w:rsid w:val="009C03F4"/>
    <w:rsid w:val="009C1A71"/>
    <w:rsid w:val="009C1A72"/>
    <w:rsid w:val="009C1D11"/>
    <w:rsid w:val="009C2554"/>
    <w:rsid w:val="009C3843"/>
    <w:rsid w:val="009C3A6F"/>
    <w:rsid w:val="009C580E"/>
    <w:rsid w:val="009C5852"/>
    <w:rsid w:val="009C65A0"/>
    <w:rsid w:val="009C685C"/>
    <w:rsid w:val="009C7232"/>
    <w:rsid w:val="009C7249"/>
    <w:rsid w:val="009C72A1"/>
    <w:rsid w:val="009C76BF"/>
    <w:rsid w:val="009C7703"/>
    <w:rsid w:val="009C7D3C"/>
    <w:rsid w:val="009D03A6"/>
    <w:rsid w:val="009D079B"/>
    <w:rsid w:val="009D0AE1"/>
    <w:rsid w:val="009D10BA"/>
    <w:rsid w:val="009D13D3"/>
    <w:rsid w:val="009D1802"/>
    <w:rsid w:val="009D1CE4"/>
    <w:rsid w:val="009D1FEB"/>
    <w:rsid w:val="009D231B"/>
    <w:rsid w:val="009D2AD3"/>
    <w:rsid w:val="009D2B50"/>
    <w:rsid w:val="009D2D36"/>
    <w:rsid w:val="009D32AA"/>
    <w:rsid w:val="009D3381"/>
    <w:rsid w:val="009D375A"/>
    <w:rsid w:val="009D3C15"/>
    <w:rsid w:val="009D506C"/>
    <w:rsid w:val="009D5405"/>
    <w:rsid w:val="009D5AE3"/>
    <w:rsid w:val="009D64F4"/>
    <w:rsid w:val="009D7096"/>
    <w:rsid w:val="009D71E7"/>
    <w:rsid w:val="009D75F9"/>
    <w:rsid w:val="009D7BB0"/>
    <w:rsid w:val="009E03FC"/>
    <w:rsid w:val="009E0D63"/>
    <w:rsid w:val="009E15C5"/>
    <w:rsid w:val="009E1DE1"/>
    <w:rsid w:val="009E3922"/>
    <w:rsid w:val="009E3BF8"/>
    <w:rsid w:val="009E41F1"/>
    <w:rsid w:val="009E4524"/>
    <w:rsid w:val="009E4D98"/>
    <w:rsid w:val="009E5298"/>
    <w:rsid w:val="009E5C0D"/>
    <w:rsid w:val="009E607C"/>
    <w:rsid w:val="009E6178"/>
    <w:rsid w:val="009E64A5"/>
    <w:rsid w:val="009E675A"/>
    <w:rsid w:val="009E6D50"/>
    <w:rsid w:val="009E6F48"/>
    <w:rsid w:val="009E7592"/>
    <w:rsid w:val="009E7712"/>
    <w:rsid w:val="009F0653"/>
    <w:rsid w:val="009F0B5F"/>
    <w:rsid w:val="009F0C7C"/>
    <w:rsid w:val="009F15F8"/>
    <w:rsid w:val="009F19DE"/>
    <w:rsid w:val="009F23DA"/>
    <w:rsid w:val="009F2E8C"/>
    <w:rsid w:val="009F31F7"/>
    <w:rsid w:val="009F38B0"/>
    <w:rsid w:val="009F3D80"/>
    <w:rsid w:val="009F3F8E"/>
    <w:rsid w:val="009F49D9"/>
    <w:rsid w:val="009F4CA0"/>
    <w:rsid w:val="009F5BAF"/>
    <w:rsid w:val="009F5FED"/>
    <w:rsid w:val="009F6058"/>
    <w:rsid w:val="009F687A"/>
    <w:rsid w:val="009F6ACB"/>
    <w:rsid w:val="009F6E75"/>
    <w:rsid w:val="009F6EBF"/>
    <w:rsid w:val="009F7112"/>
    <w:rsid w:val="009F7756"/>
    <w:rsid w:val="009F78FE"/>
    <w:rsid w:val="009F79F9"/>
    <w:rsid w:val="009F7C04"/>
    <w:rsid w:val="00A005A2"/>
    <w:rsid w:val="00A00BBC"/>
    <w:rsid w:val="00A00E43"/>
    <w:rsid w:val="00A019E9"/>
    <w:rsid w:val="00A01C01"/>
    <w:rsid w:val="00A01F76"/>
    <w:rsid w:val="00A0231C"/>
    <w:rsid w:val="00A032C0"/>
    <w:rsid w:val="00A03327"/>
    <w:rsid w:val="00A03507"/>
    <w:rsid w:val="00A03B84"/>
    <w:rsid w:val="00A0430F"/>
    <w:rsid w:val="00A049AF"/>
    <w:rsid w:val="00A04F37"/>
    <w:rsid w:val="00A0600F"/>
    <w:rsid w:val="00A0698C"/>
    <w:rsid w:val="00A06FB0"/>
    <w:rsid w:val="00A076D5"/>
    <w:rsid w:val="00A07D30"/>
    <w:rsid w:val="00A07F2D"/>
    <w:rsid w:val="00A07F92"/>
    <w:rsid w:val="00A11BF3"/>
    <w:rsid w:val="00A11E01"/>
    <w:rsid w:val="00A126CC"/>
    <w:rsid w:val="00A12C63"/>
    <w:rsid w:val="00A14AD7"/>
    <w:rsid w:val="00A152DD"/>
    <w:rsid w:val="00A153BE"/>
    <w:rsid w:val="00A15CAD"/>
    <w:rsid w:val="00A16DB1"/>
    <w:rsid w:val="00A16EE3"/>
    <w:rsid w:val="00A20201"/>
    <w:rsid w:val="00A20565"/>
    <w:rsid w:val="00A2071D"/>
    <w:rsid w:val="00A20DCC"/>
    <w:rsid w:val="00A20E09"/>
    <w:rsid w:val="00A20E86"/>
    <w:rsid w:val="00A2169A"/>
    <w:rsid w:val="00A22133"/>
    <w:rsid w:val="00A2220B"/>
    <w:rsid w:val="00A227FD"/>
    <w:rsid w:val="00A22A85"/>
    <w:rsid w:val="00A22D58"/>
    <w:rsid w:val="00A230E3"/>
    <w:rsid w:val="00A2340F"/>
    <w:rsid w:val="00A234D3"/>
    <w:rsid w:val="00A24890"/>
    <w:rsid w:val="00A24923"/>
    <w:rsid w:val="00A25329"/>
    <w:rsid w:val="00A25D2C"/>
    <w:rsid w:val="00A25D47"/>
    <w:rsid w:val="00A26B51"/>
    <w:rsid w:val="00A26E5C"/>
    <w:rsid w:val="00A26E65"/>
    <w:rsid w:val="00A27D5A"/>
    <w:rsid w:val="00A30062"/>
    <w:rsid w:val="00A3086B"/>
    <w:rsid w:val="00A30CCD"/>
    <w:rsid w:val="00A31494"/>
    <w:rsid w:val="00A317EB"/>
    <w:rsid w:val="00A31B04"/>
    <w:rsid w:val="00A32122"/>
    <w:rsid w:val="00A325B4"/>
    <w:rsid w:val="00A333CE"/>
    <w:rsid w:val="00A33D24"/>
    <w:rsid w:val="00A3405C"/>
    <w:rsid w:val="00A34660"/>
    <w:rsid w:val="00A346A0"/>
    <w:rsid w:val="00A348A9"/>
    <w:rsid w:val="00A34B57"/>
    <w:rsid w:val="00A34CA3"/>
    <w:rsid w:val="00A34CC5"/>
    <w:rsid w:val="00A34F32"/>
    <w:rsid w:val="00A35208"/>
    <w:rsid w:val="00A35C9A"/>
    <w:rsid w:val="00A35EB0"/>
    <w:rsid w:val="00A37FCE"/>
    <w:rsid w:val="00A40076"/>
    <w:rsid w:val="00A40488"/>
    <w:rsid w:val="00A4051B"/>
    <w:rsid w:val="00A42192"/>
    <w:rsid w:val="00A4260A"/>
    <w:rsid w:val="00A42E22"/>
    <w:rsid w:val="00A42F07"/>
    <w:rsid w:val="00A42F51"/>
    <w:rsid w:val="00A43013"/>
    <w:rsid w:val="00A44224"/>
    <w:rsid w:val="00A44A1F"/>
    <w:rsid w:val="00A44F89"/>
    <w:rsid w:val="00A45072"/>
    <w:rsid w:val="00A45138"/>
    <w:rsid w:val="00A45ADE"/>
    <w:rsid w:val="00A45BBE"/>
    <w:rsid w:val="00A45F4A"/>
    <w:rsid w:val="00A46C2C"/>
    <w:rsid w:val="00A46EDD"/>
    <w:rsid w:val="00A47222"/>
    <w:rsid w:val="00A4773B"/>
    <w:rsid w:val="00A50A85"/>
    <w:rsid w:val="00A526F8"/>
    <w:rsid w:val="00A528C0"/>
    <w:rsid w:val="00A52949"/>
    <w:rsid w:val="00A52B02"/>
    <w:rsid w:val="00A54247"/>
    <w:rsid w:val="00A5496B"/>
    <w:rsid w:val="00A5591E"/>
    <w:rsid w:val="00A56E1B"/>
    <w:rsid w:val="00A573BB"/>
    <w:rsid w:val="00A573C5"/>
    <w:rsid w:val="00A5758E"/>
    <w:rsid w:val="00A60B83"/>
    <w:rsid w:val="00A60CDE"/>
    <w:rsid w:val="00A6145A"/>
    <w:rsid w:val="00A61E77"/>
    <w:rsid w:val="00A61ECB"/>
    <w:rsid w:val="00A61FAD"/>
    <w:rsid w:val="00A62058"/>
    <w:rsid w:val="00A62BCA"/>
    <w:rsid w:val="00A635F3"/>
    <w:rsid w:val="00A63ABF"/>
    <w:rsid w:val="00A63B80"/>
    <w:rsid w:val="00A63C17"/>
    <w:rsid w:val="00A642EE"/>
    <w:rsid w:val="00A645B8"/>
    <w:rsid w:val="00A649D9"/>
    <w:rsid w:val="00A65773"/>
    <w:rsid w:val="00A65A0E"/>
    <w:rsid w:val="00A65E3C"/>
    <w:rsid w:val="00A65FD5"/>
    <w:rsid w:val="00A66167"/>
    <w:rsid w:val="00A66692"/>
    <w:rsid w:val="00A66823"/>
    <w:rsid w:val="00A6711F"/>
    <w:rsid w:val="00A674ED"/>
    <w:rsid w:val="00A7024A"/>
    <w:rsid w:val="00A7055B"/>
    <w:rsid w:val="00A70E02"/>
    <w:rsid w:val="00A71946"/>
    <w:rsid w:val="00A71AFE"/>
    <w:rsid w:val="00A71ED7"/>
    <w:rsid w:val="00A72DBA"/>
    <w:rsid w:val="00A734CB"/>
    <w:rsid w:val="00A73782"/>
    <w:rsid w:val="00A73B18"/>
    <w:rsid w:val="00A742C3"/>
    <w:rsid w:val="00A745F6"/>
    <w:rsid w:val="00A74A08"/>
    <w:rsid w:val="00A75478"/>
    <w:rsid w:val="00A75C6E"/>
    <w:rsid w:val="00A7637F"/>
    <w:rsid w:val="00A773AA"/>
    <w:rsid w:val="00A800FB"/>
    <w:rsid w:val="00A804E8"/>
    <w:rsid w:val="00A80709"/>
    <w:rsid w:val="00A80A9D"/>
    <w:rsid w:val="00A80E40"/>
    <w:rsid w:val="00A81988"/>
    <w:rsid w:val="00A81DF8"/>
    <w:rsid w:val="00A823AB"/>
    <w:rsid w:val="00A828BB"/>
    <w:rsid w:val="00A82DC9"/>
    <w:rsid w:val="00A83234"/>
    <w:rsid w:val="00A842CA"/>
    <w:rsid w:val="00A852BE"/>
    <w:rsid w:val="00A85B28"/>
    <w:rsid w:val="00A85BFC"/>
    <w:rsid w:val="00A86A9E"/>
    <w:rsid w:val="00A87B83"/>
    <w:rsid w:val="00A903AB"/>
    <w:rsid w:val="00A90F76"/>
    <w:rsid w:val="00A90FEF"/>
    <w:rsid w:val="00A91AB3"/>
    <w:rsid w:val="00A9328A"/>
    <w:rsid w:val="00A93638"/>
    <w:rsid w:val="00A943D4"/>
    <w:rsid w:val="00A94471"/>
    <w:rsid w:val="00A946BF"/>
    <w:rsid w:val="00A95A0D"/>
    <w:rsid w:val="00A96031"/>
    <w:rsid w:val="00A9611E"/>
    <w:rsid w:val="00A961E1"/>
    <w:rsid w:val="00AA00A5"/>
    <w:rsid w:val="00AA0C2B"/>
    <w:rsid w:val="00AA27D3"/>
    <w:rsid w:val="00AA2FF8"/>
    <w:rsid w:val="00AA3224"/>
    <w:rsid w:val="00AA33F1"/>
    <w:rsid w:val="00AA3974"/>
    <w:rsid w:val="00AA3993"/>
    <w:rsid w:val="00AA3C8F"/>
    <w:rsid w:val="00AA404F"/>
    <w:rsid w:val="00AA4A37"/>
    <w:rsid w:val="00AA5998"/>
    <w:rsid w:val="00AA5C66"/>
    <w:rsid w:val="00AA63C6"/>
    <w:rsid w:val="00AA6541"/>
    <w:rsid w:val="00AA654E"/>
    <w:rsid w:val="00AA6595"/>
    <w:rsid w:val="00AA6D44"/>
    <w:rsid w:val="00AA6E7B"/>
    <w:rsid w:val="00AA7703"/>
    <w:rsid w:val="00AB009B"/>
    <w:rsid w:val="00AB0367"/>
    <w:rsid w:val="00AB038D"/>
    <w:rsid w:val="00AB075D"/>
    <w:rsid w:val="00AB12B5"/>
    <w:rsid w:val="00AB137A"/>
    <w:rsid w:val="00AB1970"/>
    <w:rsid w:val="00AB2135"/>
    <w:rsid w:val="00AB238C"/>
    <w:rsid w:val="00AB3534"/>
    <w:rsid w:val="00AB3CCB"/>
    <w:rsid w:val="00AB3E65"/>
    <w:rsid w:val="00AB3F4D"/>
    <w:rsid w:val="00AB4677"/>
    <w:rsid w:val="00AB4B57"/>
    <w:rsid w:val="00AB4CD0"/>
    <w:rsid w:val="00AB4EAD"/>
    <w:rsid w:val="00AB55E3"/>
    <w:rsid w:val="00AB5843"/>
    <w:rsid w:val="00AB5F78"/>
    <w:rsid w:val="00AB731C"/>
    <w:rsid w:val="00AB7384"/>
    <w:rsid w:val="00AC2151"/>
    <w:rsid w:val="00AC2684"/>
    <w:rsid w:val="00AC27EB"/>
    <w:rsid w:val="00AC29B9"/>
    <w:rsid w:val="00AC2E04"/>
    <w:rsid w:val="00AC34E2"/>
    <w:rsid w:val="00AC43B5"/>
    <w:rsid w:val="00AC48C6"/>
    <w:rsid w:val="00AC5263"/>
    <w:rsid w:val="00AC5544"/>
    <w:rsid w:val="00AC582F"/>
    <w:rsid w:val="00AC5B70"/>
    <w:rsid w:val="00AC6D5E"/>
    <w:rsid w:val="00AC6FCE"/>
    <w:rsid w:val="00AD009D"/>
    <w:rsid w:val="00AD03C3"/>
    <w:rsid w:val="00AD1C33"/>
    <w:rsid w:val="00AD2D56"/>
    <w:rsid w:val="00AD39E7"/>
    <w:rsid w:val="00AD4632"/>
    <w:rsid w:val="00AD47F9"/>
    <w:rsid w:val="00AD4C76"/>
    <w:rsid w:val="00AD4CEF"/>
    <w:rsid w:val="00AD5078"/>
    <w:rsid w:val="00AD6118"/>
    <w:rsid w:val="00AD636A"/>
    <w:rsid w:val="00AD73FC"/>
    <w:rsid w:val="00AD741A"/>
    <w:rsid w:val="00AE0211"/>
    <w:rsid w:val="00AE0270"/>
    <w:rsid w:val="00AE0558"/>
    <w:rsid w:val="00AE0B32"/>
    <w:rsid w:val="00AE10FE"/>
    <w:rsid w:val="00AE11E1"/>
    <w:rsid w:val="00AE1BF1"/>
    <w:rsid w:val="00AE20DF"/>
    <w:rsid w:val="00AE29DF"/>
    <w:rsid w:val="00AE2B64"/>
    <w:rsid w:val="00AE3B26"/>
    <w:rsid w:val="00AE3F30"/>
    <w:rsid w:val="00AE403B"/>
    <w:rsid w:val="00AE420E"/>
    <w:rsid w:val="00AE4ACB"/>
    <w:rsid w:val="00AE4E7F"/>
    <w:rsid w:val="00AE4F40"/>
    <w:rsid w:val="00AE67CC"/>
    <w:rsid w:val="00AE77AF"/>
    <w:rsid w:val="00AF0449"/>
    <w:rsid w:val="00AF0507"/>
    <w:rsid w:val="00AF07A4"/>
    <w:rsid w:val="00AF0B49"/>
    <w:rsid w:val="00AF0E1A"/>
    <w:rsid w:val="00AF10EF"/>
    <w:rsid w:val="00AF112A"/>
    <w:rsid w:val="00AF1852"/>
    <w:rsid w:val="00AF2403"/>
    <w:rsid w:val="00AF2E75"/>
    <w:rsid w:val="00AF328F"/>
    <w:rsid w:val="00AF37CF"/>
    <w:rsid w:val="00AF3833"/>
    <w:rsid w:val="00AF3A53"/>
    <w:rsid w:val="00AF3F7F"/>
    <w:rsid w:val="00AF464C"/>
    <w:rsid w:val="00AF5B16"/>
    <w:rsid w:val="00AF60AE"/>
    <w:rsid w:val="00AF628D"/>
    <w:rsid w:val="00AF699D"/>
    <w:rsid w:val="00AF6BC3"/>
    <w:rsid w:val="00AF7250"/>
    <w:rsid w:val="00AF7729"/>
    <w:rsid w:val="00B00F45"/>
    <w:rsid w:val="00B019F8"/>
    <w:rsid w:val="00B023AB"/>
    <w:rsid w:val="00B026F8"/>
    <w:rsid w:val="00B0299B"/>
    <w:rsid w:val="00B02C7F"/>
    <w:rsid w:val="00B02CD7"/>
    <w:rsid w:val="00B0414D"/>
    <w:rsid w:val="00B04175"/>
    <w:rsid w:val="00B045C9"/>
    <w:rsid w:val="00B04A85"/>
    <w:rsid w:val="00B04F82"/>
    <w:rsid w:val="00B05EDC"/>
    <w:rsid w:val="00B05FD3"/>
    <w:rsid w:val="00B067A1"/>
    <w:rsid w:val="00B10889"/>
    <w:rsid w:val="00B10C6A"/>
    <w:rsid w:val="00B11E29"/>
    <w:rsid w:val="00B11F45"/>
    <w:rsid w:val="00B12403"/>
    <w:rsid w:val="00B1291D"/>
    <w:rsid w:val="00B12A3B"/>
    <w:rsid w:val="00B12A4A"/>
    <w:rsid w:val="00B134CC"/>
    <w:rsid w:val="00B13578"/>
    <w:rsid w:val="00B142B4"/>
    <w:rsid w:val="00B14413"/>
    <w:rsid w:val="00B1579F"/>
    <w:rsid w:val="00B15D58"/>
    <w:rsid w:val="00B15F95"/>
    <w:rsid w:val="00B16044"/>
    <w:rsid w:val="00B16B21"/>
    <w:rsid w:val="00B17153"/>
    <w:rsid w:val="00B176AE"/>
    <w:rsid w:val="00B17B61"/>
    <w:rsid w:val="00B20383"/>
    <w:rsid w:val="00B20570"/>
    <w:rsid w:val="00B225D1"/>
    <w:rsid w:val="00B23435"/>
    <w:rsid w:val="00B238F4"/>
    <w:rsid w:val="00B24EDC"/>
    <w:rsid w:val="00B24FD9"/>
    <w:rsid w:val="00B2518E"/>
    <w:rsid w:val="00B25822"/>
    <w:rsid w:val="00B25C26"/>
    <w:rsid w:val="00B25E3B"/>
    <w:rsid w:val="00B261CF"/>
    <w:rsid w:val="00B273E0"/>
    <w:rsid w:val="00B277EB"/>
    <w:rsid w:val="00B2783B"/>
    <w:rsid w:val="00B27892"/>
    <w:rsid w:val="00B3010E"/>
    <w:rsid w:val="00B31D68"/>
    <w:rsid w:val="00B32658"/>
    <w:rsid w:val="00B32D90"/>
    <w:rsid w:val="00B33862"/>
    <w:rsid w:val="00B33899"/>
    <w:rsid w:val="00B33B46"/>
    <w:rsid w:val="00B33BBD"/>
    <w:rsid w:val="00B342B3"/>
    <w:rsid w:val="00B34C11"/>
    <w:rsid w:val="00B34E07"/>
    <w:rsid w:val="00B3543D"/>
    <w:rsid w:val="00B35C94"/>
    <w:rsid w:val="00B35D58"/>
    <w:rsid w:val="00B36606"/>
    <w:rsid w:val="00B36BC1"/>
    <w:rsid w:val="00B36EEF"/>
    <w:rsid w:val="00B371AA"/>
    <w:rsid w:val="00B3739E"/>
    <w:rsid w:val="00B37B97"/>
    <w:rsid w:val="00B40C7E"/>
    <w:rsid w:val="00B411F8"/>
    <w:rsid w:val="00B4142A"/>
    <w:rsid w:val="00B42575"/>
    <w:rsid w:val="00B4266E"/>
    <w:rsid w:val="00B4273B"/>
    <w:rsid w:val="00B4326C"/>
    <w:rsid w:val="00B437B4"/>
    <w:rsid w:val="00B444B2"/>
    <w:rsid w:val="00B44675"/>
    <w:rsid w:val="00B45CE4"/>
    <w:rsid w:val="00B45E5E"/>
    <w:rsid w:val="00B46329"/>
    <w:rsid w:val="00B468EF"/>
    <w:rsid w:val="00B46AF0"/>
    <w:rsid w:val="00B47435"/>
    <w:rsid w:val="00B47EFD"/>
    <w:rsid w:val="00B516F2"/>
    <w:rsid w:val="00B51AFB"/>
    <w:rsid w:val="00B51BBA"/>
    <w:rsid w:val="00B51C37"/>
    <w:rsid w:val="00B529BC"/>
    <w:rsid w:val="00B52A64"/>
    <w:rsid w:val="00B52FF2"/>
    <w:rsid w:val="00B53311"/>
    <w:rsid w:val="00B5364D"/>
    <w:rsid w:val="00B5561D"/>
    <w:rsid w:val="00B556E5"/>
    <w:rsid w:val="00B55DD9"/>
    <w:rsid w:val="00B55F0E"/>
    <w:rsid w:val="00B57BC3"/>
    <w:rsid w:val="00B57BC9"/>
    <w:rsid w:val="00B600CE"/>
    <w:rsid w:val="00B6013C"/>
    <w:rsid w:val="00B60649"/>
    <w:rsid w:val="00B61BB4"/>
    <w:rsid w:val="00B61D3E"/>
    <w:rsid w:val="00B62258"/>
    <w:rsid w:val="00B63773"/>
    <w:rsid w:val="00B639E8"/>
    <w:rsid w:val="00B63AF8"/>
    <w:rsid w:val="00B64013"/>
    <w:rsid w:val="00B64156"/>
    <w:rsid w:val="00B64588"/>
    <w:rsid w:val="00B650CE"/>
    <w:rsid w:val="00B650D8"/>
    <w:rsid w:val="00B663D8"/>
    <w:rsid w:val="00B6672A"/>
    <w:rsid w:val="00B668AD"/>
    <w:rsid w:val="00B66B45"/>
    <w:rsid w:val="00B67B9C"/>
    <w:rsid w:val="00B70033"/>
    <w:rsid w:val="00B70582"/>
    <w:rsid w:val="00B7065C"/>
    <w:rsid w:val="00B7081C"/>
    <w:rsid w:val="00B708BA"/>
    <w:rsid w:val="00B7182A"/>
    <w:rsid w:val="00B71ACA"/>
    <w:rsid w:val="00B71B2D"/>
    <w:rsid w:val="00B71E9F"/>
    <w:rsid w:val="00B728A7"/>
    <w:rsid w:val="00B72DDE"/>
    <w:rsid w:val="00B72DDF"/>
    <w:rsid w:val="00B7561A"/>
    <w:rsid w:val="00B756B6"/>
    <w:rsid w:val="00B756F3"/>
    <w:rsid w:val="00B759FF"/>
    <w:rsid w:val="00B75E11"/>
    <w:rsid w:val="00B7622C"/>
    <w:rsid w:val="00B7664C"/>
    <w:rsid w:val="00B77009"/>
    <w:rsid w:val="00B77B96"/>
    <w:rsid w:val="00B805B6"/>
    <w:rsid w:val="00B80750"/>
    <w:rsid w:val="00B80918"/>
    <w:rsid w:val="00B80A08"/>
    <w:rsid w:val="00B8203B"/>
    <w:rsid w:val="00B8214B"/>
    <w:rsid w:val="00B8254E"/>
    <w:rsid w:val="00B82771"/>
    <w:rsid w:val="00B82E24"/>
    <w:rsid w:val="00B82E5D"/>
    <w:rsid w:val="00B834FC"/>
    <w:rsid w:val="00B83597"/>
    <w:rsid w:val="00B8452F"/>
    <w:rsid w:val="00B84CDA"/>
    <w:rsid w:val="00B85148"/>
    <w:rsid w:val="00B85313"/>
    <w:rsid w:val="00B857C6"/>
    <w:rsid w:val="00B857E7"/>
    <w:rsid w:val="00B85956"/>
    <w:rsid w:val="00B8600F"/>
    <w:rsid w:val="00B865D8"/>
    <w:rsid w:val="00B866D4"/>
    <w:rsid w:val="00B868FB"/>
    <w:rsid w:val="00B90130"/>
    <w:rsid w:val="00B909DC"/>
    <w:rsid w:val="00B90BEF"/>
    <w:rsid w:val="00B90CB6"/>
    <w:rsid w:val="00B91145"/>
    <w:rsid w:val="00B91DE5"/>
    <w:rsid w:val="00B9220B"/>
    <w:rsid w:val="00B9280D"/>
    <w:rsid w:val="00B9361B"/>
    <w:rsid w:val="00B93C79"/>
    <w:rsid w:val="00B93C9D"/>
    <w:rsid w:val="00B941C1"/>
    <w:rsid w:val="00B9438E"/>
    <w:rsid w:val="00B94932"/>
    <w:rsid w:val="00B94D69"/>
    <w:rsid w:val="00B94E4D"/>
    <w:rsid w:val="00B953D9"/>
    <w:rsid w:val="00B95937"/>
    <w:rsid w:val="00B95A98"/>
    <w:rsid w:val="00B96701"/>
    <w:rsid w:val="00B96808"/>
    <w:rsid w:val="00B96A0F"/>
    <w:rsid w:val="00B96B10"/>
    <w:rsid w:val="00B972D0"/>
    <w:rsid w:val="00B978E5"/>
    <w:rsid w:val="00BA0808"/>
    <w:rsid w:val="00BA11D2"/>
    <w:rsid w:val="00BA13A9"/>
    <w:rsid w:val="00BA1416"/>
    <w:rsid w:val="00BA2000"/>
    <w:rsid w:val="00BA2573"/>
    <w:rsid w:val="00BA3B8F"/>
    <w:rsid w:val="00BA3ECC"/>
    <w:rsid w:val="00BA4DD9"/>
    <w:rsid w:val="00BA5186"/>
    <w:rsid w:val="00BA55D1"/>
    <w:rsid w:val="00BA57F9"/>
    <w:rsid w:val="00BA5CB4"/>
    <w:rsid w:val="00BA5F9F"/>
    <w:rsid w:val="00BA6576"/>
    <w:rsid w:val="00BA70EC"/>
    <w:rsid w:val="00BA7750"/>
    <w:rsid w:val="00BA7948"/>
    <w:rsid w:val="00BB0AD8"/>
    <w:rsid w:val="00BB1BBE"/>
    <w:rsid w:val="00BB2A6F"/>
    <w:rsid w:val="00BB2E04"/>
    <w:rsid w:val="00BB3E3B"/>
    <w:rsid w:val="00BB41F6"/>
    <w:rsid w:val="00BB5453"/>
    <w:rsid w:val="00BB5BBD"/>
    <w:rsid w:val="00BB6556"/>
    <w:rsid w:val="00BB6666"/>
    <w:rsid w:val="00BB7FF2"/>
    <w:rsid w:val="00BC046C"/>
    <w:rsid w:val="00BC0512"/>
    <w:rsid w:val="00BC1B20"/>
    <w:rsid w:val="00BC2301"/>
    <w:rsid w:val="00BC375A"/>
    <w:rsid w:val="00BC4422"/>
    <w:rsid w:val="00BC4B52"/>
    <w:rsid w:val="00BC4E3B"/>
    <w:rsid w:val="00BC537B"/>
    <w:rsid w:val="00BC5419"/>
    <w:rsid w:val="00BC5684"/>
    <w:rsid w:val="00BC5BC1"/>
    <w:rsid w:val="00BC5C1B"/>
    <w:rsid w:val="00BC5D77"/>
    <w:rsid w:val="00BC70A9"/>
    <w:rsid w:val="00BC7FF9"/>
    <w:rsid w:val="00BD07E0"/>
    <w:rsid w:val="00BD0B8A"/>
    <w:rsid w:val="00BD11BB"/>
    <w:rsid w:val="00BD1FCB"/>
    <w:rsid w:val="00BD2A0B"/>
    <w:rsid w:val="00BD3197"/>
    <w:rsid w:val="00BD3389"/>
    <w:rsid w:val="00BD367D"/>
    <w:rsid w:val="00BD3C08"/>
    <w:rsid w:val="00BD5191"/>
    <w:rsid w:val="00BD523D"/>
    <w:rsid w:val="00BD5689"/>
    <w:rsid w:val="00BD5743"/>
    <w:rsid w:val="00BD5CD1"/>
    <w:rsid w:val="00BD5D35"/>
    <w:rsid w:val="00BD6321"/>
    <w:rsid w:val="00BD7BD0"/>
    <w:rsid w:val="00BD7CA6"/>
    <w:rsid w:val="00BD7E7F"/>
    <w:rsid w:val="00BD7FC0"/>
    <w:rsid w:val="00BE0CCA"/>
    <w:rsid w:val="00BE186E"/>
    <w:rsid w:val="00BE1A09"/>
    <w:rsid w:val="00BE1C74"/>
    <w:rsid w:val="00BE1D7C"/>
    <w:rsid w:val="00BE2A35"/>
    <w:rsid w:val="00BE30EF"/>
    <w:rsid w:val="00BE31B2"/>
    <w:rsid w:val="00BE393A"/>
    <w:rsid w:val="00BE3E2D"/>
    <w:rsid w:val="00BE3EB1"/>
    <w:rsid w:val="00BE4491"/>
    <w:rsid w:val="00BE48FC"/>
    <w:rsid w:val="00BE509B"/>
    <w:rsid w:val="00BE5202"/>
    <w:rsid w:val="00BE547C"/>
    <w:rsid w:val="00BE5C78"/>
    <w:rsid w:val="00BE5F0F"/>
    <w:rsid w:val="00BE6CFA"/>
    <w:rsid w:val="00BE6EA7"/>
    <w:rsid w:val="00BE6F15"/>
    <w:rsid w:val="00BE7771"/>
    <w:rsid w:val="00BE7F68"/>
    <w:rsid w:val="00BF01F1"/>
    <w:rsid w:val="00BF031E"/>
    <w:rsid w:val="00BF0D8E"/>
    <w:rsid w:val="00BF0E8B"/>
    <w:rsid w:val="00BF119A"/>
    <w:rsid w:val="00BF1B0B"/>
    <w:rsid w:val="00BF1CF0"/>
    <w:rsid w:val="00BF2805"/>
    <w:rsid w:val="00BF2C6A"/>
    <w:rsid w:val="00BF34C5"/>
    <w:rsid w:val="00BF353C"/>
    <w:rsid w:val="00BF38C2"/>
    <w:rsid w:val="00BF3A75"/>
    <w:rsid w:val="00BF3DB1"/>
    <w:rsid w:val="00BF4EC5"/>
    <w:rsid w:val="00BF500B"/>
    <w:rsid w:val="00BF67C5"/>
    <w:rsid w:val="00BF729D"/>
    <w:rsid w:val="00BF7569"/>
    <w:rsid w:val="00BF7620"/>
    <w:rsid w:val="00BF7D28"/>
    <w:rsid w:val="00C0032B"/>
    <w:rsid w:val="00C04418"/>
    <w:rsid w:val="00C0479E"/>
    <w:rsid w:val="00C04822"/>
    <w:rsid w:val="00C053F5"/>
    <w:rsid w:val="00C06775"/>
    <w:rsid w:val="00C06C1E"/>
    <w:rsid w:val="00C077A1"/>
    <w:rsid w:val="00C07AF7"/>
    <w:rsid w:val="00C07BD0"/>
    <w:rsid w:val="00C1019C"/>
    <w:rsid w:val="00C1186D"/>
    <w:rsid w:val="00C11CFA"/>
    <w:rsid w:val="00C1200E"/>
    <w:rsid w:val="00C125DA"/>
    <w:rsid w:val="00C125E0"/>
    <w:rsid w:val="00C13DCA"/>
    <w:rsid w:val="00C1402B"/>
    <w:rsid w:val="00C140F7"/>
    <w:rsid w:val="00C140FB"/>
    <w:rsid w:val="00C14253"/>
    <w:rsid w:val="00C14460"/>
    <w:rsid w:val="00C1454E"/>
    <w:rsid w:val="00C14E4F"/>
    <w:rsid w:val="00C1561E"/>
    <w:rsid w:val="00C1640C"/>
    <w:rsid w:val="00C16545"/>
    <w:rsid w:val="00C1700F"/>
    <w:rsid w:val="00C176CD"/>
    <w:rsid w:val="00C2000D"/>
    <w:rsid w:val="00C20131"/>
    <w:rsid w:val="00C20A07"/>
    <w:rsid w:val="00C20A43"/>
    <w:rsid w:val="00C215B6"/>
    <w:rsid w:val="00C21E57"/>
    <w:rsid w:val="00C2320E"/>
    <w:rsid w:val="00C2375C"/>
    <w:rsid w:val="00C24F18"/>
    <w:rsid w:val="00C25758"/>
    <w:rsid w:val="00C260B7"/>
    <w:rsid w:val="00C266EF"/>
    <w:rsid w:val="00C26C24"/>
    <w:rsid w:val="00C27F20"/>
    <w:rsid w:val="00C27F87"/>
    <w:rsid w:val="00C30071"/>
    <w:rsid w:val="00C30337"/>
    <w:rsid w:val="00C30465"/>
    <w:rsid w:val="00C3112B"/>
    <w:rsid w:val="00C3147F"/>
    <w:rsid w:val="00C318D3"/>
    <w:rsid w:val="00C31F54"/>
    <w:rsid w:val="00C31FDF"/>
    <w:rsid w:val="00C321A3"/>
    <w:rsid w:val="00C32644"/>
    <w:rsid w:val="00C32E62"/>
    <w:rsid w:val="00C337B2"/>
    <w:rsid w:val="00C34135"/>
    <w:rsid w:val="00C3526D"/>
    <w:rsid w:val="00C35413"/>
    <w:rsid w:val="00C354B9"/>
    <w:rsid w:val="00C3636E"/>
    <w:rsid w:val="00C37042"/>
    <w:rsid w:val="00C40187"/>
    <w:rsid w:val="00C401FD"/>
    <w:rsid w:val="00C412B5"/>
    <w:rsid w:val="00C41D4B"/>
    <w:rsid w:val="00C41FE0"/>
    <w:rsid w:val="00C42380"/>
    <w:rsid w:val="00C423A1"/>
    <w:rsid w:val="00C4295F"/>
    <w:rsid w:val="00C42C86"/>
    <w:rsid w:val="00C42FD8"/>
    <w:rsid w:val="00C43C4A"/>
    <w:rsid w:val="00C44355"/>
    <w:rsid w:val="00C444BF"/>
    <w:rsid w:val="00C4466B"/>
    <w:rsid w:val="00C44E98"/>
    <w:rsid w:val="00C45ECB"/>
    <w:rsid w:val="00C46D75"/>
    <w:rsid w:val="00C47270"/>
    <w:rsid w:val="00C474EC"/>
    <w:rsid w:val="00C4750D"/>
    <w:rsid w:val="00C478D2"/>
    <w:rsid w:val="00C504CC"/>
    <w:rsid w:val="00C50593"/>
    <w:rsid w:val="00C513B7"/>
    <w:rsid w:val="00C513DB"/>
    <w:rsid w:val="00C514F2"/>
    <w:rsid w:val="00C514FD"/>
    <w:rsid w:val="00C515BB"/>
    <w:rsid w:val="00C528F6"/>
    <w:rsid w:val="00C52AD5"/>
    <w:rsid w:val="00C52B05"/>
    <w:rsid w:val="00C52CA7"/>
    <w:rsid w:val="00C52CED"/>
    <w:rsid w:val="00C54B4F"/>
    <w:rsid w:val="00C54B56"/>
    <w:rsid w:val="00C54BCD"/>
    <w:rsid w:val="00C54E96"/>
    <w:rsid w:val="00C550FC"/>
    <w:rsid w:val="00C55B20"/>
    <w:rsid w:val="00C562A5"/>
    <w:rsid w:val="00C575C6"/>
    <w:rsid w:val="00C57793"/>
    <w:rsid w:val="00C57936"/>
    <w:rsid w:val="00C57A0F"/>
    <w:rsid w:val="00C57B85"/>
    <w:rsid w:val="00C60430"/>
    <w:rsid w:val="00C60979"/>
    <w:rsid w:val="00C60A00"/>
    <w:rsid w:val="00C60C1E"/>
    <w:rsid w:val="00C60DFA"/>
    <w:rsid w:val="00C611AC"/>
    <w:rsid w:val="00C61440"/>
    <w:rsid w:val="00C614B1"/>
    <w:rsid w:val="00C615C1"/>
    <w:rsid w:val="00C615E3"/>
    <w:rsid w:val="00C618CF"/>
    <w:rsid w:val="00C62B95"/>
    <w:rsid w:val="00C62C3B"/>
    <w:rsid w:val="00C63446"/>
    <w:rsid w:val="00C637BC"/>
    <w:rsid w:val="00C639B2"/>
    <w:rsid w:val="00C6424D"/>
    <w:rsid w:val="00C65012"/>
    <w:rsid w:val="00C6535E"/>
    <w:rsid w:val="00C65ACA"/>
    <w:rsid w:val="00C66A73"/>
    <w:rsid w:val="00C66B6D"/>
    <w:rsid w:val="00C70915"/>
    <w:rsid w:val="00C70965"/>
    <w:rsid w:val="00C72DAC"/>
    <w:rsid w:val="00C72FCA"/>
    <w:rsid w:val="00C7309F"/>
    <w:rsid w:val="00C744E6"/>
    <w:rsid w:val="00C74838"/>
    <w:rsid w:val="00C74918"/>
    <w:rsid w:val="00C74AC7"/>
    <w:rsid w:val="00C76423"/>
    <w:rsid w:val="00C76BB7"/>
    <w:rsid w:val="00C76E41"/>
    <w:rsid w:val="00C775BF"/>
    <w:rsid w:val="00C8167E"/>
    <w:rsid w:val="00C81778"/>
    <w:rsid w:val="00C82C12"/>
    <w:rsid w:val="00C840C3"/>
    <w:rsid w:val="00C840FF"/>
    <w:rsid w:val="00C84173"/>
    <w:rsid w:val="00C84DA6"/>
    <w:rsid w:val="00C84F57"/>
    <w:rsid w:val="00C8547C"/>
    <w:rsid w:val="00C859F9"/>
    <w:rsid w:val="00C862F0"/>
    <w:rsid w:val="00C86CDD"/>
    <w:rsid w:val="00C870C4"/>
    <w:rsid w:val="00C87C46"/>
    <w:rsid w:val="00C90C67"/>
    <w:rsid w:val="00C914FF"/>
    <w:rsid w:val="00C91FD2"/>
    <w:rsid w:val="00C937D1"/>
    <w:rsid w:val="00C93827"/>
    <w:rsid w:val="00C94586"/>
    <w:rsid w:val="00C94946"/>
    <w:rsid w:val="00C94990"/>
    <w:rsid w:val="00C94B57"/>
    <w:rsid w:val="00C94FBB"/>
    <w:rsid w:val="00C9577E"/>
    <w:rsid w:val="00C9624E"/>
    <w:rsid w:val="00C962C5"/>
    <w:rsid w:val="00C96693"/>
    <w:rsid w:val="00C9716F"/>
    <w:rsid w:val="00C974DF"/>
    <w:rsid w:val="00C97EBC"/>
    <w:rsid w:val="00CA00DD"/>
    <w:rsid w:val="00CA0289"/>
    <w:rsid w:val="00CA0CC1"/>
    <w:rsid w:val="00CA1339"/>
    <w:rsid w:val="00CA16AC"/>
    <w:rsid w:val="00CA1DA3"/>
    <w:rsid w:val="00CA3395"/>
    <w:rsid w:val="00CA394E"/>
    <w:rsid w:val="00CA3F32"/>
    <w:rsid w:val="00CA4971"/>
    <w:rsid w:val="00CA4AF9"/>
    <w:rsid w:val="00CA6029"/>
    <w:rsid w:val="00CA65EC"/>
    <w:rsid w:val="00CA6BC7"/>
    <w:rsid w:val="00CA6F3C"/>
    <w:rsid w:val="00CA7228"/>
    <w:rsid w:val="00CA7937"/>
    <w:rsid w:val="00CB04DF"/>
    <w:rsid w:val="00CB13EA"/>
    <w:rsid w:val="00CB1679"/>
    <w:rsid w:val="00CB193B"/>
    <w:rsid w:val="00CB247E"/>
    <w:rsid w:val="00CB26C4"/>
    <w:rsid w:val="00CB30A6"/>
    <w:rsid w:val="00CB3EF1"/>
    <w:rsid w:val="00CB452A"/>
    <w:rsid w:val="00CB4732"/>
    <w:rsid w:val="00CB5B06"/>
    <w:rsid w:val="00CB5C11"/>
    <w:rsid w:val="00CB6DDD"/>
    <w:rsid w:val="00CB77E6"/>
    <w:rsid w:val="00CB7B41"/>
    <w:rsid w:val="00CB7CA1"/>
    <w:rsid w:val="00CC018E"/>
    <w:rsid w:val="00CC02A6"/>
    <w:rsid w:val="00CC037C"/>
    <w:rsid w:val="00CC0BE7"/>
    <w:rsid w:val="00CC0E7C"/>
    <w:rsid w:val="00CC1C28"/>
    <w:rsid w:val="00CC1EEB"/>
    <w:rsid w:val="00CC2143"/>
    <w:rsid w:val="00CC2C5F"/>
    <w:rsid w:val="00CC2CE7"/>
    <w:rsid w:val="00CC395E"/>
    <w:rsid w:val="00CC3E07"/>
    <w:rsid w:val="00CC3FA7"/>
    <w:rsid w:val="00CC45B7"/>
    <w:rsid w:val="00CC53F8"/>
    <w:rsid w:val="00CC57FB"/>
    <w:rsid w:val="00CC695D"/>
    <w:rsid w:val="00CC6FC1"/>
    <w:rsid w:val="00CC751E"/>
    <w:rsid w:val="00CC7732"/>
    <w:rsid w:val="00CC7929"/>
    <w:rsid w:val="00CC7987"/>
    <w:rsid w:val="00CC7DF5"/>
    <w:rsid w:val="00CD0028"/>
    <w:rsid w:val="00CD0B7F"/>
    <w:rsid w:val="00CD0E64"/>
    <w:rsid w:val="00CD0F09"/>
    <w:rsid w:val="00CD1404"/>
    <w:rsid w:val="00CD16EA"/>
    <w:rsid w:val="00CD226B"/>
    <w:rsid w:val="00CD2522"/>
    <w:rsid w:val="00CD28F6"/>
    <w:rsid w:val="00CD300E"/>
    <w:rsid w:val="00CD405B"/>
    <w:rsid w:val="00CD408D"/>
    <w:rsid w:val="00CD4E50"/>
    <w:rsid w:val="00CD65FF"/>
    <w:rsid w:val="00CD67FE"/>
    <w:rsid w:val="00CD77CB"/>
    <w:rsid w:val="00CE09F9"/>
    <w:rsid w:val="00CE107B"/>
    <w:rsid w:val="00CE16CA"/>
    <w:rsid w:val="00CE19B3"/>
    <w:rsid w:val="00CE1CBB"/>
    <w:rsid w:val="00CE20EC"/>
    <w:rsid w:val="00CE2616"/>
    <w:rsid w:val="00CE32A5"/>
    <w:rsid w:val="00CE331A"/>
    <w:rsid w:val="00CE471A"/>
    <w:rsid w:val="00CE5190"/>
    <w:rsid w:val="00CE52AD"/>
    <w:rsid w:val="00CE56DE"/>
    <w:rsid w:val="00CE6019"/>
    <w:rsid w:val="00CE6291"/>
    <w:rsid w:val="00CE64D0"/>
    <w:rsid w:val="00CE6B33"/>
    <w:rsid w:val="00CF0035"/>
    <w:rsid w:val="00CF017E"/>
    <w:rsid w:val="00CF0263"/>
    <w:rsid w:val="00CF02DF"/>
    <w:rsid w:val="00CF095C"/>
    <w:rsid w:val="00CF0CF9"/>
    <w:rsid w:val="00CF12FE"/>
    <w:rsid w:val="00CF1346"/>
    <w:rsid w:val="00CF15A7"/>
    <w:rsid w:val="00CF2764"/>
    <w:rsid w:val="00CF28BD"/>
    <w:rsid w:val="00CF2F98"/>
    <w:rsid w:val="00CF47A4"/>
    <w:rsid w:val="00CF5DEB"/>
    <w:rsid w:val="00CF6451"/>
    <w:rsid w:val="00CF677B"/>
    <w:rsid w:val="00CF67ED"/>
    <w:rsid w:val="00CF693B"/>
    <w:rsid w:val="00CF6B4F"/>
    <w:rsid w:val="00CF73C2"/>
    <w:rsid w:val="00CF7563"/>
    <w:rsid w:val="00CF7815"/>
    <w:rsid w:val="00CF791F"/>
    <w:rsid w:val="00CF7A7B"/>
    <w:rsid w:val="00CF7AD9"/>
    <w:rsid w:val="00D01F31"/>
    <w:rsid w:val="00D021E4"/>
    <w:rsid w:val="00D03DE1"/>
    <w:rsid w:val="00D04325"/>
    <w:rsid w:val="00D04687"/>
    <w:rsid w:val="00D04ADC"/>
    <w:rsid w:val="00D057DE"/>
    <w:rsid w:val="00D05CB0"/>
    <w:rsid w:val="00D05E72"/>
    <w:rsid w:val="00D06007"/>
    <w:rsid w:val="00D06327"/>
    <w:rsid w:val="00D074F0"/>
    <w:rsid w:val="00D07597"/>
    <w:rsid w:val="00D07CE1"/>
    <w:rsid w:val="00D111EE"/>
    <w:rsid w:val="00D12312"/>
    <w:rsid w:val="00D128EB"/>
    <w:rsid w:val="00D1388D"/>
    <w:rsid w:val="00D13893"/>
    <w:rsid w:val="00D1392F"/>
    <w:rsid w:val="00D144DE"/>
    <w:rsid w:val="00D1502A"/>
    <w:rsid w:val="00D165F8"/>
    <w:rsid w:val="00D172E3"/>
    <w:rsid w:val="00D172EA"/>
    <w:rsid w:val="00D173C4"/>
    <w:rsid w:val="00D17545"/>
    <w:rsid w:val="00D175D4"/>
    <w:rsid w:val="00D17AE8"/>
    <w:rsid w:val="00D17CE1"/>
    <w:rsid w:val="00D20AFA"/>
    <w:rsid w:val="00D20D07"/>
    <w:rsid w:val="00D22B47"/>
    <w:rsid w:val="00D232D5"/>
    <w:rsid w:val="00D234F2"/>
    <w:rsid w:val="00D24BE8"/>
    <w:rsid w:val="00D266BC"/>
    <w:rsid w:val="00D30530"/>
    <w:rsid w:val="00D3072B"/>
    <w:rsid w:val="00D30DFF"/>
    <w:rsid w:val="00D314AD"/>
    <w:rsid w:val="00D32C11"/>
    <w:rsid w:val="00D32F2D"/>
    <w:rsid w:val="00D32F85"/>
    <w:rsid w:val="00D32F92"/>
    <w:rsid w:val="00D33850"/>
    <w:rsid w:val="00D34115"/>
    <w:rsid w:val="00D354C3"/>
    <w:rsid w:val="00D359A9"/>
    <w:rsid w:val="00D35E52"/>
    <w:rsid w:val="00D35FF2"/>
    <w:rsid w:val="00D363FA"/>
    <w:rsid w:val="00D364F7"/>
    <w:rsid w:val="00D36F1E"/>
    <w:rsid w:val="00D37312"/>
    <w:rsid w:val="00D37608"/>
    <w:rsid w:val="00D37AE4"/>
    <w:rsid w:val="00D37AF5"/>
    <w:rsid w:val="00D403FF"/>
    <w:rsid w:val="00D40639"/>
    <w:rsid w:val="00D4130B"/>
    <w:rsid w:val="00D418B6"/>
    <w:rsid w:val="00D41FC7"/>
    <w:rsid w:val="00D4241F"/>
    <w:rsid w:val="00D42C1A"/>
    <w:rsid w:val="00D42D29"/>
    <w:rsid w:val="00D43EDE"/>
    <w:rsid w:val="00D44222"/>
    <w:rsid w:val="00D4430C"/>
    <w:rsid w:val="00D45B9E"/>
    <w:rsid w:val="00D45F27"/>
    <w:rsid w:val="00D46984"/>
    <w:rsid w:val="00D46DDD"/>
    <w:rsid w:val="00D47B98"/>
    <w:rsid w:val="00D5004C"/>
    <w:rsid w:val="00D50777"/>
    <w:rsid w:val="00D50823"/>
    <w:rsid w:val="00D509DE"/>
    <w:rsid w:val="00D50ACD"/>
    <w:rsid w:val="00D50AD1"/>
    <w:rsid w:val="00D510C4"/>
    <w:rsid w:val="00D51F68"/>
    <w:rsid w:val="00D520DF"/>
    <w:rsid w:val="00D52541"/>
    <w:rsid w:val="00D52D02"/>
    <w:rsid w:val="00D52E0B"/>
    <w:rsid w:val="00D5459E"/>
    <w:rsid w:val="00D5489B"/>
    <w:rsid w:val="00D54923"/>
    <w:rsid w:val="00D5540C"/>
    <w:rsid w:val="00D55528"/>
    <w:rsid w:val="00D565D6"/>
    <w:rsid w:val="00D5662E"/>
    <w:rsid w:val="00D57B40"/>
    <w:rsid w:val="00D603B9"/>
    <w:rsid w:val="00D604BD"/>
    <w:rsid w:val="00D60CC4"/>
    <w:rsid w:val="00D614FD"/>
    <w:rsid w:val="00D61B56"/>
    <w:rsid w:val="00D6224E"/>
    <w:rsid w:val="00D62759"/>
    <w:rsid w:val="00D62FA4"/>
    <w:rsid w:val="00D631CB"/>
    <w:rsid w:val="00D631D4"/>
    <w:rsid w:val="00D631DA"/>
    <w:rsid w:val="00D637E0"/>
    <w:rsid w:val="00D63B2E"/>
    <w:rsid w:val="00D63CDD"/>
    <w:rsid w:val="00D64559"/>
    <w:rsid w:val="00D647F1"/>
    <w:rsid w:val="00D650BB"/>
    <w:rsid w:val="00D65B43"/>
    <w:rsid w:val="00D67E5C"/>
    <w:rsid w:val="00D70FED"/>
    <w:rsid w:val="00D71BEB"/>
    <w:rsid w:val="00D71CE8"/>
    <w:rsid w:val="00D72872"/>
    <w:rsid w:val="00D72C9F"/>
    <w:rsid w:val="00D72EC7"/>
    <w:rsid w:val="00D73488"/>
    <w:rsid w:val="00D7384D"/>
    <w:rsid w:val="00D744BC"/>
    <w:rsid w:val="00D749E1"/>
    <w:rsid w:val="00D751F0"/>
    <w:rsid w:val="00D75505"/>
    <w:rsid w:val="00D75B17"/>
    <w:rsid w:val="00D75CD3"/>
    <w:rsid w:val="00D765C4"/>
    <w:rsid w:val="00D770F2"/>
    <w:rsid w:val="00D776F4"/>
    <w:rsid w:val="00D77DBE"/>
    <w:rsid w:val="00D77E5B"/>
    <w:rsid w:val="00D77EE7"/>
    <w:rsid w:val="00D81594"/>
    <w:rsid w:val="00D81B1D"/>
    <w:rsid w:val="00D8251B"/>
    <w:rsid w:val="00D8299B"/>
    <w:rsid w:val="00D82C01"/>
    <w:rsid w:val="00D83900"/>
    <w:rsid w:val="00D83C59"/>
    <w:rsid w:val="00D83D83"/>
    <w:rsid w:val="00D83DD9"/>
    <w:rsid w:val="00D844FE"/>
    <w:rsid w:val="00D8557C"/>
    <w:rsid w:val="00D85B33"/>
    <w:rsid w:val="00D85B97"/>
    <w:rsid w:val="00D85F9D"/>
    <w:rsid w:val="00D85FC8"/>
    <w:rsid w:val="00D860A7"/>
    <w:rsid w:val="00D86428"/>
    <w:rsid w:val="00D86AFF"/>
    <w:rsid w:val="00D86B86"/>
    <w:rsid w:val="00D87469"/>
    <w:rsid w:val="00D8798F"/>
    <w:rsid w:val="00D90802"/>
    <w:rsid w:val="00D908AB"/>
    <w:rsid w:val="00D90980"/>
    <w:rsid w:val="00D90E5C"/>
    <w:rsid w:val="00D91D0F"/>
    <w:rsid w:val="00D91E84"/>
    <w:rsid w:val="00D927CA"/>
    <w:rsid w:val="00D933F1"/>
    <w:rsid w:val="00D93774"/>
    <w:rsid w:val="00D93E64"/>
    <w:rsid w:val="00D945D1"/>
    <w:rsid w:val="00D95079"/>
    <w:rsid w:val="00D95DFD"/>
    <w:rsid w:val="00D960C7"/>
    <w:rsid w:val="00D96577"/>
    <w:rsid w:val="00D96CE2"/>
    <w:rsid w:val="00D97F7F"/>
    <w:rsid w:val="00DA0C2C"/>
    <w:rsid w:val="00DA11C5"/>
    <w:rsid w:val="00DA12C1"/>
    <w:rsid w:val="00DA195C"/>
    <w:rsid w:val="00DA199A"/>
    <w:rsid w:val="00DA1FFE"/>
    <w:rsid w:val="00DA2970"/>
    <w:rsid w:val="00DA2A52"/>
    <w:rsid w:val="00DA2F0D"/>
    <w:rsid w:val="00DA3287"/>
    <w:rsid w:val="00DA3559"/>
    <w:rsid w:val="00DA3B88"/>
    <w:rsid w:val="00DA3F68"/>
    <w:rsid w:val="00DA4386"/>
    <w:rsid w:val="00DA55D2"/>
    <w:rsid w:val="00DA5BF3"/>
    <w:rsid w:val="00DB0146"/>
    <w:rsid w:val="00DB016D"/>
    <w:rsid w:val="00DB1CB9"/>
    <w:rsid w:val="00DB2296"/>
    <w:rsid w:val="00DB25A8"/>
    <w:rsid w:val="00DB33B7"/>
    <w:rsid w:val="00DB36A3"/>
    <w:rsid w:val="00DB3EC0"/>
    <w:rsid w:val="00DB45AC"/>
    <w:rsid w:val="00DB4B35"/>
    <w:rsid w:val="00DB4BC5"/>
    <w:rsid w:val="00DB5054"/>
    <w:rsid w:val="00DB5AFD"/>
    <w:rsid w:val="00DB6A79"/>
    <w:rsid w:val="00DB74BF"/>
    <w:rsid w:val="00DB761C"/>
    <w:rsid w:val="00DC00F6"/>
    <w:rsid w:val="00DC027F"/>
    <w:rsid w:val="00DC0D84"/>
    <w:rsid w:val="00DC0F35"/>
    <w:rsid w:val="00DC13F5"/>
    <w:rsid w:val="00DC1577"/>
    <w:rsid w:val="00DC3583"/>
    <w:rsid w:val="00DC3879"/>
    <w:rsid w:val="00DC3EA6"/>
    <w:rsid w:val="00DC3EA8"/>
    <w:rsid w:val="00DC4698"/>
    <w:rsid w:val="00DC4ED0"/>
    <w:rsid w:val="00DC5602"/>
    <w:rsid w:val="00DC59BF"/>
    <w:rsid w:val="00DC60B9"/>
    <w:rsid w:val="00DC6A89"/>
    <w:rsid w:val="00DC786C"/>
    <w:rsid w:val="00DC7C5A"/>
    <w:rsid w:val="00DD0423"/>
    <w:rsid w:val="00DD056C"/>
    <w:rsid w:val="00DD05F0"/>
    <w:rsid w:val="00DD0EE1"/>
    <w:rsid w:val="00DD1CB1"/>
    <w:rsid w:val="00DD1CE4"/>
    <w:rsid w:val="00DD23D3"/>
    <w:rsid w:val="00DD2592"/>
    <w:rsid w:val="00DD3036"/>
    <w:rsid w:val="00DD331D"/>
    <w:rsid w:val="00DD38B3"/>
    <w:rsid w:val="00DD38DB"/>
    <w:rsid w:val="00DD416A"/>
    <w:rsid w:val="00DD4401"/>
    <w:rsid w:val="00DD4C2F"/>
    <w:rsid w:val="00DD4DF6"/>
    <w:rsid w:val="00DD5042"/>
    <w:rsid w:val="00DD5272"/>
    <w:rsid w:val="00DD5279"/>
    <w:rsid w:val="00DD5478"/>
    <w:rsid w:val="00DD6092"/>
    <w:rsid w:val="00DD613D"/>
    <w:rsid w:val="00DD6DCD"/>
    <w:rsid w:val="00DD6FA8"/>
    <w:rsid w:val="00DD7721"/>
    <w:rsid w:val="00DD7CA2"/>
    <w:rsid w:val="00DD7EE4"/>
    <w:rsid w:val="00DE04B7"/>
    <w:rsid w:val="00DE04E6"/>
    <w:rsid w:val="00DE0F3F"/>
    <w:rsid w:val="00DE1326"/>
    <w:rsid w:val="00DE13FF"/>
    <w:rsid w:val="00DE1AB1"/>
    <w:rsid w:val="00DE1B15"/>
    <w:rsid w:val="00DE1D4A"/>
    <w:rsid w:val="00DE229B"/>
    <w:rsid w:val="00DE2487"/>
    <w:rsid w:val="00DE2E40"/>
    <w:rsid w:val="00DE3D20"/>
    <w:rsid w:val="00DE42AD"/>
    <w:rsid w:val="00DE57E0"/>
    <w:rsid w:val="00DE6011"/>
    <w:rsid w:val="00DE6329"/>
    <w:rsid w:val="00DE676A"/>
    <w:rsid w:val="00DF0010"/>
    <w:rsid w:val="00DF0127"/>
    <w:rsid w:val="00DF04DC"/>
    <w:rsid w:val="00DF0572"/>
    <w:rsid w:val="00DF06E7"/>
    <w:rsid w:val="00DF0CB9"/>
    <w:rsid w:val="00DF0F66"/>
    <w:rsid w:val="00DF10CD"/>
    <w:rsid w:val="00DF277D"/>
    <w:rsid w:val="00DF3959"/>
    <w:rsid w:val="00DF40DC"/>
    <w:rsid w:val="00DF48A9"/>
    <w:rsid w:val="00DF5071"/>
    <w:rsid w:val="00DF61B0"/>
    <w:rsid w:val="00DF6316"/>
    <w:rsid w:val="00DF6337"/>
    <w:rsid w:val="00DF6900"/>
    <w:rsid w:val="00DF6E7E"/>
    <w:rsid w:val="00DF6E9D"/>
    <w:rsid w:val="00E00691"/>
    <w:rsid w:val="00E00DB5"/>
    <w:rsid w:val="00E00E23"/>
    <w:rsid w:val="00E01348"/>
    <w:rsid w:val="00E0143D"/>
    <w:rsid w:val="00E024F6"/>
    <w:rsid w:val="00E0423A"/>
    <w:rsid w:val="00E0426B"/>
    <w:rsid w:val="00E049E0"/>
    <w:rsid w:val="00E04CCC"/>
    <w:rsid w:val="00E04D4D"/>
    <w:rsid w:val="00E051F4"/>
    <w:rsid w:val="00E05A14"/>
    <w:rsid w:val="00E0713A"/>
    <w:rsid w:val="00E075E7"/>
    <w:rsid w:val="00E10FCE"/>
    <w:rsid w:val="00E11349"/>
    <w:rsid w:val="00E11B2F"/>
    <w:rsid w:val="00E11CB5"/>
    <w:rsid w:val="00E12350"/>
    <w:rsid w:val="00E12C20"/>
    <w:rsid w:val="00E13836"/>
    <w:rsid w:val="00E138B6"/>
    <w:rsid w:val="00E139EA"/>
    <w:rsid w:val="00E13CC0"/>
    <w:rsid w:val="00E13DE6"/>
    <w:rsid w:val="00E13DF4"/>
    <w:rsid w:val="00E14B46"/>
    <w:rsid w:val="00E14F14"/>
    <w:rsid w:val="00E15054"/>
    <w:rsid w:val="00E15A4F"/>
    <w:rsid w:val="00E15C00"/>
    <w:rsid w:val="00E15EDA"/>
    <w:rsid w:val="00E166C9"/>
    <w:rsid w:val="00E17196"/>
    <w:rsid w:val="00E17485"/>
    <w:rsid w:val="00E20188"/>
    <w:rsid w:val="00E201A3"/>
    <w:rsid w:val="00E20D9E"/>
    <w:rsid w:val="00E2143D"/>
    <w:rsid w:val="00E215EC"/>
    <w:rsid w:val="00E23817"/>
    <w:rsid w:val="00E23CCB"/>
    <w:rsid w:val="00E2401F"/>
    <w:rsid w:val="00E240EF"/>
    <w:rsid w:val="00E245F1"/>
    <w:rsid w:val="00E253FF"/>
    <w:rsid w:val="00E265EC"/>
    <w:rsid w:val="00E26FF3"/>
    <w:rsid w:val="00E2700B"/>
    <w:rsid w:val="00E2732B"/>
    <w:rsid w:val="00E275BD"/>
    <w:rsid w:val="00E3001D"/>
    <w:rsid w:val="00E31639"/>
    <w:rsid w:val="00E3247B"/>
    <w:rsid w:val="00E32643"/>
    <w:rsid w:val="00E3359C"/>
    <w:rsid w:val="00E33964"/>
    <w:rsid w:val="00E33B03"/>
    <w:rsid w:val="00E33FC3"/>
    <w:rsid w:val="00E34039"/>
    <w:rsid w:val="00E3473B"/>
    <w:rsid w:val="00E348C9"/>
    <w:rsid w:val="00E3494D"/>
    <w:rsid w:val="00E34CDB"/>
    <w:rsid w:val="00E35487"/>
    <w:rsid w:val="00E354E4"/>
    <w:rsid w:val="00E36960"/>
    <w:rsid w:val="00E373BA"/>
    <w:rsid w:val="00E37C01"/>
    <w:rsid w:val="00E37CCF"/>
    <w:rsid w:val="00E37D87"/>
    <w:rsid w:val="00E40575"/>
    <w:rsid w:val="00E40732"/>
    <w:rsid w:val="00E40BF2"/>
    <w:rsid w:val="00E4133B"/>
    <w:rsid w:val="00E41B2E"/>
    <w:rsid w:val="00E41D94"/>
    <w:rsid w:val="00E42525"/>
    <w:rsid w:val="00E428E4"/>
    <w:rsid w:val="00E43279"/>
    <w:rsid w:val="00E437A8"/>
    <w:rsid w:val="00E43B81"/>
    <w:rsid w:val="00E441C9"/>
    <w:rsid w:val="00E44637"/>
    <w:rsid w:val="00E45290"/>
    <w:rsid w:val="00E45844"/>
    <w:rsid w:val="00E46473"/>
    <w:rsid w:val="00E4684B"/>
    <w:rsid w:val="00E46B05"/>
    <w:rsid w:val="00E46ED3"/>
    <w:rsid w:val="00E47443"/>
    <w:rsid w:val="00E47FC9"/>
    <w:rsid w:val="00E5013B"/>
    <w:rsid w:val="00E5203D"/>
    <w:rsid w:val="00E525D9"/>
    <w:rsid w:val="00E52FDF"/>
    <w:rsid w:val="00E53574"/>
    <w:rsid w:val="00E535BC"/>
    <w:rsid w:val="00E5393E"/>
    <w:rsid w:val="00E53986"/>
    <w:rsid w:val="00E53C0E"/>
    <w:rsid w:val="00E53D72"/>
    <w:rsid w:val="00E54AB7"/>
    <w:rsid w:val="00E54FB3"/>
    <w:rsid w:val="00E550A0"/>
    <w:rsid w:val="00E55261"/>
    <w:rsid w:val="00E55E4C"/>
    <w:rsid w:val="00E561FE"/>
    <w:rsid w:val="00E56513"/>
    <w:rsid w:val="00E56971"/>
    <w:rsid w:val="00E569E9"/>
    <w:rsid w:val="00E56A16"/>
    <w:rsid w:val="00E5717B"/>
    <w:rsid w:val="00E57AE8"/>
    <w:rsid w:val="00E57FDB"/>
    <w:rsid w:val="00E602A9"/>
    <w:rsid w:val="00E60574"/>
    <w:rsid w:val="00E60758"/>
    <w:rsid w:val="00E60881"/>
    <w:rsid w:val="00E615B1"/>
    <w:rsid w:val="00E616CA"/>
    <w:rsid w:val="00E61800"/>
    <w:rsid w:val="00E61AD2"/>
    <w:rsid w:val="00E61E0C"/>
    <w:rsid w:val="00E61E4B"/>
    <w:rsid w:val="00E6406D"/>
    <w:rsid w:val="00E64541"/>
    <w:rsid w:val="00E64803"/>
    <w:rsid w:val="00E64F90"/>
    <w:rsid w:val="00E6517A"/>
    <w:rsid w:val="00E6532E"/>
    <w:rsid w:val="00E65622"/>
    <w:rsid w:val="00E659B4"/>
    <w:rsid w:val="00E66789"/>
    <w:rsid w:val="00E66AFD"/>
    <w:rsid w:val="00E6710E"/>
    <w:rsid w:val="00E6729F"/>
    <w:rsid w:val="00E67F6F"/>
    <w:rsid w:val="00E7008E"/>
    <w:rsid w:val="00E701A0"/>
    <w:rsid w:val="00E701A7"/>
    <w:rsid w:val="00E70686"/>
    <w:rsid w:val="00E70BB6"/>
    <w:rsid w:val="00E710C4"/>
    <w:rsid w:val="00E717EC"/>
    <w:rsid w:val="00E71964"/>
    <w:rsid w:val="00E7213A"/>
    <w:rsid w:val="00E72230"/>
    <w:rsid w:val="00E7239D"/>
    <w:rsid w:val="00E72451"/>
    <w:rsid w:val="00E73D7F"/>
    <w:rsid w:val="00E73D93"/>
    <w:rsid w:val="00E743B5"/>
    <w:rsid w:val="00E752C9"/>
    <w:rsid w:val="00E7577C"/>
    <w:rsid w:val="00E76DD9"/>
    <w:rsid w:val="00E76F7A"/>
    <w:rsid w:val="00E77971"/>
    <w:rsid w:val="00E77A15"/>
    <w:rsid w:val="00E77B44"/>
    <w:rsid w:val="00E806A8"/>
    <w:rsid w:val="00E80ED7"/>
    <w:rsid w:val="00E8108C"/>
    <w:rsid w:val="00E81185"/>
    <w:rsid w:val="00E82FDA"/>
    <w:rsid w:val="00E844BF"/>
    <w:rsid w:val="00E84549"/>
    <w:rsid w:val="00E85348"/>
    <w:rsid w:val="00E85A12"/>
    <w:rsid w:val="00E85CC2"/>
    <w:rsid w:val="00E85F7C"/>
    <w:rsid w:val="00E86201"/>
    <w:rsid w:val="00E86E28"/>
    <w:rsid w:val="00E90027"/>
    <w:rsid w:val="00E90075"/>
    <w:rsid w:val="00E9030F"/>
    <w:rsid w:val="00E90324"/>
    <w:rsid w:val="00E90D35"/>
    <w:rsid w:val="00E917FC"/>
    <w:rsid w:val="00E92416"/>
    <w:rsid w:val="00E935E4"/>
    <w:rsid w:val="00E93A5A"/>
    <w:rsid w:val="00E93F03"/>
    <w:rsid w:val="00E93F2C"/>
    <w:rsid w:val="00E93F85"/>
    <w:rsid w:val="00E94133"/>
    <w:rsid w:val="00E94824"/>
    <w:rsid w:val="00E949F0"/>
    <w:rsid w:val="00E94B41"/>
    <w:rsid w:val="00E94F4B"/>
    <w:rsid w:val="00E96991"/>
    <w:rsid w:val="00E97426"/>
    <w:rsid w:val="00E9744C"/>
    <w:rsid w:val="00E977FE"/>
    <w:rsid w:val="00E9781C"/>
    <w:rsid w:val="00E97D2E"/>
    <w:rsid w:val="00EA0DF2"/>
    <w:rsid w:val="00EA10F0"/>
    <w:rsid w:val="00EA19FB"/>
    <w:rsid w:val="00EA1D0C"/>
    <w:rsid w:val="00EA2CE6"/>
    <w:rsid w:val="00EA370D"/>
    <w:rsid w:val="00EA44EE"/>
    <w:rsid w:val="00EA48AD"/>
    <w:rsid w:val="00EA4E45"/>
    <w:rsid w:val="00EA5192"/>
    <w:rsid w:val="00EA52CC"/>
    <w:rsid w:val="00EA545E"/>
    <w:rsid w:val="00EA73BA"/>
    <w:rsid w:val="00EB0B59"/>
    <w:rsid w:val="00EB1669"/>
    <w:rsid w:val="00EB1784"/>
    <w:rsid w:val="00EB1E4B"/>
    <w:rsid w:val="00EB1F40"/>
    <w:rsid w:val="00EB2F3D"/>
    <w:rsid w:val="00EB3044"/>
    <w:rsid w:val="00EB38E0"/>
    <w:rsid w:val="00EB3EE8"/>
    <w:rsid w:val="00EB49FE"/>
    <w:rsid w:val="00EB5F4D"/>
    <w:rsid w:val="00EB63B2"/>
    <w:rsid w:val="00EB66D6"/>
    <w:rsid w:val="00EB6710"/>
    <w:rsid w:val="00EB6C71"/>
    <w:rsid w:val="00EB7253"/>
    <w:rsid w:val="00EB72E7"/>
    <w:rsid w:val="00EB7D60"/>
    <w:rsid w:val="00EB7F75"/>
    <w:rsid w:val="00EC0884"/>
    <w:rsid w:val="00EC0C2E"/>
    <w:rsid w:val="00EC20AD"/>
    <w:rsid w:val="00EC483F"/>
    <w:rsid w:val="00EC495C"/>
    <w:rsid w:val="00EC527A"/>
    <w:rsid w:val="00EC5ADF"/>
    <w:rsid w:val="00EC5CA6"/>
    <w:rsid w:val="00EC5FC0"/>
    <w:rsid w:val="00EC6269"/>
    <w:rsid w:val="00EC634E"/>
    <w:rsid w:val="00EC7789"/>
    <w:rsid w:val="00EC79AF"/>
    <w:rsid w:val="00ED04A0"/>
    <w:rsid w:val="00ED05F5"/>
    <w:rsid w:val="00ED077E"/>
    <w:rsid w:val="00ED086E"/>
    <w:rsid w:val="00ED0D29"/>
    <w:rsid w:val="00ED16A8"/>
    <w:rsid w:val="00ED19C2"/>
    <w:rsid w:val="00ED1F73"/>
    <w:rsid w:val="00ED20E4"/>
    <w:rsid w:val="00ED21F2"/>
    <w:rsid w:val="00ED236E"/>
    <w:rsid w:val="00ED2589"/>
    <w:rsid w:val="00ED2815"/>
    <w:rsid w:val="00ED2B31"/>
    <w:rsid w:val="00ED2E09"/>
    <w:rsid w:val="00ED2E46"/>
    <w:rsid w:val="00ED30E5"/>
    <w:rsid w:val="00ED3629"/>
    <w:rsid w:val="00ED4058"/>
    <w:rsid w:val="00ED4E60"/>
    <w:rsid w:val="00ED5C17"/>
    <w:rsid w:val="00ED75E0"/>
    <w:rsid w:val="00ED7766"/>
    <w:rsid w:val="00ED7DD0"/>
    <w:rsid w:val="00ED7F9D"/>
    <w:rsid w:val="00EE00CF"/>
    <w:rsid w:val="00EE0321"/>
    <w:rsid w:val="00EE060A"/>
    <w:rsid w:val="00EE0BE2"/>
    <w:rsid w:val="00EE1412"/>
    <w:rsid w:val="00EE185C"/>
    <w:rsid w:val="00EE2905"/>
    <w:rsid w:val="00EE2D98"/>
    <w:rsid w:val="00EE2ECF"/>
    <w:rsid w:val="00EE4922"/>
    <w:rsid w:val="00EE4953"/>
    <w:rsid w:val="00EE50D6"/>
    <w:rsid w:val="00EE56FC"/>
    <w:rsid w:val="00EE5C58"/>
    <w:rsid w:val="00EE736A"/>
    <w:rsid w:val="00EF064E"/>
    <w:rsid w:val="00EF1131"/>
    <w:rsid w:val="00EF153E"/>
    <w:rsid w:val="00EF1AF6"/>
    <w:rsid w:val="00EF1FC2"/>
    <w:rsid w:val="00EF265B"/>
    <w:rsid w:val="00EF2DAB"/>
    <w:rsid w:val="00EF2DD2"/>
    <w:rsid w:val="00EF2E44"/>
    <w:rsid w:val="00EF427F"/>
    <w:rsid w:val="00EF4844"/>
    <w:rsid w:val="00EF49B1"/>
    <w:rsid w:val="00EF4B78"/>
    <w:rsid w:val="00EF500D"/>
    <w:rsid w:val="00EF51CD"/>
    <w:rsid w:val="00EF53E8"/>
    <w:rsid w:val="00EF59E7"/>
    <w:rsid w:val="00EF61DA"/>
    <w:rsid w:val="00EF62DE"/>
    <w:rsid w:val="00EF6691"/>
    <w:rsid w:val="00EF6A2D"/>
    <w:rsid w:val="00F00282"/>
    <w:rsid w:val="00F005B5"/>
    <w:rsid w:val="00F01062"/>
    <w:rsid w:val="00F01187"/>
    <w:rsid w:val="00F019B9"/>
    <w:rsid w:val="00F01FC9"/>
    <w:rsid w:val="00F0203D"/>
    <w:rsid w:val="00F02316"/>
    <w:rsid w:val="00F02787"/>
    <w:rsid w:val="00F02F25"/>
    <w:rsid w:val="00F042FC"/>
    <w:rsid w:val="00F04891"/>
    <w:rsid w:val="00F051E2"/>
    <w:rsid w:val="00F05867"/>
    <w:rsid w:val="00F05CAD"/>
    <w:rsid w:val="00F061CA"/>
    <w:rsid w:val="00F0637E"/>
    <w:rsid w:val="00F06B79"/>
    <w:rsid w:val="00F073BC"/>
    <w:rsid w:val="00F07E8B"/>
    <w:rsid w:val="00F103D0"/>
    <w:rsid w:val="00F1096F"/>
    <w:rsid w:val="00F10D6A"/>
    <w:rsid w:val="00F12068"/>
    <w:rsid w:val="00F12D0C"/>
    <w:rsid w:val="00F135A6"/>
    <w:rsid w:val="00F13843"/>
    <w:rsid w:val="00F13B6D"/>
    <w:rsid w:val="00F13B9E"/>
    <w:rsid w:val="00F1421E"/>
    <w:rsid w:val="00F1484D"/>
    <w:rsid w:val="00F150FA"/>
    <w:rsid w:val="00F15426"/>
    <w:rsid w:val="00F1625E"/>
    <w:rsid w:val="00F165FF"/>
    <w:rsid w:val="00F17058"/>
    <w:rsid w:val="00F17758"/>
    <w:rsid w:val="00F2000A"/>
    <w:rsid w:val="00F20C79"/>
    <w:rsid w:val="00F210D2"/>
    <w:rsid w:val="00F21F57"/>
    <w:rsid w:val="00F22AD5"/>
    <w:rsid w:val="00F22BD4"/>
    <w:rsid w:val="00F22CC6"/>
    <w:rsid w:val="00F230B2"/>
    <w:rsid w:val="00F2344F"/>
    <w:rsid w:val="00F23D99"/>
    <w:rsid w:val="00F246AE"/>
    <w:rsid w:val="00F24891"/>
    <w:rsid w:val="00F248FD"/>
    <w:rsid w:val="00F249B1"/>
    <w:rsid w:val="00F24FCF"/>
    <w:rsid w:val="00F2532E"/>
    <w:rsid w:val="00F25815"/>
    <w:rsid w:val="00F26CD5"/>
    <w:rsid w:val="00F27E81"/>
    <w:rsid w:val="00F300C9"/>
    <w:rsid w:val="00F3015F"/>
    <w:rsid w:val="00F308BE"/>
    <w:rsid w:val="00F30FF5"/>
    <w:rsid w:val="00F317A2"/>
    <w:rsid w:val="00F318F7"/>
    <w:rsid w:val="00F31C56"/>
    <w:rsid w:val="00F3211F"/>
    <w:rsid w:val="00F32198"/>
    <w:rsid w:val="00F3268C"/>
    <w:rsid w:val="00F326FD"/>
    <w:rsid w:val="00F338C4"/>
    <w:rsid w:val="00F33D79"/>
    <w:rsid w:val="00F33F5A"/>
    <w:rsid w:val="00F354CD"/>
    <w:rsid w:val="00F354D8"/>
    <w:rsid w:val="00F36643"/>
    <w:rsid w:val="00F366FC"/>
    <w:rsid w:val="00F36BA3"/>
    <w:rsid w:val="00F36FDC"/>
    <w:rsid w:val="00F375C8"/>
    <w:rsid w:val="00F37F9F"/>
    <w:rsid w:val="00F40681"/>
    <w:rsid w:val="00F406AC"/>
    <w:rsid w:val="00F407EE"/>
    <w:rsid w:val="00F40939"/>
    <w:rsid w:val="00F40F8F"/>
    <w:rsid w:val="00F415FC"/>
    <w:rsid w:val="00F421B0"/>
    <w:rsid w:val="00F422DA"/>
    <w:rsid w:val="00F42D21"/>
    <w:rsid w:val="00F42DA7"/>
    <w:rsid w:val="00F42EBE"/>
    <w:rsid w:val="00F4354F"/>
    <w:rsid w:val="00F438B1"/>
    <w:rsid w:val="00F4417C"/>
    <w:rsid w:val="00F453A7"/>
    <w:rsid w:val="00F45446"/>
    <w:rsid w:val="00F45876"/>
    <w:rsid w:val="00F45909"/>
    <w:rsid w:val="00F45A5B"/>
    <w:rsid w:val="00F45FA4"/>
    <w:rsid w:val="00F46595"/>
    <w:rsid w:val="00F46B6C"/>
    <w:rsid w:val="00F46D0A"/>
    <w:rsid w:val="00F47E93"/>
    <w:rsid w:val="00F5039B"/>
    <w:rsid w:val="00F51252"/>
    <w:rsid w:val="00F5157B"/>
    <w:rsid w:val="00F52822"/>
    <w:rsid w:val="00F52F60"/>
    <w:rsid w:val="00F5323E"/>
    <w:rsid w:val="00F5352B"/>
    <w:rsid w:val="00F53A2E"/>
    <w:rsid w:val="00F53DD5"/>
    <w:rsid w:val="00F53DE0"/>
    <w:rsid w:val="00F53E40"/>
    <w:rsid w:val="00F54266"/>
    <w:rsid w:val="00F55022"/>
    <w:rsid w:val="00F559B1"/>
    <w:rsid w:val="00F56021"/>
    <w:rsid w:val="00F56DAD"/>
    <w:rsid w:val="00F56E15"/>
    <w:rsid w:val="00F57233"/>
    <w:rsid w:val="00F57EF2"/>
    <w:rsid w:val="00F600D5"/>
    <w:rsid w:val="00F6043A"/>
    <w:rsid w:val="00F6078D"/>
    <w:rsid w:val="00F61073"/>
    <w:rsid w:val="00F612C6"/>
    <w:rsid w:val="00F61806"/>
    <w:rsid w:val="00F61E93"/>
    <w:rsid w:val="00F61FAF"/>
    <w:rsid w:val="00F62A86"/>
    <w:rsid w:val="00F63AF3"/>
    <w:rsid w:val="00F641FB"/>
    <w:rsid w:val="00F6488B"/>
    <w:rsid w:val="00F64C9F"/>
    <w:rsid w:val="00F654DC"/>
    <w:rsid w:val="00F66016"/>
    <w:rsid w:val="00F660C9"/>
    <w:rsid w:val="00F665A7"/>
    <w:rsid w:val="00F665D0"/>
    <w:rsid w:val="00F66A18"/>
    <w:rsid w:val="00F66C58"/>
    <w:rsid w:val="00F6717F"/>
    <w:rsid w:val="00F673FA"/>
    <w:rsid w:val="00F67443"/>
    <w:rsid w:val="00F700AB"/>
    <w:rsid w:val="00F70107"/>
    <w:rsid w:val="00F7088B"/>
    <w:rsid w:val="00F70D1E"/>
    <w:rsid w:val="00F70FA6"/>
    <w:rsid w:val="00F712F5"/>
    <w:rsid w:val="00F7165C"/>
    <w:rsid w:val="00F7174E"/>
    <w:rsid w:val="00F71E1A"/>
    <w:rsid w:val="00F71F81"/>
    <w:rsid w:val="00F722B5"/>
    <w:rsid w:val="00F72363"/>
    <w:rsid w:val="00F724A3"/>
    <w:rsid w:val="00F727C9"/>
    <w:rsid w:val="00F72801"/>
    <w:rsid w:val="00F72BE5"/>
    <w:rsid w:val="00F735BD"/>
    <w:rsid w:val="00F73D7E"/>
    <w:rsid w:val="00F741A3"/>
    <w:rsid w:val="00F74C7B"/>
    <w:rsid w:val="00F75DDF"/>
    <w:rsid w:val="00F75EA6"/>
    <w:rsid w:val="00F75F2F"/>
    <w:rsid w:val="00F76896"/>
    <w:rsid w:val="00F77A22"/>
    <w:rsid w:val="00F77EE3"/>
    <w:rsid w:val="00F82CB8"/>
    <w:rsid w:val="00F8376C"/>
    <w:rsid w:val="00F839FC"/>
    <w:rsid w:val="00F83B95"/>
    <w:rsid w:val="00F84FC2"/>
    <w:rsid w:val="00F85992"/>
    <w:rsid w:val="00F85DC8"/>
    <w:rsid w:val="00F85FD0"/>
    <w:rsid w:val="00F860E5"/>
    <w:rsid w:val="00F862C3"/>
    <w:rsid w:val="00F866FC"/>
    <w:rsid w:val="00F910D4"/>
    <w:rsid w:val="00F91628"/>
    <w:rsid w:val="00F91716"/>
    <w:rsid w:val="00F918AC"/>
    <w:rsid w:val="00F921D4"/>
    <w:rsid w:val="00F93728"/>
    <w:rsid w:val="00F93CE5"/>
    <w:rsid w:val="00F94C96"/>
    <w:rsid w:val="00F951D8"/>
    <w:rsid w:val="00F9528A"/>
    <w:rsid w:val="00F953DB"/>
    <w:rsid w:val="00F964FB"/>
    <w:rsid w:val="00FA02BC"/>
    <w:rsid w:val="00FA02E3"/>
    <w:rsid w:val="00FA036B"/>
    <w:rsid w:val="00FA0601"/>
    <w:rsid w:val="00FA11DC"/>
    <w:rsid w:val="00FA1541"/>
    <w:rsid w:val="00FA1D30"/>
    <w:rsid w:val="00FA22D8"/>
    <w:rsid w:val="00FA2346"/>
    <w:rsid w:val="00FA244D"/>
    <w:rsid w:val="00FA26AF"/>
    <w:rsid w:val="00FA2D62"/>
    <w:rsid w:val="00FA2E3D"/>
    <w:rsid w:val="00FA3F74"/>
    <w:rsid w:val="00FA4383"/>
    <w:rsid w:val="00FA49B2"/>
    <w:rsid w:val="00FA4F6B"/>
    <w:rsid w:val="00FA4FBE"/>
    <w:rsid w:val="00FA53CA"/>
    <w:rsid w:val="00FA6461"/>
    <w:rsid w:val="00FA6566"/>
    <w:rsid w:val="00FA6837"/>
    <w:rsid w:val="00FA6F26"/>
    <w:rsid w:val="00FA72A8"/>
    <w:rsid w:val="00FA79D0"/>
    <w:rsid w:val="00FB04F9"/>
    <w:rsid w:val="00FB09B3"/>
    <w:rsid w:val="00FB0C65"/>
    <w:rsid w:val="00FB2AFA"/>
    <w:rsid w:val="00FB38DD"/>
    <w:rsid w:val="00FB3D7E"/>
    <w:rsid w:val="00FB3ED6"/>
    <w:rsid w:val="00FB4258"/>
    <w:rsid w:val="00FB45B7"/>
    <w:rsid w:val="00FB47AC"/>
    <w:rsid w:val="00FB48D2"/>
    <w:rsid w:val="00FB4D06"/>
    <w:rsid w:val="00FB4F35"/>
    <w:rsid w:val="00FB5779"/>
    <w:rsid w:val="00FB624F"/>
    <w:rsid w:val="00FB67BB"/>
    <w:rsid w:val="00FB7551"/>
    <w:rsid w:val="00FB7F55"/>
    <w:rsid w:val="00FC05EB"/>
    <w:rsid w:val="00FC1D54"/>
    <w:rsid w:val="00FC23CB"/>
    <w:rsid w:val="00FC2439"/>
    <w:rsid w:val="00FC2515"/>
    <w:rsid w:val="00FC29C3"/>
    <w:rsid w:val="00FC2F57"/>
    <w:rsid w:val="00FC32D7"/>
    <w:rsid w:val="00FC3A26"/>
    <w:rsid w:val="00FC3ABA"/>
    <w:rsid w:val="00FC433D"/>
    <w:rsid w:val="00FC44CD"/>
    <w:rsid w:val="00FC44D7"/>
    <w:rsid w:val="00FC47E9"/>
    <w:rsid w:val="00FC4818"/>
    <w:rsid w:val="00FC6F1D"/>
    <w:rsid w:val="00FC7A36"/>
    <w:rsid w:val="00FC7BBD"/>
    <w:rsid w:val="00FD02B4"/>
    <w:rsid w:val="00FD054D"/>
    <w:rsid w:val="00FD0645"/>
    <w:rsid w:val="00FD12B1"/>
    <w:rsid w:val="00FD14DA"/>
    <w:rsid w:val="00FD22AE"/>
    <w:rsid w:val="00FD2BE4"/>
    <w:rsid w:val="00FD3789"/>
    <w:rsid w:val="00FD3BA3"/>
    <w:rsid w:val="00FD49C1"/>
    <w:rsid w:val="00FD4BC6"/>
    <w:rsid w:val="00FD4E13"/>
    <w:rsid w:val="00FD60FC"/>
    <w:rsid w:val="00FD64C1"/>
    <w:rsid w:val="00FD678D"/>
    <w:rsid w:val="00FD6BF9"/>
    <w:rsid w:val="00FD7024"/>
    <w:rsid w:val="00FD7CBF"/>
    <w:rsid w:val="00FE08C8"/>
    <w:rsid w:val="00FE126F"/>
    <w:rsid w:val="00FE1809"/>
    <w:rsid w:val="00FE1FD8"/>
    <w:rsid w:val="00FE34A7"/>
    <w:rsid w:val="00FE41C0"/>
    <w:rsid w:val="00FE41F0"/>
    <w:rsid w:val="00FE4598"/>
    <w:rsid w:val="00FE5619"/>
    <w:rsid w:val="00FE6722"/>
    <w:rsid w:val="00FE7968"/>
    <w:rsid w:val="00FF03AF"/>
    <w:rsid w:val="00FF0535"/>
    <w:rsid w:val="00FF0EB2"/>
    <w:rsid w:val="00FF1054"/>
    <w:rsid w:val="00FF15D7"/>
    <w:rsid w:val="00FF1B9C"/>
    <w:rsid w:val="00FF2959"/>
    <w:rsid w:val="00FF2D14"/>
    <w:rsid w:val="00FF2D6A"/>
    <w:rsid w:val="00FF4419"/>
    <w:rsid w:val="00FF46E9"/>
    <w:rsid w:val="00FF482F"/>
    <w:rsid w:val="00FF5086"/>
    <w:rsid w:val="00FF5AD5"/>
    <w:rsid w:val="00FF5AF9"/>
    <w:rsid w:val="00FF5DA4"/>
    <w:rsid w:val="00FF5F66"/>
    <w:rsid w:val="00FF61B5"/>
    <w:rsid w:val="00FF65C5"/>
    <w:rsid w:val="00FF696B"/>
    <w:rsid w:val="00FF69B5"/>
    <w:rsid w:val="00FF73AA"/>
    <w:rsid w:val="00FF7F36"/>
    <w:rsid w:val="01000D43"/>
    <w:rsid w:val="01003896"/>
    <w:rsid w:val="010C79FA"/>
    <w:rsid w:val="010D2011"/>
    <w:rsid w:val="01126C91"/>
    <w:rsid w:val="011A0B21"/>
    <w:rsid w:val="011D036B"/>
    <w:rsid w:val="01322630"/>
    <w:rsid w:val="01371331"/>
    <w:rsid w:val="013E6704"/>
    <w:rsid w:val="014378D4"/>
    <w:rsid w:val="014859AE"/>
    <w:rsid w:val="014E50F5"/>
    <w:rsid w:val="015023C2"/>
    <w:rsid w:val="0154142C"/>
    <w:rsid w:val="015C5F81"/>
    <w:rsid w:val="015E0632"/>
    <w:rsid w:val="01646595"/>
    <w:rsid w:val="01655287"/>
    <w:rsid w:val="0166611F"/>
    <w:rsid w:val="016A6FD7"/>
    <w:rsid w:val="01725169"/>
    <w:rsid w:val="017F00A3"/>
    <w:rsid w:val="01825917"/>
    <w:rsid w:val="018A5633"/>
    <w:rsid w:val="01904E56"/>
    <w:rsid w:val="01A95D93"/>
    <w:rsid w:val="01B56504"/>
    <w:rsid w:val="01BB2203"/>
    <w:rsid w:val="01BF386F"/>
    <w:rsid w:val="01C23D56"/>
    <w:rsid w:val="01C33DD0"/>
    <w:rsid w:val="01CB1BA1"/>
    <w:rsid w:val="01D017A5"/>
    <w:rsid w:val="01DA5EF3"/>
    <w:rsid w:val="01DA76D8"/>
    <w:rsid w:val="01DC2C94"/>
    <w:rsid w:val="01DE09C9"/>
    <w:rsid w:val="01DF79C5"/>
    <w:rsid w:val="01E7459B"/>
    <w:rsid w:val="01EB3F60"/>
    <w:rsid w:val="01EC5E71"/>
    <w:rsid w:val="01EE5E5A"/>
    <w:rsid w:val="01F443A4"/>
    <w:rsid w:val="01F83E28"/>
    <w:rsid w:val="01F901A8"/>
    <w:rsid w:val="02065E40"/>
    <w:rsid w:val="020B385E"/>
    <w:rsid w:val="020B4869"/>
    <w:rsid w:val="02181198"/>
    <w:rsid w:val="021E58F3"/>
    <w:rsid w:val="02217EAF"/>
    <w:rsid w:val="022477B8"/>
    <w:rsid w:val="022768D3"/>
    <w:rsid w:val="022951D0"/>
    <w:rsid w:val="023502EA"/>
    <w:rsid w:val="023512AC"/>
    <w:rsid w:val="023A0AE8"/>
    <w:rsid w:val="023F22C0"/>
    <w:rsid w:val="02416DD6"/>
    <w:rsid w:val="024B3E8C"/>
    <w:rsid w:val="02625F37"/>
    <w:rsid w:val="026779BA"/>
    <w:rsid w:val="027001EF"/>
    <w:rsid w:val="02712943"/>
    <w:rsid w:val="02795CCD"/>
    <w:rsid w:val="02836E88"/>
    <w:rsid w:val="0287037D"/>
    <w:rsid w:val="02945126"/>
    <w:rsid w:val="02A927EB"/>
    <w:rsid w:val="02AF1DD6"/>
    <w:rsid w:val="02AF60DF"/>
    <w:rsid w:val="02B52AFF"/>
    <w:rsid w:val="02B702E5"/>
    <w:rsid w:val="02B87172"/>
    <w:rsid w:val="02BB008F"/>
    <w:rsid w:val="02C10FE4"/>
    <w:rsid w:val="02C468E2"/>
    <w:rsid w:val="02CE4B1B"/>
    <w:rsid w:val="02D977F4"/>
    <w:rsid w:val="02E40099"/>
    <w:rsid w:val="02E52620"/>
    <w:rsid w:val="02E842C5"/>
    <w:rsid w:val="02EE1142"/>
    <w:rsid w:val="02F055D7"/>
    <w:rsid w:val="02F67A9F"/>
    <w:rsid w:val="02FA03E7"/>
    <w:rsid w:val="02FB013F"/>
    <w:rsid w:val="02FE742E"/>
    <w:rsid w:val="03011B74"/>
    <w:rsid w:val="030C67F9"/>
    <w:rsid w:val="030D2FAB"/>
    <w:rsid w:val="030D6FE4"/>
    <w:rsid w:val="03130F3D"/>
    <w:rsid w:val="0323475D"/>
    <w:rsid w:val="03284FE6"/>
    <w:rsid w:val="032D312A"/>
    <w:rsid w:val="033278C0"/>
    <w:rsid w:val="03473B0D"/>
    <w:rsid w:val="034D2C36"/>
    <w:rsid w:val="035772E3"/>
    <w:rsid w:val="035A0F0F"/>
    <w:rsid w:val="035D3297"/>
    <w:rsid w:val="036B026D"/>
    <w:rsid w:val="0371545E"/>
    <w:rsid w:val="037D234B"/>
    <w:rsid w:val="038C079B"/>
    <w:rsid w:val="03914CEF"/>
    <w:rsid w:val="039505A6"/>
    <w:rsid w:val="039754FE"/>
    <w:rsid w:val="039F1967"/>
    <w:rsid w:val="03A152CA"/>
    <w:rsid w:val="03A162C0"/>
    <w:rsid w:val="03A7611F"/>
    <w:rsid w:val="03AB0247"/>
    <w:rsid w:val="03AE0D2C"/>
    <w:rsid w:val="03B84D09"/>
    <w:rsid w:val="03BD0CB9"/>
    <w:rsid w:val="03C50E2C"/>
    <w:rsid w:val="03C558E8"/>
    <w:rsid w:val="03C90081"/>
    <w:rsid w:val="03CD2AD8"/>
    <w:rsid w:val="03CD7467"/>
    <w:rsid w:val="03E428AC"/>
    <w:rsid w:val="03E4712E"/>
    <w:rsid w:val="03E63EA8"/>
    <w:rsid w:val="03E77D8A"/>
    <w:rsid w:val="03EB06F3"/>
    <w:rsid w:val="03F0378D"/>
    <w:rsid w:val="03F3634E"/>
    <w:rsid w:val="03F657CA"/>
    <w:rsid w:val="03F8199C"/>
    <w:rsid w:val="03FC18FA"/>
    <w:rsid w:val="03FF7EF2"/>
    <w:rsid w:val="04076746"/>
    <w:rsid w:val="04106FF2"/>
    <w:rsid w:val="04160093"/>
    <w:rsid w:val="04160813"/>
    <w:rsid w:val="04191833"/>
    <w:rsid w:val="04202681"/>
    <w:rsid w:val="04245DD5"/>
    <w:rsid w:val="044D3122"/>
    <w:rsid w:val="047440BD"/>
    <w:rsid w:val="04785DA1"/>
    <w:rsid w:val="047E18A8"/>
    <w:rsid w:val="047E5E1A"/>
    <w:rsid w:val="048239DC"/>
    <w:rsid w:val="04846D6B"/>
    <w:rsid w:val="0485157E"/>
    <w:rsid w:val="048B7276"/>
    <w:rsid w:val="049B0382"/>
    <w:rsid w:val="049D3CCE"/>
    <w:rsid w:val="04B62F4F"/>
    <w:rsid w:val="04C24FBA"/>
    <w:rsid w:val="04CE6B8B"/>
    <w:rsid w:val="04CF775B"/>
    <w:rsid w:val="04D95EF6"/>
    <w:rsid w:val="04E15B3D"/>
    <w:rsid w:val="04E75191"/>
    <w:rsid w:val="04EC217B"/>
    <w:rsid w:val="04EE448F"/>
    <w:rsid w:val="04F14B7D"/>
    <w:rsid w:val="04F42F20"/>
    <w:rsid w:val="04F93431"/>
    <w:rsid w:val="04FA1527"/>
    <w:rsid w:val="050F016B"/>
    <w:rsid w:val="05107E95"/>
    <w:rsid w:val="05236B1A"/>
    <w:rsid w:val="052C74B8"/>
    <w:rsid w:val="05422D7B"/>
    <w:rsid w:val="054400CD"/>
    <w:rsid w:val="054F4E62"/>
    <w:rsid w:val="05542478"/>
    <w:rsid w:val="05581A4C"/>
    <w:rsid w:val="055F6C3E"/>
    <w:rsid w:val="05602E4F"/>
    <w:rsid w:val="05605D90"/>
    <w:rsid w:val="058000B1"/>
    <w:rsid w:val="05850D94"/>
    <w:rsid w:val="058D263A"/>
    <w:rsid w:val="05996F23"/>
    <w:rsid w:val="05A27A8F"/>
    <w:rsid w:val="05A6491F"/>
    <w:rsid w:val="05A920EE"/>
    <w:rsid w:val="05AA7DDE"/>
    <w:rsid w:val="05AD1F6F"/>
    <w:rsid w:val="05B11BC2"/>
    <w:rsid w:val="05B278F5"/>
    <w:rsid w:val="05B54537"/>
    <w:rsid w:val="05CA399F"/>
    <w:rsid w:val="05CD4F44"/>
    <w:rsid w:val="05D10187"/>
    <w:rsid w:val="05D62E8D"/>
    <w:rsid w:val="05DE1D7A"/>
    <w:rsid w:val="05E03D0C"/>
    <w:rsid w:val="05E56F2B"/>
    <w:rsid w:val="05E75D0D"/>
    <w:rsid w:val="05F32A2D"/>
    <w:rsid w:val="05F860AB"/>
    <w:rsid w:val="05FC3213"/>
    <w:rsid w:val="05FD13C7"/>
    <w:rsid w:val="05FE5923"/>
    <w:rsid w:val="06026588"/>
    <w:rsid w:val="0606088F"/>
    <w:rsid w:val="06071298"/>
    <w:rsid w:val="060C71F0"/>
    <w:rsid w:val="060F7E13"/>
    <w:rsid w:val="06133069"/>
    <w:rsid w:val="06137A5C"/>
    <w:rsid w:val="0614020B"/>
    <w:rsid w:val="062052AF"/>
    <w:rsid w:val="0629063D"/>
    <w:rsid w:val="062E59BC"/>
    <w:rsid w:val="06345E06"/>
    <w:rsid w:val="06402F17"/>
    <w:rsid w:val="06496031"/>
    <w:rsid w:val="064C3163"/>
    <w:rsid w:val="06543D59"/>
    <w:rsid w:val="065E7088"/>
    <w:rsid w:val="06606E94"/>
    <w:rsid w:val="0667442D"/>
    <w:rsid w:val="0670015A"/>
    <w:rsid w:val="067345A9"/>
    <w:rsid w:val="06793CCF"/>
    <w:rsid w:val="067C39DD"/>
    <w:rsid w:val="067D5E3A"/>
    <w:rsid w:val="06836D27"/>
    <w:rsid w:val="06936FD0"/>
    <w:rsid w:val="06941554"/>
    <w:rsid w:val="069B4F23"/>
    <w:rsid w:val="06A571D1"/>
    <w:rsid w:val="06A57B80"/>
    <w:rsid w:val="06A74396"/>
    <w:rsid w:val="06AC39DC"/>
    <w:rsid w:val="06AE032F"/>
    <w:rsid w:val="06AF0F27"/>
    <w:rsid w:val="06B26506"/>
    <w:rsid w:val="06B54148"/>
    <w:rsid w:val="06B925DC"/>
    <w:rsid w:val="06BD1C06"/>
    <w:rsid w:val="06C27C7D"/>
    <w:rsid w:val="06C461DA"/>
    <w:rsid w:val="06CC4290"/>
    <w:rsid w:val="06CD0A67"/>
    <w:rsid w:val="06CF6F45"/>
    <w:rsid w:val="06DE4CD6"/>
    <w:rsid w:val="06E25862"/>
    <w:rsid w:val="06E967B1"/>
    <w:rsid w:val="06F644A3"/>
    <w:rsid w:val="06F7719B"/>
    <w:rsid w:val="07020FC5"/>
    <w:rsid w:val="07022F71"/>
    <w:rsid w:val="070C1F81"/>
    <w:rsid w:val="070D5368"/>
    <w:rsid w:val="07107CD4"/>
    <w:rsid w:val="07113262"/>
    <w:rsid w:val="071D487B"/>
    <w:rsid w:val="072D3A93"/>
    <w:rsid w:val="073554B6"/>
    <w:rsid w:val="073769B3"/>
    <w:rsid w:val="073F25F4"/>
    <w:rsid w:val="07433BD5"/>
    <w:rsid w:val="074B7739"/>
    <w:rsid w:val="074CDF6C"/>
    <w:rsid w:val="07583029"/>
    <w:rsid w:val="075E3335"/>
    <w:rsid w:val="07613F21"/>
    <w:rsid w:val="076519B7"/>
    <w:rsid w:val="07773A01"/>
    <w:rsid w:val="077F75EA"/>
    <w:rsid w:val="0788671F"/>
    <w:rsid w:val="07960142"/>
    <w:rsid w:val="07966014"/>
    <w:rsid w:val="07974595"/>
    <w:rsid w:val="079F3ECF"/>
    <w:rsid w:val="07A2614D"/>
    <w:rsid w:val="07A40982"/>
    <w:rsid w:val="07AE2DED"/>
    <w:rsid w:val="07B5764E"/>
    <w:rsid w:val="07BA0963"/>
    <w:rsid w:val="07BE4168"/>
    <w:rsid w:val="07C92F33"/>
    <w:rsid w:val="07CD57AC"/>
    <w:rsid w:val="07E837DE"/>
    <w:rsid w:val="07EA7061"/>
    <w:rsid w:val="07EB5261"/>
    <w:rsid w:val="07EC653A"/>
    <w:rsid w:val="07F24639"/>
    <w:rsid w:val="07F74C3A"/>
    <w:rsid w:val="08003A8B"/>
    <w:rsid w:val="08043B10"/>
    <w:rsid w:val="080870E8"/>
    <w:rsid w:val="080F6D28"/>
    <w:rsid w:val="081650E6"/>
    <w:rsid w:val="08275796"/>
    <w:rsid w:val="08326375"/>
    <w:rsid w:val="083757D8"/>
    <w:rsid w:val="083E3D63"/>
    <w:rsid w:val="08463BA2"/>
    <w:rsid w:val="08477A07"/>
    <w:rsid w:val="085C67D2"/>
    <w:rsid w:val="085C6BDD"/>
    <w:rsid w:val="086019F5"/>
    <w:rsid w:val="086407FC"/>
    <w:rsid w:val="086A03CF"/>
    <w:rsid w:val="08851706"/>
    <w:rsid w:val="088F2E6B"/>
    <w:rsid w:val="089C1329"/>
    <w:rsid w:val="08A00F57"/>
    <w:rsid w:val="08A728CF"/>
    <w:rsid w:val="08AE584C"/>
    <w:rsid w:val="08B14BCE"/>
    <w:rsid w:val="08B458C9"/>
    <w:rsid w:val="08C14F48"/>
    <w:rsid w:val="08C60176"/>
    <w:rsid w:val="08CA01FA"/>
    <w:rsid w:val="08E03F3C"/>
    <w:rsid w:val="08E24F27"/>
    <w:rsid w:val="08E47EC9"/>
    <w:rsid w:val="08F412FB"/>
    <w:rsid w:val="09035C6C"/>
    <w:rsid w:val="091066D4"/>
    <w:rsid w:val="092A1E75"/>
    <w:rsid w:val="092F0412"/>
    <w:rsid w:val="09336358"/>
    <w:rsid w:val="09385E5C"/>
    <w:rsid w:val="09396AFD"/>
    <w:rsid w:val="093A336E"/>
    <w:rsid w:val="094D65E2"/>
    <w:rsid w:val="095A6E08"/>
    <w:rsid w:val="095A713F"/>
    <w:rsid w:val="095E643E"/>
    <w:rsid w:val="095F3199"/>
    <w:rsid w:val="096509C9"/>
    <w:rsid w:val="09725CF8"/>
    <w:rsid w:val="097760D5"/>
    <w:rsid w:val="097876B4"/>
    <w:rsid w:val="097B2AE1"/>
    <w:rsid w:val="0985024F"/>
    <w:rsid w:val="0990427D"/>
    <w:rsid w:val="09904FE4"/>
    <w:rsid w:val="099628C3"/>
    <w:rsid w:val="09B45D5D"/>
    <w:rsid w:val="09BE4364"/>
    <w:rsid w:val="09BE7DC7"/>
    <w:rsid w:val="09CD687E"/>
    <w:rsid w:val="09CD7B41"/>
    <w:rsid w:val="09E54D4B"/>
    <w:rsid w:val="09EB4317"/>
    <w:rsid w:val="09ED1E1E"/>
    <w:rsid w:val="09F56CFA"/>
    <w:rsid w:val="0A0C6F4B"/>
    <w:rsid w:val="0A1230ED"/>
    <w:rsid w:val="0A16799D"/>
    <w:rsid w:val="0A184211"/>
    <w:rsid w:val="0A2D317C"/>
    <w:rsid w:val="0A36287F"/>
    <w:rsid w:val="0A3A43BC"/>
    <w:rsid w:val="0A3D797F"/>
    <w:rsid w:val="0A3F7B93"/>
    <w:rsid w:val="0A512255"/>
    <w:rsid w:val="0A53318F"/>
    <w:rsid w:val="0A5426C4"/>
    <w:rsid w:val="0A572478"/>
    <w:rsid w:val="0A592890"/>
    <w:rsid w:val="0A5C570D"/>
    <w:rsid w:val="0A7810CF"/>
    <w:rsid w:val="0A7A114F"/>
    <w:rsid w:val="0A7B7FBB"/>
    <w:rsid w:val="0A7F3855"/>
    <w:rsid w:val="0A873797"/>
    <w:rsid w:val="0A8D4303"/>
    <w:rsid w:val="0A8F5227"/>
    <w:rsid w:val="0A987ACB"/>
    <w:rsid w:val="0AA367DA"/>
    <w:rsid w:val="0AA4232F"/>
    <w:rsid w:val="0AA502E9"/>
    <w:rsid w:val="0AA60920"/>
    <w:rsid w:val="0AA82B33"/>
    <w:rsid w:val="0AAB2BF0"/>
    <w:rsid w:val="0AAF0CA5"/>
    <w:rsid w:val="0ABF64D1"/>
    <w:rsid w:val="0AC1470F"/>
    <w:rsid w:val="0AC847AC"/>
    <w:rsid w:val="0ACD04E4"/>
    <w:rsid w:val="0AD61B81"/>
    <w:rsid w:val="0ADA0576"/>
    <w:rsid w:val="0AE533E0"/>
    <w:rsid w:val="0AEA60BB"/>
    <w:rsid w:val="0AEC2F3C"/>
    <w:rsid w:val="0AF345BD"/>
    <w:rsid w:val="0AF67731"/>
    <w:rsid w:val="0AFF264D"/>
    <w:rsid w:val="0B0A5387"/>
    <w:rsid w:val="0B0C08F5"/>
    <w:rsid w:val="0B11268B"/>
    <w:rsid w:val="0B21104E"/>
    <w:rsid w:val="0B373AFE"/>
    <w:rsid w:val="0B3B72F0"/>
    <w:rsid w:val="0B593097"/>
    <w:rsid w:val="0B5A5DA6"/>
    <w:rsid w:val="0B5D4C63"/>
    <w:rsid w:val="0B642081"/>
    <w:rsid w:val="0B65340D"/>
    <w:rsid w:val="0B6A5057"/>
    <w:rsid w:val="0B6B20B9"/>
    <w:rsid w:val="0B6B4510"/>
    <w:rsid w:val="0B6D741A"/>
    <w:rsid w:val="0B72220A"/>
    <w:rsid w:val="0B7D26E1"/>
    <w:rsid w:val="0B7F37BF"/>
    <w:rsid w:val="0B8C22B0"/>
    <w:rsid w:val="0B9100FE"/>
    <w:rsid w:val="0B9A56B7"/>
    <w:rsid w:val="0B9B2138"/>
    <w:rsid w:val="0B9D52CB"/>
    <w:rsid w:val="0BA95D62"/>
    <w:rsid w:val="0BAD643E"/>
    <w:rsid w:val="0BB84DE3"/>
    <w:rsid w:val="0BBA0F21"/>
    <w:rsid w:val="0BBD010A"/>
    <w:rsid w:val="0BCA5954"/>
    <w:rsid w:val="0BCB6872"/>
    <w:rsid w:val="0BCF28A5"/>
    <w:rsid w:val="0BD30974"/>
    <w:rsid w:val="0BD4197B"/>
    <w:rsid w:val="0BD43B8A"/>
    <w:rsid w:val="0BD52CA2"/>
    <w:rsid w:val="0BD87FFD"/>
    <w:rsid w:val="0BE429EF"/>
    <w:rsid w:val="0BE91A4C"/>
    <w:rsid w:val="0BEC0236"/>
    <w:rsid w:val="0C0B7D0E"/>
    <w:rsid w:val="0C0E75C3"/>
    <w:rsid w:val="0C34196E"/>
    <w:rsid w:val="0C420A9D"/>
    <w:rsid w:val="0C4B6296"/>
    <w:rsid w:val="0C4D00AF"/>
    <w:rsid w:val="0C5203B3"/>
    <w:rsid w:val="0C56317F"/>
    <w:rsid w:val="0C57441B"/>
    <w:rsid w:val="0C6141E5"/>
    <w:rsid w:val="0C6156A1"/>
    <w:rsid w:val="0C630D1F"/>
    <w:rsid w:val="0C6A2C95"/>
    <w:rsid w:val="0C7040BE"/>
    <w:rsid w:val="0C742430"/>
    <w:rsid w:val="0C771139"/>
    <w:rsid w:val="0C832F26"/>
    <w:rsid w:val="0C8D7BCF"/>
    <w:rsid w:val="0C960021"/>
    <w:rsid w:val="0C9673D0"/>
    <w:rsid w:val="0C9B3C6D"/>
    <w:rsid w:val="0CA27452"/>
    <w:rsid w:val="0CB914F0"/>
    <w:rsid w:val="0CBB2D71"/>
    <w:rsid w:val="0CBF7104"/>
    <w:rsid w:val="0CD9489D"/>
    <w:rsid w:val="0CDE2228"/>
    <w:rsid w:val="0CEA1899"/>
    <w:rsid w:val="0CEC0D55"/>
    <w:rsid w:val="0CEF8598"/>
    <w:rsid w:val="0CF4371B"/>
    <w:rsid w:val="0CFD5A81"/>
    <w:rsid w:val="0D08550E"/>
    <w:rsid w:val="0D096FC1"/>
    <w:rsid w:val="0D097370"/>
    <w:rsid w:val="0D0A6A02"/>
    <w:rsid w:val="0D0E09CA"/>
    <w:rsid w:val="0D0E3E58"/>
    <w:rsid w:val="0D117C33"/>
    <w:rsid w:val="0D144D5B"/>
    <w:rsid w:val="0D15073F"/>
    <w:rsid w:val="0D1D183E"/>
    <w:rsid w:val="0D1F261E"/>
    <w:rsid w:val="0D220E93"/>
    <w:rsid w:val="0D2C00E7"/>
    <w:rsid w:val="0D2D4809"/>
    <w:rsid w:val="0D2D6AE8"/>
    <w:rsid w:val="0D2D7046"/>
    <w:rsid w:val="0D347F08"/>
    <w:rsid w:val="0D3516D4"/>
    <w:rsid w:val="0D385987"/>
    <w:rsid w:val="0D480CA6"/>
    <w:rsid w:val="0D516A57"/>
    <w:rsid w:val="0D5741B4"/>
    <w:rsid w:val="0D5C636E"/>
    <w:rsid w:val="0D5D780C"/>
    <w:rsid w:val="0D693B68"/>
    <w:rsid w:val="0D6A0565"/>
    <w:rsid w:val="0D7C71D4"/>
    <w:rsid w:val="0D7E283F"/>
    <w:rsid w:val="0D8111CA"/>
    <w:rsid w:val="0D9F0DAC"/>
    <w:rsid w:val="0DA27AF9"/>
    <w:rsid w:val="0DA51F3C"/>
    <w:rsid w:val="0DAD047F"/>
    <w:rsid w:val="0DAE4BB1"/>
    <w:rsid w:val="0DAF5B1B"/>
    <w:rsid w:val="0DB10CC2"/>
    <w:rsid w:val="0DB85C1F"/>
    <w:rsid w:val="0DC1616E"/>
    <w:rsid w:val="0DC734E6"/>
    <w:rsid w:val="0DC9263E"/>
    <w:rsid w:val="0DCE1193"/>
    <w:rsid w:val="0DD0493D"/>
    <w:rsid w:val="0DDA5E37"/>
    <w:rsid w:val="0DDD7DD5"/>
    <w:rsid w:val="0DF2206D"/>
    <w:rsid w:val="0DF81CAA"/>
    <w:rsid w:val="0DF90060"/>
    <w:rsid w:val="0DF9156D"/>
    <w:rsid w:val="0DFF0C9A"/>
    <w:rsid w:val="0E060B85"/>
    <w:rsid w:val="0E0B77CE"/>
    <w:rsid w:val="0E0E0B5C"/>
    <w:rsid w:val="0E0F48D2"/>
    <w:rsid w:val="0E1144AB"/>
    <w:rsid w:val="0E1246BB"/>
    <w:rsid w:val="0E151C71"/>
    <w:rsid w:val="0E1F2712"/>
    <w:rsid w:val="0E255EF7"/>
    <w:rsid w:val="0E371EFD"/>
    <w:rsid w:val="0E3F1780"/>
    <w:rsid w:val="0E5015F7"/>
    <w:rsid w:val="0E510337"/>
    <w:rsid w:val="0E5811B6"/>
    <w:rsid w:val="0E605DA8"/>
    <w:rsid w:val="0E6446AF"/>
    <w:rsid w:val="0E672F82"/>
    <w:rsid w:val="0E68174F"/>
    <w:rsid w:val="0E6D7BF9"/>
    <w:rsid w:val="0E771C47"/>
    <w:rsid w:val="0E7B4BAF"/>
    <w:rsid w:val="0E855450"/>
    <w:rsid w:val="0E861668"/>
    <w:rsid w:val="0E8D0012"/>
    <w:rsid w:val="0E912A98"/>
    <w:rsid w:val="0EA313B7"/>
    <w:rsid w:val="0EA57185"/>
    <w:rsid w:val="0EAA431C"/>
    <w:rsid w:val="0EAE0E4B"/>
    <w:rsid w:val="0EB042FC"/>
    <w:rsid w:val="0ECE6689"/>
    <w:rsid w:val="0ED26897"/>
    <w:rsid w:val="0ED55ADF"/>
    <w:rsid w:val="0ED63037"/>
    <w:rsid w:val="0EDB46AC"/>
    <w:rsid w:val="0EDD20CD"/>
    <w:rsid w:val="0EE00D9B"/>
    <w:rsid w:val="0EE06CEC"/>
    <w:rsid w:val="0EEF6F97"/>
    <w:rsid w:val="0EF14E4D"/>
    <w:rsid w:val="0EF32D02"/>
    <w:rsid w:val="0EF95F34"/>
    <w:rsid w:val="0EFF313F"/>
    <w:rsid w:val="0F0460F5"/>
    <w:rsid w:val="0F0A003C"/>
    <w:rsid w:val="0F1C5107"/>
    <w:rsid w:val="0F1D7C9E"/>
    <w:rsid w:val="0F3461E7"/>
    <w:rsid w:val="0F3B6809"/>
    <w:rsid w:val="0F4020AB"/>
    <w:rsid w:val="0F407837"/>
    <w:rsid w:val="0F4B35DA"/>
    <w:rsid w:val="0F514CE4"/>
    <w:rsid w:val="0F537F10"/>
    <w:rsid w:val="0F554DA0"/>
    <w:rsid w:val="0F5761B3"/>
    <w:rsid w:val="0F593A5E"/>
    <w:rsid w:val="0F596F56"/>
    <w:rsid w:val="0F5C488F"/>
    <w:rsid w:val="0F5F7161"/>
    <w:rsid w:val="0F675F41"/>
    <w:rsid w:val="0F6B1FEA"/>
    <w:rsid w:val="0F76750E"/>
    <w:rsid w:val="0F7838A0"/>
    <w:rsid w:val="0F7D13DA"/>
    <w:rsid w:val="0F7F7699"/>
    <w:rsid w:val="0F821B06"/>
    <w:rsid w:val="0F897B14"/>
    <w:rsid w:val="0F8E4B18"/>
    <w:rsid w:val="0F971097"/>
    <w:rsid w:val="0F9B688D"/>
    <w:rsid w:val="0FBC30F4"/>
    <w:rsid w:val="0FBEAA8A"/>
    <w:rsid w:val="0FC127DE"/>
    <w:rsid w:val="0FC13BE4"/>
    <w:rsid w:val="0FC6214A"/>
    <w:rsid w:val="0FCA4ED0"/>
    <w:rsid w:val="0FD60B10"/>
    <w:rsid w:val="0FDD3D2B"/>
    <w:rsid w:val="0FE8038D"/>
    <w:rsid w:val="0FEA592A"/>
    <w:rsid w:val="0FEB30DA"/>
    <w:rsid w:val="0FF30ADF"/>
    <w:rsid w:val="0FFB348C"/>
    <w:rsid w:val="0FFC63AF"/>
    <w:rsid w:val="0FFF457B"/>
    <w:rsid w:val="10004DC3"/>
    <w:rsid w:val="10015D21"/>
    <w:rsid w:val="100605FD"/>
    <w:rsid w:val="10064CE6"/>
    <w:rsid w:val="10076CF3"/>
    <w:rsid w:val="10090B75"/>
    <w:rsid w:val="100D6A98"/>
    <w:rsid w:val="100F3B6B"/>
    <w:rsid w:val="101050BE"/>
    <w:rsid w:val="10256AB2"/>
    <w:rsid w:val="102D5D9F"/>
    <w:rsid w:val="104B1A43"/>
    <w:rsid w:val="104B7405"/>
    <w:rsid w:val="104E6FDB"/>
    <w:rsid w:val="104F6A35"/>
    <w:rsid w:val="10511F69"/>
    <w:rsid w:val="105673A4"/>
    <w:rsid w:val="10567932"/>
    <w:rsid w:val="105A718B"/>
    <w:rsid w:val="105B2950"/>
    <w:rsid w:val="10613262"/>
    <w:rsid w:val="106C4CF6"/>
    <w:rsid w:val="106C7FDF"/>
    <w:rsid w:val="10832BFF"/>
    <w:rsid w:val="108D1122"/>
    <w:rsid w:val="10A971AF"/>
    <w:rsid w:val="10AB348F"/>
    <w:rsid w:val="10B503CF"/>
    <w:rsid w:val="10BF22CA"/>
    <w:rsid w:val="10C10E0D"/>
    <w:rsid w:val="10CF601A"/>
    <w:rsid w:val="10D01082"/>
    <w:rsid w:val="10D35076"/>
    <w:rsid w:val="10D821AF"/>
    <w:rsid w:val="10E409DA"/>
    <w:rsid w:val="10EE73CE"/>
    <w:rsid w:val="10F31964"/>
    <w:rsid w:val="11035027"/>
    <w:rsid w:val="1109139A"/>
    <w:rsid w:val="11114E56"/>
    <w:rsid w:val="111A37AB"/>
    <w:rsid w:val="111C6F83"/>
    <w:rsid w:val="11206427"/>
    <w:rsid w:val="11211F2B"/>
    <w:rsid w:val="11241783"/>
    <w:rsid w:val="11241DF7"/>
    <w:rsid w:val="112B5726"/>
    <w:rsid w:val="11346139"/>
    <w:rsid w:val="11387059"/>
    <w:rsid w:val="113A49AA"/>
    <w:rsid w:val="1147055F"/>
    <w:rsid w:val="114F7F97"/>
    <w:rsid w:val="11532D71"/>
    <w:rsid w:val="115B7490"/>
    <w:rsid w:val="116162A6"/>
    <w:rsid w:val="11691DE0"/>
    <w:rsid w:val="117B4368"/>
    <w:rsid w:val="117D1E01"/>
    <w:rsid w:val="11817013"/>
    <w:rsid w:val="11831CDA"/>
    <w:rsid w:val="11855D3E"/>
    <w:rsid w:val="118611F7"/>
    <w:rsid w:val="118B0982"/>
    <w:rsid w:val="118E22F6"/>
    <w:rsid w:val="119120E1"/>
    <w:rsid w:val="11955F57"/>
    <w:rsid w:val="119C5192"/>
    <w:rsid w:val="11A40230"/>
    <w:rsid w:val="11B43F01"/>
    <w:rsid w:val="11CD1200"/>
    <w:rsid w:val="11CF0098"/>
    <w:rsid w:val="11D6588A"/>
    <w:rsid w:val="11DE3B37"/>
    <w:rsid w:val="11DF431A"/>
    <w:rsid w:val="11E13B0B"/>
    <w:rsid w:val="11E1492E"/>
    <w:rsid w:val="11E172ED"/>
    <w:rsid w:val="11E56835"/>
    <w:rsid w:val="11EB0B9D"/>
    <w:rsid w:val="11FB1165"/>
    <w:rsid w:val="11FC5991"/>
    <w:rsid w:val="1201334D"/>
    <w:rsid w:val="1203104A"/>
    <w:rsid w:val="12045B4C"/>
    <w:rsid w:val="12047318"/>
    <w:rsid w:val="1214168E"/>
    <w:rsid w:val="121478B9"/>
    <w:rsid w:val="1218088C"/>
    <w:rsid w:val="12180DBA"/>
    <w:rsid w:val="122D6382"/>
    <w:rsid w:val="123A6EAD"/>
    <w:rsid w:val="123B3EF3"/>
    <w:rsid w:val="123C255D"/>
    <w:rsid w:val="123D1A52"/>
    <w:rsid w:val="12400C75"/>
    <w:rsid w:val="12406983"/>
    <w:rsid w:val="124C1ECD"/>
    <w:rsid w:val="124F64A1"/>
    <w:rsid w:val="1258349A"/>
    <w:rsid w:val="1263593F"/>
    <w:rsid w:val="12662C5E"/>
    <w:rsid w:val="126A5D57"/>
    <w:rsid w:val="126B160E"/>
    <w:rsid w:val="127451E9"/>
    <w:rsid w:val="128017F6"/>
    <w:rsid w:val="12830BE2"/>
    <w:rsid w:val="12872CF0"/>
    <w:rsid w:val="128F4AEF"/>
    <w:rsid w:val="129572FA"/>
    <w:rsid w:val="1299778D"/>
    <w:rsid w:val="129B4250"/>
    <w:rsid w:val="12A05359"/>
    <w:rsid w:val="12A62AF1"/>
    <w:rsid w:val="12AA3D19"/>
    <w:rsid w:val="12AA740C"/>
    <w:rsid w:val="12AB7191"/>
    <w:rsid w:val="12B04DFE"/>
    <w:rsid w:val="12B341F2"/>
    <w:rsid w:val="12B602DF"/>
    <w:rsid w:val="12B868CA"/>
    <w:rsid w:val="12BA420C"/>
    <w:rsid w:val="12CA5349"/>
    <w:rsid w:val="12DC1102"/>
    <w:rsid w:val="12E4710D"/>
    <w:rsid w:val="12EA0191"/>
    <w:rsid w:val="12EB61D9"/>
    <w:rsid w:val="12EF5969"/>
    <w:rsid w:val="12FB1D6C"/>
    <w:rsid w:val="12FD3562"/>
    <w:rsid w:val="13095BF3"/>
    <w:rsid w:val="13160E70"/>
    <w:rsid w:val="13191B9F"/>
    <w:rsid w:val="131C54B9"/>
    <w:rsid w:val="13256C58"/>
    <w:rsid w:val="132660F0"/>
    <w:rsid w:val="132A0BC0"/>
    <w:rsid w:val="132C5175"/>
    <w:rsid w:val="13323639"/>
    <w:rsid w:val="13367045"/>
    <w:rsid w:val="133A1AAA"/>
    <w:rsid w:val="13403B62"/>
    <w:rsid w:val="13450BD3"/>
    <w:rsid w:val="134753CA"/>
    <w:rsid w:val="13484AF6"/>
    <w:rsid w:val="134947B2"/>
    <w:rsid w:val="1354084D"/>
    <w:rsid w:val="135B5BA6"/>
    <w:rsid w:val="138228A6"/>
    <w:rsid w:val="13882342"/>
    <w:rsid w:val="13983D11"/>
    <w:rsid w:val="139A6F4E"/>
    <w:rsid w:val="13AF680A"/>
    <w:rsid w:val="13BB7A63"/>
    <w:rsid w:val="13BF5D56"/>
    <w:rsid w:val="13C540FC"/>
    <w:rsid w:val="13C82E76"/>
    <w:rsid w:val="13CD77CF"/>
    <w:rsid w:val="13D871D5"/>
    <w:rsid w:val="13DB380E"/>
    <w:rsid w:val="13E225EE"/>
    <w:rsid w:val="13EC5F71"/>
    <w:rsid w:val="13EE191C"/>
    <w:rsid w:val="13F30965"/>
    <w:rsid w:val="14025874"/>
    <w:rsid w:val="14137F48"/>
    <w:rsid w:val="14147691"/>
    <w:rsid w:val="141A23FC"/>
    <w:rsid w:val="14254818"/>
    <w:rsid w:val="14261330"/>
    <w:rsid w:val="142C308C"/>
    <w:rsid w:val="14386BE8"/>
    <w:rsid w:val="143D576D"/>
    <w:rsid w:val="143F504B"/>
    <w:rsid w:val="14433644"/>
    <w:rsid w:val="14475CDC"/>
    <w:rsid w:val="14493694"/>
    <w:rsid w:val="145236F3"/>
    <w:rsid w:val="145F14CE"/>
    <w:rsid w:val="14602180"/>
    <w:rsid w:val="14651E0F"/>
    <w:rsid w:val="14654681"/>
    <w:rsid w:val="14704669"/>
    <w:rsid w:val="147815B3"/>
    <w:rsid w:val="147D374E"/>
    <w:rsid w:val="1482740A"/>
    <w:rsid w:val="14980C03"/>
    <w:rsid w:val="149F5AB3"/>
    <w:rsid w:val="14A12C24"/>
    <w:rsid w:val="14A9330F"/>
    <w:rsid w:val="14AA2C79"/>
    <w:rsid w:val="14AA3545"/>
    <w:rsid w:val="14BC5942"/>
    <w:rsid w:val="14C0308E"/>
    <w:rsid w:val="14C143B0"/>
    <w:rsid w:val="14C45065"/>
    <w:rsid w:val="14C80E93"/>
    <w:rsid w:val="14CB4CBF"/>
    <w:rsid w:val="14D140AA"/>
    <w:rsid w:val="14D478A8"/>
    <w:rsid w:val="14D71741"/>
    <w:rsid w:val="14D9308D"/>
    <w:rsid w:val="14DC1E1E"/>
    <w:rsid w:val="14E02B7A"/>
    <w:rsid w:val="14E107A0"/>
    <w:rsid w:val="14E27D13"/>
    <w:rsid w:val="14E779CA"/>
    <w:rsid w:val="14EE0EBD"/>
    <w:rsid w:val="14EF26A4"/>
    <w:rsid w:val="14F240A4"/>
    <w:rsid w:val="14F33E84"/>
    <w:rsid w:val="14FB2910"/>
    <w:rsid w:val="15030A6B"/>
    <w:rsid w:val="150E1B7E"/>
    <w:rsid w:val="15131C07"/>
    <w:rsid w:val="151551F2"/>
    <w:rsid w:val="151830BE"/>
    <w:rsid w:val="151A50A0"/>
    <w:rsid w:val="15205954"/>
    <w:rsid w:val="15216471"/>
    <w:rsid w:val="152415E0"/>
    <w:rsid w:val="15244373"/>
    <w:rsid w:val="153100E0"/>
    <w:rsid w:val="153D7908"/>
    <w:rsid w:val="153E2CA1"/>
    <w:rsid w:val="15441723"/>
    <w:rsid w:val="15456304"/>
    <w:rsid w:val="15542B18"/>
    <w:rsid w:val="15566542"/>
    <w:rsid w:val="15573DD3"/>
    <w:rsid w:val="15595466"/>
    <w:rsid w:val="155D5DD8"/>
    <w:rsid w:val="15633597"/>
    <w:rsid w:val="15697836"/>
    <w:rsid w:val="15706845"/>
    <w:rsid w:val="157E565E"/>
    <w:rsid w:val="158048CC"/>
    <w:rsid w:val="15843825"/>
    <w:rsid w:val="158830C3"/>
    <w:rsid w:val="15990F30"/>
    <w:rsid w:val="159D5775"/>
    <w:rsid w:val="159E3E5D"/>
    <w:rsid w:val="15A27382"/>
    <w:rsid w:val="15A40088"/>
    <w:rsid w:val="15AA4B06"/>
    <w:rsid w:val="15B50AF6"/>
    <w:rsid w:val="15B57156"/>
    <w:rsid w:val="15BB740E"/>
    <w:rsid w:val="15C20E66"/>
    <w:rsid w:val="15C318A5"/>
    <w:rsid w:val="15DD11A6"/>
    <w:rsid w:val="15E1006C"/>
    <w:rsid w:val="15E63AC0"/>
    <w:rsid w:val="15E77A1D"/>
    <w:rsid w:val="15EE25BF"/>
    <w:rsid w:val="160B38EE"/>
    <w:rsid w:val="161C2381"/>
    <w:rsid w:val="16275E67"/>
    <w:rsid w:val="16285702"/>
    <w:rsid w:val="16291EA0"/>
    <w:rsid w:val="162C5D33"/>
    <w:rsid w:val="162E4A8D"/>
    <w:rsid w:val="162F0E07"/>
    <w:rsid w:val="16581F67"/>
    <w:rsid w:val="165D20B6"/>
    <w:rsid w:val="1660159D"/>
    <w:rsid w:val="16667F4F"/>
    <w:rsid w:val="166F7A63"/>
    <w:rsid w:val="167123C0"/>
    <w:rsid w:val="16735F60"/>
    <w:rsid w:val="167E3E8F"/>
    <w:rsid w:val="1680219C"/>
    <w:rsid w:val="1681545A"/>
    <w:rsid w:val="169A09EF"/>
    <w:rsid w:val="16A12C38"/>
    <w:rsid w:val="16AD7203"/>
    <w:rsid w:val="16AD72B6"/>
    <w:rsid w:val="16AE28EB"/>
    <w:rsid w:val="16B00B1A"/>
    <w:rsid w:val="16B350CA"/>
    <w:rsid w:val="16B91667"/>
    <w:rsid w:val="16C86402"/>
    <w:rsid w:val="16D24E86"/>
    <w:rsid w:val="16D9711E"/>
    <w:rsid w:val="16F855E3"/>
    <w:rsid w:val="17001A8A"/>
    <w:rsid w:val="1701070F"/>
    <w:rsid w:val="1709140E"/>
    <w:rsid w:val="17227AE7"/>
    <w:rsid w:val="17281421"/>
    <w:rsid w:val="172B6193"/>
    <w:rsid w:val="17300707"/>
    <w:rsid w:val="17311FB5"/>
    <w:rsid w:val="173A2B88"/>
    <w:rsid w:val="173B1D57"/>
    <w:rsid w:val="174165D4"/>
    <w:rsid w:val="174D1ACE"/>
    <w:rsid w:val="174D2BB7"/>
    <w:rsid w:val="17507550"/>
    <w:rsid w:val="175572AE"/>
    <w:rsid w:val="175F2C78"/>
    <w:rsid w:val="17650856"/>
    <w:rsid w:val="17666ABA"/>
    <w:rsid w:val="176679D9"/>
    <w:rsid w:val="176C739F"/>
    <w:rsid w:val="17706825"/>
    <w:rsid w:val="17727C12"/>
    <w:rsid w:val="177306C0"/>
    <w:rsid w:val="1773137D"/>
    <w:rsid w:val="177402CD"/>
    <w:rsid w:val="17900059"/>
    <w:rsid w:val="1792169D"/>
    <w:rsid w:val="17936B16"/>
    <w:rsid w:val="17942A08"/>
    <w:rsid w:val="17A15379"/>
    <w:rsid w:val="17AA6F37"/>
    <w:rsid w:val="17B54407"/>
    <w:rsid w:val="17BE3F2F"/>
    <w:rsid w:val="17C153F8"/>
    <w:rsid w:val="17C8124B"/>
    <w:rsid w:val="17CB6CCC"/>
    <w:rsid w:val="17D64E9F"/>
    <w:rsid w:val="17D65ACE"/>
    <w:rsid w:val="17D71CCC"/>
    <w:rsid w:val="17DA386E"/>
    <w:rsid w:val="17DB46D7"/>
    <w:rsid w:val="17DE549D"/>
    <w:rsid w:val="17E4584A"/>
    <w:rsid w:val="17E83A3E"/>
    <w:rsid w:val="17EC565A"/>
    <w:rsid w:val="17F27B4E"/>
    <w:rsid w:val="17F677A5"/>
    <w:rsid w:val="17F86A57"/>
    <w:rsid w:val="18024B1F"/>
    <w:rsid w:val="18033111"/>
    <w:rsid w:val="18051E5B"/>
    <w:rsid w:val="180530F2"/>
    <w:rsid w:val="18063286"/>
    <w:rsid w:val="18094533"/>
    <w:rsid w:val="180C61C0"/>
    <w:rsid w:val="180C6BE2"/>
    <w:rsid w:val="18111D04"/>
    <w:rsid w:val="1815568F"/>
    <w:rsid w:val="181B19DD"/>
    <w:rsid w:val="182B559C"/>
    <w:rsid w:val="182E0B13"/>
    <w:rsid w:val="18373264"/>
    <w:rsid w:val="1838651C"/>
    <w:rsid w:val="183F05FC"/>
    <w:rsid w:val="18450C4A"/>
    <w:rsid w:val="18467848"/>
    <w:rsid w:val="184912CA"/>
    <w:rsid w:val="184B08BB"/>
    <w:rsid w:val="185750EA"/>
    <w:rsid w:val="185B4950"/>
    <w:rsid w:val="185C36C6"/>
    <w:rsid w:val="18694B5A"/>
    <w:rsid w:val="186E483C"/>
    <w:rsid w:val="187919E5"/>
    <w:rsid w:val="18821D5B"/>
    <w:rsid w:val="188E16D1"/>
    <w:rsid w:val="189866C8"/>
    <w:rsid w:val="189B77E4"/>
    <w:rsid w:val="189D1A70"/>
    <w:rsid w:val="18A025A6"/>
    <w:rsid w:val="18A56A44"/>
    <w:rsid w:val="18AC5747"/>
    <w:rsid w:val="18B366BA"/>
    <w:rsid w:val="18BC78B1"/>
    <w:rsid w:val="18CC66C2"/>
    <w:rsid w:val="18CF71FB"/>
    <w:rsid w:val="18D07834"/>
    <w:rsid w:val="18D116FE"/>
    <w:rsid w:val="18D639A6"/>
    <w:rsid w:val="18D715DF"/>
    <w:rsid w:val="18D80E0C"/>
    <w:rsid w:val="18DC69FC"/>
    <w:rsid w:val="18DD5827"/>
    <w:rsid w:val="18E35B95"/>
    <w:rsid w:val="18EE53E8"/>
    <w:rsid w:val="18EE5688"/>
    <w:rsid w:val="18F63CD6"/>
    <w:rsid w:val="190441EE"/>
    <w:rsid w:val="190E38F9"/>
    <w:rsid w:val="190F41F9"/>
    <w:rsid w:val="191B288F"/>
    <w:rsid w:val="191C7019"/>
    <w:rsid w:val="192012A4"/>
    <w:rsid w:val="19202C98"/>
    <w:rsid w:val="192B5A5C"/>
    <w:rsid w:val="192C6583"/>
    <w:rsid w:val="192E4484"/>
    <w:rsid w:val="19375BA5"/>
    <w:rsid w:val="19375EE1"/>
    <w:rsid w:val="193D482F"/>
    <w:rsid w:val="193D4AFF"/>
    <w:rsid w:val="193E7C03"/>
    <w:rsid w:val="19404D95"/>
    <w:rsid w:val="1942682D"/>
    <w:rsid w:val="194C163A"/>
    <w:rsid w:val="195471B3"/>
    <w:rsid w:val="195474CD"/>
    <w:rsid w:val="195806CB"/>
    <w:rsid w:val="197057CC"/>
    <w:rsid w:val="19737CCE"/>
    <w:rsid w:val="19752E4B"/>
    <w:rsid w:val="19772223"/>
    <w:rsid w:val="197B7B7C"/>
    <w:rsid w:val="197D6E28"/>
    <w:rsid w:val="19844A9B"/>
    <w:rsid w:val="1990657C"/>
    <w:rsid w:val="199745EF"/>
    <w:rsid w:val="199D3D54"/>
    <w:rsid w:val="19A075E2"/>
    <w:rsid w:val="19A11AEE"/>
    <w:rsid w:val="19A7D414"/>
    <w:rsid w:val="19B70D5E"/>
    <w:rsid w:val="19B72DD3"/>
    <w:rsid w:val="19B948CF"/>
    <w:rsid w:val="19C46182"/>
    <w:rsid w:val="19CB0321"/>
    <w:rsid w:val="19D55E75"/>
    <w:rsid w:val="19E37E9D"/>
    <w:rsid w:val="19E54A71"/>
    <w:rsid w:val="19E85F21"/>
    <w:rsid w:val="19EB5E53"/>
    <w:rsid w:val="19EE6799"/>
    <w:rsid w:val="19FE3060"/>
    <w:rsid w:val="1A06689A"/>
    <w:rsid w:val="1A0A257F"/>
    <w:rsid w:val="1A134258"/>
    <w:rsid w:val="1A1D0C33"/>
    <w:rsid w:val="1A284609"/>
    <w:rsid w:val="1A294DBA"/>
    <w:rsid w:val="1A2B7385"/>
    <w:rsid w:val="1A314CB5"/>
    <w:rsid w:val="1A355A91"/>
    <w:rsid w:val="1A374A69"/>
    <w:rsid w:val="1A3B1E65"/>
    <w:rsid w:val="1A4477A6"/>
    <w:rsid w:val="1A460CFC"/>
    <w:rsid w:val="1A4A53F8"/>
    <w:rsid w:val="1A4B5030"/>
    <w:rsid w:val="1A4B7575"/>
    <w:rsid w:val="1A570268"/>
    <w:rsid w:val="1A5A1E0E"/>
    <w:rsid w:val="1A5B3B4F"/>
    <w:rsid w:val="1A6354FC"/>
    <w:rsid w:val="1A6F13B2"/>
    <w:rsid w:val="1A7205E2"/>
    <w:rsid w:val="1A744C89"/>
    <w:rsid w:val="1A7D3EEE"/>
    <w:rsid w:val="1A800065"/>
    <w:rsid w:val="1AB12ADE"/>
    <w:rsid w:val="1AB32649"/>
    <w:rsid w:val="1AB751ED"/>
    <w:rsid w:val="1ABA3FCF"/>
    <w:rsid w:val="1ABE565C"/>
    <w:rsid w:val="1AC3745A"/>
    <w:rsid w:val="1AC76DB7"/>
    <w:rsid w:val="1ACF15F0"/>
    <w:rsid w:val="1ADF05D8"/>
    <w:rsid w:val="1AE53CE6"/>
    <w:rsid w:val="1AE766BB"/>
    <w:rsid w:val="1AF67B11"/>
    <w:rsid w:val="1AF81597"/>
    <w:rsid w:val="1AFB3B1D"/>
    <w:rsid w:val="1B063197"/>
    <w:rsid w:val="1B1C713C"/>
    <w:rsid w:val="1B234BBC"/>
    <w:rsid w:val="1B2B1EB2"/>
    <w:rsid w:val="1B2C3D51"/>
    <w:rsid w:val="1B2F50C2"/>
    <w:rsid w:val="1B3149F4"/>
    <w:rsid w:val="1B3D3FEB"/>
    <w:rsid w:val="1B464903"/>
    <w:rsid w:val="1B4E42E5"/>
    <w:rsid w:val="1B5570F1"/>
    <w:rsid w:val="1B583834"/>
    <w:rsid w:val="1B6024D8"/>
    <w:rsid w:val="1B673689"/>
    <w:rsid w:val="1B6B332E"/>
    <w:rsid w:val="1B712BCB"/>
    <w:rsid w:val="1B7D7F7E"/>
    <w:rsid w:val="1B8A0697"/>
    <w:rsid w:val="1B8E6909"/>
    <w:rsid w:val="1B94317F"/>
    <w:rsid w:val="1B9B7DAD"/>
    <w:rsid w:val="1BAF6B07"/>
    <w:rsid w:val="1BB27D1F"/>
    <w:rsid w:val="1BB620F2"/>
    <w:rsid w:val="1BC758B1"/>
    <w:rsid w:val="1BCD5EF7"/>
    <w:rsid w:val="1BD78B81"/>
    <w:rsid w:val="1BD92698"/>
    <w:rsid w:val="1BDB0C1F"/>
    <w:rsid w:val="1BE021FE"/>
    <w:rsid w:val="1BE201DC"/>
    <w:rsid w:val="1BE21012"/>
    <w:rsid w:val="1BF41E6F"/>
    <w:rsid w:val="1BF71DDC"/>
    <w:rsid w:val="1BF9747E"/>
    <w:rsid w:val="1BFB298B"/>
    <w:rsid w:val="1C0B24A9"/>
    <w:rsid w:val="1C0C0347"/>
    <w:rsid w:val="1C0F5F97"/>
    <w:rsid w:val="1C142509"/>
    <w:rsid w:val="1C143503"/>
    <w:rsid w:val="1C1801C8"/>
    <w:rsid w:val="1C1E5DB8"/>
    <w:rsid w:val="1C2A590B"/>
    <w:rsid w:val="1C2E5379"/>
    <w:rsid w:val="1C2E5D15"/>
    <w:rsid w:val="1C321217"/>
    <w:rsid w:val="1C3331D7"/>
    <w:rsid w:val="1C377621"/>
    <w:rsid w:val="1C3E4C49"/>
    <w:rsid w:val="1C401B0E"/>
    <w:rsid w:val="1C4A3A7D"/>
    <w:rsid w:val="1C4C514E"/>
    <w:rsid w:val="1C520282"/>
    <w:rsid w:val="1C536581"/>
    <w:rsid w:val="1C536B8E"/>
    <w:rsid w:val="1C552F85"/>
    <w:rsid w:val="1C563FEC"/>
    <w:rsid w:val="1C5D7C56"/>
    <w:rsid w:val="1C6214D0"/>
    <w:rsid w:val="1C680C98"/>
    <w:rsid w:val="1C6A5299"/>
    <w:rsid w:val="1C6E7A8A"/>
    <w:rsid w:val="1C7907B6"/>
    <w:rsid w:val="1C794BEA"/>
    <w:rsid w:val="1C7C35A1"/>
    <w:rsid w:val="1C8A1A4A"/>
    <w:rsid w:val="1C8E12E9"/>
    <w:rsid w:val="1C8E4416"/>
    <w:rsid w:val="1C9524A3"/>
    <w:rsid w:val="1C961967"/>
    <w:rsid w:val="1C9F4F84"/>
    <w:rsid w:val="1CA050C7"/>
    <w:rsid w:val="1CA149F8"/>
    <w:rsid w:val="1CA87481"/>
    <w:rsid w:val="1CA935F0"/>
    <w:rsid w:val="1CAF2650"/>
    <w:rsid w:val="1CB347CE"/>
    <w:rsid w:val="1CB510E5"/>
    <w:rsid w:val="1CC32F99"/>
    <w:rsid w:val="1CCF0BDA"/>
    <w:rsid w:val="1CD059AB"/>
    <w:rsid w:val="1CED1637"/>
    <w:rsid w:val="1CED28C8"/>
    <w:rsid w:val="1CF10A80"/>
    <w:rsid w:val="1CF26750"/>
    <w:rsid w:val="1CFA292B"/>
    <w:rsid w:val="1CFD4920"/>
    <w:rsid w:val="1D0F51CD"/>
    <w:rsid w:val="1D1B0A52"/>
    <w:rsid w:val="1D2A40AA"/>
    <w:rsid w:val="1D3620B7"/>
    <w:rsid w:val="1D366BBE"/>
    <w:rsid w:val="1D385BC9"/>
    <w:rsid w:val="1D392AE2"/>
    <w:rsid w:val="1D3D4DF5"/>
    <w:rsid w:val="1D451CB8"/>
    <w:rsid w:val="1D45628A"/>
    <w:rsid w:val="1D4566AC"/>
    <w:rsid w:val="1D4D5CD3"/>
    <w:rsid w:val="1D5E69ED"/>
    <w:rsid w:val="1D6562FC"/>
    <w:rsid w:val="1D682B0D"/>
    <w:rsid w:val="1D7928ED"/>
    <w:rsid w:val="1D803051"/>
    <w:rsid w:val="1D823C9D"/>
    <w:rsid w:val="1D8A7A8D"/>
    <w:rsid w:val="1D8C40F7"/>
    <w:rsid w:val="1D9204A2"/>
    <w:rsid w:val="1D9C0AD3"/>
    <w:rsid w:val="1D9D63B8"/>
    <w:rsid w:val="1DA526DD"/>
    <w:rsid w:val="1DA70E19"/>
    <w:rsid w:val="1DB67DFE"/>
    <w:rsid w:val="1DBA2DC9"/>
    <w:rsid w:val="1DC16EE0"/>
    <w:rsid w:val="1DC4692D"/>
    <w:rsid w:val="1DD22AC3"/>
    <w:rsid w:val="1DDF7D5F"/>
    <w:rsid w:val="1DE33372"/>
    <w:rsid w:val="1DE61E31"/>
    <w:rsid w:val="1DE66D2F"/>
    <w:rsid w:val="1DEC5B7C"/>
    <w:rsid w:val="1DEF8350"/>
    <w:rsid w:val="1DF97A36"/>
    <w:rsid w:val="1DFE4712"/>
    <w:rsid w:val="1E021F9C"/>
    <w:rsid w:val="1E053D4B"/>
    <w:rsid w:val="1E087E4C"/>
    <w:rsid w:val="1E0E02BD"/>
    <w:rsid w:val="1E120C50"/>
    <w:rsid w:val="1E1225E9"/>
    <w:rsid w:val="1E123BD9"/>
    <w:rsid w:val="1E1669ED"/>
    <w:rsid w:val="1E173844"/>
    <w:rsid w:val="1E2B1048"/>
    <w:rsid w:val="1E2C15F9"/>
    <w:rsid w:val="1E313B74"/>
    <w:rsid w:val="1E4139B5"/>
    <w:rsid w:val="1E42673B"/>
    <w:rsid w:val="1E4A1A2C"/>
    <w:rsid w:val="1E4B0325"/>
    <w:rsid w:val="1E4D6E81"/>
    <w:rsid w:val="1E4E58F0"/>
    <w:rsid w:val="1E5035B2"/>
    <w:rsid w:val="1E6216FA"/>
    <w:rsid w:val="1E661E7D"/>
    <w:rsid w:val="1E66674C"/>
    <w:rsid w:val="1E6E11AA"/>
    <w:rsid w:val="1E716979"/>
    <w:rsid w:val="1E777D21"/>
    <w:rsid w:val="1E7B3462"/>
    <w:rsid w:val="1E7E5F4C"/>
    <w:rsid w:val="1E7E7D92"/>
    <w:rsid w:val="1E8247B4"/>
    <w:rsid w:val="1E824BE2"/>
    <w:rsid w:val="1E840EC6"/>
    <w:rsid w:val="1E8431B7"/>
    <w:rsid w:val="1E856771"/>
    <w:rsid w:val="1E8578BB"/>
    <w:rsid w:val="1E910058"/>
    <w:rsid w:val="1EA16FCA"/>
    <w:rsid w:val="1EA1746D"/>
    <w:rsid w:val="1EA4684E"/>
    <w:rsid w:val="1EA47B74"/>
    <w:rsid w:val="1EA62830"/>
    <w:rsid w:val="1EA70B70"/>
    <w:rsid w:val="1EA905CE"/>
    <w:rsid w:val="1EAE588C"/>
    <w:rsid w:val="1EBA5AB0"/>
    <w:rsid w:val="1EBD3DF2"/>
    <w:rsid w:val="1EC313AC"/>
    <w:rsid w:val="1EC8783E"/>
    <w:rsid w:val="1ED60A01"/>
    <w:rsid w:val="1EDF26DA"/>
    <w:rsid w:val="1EE57CE2"/>
    <w:rsid w:val="1EE85BA5"/>
    <w:rsid w:val="1EEC5348"/>
    <w:rsid w:val="1EF56A2B"/>
    <w:rsid w:val="1EFA7533"/>
    <w:rsid w:val="1F005C24"/>
    <w:rsid w:val="1F0E32FE"/>
    <w:rsid w:val="1F167F3A"/>
    <w:rsid w:val="1F215B3B"/>
    <w:rsid w:val="1F2B074E"/>
    <w:rsid w:val="1F3333A5"/>
    <w:rsid w:val="1F354BD6"/>
    <w:rsid w:val="1F356A1F"/>
    <w:rsid w:val="1F3F5AEF"/>
    <w:rsid w:val="1F41372E"/>
    <w:rsid w:val="1F66218C"/>
    <w:rsid w:val="1F714148"/>
    <w:rsid w:val="1F7A0F45"/>
    <w:rsid w:val="1F7F2A2D"/>
    <w:rsid w:val="1F857D46"/>
    <w:rsid w:val="1FA051BE"/>
    <w:rsid w:val="1FA17D50"/>
    <w:rsid w:val="1FAF5E9B"/>
    <w:rsid w:val="1FB54BBC"/>
    <w:rsid w:val="1FB66C63"/>
    <w:rsid w:val="1FB7492E"/>
    <w:rsid w:val="1FB81F98"/>
    <w:rsid w:val="1FBE4BE5"/>
    <w:rsid w:val="1FC07BA9"/>
    <w:rsid w:val="1FC16288"/>
    <w:rsid w:val="1FC36FDA"/>
    <w:rsid w:val="1FCB520B"/>
    <w:rsid w:val="1FCE207B"/>
    <w:rsid w:val="1FDA408F"/>
    <w:rsid w:val="1FDE0E64"/>
    <w:rsid w:val="1FDE3941"/>
    <w:rsid w:val="1FE12DB4"/>
    <w:rsid w:val="1FE9600F"/>
    <w:rsid w:val="1FF01974"/>
    <w:rsid w:val="1FFC7FE2"/>
    <w:rsid w:val="200C3CA8"/>
    <w:rsid w:val="200C6A0B"/>
    <w:rsid w:val="20113099"/>
    <w:rsid w:val="20132541"/>
    <w:rsid w:val="20135615"/>
    <w:rsid w:val="20184F85"/>
    <w:rsid w:val="201B2CC1"/>
    <w:rsid w:val="202479BC"/>
    <w:rsid w:val="20366424"/>
    <w:rsid w:val="20497DFC"/>
    <w:rsid w:val="204E1552"/>
    <w:rsid w:val="20505E00"/>
    <w:rsid w:val="20550E22"/>
    <w:rsid w:val="20651F92"/>
    <w:rsid w:val="2068569A"/>
    <w:rsid w:val="20762E1A"/>
    <w:rsid w:val="20764966"/>
    <w:rsid w:val="20791B85"/>
    <w:rsid w:val="207C7ED5"/>
    <w:rsid w:val="207E61A3"/>
    <w:rsid w:val="20807E5E"/>
    <w:rsid w:val="20920EFC"/>
    <w:rsid w:val="20956421"/>
    <w:rsid w:val="2099114D"/>
    <w:rsid w:val="20996958"/>
    <w:rsid w:val="209E224E"/>
    <w:rsid w:val="209E2407"/>
    <w:rsid w:val="20AE6DC3"/>
    <w:rsid w:val="20C9027D"/>
    <w:rsid w:val="20D54C0A"/>
    <w:rsid w:val="20D610F0"/>
    <w:rsid w:val="20DE6281"/>
    <w:rsid w:val="20E0296F"/>
    <w:rsid w:val="20EF49FC"/>
    <w:rsid w:val="20F042E4"/>
    <w:rsid w:val="20F3499F"/>
    <w:rsid w:val="20F50ED2"/>
    <w:rsid w:val="20F51723"/>
    <w:rsid w:val="20F85396"/>
    <w:rsid w:val="20FA1315"/>
    <w:rsid w:val="210833BC"/>
    <w:rsid w:val="2116556C"/>
    <w:rsid w:val="2121611E"/>
    <w:rsid w:val="21257142"/>
    <w:rsid w:val="212B6E8C"/>
    <w:rsid w:val="212C689A"/>
    <w:rsid w:val="21472A39"/>
    <w:rsid w:val="215B64E7"/>
    <w:rsid w:val="215C24AB"/>
    <w:rsid w:val="21616069"/>
    <w:rsid w:val="21731052"/>
    <w:rsid w:val="21731BBB"/>
    <w:rsid w:val="217D10D8"/>
    <w:rsid w:val="217D5564"/>
    <w:rsid w:val="217E6631"/>
    <w:rsid w:val="218A4418"/>
    <w:rsid w:val="218B2486"/>
    <w:rsid w:val="218F77A1"/>
    <w:rsid w:val="2199252C"/>
    <w:rsid w:val="21A340FA"/>
    <w:rsid w:val="21A7130F"/>
    <w:rsid w:val="21A73693"/>
    <w:rsid w:val="21AA3612"/>
    <w:rsid w:val="21AC4E84"/>
    <w:rsid w:val="21BB0D62"/>
    <w:rsid w:val="21BC03D8"/>
    <w:rsid w:val="21BC6F83"/>
    <w:rsid w:val="21C63C19"/>
    <w:rsid w:val="21D11982"/>
    <w:rsid w:val="21D803E3"/>
    <w:rsid w:val="21F229A5"/>
    <w:rsid w:val="21F41C65"/>
    <w:rsid w:val="22110036"/>
    <w:rsid w:val="22146F9D"/>
    <w:rsid w:val="22234E5E"/>
    <w:rsid w:val="222D5091"/>
    <w:rsid w:val="22315169"/>
    <w:rsid w:val="22357B7E"/>
    <w:rsid w:val="22375BE8"/>
    <w:rsid w:val="22383919"/>
    <w:rsid w:val="224D53AF"/>
    <w:rsid w:val="224E72A9"/>
    <w:rsid w:val="225270DD"/>
    <w:rsid w:val="225702DE"/>
    <w:rsid w:val="22574EFE"/>
    <w:rsid w:val="225E3E9C"/>
    <w:rsid w:val="22623FCE"/>
    <w:rsid w:val="226D15ED"/>
    <w:rsid w:val="226D7147"/>
    <w:rsid w:val="226E04FE"/>
    <w:rsid w:val="22784317"/>
    <w:rsid w:val="22791157"/>
    <w:rsid w:val="228663E2"/>
    <w:rsid w:val="22911A14"/>
    <w:rsid w:val="22956F47"/>
    <w:rsid w:val="22967CCE"/>
    <w:rsid w:val="2299036A"/>
    <w:rsid w:val="229B4B63"/>
    <w:rsid w:val="229B6808"/>
    <w:rsid w:val="229D50CF"/>
    <w:rsid w:val="229E2456"/>
    <w:rsid w:val="22A35AF0"/>
    <w:rsid w:val="22A46A8C"/>
    <w:rsid w:val="22AA43AD"/>
    <w:rsid w:val="22AB2BFE"/>
    <w:rsid w:val="22AC32B8"/>
    <w:rsid w:val="22B04669"/>
    <w:rsid w:val="22B11AB3"/>
    <w:rsid w:val="22B14311"/>
    <w:rsid w:val="22B24CB3"/>
    <w:rsid w:val="22B86157"/>
    <w:rsid w:val="22C105BF"/>
    <w:rsid w:val="22C35CB0"/>
    <w:rsid w:val="22C4517A"/>
    <w:rsid w:val="22CE667F"/>
    <w:rsid w:val="22CF03B5"/>
    <w:rsid w:val="22D7688F"/>
    <w:rsid w:val="22D8346B"/>
    <w:rsid w:val="22EA4A92"/>
    <w:rsid w:val="22EA4B97"/>
    <w:rsid w:val="22F2223E"/>
    <w:rsid w:val="22FB1BD9"/>
    <w:rsid w:val="22FC5348"/>
    <w:rsid w:val="23072FEC"/>
    <w:rsid w:val="230911CD"/>
    <w:rsid w:val="230F7863"/>
    <w:rsid w:val="2316687D"/>
    <w:rsid w:val="23196FE1"/>
    <w:rsid w:val="231B461B"/>
    <w:rsid w:val="232570D0"/>
    <w:rsid w:val="233843F2"/>
    <w:rsid w:val="2343127F"/>
    <w:rsid w:val="2346087E"/>
    <w:rsid w:val="235054BA"/>
    <w:rsid w:val="23606484"/>
    <w:rsid w:val="23673734"/>
    <w:rsid w:val="23743DED"/>
    <w:rsid w:val="23766CCB"/>
    <w:rsid w:val="237D05D8"/>
    <w:rsid w:val="237F3077"/>
    <w:rsid w:val="23823A1C"/>
    <w:rsid w:val="23830761"/>
    <w:rsid w:val="23896D85"/>
    <w:rsid w:val="23976824"/>
    <w:rsid w:val="23996E61"/>
    <w:rsid w:val="239B3BD7"/>
    <w:rsid w:val="239F2DFC"/>
    <w:rsid w:val="23A97F75"/>
    <w:rsid w:val="23AA6FCA"/>
    <w:rsid w:val="23AB7A8D"/>
    <w:rsid w:val="23BD18B6"/>
    <w:rsid w:val="23BD6B9B"/>
    <w:rsid w:val="23BE130C"/>
    <w:rsid w:val="23C56DC7"/>
    <w:rsid w:val="23C96942"/>
    <w:rsid w:val="23D1426C"/>
    <w:rsid w:val="23DD1433"/>
    <w:rsid w:val="23DE7685"/>
    <w:rsid w:val="23DF4092"/>
    <w:rsid w:val="23E065A0"/>
    <w:rsid w:val="23F24872"/>
    <w:rsid w:val="23FC2E0F"/>
    <w:rsid w:val="23FC3F11"/>
    <w:rsid w:val="2412732E"/>
    <w:rsid w:val="24144621"/>
    <w:rsid w:val="241915FB"/>
    <w:rsid w:val="241D40AB"/>
    <w:rsid w:val="24235F82"/>
    <w:rsid w:val="242C1A78"/>
    <w:rsid w:val="243078E4"/>
    <w:rsid w:val="24355FA5"/>
    <w:rsid w:val="243A07DA"/>
    <w:rsid w:val="24450038"/>
    <w:rsid w:val="24554DA8"/>
    <w:rsid w:val="245B56E9"/>
    <w:rsid w:val="246A064C"/>
    <w:rsid w:val="246E313C"/>
    <w:rsid w:val="24725644"/>
    <w:rsid w:val="24741394"/>
    <w:rsid w:val="24766009"/>
    <w:rsid w:val="24772BDD"/>
    <w:rsid w:val="24795982"/>
    <w:rsid w:val="24817106"/>
    <w:rsid w:val="248F27E4"/>
    <w:rsid w:val="248F5637"/>
    <w:rsid w:val="24964B4E"/>
    <w:rsid w:val="24A532FA"/>
    <w:rsid w:val="24AC25F6"/>
    <w:rsid w:val="24B152F0"/>
    <w:rsid w:val="24BA79B5"/>
    <w:rsid w:val="24BD02E2"/>
    <w:rsid w:val="24BE4249"/>
    <w:rsid w:val="24D23497"/>
    <w:rsid w:val="24D80BA1"/>
    <w:rsid w:val="24EA2278"/>
    <w:rsid w:val="24EB24A9"/>
    <w:rsid w:val="24EC3E21"/>
    <w:rsid w:val="24FC34F7"/>
    <w:rsid w:val="24FD35DE"/>
    <w:rsid w:val="25030223"/>
    <w:rsid w:val="250B7003"/>
    <w:rsid w:val="250D1541"/>
    <w:rsid w:val="250D7D6F"/>
    <w:rsid w:val="250F4247"/>
    <w:rsid w:val="251848E6"/>
    <w:rsid w:val="251B41B8"/>
    <w:rsid w:val="251D2F65"/>
    <w:rsid w:val="252A1229"/>
    <w:rsid w:val="25382DC5"/>
    <w:rsid w:val="25395EEE"/>
    <w:rsid w:val="253C3D47"/>
    <w:rsid w:val="253D7BBA"/>
    <w:rsid w:val="253E1FD9"/>
    <w:rsid w:val="25424513"/>
    <w:rsid w:val="2546258C"/>
    <w:rsid w:val="25746C1E"/>
    <w:rsid w:val="25757B83"/>
    <w:rsid w:val="25807914"/>
    <w:rsid w:val="25811B88"/>
    <w:rsid w:val="258C569C"/>
    <w:rsid w:val="258D77D3"/>
    <w:rsid w:val="25940241"/>
    <w:rsid w:val="25A43EA2"/>
    <w:rsid w:val="25A82C9B"/>
    <w:rsid w:val="25B360AA"/>
    <w:rsid w:val="25BA391A"/>
    <w:rsid w:val="25BA4F2C"/>
    <w:rsid w:val="25C0574A"/>
    <w:rsid w:val="25CA6992"/>
    <w:rsid w:val="25CC7DC7"/>
    <w:rsid w:val="25CD2392"/>
    <w:rsid w:val="25D874B4"/>
    <w:rsid w:val="25DC0F96"/>
    <w:rsid w:val="25E75B2C"/>
    <w:rsid w:val="25E83A81"/>
    <w:rsid w:val="25F05004"/>
    <w:rsid w:val="25FC75E4"/>
    <w:rsid w:val="26006F63"/>
    <w:rsid w:val="26013AFE"/>
    <w:rsid w:val="26037864"/>
    <w:rsid w:val="26082078"/>
    <w:rsid w:val="2617122B"/>
    <w:rsid w:val="261A11B3"/>
    <w:rsid w:val="261C387E"/>
    <w:rsid w:val="262335E7"/>
    <w:rsid w:val="26261BCE"/>
    <w:rsid w:val="26316BD9"/>
    <w:rsid w:val="263671BF"/>
    <w:rsid w:val="26372AF3"/>
    <w:rsid w:val="263A39AE"/>
    <w:rsid w:val="263B3731"/>
    <w:rsid w:val="263E2DAB"/>
    <w:rsid w:val="264172FA"/>
    <w:rsid w:val="264A21B1"/>
    <w:rsid w:val="264F0E72"/>
    <w:rsid w:val="264F34D4"/>
    <w:rsid w:val="26517B62"/>
    <w:rsid w:val="265620E9"/>
    <w:rsid w:val="26586B05"/>
    <w:rsid w:val="266157CD"/>
    <w:rsid w:val="266E6662"/>
    <w:rsid w:val="266F2AA7"/>
    <w:rsid w:val="267267AA"/>
    <w:rsid w:val="26756304"/>
    <w:rsid w:val="267D06EA"/>
    <w:rsid w:val="268C3031"/>
    <w:rsid w:val="268E77B7"/>
    <w:rsid w:val="26995AE5"/>
    <w:rsid w:val="269C0DFE"/>
    <w:rsid w:val="26A00969"/>
    <w:rsid w:val="26A20668"/>
    <w:rsid w:val="26A72367"/>
    <w:rsid w:val="26A97890"/>
    <w:rsid w:val="26AE3224"/>
    <w:rsid w:val="26AF7EFC"/>
    <w:rsid w:val="26B16466"/>
    <w:rsid w:val="26C80A83"/>
    <w:rsid w:val="26CD5384"/>
    <w:rsid w:val="26E13B26"/>
    <w:rsid w:val="26EBF54F"/>
    <w:rsid w:val="26F07319"/>
    <w:rsid w:val="26F12E37"/>
    <w:rsid w:val="26F96B85"/>
    <w:rsid w:val="26FC28C0"/>
    <w:rsid w:val="26FC5653"/>
    <w:rsid w:val="26FF3A78"/>
    <w:rsid w:val="27060755"/>
    <w:rsid w:val="270B1AE2"/>
    <w:rsid w:val="270B3641"/>
    <w:rsid w:val="270F1E2C"/>
    <w:rsid w:val="271034FB"/>
    <w:rsid w:val="27185F65"/>
    <w:rsid w:val="27217385"/>
    <w:rsid w:val="272D3D85"/>
    <w:rsid w:val="272E1C75"/>
    <w:rsid w:val="272E26D1"/>
    <w:rsid w:val="27313154"/>
    <w:rsid w:val="27350B5F"/>
    <w:rsid w:val="27374AB7"/>
    <w:rsid w:val="27380E1F"/>
    <w:rsid w:val="273C37D6"/>
    <w:rsid w:val="274004AF"/>
    <w:rsid w:val="27436A69"/>
    <w:rsid w:val="275277EA"/>
    <w:rsid w:val="2753054A"/>
    <w:rsid w:val="275B344F"/>
    <w:rsid w:val="27617876"/>
    <w:rsid w:val="27664B84"/>
    <w:rsid w:val="2773378B"/>
    <w:rsid w:val="277573E1"/>
    <w:rsid w:val="2777482A"/>
    <w:rsid w:val="27805FA9"/>
    <w:rsid w:val="27831932"/>
    <w:rsid w:val="27937331"/>
    <w:rsid w:val="27A110F5"/>
    <w:rsid w:val="27A14D6B"/>
    <w:rsid w:val="27A511AA"/>
    <w:rsid w:val="27A81CB2"/>
    <w:rsid w:val="27B100EC"/>
    <w:rsid w:val="27B54634"/>
    <w:rsid w:val="27B75868"/>
    <w:rsid w:val="27B95C76"/>
    <w:rsid w:val="27BE238E"/>
    <w:rsid w:val="27C12F22"/>
    <w:rsid w:val="27C32F1B"/>
    <w:rsid w:val="27C4028C"/>
    <w:rsid w:val="27C56F51"/>
    <w:rsid w:val="27C8414C"/>
    <w:rsid w:val="27CA3E27"/>
    <w:rsid w:val="27CB040D"/>
    <w:rsid w:val="27CB7B75"/>
    <w:rsid w:val="27CE17BE"/>
    <w:rsid w:val="27D964E3"/>
    <w:rsid w:val="27DB66F7"/>
    <w:rsid w:val="27DF72E6"/>
    <w:rsid w:val="27E54E49"/>
    <w:rsid w:val="27E85C53"/>
    <w:rsid w:val="27EB417C"/>
    <w:rsid w:val="27EB68CF"/>
    <w:rsid w:val="27EF307C"/>
    <w:rsid w:val="27F1328F"/>
    <w:rsid w:val="27F701A4"/>
    <w:rsid w:val="27FA516F"/>
    <w:rsid w:val="28061EDF"/>
    <w:rsid w:val="280900AB"/>
    <w:rsid w:val="280A7A5B"/>
    <w:rsid w:val="280C4323"/>
    <w:rsid w:val="280F0817"/>
    <w:rsid w:val="282B431F"/>
    <w:rsid w:val="28405395"/>
    <w:rsid w:val="28427725"/>
    <w:rsid w:val="28460142"/>
    <w:rsid w:val="284900CE"/>
    <w:rsid w:val="284A5064"/>
    <w:rsid w:val="285C450B"/>
    <w:rsid w:val="285F2C52"/>
    <w:rsid w:val="28632D73"/>
    <w:rsid w:val="28662855"/>
    <w:rsid w:val="286C0503"/>
    <w:rsid w:val="28701632"/>
    <w:rsid w:val="287154EF"/>
    <w:rsid w:val="2874680A"/>
    <w:rsid w:val="287A2F65"/>
    <w:rsid w:val="28887BBF"/>
    <w:rsid w:val="288E4215"/>
    <w:rsid w:val="289206C8"/>
    <w:rsid w:val="28957B1E"/>
    <w:rsid w:val="289A25AC"/>
    <w:rsid w:val="28A90666"/>
    <w:rsid w:val="28A92243"/>
    <w:rsid w:val="28AD2493"/>
    <w:rsid w:val="28B754AA"/>
    <w:rsid w:val="28BC3C1A"/>
    <w:rsid w:val="28BE2A1E"/>
    <w:rsid w:val="28C0472F"/>
    <w:rsid w:val="28D64144"/>
    <w:rsid w:val="28DB7F1C"/>
    <w:rsid w:val="28E6484A"/>
    <w:rsid w:val="28E65111"/>
    <w:rsid w:val="28EB5693"/>
    <w:rsid w:val="28F072FF"/>
    <w:rsid w:val="28F07EB0"/>
    <w:rsid w:val="28F604CE"/>
    <w:rsid w:val="29276BE3"/>
    <w:rsid w:val="292E0EDE"/>
    <w:rsid w:val="293C5302"/>
    <w:rsid w:val="293E607D"/>
    <w:rsid w:val="29611759"/>
    <w:rsid w:val="296324BC"/>
    <w:rsid w:val="296C7908"/>
    <w:rsid w:val="297723A6"/>
    <w:rsid w:val="297A2A0D"/>
    <w:rsid w:val="297C4296"/>
    <w:rsid w:val="297E7EBB"/>
    <w:rsid w:val="298C634A"/>
    <w:rsid w:val="298C71AF"/>
    <w:rsid w:val="299B6018"/>
    <w:rsid w:val="299C3992"/>
    <w:rsid w:val="29B0334D"/>
    <w:rsid w:val="29B04DF9"/>
    <w:rsid w:val="29B47AA5"/>
    <w:rsid w:val="29BD126C"/>
    <w:rsid w:val="29C600B4"/>
    <w:rsid w:val="29CB7CAE"/>
    <w:rsid w:val="29CE469C"/>
    <w:rsid w:val="29D377BD"/>
    <w:rsid w:val="29D74976"/>
    <w:rsid w:val="29D924B0"/>
    <w:rsid w:val="29D92F28"/>
    <w:rsid w:val="29DF2DA0"/>
    <w:rsid w:val="29E21551"/>
    <w:rsid w:val="29E65E6B"/>
    <w:rsid w:val="29F62F2D"/>
    <w:rsid w:val="29F7259E"/>
    <w:rsid w:val="29F77E71"/>
    <w:rsid w:val="2A0C2B95"/>
    <w:rsid w:val="2A110088"/>
    <w:rsid w:val="2A11491D"/>
    <w:rsid w:val="2A16701D"/>
    <w:rsid w:val="2A1A66DA"/>
    <w:rsid w:val="2A1B50E4"/>
    <w:rsid w:val="2A205D78"/>
    <w:rsid w:val="2A235B91"/>
    <w:rsid w:val="2A245BA4"/>
    <w:rsid w:val="2A295535"/>
    <w:rsid w:val="2A323FA6"/>
    <w:rsid w:val="2A3C4CC8"/>
    <w:rsid w:val="2A474A91"/>
    <w:rsid w:val="2A4A6D53"/>
    <w:rsid w:val="2A4F147E"/>
    <w:rsid w:val="2A5B447A"/>
    <w:rsid w:val="2A5E357F"/>
    <w:rsid w:val="2A6C5347"/>
    <w:rsid w:val="2A6E0D5C"/>
    <w:rsid w:val="2A7D02E0"/>
    <w:rsid w:val="2A9A5C5D"/>
    <w:rsid w:val="2AA24474"/>
    <w:rsid w:val="2AB76669"/>
    <w:rsid w:val="2ABA36F4"/>
    <w:rsid w:val="2AC60DDB"/>
    <w:rsid w:val="2AC73D03"/>
    <w:rsid w:val="2ACB1C49"/>
    <w:rsid w:val="2AD45FA3"/>
    <w:rsid w:val="2AD843B9"/>
    <w:rsid w:val="2AD94DFE"/>
    <w:rsid w:val="2ADF2362"/>
    <w:rsid w:val="2AEA20D1"/>
    <w:rsid w:val="2B0956B6"/>
    <w:rsid w:val="2B220512"/>
    <w:rsid w:val="2B2366D9"/>
    <w:rsid w:val="2B247F12"/>
    <w:rsid w:val="2B257FCF"/>
    <w:rsid w:val="2B3D48EF"/>
    <w:rsid w:val="2B42546C"/>
    <w:rsid w:val="2B500945"/>
    <w:rsid w:val="2B527862"/>
    <w:rsid w:val="2B703B77"/>
    <w:rsid w:val="2B73387E"/>
    <w:rsid w:val="2B743B0D"/>
    <w:rsid w:val="2B76103F"/>
    <w:rsid w:val="2B801731"/>
    <w:rsid w:val="2B8505A9"/>
    <w:rsid w:val="2B887AF7"/>
    <w:rsid w:val="2B917086"/>
    <w:rsid w:val="2B9E5842"/>
    <w:rsid w:val="2BA426B9"/>
    <w:rsid w:val="2BAF0CA1"/>
    <w:rsid w:val="2BAF69FC"/>
    <w:rsid w:val="2BC642A3"/>
    <w:rsid w:val="2BC92F3E"/>
    <w:rsid w:val="2BCB5046"/>
    <w:rsid w:val="2BE56DDB"/>
    <w:rsid w:val="2BEA7AE9"/>
    <w:rsid w:val="2BEC25D3"/>
    <w:rsid w:val="2BEE455D"/>
    <w:rsid w:val="2BEE5138"/>
    <w:rsid w:val="2BEE58B9"/>
    <w:rsid w:val="2BF1495E"/>
    <w:rsid w:val="2C0279E4"/>
    <w:rsid w:val="2C074ED7"/>
    <w:rsid w:val="2C0803DA"/>
    <w:rsid w:val="2C0B60BD"/>
    <w:rsid w:val="2C0F54AA"/>
    <w:rsid w:val="2C1A0C9F"/>
    <w:rsid w:val="2C2426D4"/>
    <w:rsid w:val="2C3718D6"/>
    <w:rsid w:val="2C375244"/>
    <w:rsid w:val="2C385FA4"/>
    <w:rsid w:val="2C390B3C"/>
    <w:rsid w:val="2C3A25F7"/>
    <w:rsid w:val="2C3B13EC"/>
    <w:rsid w:val="2C40247A"/>
    <w:rsid w:val="2C4209CD"/>
    <w:rsid w:val="2C4242D7"/>
    <w:rsid w:val="2C565F11"/>
    <w:rsid w:val="2C581A01"/>
    <w:rsid w:val="2C610331"/>
    <w:rsid w:val="2C704E63"/>
    <w:rsid w:val="2C706F5A"/>
    <w:rsid w:val="2C7248A5"/>
    <w:rsid w:val="2C740BE1"/>
    <w:rsid w:val="2C742F10"/>
    <w:rsid w:val="2C764C40"/>
    <w:rsid w:val="2C76651B"/>
    <w:rsid w:val="2C7E1033"/>
    <w:rsid w:val="2C7F1CF4"/>
    <w:rsid w:val="2C826FB4"/>
    <w:rsid w:val="2C8C3ABC"/>
    <w:rsid w:val="2C923702"/>
    <w:rsid w:val="2C932006"/>
    <w:rsid w:val="2C9B4766"/>
    <w:rsid w:val="2CB66EA4"/>
    <w:rsid w:val="2CC85E32"/>
    <w:rsid w:val="2CCE2260"/>
    <w:rsid w:val="2CCF245C"/>
    <w:rsid w:val="2CD51841"/>
    <w:rsid w:val="2CD93B37"/>
    <w:rsid w:val="2CDC00A2"/>
    <w:rsid w:val="2CE8558A"/>
    <w:rsid w:val="2CEF5413"/>
    <w:rsid w:val="2CEF6BA4"/>
    <w:rsid w:val="2CF00429"/>
    <w:rsid w:val="2CF21DAB"/>
    <w:rsid w:val="2D0470D5"/>
    <w:rsid w:val="2D05377A"/>
    <w:rsid w:val="2D0548E9"/>
    <w:rsid w:val="2D0C2694"/>
    <w:rsid w:val="2D0F62D4"/>
    <w:rsid w:val="2D2A3CB0"/>
    <w:rsid w:val="2D346567"/>
    <w:rsid w:val="2D3D7589"/>
    <w:rsid w:val="2D4746C1"/>
    <w:rsid w:val="2D4D531C"/>
    <w:rsid w:val="2D4D5B87"/>
    <w:rsid w:val="2D511B82"/>
    <w:rsid w:val="2D536546"/>
    <w:rsid w:val="2D6B5DDD"/>
    <w:rsid w:val="2D6E57DB"/>
    <w:rsid w:val="2D703D36"/>
    <w:rsid w:val="2D7439E9"/>
    <w:rsid w:val="2D793319"/>
    <w:rsid w:val="2D7A6DCE"/>
    <w:rsid w:val="2D7C32FF"/>
    <w:rsid w:val="2D7F112F"/>
    <w:rsid w:val="2D91621B"/>
    <w:rsid w:val="2D95553F"/>
    <w:rsid w:val="2D955A9F"/>
    <w:rsid w:val="2D991F3D"/>
    <w:rsid w:val="2D9D1B96"/>
    <w:rsid w:val="2D9D2932"/>
    <w:rsid w:val="2DA07E57"/>
    <w:rsid w:val="2DAC3027"/>
    <w:rsid w:val="2DAC5A87"/>
    <w:rsid w:val="2DB11F83"/>
    <w:rsid w:val="2DB25B9A"/>
    <w:rsid w:val="2DB63E7B"/>
    <w:rsid w:val="2DC55411"/>
    <w:rsid w:val="2DCA0682"/>
    <w:rsid w:val="2DCD1884"/>
    <w:rsid w:val="2DE254F3"/>
    <w:rsid w:val="2DE83F39"/>
    <w:rsid w:val="2DEC1CF4"/>
    <w:rsid w:val="2DEC20E5"/>
    <w:rsid w:val="2DED0A59"/>
    <w:rsid w:val="2DF616A9"/>
    <w:rsid w:val="2DF713E8"/>
    <w:rsid w:val="2DF8612E"/>
    <w:rsid w:val="2E0C5E06"/>
    <w:rsid w:val="2E112D82"/>
    <w:rsid w:val="2E207CBA"/>
    <w:rsid w:val="2E2451EC"/>
    <w:rsid w:val="2E2C5A87"/>
    <w:rsid w:val="2E336B16"/>
    <w:rsid w:val="2E407287"/>
    <w:rsid w:val="2E4A63F4"/>
    <w:rsid w:val="2E4F6F96"/>
    <w:rsid w:val="2E50245C"/>
    <w:rsid w:val="2E5115FC"/>
    <w:rsid w:val="2E524427"/>
    <w:rsid w:val="2E53744D"/>
    <w:rsid w:val="2E6A27B6"/>
    <w:rsid w:val="2E6C45F0"/>
    <w:rsid w:val="2E772FB6"/>
    <w:rsid w:val="2E77702C"/>
    <w:rsid w:val="2E8343D6"/>
    <w:rsid w:val="2E835879"/>
    <w:rsid w:val="2E85785D"/>
    <w:rsid w:val="2E90213E"/>
    <w:rsid w:val="2E980AA1"/>
    <w:rsid w:val="2E9B09EA"/>
    <w:rsid w:val="2EAE5EA6"/>
    <w:rsid w:val="2EAE7A86"/>
    <w:rsid w:val="2EB957B0"/>
    <w:rsid w:val="2EBA100E"/>
    <w:rsid w:val="2EC60A4A"/>
    <w:rsid w:val="2EC658E5"/>
    <w:rsid w:val="2EE52314"/>
    <w:rsid w:val="2EE72013"/>
    <w:rsid w:val="2EF76CAA"/>
    <w:rsid w:val="2EFC315F"/>
    <w:rsid w:val="2F043E99"/>
    <w:rsid w:val="2F09351F"/>
    <w:rsid w:val="2F10604B"/>
    <w:rsid w:val="2F142389"/>
    <w:rsid w:val="2F150AED"/>
    <w:rsid w:val="2F18279B"/>
    <w:rsid w:val="2F216D0F"/>
    <w:rsid w:val="2F30410C"/>
    <w:rsid w:val="2F307B6E"/>
    <w:rsid w:val="2F3720B3"/>
    <w:rsid w:val="2F385810"/>
    <w:rsid w:val="2F431F45"/>
    <w:rsid w:val="2F4D4396"/>
    <w:rsid w:val="2F5518B4"/>
    <w:rsid w:val="2F5876B7"/>
    <w:rsid w:val="2F5A3C6D"/>
    <w:rsid w:val="2F5B38E0"/>
    <w:rsid w:val="2F5C3B54"/>
    <w:rsid w:val="2F60397F"/>
    <w:rsid w:val="2F6426A3"/>
    <w:rsid w:val="2F6733AD"/>
    <w:rsid w:val="2F673946"/>
    <w:rsid w:val="2F734038"/>
    <w:rsid w:val="2F78661A"/>
    <w:rsid w:val="2F7D331C"/>
    <w:rsid w:val="2F7F7250"/>
    <w:rsid w:val="2F823B8B"/>
    <w:rsid w:val="2F916A20"/>
    <w:rsid w:val="2F9431DC"/>
    <w:rsid w:val="2F950F2C"/>
    <w:rsid w:val="2F97A916"/>
    <w:rsid w:val="2F9908F9"/>
    <w:rsid w:val="2F9F3735"/>
    <w:rsid w:val="2FA01055"/>
    <w:rsid w:val="2FA04A6D"/>
    <w:rsid w:val="2FA15DD6"/>
    <w:rsid w:val="2FA43BAA"/>
    <w:rsid w:val="2FA45C60"/>
    <w:rsid w:val="2FA6173E"/>
    <w:rsid w:val="2FA95C4E"/>
    <w:rsid w:val="2FAA356A"/>
    <w:rsid w:val="2FB94C56"/>
    <w:rsid w:val="2FBB2617"/>
    <w:rsid w:val="2FC83CDC"/>
    <w:rsid w:val="2FC91AA6"/>
    <w:rsid w:val="2FCD4009"/>
    <w:rsid w:val="2FD5660F"/>
    <w:rsid w:val="2FD957A0"/>
    <w:rsid w:val="2FDA2518"/>
    <w:rsid w:val="2FDC78B0"/>
    <w:rsid w:val="2FDF7833"/>
    <w:rsid w:val="2FE40A43"/>
    <w:rsid w:val="2FE51FDD"/>
    <w:rsid w:val="2FEB15AB"/>
    <w:rsid w:val="2FF41FDE"/>
    <w:rsid w:val="2FFA403C"/>
    <w:rsid w:val="2FFE0AC6"/>
    <w:rsid w:val="30006E9B"/>
    <w:rsid w:val="30074BA8"/>
    <w:rsid w:val="300A0ED4"/>
    <w:rsid w:val="300C4E7A"/>
    <w:rsid w:val="300D6FAB"/>
    <w:rsid w:val="30104538"/>
    <w:rsid w:val="30104709"/>
    <w:rsid w:val="302C73AD"/>
    <w:rsid w:val="303D0B6E"/>
    <w:rsid w:val="30436D3A"/>
    <w:rsid w:val="304D5845"/>
    <w:rsid w:val="305F3316"/>
    <w:rsid w:val="30603B03"/>
    <w:rsid w:val="30627513"/>
    <w:rsid w:val="30627C9C"/>
    <w:rsid w:val="30731155"/>
    <w:rsid w:val="307355F9"/>
    <w:rsid w:val="30795420"/>
    <w:rsid w:val="308A3830"/>
    <w:rsid w:val="308D3100"/>
    <w:rsid w:val="309537C1"/>
    <w:rsid w:val="30B03D81"/>
    <w:rsid w:val="30BA6BD2"/>
    <w:rsid w:val="30C571C3"/>
    <w:rsid w:val="30DB0B00"/>
    <w:rsid w:val="30DE1F4F"/>
    <w:rsid w:val="30E861FA"/>
    <w:rsid w:val="30EE04FB"/>
    <w:rsid w:val="30EE081E"/>
    <w:rsid w:val="30F077AA"/>
    <w:rsid w:val="30F13BDE"/>
    <w:rsid w:val="30F74D4A"/>
    <w:rsid w:val="30F87E5A"/>
    <w:rsid w:val="310028A7"/>
    <w:rsid w:val="31036E0E"/>
    <w:rsid w:val="310638B1"/>
    <w:rsid w:val="310E0DA1"/>
    <w:rsid w:val="31150096"/>
    <w:rsid w:val="31277068"/>
    <w:rsid w:val="312D1C6D"/>
    <w:rsid w:val="313049BF"/>
    <w:rsid w:val="3132076D"/>
    <w:rsid w:val="31360390"/>
    <w:rsid w:val="31410566"/>
    <w:rsid w:val="31470A89"/>
    <w:rsid w:val="314D6D57"/>
    <w:rsid w:val="314F56FB"/>
    <w:rsid w:val="31585E30"/>
    <w:rsid w:val="315D01B3"/>
    <w:rsid w:val="31760B62"/>
    <w:rsid w:val="319353BB"/>
    <w:rsid w:val="31992FAC"/>
    <w:rsid w:val="31A51937"/>
    <w:rsid w:val="31AA329C"/>
    <w:rsid w:val="31B658DD"/>
    <w:rsid w:val="31BA38DD"/>
    <w:rsid w:val="31BB1005"/>
    <w:rsid w:val="31C524DA"/>
    <w:rsid w:val="31C76407"/>
    <w:rsid w:val="31C8037B"/>
    <w:rsid w:val="31CE5395"/>
    <w:rsid w:val="31DB3B52"/>
    <w:rsid w:val="31DB4E59"/>
    <w:rsid w:val="31DF2877"/>
    <w:rsid w:val="31E70EED"/>
    <w:rsid w:val="31EB265C"/>
    <w:rsid w:val="31EE1E47"/>
    <w:rsid w:val="31F12FFD"/>
    <w:rsid w:val="31F24087"/>
    <w:rsid w:val="31F56B08"/>
    <w:rsid w:val="3209133D"/>
    <w:rsid w:val="32132155"/>
    <w:rsid w:val="32167FC9"/>
    <w:rsid w:val="32197E21"/>
    <w:rsid w:val="321A32E4"/>
    <w:rsid w:val="321B6EF1"/>
    <w:rsid w:val="321D50D1"/>
    <w:rsid w:val="322070BA"/>
    <w:rsid w:val="32220639"/>
    <w:rsid w:val="32226952"/>
    <w:rsid w:val="32230959"/>
    <w:rsid w:val="322947FB"/>
    <w:rsid w:val="322F7205"/>
    <w:rsid w:val="32425DAB"/>
    <w:rsid w:val="32477BBE"/>
    <w:rsid w:val="324F1915"/>
    <w:rsid w:val="325A391A"/>
    <w:rsid w:val="325A66C6"/>
    <w:rsid w:val="325F4087"/>
    <w:rsid w:val="3262070C"/>
    <w:rsid w:val="32626BF4"/>
    <w:rsid w:val="326D432F"/>
    <w:rsid w:val="326D7E2D"/>
    <w:rsid w:val="326E1E29"/>
    <w:rsid w:val="32721D49"/>
    <w:rsid w:val="32770B4E"/>
    <w:rsid w:val="32926045"/>
    <w:rsid w:val="32A42935"/>
    <w:rsid w:val="32AF7B73"/>
    <w:rsid w:val="32B01CE2"/>
    <w:rsid w:val="32BE10A3"/>
    <w:rsid w:val="32BE377F"/>
    <w:rsid w:val="32C37F6E"/>
    <w:rsid w:val="32C6235C"/>
    <w:rsid w:val="32CB171C"/>
    <w:rsid w:val="32CC7818"/>
    <w:rsid w:val="32D227B1"/>
    <w:rsid w:val="32D46845"/>
    <w:rsid w:val="32DD6722"/>
    <w:rsid w:val="32F01D56"/>
    <w:rsid w:val="32F11BC3"/>
    <w:rsid w:val="32FE4BD9"/>
    <w:rsid w:val="33026C84"/>
    <w:rsid w:val="330F3131"/>
    <w:rsid w:val="3314780C"/>
    <w:rsid w:val="331E61D0"/>
    <w:rsid w:val="33215414"/>
    <w:rsid w:val="33435F03"/>
    <w:rsid w:val="334C0402"/>
    <w:rsid w:val="334F482D"/>
    <w:rsid w:val="335121B0"/>
    <w:rsid w:val="335958E1"/>
    <w:rsid w:val="33654190"/>
    <w:rsid w:val="336F072A"/>
    <w:rsid w:val="33704071"/>
    <w:rsid w:val="33741CD3"/>
    <w:rsid w:val="3375028F"/>
    <w:rsid w:val="33755328"/>
    <w:rsid w:val="3376701B"/>
    <w:rsid w:val="337C08C8"/>
    <w:rsid w:val="337F06C4"/>
    <w:rsid w:val="33810353"/>
    <w:rsid w:val="33914473"/>
    <w:rsid w:val="33993839"/>
    <w:rsid w:val="33A124BB"/>
    <w:rsid w:val="33AB28BA"/>
    <w:rsid w:val="33B00758"/>
    <w:rsid w:val="33B55D1F"/>
    <w:rsid w:val="33B9175F"/>
    <w:rsid w:val="33BC0B35"/>
    <w:rsid w:val="33BC6558"/>
    <w:rsid w:val="33BE5F46"/>
    <w:rsid w:val="33C13E44"/>
    <w:rsid w:val="33C35F95"/>
    <w:rsid w:val="33C81370"/>
    <w:rsid w:val="33CF0DBF"/>
    <w:rsid w:val="33CF478A"/>
    <w:rsid w:val="33EC7DCA"/>
    <w:rsid w:val="33F91E05"/>
    <w:rsid w:val="34055D67"/>
    <w:rsid w:val="34076784"/>
    <w:rsid w:val="341D0A9A"/>
    <w:rsid w:val="34337579"/>
    <w:rsid w:val="34355C0D"/>
    <w:rsid w:val="34365C44"/>
    <w:rsid w:val="343C6222"/>
    <w:rsid w:val="343E645F"/>
    <w:rsid w:val="343F58BB"/>
    <w:rsid w:val="344260E9"/>
    <w:rsid w:val="34432782"/>
    <w:rsid w:val="34461805"/>
    <w:rsid w:val="34484DE0"/>
    <w:rsid w:val="34492C7C"/>
    <w:rsid w:val="344C028F"/>
    <w:rsid w:val="344F3C19"/>
    <w:rsid w:val="344F4A27"/>
    <w:rsid w:val="344F7A95"/>
    <w:rsid w:val="34514A45"/>
    <w:rsid w:val="3463290F"/>
    <w:rsid w:val="346B7AF9"/>
    <w:rsid w:val="34790D04"/>
    <w:rsid w:val="348147D5"/>
    <w:rsid w:val="3491227C"/>
    <w:rsid w:val="3493531B"/>
    <w:rsid w:val="349D1FCC"/>
    <w:rsid w:val="349D3CC8"/>
    <w:rsid w:val="34A874C7"/>
    <w:rsid w:val="34B249AA"/>
    <w:rsid w:val="34B46C3B"/>
    <w:rsid w:val="34B72C1B"/>
    <w:rsid w:val="34BA695A"/>
    <w:rsid w:val="34BC1F91"/>
    <w:rsid w:val="34C30D7D"/>
    <w:rsid w:val="34C43B84"/>
    <w:rsid w:val="34D21001"/>
    <w:rsid w:val="34E062DE"/>
    <w:rsid w:val="34E56B97"/>
    <w:rsid w:val="34EA5DC5"/>
    <w:rsid w:val="34EC3BCC"/>
    <w:rsid w:val="34FD14D1"/>
    <w:rsid w:val="34FF745B"/>
    <w:rsid w:val="350B6130"/>
    <w:rsid w:val="351718D7"/>
    <w:rsid w:val="352C7E45"/>
    <w:rsid w:val="353342D1"/>
    <w:rsid w:val="354767DA"/>
    <w:rsid w:val="354836E4"/>
    <w:rsid w:val="35630395"/>
    <w:rsid w:val="356646B7"/>
    <w:rsid w:val="357C0AAC"/>
    <w:rsid w:val="3581131F"/>
    <w:rsid w:val="358403EF"/>
    <w:rsid w:val="35956FC0"/>
    <w:rsid w:val="359D31C1"/>
    <w:rsid w:val="35A046B8"/>
    <w:rsid w:val="35A62024"/>
    <w:rsid w:val="35B069A7"/>
    <w:rsid w:val="35B71FE0"/>
    <w:rsid w:val="35BA427A"/>
    <w:rsid w:val="35C66524"/>
    <w:rsid w:val="35C801E4"/>
    <w:rsid w:val="35C96ABC"/>
    <w:rsid w:val="35D07840"/>
    <w:rsid w:val="35D367A0"/>
    <w:rsid w:val="35E15A66"/>
    <w:rsid w:val="35E36C56"/>
    <w:rsid w:val="35EC27E9"/>
    <w:rsid w:val="35F26050"/>
    <w:rsid w:val="35F964BB"/>
    <w:rsid w:val="35F97B9E"/>
    <w:rsid w:val="35FA2F65"/>
    <w:rsid w:val="3602484C"/>
    <w:rsid w:val="36047F38"/>
    <w:rsid w:val="360B15E3"/>
    <w:rsid w:val="361231BE"/>
    <w:rsid w:val="36126EB4"/>
    <w:rsid w:val="362004C4"/>
    <w:rsid w:val="36286CA4"/>
    <w:rsid w:val="362F1BAC"/>
    <w:rsid w:val="363B62F0"/>
    <w:rsid w:val="363F6947"/>
    <w:rsid w:val="36445C62"/>
    <w:rsid w:val="36497B0D"/>
    <w:rsid w:val="36542940"/>
    <w:rsid w:val="36543709"/>
    <w:rsid w:val="365B2A1F"/>
    <w:rsid w:val="365D7FAE"/>
    <w:rsid w:val="367E2A8D"/>
    <w:rsid w:val="36841F1B"/>
    <w:rsid w:val="368C08EC"/>
    <w:rsid w:val="368F0C11"/>
    <w:rsid w:val="369F7C89"/>
    <w:rsid w:val="36A22794"/>
    <w:rsid w:val="36A81D5C"/>
    <w:rsid w:val="36AF4EB1"/>
    <w:rsid w:val="36B26CC0"/>
    <w:rsid w:val="36BE1293"/>
    <w:rsid w:val="36C2067A"/>
    <w:rsid w:val="36CE4F92"/>
    <w:rsid w:val="36D31AF0"/>
    <w:rsid w:val="36DB38D4"/>
    <w:rsid w:val="36E17EAD"/>
    <w:rsid w:val="36E6691C"/>
    <w:rsid w:val="36FA438A"/>
    <w:rsid w:val="37042602"/>
    <w:rsid w:val="3709015E"/>
    <w:rsid w:val="370B0C43"/>
    <w:rsid w:val="37103BA1"/>
    <w:rsid w:val="371B11B6"/>
    <w:rsid w:val="371B40A7"/>
    <w:rsid w:val="371C6D76"/>
    <w:rsid w:val="371E65F0"/>
    <w:rsid w:val="37227EB1"/>
    <w:rsid w:val="3729083B"/>
    <w:rsid w:val="372C5613"/>
    <w:rsid w:val="37367810"/>
    <w:rsid w:val="373719FF"/>
    <w:rsid w:val="373F4487"/>
    <w:rsid w:val="37421980"/>
    <w:rsid w:val="37444131"/>
    <w:rsid w:val="374756DE"/>
    <w:rsid w:val="37512400"/>
    <w:rsid w:val="37540E57"/>
    <w:rsid w:val="37554909"/>
    <w:rsid w:val="37574FA5"/>
    <w:rsid w:val="37582F14"/>
    <w:rsid w:val="375A70C2"/>
    <w:rsid w:val="3760083E"/>
    <w:rsid w:val="37665E90"/>
    <w:rsid w:val="376D35B9"/>
    <w:rsid w:val="37795C3E"/>
    <w:rsid w:val="377B7FE3"/>
    <w:rsid w:val="37800996"/>
    <w:rsid w:val="378E2FA1"/>
    <w:rsid w:val="379B0405"/>
    <w:rsid w:val="379D29B6"/>
    <w:rsid w:val="37A33399"/>
    <w:rsid w:val="37A662B4"/>
    <w:rsid w:val="37AD0106"/>
    <w:rsid w:val="37B24D0D"/>
    <w:rsid w:val="37BD7CC4"/>
    <w:rsid w:val="37CB3723"/>
    <w:rsid w:val="37DB7764"/>
    <w:rsid w:val="37DDF596"/>
    <w:rsid w:val="37E313A3"/>
    <w:rsid w:val="37F1490C"/>
    <w:rsid w:val="37F678F8"/>
    <w:rsid w:val="37F746A2"/>
    <w:rsid w:val="37F92887"/>
    <w:rsid w:val="37FD77D3"/>
    <w:rsid w:val="37FF079D"/>
    <w:rsid w:val="38060BFC"/>
    <w:rsid w:val="380E3CEE"/>
    <w:rsid w:val="38190FDF"/>
    <w:rsid w:val="381B0EA4"/>
    <w:rsid w:val="38280520"/>
    <w:rsid w:val="38313106"/>
    <w:rsid w:val="383345F2"/>
    <w:rsid w:val="383D5E6D"/>
    <w:rsid w:val="384215DD"/>
    <w:rsid w:val="38422966"/>
    <w:rsid w:val="38437097"/>
    <w:rsid w:val="38454D37"/>
    <w:rsid w:val="3846441E"/>
    <w:rsid w:val="38483B53"/>
    <w:rsid w:val="384C135A"/>
    <w:rsid w:val="38532E1B"/>
    <w:rsid w:val="385532B9"/>
    <w:rsid w:val="385E2703"/>
    <w:rsid w:val="3862042D"/>
    <w:rsid w:val="38631B64"/>
    <w:rsid w:val="386513B9"/>
    <w:rsid w:val="386866D5"/>
    <w:rsid w:val="386965E4"/>
    <w:rsid w:val="38724DA2"/>
    <w:rsid w:val="3878380C"/>
    <w:rsid w:val="389D200A"/>
    <w:rsid w:val="38A026D3"/>
    <w:rsid w:val="38B26AFF"/>
    <w:rsid w:val="38B72304"/>
    <w:rsid w:val="38B76F71"/>
    <w:rsid w:val="38BF3027"/>
    <w:rsid w:val="38C83121"/>
    <w:rsid w:val="38C96F82"/>
    <w:rsid w:val="38D10771"/>
    <w:rsid w:val="38D70F49"/>
    <w:rsid w:val="38DA7AC2"/>
    <w:rsid w:val="38EE732B"/>
    <w:rsid w:val="38F56260"/>
    <w:rsid w:val="38F66358"/>
    <w:rsid w:val="38FA12F1"/>
    <w:rsid w:val="38FC0DDD"/>
    <w:rsid w:val="38FD7603"/>
    <w:rsid w:val="39014716"/>
    <w:rsid w:val="39027032"/>
    <w:rsid w:val="39036EBD"/>
    <w:rsid w:val="390708D5"/>
    <w:rsid w:val="390C45D6"/>
    <w:rsid w:val="39152296"/>
    <w:rsid w:val="39177959"/>
    <w:rsid w:val="391968A6"/>
    <w:rsid w:val="391A2E62"/>
    <w:rsid w:val="391D3C6B"/>
    <w:rsid w:val="39297CFE"/>
    <w:rsid w:val="39323BB0"/>
    <w:rsid w:val="3934448B"/>
    <w:rsid w:val="39431257"/>
    <w:rsid w:val="394C6B2E"/>
    <w:rsid w:val="394F305B"/>
    <w:rsid w:val="3951601B"/>
    <w:rsid w:val="39533492"/>
    <w:rsid w:val="395C3DDD"/>
    <w:rsid w:val="39631211"/>
    <w:rsid w:val="39661B56"/>
    <w:rsid w:val="39710E3F"/>
    <w:rsid w:val="39742FF0"/>
    <w:rsid w:val="3976511C"/>
    <w:rsid w:val="397664F7"/>
    <w:rsid w:val="397A1C4F"/>
    <w:rsid w:val="39830E33"/>
    <w:rsid w:val="398533B0"/>
    <w:rsid w:val="39944529"/>
    <w:rsid w:val="39A1622D"/>
    <w:rsid w:val="39A75A42"/>
    <w:rsid w:val="39B52A0B"/>
    <w:rsid w:val="39B948BA"/>
    <w:rsid w:val="39BA7995"/>
    <w:rsid w:val="39CD085E"/>
    <w:rsid w:val="39DE44EE"/>
    <w:rsid w:val="39E457EA"/>
    <w:rsid w:val="39EE4775"/>
    <w:rsid w:val="39FE3E92"/>
    <w:rsid w:val="3A0778FA"/>
    <w:rsid w:val="3A114892"/>
    <w:rsid w:val="3A135946"/>
    <w:rsid w:val="3A244D64"/>
    <w:rsid w:val="3A2B1682"/>
    <w:rsid w:val="3A4151B2"/>
    <w:rsid w:val="3A450670"/>
    <w:rsid w:val="3A60099C"/>
    <w:rsid w:val="3A603686"/>
    <w:rsid w:val="3A61633E"/>
    <w:rsid w:val="3A6247ED"/>
    <w:rsid w:val="3A6366DE"/>
    <w:rsid w:val="3A681DF2"/>
    <w:rsid w:val="3A6B092A"/>
    <w:rsid w:val="3A6B628A"/>
    <w:rsid w:val="3A7121EF"/>
    <w:rsid w:val="3A7B0ABB"/>
    <w:rsid w:val="3A802518"/>
    <w:rsid w:val="3A862182"/>
    <w:rsid w:val="3A9913AB"/>
    <w:rsid w:val="3AA137BC"/>
    <w:rsid w:val="3AA15100"/>
    <w:rsid w:val="3AA33C0C"/>
    <w:rsid w:val="3AA81530"/>
    <w:rsid w:val="3AB610FC"/>
    <w:rsid w:val="3AB72BBB"/>
    <w:rsid w:val="3AB83860"/>
    <w:rsid w:val="3ACB25F2"/>
    <w:rsid w:val="3AE43A8B"/>
    <w:rsid w:val="3AE467BE"/>
    <w:rsid w:val="3AEF76EB"/>
    <w:rsid w:val="3AFD268F"/>
    <w:rsid w:val="3B020245"/>
    <w:rsid w:val="3B0B1A05"/>
    <w:rsid w:val="3B0E03F8"/>
    <w:rsid w:val="3B101D6D"/>
    <w:rsid w:val="3B170ABE"/>
    <w:rsid w:val="3B224CA1"/>
    <w:rsid w:val="3B235596"/>
    <w:rsid w:val="3B2573BF"/>
    <w:rsid w:val="3B2A1B40"/>
    <w:rsid w:val="3B31677F"/>
    <w:rsid w:val="3B380DAD"/>
    <w:rsid w:val="3B3C211D"/>
    <w:rsid w:val="3B3F406E"/>
    <w:rsid w:val="3B4178FE"/>
    <w:rsid w:val="3B4D4B4E"/>
    <w:rsid w:val="3B504613"/>
    <w:rsid w:val="3B556027"/>
    <w:rsid w:val="3B5648C5"/>
    <w:rsid w:val="3B660394"/>
    <w:rsid w:val="3B667A66"/>
    <w:rsid w:val="3B6876DA"/>
    <w:rsid w:val="3B694574"/>
    <w:rsid w:val="3B7E1B5F"/>
    <w:rsid w:val="3B8B2D20"/>
    <w:rsid w:val="3B9F54F4"/>
    <w:rsid w:val="3BA20B09"/>
    <w:rsid w:val="3BA90FE4"/>
    <w:rsid w:val="3BA95230"/>
    <w:rsid w:val="3BAD03CB"/>
    <w:rsid w:val="3BB64F44"/>
    <w:rsid w:val="3BBD46D0"/>
    <w:rsid w:val="3BBF6F81"/>
    <w:rsid w:val="3BC45F0A"/>
    <w:rsid w:val="3BC52E2A"/>
    <w:rsid w:val="3BD038FF"/>
    <w:rsid w:val="3BD73806"/>
    <w:rsid w:val="3BDA6E49"/>
    <w:rsid w:val="3BDB4052"/>
    <w:rsid w:val="3BDC0FD0"/>
    <w:rsid w:val="3BDC49E9"/>
    <w:rsid w:val="3BDE58A8"/>
    <w:rsid w:val="3BE15AA7"/>
    <w:rsid w:val="3BE443D0"/>
    <w:rsid w:val="3BE57799"/>
    <w:rsid w:val="3BEF2DD6"/>
    <w:rsid w:val="3BF33263"/>
    <w:rsid w:val="3BF750DE"/>
    <w:rsid w:val="3C02657A"/>
    <w:rsid w:val="3C0637C5"/>
    <w:rsid w:val="3C19410C"/>
    <w:rsid w:val="3C1D778E"/>
    <w:rsid w:val="3C202C0D"/>
    <w:rsid w:val="3C2268FB"/>
    <w:rsid w:val="3C257341"/>
    <w:rsid w:val="3C282306"/>
    <w:rsid w:val="3C307D20"/>
    <w:rsid w:val="3C326350"/>
    <w:rsid w:val="3C382AC3"/>
    <w:rsid w:val="3C3A3516"/>
    <w:rsid w:val="3C3D583D"/>
    <w:rsid w:val="3C45270E"/>
    <w:rsid w:val="3C4A7C00"/>
    <w:rsid w:val="3C5068D9"/>
    <w:rsid w:val="3C521C60"/>
    <w:rsid w:val="3C546731"/>
    <w:rsid w:val="3C5A6F2E"/>
    <w:rsid w:val="3C6057EA"/>
    <w:rsid w:val="3C63007D"/>
    <w:rsid w:val="3C6311E5"/>
    <w:rsid w:val="3C644E84"/>
    <w:rsid w:val="3C6539D9"/>
    <w:rsid w:val="3C7145A6"/>
    <w:rsid w:val="3C7E2547"/>
    <w:rsid w:val="3C7F3003"/>
    <w:rsid w:val="3C8419A1"/>
    <w:rsid w:val="3C896777"/>
    <w:rsid w:val="3C8C0550"/>
    <w:rsid w:val="3C8C3CBB"/>
    <w:rsid w:val="3C8F3CAB"/>
    <w:rsid w:val="3C9D27D7"/>
    <w:rsid w:val="3CA30A28"/>
    <w:rsid w:val="3CA438FE"/>
    <w:rsid w:val="3CA60EB7"/>
    <w:rsid w:val="3CAF2A08"/>
    <w:rsid w:val="3CB7565F"/>
    <w:rsid w:val="3CCB002D"/>
    <w:rsid w:val="3CCF115B"/>
    <w:rsid w:val="3CD016DD"/>
    <w:rsid w:val="3CEB632C"/>
    <w:rsid w:val="3CFC0724"/>
    <w:rsid w:val="3CFC5173"/>
    <w:rsid w:val="3CFC5963"/>
    <w:rsid w:val="3CFD69DD"/>
    <w:rsid w:val="3D01683C"/>
    <w:rsid w:val="3D05550A"/>
    <w:rsid w:val="3D151050"/>
    <w:rsid w:val="3D155BDF"/>
    <w:rsid w:val="3D173A08"/>
    <w:rsid w:val="3D1B4D1A"/>
    <w:rsid w:val="3D2427C1"/>
    <w:rsid w:val="3D2D3DCA"/>
    <w:rsid w:val="3D3A24DE"/>
    <w:rsid w:val="3D3C6E7A"/>
    <w:rsid w:val="3D401371"/>
    <w:rsid w:val="3D4201BC"/>
    <w:rsid w:val="3D437C17"/>
    <w:rsid w:val="3D4B4599"/>
    <w:rsid w:val="3D4D1D9B"/>
    <w:rsid w:val="3D4E102C"/>
    <w:rsid w:val="3D5B7DB9"/>
    <w:rsid w:val="3D6136BC"/>
    <w:rsid w:val="3D646807"/>
    <w:rsid w:val="3D6E6176"/>
    <w:rsid w:val="3D70547C"/>
    <w:rsid w:val="3D7D73AF"/>
    <w:rsid w:val="3D7F5370"/>
    <w:rsid w:val="3D846FA6"/>
    <w:rsid w:val="3D861891"/>
    <w:rsid w:val="3DA72BFB"/>
    <w:rsid w:val="3DBB2957"/>
    <w:rsid w:val="3DBD5B7E"/>
    <w:rsid w:val="3DCB5DF8"/>
    <w:rsid w:val="3DCE153D"/>
    <w:rsid w:val="3DD0755A"/>
    <w:rsid w:val="3DDF6C1A"/>
    <w:rsid w:val="3DE1331C"/>
    <w:rsid w:val="3DE779A6"/>
    <w:rsid w:val="3DEA13F4"/>
    <w:rsid w:val="3DEC7031"/>
    <w:rsid w:val="3DEF21EE"/>
    <w:rsid w:val="3DFD7941"/>
    <w:rsid w:val="3E156671"/>
    <w:rsid w:val="3E167053"/>
    <w:rsid w:val="3E1F60BF"/>
    <w:rsid w:val="3E2D2DEE"/>
    <w:rsid w:val="3E34586C"/>
    <w:rsid w:val="3E3D0642"/>
    <w:rsid w:val="3E40176F"/>
    <w:rsid w:val="3E5A0137"/>
    <w:rsid w:val="3E761C99"/>
    <w:rsid w:val="3E8362FB"/>
    <w:rsid w:val="3E980842"/>
    <w:rsid w:val="3EA1735F"/>
    <w:rsid w:val="3EA20B36"/>
    <w:rsid w:val="3EAB34D7"/>
    <w:rsid w:val="3EB1134C"/>
    <w:rsid w:val="3EB776B1"/>
    <w:rsid w:val="3EB81070"/>
    <w:rsid w:val="3EBF0F2E"/>
    <w:rsid w:val="3EBF30CC"/>
    <w:rsid w:val="3EC26668"/>
    <w:rsid w:val="3EC314F9"/>
    <w:rsid w:val="3EC6452E"/>
    <w:rsid w:val="3EC70122"/>
    <w:rsid w:val="3EC95465"/>
    <w:rsid w:val="3ECF655B"/>
    <w:rsid w:val="3EDA6D72"/>
    <w:rsid w:val="3EDC20BC"/>
    <w:rsid w:val="3EDD0534"/>
    <w:rsid w:val="3EE70C54"/>
    <w:rsid w:val="3EED7580"/>
    <w:rsid w:val="3EF754C8"/>
    <w:rsid w:val="3F09191C"/>
    <w:rsid w:val="3F0A61D0"/>
    <w:rsid w:val="3F0F63E1"/>
    <w:rsid w:val="3F1821E8"/>
    <w:rsid w:val="3F211C76"/>
    <w:rsid w:val="3F2A644C"/>
    <w:rsid w:val="3F2D706B"/>
    <w:rsid w:val="3F2E664A"/>
    <w:rsid w:val="3F2FD97A"/>
    <w:rsid w:val="3F3669DA"/>
    <w:rsid w:val="3F3A3A25"/>
    <w:rsid w:val="3F3D46C7"/>
    <w:rsid w:val="3F497B30"/>
    <w:rsid w:val="3F4D34B9"/>
    <w:rsid w:val="3F567D38"/>
    <w:rsid w:val="3F5A1DAA"/>
    <w:rsid w:val="3F5C0B5E"/>
    <w:rsid w:val="3F666D1E"/>
    <w:rsid w:val="3F672A34"/>
    <w:rsid w:val="3F67D91B"/>
    <w:rsid w:val="3F68104F"/>
    <w:rsid w:val="3F772C09"/>
    <w:rsid w:val="3F817B3D"/>
    <w:rsid w:val="3F8422F7"/>
    <w:rsid w:val="3F862643"/>
    <w:rsid w:val="3F865530"/>
    <w:rsid w:val="3F875E49"/>
    <w:rsid w:val="3F8B248F"/>
    <w:rsid w:val="3F902CA4"/>
    <w:rsid w:val="3F9115F7"/>
    <w:rsid w:val="3F961A58"/>
    <w:rsid w:val="3FAA1120"/>
    <w:rsid w:val="3FAC2417"/>
    <w:rsid w:val="3FAE0480"/>
    <w:rsid w:val="3FAF1E47"/>
    <w:rsid w:val="3FB167F6"/>
    <w:rsid w:val="3FBD312F"/>
    <w:rsid w:val="3FC52D15"/>
    <w:rsid w:val="3FD0702D"/>
    <w:rsid w:val="3FD94E33"/>
    <w:rsid w:val="3FE23C02"/>
    <w:rsid w:val="3FE23D39"/>
    <w:rsid w:val="3FEF3241"/>
    <w:rsid w:val="3FEF631E"/>
    <w:rsid w:val="400106E1"/>
    <w:rsid w:val="40077F22"/>
    <w:rsid w:val="400B0515"/>
    <w:rsid w:val="400D7E3F"/>
    <w:rsid w:val="401C76C3"/>
    <w:rsid w:val="401F4F38"/>
    <w:rsid w:val="402830D0"/>
    <w:rsid w:val="40356FCC"/>
    <w:rsid w:val="40422821"/>
    <w:rsid w:val="40483BBA"/>
    <w:rsid w:val="40485AF0"/>
    <w:rsid w:val="404A41E0"/>
    <w:rsid w:val="404E54AE"/>
    <w:rsid w:val="405933E8"/>
    <w:rsid w:val="407B0D26"/>
    <w:rsid w:val="40822CFC"/>
    <w:rsid w:val="4087302E"/>
    <w:rsid w:val="4092439A"/>
    <w:rsid w:val="409644E9"/>
    <w:rsid w:val="40A06E93"/>
    <w:rsid w:val="40A13ABC"/>
    <w:rsid w:val="40A166DC"/>
    <w:rsid w:val="40AC662B"/>
    <w:rsid w:val="40B001DD"/>
    <w:rsid w:val="40B97094"/>
    <w:rsid w:val="40B977E5"/>
    <w:rsid w:val="40BB596E"/>
    <w:rsid w:val="40E411E2"/>
    <w:rsid w:val="40E579AA"/>
    <w:rsid w:val="40E865B5"/>
    <w:rsid w:val="40F02DF0"/>
    <w:rsid w:val="40F223F6"/>
    <w:rsid w:val="40F345BB"/>
    <w:rsid w:val="40FA57D9"/>
    <w:rsid w:val="40FC6917"/>
    <w:rsid w:val="4115183C"/>
    <w:rsid w:val="411D6D85"/>
    <w:rsid w:val="41252365"/>
    <w:rsid w:val="413123EE"/>
    <w:rsid w:val="4132542D"/>
    <w:rsid w:val="41403FDF"/>
    <w:rsid w:val="41434B73"/>
    <w:rsid w:val="41483AC8"/>
    <w:rsid w:val="415C79E3"/>
    <w:rsid w:val="415E7980"/>
    <w:rsid w:val="41695B6E"/>
    <w:rsid w:val="4172426C"/>
    <w:rsid w:val="41726AB0"/>
    <w:rsid w:val="4174439E"/>
    <w:rsid w:val="417C1588"/>
    <w:rsid w:val="41844C9F"/>
    <w:rsid w:val="41891AC3"/>
    <w:rsid w:val="418E34EA"/>
    <w:rsid w:val="41926EDF"/>
    <w:rsid w:val="41931620"/>
    <w:rsid w:val="4195466E"/>
    <w:rsid w:val="41B8407E"/>
    <w:rsid w:val="41C845A4"/>
    <w:rsid w:val="41CA0DF1"/>
    <w:rsid w:val="41CE142C"/>
    <w:rsid w:val="41CE313D"/>
    <w:rsid w:val="41DA7286"/>
    <w:rsid w:val="41DC619B"/>
    <w:rsid w:val="41EA1073"/>
    <w:rsid w:val="41EC6646"/>
    <w:rsid w:val="42024C6F"/>
    <w:rsid w:val="420B2797"/>
    <w:rsid w:val="420B6524"/>
    <w:rsid w:val="420E310F"/>
    <w:rsid w:val="42130E9A"/>
    <w:rsid w:val="422258C9"/>
    <w:rsid w:val="422A6180"/>
    <w:rsid w:val="422E64C1"/>
    <w:rsid w:val="423425AE"/>
    <w:rsid w:val="42342890"/>
    <w:rsid w:val="42483360"/>
    <w:rsid w:val="42486805"/>
    <w:rsid w:val="424C1A00"/>
    <w:rsid w:val="42506611"/>
    <w:rsid w:val="42552DB0"/>
    <w:rsid w:val="4257562C"/>
    <w:rsid w:val="425A17B0"/>
    <w:rsid w:val="426071DB"/>
    <w:rsid w:val="426E4EB0"/>
    <w:rsid w:val="42741164"/>
    <w:rsid w:val="4282206F"/>
    <w:rsid w:val="42905952"/>
    <w:rsid w:val="42915534"/>
    <w:rsid w:val="429A21B7"/>
    <w:rsid w:val="429D1DFE"/>
    <w:rsid w:val="429F7859"/>
    <w:rsid w:val="42A65C90"/>
    <w:rsid w:val="42AD6748"/>
    <w:rsid w:val="42B8056F"/>
    <w:rsid w:val="42BA1912"/>
    <w:rsid w:val="42BB4583"/>
    <w:rsid w:val="42BF11AE"/>
    <w:rsid w:val="42C70B5B"/>
    <w:rsid w:val="42C96F48"/>
    <w:rsid w:val="42CE4905"/>
    <w:rsid w:val="42CE66BF"/>
    <w:rsid w:val="42E0749A"/>
    <w:rsid w:val="42E432D9"/>
    <w:rsid w:val="42F057D0"/>
    <w:rsid w:val="42F942AF"/>
    <w:rsid w:val="42FA6C1C"/>
    <w:rsid w:val="43071382"/>
    <w:rsid w:val="4309798C"/>
    <w:rsid w:val="430C085B"/>
    <w:rsid w:val="431E0142"/>
    <w:rsid w:val="431E31A2"/>
    <w:rsid w:val="432132DB"/>
    <w:rsid w:val="432336BA"/>
    <w:rsid w:val="43266174"/>
    <w:rsid w:val="432A184B"/>
    <w:rsid w:val="432E715D"/>
    <w:rsid w:val="43330F4E"/>
    <w:rsid w:val="433F6D5F"/>
    <w:rsid w:val="43590924"/>
    <w:rsid w:val="435D0B2B"/>
    <w:rsid w:val="43617E2C"/>
    <w:rsid w:val="436A4FF1"/>
    <w:rsid w:val="437D084E"/>
    <w:rsid w:val="437F4489"/>
    <w:rsid w:val="438010D9"/>
    <w:rsid w:val="438B43A1"/>
    <w:rsid w:val="438D60DD"/>
    <w:rsid w:val="438E6712"/>
    <w:rsid w:val="43B843B3"/>
    <w:rsid w:val="43C416DA"/>
    <w:rsid w:val="43CA00EA"/>
    <w:rsid w:val="43CB5AED"/>
    <w:rsid w:val="43CC0DDD"/>
    <w:rsid w:val="43D03CF4"/>
    <w:rsid w:val="43DB7867"/>
    <w:rsid w:val="43EA199E"/>
    <w:rsid w:val="43F15EFB"/>
    <w:rsid w:val="43F32204"/>
    <w:rsid w:val="43F527A4"/>
    <w:rsid w:val="43F54C30"/>
    <w:rsid w:val="43F92919"/>
    <w:rsid w:val="44192E65"/>
    <w:rsid w:val="441A3238"/>
    <w:rsid w:val="442214A0"/>
    <w:rsid w:val="442513B5"/>
    <w:rsid w:val="442C28E0"/>
    <w:rsid w:val="4443204E"/>
    <w:rsid w:val="444F40DC"/>
    <w:rsid w:val="4451112B"/>
    <w:rsid w:val="445146B6"/>
    <w:rsid w:val="4462135E"/>
    <w:rsid w:val="44653621"/>
    <w:rsid w:val="44685353"/>
    <w:rsid w:val="446E1107"/>
    <w:rsid w:val="44712EE4"/>
    <w:rsid w:val="44740857"/>
    <w:rsid w:val="447A08AC"/>
    <w:rsid w:val="44837FE9"/>
    <w:rsid w:val="44897BBE"/>
    <w:rsid w:val="449103F3"/>
    <w:rsid w:val="44917813"/>
    <w:rsid w:val="44971BFC"/>
    <w:rsid w:val="449921CF"/>
    <w:rsid w:val="449A71A0"/>
    <w:rsid w:val="44A13586"/>
    <w:rsid w:val="44A15406"/>
    <w:rsid w:val="44A41062"/>
    <w:rsid w:val="44AD18E6"/>
    <w:rsid w:val="44C12326"/>
    <w:rsid w:val="44C63FC8"/>
    <w:rsid w:val="44C74931"/>
    <w:rsid w:val="44CC372E"/>
    <w:rsid w:val="44CF11EB"/>
    <w:rsid w:val="44D17690"/>
    <w:rsid w:val="44D3620E"/>
    <w:rsid w:val="44D427FD"/>
    <w:rsid w:val="44DF0165"/>
    <w:rsid w:val="44E435AC"/>
    <w:rsid w:val="44E77290"/>
    <w:rsid w:val="44F943E6"/>
    <w:rsid w:val="450375CF"/>
    <w:rsid w:val="45084325"/>
    <w:rsid w:val="450F7E9B"/>
    <w:rsid w:val="451A5557"/>
    <w:rsid w:val="451C736E"/>
    <w:rsid w:val="452065D7"/>
    <w:rsid w:val="45285E2A"/>
    <w:rsid w:val="45297C57"/>
    <w:rsid w:val="452B1DE0"/>
    <w:rsid w:val="4531135A"/>
    <w:rsid w:val="4538231E"/>
    <w:rsid w:val="45415F14"/>
    <w:rsid w:val="45513D03"/>
    <w:rsid w:val="45564770"/>
    <w:rsid w:val="4560043F"/>
    <w:rsid w:val="45783A56"/>
    <w:rsid w:val="45797BB4"/>
    <w:rsid w:val="457D2474"/>
    <w:rsid w:val="4586581D"/>
    <w:rsid w:val="458723E9"/>
    <w:rsid w:val="45887911"/>
    <w:rsid w:val="458D63A4"/>
    <w:rsid w:val="45981F7D"/>
    <w:rsid w:val="4599697B"/>
    <w:rsid w:val="459C50E7"/>
    <w:rsid w:val="459D2602"/>
    <w:rsid w:val="45A56C92"/>
    <w:rsid w:val="45B70BA2"/>
    <w:rsid w:val="45B862EF"/>
    <w:rsid w:val="45BB5672"/>
    <w:rsid w:val="45CA13BF"/>
    <w:rsid w:val="45D158EB"/>
    <w:rsid w:val="45E27C65"/>
    <w:rsid w:val="45E91D43"/>
    <w:rsid w:val="45EB118E"/>
    <w:rsid w:val="45F010DE"/>
    <w:rsid w:val="45F03D6D"/>
    <w:rsid w:val="46062018"/>
    <w:rsid w:val="460A19F5"/>
    <w:rsid w:val="462D2A02"/>
    <w:rsid w:val="463728D7"/>
    <w:rsid w:val="463C6165"/>
    <w:rsid w:val="46447AE9"/>
    <w:rsid w:val="46455787"/>
    <w:rsid w:val="46517DB7"/>
    <w:rsid w:val="46585EE8"/>
    <w:rsid w:val="4658606B"/>
    <w:rsid w:val="465E0CB5"/>
    <w:rsid w:val="46633AB0"/>
    <w:rsid w:val="46654A15"/>
    <w:rsid w:val="466E4CEB"/>
    <w:rsid w:val="46717895"/>
    <w:rsid w:val="467C1854"/>
    <w:rsid w:val="468D6958"/>
    <w:rsid w:val="46AE1DB9"/>
    <w:rsid w:val="46BE2F70"/>
    <w:rsid w:val="46CC5D1F"/>
    <w:rsid w:val="46CD33D5"/>
    <w:rsid w:val="46CD3958"/>
    <w:rsid w:val="46D973C9"/>
    <w:rsid w:val="46DB20B2"/>
    <w:rsid w:val="46DE50BD"/>
    <w:rsid w:val="46DE5703"/>
    <w:rsid w:val="46E07FB1"/>
    <w:rsid w:val="46E268E8"/>
    <w:rsid w:val="46E97361"/>
    <w:rsid w:val="46F02599"/>
    <w:rsid w:val="46F34946"/>
    <w:rsid w:val="46FA647F"/>
    <w:rsid w:val="46FC7A2A"/>
    <w:rsid w:val="470049DE"/>
    <w:rsid w:val="47105E85"/>
    <w:rsid w:val="47126601"/>
    <w:rsid w:val="47164867"/>
    <w:rsid w:val="472B0981"/>
    <w:rsid w:val="47441CB5"/>
    <w:rsid w:val="47477072"/>
    <w:rsid w:val="474D40A3"/>
    <w:rsid w:val="47547A83"/>
    <w:rsid w:val="47666570"/>
    <w:rsid w:val="476C4FDC"/>
    <w:rsid w:val="47745B9E"/>
    <w:rsid w:val="4787656C"/>
    <w:rsid w:val="478A7273"/>
    <w:rsid w:val="478C5EA9"/>
    <w:rsid w:val="478E583C"/>
    <w:rsid w:val="47936C3D"/>
    <w:rsid w:val="4797513C"/>
    <w:rsid w:val="47977672"/>
    <w:rsid w:val="479E126B"/>
    <w:rsid w:val="47AD5284"/>
    <w:rsid w:val="47AD77D2"/>
    <w:rsid w:val="47B04716"/>
    <w:rsid w:val="47BB125E"/>
    <w:rsid w:val="47BD5DF6"/>
    <w:rsid w:val="47C30066"/>
    <w:rsid w:val="47CA381C"/>
    <w:rsid w:val="47CA5E85"/>
    <w:rsid w:val="47D30431"/>
    <w:rsid w:val="47D63C75"/>
    <w:rsid w:val="47D85FB2"/>
    <w:rsid w:val="47DA2B95"/>
    <w:rsid w:val="47DB3C24"/>
    <w:rsid w:val="47DD687D"/>
    <w:rsid w:val="47DE1518"/>
    <w:rsid w:val="47E3756D"/>
    <w:rsid w:val="47E5627E"/>
    <w:rsid w:val="47EA119E"/>
    <w:rsid w:val="47EB28D1"/>
    <w:rsid w:val="47F35C67"/>
    <w:rsid w:val="47F65B55"/>
    <w:rsid w:val="48080972"/>
    <w:rsid w:val="481A453C"/>
    <w:rsid w:val="481B3137"/>
    <w:rsid w:val="481F79AE"/>
    <w:rsid w:val="48202CAE"/>
    <w:rsid w:val="48256D81"/>
    <w:rsid w:val="482C6734"/>
    <w:rsid w:val="48372B84"/>
    <w:rsid w:val="483C3587"/>
    <w:rsid w:val="484062BE"/>
    <w:rsid w:val="484C7D17"/>
    <w:rsid w:val="4857391C"/>
    <w:rsid w:val="485A326C"/>
    <w:rsid w:val="485E3601"/>
    <w:rsid w:val="486305E8"/>
    <w:rsid w:val="48634F2C"/>
    <w:rsid w:val="486533E9"/>
    <w:rsid w:val="48717020"/>
    <w:rsid w:val="4871715A"/>
    <w:rsid w:val="487870CD"/>
    <w:rsid w:val="487F1549"/>
    <w:rsid w:val="48847F83"/>
    <w:rsid w:val="48872768"/>
    <w:rsid w:val="488823C0"/>
    <w:rsid w:val="48940380"/>
    <w:rsid w:val="489465E4"/>
    <w:rsid w:val="489511DB"/>
    <w:rsid w:val="489B34E7"/>
    <w:rsid w:val="489B3530"/>
    <w:rsid w:val="48A46208"/>
    <w:rsid w:val="48A53A58"/>
    <w:rsid w:val="48A6481C"/>
    <w:rsid w:val="48AA1056"/>
    <w:rsid w:val="48CD39EB"/>
    <w:rsid w:val="48CD50EF"/>
    <w:rsid w:val="48D47422"/>
    <w:rsid w:val="48E4067A"/>
    <w:rsid w:val="48FF5F89"/>
    <w:rsid w:val="49096C7F"/>
    <w:rsid w:val="490D13D0"/>
    <w:rsid w:val="49122902"/>
    <w:rsid w:val="491348D4"/>
    <w:rsid w:val="491D214E"/>
    <w:rsid w:val="49274A10"/>
    <w:rsid w:val="49294F7F"/>
    <w:rsid w:val="4932249B"/>
    <w:rsid w:val="4935218E"/>
    <w:rsid w:val="49485A59"/>
    <w:rsid w:val="494F0DCE"/>
    <w:rsid w:val="494F75F9"/>
    <w:rsid w:val="49534E71"/>
    <w:rsid w:val="495637E5"/>
    <w:rsid w:val="497712A5"/>
    <w:rsid w:val="49794FCC"/>
    <w:rsid w:val="497C4C72"/>
    <w:rsid w:val="49842A83"/>
    <w:rsid w:val="49853860"/>
    <w:rsid w:val="49865F45"/>
    <w:rsid w:val="49925D5B"/>
    <w:rsid w:val="499A5A8E"/>
    <w:rsid w:val="49A061CC"/>
    <w:rsid w:val="49A40B3C"/>
    <w:rsid w:val="49C60FA8"/>
    <w:rsid w:val="49C66CB3"/>
    <w:rsid w:val="49C92020"/>
    <w:rsid w:val="49D14800"/>
    <w:rsid w:val="49D81E21"/>
    <w:rsid w:val="49E260E5"/>
    <w:rsid w:val="49E27613"/>
    <w:rsid w:val="49E64291"/>
    <w:rsid w:val="49F86376"/>
    <w:rsid w:val="4A023F40"/>
    <w:rsid w:val="4A0C6A2C"/>
    <w:rsid w:val="4A0D173A"/>
    <w:rsid w:val="4A0F5F3A"/>
    <w:rsid w:val="4A1A5339"/>
    <w:rsid w:val="4A2276BC"/>
    <w:rsid w:val="4A2460C6"/>
    <w:rsid w:val="4A2675E9"/>
    <w:rsid w:val="4A283F7E"/>
    <w:rsid w:val="4A3225B5"/>
    <w:rsid w:val="4A3D111B"/>
    <w:rsid w:val="4A424AC0"/>
    <w:rsid w:val="4A537EC8"/>
    <w:rsid w:val="4A5810C9"/>
    <w:rsid w:val="4A6500F7"/>
    <w:rsid w:val="4A666DEE"/>
    <w:rsid w:val="4A703CB6"/>
    <w:rsid w:val="4A765C9D"/>
    <w:rsid w:val="4A78588E"/>
    <w:rsid w:val="4A7C0535"/>
    <w:rsid w:val="4A82495E"/>
    <w:rsid w:val="4A854BD8"/>
    <w:rsid w:val="4A8E5771"/>
    <w:rsid w:val="4A8F77D9"/>
    <w:rsid w:val="4A946326"/>
    <w:rsid w:val="4A9B1661"/>
    <w:rsid w:val="4AA032E3"/>
    <w:rsid w:val="4AAD5EE8"/>
    <w:rsid w:val="4AB623A4"/>
    <w:rsid w:val="4AB91269"/>
    <w:rsid w:val="4AC4051F"/>
    <w:rsid w:val="4ACE0E6D"/>
    <w:rsid w:val="4ADC5295"/>
    <w:rsid w:val="4ADD3943"/>
    <w:rsid w:val="4AEE3DA2"/>
    <w:rsid w:val="4AF11A8C"/>
    <w:rsid w:val="4AF13F73"/>
    <w:rsid w:val="4AF23D24"/>
    <w:rsid w:val="4AF7046C"/>
    <w:rsid w:val="4AFBF6CA"/>
    <w:rsid w:val="4B080E15"/>
    <w:rsid w:val="4B1B6308"/>
    <w:rsid w:val="4B2574EF"/>
    <w:rsid w:val="4B2F3D40"/>
    <w:rsid w:val="4B346467"/>
    <w:rsid w:val="4B392E5F"/>
    <w:rsid w:val="4B3A044E"/>
    <w:rsid w:val="4B3A5851"/>
    <w:rsid w:val="4B3D7782"/>
    <w:rsid w:val="4B3F212A"/>
    <w:rsid w:val="4B5374BF"/>
    <w:rsid w:val="4B5E21B7"/>
    <w:rsid w:val="4B5F2620"/>
    <w:rsid w:val="4B6F76FE"/>
    <w:rsid w:val="4B730535"/>
    <w:rsid w:val="4B7726BE"/>
    <w:rsid w:val="4B805C4A"/>
    <w:rsid w:val="4B845B88"/>
    <w:rsid w:val="4B856249"/>
    <w:rsid w:val="4B86550A"/>
    <w:rsid w:val="4B87698B"/>
    <w:rsid w:val="4B887D52"/>
    <w:rsid w:val="4B8B6A0E"/>
    <w:rsid w:val="4B8C7039"/>
    <w:rsid w:val="4B9224A6"/>
    <w:rsid w:val="4B936ABD"/>
    <w:rsid w:val="4B944422"/>
    <w:rsid w:val="4B997636"/>
    <w:rsid w:val="4B9E6F6A"/>
    <w:rsid w:val="4B9F03CC"/>
    <w:rsid w:val="4BB47E1F"/>
    <w:rsid w:val="4BBE37EE"/>
    <w:rsid w:val="4BC251B7"/>
    <w:rsid w:val="4BCE6852"/>
    <w:rsid w:val="4BD06D2F"/>
    <w:rsid w:val="4BD841C5"/>
    <w:rsid w:val="4BDA4F73"/>
    <w:rsid w:val="4BDC0F33"/>
    <w:rsid w:val="4BE77FCC"/>
    <w:rsid w:val="4BED636F"/>
    <w:rsid w:val="4BF14F9B"/>
    <w:rsid w:val="4BF46F2F"/>
    <w:rsid w:val="4BF6A555"/>
    <w:rsid w:val="4BFB49C8"/>
    <w:rsid w:val="4BFE5ACD"/>
    <w:rsid w:val="4C0B6AB1"/>
    <w:rsid w:val="4C0D4890"/>
    <w:rsid w:val="4C1B2850"/>
    <w:rsid w:val="4C2D46EF"/>
    <w:rsid w:val="4C3D4FA2"/>
    <w:rsid w:val="4C3E6663"/>
    <w:rsid w:val="4C474937"/>
    <w:rsid w:val="4C491B07"/>
    <w:rsid w:val="4C4A207D"/>
    <w:rsid w:val="4C4B2C4D"/>
    <w:rsid w:val="4C4F6A63"/>
    <w:rsid w:val="4C5178DF"/>
    <w:rsid w:val="4C577971"/>
    <w:rsid w:val="4C5B49CB"/>
    <w:rsid w:val="4C63032F"/>
    <w:rsid w:val="4C705523"/>
    <w:rsid w:val="4C7345DA"/>
    <w:rsid w:val="4C7725FA"/>
    <w:rsid w:val="4C7822D9"/>
    <w:rsid w:val="4C7A267A"/>
    <w:rsid w:val="4C7C1EF7"/>
    <w:rsid w:val="4C825379"/>
    <w:rsid w:val="4C8B51E7"/>
    <w:rsid w:val="4C9170DB"/>
    <w:rsid w:val="4C9A0F4C"/>
    <w:rsid w:val="4CA33709"/>
    <w:rsid w:val="4CAA32F9"/>
    <w:rsid w:val="4CB6799A"/>
    <w:rsid w:val="4CB73C39"/>
    <w:rsid w:val="4CB95DC5"/>
    <w:rsid w:val="4CC70BA1"/>
    <w:rsid w:val="4CCC3B6A"/>
    <w:rsid w:val="4CDA1974"/>
    <w:rsid w:val="4CE23F66"/>
    <w:rsid w:val="4CE274E1"/>
    <w:rsid w:val="4CEB2926"/>
    <w:rsid w:val="4CF50CA5"/>
    <w:rsid w:val="4CF51418"/>
    <w:rsid w:val="4CF520A9"/>
    <w:rsid w:val="4CF76A87"/>
    <w:rsid w:val="4CFC7764"/>
    <w:rsid w:val="4CFD0124"/>
    <w:rsid w:val="4D0E7BF7"/>
    <w:rsid w:val="4D1C67F4"/>
    <w:rsid w:val="4D2103A6"/>
    <w:rsid w:val="4D2F1E3C"/>
    <w:rsid w:val="4D3117A5"/>
    <w:rsid w:val="4D3D3D3B"/>
    <w:rsid w:val="4D493969"/>
    <w:rsid w:val="4D4D1A20"/>
    <w:rsid w:val="4D4F1893"/>
    <w:rsid w:val="4D4F7FA7"/>
    <w:rsid w:val="4D553A1D"/>
    <w:rsid w:val="4D564C40"/>
    <w:rsid w:val="4D5F0F87"/>
    <w:rsid w:val="4D6A260A"/>
    <w:rsid w:val="4D837BE9"/>
    <w:rsid w:val="4D8A4090"/>
    <w:rsid w:val="4D930C30"/>
    <w:rsid w:val="4D9314BD"/>
    <w:rsid w:val="4D95463C"/>
    <w:rsid w:val="4D955172"/>
    <w:rsid w:val="4D9B1EF1"/>
    <w:rsid w:val="4D9D769B"/>
    <w:rsid w:val="4D9E4269"/>
    <w:rsid w:val="4D9E6FF7"/>
    <w:rsid w:val="4DA1100B"/>
    <w:rsid w:val="4DAF6853"/>
    <w:rsid w:val="4DB27D0D"/>
    <w:rsid w:val="4DB34C39"/>
    <w:rsid w:val="4DB72B71"/>
    <w:rsid w:val="4DC87CC2"/>
    <w:rsid w:val="4DD01786"/>
    <w:rsid w:val="4DD30E23"/>
    <w:rsid w:val="4DD46DBD"/>
    <w:rsid w:val="4DE023F6"/>
    <w:rsid w:val="4DE231A4"/>
    <w:rsid w:val="4DE31669"/>
    <w:rsid w:val="4DE427F1"/>
    <w:rsid w:val="4DEB5ED4"/>
    <w:rsid w:val="4DF0371C"/>
    <w:rsid w:val="4DF521ED"/>
    <w:rsid w:val="4E0435E4"/>
    <w:rsid w:val="4E0854DE"/>
    <w:rsid w:val="4E164725"/>
    <w:rsid w:val="4E256BFB"/>
    <w:rsid w:val="4E263853"/>
    <w:rsid w:val="4E2C3F9C"/>
    <w:rsid w:val="4E2D0CA3"/>
    <w:rsid w:val="4E343268"/>
    <w:rsid w:val="4E370CE2"/>
    <w:rsid w:val="4E3A77DB"/>
    <w:rsid w:val="4E3D497D"/>
    <w:rsid w:val="4E3E7CC5"/>
    <w:rsid w:val="4E413412"/>
    <w:rsid w:val="4E416784"/>
    <w:rsid w:val="4E4168DE"/>
    <w:rsid w:val="4E510BCF"/>
    <w:rsid w:val="4E5B7AB7"/>
    <w:rsid w:val="4E633AAD"/>
    <w:rsid w:val="4E64671E"/>
    <w:rsid w:val="4E6B752B"/>
    <w:rsid w:val="4E706BD9"/>
    <w:rsid w:val="4E752360"/>
    <w:rsid w:val="4E756E04"/>
    <w:rsid w:val="4E79303D"/>
    <w:rsid w:val="4E7B3203"/>
    <w:rsid w:val="4E7D3074"/>
    <w:rsid w:val="4E8042C2"/>
    <w:rsid w:val="4E8430BC"/>
    <w:rsid w:val="4E84765D"/>
    <w:rsid w:val="4E8C59CD"/>
    <w:rsid w:val="4E90659C"/>
    <w:rsid w:val="4EA324B2"/>
    <w:rsid w:val="4EA84B7B"/>
    <w:rsid w:val="4EAA53A5"/>
    <w:rsid w:val="4EAC01FC"/>
    <w:rsid w:val="4EB03ACD"/>
    <w:rsid w:val="4EBB0C4A"/>
    <w:rsid w:val="4EBB3DA1"/>
    <w:rsid w:val="4EBC067F"/>
    <w:rsid w:val="4EBD23D8"/>
    <w:rsid w:val="4EBD2537"/>
    <w:rsid w:val="4EBE454C"/>
    <w:rsid w:val="4ECE50A9"/>
    <w:rsid w:val="4ED1207D"/>
    <w:rsid w:val="4ED31ED2"/>
    <w:rsid w:val="4ED37969"/>
    <w:rsid w:val="4EDD1D3C"/>
    <w:rsid w:val="4EE0584C"/>
    <w:rsid w:val="4EEA49FC"/>
    <w:rsid w:val="4EF73CBF"/>
    <w:rsid w:val="4EFE07B3"/>
    <w:rsid w:val="4F010023"/>
    <w:rsid w:val="4F096B1E"/>
    <w:rsid w:val="4F1473B1"/>
    <w:rsid w:val="4F2E29BF"/>
    <w:rsid w:val="4F36280C"/>
    <w:rsid w:val="4F375C76"/>
    <w:rsid w:val="4F46028A"/>
    <w:rsid w:val="4F487E68"/>
    <w:rsid w:val="4F4B4193"/>
    <w:rsid w:val="4F4F2935"/>
    <w:rsid w:val="4F4F6FAF"/>
    <w:rsid w:val="4F5007D2"/>
    <w:rsid w:val="4F6660EA"/>
    <w:rsid w:val="4F6FBF3D"/>
    <w:rsid w:val="4F722545"/>
    <w:rsid w:val="4F77CF2B"/>
    <w:rsid w:val="4F797A2A"/>
    <w:rsid w:val="4F7A0743"/>
    <w:rsid w:val="4F857D3F"/>
    <w:rsid w:val="4F8D33B9"/>
    <w:rsid w:val="4F906D1C"/>
    <w:rsid w:val="4F98774B"/>
    <w:rsid w:val="4FA85A66"/>
    <w:rsid w:val="4FB24FC6"/>
    <w:rsid w:val="4FB734E9"/>
    <w:rsid w:val="4FBD0EC6"/>
    <w:rsid w:val="4FBE1A40"/>
    <w:rsid w:val="4FC04B6E"/>
    <w:rsid w:val="4FC71B1E"/>
    <w:rsid w:val="4FD04018"/>
    <w:rsid w:val="4FDE5043"/>
    <w:rsid w:val="4FE979FF"/>
    <w:rsid w:val="4FF06181"/>
    <w:rsid w:val="4FF3F5CF"/>
    <w:rsid w:val="4FF82FCD"/>
    <w:rsid w:val="4FF979E7"/>
    <w:rsid w:val="4FFB12C3"/>
    <w:rsid w:val="4FFB6924"/>
    <w:rsid w:val="4FFC6FA6"/>
    <w:rsid w:val="50020977"/>
    <w:rsid w:val="50047817"/>
    <w:rsid w:val="50056873"/>
    <w:rsid w:val="50090B59"/>
    <w:rsid w:val="500B5B2F"/>
    <w:rsid w:val="500F5A12"/>
    <w:rsid w:val="50175BAE"/>
    <w:rsid w:val="501905BE"/>
    <w:rsid w:val="501A03F4"/>
    <w:rsid w:val="502A54B0"/>
    <w:rsid w:val="5030757B"/>
    <w:rsid w:val="503134C5"/>
    <w:rsid w:val="50335379"/>
    <w:rsid w:val="504207EC"/>
    <w:rsid w:val="504602B3"/>
    <w:rsid w:val="504B1324"/>
    <w:rsid w:val="504B18B0"/>
    <w:rsid w:val="504C5274"/>
    <w:rsid w:val="50531DDB"/>
    <w:rsid w:val="50567449"/>
    <w:rsid w:val="5058283D"/>
    <w:rsid w:val="50636016"/>
    <w:rsid w:val="50712E2B"/>
    <w:rsid w:val="50722C3D"/>
    <w:rsid w:val="50781958"/>
    <w:rsid w:val="507D5D0E"/>
    <w:rsid w:val="508017E5"/>
    <w:rsid w:val="508A02F6"/>
    <w:rsid w:val="508A6F57"/>
    <w:rsid w:val="508D2EA3"/>
    <w:rsid w:val="509277A7"/>
    <w:rsid w:val="509A2B48"/>
    <w:rsid w:val="509F6383"/>
    <w:rsid w:val="50A35F37"/>
    <w:rsid w:val="50A92756"/>
    <w:rsid w:val="50AA03A9"/>
    <w:rsid w:val="50AA41B0"/>
    <w:rsid w:val="50AB5FC1"/>
    <w:rsid w:val="50AC49F8"/>
    <w:rsid w:val="50AD2EBA"/>
    <w:rsid w:val="50B24ECD"/>
    <w:rsid w:val="50BB616B"/>
    <w:rsid w:val="50BC7741"/>
    <w:rsid w:val="50C4659A"/>
    <w:rsid w:val="50C50C0B"/>
    <w:rsid w:val="50D16E51"/>
    <w:rsid w:val="50DB150D"/>
    <w:rsid w:val="50DD4147"/>
    <w:rsid w:val="50E2643C"/>
    <w:rsid w:val="50F87905"/>
    <w:rsid w:val="50F96FFC"/>
    <w:rsid w:val="51117303"/>
    <w:rsid w:val="51255559"/>
    <w:rsid w:val="5142082A"/>
    <w:rsid w:val="514364CA"/>
    <w:rsid w:val="51470059"/>
    <w:rsid w:val="515524EE"/>
    <w:rsid w:val="51565785"/>
    <w:rsid w:val="515A2208"/>
    <w:rsid w:val="51607CC0"/>
    <w:rsid w:val="516128F3"/>
    <w:rsid w:val="51656E18"/>
    <w:rsid w:val="51696C81"/>
    <w:rsid w:val="516E46B9"/>
    <w:rsid w:val="51711842"/>
    <w:rsid w:val="517B0281"/>
    <w:rsid w:val="517E691A"/>
    <w:rsid w:val="5186682C"/>
    <w:rsid w:val="519128A7"/>
    <w:rsid w:val="51927225"/>
    <w:rsid w:val="51932FAD"/>
    <w:rsid w:val="51984A67"/>
    <w:rsid w:val="51A41F54"/>
    <w:rsid w:val="51A437F8"/>
    <w:rsid w:val="51AA7BCA"/>
    <w:rsid w:val="51AD218E"/>
    <w:rsid w:val="51C07CD4"/>
    <w:rsid w:val="51C53468"/>
    <w:rsid w:val="51CA46DB"/>
    <w:rsid w:val="51CC5E52"/>
    <w:rsid w:val="51CE48F4"/>
    <w:rsid w:val="51D945F1"/>
    <w:rsid w:val="51DE55D9"/>
    <w:rsid w:val="51E64C6C"/>
    <w:rsid w:val="51E85E07"/>
    <w:rsid w:val="51E97834"/>
    <w:rsid w:val="51EA20C4"/>
    <w:rsid w:val="51EB2DE9"/>
    <w:rsid w:val="51EF630A"/>
    <w:rsid w:val="51F253E2"/>
    <w:rsid w:val="51F678BC"/>
    <w:rsid w:val="52037C5E"/>
    <w:rsid w:val="5207021F"/>
    <w:rsid w:val="52217CE5"/>
    <w:rsid w:val="52244115"/>
    <w:rsid w:val="522706AA"/>
    <w:rsid w:val="52277F39"/>
    <w:rsid w:val="52356D05"/>
    <w:rsid w:val="523C5199"/>
    <w:rsid w:val="52476263"/>
    <w:rsid w:val="52494D95"/>
    <w:rsid w:val="5255A5FB"/>
    <w:rsid w:val="52585A3D"/>
    <w:rsid w:val="525C1B87"/>
    <w:rsid w:val="52664D9C"/>
    <w:rsid w:val="52691172"/>
    <w:rsid w:val="526D78CD"/>
    <w:rsid w:val="52783349"/>
    <w:rsid w:val="52805941"/>
    <w:rsid w:val="528667F5"/>
    <w:rsid w:val="528D20F2"/>
    <w:rsid w:val="528F5A10"/>
    <w:rsid w:val="52950132"/>
    <w:rsid w:val="52980ABA"/>
    <w:rsid w:val="52986C1C"/>
    <w:rsid w:val="529C40E3"/>
    <w:rsid w:val="52AA4A52"/>
    <w:rsid w:val="52AD3A3B"/>
    <w:rsid w:val="52B77529"/>
    <w:rsid w:val="52B81C23"/>
    <w:rsid w:val="52B909B3"/>
    <w:rsid w:val="52BB4157"/>
    <w:rsid w:val="52D2183E"/>
    <w:rsid w:val="52D36352"/>
    <w:rsid w:val="52DA0297"/>
    <w:rsid w:val="52EC1047"/>
    <w:rsid w:val="52ED5DEA"/>
    <w:rsid w:val="52F47741"/>
    <w:rsid w:val="530128C4"/>
    <w:rsid w:val="53083F7B"/>
    <w:rsid w:val="530F65DC"/>
    <w:rsid w:val="53107FB2"/>
    <w:rsid w:val="531425EA"/>
    <w:rsid w:val="531C5F99"/>
    <w:rsid w:val="53283D31"/>
    <w:rsid w:val="532971EE"/>
    <w:rsid w:val="53342EED"/>
    <w:rsid w:val="533C1C7C"/>
    <w:rsid w:val="533E2D95"/>
    <w:rsid w:val="53462285"/>
    <w:rsid w:val="53481FC4"/>
    <w:rsid w:val="534B2D1C"/>
    <w:rsid w:val="534E0E94"/>
    <w:rsid w:val="535D2428"/>
    <w:rsid w:val="535D5BDA"/>
    <w:rsid w:val="535D700F"/>
    <w:rsid w:val="537428D4"/>
    <w:rsid w:val="53755060"/>
    <w:rsid w:val="5379313B"/>
    <w:rsid w:val="539B26E1"/>
    <w:rsid w:val="53A92F35"/>
    <w:rsid w:val="53AA0151"/>
    <w:rsid w:val="53B5189A"/>
    <w:rsid w:val="53B86CFB"/>
    <w:rsid w:val="53B92A73"/>
    <w:rsid w:val="53C168F0"/>
    <w:rsid w:val="53C20893"/>
    <w:rsid w:val="53CA72FB"/>
    <w:rsid w:val="53CB34C1"/>
    <w:rsid w:val="53CE6084"/>
    <w:rsid w:val="53D44C40"/>
    <w:rsid w:val="53DA36A3"/>
    <w:rsid w:val="53DF6E04"/>
    <w:rsid w:val="53E2062C"/>
    <w:rsid w:val="53F97BCB"/>
    <w:rsid w:val="53FD6840"/>
    <w:rsid w:val="540063B6"/>
    <w:rsid w:val="54013732"/>
    <w:rsid w:val="54015B51"/>
    <w:rsid w:val="54067771"/>
    <w:rsid w:val="540E1CF8"/>
    <w:rsid w:val="540E4FD8"/>
    <w:rsid w:val="54117930"/>
    <w:rsid w:val="54161C73"/>
    <w:rsid w:val="541841D8"/>
    <w:rsid w:val="541F0CAA"/>
    <w:rsid w:val="542231A6"/>
    <w:rsid w:val="54276D04"/>
    <w:rsid w:val="542829C1"/>
    <w:rsid w:val="542D5142"/>
    <w:rsid w:val="5431302E"/>
    <w:rsid w:val="54423562"/>
    <w:rsid w:val="54455ECE"/>
    <w:rsid w:val="54493CE9"/>
    <w:rsid w:val="54505F63"/>
    <w:rsid w:val="54534BBC"/>
    <w:rsid w:val="54571CF3"/>
    <w:rsid w:val="54572481"/>
    <w:rsid w:val="545F3C73"/>
    <w:rsid w:val="545F7E35"/>
    <w:rsid w:val="54602663"/>
    <w:rsid w:val="546A7457"/>
    <w:rsid w:val="54706016"/>
    <w:rsid w:val="5478476D"/>
    <w:rsid w:val="547A4856"/>
    <w:rsid w:val="5486256C"/>
    <w:rsid w:val="54865646"/>
    <w:rsid w:val="548E6B62"/>
    <w:rsid w:val="549910AD"/>
    <w:rsid w:val="549B326B"/>
    <w:rsid w:val="549C4C8E"/>
    <w:rsid w:val="54A572C9"/>
    <w:rsid w:val="54AE0BE6"/>
    <w:rsid w:val="54BE3C9B"/>
    <w:rsid w:val="54C20C5A"/>
    <w:rsid w:val="54C211B5"/>
    <w:rsid w:val="54C364ED"/>
    <w:rsid w:val="54D738EE"/>
    <w:rsid w:val="54D82E43"/>
    <w:rsid w:val="54DD7100"/>
    <w:rsid w:val="54E34791"/>
    <w:rsid w:val="54E81EAA"/>
    <w:rsid w:val="54E824C0"/>
    <w:rsid w:val="54F254DA"/>
    <w:rsid w:val="54F727B6"/>
    <w:rsid w:val="54F92CB9"/>
    <w:rsid w:val="55031A35"/>
    <w:rsid w:val="550C3CDC"/>
    <w:rsid w:val="550F34F1"/>
    <w:rsid w:val="55107337"/>
    <w:rsid w:val="55117E42"/>
    <w:rsid w:val="55127CC7"/>
    <w:rsid w:val="5514184F"/>
    <w:rsid w:val="552F2099"/>
    <w:rsid w:val="553756E5"/>
    <w:rsid w:val="55490275"/>
    <w:rsid w:val="554A3504"/>
    <w:rsid w:val="55576904"/>
    <w:rsid w:val="555A4411"/>
    <w:rsid w:val="555C05DB"/>
    <w:rsid w:val="555D485C"/>
    <w:rsid w:val="55630F37"/>
    <w:rsid w:val="556B3303"/>
    <w:rsid w:val="557A0AFD"/>
    <w:rsid w:val="557B0497"/>
    <w:rsid w:val="55800DC5"/>
    <w:rsid w:val="558B515F"/>
    <w:rsid w:val="558E065B"/>
    <w:rsid w:val="55BE2E5B"/>
    <w:rsid w:val="55D428DF"/>
    <w:rsid w:val="55D44E8B"/>
    <w:rsid w:val="55DC42D0"/>
    <w:rsid w:val="55DF20A6"/>
    <w:rsid w:val="55E852F5"/>
    <w:rsid w:val="55EC44C9"/>
    <w:rsid w:val="55F43B57"/>
    <w:rsid w:val="55FE573A"/>
    <w:rsid w:val="56073B5C"/>
    <w:rsid w:val="56077ECD"/>
    <w:rsid w:val="56085E67"/>
    <w:rsid w:val="562A55C6"/>
    <w:rsid w:val="562E2350"/>
    <w:rsid w:val="56363907"/>
    <w:rsid w:val="563F14B2"/>
    <w:rsid w:val="56473B1F"/>
    <w:rsid w:val="565035FA"/>
    <w:rsid w:val="56552DC9"/>
    <w:rsid w:val="566A787E"/>
    <w:rsid w:val="566D3406"/>
    <w:rsid w:val="566D3D9C"/>
    <w:rsid w:val="566E6AD5"/>
    <w:rsid w:val="567D16D5"/>
    <w:rsid w:val="567F3E09"/>
    <w:rsid w:val="568461BA"/>
    <w:rsid w:val="56906AB4"/>
    <w:rsid w:val="569870EB"/>
    <w:rsid w:val="56AB33E8"/>
    <w:rsid w:val="56AE26F9"/>
    <w:rsid w:val="56B301AF"/>
    <w:rsid w:val="56DB5E50"/>
    <w:rsid w:val="56DD388E"/>
    <w:rsid w:val="56DE040E"/>
    <w:rsid w:val="56E74E8F"/>
    <w:rsid w:val="56E8019D"/>
    <w:rsid w:val="56F71A96"/>
    <w:rsid w:val="57047A27"/>
    <w:rsid w:val="57066ED2"/>
    <w:rsid w:val="570F55EE"/>
    <w:rsid w:val="57120E18"/>
    <w:rsid w:val="571F4A5E"/>
    <w:rsid w:val="57231A7B"/>
    <w:rsid w:val="5730504B"/>
    <w:rsid w:val="573557EB"/>
    <w:rsid w:val="574646F1"/>
    <w:rsid w:val="57575273"/>
    <w:rsid w:val="575B2EB9"/>
    <w:rsid w:val="576F12A4"/>
    <w:rsid w:val="576F2467"/>
    <w:rsid w:val="57746FBC"/>
    <w:rsid w:val="57847FAF"/>
    <w:rsid w:val="578F1F17"/>
    <w:rsid w:val="57A34124"/>
    <w:rsid w:val="57A53055"/>
    <w:rsid w:val="57A73A2A"/>
    <w:rsid w:val="57A87E77"/>
    <w:rsid w:val="57B1328D"/>
    <w:rsid w:val="57BC04AD"/>
    <w:rsid w:val="57BE67AD"/>
    <w:rsid w:val="57C36AEA"/>
    <w:rsid w:val="57C72EE5"/>
    <w:rsid w:val="57D211EC"/>
    <w:rsid w:val="57D36B15"/>
    <w:rsid w:val="57DD6205"/>
    <w:rsid w:val="57E1780D"/>
    <w:rsid w:val="57F64296"/>
    <w:rsid w:val="57F94F70"/>
    <w:rsid w:val="57FA3D08"/>
    <w:rsid w:val="57FB0AA2"/>
    <w:rsid w:val="57FF0F54"/>
    <w:rsid w:val="58002D06"/>
    <w:rsid w:val="580A4E9F"/>
    <w:rsid w:val="58114DEC"/>
    <w:rsid w:val="58155325"/>
    <w:rsid w:val="581C5829"/>
    <w:rsid w:val="581E56AB"/>
    <w:rsid w:val="58233AF6"/>
    <w:rsid w:val="58261A57"/>
    <w:rsid w:val="582B2191"/>
    <w:rsid w:val="582E15C3"/>
    <w:rsid w:val="58317F55"/>
    <w:rsid w:val="583C6497"/>
    <w:rsid w:val="584011CD"/>
    <w:rsid w:val="584560EB"/>
    <w:rsid w:val="58463257"/>
    <w:rsid w:val="58472864"/>
    <w:rsid w:val="58477B29"/>
    <w:rsid w:val="58481100"/>
    <w:rsid w:val="584A3BC7"/>
    <w:rsid w:val="584C6F5E"/>
    <w:rsid w:val="584E0CC0"/>
    <w:rsid w:val="584F023F"/>
    <w:rsid w:val="58520CCA"/>
    <w:rsid w:val="5865398D"/>
    <w:rsid w:val="58695E84"/>
    <w:rsid w:val="586C4192"/>
    <w:rsid w:val="58727DC0"/>
    <w:rsid w:val="58776AD3"/>
    <w:rsid w:val="58842069"/>
    <w:rsid w:val="588834ED"/>
    <w:rsid w:val="58883BC0"/>
    <w:rsid w:val="588A089C"/>
    <w:rsid w:val="58940903"/>
    <w:rsid w:val="589D087E"/>
    <w:rsid w:val="58A337DD"/>
    <w:rsid w:val="58AA3C93"/>
    <w:rsid w:val="58AE3457"/>
    <w:rsid w:val="58AF4AB5"/>
    <w:rsid w:val="58B06909"/>
    <w:rsid w:val="58B8273B"/>
    <w:rsid w:val="58BE4C70"/>
    <w:rsid w:val="58C41E34"/>
    <w:rsid w:val="58C830B8"/>
    <w:rsid w:val="58CB5722"/>
    <w:rsid w:val="58CE0D6F"/>
    <w:rsid w:val="58E120FE"/>
    <w:rsid w:val="58F16F94"/>
    <w:rsid w:val="58F245CA"/>
    <w:rsid w:val="58F40970"/>
    <w:rsid w:val="58F71EDE"/>
    <w:rsid w:val="58F938F5"/>
    <w:rsid w:val="58FA3B33"/>
    <w:rsid w:val="59035324"/>
    <w:rsid w:val="590354DC"/>
    <w:rsid w:val="59072088"/>
    <w:rsid w:val="590E245D"/>
    <w:rsid w:val="59135E09"/>
    <w:rsid w:val="591C76F7"/>
    <w:rsid w:val="591E3647"/>
    <w:rsid w:val="592F0886"/>
    <w:rsid w:val="592F127B"/>
    <w:rsid w:val="593D15AE"/>
    <w:rsid w:val="593D5CC4"/>
    <w:rsid w:val="59437D60"/>
    <w:rsid w:val="594400B4"/>
    <w:rsid w:val="59484D7C"/>
    <w:rsid w:val="594B0D64"/>
    <w:rsid w:val="594C4628"/>
    <w:rsid w:val="59561F7F"/>
    <w:rsid w:val="59567AFB"/>
    <w:rsid w:val="595B5682"/>
    <w:rsid w:val="595C2AEA"/>
    <w:rsid w:val="5963776F"/>
    <w:rsid w:val="59683DA2"/>
    <w:rsid w:val="596B3A72"/>
    <w:rsid w:val="59747A15"/>
    <w:rsid w:val="597D1A7E"/>
    <w:rsid w:val="598336CA"/>
    <w:rsid w:val="598A258E"/>
    <w:rsid w:val="59917439"/>
    <w:rsid w:val="599307F7"/>
    <w:rsid w:val="599836DD"/>
    <w:rsid w:val="599F0236"/>
    <w:rsid w:val="59A226AB"/>
    <w:rsid w:val="59A90B9B"/>
    <w:rsid w:val="59B10356"/>
    <w:rsid w:val="59B12A73"/>
    <w:rsid w:val="59B24A33"/>
    <w:rsid w:val="59C604B3"/>
    <w:rsid w:val="59C96A1D"/>
    <w:rsid w:val="59CB13CA"/>
    <w:rsid w:val="59D223BD"/>
    <w:rsid w:val="59D315C0"/>
    <w:rsid w:val="59D56BAC"/>
    <w:rsid w:val="59E04108"/>
    <w:rsid w:val="59E3787C"/>
    <w:rsid w:val="59E55A4B"/>
    <w:rsid w:val="59E91102"/>
    <w:rsid w:val="59F15546"/>
    <w:rsid w:val="59F81FFB"/>
    <w:rsid w:val="59F90479"/>
    <w:rsid w:val="5A022080"/>
    <w:rsid w:val="5A026F22"/>
    <w:rsid w:val="5A043DF6"/>
    <w:rsid w:val="5A086DA9"/>
    <w:rsid w:val="5A0D3B56"/>
    <w:rsid w:val="5A0F7F9A"/>
    <w:rsid w:val="5A1830D9"/>
    <w:rsid w:val="5A1C00F9"/>
    <w:rsid w:val="5A1C2F0A"/>
    <w:rsid w:val="5A276705"/>
    <w:rsid w:val="5A310072"/>
    <w:rsid w:val="5A330001"/>
    <w:rsid w:val="5A3A36FE"/>
    <w:rsid w:val="5A416C31"/>
    <w:rsid w:val="5A427F51"/>
    <w:rsid w:val="5A4673CB"/>
    <w:rsid w:val="5A473DB4"/>
    <w:rsid w:val="5A4A36B7"/>
    <w:rsid w:val="5A4B1E8D"/>
    <w:rsid w:val="5A4D0557"/>
    <w:rsid w:val="5A526CAB"/>
    <w:rsid w:val="5A621F5F"/>
    <w:rsid w:val="5A770877"/>
    <w:rsid w:val="5A7E652C"/>
    <w:rsid w:val="5A8538E0"/>
    <w:rsid w:val="5A8738CB"/>
    <w:rsid w:val="5A8916F8"/>
    <w:rsid w:val="5A990272"/>
    <w:rsid w:val="5A9A1BC4"/>
    <w:rsid w:val="5A9B4E12"/>
    <w:rsid w:val="5AAB424A"/>
    <w:rsid w:val="5AAC0D12"/>
    <w:rsid w:val="5AB16EFC"/>
    <w:rsid w:val="5AB81CD6"/>
    <w:rsid w:val="5ABF484B"/>
    <w:rsid w:val="5AC10450"/>
    <w:rsid w:val="5AD33354"/>
    <w:rsid w:val="5AD44385"/>
    <w:rsid w:val="5ADC671E"/>
    <w:rsid w:val="5AEB20AC"/>
    <w:rsid w:val="5AF00C4C"/>
    <w:rsid w:val="5AF5065A"/>
    <w:rsid w:val="5AFC26F6"/>
    <w:rsid w:val="5AFE2621"/>
    <w:rsid w:val="5AFF01C8"/>
    <w:rsid w:val="5B00525A"/>
    <w:rsid w:val="5B022AEE"/>
    <w:rsid w:val="5B0315A1"/>
    <w:rsid w:val="5B101932"/>
    <w:rsid w:val="5B1120B4"/>
    <w:rsid w:val="5B20594E"/>
    <w:rsid w:val="5B3266E3"/>
    <w:rsid w:val="5B34493A"/>
    <w:rsid w:val="5B4566C8"/>
    <w:rsid w:val="5B4C1C95"/>
    <w:rsid w:val="5B4EE205"/>
    <w:rsid w:val="5B5401C4"/>
    <w:rsid w:val="5B643176"/>
    <w:rsid w:val="5B6568A7"/>
    <w:rsid w:val="5B6C1E5F"/>
    <w:rsid w:val="5B6D3088"/>
    <w:rsid w:val="5B726329"/>
    <w:rsid w:val="5B77A516"/>
    <w:rsid w:val="5B790CDF"/>
    <w:rsid w:val="5B7B75CE"/>
    <w:rsid w:val="5B7C1C97"/>
    <w:rsid w:val="5B8A66C3"/>
    <w:rsid w:val="5B932C37"/>
    <w:rsid w:val="5B936095"/>
    <w:rsid w:val="5B962581"/>
    <w:rsid w:val="5B9969B7"/>
    <w:rsid w:val="5B9C33A6"/>
    <w:rsid w:val="5B9C4F17"/>
    <w:rsid w:val="5BA3438F"/>
    <w:rsid w:val="5BA9380F"/>
    <w:rsid w:val="5BAD2270"/>
    <w:rsid w:val="5BAF6C35"/>
    <w:rsid w:val="5BB244C2"/>
    <w:rsid w:val="5BB71FF6"/>
    <w:rsid w:val="5BB72F50"/>
    <w:rsid w:val="5BBB2E93"/>
    <w:rsid w:val="5BBF17E3"/>
    <w:rsid w:val="5BC07791"/>
    <w:rsid w:val="5BC55872"/>
    <w:rsid w:val="5BDB6601"/>
    <w:rsid w:val="5BE17E47"/>
    <w:rsid w:val="5BE313D0"/>
    <w:rsid w:val="5BE318D8"/>
    <w:rsid w:val="5BE71E53"/>
    <w:rsid w:val="5BF11341"/>
    <w:rsid w:val="5BF12EE2"/>
    <w:rsid w:val="5BFF0EE1"/>
    <w:rsid w:val="5C033959"/>
    <w:rsid w:val="5C066183"/>
    <w:rsid w:val="5C092622"/>
    <w:rsid w:val="5C1305B1"/>
    <w:rsid w:val="5C182A2D"/>
    <w:rsid w:val="5C1921F9"/>
    <w:rsid w:val="5C1E33BB"/>
    <w:rsid w:val="5C21628F"/>
    <w:rsid w:val="5C2B1172"/>
    <w:rsid w:val="5C300635"/>
    <w:rsid w:val="5C321615"/>
    <w:rsid w:val="5C37678A"/>
    <w:rsid w:val="5C3D01FB"/>
    <w:rsid w:val="5C3D1446"/>
    <w:rsid w:val="5C455B7F"/>
    <w:rsid w:val="5C4A69FE"/>
    <w:rsid w:val="5C4F6254"/>
    <w:rsid w:val="5C6A0149"/>
    <w:rsid w:val="5C6C3C5D"/>
    <w:rsid w:val="5C6F185F"/>
    <w:rsid w:val="5C746A98"/>
    <w:rsid w:val="5C7A2DBA"/>
    <w:rsid w:val="5C7D246A"/>
    <w:rsid w:val="5C834620"/>
    <w:rsid w:val="5C905EA7"/>
    <w:rsid w:val="5C9E0663"/>
    <w:rsid w:val="5CA028E8"/>
    <w:rsid w:val="5CB21565"/>
    <w:rsid w:val="5CB66238"/>
    <w:rsid w:val="5CBA14DE"/>
    <w:rsid w:val="5CBE3F3F"/>
    <w:rsid w:val="5CBF75FF"/>
    <w:rsid w:val="5CCA4BFA"/>
    <w:rsid w:val="5CD33F06"/>
    <w:rsid w:val="5CD535A6"/>
    <w:rsid w:val="5CD54184"/>
    <w:rsid w:val="5CDC2133"/>
    <w:rsid w:val="5CED4105"/>
    <w:rsid w:val="5CF25F1A"/>
    <w:rsid w:val="5CF31CE0"/>
    <w:rsid w:val="5CF87493"/>
    <w:rsid w:val="5CF87F8C"/>
    <w:rsid w:val="5D0227A3"/>
    <w:rsid w:val="5D15461A"/>
    <w:rsid w:val="5D156F6C"/>
    <w:rsid w:val="5D1C1AF7"/>
    <w:rsid w:val="5D1C23C3"/>
    <w:rsid w:val="5D1D2543"/>
    <w:rsid w:val="5D1D4A79"/>
    <w:rsid w:val="5D1D638B"/>
    <w:rsid w:val="5D2509C1"/>
    <w:rsid w:val="5D296951"/>
    <w:rsid w:val="5D2A617D"/>
    <w:rsid w:val="5D2A683D"/>
    <w:rsid w:val="5D2C789C"/>
    <w:rsid w:val="5D316B5A"/>
    <w:rsid w:val="5D331AE8"/>
    <w:rsid w:val="5D340E18"/>
    <w:rsid w:val="5D36505C"/>
    <w:rsid w:val="5D461F57"/>
    <w:rsid w:val="5D497818"/>
    <w:rsid w:val="5D4D02A8"/>
    <w:rsid w:val="5D577F8A"/>
    <w:rsid w:val="5D5E7FE2"/>
    <w:rsid w:val="5D6255EB"/>
    <w:rsid w:val="5D671870"/>
    <w:rsid w:val="5D6A752C"/>
    <w:rsid w:val="5D7726C3"/>
    <w:rsid w:val="5D7747A6"/>
    <w:rsid w:val="5D80712D"/>
    <w:rsid w:val="5D8457A0"/>
    <w:rsid w:val="5D8A4040"/>
    <w:rsid w:val="5D8F4F70"/>
    <w:rsid w:val="5D985A74"/>
    <w:rsid w:val="5D9E0ECF"/>
    <w:rsid w:val="5D9E3F80"/>
    <w:rsid w:val="5DA0627D"/>
    <w:rsid w:val="5DB20E99"/>
    <w:rsid w:val="5DC01997"/>
    <w:rsid w:val="5DC45F35"/>
    <w:rsid w:val="5DC840C6"/>
    <w:rsid w:val="5DCE638D"/>
    <w:rsid w:val="5DCE764D"/>
    <w:rsid w:val="5DD83487"/>
    <w:rsid w:val="5DDF3C32"/>
    <w:rsid w:val="5DF62512"/>
    <w:rsid w:val="5DF62DA5"/>
    <w:rsid w:val="5DF70D68"/>
    <w:rsid w:val="5DF73E4C"/>
    <w:rsid w:val="5E06467E"/>
    <w:rsid w:val="5E073314"/>
    <w:rsid w:val="5E0A6558"/>
    <w:rsid w:val="5E0F1F5C"/>
    <w:rsid w:val="5E1025FA"/>
    <w:rsid w:val="5E103809"/>
    <w:rsid w:val="5E1106A6"/>
    <w:rsid w:val="5E137212"/>
    <w:rsid w:val="5E14791C"/>
    <w:rsid w:val="5E193567"/>
    <w:rsid w:val="5E1B2EF8"/>
    <w:rsid w:val="5E1C5682"/>
    <w:rsid w:val="5E2E64C0"/>
    <w:rsid w:val="5E306BEC"/>
    <w:rsid w:val="5E377AF1"/>
    <w:rsid w:val="5E3D3D43"/>
    <w:rsid w:val="5E430F80"/>
    <w:rsid w:val="5E57039B"/>
    <w:rsid w:val="5E5930CB"/>
    <w:rsid w:val="5E5A2F0B"/>
    <w:rsid w:val="5E5B6E08"/>
    <w:rsid w:val="5E5C72E4"/>
    <w:rsid w:val="5E5E4943"/>
    <w:rsid w:val="5E5E634F"/>
    <w:rsid w:val="5E63336A"/>
    <w:rsid w:val="5E650FA6"/>
    <w:rsid w:val="5E677C9B"/>
    <w:rsid w:val="5E6931E6"/>
    <w:rsid w:val="5E6B5D6C"/>
    <w:rsid w:val="5E6C5038"/>
    <w:rsid w:val="5E757C24"/>
    <w:rsid w:val="5E7904F1"/>
    <w:rsid w:val="5E880DC0"/>
    <w:rsid w:val="5E962D2E"/>
    <w:rsid w:val="5E9756C7"/>
    <w:rsid w:val="5E9952AB"/>
    <w:rsid w:val="5E99721A"/>
    <w:rsid w:val="5EA05091"/>
    <w:rsid w:val="5EA44CE4"/>
    <w:rsid w:val="5EA535A8"/>
    <w:rsid w:val="5EAE2FDE"/>
    <w:rsid w:val="5EB25250"/>
    <w:rsid w:val="5EBB4EBD"/>
    <w:rsid w:val="5EBD3A26"/>
    <w:rsid w:val="5EC44FA8"/>
    <w:rsid w:val="5EC74442"/>
    <w:rsid w:val="5ECD5F13"/>
    <w:rsid w:val="5ECF40F3"/>
    <w:rsid w:val="5ED45F97"/>
    <w:rsid w:val="5EDB11B0"/>
    <w:rsid w:val="5EDC707D"/>
    <w:rsid w:val="5EE10654"/>
    <w:rsid w:val="5EE237C6"/>
    <w:rsid w:val="5EF24AA3"/>
    <w:rsid w:val="5EF332DD"/>
    <w:rsid w:val="5EFF013E"/>
    <w:rsid w:val="5F182760"/>
    <w:rsid w:val="5F282E4F"/>
    <w:rsid w:val="5F2E0A25"/>
    <w:rsid w:val="5F3713E1"/>
    <w:rsid w:val="5F3B1341"/>
    <w:rsid w:val="5F3E6C4E"/>
    <w:rsid w:val="5F573D25"/>
    <w:rsid w:val="5F59629E"/>
    <w:rsid w:val="5F5FA5D9"/>
    <w:rsid w:val="5F691303"/>
    <w:rsid w:val="5F720381"/>
    <w:rsid w:val="5F775703"/>
    <w:rsid w:val="5F7C32D2"/>
    <w:rsid w:val="5F7F0D1A"/>
    <w:rsid w:val="5F7F66D1"/>
    <w:rsid w:val="5F812821"/>
    <w:rsid w:val="5F8C07C9"/>
    <w:rsid w:val="5F8E071D"/>
    <w:rsid w:val="5F9936CE"/>
    <w:rsid w:val="5F9D8CA1"/>
    <w:rsid w:val="5F9F35FD"/>
    <w:rsid w:val="5FA10F8B"/>
    <w:rsid w:val="5FB1791B"/>
    <w:rsid w:val="5FB53E9A"/>
    <w:rsid w:val="5FB72DFF"/>
    <w:rsid w:val="5FBE86CF"/>
    <w:rsid w:val="5FC870A1"/>
    <w:rsid w:val="5FCF120F"/>
    <w:rsid w:val="5FDA42AB"/>
    <w:rsid w:val="5FDF60F7"/>
    <w:rsid w:val="5FE41CED"/>
    <w:rsid w:val="5FE457C1"/>
    <w:rsid w:val="5FEF661E"/>
    <w:rsid w:val="5FF12EA8"/>
    <w:rsid w:val="600623EA"/>
    <w:rsid w:val="60087231"/>
    <w:rsid w:val="601577A1"/>
    <w:rsid w:val="601B71FD"/>
    <w:rsid w:val="602C2D0B"/>
    <w:rsid w:val="604D2B22"/>
    <w:rsid w:val="60591086"/>
    <w:rsid w:val="605B6AC2"/>
    <w:rsid w:val="605F138B"/>
    <w:rsid w:val="60681975"/>
    <w:rsid w:val="606E00EB"/>
    <w:rsid w:val="608A385F"/>
    <w:rsid w:val="60A46C88"/>
    <w:rsid w:val="60B51561"/>
    <w:rsid w:val="60B62785"/>
    <w:rsid w:val="60C96E44"/>
    <w:rsid w:val="60CB404B"/>
    <w:rsid w:val="60D17FB4"/>
    <w:rsid w:val="60D2366B"/>
    <w:rsid w:val="60D409A8"/>
    <w:rsid w:val="60D632E3"/>
    <w:rsid w:val="60EA6CB2"/>
    <w:rsid w:val="60F316D8"/>
    <w:rsid w:val="60F4525B"/>
    <w:rsid w:val="60FE3897"/>
    <w:rsid w:val="61007084"/>
    <w:rsid w:val="61031E3F"/>
    <w:rsid w:val="610B0E92"/>
    <w:rsid w:val="61122896"/>
    <w:rsid w:val="6115631D"/>
    <w:rsid w:val="61171FD7"/>
    <w:rsid w:val="611D0FC7"/>
    <w:rsid w:val="611D6BAD"/>
    <w:rsid w:val="61263BE8"/>
    <w:rsid w:val="612D066C"/>
    <w:rsid w:val="613422AF"/>
    <w:rsid w:val="61380DC5"/>
    <w:rsid w:val="61402852"/>
    <w:rsid w:val="61424653"/>
    <w:rsid w:val="6142707A"/>
    <w:rsid w:val="61465E2B"/>
    <w:rsid w:val="614D1E62"/>
    <w:rsid w:val="614F0C52"/>
    <w:rsid w:val="61534507"/>
    <w:rsid w:val="615D14EB"/>
    <w:rsid w:val="615F0E08"/>
    <w:rsid w:val="61670994"/>
    <w:rsid w:val="61685687"/>
    <w:rsid w:val="616C16F3"/>
    <w:rsid w:val="616E13C6"/>
    <w:rsid w:val="617033EC"/>
    <w:rsid w:val="61761FA3"/>
    <w:rsid w:val="618A403C"/>
    <w:rsid w:val="618D24DD"/>
    <w:rsid w:val="61975189"/>
    <w:rsid w:val="6197600B"/>
    <w:rsid w:val="61AB2588"/>
    <w:rsid w:val="61AE231C"/>
    <w:rsid w:val="61AF1AFA"/>
    <w:rsid w:val="61B27376"/>
    <w:rsid w:val="61B62395"/>
    <w:rsid w:val="61C15914"/>
    <w:rsid w:val="61C20544"/>
    <w:rsid w:val="61C312E5"/>
    <w:rsid w:val="61CA4330"/>
    <w:rsid w:val="61CD05EE"/>
    <w:rsid w:val="61D17E37"/>
    <w:rsid w:val="61D71DFA"/>
    <w:rsid w:val="61DF32F0"/>
    <w:rsid w:val="61E365A5"/>
    <w:rsid w:val="61EB2529"/>
    <w:rsid w:val="61EC3188"/>
    <w:rsid w:val="61F84B54"/>
    <w:rsid w:val="620053B7"/>
    <w:rsid w:val="62154BF6"/>
    <w:rsid w:val="62202E08"/>
    <w:rsid w:val="62243155"/>
    <w:rsid w:val="622627D2"/>
    <w:rsid w:val="62266BE0"/>
    <w:rsid w:val="62436329"/>
    <w:rsid w:val="62450320"/>
    <w:rsid w:val="62525E42"/>
    <w:rsid w:val="625B3EEA"/>
    <w:rsid w:val="626341FE"/>
    <w:rsid w:val="626364F8"/>
    <w:rsid w:val="626877C0"/>
    <w:rsid w:val="626D1ED4"/>
    <w:rsid w:val="628856FA"/>
    <w:rsid w:val="62985048"/>
    <w:rsid w:val="62A04EAD"/>
    <w:rsid w:val="62A138BC"/>
    <w:rsid w:val="62A51699"/>
    <w:rsid w:val="62A542AD"/>
    <w:rsid w:val="62A7778B"/>
    <w:rsid w:val="62AA1B55"/>
    <w:rsid w:val="62AD556B"/>
    <w:rsid w:val="62B5279E"/>
    <w:rsid w:val="62BA266B"/>
    <w:rsid w:val="62BE0354"/>
    <w:rsid w:val="62BF0153"/>
    <w:rsid w:val="62C21DDC"/>
    <w:rsid w:val="62D046A4"/>
    <w:rsid w:val="62D122E8"/>
    <w:rsid w:val="62D1267B"/>
    <w:rsid w:val="62E96921"/>
    <w:rsid w:val="62EC1A77"/>
    <w:rsid w:val="62F11EFD"/>
    <w:rsid w:val="62F26454"/>
    <w:rsid w:val="62FA28AD"/>
    <w:rsid w:val="62FB3289"/>
    <w:rsid w:val="6306233A"/>
    <w:rsid w:val="632779F9"/>
    <w:rsid w:val="63334171"/>
    <w:rsid w:val="63371979"/>
    <w:rsid w:val="63381C06"/>
    <w:rsid w:val="633D3CF9"/>
    <w:rsid w:val="633D40B0"/>
    <w:rsid w:val="633E7CDD"/>
    <w:rsid w:val="6341153B"/>
    <w:rsid w:val="63492E5B"/>
    <w:rsid w:val="63495BC1"/>
    <w:rsid w:val="634D16C5"/>
    <w:rsid w:val="63500CFE"/>
    <w:rsid w:val="6358534B"/>
    <w:rsid w:val="635B2BD9"/>
    <w:rsid w:val="6377190E"/>
    <w:rsid w:val="637732EC"/>
    <w:rsid w:val="63894210"/>
    <w:rsid w:val="638B7D82"/>
    <w:rsid w:val="638F461E"/>
    <w:rsid w:val="63912A11"/>
    <w:rsid w:val="63AA7DC2"/>
    <w:rsid w:val="63AB6B91"/>
    <w:rsid w:val="63BB1679"/>
    <w:rsid w:val="63BB6510"/>
    <w:rsid w:val="63BC7A31"/>
    <w:rsid w:val="63BE2FA0"/>
    <w:rsid w:val="63C204C7"/>
    <w:rsid w:val="63C2348A"/>
    <w:rsid w:val="63D21EBB"/>
    <w:rsid w:val="63D3192F"/>
    <w:rsid w:val="63DF0766"/>
    <w:rsid w:val="63E045DF"/>
    <w:rsid w:val="63E131A9"/>
    <w:rsid w:val="63E82C1A"/>
    <w:rsid w:val="63F359C2"/>
    <w:rsid w:val="63F45946"/>
    <w:rsid w:val="63FD33AD"/>
    <w:rsid w:val="63FF265C"/>
    <w:rsid w:val="63FF44D2"/>
    <w:rsid w:val="640272DB"/>
    <w:rsid w:val="64091B59"/>
    <w:rsid w:val="640B1B2A"/>
    <w:rsid w:val="640C2A65"/>
    <w:rsid w:val="640D1227"/>
    <w:rsid w:val="640F253B"/>
    <w:rsid w:val="64190835"/>
    <w:rsid w:val="641C5794"/>
    <w:rsid w:val="641F36BA"/>
    <w:rsid w:val="64216E62"/>
    <w:rsid w:val="64252D1A"/>
    <w:rsid w:val="64292DFF"/>
    <w:rsid w:val="643762C9"/>
    <w:rsid w:val="643A0656"/>
    <w:rsid w:val="643B71F0"/>
    <w:rsid w:val="64414D70"/>
    <w:rsid w:val="6448274E"/>
    <w:rsid w:val="645265A2"/>
    <w:rsid w:val="64531C2D"/>
    <w:rsid w:val="645671EA"/>
    <w:rsid w:val="645C7895"/>
    <w:rsid w:val="64680DC2"/>
    <w:rsid w:val="647139D8"/>
    <w:rsid w:val="64741651"/>
    <w:rsid w:val="6485483F"/>
    <w:rsid w:val="648720A3"/>
    <w:rsid w:val="648B6707"/>
    <w:rsid w:val="648E7E28"/>
    <w:rsid w:val="6496379E"/>
    <w:rsid w:val="64AE6134"/>
    <w:rsid w:val="64B87CD3"/>
    <w:rsid w:val="64BE01BC"/>
    <w:rsid w:val="64C00105"/>
    <w:rsid w:val="64C74049"/>
    <w:rsid w:val="64C84656"/>
    <w:rsid w:val="64CA5AAD"/>
    <w:rsid w:val="64CC3BD0"/>
    <w:rsid w:val="64D134B3"/>
    <w:rsid w:val="64FC56B7"/>
    <w:rsid w:val="64FF2B1B"/>
    <w:rsid w:val="6500005A"/>
    <w:rsid w:val="650E7ECA"/>
    <w:rsid w:val="651641C9"/>
    <w:rsid w:val="651753C1"/>
    <w:rsid w:val="65194687"/>
    <w:rsid w:val="651C2264"/>
    <w:rsid w:val="651D4281"/>
    <w:rsid w:val="652B6CE3"/>
    <w:rsid w:val="653053B6"/>
    <w:rsid w:val="65337DCA"/>
    <w:rsid w:val="653425BD"/>
    <w:rsid w:val="65387F11"/>
    <w:rsid w:val="654332E3"/>
    <w:rsid w:val="655065AC"/>
    <w:rsid w:val="6555266E"/>
    <w:rsid w:val="65627F90"/>
    <w:rsid w:val="6564751E"/>
    <w:rsid w:val="656D42F2"/>
    <w:rsid w:val="657167E2"/>
    <w:rsid w:val="65722EB7"/>
    <w:rsid w:val="65776679"/>
    <w:rsid w:val="657801F2"/>
    <w:rsid w:val="657B5DDA"/>
    <w:rsid w:val="657C227E"/>
    <w:rsid w:val="65860F6D"/>
    <w:rsid w:val="659A1D9F"/>
    <w:rsid w:val="659E860E"/>
    <w:rsid w:val="659F63B8"/>
    <w:rsid w:val="65A70A69"/>
    <w:rsid w:val="65AD4CD8"/>
    <w:rsid w:val="65B009EF"/>
    <w:rsid w:val="65B60B89"/>
    <w:rsid w:val="65BF6F6B"/>
    <w:rsid w:val="65C31F24"/>
    <w:rsid w:val="65C4661F"/>
    <w:rsid w:val="65C73814"/>
    <w:rsid w:val="65CD3FD7"/>
    <w:rsid w:val="65CF03F0"/>
    <w:rsid w:val="65D907DB"/>
    <w:rsid w:val="65DA7767"/>
    <w:rsid w:val="65DF1802"/>
    <w:rsid w:val="65DF56DA"/>
    <w:rsid w:val="65E13F23"/>
    <w:rsid w:val="65E26E78"/>
    <w:rsid w:val="65E79735"/>
    <w:rsid w:val="65EB3D02"/>
    <w:rsid w:val="65EB486D"/>
    <w:rsid w:val="65F45368"/>
    <w:rsid w:val="65F537CE"/>
    <w:rsid w:val="65F6020F"/>
    <w:rsid w:val="65F843F4"/>
    <w:rsid w:val="65F86826"/>
    <w:rsid w:val="65FDE91E"/>
    <w:rsid w:val="65FE3CB4"/>
    <w:rsid w:val="66043A2D"/>
    <w:rsid w:val="66044E2A"/>
    <w:rsid w:val="661230C4"/>
    <w:rsid w:val="6615649E"/>
    <w:rsid w:val="66240C1D"/>
    <w:rsid w:val="662522FB"/>
    <w:rsid w:val="66272A47"/>
    <w:rsid w:val="66315566"/>
    <w:rsid w:val="66357192"/>
    <w:rsid w:val="66454C30"/>
    <w:rsid w:val="66455BA2"/>
    <w:rsid w:val="664A0D4B"/>
    <w:rsid w:val="66615B2A"/>
    <w:rsid w:val="666A0329"/>
    <w:rsid w:val="666A1BDA"/>
    <w:rsid w:val="666D2FBB"/>
    <w:rsid w:val="666E3AAA"/>
    <w:rsid w:val="667735BC"/>
    <w:rsid w:val="66783982"/>
    <w:rsid w:val="667C1D2A"/>
    <w:rsid w:val="668823A9"/>
    <w:rsid w:val="668F5FE1"/>
    <w:rsid w:val="669A00EE"/>
    <w:rsid w:val="66A27AAF"/>
    <w:rsid w:val="66A50E5D"/>
    <w:rsid w:val="66A617EC"/>
    <w:rsid w:val="66AA0483"/>
    <w:rsid w:val="66AD290B"/>
    <w:rsid w:val="66B26C15"/>
    <w:rsid w:val="66B42141"/>
    <w:rsid w:val="66B56151"/>
    <w:rsid w:val="66BB34A6"/>
    <w:rsid w:val="66C25641"/>
    <w:rsid w:val="66C338C7"/>
    <w:rsid w:val="66C37EC0"/>
    <w:rsid w:val="66CB186F"/>
    <w:rsid w:val="66D23953"/>
    <w:rsid w:val="66D274EB"/>
    <w:rsid w:val="66D37ADF"/>
    <w:rsid w:val="66DA35AD"/>
    <w:rsid w:val="66E12A2C"/>
    <w:rsid w:val="66E33C7C"/>
    <w:rsid w:val="66E5673E"/>
    <w:rsid w:val="66F05FF6"/>
    <w:rsid w:val="66F93D73"/>
    <w:rsid w:val="670D13AD"/>
    <w:rsid w:val="67112E9A"/>
    <w:rsid w:val="671D64E9"/>
    <w:rsid w:val="672B1A0D"/>
    <w:rsid w:val="672B24CB"/>
    <w:rsid w:val="672F40FC"/>
    <w:rsid w:val="673408E5"/>
    <w:rsid w:val="673622D4"/>
    <w:rsid w:val="67371065"/>
    <w:rsid w:val="67426537"/>
    <w:rsid w:val="67433A6A"/>
    <w:rsid w:val="674C1CA0"/>
    <w:rsid w:val="675016E1"/>
    <w:rsid w:val="675605F2"/>
    <w:rsid w:val="67566055"/>
    <w:rsid w:val="677874FF"/>
    <w:rsid w:val="677F41DD"/>
    <w:rsid w:val="6780706C"/>
    <w:rsid w:val="678B0307"/>
    <w:rsid w:val="678E1222"/>
    <w:rsid w:val="678F1A16"/>
    <w:rsid w:val="678F70E8"/>
    <w:rsid w:val="679315ED"/>
    <w:rsid w:val="67931C9D"/>
    <w:rsid w:val="679B07C6"/>
    <w:rsid w:val="67A22400"/>
    <w:rsid w:val="67A31AD2"/>
    <w:rsid w:val="67A746F3"/>
    <w:rsid w:val="67A802A2"/>
    <w:rsid w:val="67AE2497"/>
    <w:rsid w:val="67B66BDB"/>
    <w:rsid w:val="67C500F1"/>
    <w:rsid w:val="67C71C87"/>
    <w:rsid w:val="67D5211A"/>
    <w:rsid w:val="67D944CF"/>
    <w:rsid w:val="67E47C2A"/>
    <w:rsid w:val="67E6162E"/>
    <w:rsid w:val="67EE1274"/>
    <w:rsid w:val="67F500C6"/>
    <w:rsid w:val="68040784"/>
    <w:rsid w:val="680432D1"/>
    <w:rsid w:val="680543EE"/>
    <w:rsid w:val="680F097E"/>
    <w:rsid w:val="68196D28"/>
    <w:rsid w:val="681A450B"/>
    <w:rsid w:val="681B6D52"/>
    <w:rsid w:val="681D6849"/>
    <w:rsid w:val="683458DF"/>
    <w:rsid w:val="6837113B"/>
    <w:rsid w:val="683A2647"/>
    <w:rsid w:val="683E20F8"/>
    <w:rsid w:val="68426B47"/>
    <w:rsid w:val="684E247C"/>
    <w:rsid w:val="68510261"/>
    <w:rsid w:val="686C1428"/>
    <w:rsid w:val="686C7DAC"/>
    <w:rsid w:val="686F3098"/>
    <w:rsid w:val="688325B2"/>
    <w:rsid w:val="68885379"/>
    <w:rsid w:val="688C7BDE"/>
    <w:rsid w:val="689446DE"/>
    <w:rsid w:val="68A22DAF"/>
    <w:rsid w:val="68A30F85"/>
    <w:rsid w:val="68A44F82"/>
    <w:rsid w:val="68A705BC"/>
    <w:rsid w:val="68AB177D"/>
    <w:rsid w:val="68AC442A"/>
    <w:rsid w:val="68B32A3D"/>
    <w:rsid w:val="68BD4EF0"/>
    <w:rsid w:val="68BF590F"/>
    <w:rsid w:val="68C075C6"/>
    <w:rsid w:val="68C129F5"/>
    <w:rsid w:val="68C233B8"/>
    <w:rsid w:val="68C421BB"/>
    <w:rsid w:val="68C66B2D"/>
    <w:rsid w:val="68C737A3"/>
    <w:rsid w:val="68C80C0F"/>
    <w:rsid w:val="68CA1553"/>
    <w:rsid w:val="68DC0809"/>
    <w:rsid w:val="68E41D81"/>
    <w:rsid w:val="68E9636C"/>
    <w:rsid w:val="68EA39A3"/>
    <w:rsid w:val="68ED1286"/>
    <w:rsid w:val="68EF437A"/>
    <w:rsid w:val="68F64128"/>
    <w:rsid w:val="68F7179C"/>
    <w:rsid w:val="68FA167B"/>
    <w:rsid w:val="69004A9B"/>
    <w:rsid w:val="6903677B"/>
    <w:rsid w:val="69155660"/>
    <w:rsid w:val="691C35A1"/>
    <w:rsid w:val="692073C4"/>
    <w:rsid w:val="69241624"/>
    <w:rsid w:val="693255D7"/>
    <w:rsid w:val="69327E14"/>
    <w:rsid w:val="69331591"/>
    <w:rsid w:val="69364369"/>
    <w:rsid w:val="693661FA"/>
    <w:rsid w:val="69470C7F"/>
    <w:rsid w:val="694A78CD"/>
    <w:rsid w:val="69544BAA"/>
    <w:rsid w:val="695665C4"/>
    <w:rsid w:val="69580854"/>
    <w:rsid w:val="69590DFA"/>
    <w:rsid w:val="695F4C0A"/>
    <w:rsid w:val="69672F30"/>
    <w:rsid w:val="696B65A4"/>
    <w:rsid w:val="696F377B"/>
    <w:rsid w:val="69776471"/>
    <w:rsid w:val="697804E8"/>
    <w:rsid w:val="697D3A8A"/>
    <w:rsid w:val="697E646A"/>
    <w:rsid w:val="69844D8E"/>
    <w:rsid w:val="698A322D"/>
    <w:rsid w:val="699A5F1D"/>
    <w:rsid w:val="699B6A4B"/>
    <w:rsid w:val="69A531FE"/>
    <w:rsid w:val="69A70821"/>
    <w:rsid w:val="69AA5B37"/>
    <w:rsid w:val="69AC6AFC"/>
    <w:rsid w:val="69B72349"/>
    <w:rsid w:val="69C02887"/>
    <w:rsid w:val="69C55222"/>
    <w:rsid w:val="69C66964"/>
    <w:rsid w:val="69E51BEA"/>
    <w:rsid w:val="69EA3112"/>
    <w:rsid w:val="69F072E7"/>
    <w:rsid w:val="69FE3EAD"/>
    <w:rsid w:val="69FF6381"/>
    <w:rsid w:val="6A01268A"/>
    <w:rsid w:val="6A033DF4"/>
    <w:rsid w:val="6A064715"/>
    <w:rsid w:val="6A0973F3"/>
    <w:rsid w:val="6A0C7BB8"/>
    <w:rsid w:val="6A1245B2"/>
    <w:rsid w:val="6A191BDE"/>
    <w:rsid w:val="6A261003"/>
    <w:rsid w:val="6A2A1FF0"/>
    <w:rsid w:val="6A3033B1"/>
    <w:rsid w:val="6A3C049A"/>
    <w:rsid w:val="6A42248A"/>
    <w:rsid w:val="6A4714C2"/>
    <w:rsid w:val="6A512F2D"/>
    <w:rsid w:val="6A524283"/>
    <w:rsid w:val="6A52580B"/>
    <w:rsid w:val="6A575068"/>
    <w:rsid w:val="6A67213A"/>
    <w:rsid w:val="6A68035B"/>
    <w:rsid w:val="6A7052ED"/>
    <w:rsid w:val="6A7A39BC"/>
    <w:rsid w:val="6A875596"/>
    <w:rsid w:val="6A8D6076"/>
    <w:rsid w:val="6A977413"/>
    <w:rsid w:val="6A9E427F"/>
    <w:rsid w:val="6AC426CE"/>
    <w:rsid w:val="6ACC71BA"/>
    <w:rsid w:val="6AD51C74"/>
    <w:rsid w:val="6AD54EEC"/>
    <w:rsid w:val="6ADD2E3E"/>
    <w:rsid w:val="6AF5618A"/>
    <w:rsid w:val="6AFC4952"/>
    <w:rsid w:val="6AFD2071"/>
    <w:rsid w:val="6B0676D4"/>
    <w:rsid w:val="6B0D5330"/>
    <w:rsid w:val="6B0F22CB"/>
    <w:rsid w:val="6B104623"/>
    <w:rsid w:val="6B127CA8"/>
    <w:rsid w:val="6B135BD2"/>
    <w:rsid w:val="6B14255D"/>
    <w:rsid w:val="6B2605F0"/>
    <w:rsid w:val="6B2F5CD1"/>
    <w:rsid w:val="6B3032AB"/>
    <w:rsid w:val="6B326BFA"/>
    <w:rsid w:val="6B386C0F"/>
    <w:rsid w:val="6B4C71CE"/>
    <w:rsid w:val="6B565FDE"/>
    <w:rsid w:val="6B5C5BF1"/>
    <w:rsid w:val="6B625193"/>
    <w:rsid w:val="6B6D2BD3"/>
    <w:rsid w:val="6B736EEF"/>
    <w:rsid w:val="6B830717"/>
    <w:rsid w:val="6B8C2C24"/>
    <w:rsid w:val="6B8E3C0E"/>
    <w:rsid w:val="6B9106D0"/>
    <w:rsid w:val="6B9829FD"/>
    <w:rsid w:val="6B9C54CC"/>
    <w:rsid w:val="6B9D3389"/>
    <w:rsid w:val="6BA35DD4"/>
    <w:rsid w:val="6BA60371"/>
    <w:rsid w:val="6BAB77F4"/>
    <w:rsid w:val="6BAE515B"/>
    <w:rsid w:val="6BAF7DE8"/>
    <w:rsid w:val="6BB81B36"/>
    <w:rsid w:val="6BC168E8"/>
    <w:rsid w:val="6BC72602"/>
    <w:rsid w:val="6BCB334B"/>
    <w:rsid w:val="6BD1361D"/>
    <w:rsid w:val="6BD51EEE"/>
    <w:rsid w:val="6BD82524"/>
    <w:rsid w:val="6BD93B41"/>
    <w:rsid w:val="6BDD1464"/>
    <w:rsid w:val="6BE035F5"/>
    <w:rsid w:val="6BE107A5"/>
    <w:rsid w:val="6BEE4661"/>
    <w:rsid w:val="6BF160ED"/>
    <w:rsid w:val="6BF40D9D"/>
    <w:rsid w:val="6C026450"/>
    <w:rsid w:val="6C0B53D8"/>
    <w:rsid w:val="6C0C0346"/>
    <w:rsid w:val="6C0E0F30"/>
    <w:rsid w:val="6C170034"/>
    <w:rsid w:val="6C1A1B89"/>
    <w:rsid w:val="6C2437A7"/>
    <w:rsid w:val="6C321895"/>
    <w:rsid w:val="6C3324D9"/>
    <w:rsid w:val="6C3D7839"/>
    <w:rsid w:val="6C445DD2"/>
    <w:rsid w:val="6C455113"/>
    <w:rsid w:val="6C490C07"/>
    <w:rsid w:val="6C49258E"/>
    <w:rsid w:val="6C5074FA"/>
    <w:rsid w:val="6C5529B2"/>
    <w:rsid w:val="6C603F17"/>
    <w:rsid w:val="6C6A05FF"/>
    <w:rsid w:val="6C6D0486"/>
    <w:rsid w:val="6C8474C6"/>
    <w:rsid w:val="6C8B0BAE"/>
    <w:rsid w:val="6C8D76DC"/>
    <w:rsid w:val="6C8E7765"/>
    <w:rsid w:val="6C9465CE"/>
    <w:rsid w:val="6C9A0488"/>
    <w:rsid w:val="6CA125CA"/>
    <w:rsid w:val="6CA27A1F"/>
    <w:rsid w:val="6CAB2FD4"/>
    <w:rsid w:val="6CAC1DEA"/>
    <w:rsid w:val="6CAD1979"/>
    <w:rsid w:val="6CB04231"/>
    <w:rsid w:val="6CB11553"/>
    <w:rsid w:val="6CCB37D7"/>
    <w:rsid w:val="6CD76E9B"/>
    <w:rsid w:val="6CDD7311"/>
    <w:rsid w:val="6CE13571"/>
    <w:rsid w:val="6CE30E67"/>
    <w:rsid w:val="6CE761CA"/>
    <w:rsid w:val="6CF33562"/>
    <w:rsid w:val="6CF546C4"/>
    <w:rsid w:val="6CF83E9B"/>
    <w:rsid w:val="6CFB5E93"/>
    <w:rsid w:val="6D006E0B"/>
    <w:rsid w:val="6D022027"/>
    <w:rsid w:val="6D062D75"/>
    <w:rsid w:val="6D0774A2"/>
    <w:rsid w:val="6D0D1974"/>
    <w:rsid w:val="6D13139A"/>
    <w:rsid w:val="6D17616F"/>
    <w:rsid w:val="6D19307D"/>
    <w:rsid w:val="6D2C27DC"/>
    <w:rsid w:val="6D2E41F2"/>
    <w:rsid w:val="6D360D55"/>
    <w:rsid w:val="6D4E0D58"/>
    <w:rsid w:val="6D6024C3"/>
    <w:rsid w:val="6D6928C1"/>
    <w:rsid w:val="6D760AA4"/>
    <w:rsid w:val="6D7721A5"/>
    <w:rsid w:val="6D7E1782"/>
    <w:rsid w:val="6D8A5A68"/>
    <w:rsid w:val="6D9D3656"/>
    <w:rsid w:val="6DA6706E"/>
    <w:rsid w:val="6DAD6B0C"/>
    <w:rsid w:val="6DAF3BA1"/>
    <w:rsid w:val="6DB434EC"/>
    <w:rsid w:val="6DB91618"/>
    <w:rsid w:val="6DB96C95"/>
    <w:rsid w:val="6DCF3FDF"/>
    <w:rsid w:val="6DD12B29"/>
    <w:rsid w:val="6DD140E6"/>
    <w:rsid w:val="6DDE28FB"/>
    <w:rsid w:val="6DDF0AC0"/>
    <w:rsid w:val="6DF8CB32"/>
    <w:rsid w:val="6DF93E69"/>
    <w:rsid w:val="6DFC3BBF"/>
    <w:rsid w:val="6E023753"/>
    <w:rsid w:val="6E143E4B"/>
    <w:rsid w:val="6E1F4BD6"/>
    <w:rsid w:val="6E2319D0"/>
    <w:rsid w:val="6E241414"/>
    <w:rsid w:val="6E2C090C"/>
    <w:rsid w:val="6E33650A"/>
    <w:rsid w:val="6E336C5B"/>
    <w:rsid w:val="6E345E4B"/>
    <w:rsid w:val="6E391597"/>
    <w:rsid w:val="6E3E2565"/>
    <w:rsid w:val="6E3F0D76"/>
    <w:rsid w:val="6E42300B"/>
    <w:rsid w:val="6E436378"/>
    <w:rsid w:val="6E4E7458"/>
    <w:rsid w:val="6E541C2D"/>
    <w:rsid w:val="6E5550A7"/>
    <w:rsid w:val="6E7A1534"/>
    <w:rsid w:val="6E7A40B1"/>
    <w:rsid w:val="6E7D70F9"/>
    <w:rsid w:val="6E801BAB"/>
    <w:rsid w:val="6E8126D7"/>
    <w:rsid w:val="6E820DC6"/>
    <w:rsid w:val="6E8A319D"/>
    <w:rsid w:val="6E947F69"/>
    <w:rsid w:val="6EA2047B"/>
    <w:rsid w:val="6EA409CC"/>
    <w:rsid w:val="6EA552A4"/>
    <w:rsid w:val="6EB63B4F"/>
    <w:rsid w:val="6EB81EEA"/>
    <w:rsid w:val="6EB917A0"/>
    <w:rsid w:val="6EBE2727"/>
    <w:rsid w:val="6EC030D4"/>
    <w:rsid w:val="6EC300B0"/>
    <w:rsid w:val="6EC9425B"/>
    <w:rsid w:val="6ECC290D"/>
    <w:rsid w:val="6ECF4ECB"/>
    <w:rsid w:val="6ED31507"/>
    <w:rsid w:val="6ED56221"/>
    <w:rsid w:val="6ED736DA"/>
    <w:rsid w:val="6EDD3662"/>
    <w:rsid w:val="6EE4352D"/>
    <w:rsid w:val="6EE557E9"/>
    <w:rsid w:val="6EE7117E"/>
    <w:rsid w:val="6EE77375"/>
    <w:rsid w:val="6EE92A31"/>
    <w:rsid w:val="6EEA2078"/>
    <w:rsid w:val="6EEB6601"/>
    <w:rsid w:val="6EEC6C24"/>
    <w:rsid w:val="6EEE53A9"/>
    <w:rsid w:val="6F094048"/>
    <w:rsid w:val="6F0D107C"/>
    <w:rsid w:val="6F0E3BCF"/>
    <w:rsid w:val="6F121D1A"/>
    <w:rsid w:val="6F232683"/>
    <w:rsid w:val="6F4638FD"/>
    <w:rsid w:val="6F4656AB"/>
    <w:rsid w:val="6F4A519B"/>
    <w:rsid w:val="6F514F03"/>
    <w:rsid w:val="6F6B77B0"/>
    <w:rsid w:val="6F757250"/>
    <w:rsid w:val="6F7A4220"/>
    <w:rsid w:val="6F7D299F"/>
    <w:rsid w:val="6F843267"/>
    <w:rsid w:val="6F895E08"/>
    <w:rsid w:val="6F904C8E"/>
    <w:rsid w:val="6FA47C17"/>
    <w:rsid w:val="6FA7614A"/>
    <w:rsid w:val="6FA80FD6"/>
    <w:rsid w:val="6FAF0B49"/>
    <w:rsid w:val="6FB7834E"/>
    <w:rsid w:val="6FB810CF"/>
    <w:rsid w:val="6FBA228E"/>
    <w:rsid w:val="6FBADDA7"/>
    <w:rsid w:val="6FBD219C"/>
    <w:rsid w:val="6FC02C95"/>
    <w:rsid w:val="6FC301CC"/>
    <w:rsid w:val="6FC640F6"/>
    <w:rsid w:val="6FC827B9"/>
    <w:rsid w:val="6FD32B5D"/>
    <w:rsid w:val="6FD53F6B"/>
    <w:rsid w:val="6FDCA879"/>
    <w:rsid w:val="6FE87B70"/>
    <w:rsid w:val="6FEC1942"/>
    <w:rsid w:val="6FEE378E"/>
    <w:rsid w:val="6FF3101F"/>
    <w:rsid w:val="6FF47337"/>
    <w:rsid w:val="6FF59360"/>
    <w:rsid w:val="6FFC5EF1"/>
    <w:rsid w:val="6FFD74CA"/>
    <w:rsid w:val="6FFF668C"/>
    <w:rsid w:val="70056527"/>
    <w:rsid w:val="703B0F88"/>
    <w:rsid w:val="703C3697"/>
    <w:rsid w:val="704A7DE8"/>
    <w:rsid w:val="704C694C"/>
    <w:rsid w:val="705B22AD"/>
    <w:rsid w:val="70677D2E"/>
    <w:rsid w:val="707278E8"/>
    <w:rsid w:val="70734494"/>
    <w:rsid w:val="707F35F0"/>
    <w:rsid w:val="707F511B"/>
    <w:rsid w:val="708F7186"/>
    <w:rsid w:val="70905B56"/>
    <w:rsid w:val="709366CF"/>
    <w:rsid w:val="70A259E4"/>
    <w:rsid w:val="70AA0D58"/>
    <w:rsid w:val="70AE0972"/>
    <w:rsid w:val="70B34B55"/>
    <w:rsid w:val="70B34EAD"/>
    <w:rsid w:val="70B75FCB"/>
    <w:rsid w:val="70C5727A"/>
    <w:rsid w:val="70C84E87"/>
    <w:rsid w:val="70D31BBD"/>
    <w:rsid w:val="70F325A3"/>
    <w:rsid w:val="7104581E"/>
    <w:rsid w:val="71113A5A"/>
    <w:rsid w:val="71154DA2"/>
    <w:rsid w:val="711A4B03"/>
    <w:rsid w:val="711E4F94"/>
    <w:rsid w:val="71223064"/>
    <w:rsid w:val="7125713C"/>
    <w:rsid w:val="712A2681"/>
    <w:rsid w:val="712D6B82"/>
    <w:rsid w:val="712F58EC"/>
    <w:rsid w:val="714004B1"/>
    <w:rsid w:val="714A732D"/>
    <w:rsid w:val="715C00B7"/>
    <w:rsid w:val="71685DAD"/>
    <w:rsid w:val="71697806"/>
    <w:rsid w:val="716A1738"/>
    <w:rsid w:val="716F713B"/>
    <w:rsid w:val="71722815"/>
    <w:rsid w:val="717B1172"/>
    <w:rsid w:val="717B6178"/>
    <w:rsid w:val="71940950"/>
    <w:rsid w:val="719618D1"/>
    <w:rsid w:val="71A1483A"/>
    <w:rsid w:val="71A2028D"/>
    <w:rsid w:val="71A462ED"/>
    <w:rsid w:val="71A67DBF"/>
    <w:rsid w:val="71A83130"/>
    <w:rsid w:val="71A83ADA"/>
    <w:rsid w:val="71AB3BEB"/>
    <w:rsid w:val="71AD124D"/>
    <w:rsid w:val="71B72181"/>
    <w:rsid w:val="71B74E2E"/>
    <w:rsid w:val="71BA5A67"/>
    <w:rsid w:val="71BD625E"/>
    <w:rsid w:val="71C70D25"/>
    <w:rsid w:val="71C828EA"/>
    <w:rsid w:val="71D94B7F"/>
    <w:rsid w:val="71E351B9"/>
    <w:rsid w:val="71E82F3F"/>
    <w:rsid w:val="71E86952"/>
    <w:rsid w:val="71EA147E"/>
    <w:rsid w:val="71ED6EAD"/>
    <w:rsid w:val="71F238C8"/>
    <w:rsid w:val="71F7416E"/>
    <w:rsid w:val="71FA7C23"/>
    <w:rsid w:val="71FB860F"/>
    <w:rsid w:val="720248FC"/>
    <w:rsid w:val="720E52E6"/>
    <w:rsid w:val="721147A7"/>
    <w:rsid w:val="72181DDA"/>
    <w:rsid w:val="721A427C"/>
    <w:rsid w:val="721F2E35"/>
    <w:rsid w:val="72235648"/>
    <w:rsid w:val="722B5D91"/>
    <w:rsid w:val="722D7E82"/>
    <w:rsid w:val="72324221"/>
    <w:rsid w:val="723F7E9D"/>
    <w:rsid w:val="72444198"/>
    <w:rsid w:val="724E1749"/>
    <w:rsid w:val="725B09F8"/>
    <w:rsid w:val="72637844"/>
    <w:rsid w:val="72705B23"/>
    <w:rsid w:val="7278201F"/>
    <w:rsid w:val="727E4675"/>
    <w:rsid w:val="728E447B"/>
    <w:rsid w:val="72930C07"/>
    <w:rsid w:val="729339E9"/>
    <w:rsid w:val="72936985"/>
    <w:rsid w:val="72942B34"/>
    <w:rsid w:val="72982B44"/>
    <w:rsid w:val="72992A33"/>
    <w:rsid w:val="729F6AD4"/>
    <w:rsid w:val="72B0518B"/>
    <w:rsid w:val="72B05C77"/>
    <w:rsid w:val="72B12A8E"/>
    <w:rsid w:val="72B1421D"/>
    <w:rsid w:val="72B221DC"/>
    <w:rsid w:val="72BA2638"/>
    <w:rsid w:val="72C07167"/>
    <w:rsid w:val="72C701E9"/>
    <w:rsid w:val="72C932B8"/>
    <w:rsid w:val="72D96B33"/>
    <w:rsid w:val="72DF1E38"/>
    <w:rsid w:val="72E45C4F"/>
    <w:rsid w:val="72E71D30"/>
    <w:rsid w:val="72E96F8E"/>
    <w:rsid w:val="72FC09D1"/>
    <w:rsid w:val="72FD2525"/>
    <w:rsid w:val="72FE0AF4"/>
    <w:rsid w:val="73025D58"/>
    <w:rsid w:val="73043AE5"/>
    <w:rsid w:val="730B4201"/>
    <w:rsid w:val="730D09BA"/>
    <w:rsid w:val="730D2073"/>
    <w:rsid w:val="730F4E2B"/>
    <w:rsid w:val="73276F10"/>
    <w:rsid w:val="732803B0"/>
    <w:rsid w:val="73287FCD"/>
    <w:rsid w:val="733D31C1"/>
    <w:rsid w:val="73485003"/>
    <w:rsid w:val="73485729"/>
    <w:rsid w:val="73603648"/>
    <w:rsid w:val="736069C8"/>
    <w:rsid w:val="73611FE0"/>
    <w:rsid w:val="73675141"/>
    <w:rsid w:val="736C04E4"/>
    <w:rsid w:val="736E1EA0"/>
    <w:rsid w:val="738426AF"/>
    <w:rsid w:val="738508C2"/>
    <w:rsid w:val="7387752D"/>
    <w:rsid w:val="738E7C61"/>
    <w:rsid w:val="738F0043"/>
    <w:rsid w:val="739066CD"/>
    <w:rsid w:val="73924A3C"/>
    <w:rsid w:val="7394646D"/>
    <w:rsid w:val="73B13DC1"/>
    <w:rsid w:val="73B36981"/>
    <w:rsid w:val="73B61F92"/>
    <w:rsid w:val="73B654B5"/>
    <w:rsid w:val="73BA2DA6"/>
    <w:rsid w:val="73BE7080"/>
    <w:rsid w:val="73CA0C79"/>
    <w:rsid w:val="73CC0EA6"/>
    <w:rsid w:val="73D74BDB"/>
    <w:rsid w:val="73D973A5"/>
    <w:rsid w:val="73E75FB9"/>
    <w:rsid w:val="73F037D1"/>
    <w:rsid w:val="73F22348"/>
    <w:rsid w:val="73F46B5B"/>
    <w:rsid w:val="73F602D5"/>
    <w:rsid w:val="73F73C89"/>
    <w:rsid w:val="73FC65FB"/>
    <w:rsid w:val="74045581"/>
    <w:rsid w:val="74061E4F"/>
    <w:rsid w:val="74111643"/>
    <w:rsid w:val="74127D08"/>
    <w:rsid w:val="74185B5D"/>
    <w:rsid w:val="74204CA4"/>
    <w:rsid w:val="74220A5F"/>
    <w:rsid w:val="74283AC1"/>
    <w:rsid w:val="742A14C4"/>
    <w:rsid w:val="742E30C3"/>
    <w:rsid w:val="742E6848"/>
    <w:rsid w:val="74322FE2"/>
    <w:rsid w:val="74352A53"/>
    <w:rsid w:val="743A351B"/>
    <w:rsid w:val="743F6813"/>
    <w:rsid w:val="74426C6E"/>
    <w:rsid w:val="74431556"/>
    <w:rsid w:val="74461350"/>
    <w:rsid w:val="74493C58"/>
    <w:rsid w:val="745126FD"/>
    <w:rsid w:val="74517B5D"/>
    <w:rsid w:val="74556DAD"/>
    <w:rsid w:val="745D5C4C"/>
    <w:rsid w:val="745F4E3F"/>
    <w:rsid w:val="7460422D"/>
    <w:rsid w:val="74623470"/>
    <w:rsid w:val="74696631"/>
    <w:rsid w:val="746B25DA"/>
    <w:rsid w:val="747639D3"/>
    <w:rsid w:val="74793F29"/>
    <w:rsid w:val="747A5B12"/>
    <w:rsid w:val="749737E5"/>
    <w:rsid w:val="7497709A"/>
    <w:rsid w:val="74AC0F9E"/>
    <w:rsid w:val="74AE0773"/>
    <w:rsid w:val="74AE77F3"/>
    <w:rsid w:val="74BB4A72"/>
    <w:rsid w:val="74C15057"/>
    <w:rsid w:val="74C37B57"/>
    <w:rsid w:val="74CC1680"/>
    <w:rsid w:val="74D52D86"/>
    <w:rsid w:val="74D82414"/>
    <w:rsid w:val="74EF5E51"/>
    <w:rsid w:val="74F26C28"/>
    <w:rsid w:val="74FB3F5E"/>
    <w:rsid w:val="75040FB4"/>
    <w:rsid w:val="750A23BC"/>
    <w:rsid w:val="751308C1"/>
    <w:rsid w:val="75173643"/>
    <w:rsid w:val="75256F4E"/>
    <w:rsid w:val="75272AAF"/>
    <w:rsid w:val="7529775B"/>
    <w:rsid w:val="7530098F"/>
    <w:rsid w:val="753353BE"/>
    <w:rsid w:val="753A3849"/>
    <w:rsid w:val="7542213E"/>
    <w:rsid w:val="75476C5B"/>
    <w:rsid w:val="754F2A4E"/>
    <w:rsid w:val="754F4AD7"/>
    <w:rsid w:val="75561E25"/>
    <w:rsid w:val="75593ECA"/>
    <w:rsid w:val="755B465F"/>
    <w:rsid w:val="755C7027"/>
    <w:rsid w:val="75620948"/>
    <w:rsid w:val="75715A44"/>
    <w:rsid w:val="75757E52"/>
    <w:rsid w:val="7578750A"/>
    <w:rsid w:val="757E0F8E"/>
    <w:rsid w:val="759320B4"/>
    <w:rsid w:val="75A12DF6"/>
    <w:rsid w:val="75AC5967"/>
    <w:rsid w:val="75B00E37"/>
    <w:rsid w:val="75B8450C"/>
    <w:rsid w:val="75BC710E"/>
    <w:rsid w:val="75CF4F12"/>
    <w:rsid w:val="75D17546"/>
    <w:rsid w:val="75D40F1C"/>
    <w:rsid w:val="75D612A2"/>
    <w:rsid w:val="75D96CD2"/>
    <w:rsid w:val="75DE0121"/>
    <w:rsid w:val="75DFB655"/>
    <w:rsid w:val="75EE3F07"/>
    <w:rsid w:val="75F30B5F"/>
    <w:rsid w:val="75F31B9E"/>
    <w:rsid w:val="75F4522A"/>
    <w:rsid w:val="75F61A2D"/>
    <w:rsid w:val="75F778C1"/>
    <w:rsid w:val="75F96264"/>
    <w:rsid w:val="75FB6426"/>
    <w:rsid w:val="76013E92"/>
    <w:rsid w:val="76090F43"/>
    <w:rsid w:val="761416DA"/>
    <w:rsid w:val="761B1AE8"/>
    <w:rsid w:val="761B3C86"/>
    <w:rsid w:val="76212A12"/>
    <w:rsid w:val="76225FD2"/>
    <w:rsid w:val="76293DB8"/>
    <w:rsid w:val="76311D0B"/>
    <w:rsid w:val="76350CCB"/>
    <w:rsid w:val="76487FAA"/>
    <w:rsid w:val="764E540C"/>
    <w:rsid w:val="76506CFD"/>
    <w:rsid w:val="76574D1C"/>
    <w:rsid w:val="7667268E"/>
    <w:rsid w:val="766967FE"/>
    <w:rsid w:val="76720DF3"/>
    <w:rsid w:val="767B0330"/>
    <w:rsid w:val="768F58BA"/>
    <w:rsid w:val="76A03EBB"/>
    <w:rsid w:val="76A538E2"/>
    <w:rsid w:val="76A713E2"/>
    <w:rsid w:val="76A76D65"/>
    <w:rsid w:val="76B075B3"/>
    <w:rsid w:val="76B4114C"/>
    <w:rsid w:val="76B84CB0"/>
    <w:rsid w:val="76B95DD5"/>
    <w:rsid w:val="76C21BDF"/>
    <w:rsid w:val="76C445E5"/>
    <w:rsid w:val="76C60541"/>
    <w:rsid w:val="76CE368B"/>
    <w:rsid w:val="76D21076"/>
    <w:rsid w:val="76D46C33"/>
    <w:rsid w:val="76D637B8"/>
    <w:rsid w:val="76E7500D"/>
    <w:rsid w:val="76F11F6A"/>
    <w:rsid w:val="76FD566B"/>
    <w:rsid w:val="76FF79E2"/>
    <w:rsid w:val="770027D8"/>
    <w:rsid w:val="77026D52"/>
    <w:rsid w:val="770A34DA"/>
    <w:rsid w:val="7714098F"/>
    <w:rsid w:val="771833C3"/>
    <w:rsid w:val="773179DE"/>
    <w:rsid w:val="773E6615"/>
    <w:rsid w:val="77443A0E"/>
    <w:rsid w:val="77481BD9"/>
    <w:rsid w:val="77482DDB"/>
    <w:rsid w:val="775D17E4"/>
    <w:rsid w:val="776654D4"/>
    <w:rsid w:val="77672E9E"/>
    <w:rsid w:val="77766DF2"/>
    <w:rsid w:val="778B8D32"/>
    <w:rsid w:val="778D5E46"/>
    <w:rsid w:val="779029B8"/>
    <w:rsid w:val="779A64A6"/>
    <w:rsid w:val="779A6839"/>
    <w:rsid w:val="77A7252C"/>
    <w:rsid w:val="77B1401B"/>
    <w:rsid w:val="77B54EB9"/>
    <w:rsid w:val="77B9552B"/>
    <w:rsid w:val="77BC190C"/>
    <w:rsid w:val="77C97926"/>
    <w:rsid w:val="77CD1A0F"/>
    <w:rsid w:val="77CF29DA"/>
    <w:rsid w:val="77D05A21"/>
    <w:rsid w:val="77D2796D"/>
    <w:rsid w:val="77D8748E"/>
    <w:rsid w:val="77DC44F9"/>
    <w:rsid w:val="77E116BC"/>
    <w:rsid w:val="77E264BF"/>
    <w:rsid w:val="77E67A2B"/>
    <w:rsid w:val="77E7327A"/>
    <w:rsid w:val="77E74148"/>
    <w:rsid w:val="77E7611E"/>
    <w:rsid w:val="77E926D1"/>
    <w:rsid w:val="77F370FE"/>
    <w:rsid w:val="77F626AE"/>
    <w:rsid w:val="77FA3830"/>
    <w:rsid w:val="78035AFB"/>
    <w:rsid w:val="780658F7"/>
    <w:rsid w:val="780B6769"/>
    <w:rsid w:val="781D4EAD"/>
    <w:rsid w:val="78270180"/>
    <w:rsid w:val="783032BA"/>
    <w:rsid w:val="783403B5"/>
    <w:rsid w:val="784367C4"/>
    <w:rsid w:val="78452A39"/>
    <w:rsid w:val="78454249"/>
    <w:rsid w:val="784B50BA"/>
    <w:rsid w:val="784C4655"/>
    <w:rsid w:val="78556732"/>
    <w:rsid w:val="785A59D4"/>
    <w:rsid w:val="78603E05"/>
    <w:rsid w:val="786C7D8D"/>
    <w:rsid w:val="7875006F"/>
    <w:rsid w:val="787A1925"/>
    <w:rsid w:val="787A4484"/>
    <w:rsid w:val="788117A8"/>
    <w:rsid w:val="78874D6A"/>
    <w:rsid w:val="7888179A"/>
    <w:rsid w:val="788844D6"/>
    <w:rsid w:val="788A32AE"/>
    <w:rsid w:val="789000DF"/>
    <w:rsid w:val="78916150"/>
    <w:rsid w:val="789B38D8"/>
    <w:rsid w:val="789B4847"/>
    <w:rsid w:val="789B705C"/>
    <w:rsid w:val="789F0A7E"/>
    <w:rsid w:val="78A33AED"/>
    <w:rsid w:val="78AD3039"/>
    <w:rsid w:val="78B47C65"/>
    <w:rsid w:val="78C449E6"/>
    <w:rsid w:val="78C50326"/>
    <w:rsid w:val="78C92613"/>
    <w:rsid w:val="78CD4793"/>
    <w:rsid w:val="78D03CB3"/>
    <w:rsid w:val="78F405B7"/>
    <w:rsid w:val="78FC51F4"/>
    <w:rsid w:val="78FE58F1"/>
    <w:rsid w:val="790B434A"/>
    <w:rsid w:val="791B6E27"/>
    <w:rsid w:val="792027ED"/>
    <w:rsid w:val="792151BF"/>
    <w:rsid w:val="792D6FA4"/>
    <w:rsid w:val="79366D7A"/>
    <w:rsid w:val="79393ABF"/>
    <w:rsid w:val="79397F83"/>
    <w:rsid w:val="793FBEBE"/>
    <w:rsid w:val="79472DD8"/>
    <w:rsid w:val="794E3ADA"/>
    <w:rsid w:val="79582E63"/>
    <w:rsid w:val="796A019C"/>
    <w:rsid w:val="79775631"/>
    <w:rsid w:val="797D6F9D"/>
    <w:rsid w:val="798C7CC6"/>
    <w:rsid w:val="798E2CAC"/>
    <w:rsid w:val="799C4845"/>
    <w:rsid w:val="799F60E4"/>
    <w:rsid w:val="79AA1809"/>
    <w:rsid w:val="79B10C5A"/>
    <w:rsid w:val="79B202D5"/>
    <w:rsid w:val="79BB2BA4"/>
    <w:rsid w:val="79BB35C1"/>
    <w:rsid w:val="79C31EFF"/>
    <w:rsid w:val="79C45B4A"/>
    <w:rsid w:val="79C46738"/>
    <w:rsid w:val="79C90EC8"/>
    <w:rsid w:val="79C92A94"/>
    <w:rsid w:val="79CB5213"/>
    <w:rsid w:val="79D251E4"/>
    <w:rsid w:val="79D3621E"/>
    <w:rsid w:val="79D859B6"/>
    <w:rsid w:val="79DB049C"/>
    <w:rsid w:val="79E24AD0"/>
    <w:rsid w:val="79EF5B48"/>
    <w:rsid w:val="79F67F9D"/>
    <w:rsid w:val="7A0F5808"/>
    <w:rsid w:val="7A132258"/>
    <w:rsid w:val="7A1D006F"/>
    <w:rsid w:val="7A1E44CE"/>
    <w:rsid w:val="7A1F28C1"/>
    <w:rsid w:val="7A204EED"/>
    <w:rsid w:val="7A24391C"/>
    <w:rsid w:val="7A276B2C"/>
    <w:rsid w:val="7A303188"/>
    <w:rsid w:val="7A354B14"/>
    <w:rsid w:val="7A3B3F51"/>
    <w:rsid w:val="7A3F589C"/>
    <w:rsid w:val="7A3F6BA7"/>
    <w:rsid w:val="7A4F7CBC"/>
    <w:rsid w:val="7A684727"/>
    <w:rsid w:val="7A6925D7"/>
    <w:rsid w:val="7A716CBA"/>
    <w:rsid w:val="7A7771A0"/>
    <w:rsid w:val="7A7908E7"/>
    <w:rsid w:val="7A792DD8"/>
    <w:rsid w:val="7A7B74A6"/>
    <w:rsid w:val="7A7E093C"/>
    <w:rsid w:val="7A91772B"/>
    <w:rsid w:val="7A9806C6"/>
    <w:rsid w:val="7A9F63E9"/>
    <w:rsid w:val="7AA541D1"/>
    <w:rsid w:val="7AA9142E"/>
    <w:rsid w:val="7AAB3D9C"/>
    <w:rsid w:val="7AAF4251"/>
    <w:rsid w:val="7AAF7044"/>
    <w:rsid w:val="7AB14E97"/>
    <w:rsid w:val="7AB4064B"/>
    <w:rsid w:val="7AB44AB9"/>
    <w:rsid w:val="7AB45273"/>
    <w:rsid w:val="7AB54623"/>
    <w:rsid w:val="7ABA2F40"/>
    <w:rsid w:val="7AD053C2"/>
    <w:rsid w:val="7AD1129D"/>
    <w:rsid w:val="7AD154AC"/>
    <w:rsid w:val="7ADE0DE9"/>
    <w:rsid w:val="7AE4113B"/>
    <w:rsid w:val="7AEA07CE"/>
    <w:rsid w:val="7AEE4B73"/>
    <w:rsid w:val="7B004B70"/>
    <w:rsid w:val="7B064FCF"/>
    <w:rsid w:val="7B075AA7"/>
    <w:rsid w:val="7B0771EE"/>
    <w:rsid w:val="7B0A3A0C"/>
    <w:rsid w:val="7B0A6B4C"/>
    <w:rsid w:val="7B0F4A3D"/>
    <w:rsid w:val="7B163769"/>
    <w:rsid w:val="7B16489E"/>
    <w:rsid w:val="7B1D3A02"/>
    <w:rsid w:val="7B276A77"/>
    <w:rsid w:val="7B280D91"/>
    <w:rsid w:val="7B2E08EC"/>
    <w:rsid w:val="7B347CC8"/>
    <w:rsid w:val="7B350143"/>
    <w:rsid w:val="7B3506CA"/>
    <w:rsid w:val="7B361552"/>
    <w:rsid w:val="7B3B3CA6"/>
    <w:rsid w:val="7B456646"/>
    <w:rsid w:val="7B4753A0"/>
    <w:rsid w:val="7B4C4E84"/>
    <w:rsid w:val="7B564643"/>
    <w:rsid w:val="7B5A6BFA"/>
    <w:rsid w:val="7B621001"/>
    <w:rsid w:val="7B6749AF"/>
    <w:rsid w:val="7B7244BA"/>
    <w:rsid w:val="7B73E872"/>
    <w:rsid w:val="7B7F0937"/>
    <w:rsid w:val="7B8116BB"/>
    <w:rsid w:val="7B8465E8"/>
    <w:rsid w:val="7B89132D"/>
    <w:rsid w:val="7B8C1505"/>
    <w:rsid w:val="7B8E7B5F"/>
    <w:rsid w:val="7B963AAC"/>
    <w:rsid w:val="7B9E5512"/>
    <w:rsid w:val="7BA32F7E"/>
    <w:rsid w:val="7BB2717F"/>
    <w:rsid w:val="7BBD1682"/>
    <w:rsid w:val="7BC030AF"/>
    <w:rsid w:val="7BC04D9C"/>
    <w:rsid w:val="7BC3505B"/>
    <w:rsid w:val="7BC8778C"/>
    <w:rsid w:val="7BCA5827"/>
    <w:rsid w:val="7BDF4EBD"/>
    <w:rsid w:val="7BE054BF"/>
    <w:rsid w:val="7BE15378"/>
    <w:rsid w:val="7BE52E6D"/>
    <w:rsid w:val="7BE534F5"/>
    <w:rsid w:val="7BE72681"/>
    <w:rsid w:val="7BE74487"/>
    <w:rsid w:val="7BE84CD5"/>
    <w:rsid w:val="7BEB3016"/>
    <w:rsid w:val="7BEC7477"/>
    <w:rsid w:val="7BED17A8"/>
    <w:rsid w:val="7BF25868"/>
    <w:rsid w:val="7BF74163"/>
    <w:rsid w:val="7BFB7A6D"/>
    <w:rsid w:val="7BFC609D"/>
    <w:rsid w:val="7BFE5C45"/>
    <w:rsid w:val="7C036BEE"/>
    <w:rsid w:val="7C0440D8"/>
    <w:rsid w:val="7C0608B1"/>
    <w:rsid w:val="7C1450D6"/>
    <w:rsid w:val="7C173EBE"/>
    <w:rsid w:val="7C207192"/>
    <w:rsid w:val="7C3062A1"/>
    <w:rsid w:val="7C3D6B45"/>
    <w:rsid w:val="7C4971BE"/>
    <w:rsid w:val="7C557EA1"/>
    <w:rsid w:val="7C57191B"/>
    <w:rsid w:val="7C580D09"/>
    <w:rsid w:val="7C6158D2"/>
    <w:rsid w:val="7C656037"/>
    <w:rsid w:val="7C6C4CE7"/>
    <w:rsid w:val="7C6C654C"/>
    <w:rsid w:val="7C730D95"/>
    <w:rsid w:val="7C78006E"/>
    <w:rsid w:val="7C7C067A"/>
    <w:rsid w:val="7C7C6ECD"/>
    <w:rsid w:val="7C7E4FA8"/>
    <w:rsid w:val="7C7F04A9"/>
    <w:rsid w:val="7C804575"/>
    <w:rsid w:val="7C8058CE"/>
    <w:rsid w:val="7C95551F"/>
    <w:rsid w:val="7C9D0BDB"/>
    <w:rsid w:val="7CA46A0E"/>
    <w:rsid w:val="7CA91925"/>
    <w:rsid w:val="7CAC7058"/>
    <w:rsid w:val="7CB214C1"/>
    <w:rsid w:val="7CB47A06"/>
    <w:rsid w:val="7CBC1AC4"/>
    <w:rsid w:val="7CC0116F"/>
    <w:rsid w:val="7CC2300E"/>
    <w:rsid w:val="7CCC6080"/>
    <w:rsid w:val="7CCD3CAB"/>
    <w:rsid w:val="7CCE1B8C"/>
    <w:rsid w:val="7CD11F5E"/>
    <w:rsid w:val="7CDE5175"/>
    <w:rsid w:val="7CDE6F23"/>
    <w:rsid w:val="7CEE40FD"/>
    <w:rsid w:val="7CF82DB3"/>
    <w:rsid w:val="7CFE4EA9"/>
    <w:rsid w:val="7CFF7BDA"/>
    <w:rsid w:val="7D0817DE"/>
    <w:rsid w:val="7D0B30B4"/>
    <w:rsid w:val="7D0C580B"/>
    <w:rsid w:val="7D0F3A8A"/>
    <w:rsid w:val="7D102EDB"/>
    <w:rsid w:val="7D1A0297"/>
    <w:rsid w:val="7D1C630E"/>
    <w:rsid w:val="7D256900"/>
    <w:rsid w:val="7D286C1B"/>
    <w:rsid w:val="7D30075C"/>
    <w:rsid w:val="7D324F2A"/>
    <w:rsid w:val="7D33726F"/>
    <w:rsid w:val="7D3566FF"/>
    <w:rsid w:val="7D36583B"/>
    <w:rsid w:val="7D3F00CC"/>
    <w:rsid w:val="7D405F79"/>
    <w:rsid w:val="7D442A65"/>
    <w:rsid w:val="7D483372"/>
    <w:rsid w:val="7D4C20DE"/>
    <w:rsid w:val="7D5432F2"/>
    <w:rsid w:val="7D584F27"/>
    <w:rsid w:val="7D605432"/>
    <w:rsid w:val="7D6805B9"/>
    <w:rsid w:val="7D6C6D8D"/>
    <w:rsid w:val="7D727CA3"/>
    <w:rsid w:val="7D76186B"/>
    <w:rsid w:val="7D787377"/>
    <w:rsid w:val="7D7BC541"/>
    <w:rsid w:val="7D817C65"/>
    <w:rsid w:val="7D835B42"/>
    <w:rsid w:val="7D883729"/>
    <w:rsid w:val="7D8906C2"/>
    <w:rsid w:val="7D8C16A0"/>
    <w:rsid w:val="7D8C1E85"/>
    <w:rsid w:val="7D922A17"/>
    <w:rsid w:val="7D95170B"/>
    <w:rsid w:val="7DA46BC5"/>
    <w:rsid w:val="7DB815B8"/>
    <w:rsid w:val="7DB992EB"/>
    <w:rsid w:val="7DBB05E3"/>
    <w:rsid w:val="7DBC2312"/>
    <w:rsid w:val="7DBEB6D9"/>
    <w:rsid w:val="7DC4765D"/>
    <w:rsid w:val="7DC74BB7"/>
    <w:rsid w:val="7DC879CE"/>
    <w:rsid w:val="7DC94699"/>
    <w:rsid w:val="7DCD363D"/>
    <w:rsid w:val="7DDB5827"/>
    <w:rsid w:val="7DDE4317"/>
    <w:rsid w:val="7DE05125"/>
    <w:rsid w:val="7DE145F7"/>
    <w:rsid w:val="7DE3500F"/>
    <w:rsid w:val="7DE35A9C"/>
    <w:rsid w:val="7DE78F43"/>
    <w:rsid w:val="7DE7ECD9"/>
    <w:rsid w:val="7DF51C14"/>
    <w:rsid w:val="7DFBD022"/>
    <w:rsid w:val="7E0433DE"/>
    <w:rsid w:val="7E0740C6"/>
    <w:rsid w:val="7E133EC7"/>
    <w:rsid w:val="7E170598"/>
    <w:rsid w:val="7E183C46"/>
    <w:rsid w:val="7E1A6CEA"/>
    <w:rsid w:val="7E1D611B"/>
    <w:rsid w:val="7E216349"/>
    <w:rsid w:val="7E226041"/>
    <w:rsid w:val="7E372A75"/>
    <w:rsid w:val="7E37426C"/>
    <w:rsid w:val="7E393103"/>
    <w:rsid w:val="7E3B2B28"/>
    <w:rsid w:val="7E3C7854"/>
    <w:rsid w:val="7E3F5973"/>
    <w:rsid w:val="7E48425D"/>
    <w:rsid w:val="7E5868D6"/>
    <w:rsid w:val="7E6674DB"/>
    <w:rsid w:val="7E713BFE"/>
    <w:rsid w:val="7E745D91"/>
    <w:rsid w:val="7E75124A"/>
    <w:rsid w:val="7E76543D"/>
    <w:rsid w:val="7E77670F"/>
    <w:rsid w:val="7E786D50"/>
    <w:rsid w:val="7E8740B7"/>
    <w:rsid w:val="7E8F33D7"/>
    <w:rsid w:val="7EA701B4"/>
    <w:rsid w:val="7EAD55C7"/>
    <w:rsid w:val="7EAD606A"/>
    <w:rsid w:val="7EB62230"/>
    <w:rsid w:val="7EB73E2A"/>
    <w:rsid w:val="7EC832B5"/>
    <w:rsid w:val="7ED55CD3"/>
    <w:rsid w:val="7ED94A63"/>
    <w:rsid w:val="7EDA196C"/>
    <w:rsid w:val="7EDA603E"/>
    <w:rsid w:val="7EDB6EBF"/>
    <w:rsid w:val="7EED55D3"/>
    <w:rsid w:val="7EF72454"/>
    <w:rsid w:val="7EFA3022"/>
    <w:rsid w:val="7EFA67B7"/>
    <w:rsid w:val="7F0E0BFD"/>
    <w:rsid w:val="7F183FCD"/>
    <w:rsid w:val="7F1FB8A7"/>
    <w:rsid w:val="7F261997"/>
    <w:rsid w:val="7F270189"/>
    <w:rsid w:val="7F2877C9"/>
    <w:rsid w:val="7F2CC9B8"/>
    <w:rsid w:val="7F2F5C02"/>
    <w:rsid w:val="7F386896"/>
    <w:rsid w:val="7F39243B"/>
    <w:rsid w:val="7F393247"/>
    <w:rsid w:val="7F395711"/>
    <w:rsid w:val="7F4447FC"/>
    <w:rsid w:val="7F46667A"/>
    <w:rsid w:val="7F471235"/>
    <w:rsid w:val="7F53680E"/>
    <w:rsid w:val="7F5C69A5"/>
    <w:rsid w:val="7F5F3AD8"/>
    <w:rsid w:val="7F62686A"/>
    <w:rsid w:val="7F6553E4"/>
    <w:rsid w:val="7F66514D"/>
    <w:rsid w:val="7F686F78"/>
    <w:rsid w:val="7F6A9764"/>
    <w:rsid w:val="7F6B2371"/>
    <w:rsid w:val="7F6BF9C7"/>
    <w:rsid w:val="7F70317D"/>
    <w:rsid w:val="7F75317F"/>
    <w:rsid w:val="7F775EE2"/>
    <w:rsid w:val="7F7C2200"/>
    <w:rsid w:val="7F7D591C"/>
    <w:rsid w:val="7F7D6325"/>
    <w:rsid w:val="7F7E4D59"/>
    <w:rsid w:val="7F800765"/>
    <w:rsid w:val="7F8115DD"/>
    <w:rsid w:val="7F8916FC"/>
    <w:rsid w:val="7F8A0FB8"/>
    <w:rsid w:val="7F8F35AF"/>
    <w:rsid w:val="7F9B390A"/>
    <w:rsid w:val="7F9FF79C"/>
    <w:rsid w:val="7FA12925"/>
    <w:rsid w:val="7FA51D84"/>
    <w:rsid w:val="7FAB4095"/>
    <w:rsid w:val="7FB03FBC"/>
    <w:rsid w:val="7FB27383"/>
    <w:rsid w:val="7FB61DF5"/>
    <w:rsid w:val="7FBA76CB"/>
    <w:rsid w:val="7FBDB51E"/>
    <w:rsid w:val="7FCC1D82"/>
    <w:rsid w:val="7FD275BC"/>
    <w:rsid w:val="7FD733A4"/>
    <w:rsid w:val="7FDB11A7"/>
    <w:rsid w:val="7FDD5A2D"/>
    <w:rsid w:val="7FDE5227"/>
    <w:rsid w:val="7FECA446"/>
    <w:rsid w:val="7FF135EC"/>
    <w:rsid w:val="7FFA0E1E"/>
    <w:rsid w:val="7FFB1348"/>
    <w:rsid w:val="7FFD0BAA"/>
    <w:rsid w:val="7FFE071A"/>
    <w:rsid w:val="7FFE1658"/>
    <w:rsid w:val="7FFEE943"/>
    <w:rsid w:val="7FFEF0F2"/>
    <w:rsid w:val="7FFF78DC"/>
    <w:rsid w:val="87BF35A8"/>
    <w:rsid w:val="8B3B7514"/>
    <w:rsid w:val="97CB2E4C"/>
    <w:rsid w:val="9FDD60A2"/>
    <w:rsid w:val="A0DF5954"/>
    <w:rsid w:val="A7EFA848"/>
    <w:rsid w:val="AB6CC965"/>
    <w:rsid w:val="ABEFB409"/>
    <w:rsid w:val="AE5D8FB5"/>
    <w:rsid w:val="AEDF2AAF"/>
    <w:rsid w:val="AFF60DD2"/>
    <w:rsid w:val="B0DED15E"/>
    <w:rsid w:val="B2CFDD4D"/>
    <w:rsid w:val="B5FDD9F7"/>
    <w:rsid w:val="B7DE803C"/>
    <w:rsid w:val="BBFB7065"/>
    <w:rsid w:val="BBFD65E5"/>
    <w:rsid w:val="BBFF4219"/>
    <w:rsid w:val="BD3EE6F1"/>
    <w:rsid w:val="BD6F8456"/>
    <w:rsid w:val="BF5726C7"/>
    <w:rsid w:val="BF9B041B"/>
    <w:rsid w:val="BFF54894"/>
    <w:rsid w:val="BFFF80F9"/>
    <w:rsid w:val="C3DF481C"/>
    <w:rsid w:val="CBDF98C9"/>
    <w:rsid w:val="CFAB1EB0"/>
    <w:rsid w:val="CFCCEADA"/>
    <w:rsid w:val="D3E6CA98"/>
    <w:rsid w:val="D75FB70A"/>
    <w:rsid w:val="D77EDAD1"/>
    <w:rsid w:val="DBB71243"/>
    <w:rsid w:val="DBD7F577"/>
    <w:rsid w:val="DD550346"/>
    <w:rsid w:val="DD7DE902"/>
    <w:rsid w:val="DDDC1A09"/>
    <w:rsid w:val="DDFB516A"/>
    <w:rsid w:val="DF1D143E"/>
    <w:rsid w:val="E1FB5AEC"/>
    <w:rsid w:val="E2B7E4B1"/>
    <w:rsid w:val="E47E3D54"/>
    <w:rsid w:val="E4F743DA"/>
    <w:rsid w:val="E5FF1CAF"/>
    <w:rsid w:val="E7F20224"/>
    <w:rsid w:val="EABB75E5"/>
    <w:rsid w:val="EBFE9447"/>
    <w:rsid w:val="EBFF2C60"/>
    <w:rsid w:val="ED6F6595"/>
    <w:rsid w:val="F27F90BF"/>
    <w:rsid w:val="F36A51DD"/>
    <w:rsid w:val="F5670361"/>
    <w:rsid w:val="F6DF3B8B"/>
    <w:rsid w:val="F7DAFC90"/>
    <w:rsid w:val="F7FAAAEC"/>
    <w:rsid w:val="F7FC1010"/>
    <w:rsid w:val="F7FF0E5B"/>
    <w:rsid w:val="F7FFF666"/>
    <w:rsid w:val="F83FAF90"/>
    <w:rsid w:val="F9FBDD2B"/>
    <w:rsid w:val="FAD76890"/>
    <w:rsid w:val="FAF93857"/>
    <w:rsid w:val="FAF96319"/>
    <w:rsid w:val="FB7B06A7"/>
    <w:rsid w:val="FB7CCD84"/>
    <w:rsid w:val="FB7FBA94"/>
    <w:rsid w:val="FBD18957"/>
    <w:rsid w:val="FBEE6432"/>
    <w:rsid w:val="FDAE83EF"/>
    <w:rsid w:val="FDDF0E1C"/>
    <w:rsid w:val="FDE7E5C5"/>
    <w:rsid w:val="FDFFAEE2"/>
    <w:rsid w:val="FEB9BE80"/>
    <w:rsid w:val="FEBE56F7"/>
    <w:rsid w:val="FEFFBDD7"/>
    <w:rsid w:val="FF3FB269"/>
    <w:rsid w:val="FF5B0E3D"/>
    <w:rsid w:val="FF7DCAB2"/>
    <w:rsid w:val="FF7F782F"/>
    <w:rsid w:val="FF8B2520"/>
    <w:rsid w:val="FFAB32EB"/>
    <w:rsid w:val="FFDED6B6"/>
    <w:rsid w:val="FFDFBDD9"/>
    <w:rsid w:val="FFED385F"/>
    <w:rsid w:val="FFEDB71B"/>
    <w:rsid w:val="FFFC3C09"/>
    <w:rsid w:val="FFFFA83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nhideWhenUsed="0" w:uiPriority="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nhideWhenUsed="0" w:uiPriority="0" w:name="List Continue 3"/>
    <w:lsdException w:unhideWhenUsed="0" w:uiPriority="0" w:name="List Continue 4"/>
    <w:lsdException w:unhideWhenUsed="0" w:uiPriority="0" w:name="List Continue 5"/>
    <w:lsdException w:unhideWhenUsed="0"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iPriority="0" w:semiHidden="0" w:name="Body Text Indent 2"/>
    <w:lsdException w:qFormat="1" w:uiPriority="0" w:semiHidden="0" w:name="Body Text Indent 3"/>
    <w:lsdException w:uiPriority="0"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nhideWhenUsed="0" w:uiPriority="0" w:semiHidden="0" w:name="HTML Acronym"/>
    <w:lsdException w:uiPriority="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74"/>
    <w:qFormat/>
    <w:uiPriority w:val="1"/>
    <w:pPr>
      <w:spacing w:before="100" w:beforeAutospacing="1" w:after="100" w:afterAutospacing="1"/>
      <w:jc w:val="center"/>
      <w:outlineLvl w:val="0"/>
    </w:pPr>
    <w:rPr>
      <w:rFonts w:hint="eastAsia" w:ascii="宋体" w:hAnsi="宋体"/>
      <w:b/>
      <w:kern w:val="44"/>
      <w:sz w:val="28"/>
      <w:szCs w:val="48"/>
    </w:rPr>
  </w:style>
  <w:style w:type="paragraph" w:styleId="3">
    <w:name w:val="heading 2"/>
    <w:basedOn w:val="1"/>
    <w:next w:val="1"/>
    <w:link w:val="46"/>
    <w:qFormat/>
    <w:uiPriority w:val="0"/>
    <w:pPr>
      <w:keepNext/>
      <w:keepLines/>
      <w:numPr>
        <w:ilvl w:val="1"/>
        <w:numId w:val="1"/>
      </w:numPr>
      <w:spacing w:before="120" w:after="120" w:line="416" w:lineRule="auto"/>
      <w:jc w:val="left"/>
      <w:outlineLvl w:val="1"/>
    </w:pPr>
    <w:rPr>
      <w:rFonts w:ascii="Cambria" w:hAnsi="Cambria"/>
      <w:b/>
      <w:bCs/>
      <w:sz w:val="24"/>
      <w:szCs w:val="32"/>
    </w:rPr>
  </w:style>
  <w:style w:type="paragraph" w:styleId="4">
    <w:name w:val="heading 3"/>
    <w:basedOn w:val="1"/>
    <w:next w:val="1"/>
    <w:link w:val="47"/>
    <w:qFormat/>
    <w:uiPriority w:val="0"/>
    <w:pPr>
      <w:keepNext/>
      <w:keepLines/>
      <w:numPr>
        <w:ilvl w:val="2"/>
        <w:numId w:val="1"/>
      </w:numPr>
      <w:spacing w:before="260" w:after="260" w:line="416" w:lineRule="auto"/>
      <w:outlineLvl w:val="2"/>
    </w:pPr>
    <w:rPr>
      <w:rFonts w:ascii="Times New Roman" w:hAnsi="Times New Roman"/>
      <w:b/>
      <w:bCs/>
      <w:sz w:val="32"/>
      <w:szCs w:val="32"/>
    </w:rPr>
  </w:style>
  <w:style w:type="paragraph" w:styleId="5">
    <w:name w:val="heading 4"/>
    <w:basedOn w:val="1"/>
    <w:next w:val="1"/>
    <w:link w:val="91"/>
    <w:unhideWhenUsed/>
    <w:qFormat/>
    <w:uiPriority w:val="9"/>
    <w:pPr>
      <w:keepNext/>
      <w:keepLines/>
      <w:numPr>
        <w:ilvl w:val="3"/>
        <w:numId w:val="2"/>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2">
    <w:name w:val="Document Map"/>
    <w:basedOn w:val="1"/>
    <w:link w:val="50"/>
    <w:qFormat/>
    <w:uiPriority w:val="0"/>
    <w:rPr>
      <w:rFonts w:ascii="宋体" w:hAnsi="Times New Roman"/>
      <w:sz w:val="18"/>
      <w:szCs w:val="18"/>
    </w:rPr>
  </w:style>
  <w:style w:type="paragraph" w:styleId="13">
    <w:name w:val="annotation text"/>
    <w:basedOn w:val="1"/>
    <w:link w:val="48"/>
    <w:unhideWhenUsed/>
    <w:qFormat/>
    <w:uiPriority w:val="99"/>
    <w:pPr>
      <w:jc w:val="left"/>
    </w:pPr>
    <w:rPr>
      <w:rFonts w:ascii="Times New Roman" w:hAnsi="Times New Roman"/>
    </w:rPr>
  </w:style>
  <w:style w:type="paragraph" w:styleId="14">
    <w:name w:val="Body Text"/>
    <w:basedOn w:val="1"/>
    <w:link w:val="78"/>
    <w:unhideWhenUsed/>
    <w:qFormat/>
    <w:uiPriority w:val="0"/>
    <w:pPr>
      <w:spacing w:after="120"/>
    </w:pPr>
  </w:style>
  <w:style w:type="paragraph" w:styleId="15">
    <w:name w:val="Body Text Indent"/>
    <w:basedOn w:val="1"/>
    <w:next w:val="1"/>
    <w:link w:val="89"/>
    <w:qFormat/>
    <w:uiPriority w:val="99"/>
    <w:pPr>
      <w:spacing w:after="120"/>
      <w:ind w:left="420" w:leftChars="200"/>
    </w:pPr>
  </w:style>
  <w:style w:type="paragraph" w:styleId="16">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7">
    <w:name w:val="toc 3"/>
    <w:basedOn w:val="1"/>
    <w:next w:val="1"/>
    <w:unhideWhenUsed/>
    <w:qFormat/>
    <w:uiPriority w:val="39"/>
    <w:pPr>
      <w:ind w:left="840" w:leftChars="400"/>
    </w:pPr>
  </w:style>
  <w:style w:type="paragraph" w:styleId="18">
    <w:name w:val="Plain Text"/>
    <w:basedOn w:val="1"/>
    <w:link w:val="51"/>
    <w:qFormat/>
    <w:uiPriority w:val="0"/>
    <w:rPr>
      <w:rFonts w:ascii="宋体" w:hAnsi="Courier New"/>
      <w:szCs w:val="21"/>
    </w:rPr>
  </w:style>
  <w:style w:type="paragraph" w:styleId="19">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0">
    <w:name w:val="Date"/>
    <w:basedOn w:val="1"/>
    <w:next w:val="1"/>
    <w:link w:val="52"/>
    <w:qFormat/>
    <w:uiPriority w:val="0"/>
    <w:pPr>
      <w:ind w:left="100" w:leftChars="2500"/>
    </w:pPr>
    <w:rPr>
      <w:rFonts w:ascii="Times New Roman" w:hAnsi="Times New Roman"/>
    </w:rPr>
  </w:style>
  <w:style w:type="paragraph" w:styleId="21">
    <w:name w:val="Body Text Indent 2"/>
    <w:basedOn w:val="1"/>
    <w:link w:val="92"/>
    <w:unhideWhenUsed/>
    <w:qFormat/>
    <w:uiPriority w:val="0"/>
    <w:pPr>
      <w:spacing w:after="120" w:line="480" w:lineRule="auto"/>
      <w:ind w:left="420" w:leftChars="200"/>
    </w:pPr>
    <w:rPr>
      <w:szCs w:val="20"/>
    </w:rPr>
  </w:style>
  <w:style w:type="paragraph" w:styleId="22">
    <w:name w:val="Balloon Text"/>
    <w:basedOn w:val="1"/>
    <w:link w:val="53"/>
    <w:qFormat/>
    <w:uiPriority w:val="0"/>
    <w:rPr>
      <w:rFonts w:ascii="Times New Roman" w:hAnsi="Times New Roman"/>
      <w:sz w:val="18"/>
      <w:szCs w:val="18"/>
    </w:rPr>
  </w:style>
  <w:style w:type="paragraph" w:styleId="23">
    <w:name w:val="footer"/>
    <w:basedOn w:val="1"/>
    <w:link w:val="54"/>
    <w:qFormat/>
    <w:uiPriority w:val="99"/>
    <w:pPr>
      <w:tabs>
        <w:tab w:val="center" w:pos="4153"/>
        <w:tab w:val="right" w:pos="8306"/>
      </w:tabs>
      <w:snapToGrid w:val="0"/>
      <w:jc w:val="left"/>
    </w:pPr>
    <w:rPr>
      <w:rFonts w:ascii="Times New Roman" w:hAnsi="Times New Roman"/>
      <w:sz w:val="18"/>
      <w:szCs w:val="18"/>
    </w:rPr>
  </w:style>
  <w:style w:type="paragraph" w:styleId="24">
    <w:name w:val="header"/>
    <w:basedOn w:val="1"/>
    <w:link w:val="55"/>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25">
    <w:name w:val="toc 1"/>
    <w:basedOn w:val="1"/>
    <w:next w:val="1"/>
    <w:unhideWhenUsed/>
    <w:qFormat/>
    <w:uiPriority w:val="39"/>
  </w:style>
  <w:style w:type="paragraph" w:styleId="26">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7">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8">
    <w:name w:val="Body Text Indent 3"/>
    <w:basedOn w:val="1"/>
    <w:link w:val="93"/>
    <w:unhideWhenUsed/>
    <w:qFormat/>
    <w:uiPriority w:val="0"/>
    <w:pPr>
      <w:spacing w:line="300" w:lineRule="auto"/>
      <w:ind w:firstLine="480" w:firstLineChars="200"/>
    </w:pPr>
    <w:rPr>
      <w:rFonts w:ascii="宋体" w:hAnsi="宋体"/>
      <w:sz w:val="24"/>
    </w:rPr>
  </w:style>
  <w:style w:type="paragraph" w:styleId="29">
    <w:name w:val="toc 2"/>
    <w:basedOn w:val="1"/>
    <w:next w:val="1"/>
    <w:unhideWhenUsed/>
    <w:qFormat/>
    <w:uiPriority w:val="39"/>
    <w:pPr>
      <w:ind w:left="420" w:leftChars="200"/>
    </w:pPr>
  </w:style>
  <w:style w:type="paragraph" w:styleId="30">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1">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3">
    <w:name w:val="annotation subject"/>
    <w:basedOn w:val="13"/>
    <w:next w:val="13"/>
    <w:link w:val="49"/>
    <w:unhideWhenUsed/>
    <w:qFormat/>
    <w:uiPriority w:val="0"/>
    <w:rPr>
      <w:b/>
      <w:bCs/>
    </w:rPr>
  </w:style>
  <w:style w:type="paragraph" w:styleId="34">
    <w:name w:val="Body Text First Indent 2"/>
    <w:basedOn w:val="15"/>
    <w:next w:val="1"/>
    <w:link w:val="90"/>
    <w:qFormat/>
    <w:uiPriority w:val="0"/>
    <w:pPr>
      <w:ind w:left="0" w:leftChars="0"/>
      <w:jc w:val="center"/>
    </w:pPr>
    <w:rPr>
      <w:rFonts w:ascii="黑体" w:hAnsi="黑体" w:eastAsia="黑体" w:cs="黑体"/>
      <w:sz w:val="32"/>
      <w:szCs w:val="32"/>
    </w:rPr>
  </w:style>
  <w:style w:type="table" w:styleId="36">
    <w:name w:val="Table Grid"/>
    <w:basedOn w:val="35"/>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0"/>
    <w:rPr>
      <w:b/>
    </w:rPr>
  </w:style>
  <w:style w:type="character" w:styleId="39">
    <w:name w:val="FollowedHyperlink"/>
    <w:unhideWhenUsed/>
    <w:qFormat/>
    <w:uiPriority w:val="0"/>
    <w:rPr>
      <w:color w:val="338DE6"/>
      <w:u w:val="none"/>
    </w:rPr>
  </w:style>
  <w:style w:type="character" w:styleId="40">
    <w:name w:val="Emphasis"/>
    <w:basedOn w:val="37"/>
    <w:qFormat/>
    <w:uiPriority w:val="20"/>
  </w:style>
  <w:style w:type="character" w:styleId="41">
    <w:name w:val="Hyperlink"/>
    <w:basedOn w:val="37"/>
    <w:unhideWhenUsed/>
    <w:qFormat/>
    <w:uiPriority w:val="99"/>
    <w:rPr>
      <w:color w:val="338DE6"/>
      <w:u w:val="none"/>
    </w:rPr>
  </w:style>
  <w:style w:type="character" w:styleId="42">
    <w:name w:val="annotation reference"/>
    <w:basedOn w:val="37"/>
    <w:unhideWhenUsed/>
    <w:qFormat/>
    <w:uiPriority w:val="0"/>
    <w:rPr>
      <w:sz w:val="21"/>
      <w:szCs w:val="21"/>
    </w:rPr>
  </w:style>
  <w:style w:type="paragraph" w:styleId="43">
    <w:name w:val="Intense Quote"/>
    <w:next w:val="1"/>
    <w:link w:val="135"/>
    <w:qFormat/>
    <w:uiPriority w:val="30"/>
    <w:pPr>
      <w:wordWrap w:val="0"/>
      <w:spacing w:before="360" w:after="360"/>
      <w:ind w:left="950" w:right="950"/>
      <w:jc w:val="center"/>
    </w:pPr>
    <w:rPr>
      <w:rFonts w:ascii="宋体" w:hAnsi="宋体" w:eastAsia="Times New Roman" w:cs="Times New Roman"/>
      <w:i/>
      <w:sz w:val="21"/>
      <w:lang w:val="en-US" w:eastAsia="zh-CN" w:bidi="ar-SA"/>
    </w:rPr>
  </w:style>
  <w:style w:type="paragraph" w:customStyle="1" w:styleId="44">
    <w:name w:val="标题1"/>
    <w:basedOn w:val="1"/>
    <w:qFormat/>
    <w:uiPriority w:val="0"/>
    <w:pPr>
      <w:spacing w:before="567" w:after="3400" w:afterLines="3400"/>
    </w:pPr>
    <w:rPr>
      <w:rFonts w:ascii="Times New Roman" w:hAnsi="Times New Roman" w:eastAsia="黑体"/>
      <w:sz w:val="32"/>
    </w:rPr>
  </w:style>
  <w:style w:type="paragraph" w:customStyle="1" w:styleId="45">
    <w:name w:val="样式1"/>
    <w:basedOn w:val="1"/>
    <w:next w:val="1"/>
    <w:qFormat/>
    <w:uiPriority w:val="0"/>
    <w:pPr>
      <w:adjustRightInd w:val="0"/>
      <w:ind w:firstLine="600" w:firstLineChars="200"/>
    </w:pPr>
  </w:style>
  <w:style w:type="character" w:customStyle="1" w:styleId="46">
    <w:name w:val="标题 2 字符"/>
    <w:link w:val="3"/>
    <w:qFormat/>
    <w:uiPriority w:val="0"/>
    <w:rPr>
      <w:rFonts w:ascii="Cambria" w:hAnsi="Cambria"/>
      <w:b/>
      <w:bCs/>
      <w:kern w:val="2"/>
      <w:sz w:val="24"/>
      <w:szCs w:val="32"/>
    </w:rPr>
  </w:style>
  <w:style w:type="character" w:customStyle="1" w:styleId="47">
    <w:name w:val="标题 3 字符"/>
    <w:link w:val="4"/>
    <w:qFormat/>
    <w:uiPriority w:val="0"/>
    <w:rPr>
      <w:b/>
      <w:bCs/>
      <w:kern w:val="2"/>
      <w:sz w:val="32"/>
      <w:szCs w:val="32"/>
    </w:rPr>
  </w:style>
  <w:style w:type="character" w:customStyle="1" w:styleId="48">
    <w:name w:val="批注文字 字符"/>
    <w:link w:val="13"/>
    <w:qFormat/>
    <w:uiPriority w:val="99"/>
    <w:rPr>
      <w:kern w:val="2"/>
      <w:sz w:val="21"/>
      <w:szCs w:val="24"/>
    </w:rPr>
  </w:style>
  <w:style w:type="character" w:customStyle="1" w:styleId="49">
    <w:name w:val="批注主题 字符"/>
    <w:link w:val="33"/>
    <w:qFormat/>
    <w:uiPriority w:val="0"/>
    <w:rPr>
      <w:b/>
      <w:bCs/>
      <w:kern w:val="2"/>
      <w:sz w:val="21"/>
      <w:szCs w:val="24"/>
    </w:rPr>
  </w:style>
  <w:style w:type="character" w:customStyle="1" w:styleId="50">
    <w:name w:val="文档结构图 字符"/>
    <w:link w:val="12"/>
    <w:qFormat/>
    <w:uiPriority w:val="0"/>
    <w:rPr>
      <w:rFonts w:ascii="宋体"/>
      <w:kern w:val="2"/>
      <w:sz w:val="18"/>
      <w:szCs w:val="18"/>
    </w:rPr>
  </w:style>
  <w:style w:type="character" w:customStyle="1" w:styleId="51">
    <w:name w:val="纯文本 字符"/>
    <w:link w:val="18"/>
    <w:qFormat/>
    <w:uiPriority w:val="0"/>
    <w:rPr>
      <w:rFonts w:ascii="宋体" w:hAnsi="Courier New" w:cs="Courier New"/>
      <w:kern w:val="2"/>
      <w:sz w:val="21"/>
      <w:szCs w:val="21"/>
    </w:rPr>
  </w:style>
  <w:style w:type="character" w:customStyle="1" w:styleId="52">
    <w:name w:val="日期 字符"/>
    <w:link w:val="20"/>
    <w:qFormat/>
    <w:uiPriority w:val="0"/>
    <w:rPr>
      <w:kern w:val="2"/>
      <w:sz w:val="21"/>
      <w:szCs w:val="24"/>
    </w:rPr>
  </w:style>
  <w:style w:type="character" w:customStyle="1" w:styleId="53">
    <w:name w:val="批注框文本 字符"/>
    <w:link w:val="22"/>
    <w:qFormat/>
    <w:uiPriority w:val="0"/>
    <w:rPr>
      <w:kern w:val="2"/>
      <w:sz w:val="18"/>
      <w:szCs w:val="18"/>
    </w:rPr>
  </w:style>
  <w:style w:type="character" w:customStyle="1" w:styleId="54">
    <w:name w:val="页脚 字符"/>
    <w:link w:val="23"/>
    <w:qFormat/>
    <w:uiPriority w:val="99"/>
    <w:rPr>
      <w:kern w:val="2"/>
      <w:sz w:val="18"/>
      <w:szCs w:val="18"/>
    </w:rPr>
  </w:style>
  <w:style w:type="character" w:customStyle="1" w:styleId="55">
    <w:name w:val="页眉 字符"/>
    <w:link w:val="24"/>
    <w:qFormat/>
    <w:uiPriority w:val="99"/>
    <w:rPr>
      <w:kern w:val="2"/>
      <w:sz w:val="18"/>
      <w:szCs w:val="18"/>
    </w:rPr>
  </w:style>
  <w:style w:type="character" w:customStyle="1" w:styleId="56">
    <w:name w:val="解释 Char"/>
    <w:link w:val="57"/>
    <w:qFormat/>
    <w:uiPriority w:val="0"/>
    <w:rPr>
      <w:rFonts w:ascii="楷体_GB2312" w:hAnsi="楷体" w:eastAsia="楷体_GB2312"/>
      <w:kern w:val="2"/>
      <w:sz w:val="18"/>
      <w:szCs w:val="18"/>
      <w:lang w:val="zh-CN" w:eastAsia="zh-CN"/>
    </w:rPr>
  </w:style>
  <w:style w:type="paragraph" w:customStyle="1" w:styleId="57">
    <w:name w:val="解释"/>
    <w:link w:val="56"/>
    <w:qFormat/>
    <w:uiPriority w:val="0"/>
    <w:pPr>
      <w:adjustRightInd w:val="0"/>
      <w:snapToGrid w:val="0"/>
      <w:spacing w:line="360" w:lineRule="exact"/>
    </w:pPr>
    <w:rPr>
      <w:rFonts w:ascii="Times New Roman" w:hAnsi="Times New Roman" w:eastAsia="宋体" w:cs="Times New Roman"/>
      <w:lang w:val="en-US" w:eastAsia="zh-CN" w:bidi="ar-SA"/>
    </w:rPr>
  </w:style>
  <w:style w:type="character" w:customStyle="1" w:styleId="58">
    <w:name w:val="表中文字 Char"/>
    <w:link w:val="59"/>
    <w:qFormat/>
    <w:uiPriority w:val="0"/>
    <w:rPr>
      <w:rFonts w:ascii="宋体" w:hAnsi="宋体" w:cs="宋体"/>
      <w:kern w:val="2"/>
      <w:sz w:val="18"/>
      <w:szCs w:val="18"/>
    </w:rPr>
  </w:style>
  <w:style w:type="paragraph" w:customStyle="1" w:styleId="59">
    <w:name w:val="表中文字"/>
    <w:basedOn w:val="1"/>
    <w:link w:val="58"/>
    <w:qFormat/>
    <w:uiPriority w:val="0"/>
    <w:pPr>
      <w:widowControl/>
      <w:tabs>
        <w:tab w:val="left" w:pos="600"/>
      </w:tabs>
    </w:pPr>
    <w:rPr>
      <w:rFonts w:ascii="宋体" w:hAnsi="宋体"/>
      <w:sz w:val="18"/>
      <w:szCs w:val="18"/>
    </w:rPr>
  </w:style>
  <w:style w:type="paragraph" w:customStyle="1" w:styleId="60">
    <w:name w:val="列出段落1"/>
    <w:basedOn w:val="1"/>
    <w:qFormat/>
    <w:uiPriority w:val="34"/>
    <w:pPr>
      <w:ind w:firstLine="420" w:firstLineChars="200"/>
    </w:pPr>
  </w:style>
  <w:style w:type="paragraph" w:customStyle="1" w:styleId="61">
    <w:name w:val="列出段落111"/>
    <w:basedOn w:val="1"/>
    <w:qFormat/>
    <w:uiPriority w:val="34"/>
    <w:pPr>
      <w:ind w:firstLine="420" w:firstLineChars="200"/>
    </w:pPr>
  </w:style>
  <w:style w:type="paragraph" w:customStyle="1" w:styleId="62">
    <w:name w:val="文献分类号"/>
    <w:qFormat/>
    <w:uiPriority w:val="0"/>
    <w:pPr>
      <w:widowControl w:val="0"/>
      <w:numPr>
        <w:ilvl w:val="4"/>
        <w:numId w:val="3"/>
      </w:numPr>
      <w:textAlignment w:val="center"/>
    </w:pPr>
    <w:rPr>
      <w:rFonts w:ascii="Times New Roman" w:hAnsi="Times New Roman" w:eastAsia="黑体" w:cs="Times New Roman"/>
      <w:sz w:val="21"/>
      <w:lang w:val="en-US" w:eastAsia="zh-CN" w:bidi="ar-SA"/>
    </w:rPr>
  </w:style>
  <w:style w:type="paragraph" w:customStyle="1" w:styleId="63">
    <w:name w:val="章编号和标题 Char"/>
    <w:basedOn w:val="1"/>
    <w:qFormat/>
    <w:uiPriority w:val="0"/>
    <w:rPr>
      <w:szCs w:val="22"/>
    </w:rPr>
  </w:style>
  <w:style w:type="paragraph" w:customStyle="1" w:styleId="64">
    <w:name w:val="列出段落11"/>
    <w:basedOn w:val="1"/>
    <w:qFormat/>
    <w:uiPriority w:val="99"/>
    <w:pPr>
      <w:ind w:firstLine="420" w:firstLineChars="200"/>
    </w:pPr>
  </w:style>
  <w:style w:type="paragraph" w:customStyle="1" w:styleId="65">
    <w:name w:val="正文 A"/>
    <w:qFormat/>
    <w:uiPriority w:val="0"/>
    <w:pPr>
      <w:widowControl w:val="0"/>
      <w:jc w:val="both"/>
    </w:pPr>
    <w:rPr>
      <w:rFonts w:ascii="Calibri" w:hAnsi="Calibri" w:eastAsia="Calibri" w:cs="Calibri"/>
      <w:color w:val="000000"/>
      <w:kern w:val="2"/>
      <w:sz w:val="21"/>
      <w:szCs w:val="21"/>
      <w:lang w:val="en-US" w:eastAsia="zh-CN" w:bidi="ar-SA"/>
    </w:rPr>
  </w:style>
  <w:style w:type="paragraph" w:customStyle="1" w:styleId="66">
    <w:name w:val="列出段落2"/>
    <w:basedOn w:val="1"/>
    <w:qFormat/>
    <w:uiPriority w:val="34"/>
    <w:pPr>
      <w:ind w:firstLine="420" w:firstLineChars="200"/>
    </w:pPr>
    <w:rPr>
      <w:szCs w:val="22"/>
    </w:rPr>
  </w:style>
  <w:style w:type="paragraph" w:customStyle="1" w:styleId="67">
    <w:name w:val="其他标准称谓"/>
    <w:qFormat/>
    <w:uiPriority w:val="0"/>
    <w:pPr>
      <w:numPr>
        <w:ilvl w:val="2"/>
        <w:numId w:val="3"/>
      </w:numPr>
      <w:spacing w:line="0" w:lineRule="atLeast"/>
      <w:jc w:val="distribute"/>
    </w:pPr>
    <w:rPr>
      <w:rFonts w:ascii="黑体" w:hAnsi="宋体" w:eastAsia="黑体" w:cs="Times New Roman"/>
      <w:sz w:val="52"/>
      <w:lang w:val="en-US" w:eastAsia="zh-CN" w:bidi="ar-SA"/>
    </w:rPr>
  </w:style>
  <w:style w:type="paragraph" w:customStyle="1" w:styleId="68">
    <w:name w:val="正文首行缩进 Char Char Char"/>
    <w:basedOn w:val="1"/>
    <w:qFormat/>
    <w:uiPriority w:val="0"/>
    <w:pPr>
      <w:tabs>
        <w:tab w:val="left" w:pos="720"/>
      </w:tabs>
      <w:ind w:left="720" w:hanging="720"/>
    </w:pPr>
    <w:rPr>
      <w:szCs w:val="22"/>
    </w:rPr>
  </w:style>
  <w:style w:type="paragraph" w:customStyle="1" w:styleId="69">
    <w:name w:val="无间隔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70">
    <w:name w:val="列出段落3"/>
    <w:basedOn w:val="1"/>
    <w:qFormat/>
    <w:uiPriority w:val="34"/>
    <w:pPr>
      <w:ind w:firstLine="420" w:firstLineChars="200"/>
    </w:pPr>
  </w:style>
  <w:style w:type="paragraph" w:customStyle="1" w:styleId="71">
    <w:name w:val="修订1"/>
    <w:hidden/>
    <w:semiHidden/>
    <w:qFormat/>
    <w:uiPriority w:val="99"/>
    <w:rPr>
      <w:rFonts w:ascii="Calibri" w:hAnsi="Calibri" w:eastAsia="宋体" w:cs="Times New Roman"/>
      <w:kern w:val="2"/>
      <w:sz w:val="21"/>
      <w:szCs w:val="24"/>
      <w:lang w:val="en-US" w:eastAsia="zh-CN" w:bidi="ar-SA"/>
    </w:rPr>
  </w:style>
  <w:style w:type="paragraph" w:customStyle="1" w:styleId="72">
    <w:name w:val="修订2"/>
    <w:hidden/>
    <w:unhideWhenUsed/>
    <w:qFormat/>
    <w:uiPriority w:val="99"/>
    <w:rPr>
      <w:rFonts w:ascii="Calibri" w:hAnsi="Calibri" w:eastAsia="宋体" w:cs="Times New Roman"/>
      <w:kern w:val="2"/>
      <w:sz w:val="21"/>
      <w:szCs w:val="24"/>
      <w:lang w:val="en-US" w:eastAsia="zh-CN" w:bidi="ar-SA"/>
    </w:rPr>
  </w:style>
  <w:style w:type="paragraph" w:customStyle="1" w:styleId="73">
    <w:name w:val="WPSOffice手动目录 1"/>
    <w:qFormat/>
    <w:uiPriority w:val="0"/>
    <w:rPr>
      <w:rFonts w:ascii="Times New Roman" w:hAnsi="Times New Roman" w:eastAsia="宋体" w:cs="Times New Roman"/>
      <w:lang w:val="en-US" w:eastAsia="zh-CN" w:bidi="ar-SA"/>
    </w:rPr>
  </w:style>
  <w:style w:type="character" w:customStyle="1" w:styleId="74">
    <w:name w:val="标题 1 字符"/>
    <w:link w:val="2"/>
    <w:qFormat/>
    <w:uiPriority w:val="1"/>
    <w:rPr>
      <w:rFonts w:ascii="宋体" w:hAnsi="宋体"/>
      <w:b/>
      <w:kern w:val="44"/>
      <w:sz w:val="28"/>
      <w:szCs w:val="48"/>
    </w:rPr>
  </w:style>
  <w:style w:type="paragraph" w:customStyle="1" w:styleId="75">
    <w:name w:val="修订3"/>
    <w:hidden/>
    <w:unhideWhenUsed/>
    <w:qFormat/>
    <w:uiPriority w:val="99"/>
    <w:rPr>
      <w:rFonts w:ascii="Calibri" w:hAnsi="Calibri" w:eastAsia="宋体" w:cs="Times New Roman"/>
      <w:kern w:val="2"/>
      <w:sz w:val="21"/>
      <w:szCs w:val="24"/>
      <w:lang w:val="en-US" w:eastAsia="zh-CN" w:bidi="ar-SA"/>
    </w:rPr>
  </w:style>
  <w:style w:type="paragraph" w:customStyle="1" w:styleId="76">
    <w:name w:val="修订31"/>
    <w:unhideWhenUsed/>
    <w:qFormat/>
    <w:uiPriority w:val="99"/>
    <w:rPr>
      <w:rFonts w:ascii="Calibri" w:hAnsi="Calibri" w:eastAsia="宋体" w:cs="Times New Roman"/>
      <w:kern w:val="2"/>
      <w:sz w:val="21"/>
      <w:szCs w:val="24"/>
      <w:lang w:val="en-US" w:eastAsia="zh-CN" w:bidi="ar-SA"/>
    </w:rPr>
  </w:style>
  <w:style w:type="paragraph" w:customStyle="1" w:styleId="77">
    <w:name w:val="修订4"/>
    <w:hidden/>
    <w:unhideWhenUsed/>
    <w:qFormat/>
    <w:uiPriority w:val="99"/>
    <w:rPr>
      <w:rFonts w:ascii="Calibri" w:hAnsi="Calibri" w:eastAsia="宋体" w:cs="Times New Roman"/>
      <w:kern w:val="2"/>
      <w:sz w:val="21"/>
      <w:szCs w:val="24"/>
      <w:lang w:val="en-US" w:eastAsia="zh-CN" w:bidi="ar-SA"/>
    </w:rPr>
  </w:style>
  <w:style w:type="character" w:customStyle="1" w:styleId="78">
    <w:name w:val="正文文本 字符"/>
    <w:basedOn w:val="37"/>
    <w:link w:val="14"/>
    <w:qFormat/>
    <w:uiPriority w:val="0"/>
    <w:rPr>
      <w:rFonts w:ascii="Calibri" w:hAnsi="Calibri"/>
      <w:kern w:val="2"/>
      <w:sz w:val="21"/>
      <w:szCs w:val="24"/>
    </w:rPr>
  </w:style>
  <w:style w:type="table" w:customStyle="1" w:styleId="79">
    <w:name w:val="Table Normal"/>
    <w:semiHidden/>
    <w:unhideWhenUsed/>
    <w:qFormat/>
    <w:uiPriority w:val="0"/>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80">
    <w:name w:val="Table Paragraph"/>
    <w:basedOn w:val="1"/>
    <w:qFormat/>
    <w:uiPriority w:val="1"/>
    <w:pPr>
      <w:autoSpaceDE w:val="0"/>
      <w:autoSpaceDN w:val="0"/>
      <w:spacing w:before="50"/>
      <w:ind w:left="413" w:right="389"/>
      <w:jc w:val="left"/>
    </w:pPr>
    <w:rPr>
      <w:rFonts w:ascii="宋体" w:hAnsi="宋体" w:cs="宋体"/>
      <w:kern w:val="0"/>
      <w:sz w:val="22"/>
      <w:szCs w:val="22"/>
      <w:lang w:eastAsia="en-US"/>
    </w:rPr>
  </w:style>
  <w:style w:type="paragraph" w:customStyle="1" w:styleId="81">
    <w:name w:val="标准文件_段"/>
    <w:link w:val="13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82">
    <w:name w:val="标准文件_术语条一"/>
    <w:basedOn w:val="83"/>
    <w:next w:val="81"/>
    <w:qFormat/>
    <w:uiPriority w:val="0"/>
    <w:pPr>
      <w:tabs>
        <w:tab w:val="left" w:pos="0"/>
      </w:tabs>
    </w:pPr>
  </w:style>
  <w:style w:type="paragraph" w:customStyle="1" w:styleId="83">
    <w:name w:val="标准文件_一级无标题"/>
    <w:basedOn w:val="84"/>
    <w:link w:val="125"/>
    <w:qFormat/>
    <w:uiPriority w:val="0"/>
    <w:pPr>
      <w:tabs>
        <w:tab w:val="left" w:pos="0"/>
      </w:tabs>
      <w:spacing w:before="0" w:beforeLines="0" w:after="0" w:afterLines="0"/>
      <w:outlineLvl w:val="9"/>
    </w:pPr>
    <w:rPr>
      <w:rFonts w:ascii="宋体" w:hAnsi="宋体" w:eastAsia="宋体"/>
    </w:rPr>
  </w:style>
  <w:style w:type="paragraph" w:customStyle="1" w:styleId="84">
    <w:name w:val="00标准文件_一级条标题"/>
    <w:basedOn w:val="85"/>
    <w:next w:val="81"/>
    <w:qFormat/>
    <w:uiPriority w:val="0"/>
    <w:pPr>
      <w:numPr>
        <w:ilvl w:val="2"/>
      </w:numPr>
      <w:tabs>
        <w:tab w:val="left" w:pos="0"/>
      </w:tabs>
      <w:spacing w:before="50" w:beforeLines="50" w:after="50" w:afterLines="50"/>
      <w:outlineLvl w:val="1"/>
    </w:pPr>
  </w:style>
  <w:style w:type="paragraph" w:customStyle="1" w:styleId="85">
    <w:name w:val="00标准文件_章标题"/>
    <w:next w:val="81"/>
    <w:qFormat/>
    <w:uiPriority w:val="0"/>
    <w:pPr>
      <w:numPr>
        <w:ilvl w:val="1"/>
        <w:numId w:val="4"/>
      </w:numPr>
      <w:spacing w:before="100" w:beforeLines="100" w:after="100" w:afterLines="100"/>
      <w:jc w:val="both"/>
      <w:outlineLvl w:val="0"/>
    </w:pPr>
    <w:rPr>
      <w:rFonts w:ascii="黑体" w:hAnsi="黑体" w:eastAsia="黑体" w:cs="Times New Roman"/>
      <w:sz w:val="21"/>
      <w:lang w:val="en-US" w:eastAsia="zh-CN" w:bidi="ar-SA"/>
    </w:rPr>
  </w:style>
  <w:style w:type="paragraph" w:customStyle="1" w:styleId="86">
    <w:name w:val="标准文件_二级无标题"/>
    <w:basedOn w:val="87"/>
    <w:link w:val="126"/>
    <w:qFormat/>
    <w:uiPriority w:val="0"/>
    <w:pPr>
      <w:numPr>
        <w:ilvl w:val="3"/>
        <w:numId w:val="4"/>
      </w:numPr>
      <w:tabs>
        <w:tab w:val="left" w:pos="0"/>
        <w:tab w:val="left" w:pos="992"/>
      </w:tabs>
      <w:spacing w:before="0" w:beforeLines="0" w:after="0" w:afterLines="0"/>
      <w:jc w:val="left"/>
      <w:outlineLvl w:val="9"/>
    </w:pPr>
    <w:rPr>
      <w:rFonts w:ascii="宋体" w:hAnsi="宋体" w:eastAsia="宋体"/>
    </w:rPr>
  </w:style>
  <w:style w:type="paragraph" w:customStyle="1" w:styleId="87">
    <w:name w:val="标准文件_二级条标题"/>
    <w:basedOn w:val="84"/>
    <w:next w:val="81"/>
    <w:qFormat/>
    <w:uiPriority w:val="0"/>
    <w:pPr>
      <w:widowControl w:val="0"/>
      <w:numPr>
        <w:numId w:val="5"/>
      </w:numPr>
      <w:outlineLvl w:val="2"/>
    </w:pPr>
  </w:style>
  <w:style w:type="paragraph" w:customStyle="1" w:styleId="88">
    <w:name w:val="标准文件_字母编号列项（一级）"/>
    <w:qFormat/>
    <w:uiPriority w:val="0"/>
    <w:pPr>
      <w:numPr>
        <w:ilvl w:val="0"/>
        <w:numId w:val="6"/>
      </w:numPr>
      <w:jc w:val="both"/>
    </w:pPr>
    <w:rPr>
      <w:rFonts w:ascii="宋体" w:hAnsi="Times New Roman" w:eastAsia="宋体" w:cs="Times New Roman"/>
      <w:sz w:val="21"/>
      <w:lang w:val="en-US" w:eastAsia="zh-CN" w:bidi="ar-SA"/>
    </w:rPr>
  </w:style>
  <w:style w:type="character" w:customStyle="1" w:styleId="89">
    <w:name w:val="正文文本缩进 字符"/>
    <w:basedOn w:val="37"/>
    <w:link w:val="15"/>
    <w:qFormat/>
    <w:uiPriority w:val="99"/>
    <w:rPr>
      <w:rFonts w:ascii="Calibri" w:hAnsi="Calibri"/>
      <w:kern w:val="2"/>
      <w:sz w:val="21"/>
      <w:szCs w:val="24"/>
    </w:rPr>
  </w:style>
  <w:style w:type="character" w:customStyle="1" w:styleId="90">
    <w:name w:val="正文首行缩进 2 字符"/>
    <w:basedOn w:val="89"/>
    <w:link w:val="34"/>
    <w:qFormat/>
    <w:uiPriority w:val="0"/>
    <w:rPr>
      <w:rFonts w:ascii="黑体" w:hAnsi="黑体" w:eastAsia="黑体" w:cs="黑体"/>
      <w:kern w:val="2"/>
      <w:sz w:val="32"/>
      <w:szCs w:val="32"/>
    </w:rPr>
  </w:style>
  <w:style w:type="character" w:customStyle="1" w:styleId="91">
    <w:name w:val="标题 4 字符"/>
    <w:basedOn w:val="37"/>
    <w:link w:val="5"/>
    <w:qFormat/>
    <w:uiPriority w:val="9"/>
    <w:rPr>
      <w:rFonts w:asciiTheme="majorHAnsi" w:hAnsiTheme="majorHAnsi" w:eastAsiaTheme="majorEastAsia" w:cstheme="majorBidi"/>
      <w:b/>
      <w:bCs/>
      <w:kern w:val="2"/>
      <w:sz w:val="28"/>
      <w:szCs w:val="28"/>
    </w:rPr>
  </w:style>
  <w:style w:type="character" w:customStyle="1" w:styleId="92">
    <w:name w:val="正文文本缩进 2 字符"/>
    <w:basedOn w:val="37"/>
    <w:link w:val="21"/>
    <w:qFormat/>
    <w:uiPriority w:val="0"/>
    <w:rPr>
      <w:rFonts w:ascii="Calibri" w:hAnsi="Calibri"/>
      <w:kern w:val="2"/>
      <w:sz w:val="21"/>
    </w:rPr>
  </w:style>
  <w:style w:type="character" w:customStyle="1" w:styleId="93">
    <w:name w:val="正文文本缩进 3 字符"/>
    <w:basedOn w:val="37"/>
    <w:link w:val="28"/>
    <w:qFormat/>
    <w:uiPriority w:val="0"/>
    <w:rPr>
      <w:rFonts w:ascii="宋体" w:hAnsi="宋体"/>
      <w:kern w:val="2"/>
      <w:sz w:val="24"/>
      <w:szCs w:val="24"/>
    </w:rPr>
  </w:style>
  <w:style w:type="paragraph" w:customStyle="1" w:styleId="9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9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9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97">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hAnsi="Times New Roman" w:eastAsia="黑体"/>
      <w:w w:val="135"/>
      <w:kern w:val="0"/>
      <w:sz w:val="36"/>
      <w:szCs w:val="20"/>
    </w:rPr>
  </w:style>
  <w:style w:type="paragraph" w:customStyle="1" w:styleId="98">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99">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kern w:val="0"/>
      <w:sz w:val="28"/>
      <w:szCs w:val="20"/>
    </w:rPr>
  </w:style>
  <w:style w:type="paragraph" w:customStyle="1" w:styleId="100">
    <w:name w:val="标准文件_文件编号"/>
    <w:basedOn w:val="81"/>
    <w:qFormat/>
    <w:uiPriority w:val="0"/>
    <w:pPr>
      <w:framePr w:w="9356" w:h="624" w:hRule="exact" w:hSpace="181" w:vSpace="181" w:wrap="around" w:vAnchor="page" w:hAnchor="page" w:x="1419" w:y="3284"/>
      <w:wordWrap w:val="0"/>
      <w:spacing w:line="280" w:lineRule="exact"/>
      <w:jc w:val="right"/>
    </w:pPr>
    <w:rPr>
      <w:rFonts w:ascii="黑体" w:eastAsia="黑体"/>
      <w:bCs/>
      <w:sz w:val="28"/>
      <w:szCs w:val="28"/>
    </w:rPr>
  </w:style>
  <w:style w:type="paragraph" w:customStyle="1" w:styleId="101">
    <w:name w:val="标准文件_替换文件编号"/>
    <w:basedOn w:val="100"/>
    <w:qFormat/>
    <w:uiPriority w:val="0"/>
    <w:pPr>
      <w:spacing w:before="57"/>
    </w:pPr>
    <w:rPr>
      <w:sz w:val="21"/>
    </w:rPr>
  </w:style>
  <w:style w:type="paragraph" w:customStyle="1" w:styleId="102">
    <w:name w:val="标准文件_文件名称"/>
    <w:basedOn w:val="1"/>
    <w:next w:val="1"/>
    <w:qFormat/>
    <w:uiPriority w:val="0"/>
    <w:pPr>
      <w:framePr w:w="9639" w:h="6976" w:hRule="exact" w:wrap="around" w:vAnchor="page" w:hAnchor="page" w:y="6408"/>
      <w:widowControl/>
      <w:spacing w:line="700" w:lineRule="exact"/>
      <w:jc w:val="center"/>
    </w:pPr>
    <w:rPr>
      <w:rFonts w:ascii="黑体" w:hAnsi="黑体" w:eastAsia="黑体"/>
      <w:bCs/>
      <w:kern w:val="0"/>
      <w:sz w:val="52"/>
      <w:szCs w:val="20"/>
    </w:rPr>
  </w:style>
  <w:style w:type="character" w:customStyle="1" w:styleId="103">
    <w:name w:val="发布"/>
    <w:basedOn w:val="37"/>
    <w:qFormat/>
    <w:uiPriority w:val="0"/>
    <w:rPr>
      <w:rFonts w:ascii="黑体" w:eastAsia="黑体"/>
      <w:spacing w:val="85"/>
      <w:w w:val="100"/>
      <w:position w:val="3"/>
      <w:sz w:val="28"/>
      <w:szCs w:val="28"/>
    </w:rPr>
  </w:style>
  <w:style w:type="paragraph" w:customStyle="1" w:styleId="10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05">
    <w:name w:val="标准文件_三级条标题"/>
    <w:basedOn w:val="87"/>
    <w:next w:val="81"/>
    <w:qFormat/>
    <w:uiPriority w:val="0"/>
    <w:pPr>
      <w:widowControl/>
      <w:numPr>
        <w:ilvl w:val="0"/>
        <w:numId w:val="0"/>
      </w:numPr>
      <w:spacing w:before="120" w:after="120"/>
      <w:outlineLvl w:val="3"/>
    </w:pPr>
  </w:style>
  <w:style w:type="paragraph" w:customStyle="1" w:styleId="106">
    <w:name w:val="标准文件_四级条标题"/>
    <w:next w:val="81"/>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07">
    <w:name w:val="标准文件_五级条标题"/>
    <w:next w:val="81"/>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前言标题"/>
    <w:next w:val="1"/>
    <w:link w:val="143"/>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数字编号列项（二级）"/>
    <w:qFormat/>
    <w:uiPriority w:val="0"/>
    <w:pPr>
      <w:tabs>
        <w:tab w:val="left" w:pos="1276"/>
      </w:tabs>
      <w:ind w:left="1276" w:hanging="425"/>
      <w:jc w:val="both"/>
    </w:pPr>
    <w:rPr>
      <w:rFonts w:ascii="宋体" w:hAnsi="Times New Roman" w:eastAsia="宋体" w:cs="Times New Roman"/>
      <w:sz w:val="21"/>
      <w:lang w:val="en-US" w:eastAsia="zh-CN" w:bidi="ar-SA"/>
    </w:rPr>
  </w:style>
  <w:style w:type="paragraph" w:customStyle="1" w:styleId="110">
    <w:name w:val="标准文件_编号列项（三级）"/>
    <w:qFormat/>
    <w:uiPriority w:val="0"/>
    <w:pPr>
      <w:numPr>
        <w:ilvl w:val="4"/>
        <w:numId w:val="7"/>
      </w:numPr>
      <w:ind w:left="1701" w:hanging="425"/>
    </w:pPr>
    <w:rPr>
      <w:rFonts w:ascii="宋体" w:hAnsi="宋体" w:eastAsia="宋体" w:cs="Times New Roman"/>
      <w:sz w:val="21"/>
      <w:lang w:val="en-US" w:eastAsia="zh-CN" w:bidi="ar-SA"/>
    </w:rPr>
  </w:style>
  <w:style w:type="paragraph" w:customStyle="1" w:styleId="111">
    <w:name w:val="Table Text"/>
    <w:basedOn w:val="1"/>
    <w:qFormat/>
    <w:uiPriority w:val="0"/>
    <w:pPr>
      <w:adjustRightInd w:val="0"/>
      <w:spacing w:line="400" w:lineRule="exact"/>
    </w:pPr>
    <w:rPr>
      <w:rFonts w:hint="eastAsia" w:ascii="宋体" w:hAnsi="宋体"/>
      <w:sz w:val="18"/>
      <w:szCs w:val="18"/>
    </w:rPr>
  </w:style>
  <w:style w:type="paragraph" w:customStyle="1" w:styleId="112">
    <w:name w:val="TOC 标题2"/>
    <w:basedOn w:val="2"/>
    <w:next w:val="1"/>
    <w:unhideWhenUsed/>
    <w:qFormat/>
    <w:uiPriority w:val="39"/>
    <w:pPr>
      <w:keepNext/>
      <w:keepLines/>
      <w:widowControl/>
      <w:spacing w:before="240" w:beforeAutospacing="0" w:after="0" w:afterAutospacing="0" w:line="259" w:lineRule="auto"/>
      <w:jc w:val="left"/>
      <w:outlineLvl w:val="9"/>
    </w:pPr>
    <w:rPr>
      <w:rFonts w:hint="default" w:asciiTheme="majorHAnsi" w:hAnsiTheme="majorHAnsi" w:eastAsiaTheme="majorEastAsia" w:cstheme="majorBidi"/>
      <w:b w:val="0"/>
      <w:color w:val="376092" w:themeColor="accent1" w:themeShade="BF"/>
      <w:kern w:val="0"/>
      <w:sz w:val="32"/>
      <w:szCs w:val="32"/>
    </w:rPr>
  </w:style>
  <w:style w:type="paragraph" w:customStyle="1" w:styleId="113">
    <w:name w:val="ZW"/>
    <w:basedOn w:val="1"/>
    <w:qFormat/>
    <w:uiPriority w:val="0"/>
    <w:pPr>
      <w:ind w:firstLine="1148" w:firstLineChars="200"/>
    </w:pPr>
    <w:rPr>
      <w:rFonts w:ascii="Times New Roman" w:hAnsi="Times New Roman"/>
    </w:rPr>
  </w:style>
  <w:style w:type="paragraph" w:customStyle="1" w:styleId="114">
    <w:name w:val="标准文件_正文标准名称"/>
    <w:unhideWhenUsed/>
    <w:qFormat/>
    <w:uiPriority w:val="0"/>
    <w:pPr>
      <w:spacing w:before="560" w:after="640" w:line="400" w:lineRule="exact"/>
      <w:jc w:val="center"/>
    </w:pPr>
    <w:rPr>
      <w:rFonts w:hint="eastAsia" w:ascii="黑体" w:hAnsi="黑体" w:eastAsia="黑体" w:cs="Times New Roman"/>
      <w:kern w:val="2"/>
      <w:sz w:val="32"/>
      <w:szCs w:val="32"/>
      <w:lang w:val="en-US" w:eastAsia="zh-CN" w:bidi="ar-SA"/>
    </w:rPr>
  </w:style>
  <w:style w:type="paragraph" w:customStyle="1" w:styleId="115">
    <w:name w:val="标准文件_页眉偶数页"/>
    <w:basedOn w:val="116"/>
    <w:next w:val="1"/>
    <w:unhideWhenUsed/>
    <w:qFormat/>
    <w:uiPriority w:val="0"/>
    <w:pPr>
      <w:tabs>
        <w:tab w:val="center" w:pos="4154"/>
        <w:tab w:val="right" w:pos="8306"/>
      </w:tabs>
      <w:jc w:val="left"/>
    </w:pPr>
  </w:style>
  <w:style w:type="paragraph" w:customStyle="1" w:styleId="116">
    <w:name w:val="标准文件_页眉奇数页"/>
    <w:next w:val="1"/>
    <w:unhideWhenUsed/>
    <w:qFormat/>
    <w:uiPriority w:val="0"/>
    <w:pPr>
      <w:tabs>
        <w:tab w:val="center" w:pos="4154"/>
        <w:tab w:val="right" w:pos="8306"/>
      </w:tabs>
      <w:spacing w:after="120"/>
      <w:jc w:val="right"/>
    </w:pPr>
    <w:rPr>
      <w:rFonts w:hint="eastAsia" w:ascii="黑体" w:hAnsi="宋体" w:eastAsia="黑体" w:cs="Times New Roman"/>
      <w:sz w:val="21"/>
      <w:szCs w:val="24"/>
      <w:lang w:val="en-US" w:eastAsia="zh-CN" w:bidi="ar-SA"/>
    </w:rPr>
  </w:style>
  <w:style w:type="paragraph" w:customStyle="1" w:styleId="117">
    <w:name w:val="标准文件_页脚奇数页"/>
    <w:unhideWhenUsed/>
    <w:qFormat/>
    <w:uiPriority w:val="0"/>
    <w:pPr>
      <w:ind w:right="227"/>
      <w:jc w:val="right"/>
    </w:pPr>
    <w:rPr>
      <w:rFonts w:ascii="宋体" w:hAnsi="Times New Roman" w:eastAsia="宋体" w:cs="Times New Roman"/>
      <w:sz w:val="18"/>
      <w:szCs w:val="24"/>
      <w:lang w:val="en-US" w:eastAsia="zh-CN" w:bidi="ar-SA"/>
    </w:rPr>
  </w:style>
  <w:style w:type="paragraph" w:customStyle="1" w:styleId="118">
    <w:name w:val="标准文件_页脚偶数页"/>
    <w:unhideWhenUsed/>
    <w:qFormat/>
    <w:uiPriority w:val="0"/>
    <w:pPr>
      <w:ind w:left="198"/>
    </w:pPr>
    <w:rPr>
      <w:rFonts w:ascii="宋体" w:hAnsi="Times New Roman" w:eastAsia="宋体" w:cs="Times New Roman"/>
      <w:sz w:val="18"/>
      <w:szCs w:val="24"/>
      <w:lang w:val="en-US" w:eastAsia="zh-CN" w:bidi="ar-SA"/>
    </w:rPr>
  </w:style>
  <w:style w:type="paragraph" w:customStyle="1" w:styleId="119">
    <w:name w:val="正文标题"/>
    <w:basedOn w:val="1"/>
    <w:qFormat/>
    <w:uiPriority w:val="0"/>
    <w:pPr>
      <w:spacing w:before="567" w:after="680"/>
      <w:jc w:val="center"/>
    </w:pPr>
    <w:rPr>
      <w:rFonts w:hint="eastAsia" w:ascii="Times New Roman" w:hAnsi="Times New Roman" w:eastAsia="黑体" w:cs="黑体"/>
      <w:w w:val="95"/>
      <w:sz w:val="32"/>
      <w:szCs w:val="32"/>
    </w:rPr>
  </w:style>
  <w:style w:type="paragraph" w:customStyle="1" w:styleId="120">
    <w:name w:val="00正文表标题"/>
    <w:basedOn w:val="1"/>
    <w:qFormat/>
    <w:uiPriority w:val="0"/>
    <w:pPr>
      <w:spacing w:before="50" w:beforeLines="50" w:after="50" w:afterLines="50"/>
      <w:jc w:val="center"/>
    </w:pPr>
    <w:rPr>
      <w:rFonts w:ascii="黑体" w:hAnsi="黑体" w:eastAsia="黑体"/>
    </w:rPr>
  </w:style>
  <w:style w:type="paragraph" w:customStyle="1" w:styleId="121">
    <w:name w:val="00正文表文字"/>
    <w:basedOn w:val="1"/>
    <w:qFormat/>
    <w:uiPriority w:val="0"/>
    <w:pPr>
      <w:jc w:val="center"/>
    </w:pPr>
    <w:rPr>
      <w:rFonts w:hint="eastAsia" w:ascii="宋体" w:hAnsi="宋体"/>
      <w:sz w:val="18"/>
    </w:rPr>
  </w:style>
  <w:style w:type="paragraph" w:customStyle="1" w:styleId="122">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123">
    <w:name w:val="标准文件_附录标识"/>
    <w:next w:val="81"/>
    <w:qFormat/>
    <w:uiPriority w:val="0"/>
    <w:pPr>
      <w:numPr>
        <w:ilvl w:val="0"/>
        <w:numId w:val="8"/>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124">
    <w:name w:val="00正文-首行缩进"/>
    <w:basedOn w:val="1"/>
    <w:qFormat/>
    <w:uiPriority w:val="0"/>
    <w:rPr>
      <w:rFonts w:hint="eastAsia" w:ascii="宋体" w:hAnsi="宋体"/>
    </w:rPr>
  </w:style>
  <w:style w:type="character" w:customStyle="1" w:styleId="125">
    <w:name w:val="标准文件_一级无标题 Char"/>
    <w:link w:val="83"/>
    <w:qFormat/>
    <w:uiPriority w:val="0"/>
    <w:rPr>
      <w:rFonts w:ascii="宋体" w:hAnsi="宋体" w:eastAsia="宋体"/>
    </w:rPr>
  </w:style>
  <w:style w:type="character" w:customStyle="1" w:styleId="126">
    <w:name w:val="标准文件_二级无标题 Char"/>
    <w:link w:val="86"/>
    <w:qFormat/>
    <w:uiPriority w:val="0"/>
    <w:rPr>
      <w:rFonts w:ascii="宋体" w:hAnsi="宋体"/>
      <w:sz w:val="21"/>
    </w:rPr>
  </w:style>
  <w:style w:type="paragraph" w:customStyle="1" w:styleId="127">
    <w:name w:val="标准文件_三级标题"/>
    <w:basedOn w:val="1"/>
    <w:next w:val="81"/>
    <w:qFormat/>
    <w:uiPriority w:val="0"/>
    <w:pPr>
      <w:numPr>
        <w:ilvl w:val="3"/>
        <w:numId w:val="9"/>
      </w:numPr>
      <w:autoSpaceDE w:val="0"/>
      <w:autoSpaceDN w:val="0"/>
    </w:pPr>
    <w:rPr>
      <w:rFonts w:ascii="宋体" w:hAnsi="宋体"/>
    </w:rPr>
  </w:style>
  <w:style w:type="paragraph" w:customStyle="1" w:styleId="128">
    <w:name w:val="样式2"/>
    <w:basedOn w:val="1"/>
    <w:qFormat/>
    <w:uiPriority w:val="0"/>
    <w:pPr>
      <w:numPr>
        <w:ilvl w:val="0"/>
        <w:numId w:val="1"/>
      </w:numPr>
    </w:pPr>
  </w:style>
  <w:style w:type="paragraph" w:customStyle="1" w:styleId="129">
    <w:name w:val="标准文件_三级无标题"/>
    <w:basedOn w:val="105"/>
    <w:qFormat/>
    <w:uiPriority w:val="0"/>
    <w:pPr>
      <w:spacing w:before="0" w:beforeLines="0" w:after="0" w:afterLines="0"/>
      <w:outlineLvl w:val="9"/>
    </w:pPr>
    <w:rPr>
      <w:rFonts w:ascii="宋体" w:eastAsia="宋体"/>
    </w:rPr>
  </w:style>
  <w:style w:type="paragraph" w:customStyle="1" w:styleId="130">
    <w:name w:val="00ZW"/>
    <w:basedOn w:val="1"/>
    <w:qFormat/>
    <w:uiPriority w:val="0"/>
    <w:pPr>
      <w:ind w:firstLine="422" w:firstLineChars="200"/>
    </w:pPr>
    <w:rPr>
      <w:rFonts w:ascii="宋体" w:hAnsi="宋体"/>
    </w:rPr>
  </w:style>
  <w:style w:type="character" w:customStyle="1" w:styleId="131">
    <w:name w:val="页脚 字符2"/>
    <w:basedOn w:val="37"/>
    <w:qFormat/>
    <w:uiPriority w:val="99"/>
    <w:rPr>
      <w:kern w:val="2"/>
      <w:sz w:val="18"/>
    </w:rPr>
  </w:style>
  <w:style w:type="character" w:customStyle="1" w:styleId="132">
    <w:name w:val="页眉 字符2"/>
    <w:basedOn w:val="37"/>
    <w:qFormat/>
    <w:uiPriority w:val="99"/>
    <w:rPr>
      <w:kern w:val="2"/>
      <w:sz w:val="18"/>
    </w:rPr>
  </w:style>
  <w:style w:type="paragraph" w:customStyle="1" w:styleId="133">
    <w:name w:val="1级标题"/>
    <w:basedOn w:val="2"/>
    <w:link w:val="134"/>
    <w:qFormat/>
    <w:uiPriority w:val="0"/>
    <w:pPr>
      <w:keepNext/>
      <w:keepLines/>
      <w:snapToGrid w:val="0"/>
      <w:spacing w:before="0" w:beforeLines="50" w:beforeAutospacing="0" w:after="0" w:afterLines="100" w:afterAutospacing="0" w:line="360" w:lineRule="auto"/>
    </w:pPr>
    <w:rPr>
      <w:rFonts w:hint="default" w:ascii="黑体" w:hAnsi="黑体" w:eastAsia="黑体"/>
      <w:bCs/>
      <w:szCs w:val="28"/>
    </w:rPr>
  </w:style>
  <w:style w:type="character" w:customStyle="1" w:styleId="134">
    <w:name w:val="1级标题 Char"/>
    <w:basedOn w:val="37"/>
    <w:link w:val="133"/>
    <w:qFormat/>
    <w:uiPriority w:val="0"/>
    <w:rPr>
      <w:rFonts w:ascii="黑体" w:hAnsi="黑体" w:eastAsia="黑体"/>
      <w:b/>
      <w:bCs/>
      <w:kern w:val="44"/>
      <w:sz w:val="28"/>
      <w:szCs w:val="28"/>
    </w:rPr>
  </w:style>
  <w:style w:type="character" w:customStyle="1" w:styleId="135">
    <w:name w:val="明显引用 字符"/>
    <w:basedOn w:val="37"/>
    <w:link w:val="43"/>
    <w:qFormat/>
    <w:uiPriority w:val="30"/>
    <w:rPr>
      <w:rFonts w:ascii="宋体" w:hAnsi="宋体" w:eastAsia="Times New Roman"/>
      <w:i/>
      <w:sz w:val="21"/>
    </w:rPr>
  </w:style>
  <w:style w:type="character" w:customStyle="1" w:styleId="136">
    <w:name w:val="未处理的提及1"/>
    <w:basedOn w:val="37"/>
    <w:semiHidden/>
    <w:unhideWhenUsed/>
    <w:qFormat/>
    <w:uiPriority w:val="99"/>
    <w:rPr>
      <w:color w:val="605E5C"/>
      <w:shd w:val="clear" w:color="auto" w:fill="E1DFDD"/>
    </w:rPr>
  </w:style>
  <w:style w:type="character" w:customStyle="1" w:styleId="137">
    <w:name w:val="标准文件_段 Char"/>
    <w:link w:val="81"/>
    <w:qFormat/>
    <w:uiPriority w:val="0"/>
    <w:rPr>
      <w:rFonts w:ascii="宋体" w:hAnsi="Times New Roman" w:eastAsia="宋体" w:cs="Times New Roman"/>
      <w:sz w:val="21"/>
      <w:lang w:val="en-US" w:eastAsia="zh-CN" w:bidi="ar-SA"/>
    </w:rPr>
  </w:style>
  <w:style w:type="paragraph" w:customStyle="1" w:styleId="138">
    <w:name w:val="00标准-二级条标题"/>
    <w:basedOn w:val="1"/>
    <w:qFormat/>
    <w:uiPriority w:val="0"/>
    <w:pPr>
      <w:spacing w:before="50" w:beforeLines="50" w:after="50" w:afterLines="50"/>
      <w:outlineLvl w:val="2"/>
    </w:pPr>
    <w:rPr>
      <w:rFonts w:hint="eastAsia" w:ascii="黑体" w:hAnsi="黑体" w:eastAsia="黑体"/>
    </w:rPr>
  </w:style>
  <w:style w:type="paragraph" w:customStyle="1" w:styleId="139">
    <w:name w:val="标准文件_一级条标题"/>
    <w:basedOn w:val="1"/>
    <w:qFormat/>
    <w:uiPriority w:val="0"/>
  </w:style>
  <w:style w:type="paragraph" w:customStyle="1" w:styleId="140">
    <w:name w:val="标准文件_附录表标题"/>
    <w:next w:val="81"/>
    <w:qFormat/>
    <w:uiPriority w:val="0"/>
    <w:pPr>
      <w:numPr>
        <w:ilvl w:val="1"/>
        <w:numId w:val="10"/>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141">
    <w:name w:val="00 标准文件_附录表标题"/>
    <w:basedOn w:val="1"/>
    <w:qFormat/>
    <w:uiPriority w:val="0"/>
    <w:pPr>
      <w:keepNext/>
      <w:keepLines/>
      <w:snapToGrid w:val="0"/>
      <w:spacing w:before="50" w:beforeLines="50" w:after="50" w:afterLines="50"/>
      <w:jc w:val="center"/>
      <w:outlineLvl w:val="0"/>
    </w:pPr>
    <w:rPr>
      <w:rFonts w:hint="eastAsia" w:ascii="黑体" w:hAnsi="黑体" w:eastAsia="黑体"/>
      <w:kern w:val="21"/>
      <w:szCs w:val="20"/>
    </w:rPr>
  </w:style>
  <w:style w:type="paragraph" w:customStyle="1" w:styleId="142">
    <w:name w:val="标准文件_章标题"/>
    <w:next w:val="1"/>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character" w:customStyle="1" w:styleId="143">
    <w:name w:val="前言标题 Char"/>
    <w:link w:val="108"/>
    <w:qFormat/>
    <w:uiPriority w:val="0"/>
    <w:rPr>
      <w:rFonts w:ascii="黑体" w:hAnsi="Times New Roman" w:eastAsia="黑体" w:cs="Times New Roman"/>
      <w:sz w:val="32"/>
      <w:lang w:val="en-US" w:eastAsia="zh-CN" w:bidi="ar-SA"/>
    </w:rPr>
  </w:style>
  <w:style w:type="paragraph" w:customStyle="1" w:styleId="144">
    <w:name w:val="修订5"/>
    <w:hidden/>
    <w:unhideWhenUsed/>
    <w:qFormat/>
    <w:uiPriority w:val="99"/>
    <w:rPr>
      <w:rFonts w:ascii="Calibri" w:hAnsi="Calibri" w:eastAsia="宋体" w:cs="Times New Roman"/>
      <w:kern w:val="2"/>
      <w:sz w:val="21"/>
      <w:szCs w:val="24"/>
      <w:lang w:val="en-US" w:eastAsia="zh-CN" w:bidi="ar-SA"/>
    </w:rPr>
  </w:style>
  <w:style w:type="paragraph" w:styleId="145">
    <w:name w:val="List Paragraph"/>
    <w:basedOn w:val="1"/>
    <w:unhideWhenUsed/>
    <w:qFormat/>
    <w:uiPriority w:val="99"/>
    <w:pPr>
      <w:ind w:firstLine="420" w:firstLineChars="200"/>
    </w:pPr>
  </w:style>
  <w:style w:type="paragraph" w:customStyle="1" w:styleId="146">
    <w:name w:val="修订6"/>
    <w:hidden/>
    <w:unhideWhenUsed/>
    <w:qFormat/>
    <w:uiPriority w:val="99"/>
    <w:rPr>
      <w:rFonts w:ascii="Calibri" w:hAnsi="Calibri" w:eastAsia="宋体" w:cs="Times New Roman"/>
      <w:kern w:val="2"/>
      <w:sz w:val="21"/>
      <w:szCs w:val="24"/>
      <w:lang w:val="en-US" w:eastAsia="zh-CN" w:bidi="ar-SA"/>
    </w:rPr>
  </w:style>
  <w:style w:type="table" w:customStyle="1" w:styleId="147">
    <w:name w:val="网格型4"/>
    <w:basedOn w:val="35"/>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8">
    <w:name w:val="附录标识"/>
    <w:basedOn w:val="1"/>
    <w:next w:val="1"/>
    <w:qFormat/>
    <w:uiPriority w:val="0"/>
    <w:pPr>
      <w:keepNext/>
      <w:widowControl/>
      <w:shd w:val="clear" w:color="FFFFFF" w:fill="FFFFFF"/>
      <w:tabs>
        <w:tab w:val="left" w:pos="6405"/>
      </w:tabs>
      <w:spacing w:before="640" w:after="280"/>
      <w:jc w:val="center"/>
      <w:outlineLvl w:val="0"/>
    </w:pPr>
    <w:rPr>
      <w:rFonts w:ascii="黑体" w:hAnsi="Times New Roman" w:eastAsia="黑体"/>
      <w:kern w:val="0"/>
      <w:szCs w:val="20"/>
    </w:rPr>
  </w:style>
  <w:style w:type="character" w:customStyle="1" w:styleId="149">
    <w:name w:val="font21"/>
    <w:basedOn w:val="37"/>
    <w:qFormat/>
    <w:uiPriority w:val="0"/>
    <w:rPr>
      <w:rFonts w:hint="eastAsia" w:ascii="宋体" w:hAnsi="宋体" w:eastAsia="宋体" w:cs="宋体"/>
      <w:color w:val="000000"/>
      <w:sz w:val="21"/>
      <w:szCs w:val="21"/>
      <w:u w:val="none"/>
    </w:rPr>
  </w:style>
  <w:style w:type="character" w:customStyle="1" w:styleId="150">
    <w:name w:val="font31"/>
    <w:basedOn w:val="37"/>
    <w:qFormat/>
    <w:uiPriority w:val="0"/>
    <w:rPr>
      <w:rFonts w:hint="eastAsia" w:ascii="宋体" w:hAnsi="宋体" w:eastAsia="宋体" w:cs="宋体"/>
      <w:color w:val="000000"/>
      <w:sz w:val="21"/>
      <w:szCs w:val="21"/>
      <w:u w:val="none"/>
      <w:vertAlign w:val="superscript"/>
    </w:rPr>
  </w:style>
  <w:style w:type="character" w:customStyle="1" w:styleId="151">
    <w:name w:val="font61"/>
    <w:basedOn w:val="37"/>
    <w:qFormat/>
    <w:uiPriority w:val="0"/>
    <w:rPr>
      <w:rFonts w:hint="eastAsia" w:ascii="宋体" w:hAnsi="宋体" w:eastAsia="宋体" w:cs="宋体"/>
      <w:color w:val="FF0000"/>
      <w:sz w:val="22"/>
      <w:szCs w:val="22"/>
      <w:u w:val="none"/>
    </w:rPr>
  </w:style>
  <w:style w:type="character" w:customStyle="1" w:styleId="152">
    <w:name w:val="10"/>
    <w:basedOn w:val="37"/>
    <w:qFormat/>
    <w:uiPriority w:val="0"/>
    <w:rPr>
      <w:rFonts w:hint="default" w:ascii="黑体" w:hAnsi="宋体" w:eastAsia="黑体" w:cs="黑体"/>
    </w:rPr>
  </w:style>
  <w:style w:type="character" w:customStyle="1" w:styleId="153">
    <w:name w:val="15"/>
    <w:basedOn w:val="37"/>
    <w:qFormat/>
    <w:uiPriority w:val="0"/>
    <w:rPr>
      <w:rFonts w:hint="default" w:ascii="黑体" w:hAnsi="宋体" w:eastAsia="黑体" w:cs="黑体"/>
      <w:b/>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Lenovo (Beijing) Limited</Company>
  <Pages>24</Pages>
  <Words>12556</Words>
  <Characters>13512</Characters>
  <Lines>1</Lines>
  <Paragraphs>1</Paragraphs>
  <TotalTime>0</TotalTime>
  <ScaleCrop>false</ScaleCrop>
  <LinksUpToDate>false</LinksUpToDate>
  <CharactersWithSpaces>13810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2024-12-29T19:35:00Z</dcterms:created>
  <dc:creator>XuDF</dc:creator>
  <cp:lastModifiedBy>王嵩</cp:lastModifiedBy>
  <cp:lastPrinted>2025-07-28T19:14:00Z</cp:lastPrinted>
  <dcterms:modified xsi:type="dcterms:W3CDTF">2026-04-23T08:10:41Z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9606ED76B63B45128CCDA6FB2274C561_13</vt:lpwstr>
  </property>
  <property fmtid="{D5CDD505-2E9C-101B-9397-08002B2CF9AE}" pid="4" name="KSOTemplateDocerSaveRecord">
    <vt:lpwstr>eyJoZGlkIjoiNDYyNGFiOWVjNmUyNDJkMjQ4ZjU3YWM4YTY1MmJjYzMiLCJ1c2VySWQiOiIxNTgwMzA1OTc1In0=</vt:lpwstr>
  </property>
</Properties>
</file>