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7542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8213F6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C4F05D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ascii="黑体" w:hAnsi="黑体" w:eastAsia="黑体" w:cs="Times New Roman"/>
                <w:kern w:val="2"/>
                <w:sz w:val="21"/>
                <w:szCs w:val="21"/>
                <w:lang w:val="en-US" w:eastAsia="zh-CN" w:bidi="ar-SA"/>
              </w:rPr>
              <w:fldChar w:fldCharType="begin">
                <w:ffData>
                  <w:name w:val="ICS"/>
                  <w:enabled/>
                  <w:calcOnExit w:val="0"/>
                  <w:textInput>
                    <w:default w:val="29.240.2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29.240.20</w:t>
            </w:r>
            <w:r>
              <w:rPr>
                <w:rFonts w:ascii="黑体" w:hAnsi="黑体" w:eastAsia="黑体" w:cs="Times New Roman"/>
                <w:kern w:val="2"/>
                <w:sz w:val="21"/>
                <w:szCs w:val="21"/>
                <w:lang w:val="en-US" w:eastAsia="zh-CN" w:bidi="ar-SA"/>
              </w:rPr>
              <w:fldChar w:fldCharType="end"/>
            </w:r>
            <w:bookmarkEnd w:id="0"/>
          </w:p>
        </w:tc>
      </w:tr>
      <w:tr w14:paraId="62306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AC8C8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8420DE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BEEAF9B">
                  <w:pPr>
                    <w:pStyle w:val="49"/>
                    <w:framePr w:wrap="notBeside" w:vAnchor="page" w:hAnchor="page" w:x="1372" w:y="568"/>
                    <w:ind w:left="420" w:right="624"/>
                    <w:rPr>
                      <w:rFonts w:ascii="宋体" w:hAnsi="宋体"/>
                      <w:sz w:val="28"/>
                      <w:szCs w:val="28"/>
                    </w:rPr>
                  </w:pPr>
                  <w:r>
                    <w:rPr>
                      <w:rFonts w:hint="eastAsia" w:ascii="Times New Roman" w:hAnsi="Times New Roman"/>
                    </w:rPr>
                    <w:drawing>
                      <wp:anchor distT="0" distB="0" distL="114300" distR="114300" simplePos="0" relativeHeight="251660288" behindDoc="0" locked="0" layoutInCell="1" allowOverlap="1">
                        <wp:simplePos x="0" y="0"/>
                        <wp:positionH relativeFrom="column">
                          <wp:posOffset>23495</wp:posOffset>
                        </wp:positionH>
                        <wp:positionV relativeFrom="paragraph">
                          <wp:posOffset>0</wp:posOffset>
                        </wp:positionV>
                        <wp:extent cx="657225" cy="657225"/>
                        <wp:effectExtent l="0" t="0" r="1270" b="1270"/>
                        <wp:wrapSquare wrapText="bothSides"/>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9"/>
                                <a:stretch>
                                  <a:fillRect/>
                                </a:stretch>
                              </pic:blipFill>
                              <pic:spPr>
                                <a:xfrm>
                                  <a:off x="0" y="0"/>
                                  <a:ext cx="657225" cy="657225"/>
                                </a:xfrm>
                                <a:prstGeom prst="rect">
                                  <a:avLst/>
                                </a:prstGeom>
                              </pic:spPr>
                            </pic:pic>
                          </a:graphicData>
                        </a:graphic>
                      </wp:anchor>
                    </w:drawing>
                  </w:r>
                </w:p>
              </w:tc>
            </w:tr>
          </w:tbl>
          <w:p w14:paraId="384B43E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cs="Times New Roman"/>
                <w:kern w:val="2"/>
                <w:sz w:val="21"/>
                <w:szCs w:val="21"/>
                <w:lang w:val="en-US" w:eastAsia="zh-CN" w:bidi="ar-SA"/>
              </w:rPr>
              <w:fldChar w:fldCharType="begin">
                <w:ffData>
                  <w:name w:val="CSDN"/>
                  <w:enabled/>
                  <w:calcOnExit w:val="0"/>
                  <w:textInput>
                    <w:default w:val="F 20/29"/>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F 20/29</w:t>
            </w:r>
            <w:r>
              <w:rPr>
                <w:rFonts w:ascii="黑体" w:hAnsi="黑体" w:eastAsia="黑体" w:cs="Times New Roman"/>
                <w:kern w:val="2"/>
                <w:sz w:val="21"/>
                <w:szCs w:val="21"/>
                <w:lang w:val="en-US" w:eastAsia="zh-CN" w:bidi="ar-SA"/>
              </w:rPr>
              <w:fldChar w:fldCharType="end"/>
            </w:r>
            <w:bookmarkEnd w:id="1"/>
          </w:p>
        </w:tc>
      </w:tr>
    </w:tbl>
    <w:p w14:paraId="35BC7DD4">
      <w:pPr>
        <w:pStyle w:val="50"/>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2B25D4F3">
      <w:pPr>
        <w:pStyle w:val="195"/>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CEPCA</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2025</w:t>
      </w:r>
      <w:r>
        <w:fldChar w:fldCharType="end"/>
      </w:r>
      <w:bookmarkEnd w:id="5"/>
    </w:p>
    <w:p w14:paraId="409453FE">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51F5298C">
      <w:pPr>
        <w:pBdr>
          <w:top w:val="none" w:color="auto" w:sz="0" w:space="0"/>
          <w:left w:val="none" w:color="auto" w:sz="0" w:space="0"/>
          <w:bottom w:val="none" w:color="auto" w:sz="0" w:space="0"/>
          <w:right w:val="none" w:color="auto" w:sz="0" w:space="0"/>
        </w:pBdr>
        <w:spacing w:line="240" w:lineRule="auto"/>
        <w:rPr>
          <w:rFonts w:ascii="黑体" w:hAnsi="黑体" w:eastAsia="黑体"/>
          <w:kern w:val="0"/>
          <w:sz w:val="10"/>
          <w:szCs w:val="10"/>
        </w:rPr>
      </w:pPr>
      <w:r>
        <w:rPr>
          <w:sz w:val="28"/>
        </w:rPr>
        <mc:AlternateContent>
          <mc:Choice Requires="wps">
            <w:drawing>
              <wp:anchor distT="0" distB="0" distL="114300" distR="114300" simplePos="0" relativeHeight="251661312" behindDoc="0" locked="0" layoutInCell="1" allowOverlap="1">
                <wp:simplePos x="0" y="0"/>
                <wp:positionH relativeFrom="column">
                  <wp:posOffset>-901700</wp:posOffset>
                </wp:positionH>
                <wp:positionV relativeFrom="paragraph">
                  <wp:posOffset>-1405890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pt;margin-top:-110.7pt;height:37.05pt;width:72pt;z-index:251661312;mso-width-relative:page;mso-height-relative:page;" filled="f" stroked="f" coordsize="21600,21600" o:gfxdata="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Y0X6M2wAAAAwBAAAPAAAAAAAAAAEAIAAAACIAAABkcnMv&#10;ZG93bnJldi54bWxQSwECFAAUAAAACACHTuJAA8hR6jkCAABlBAAADgAAAAAAAAABACAAAAAqAQAA&#10;ZHJzL2Uyb0RvYy54bWxQSwUGAAAAAAYABgBZAQAA1QUAAAAA&#10;">
                <v:fill on="f" focussize="0,0"/>
                <v:stroke on="f" weight="0.5pt"/>
                <v:imagedata o:title=""/>
                <o:lock v:ext="edit" aspectratio="f"/>
                <v:textbo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txbxContent>
                </v:textbox>
              </v:shape>
            </w:pict>
          </mc:Fallback>
        </mc:AlternateContent>
      </w: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19FFBCA">
      <w:pPr>
        <w:pStyle w:val="50"/>
        <w:framePr w:w="9639" w:h="6976" w:hRule="exact" w:hSpace="0" w:vSpace="0" w:wrap="around" w:hAnchor="page" w:y="6408"/>
        <w:jc w:val="center"/>
        <w:rPr>
          <w:rFonts w:ascii="黑体" w:hAnsi="黑体" w:eastAsia="黑体"/>
          <w:b w:val="0"/>
          <w:bCs w:val="0"/>
          <w:w w:val="100"/>
        </w:rPr>
      </w:pPr>
    </w:p>
    <w:p w14:paraId="1B032C8C">
      <w:pPr>
        <w:pStyle w:val="197"/>
        <w:framePr w:h="6974" w:hRule="exact" w:wrap="around" w:x="1419" w:anchorLock="1"/>
      </w:pPr>
      <w:bookmarkStart w:id="7" w:name="CSTD_NAME"/>
      <w:r>
        <w:rPr>
          <w:rFonts w:ascii="黑体" w:hAnsi="黑体" w:eastAsia="黑体" w:cs="Times New Roman"/>
          <w:bCs/>
          <w:sz w:val="52"/>
          <w:lang w:val="en-US" w:eastAsia="zh-CN" w:bidi="ar-SA"/>
        </w:rPr>
        <w:fldChar w:fldCharType="begin">
          <w:ffData>
            <w:name w:val="CSTD_NAME"/>
            <w:enabled/>
            <w:calcOnExit w:val="0"/>
            <w:textInput>
              <w:default w:val="输变电工程水土保持遥感监测技术规范"/>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输变电工程水土保持遥感监测技术规范</w:t>
      </w:r>
      <w:r>
        <w:rPr>
          <w:rFonts w:ascii="黑体" w:hAnsi="黑体" w:eastAsia="黑体" w:cs="Times New Roman"/>
          <w:bCs/>
          <w:sz w:val="52"/>
          <w:lang w:val="en-US" w:eastAsia="zh-CN" w:bidi="ar-SA"/>
        </w:rPr>
        <w:fldChar w:fldCharType="end"/>
      </w:r>
      <w:bookmarkEnd w:id="7"/>
    </w:p>
    <w:p w14:paraId="788624D1">
      <w:pPr>
        <w:framePr w:w="9639" w:h="6974" w:hRule="exact" w:wrap="around" w:vAnchor="page" w:hAnchor="page" w:x="1419" w:y="6408" w:anchorLock="1"/>
        <w:ind w:left="-1418"/>
      </w:pPr>
    </w:p>
    <w:p w14:paraId="3A9E960E">
      <w:pPr>
        <w:pStyle w:val="125"/>
        <w:framePr w:w="9639" w:h="6974" w:hRule="exact" w:wrap="around" w:vAnchor="page" w:hAnchor="page" w:x="1419" w:y="6408" w:anchorLock="1"/>
        <w:textAlignment w:val="bottom"/>
        <w:rPr>
          <w:rFonts w:eastAsia="黑体"/>
          <w:szCs w:val="28"/>
        </w:rPr>
      </w:pPr>
      <w:bookmarkStart w:id="8"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Technical Specification for Remote Sensing Monitoring of Soil and Water Conservation in Power Transmission and Transformation Projects"/>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Technical Specification for Remote Sensing Monitoring of Soil and Water Conservation in Power Transmission and Transformation Projects</w:t>
      </w:r>
      <w:r>
        <w:rPr>
          <w:rFonts w:ascii="Times New Roman" w:hAnsi="Times New Roman" w:eastAsia="黑体" w:cs="Times New Roman"/>
          <w:sz w:val="28"/>
          <w:szCs w:val="28"/>
          <w:lang w:val="en-US" w:eastAsia="zh-CN" w:bidi="ar-SA"/>
        </w:rPr>
        <w:fldChar w:fldCharType="end"/>
      </w:r>
      <w:bookmarkEnd w:id="8"/>
    </w:p>
    <w:p w14:paraId="1A2FADE0">
      <w:pPr>
        <w:framePr w:w="9639" w:h="6974" w:hRule="exact" w:wrap="around" w:vAnchor="page" w:hAnchor="page" w:x="1419" w:y="6408" w:anchorLock="1"/>
        <w:spacing w:line="760" w:lineRule="exact"/>
        <w:ind w:left="-1418"/>
      </w:pPr>
    </w:p>
    <w:p w14:paraId="1E26943E">
      <w:pPr>
        <w:pStyle w:val="125"/>
        <w:framePr w:w="9639" w:h="6974" w:hRule="exact" w:wrap="around" w:vAnchor="page" w:hAnchor="page" w:x="1419" w:y="6408" w:anchorLock="1"/>
        <w:textAlignment w:val="bottom"/>
        <w:rPr>
          <w:rFonts w:eastAsia="黑体"/>
          <w:szCs w:val="28"/>
        </w:rPr>
      </w:pPr>
    </w:p>
    <w:p w14:paraId="2C5FF92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0B7CBAD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026.0</w:t>
      </w:r>
      <w:r>
        <w:rPr>
          <w:rFonts w:hint="eastAsia"/>
          <w:sz w:val="21"/>
          <w:szCs w:val="28"/>
          <w:lang w:val="en-US" w:eastAsia="zh-CN"/>
        </w:rPr>
        <w:t>7</w:t>
      </w:r>
      <w:r>
        <w:rPr>
          <w:sz w:val="21"/>
          <w:szCs w:val="28"/>
        </w:rPr>
        <w:t>.06</w:t>
      </w:r>
      <w:r>
        <w:rPr>
          <w:rFonts w:hint="eastAsia"/>
          <w:sz w:val="21"/>
          <w:szCs w:val="28"/>
        </w:rPr>
        <w:t>）</w:t>
      </w:r>
      <w:r>
        <w:rPr>
          <w:sz w:val="21"/>
          <w:szCs w:val="28"/>
        </w:rPr>
        <w:fldChar w:fldCharType="end"/>
      </w:r>
      <w:bookmarkEnd w:id="10"/>
    </w:p>
    <w:p w14:paraId="101F3BA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5C624F89">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0DBA168C">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1F25C947">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中国电力建设企业协会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408DA8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p>
    <w:p w14:paraId="55929B4A">
      <w:pPr>
        <w:pStyle w:val="19"/>
        <w:tabs>
          <w:tab w:val="right" w:leader="dot" w:pos="9346"/>
        </w:tabs>
        <w:jc w:val="center"/>
        <w:rPr>
          <w:highlight w:val="none"/>
        </w:rPr>
      </w:pPr>
      <w:r>
        <w:rPr>
          <w:rFonts w:eastAsia="黑体"/>
          <w:color w:val="000000" w:themeColor="text1"/>
          <w:sz w:val="32"/>
          <w:szCs w:val="32"/>
          <w:highlight w:val="none"/>
          <w14:textFill>
            <w14:solidFill>
              <w14:schemeClr w14:val="tx1"/>
            </w14:solidFill>
          </w14:textFill>
        </w:rPr>
        <w:t xml:space="preserve">目 </w:t>
      </w:r>
      <w:r>
        <w:rPr>
          <w:rFonts w:hint="eastAsia" w:eastAsia="黑体"/>
          <w:color w:val="000000" w:themeColor="text1"/>
          <w:sz w:val="32"/>
          <w:szCs w:val="32"/>
          <w:highlight w:val="none"/>
          <w14:textFill>
            <w14:solidFill>
              <w14:schemeClr w14:val="tx1"/>
            </w14:solidFill>
          </w14:textFill>
        </w:rPr>
        <w:t xml:space="preserve"> </w:t>
      </w:r>
      <w:r>
        <w:rPr>
          <w:rFonts w:eastAsia="黑体"/>
          <w:color w:val="000000" w:themeColor="text1"/>
          <w:sz w:val="32"/>
          <w:szCs w:val="32"/>
          <w:highlight w:val="none"/>
          <w14:textFill>
            <w14:solidFill>
              <w14:schemeClr w14:val="tx1"/>
            </w14:solidFill>
          </w14:textFill>
        </w:rPr>
        <w:t>次</w:t>
      </w:r>
      <w:r>
        <w:rPr>
          <w:rFonts w:ascii="Times New Roman" w:hAnsi="Times New Roman"/>
          <w:color w:val="000000" w:themeColor="text1"/>
          <w:szCs w:val="21"/>
          <w:highlight w:val="none"/>
          <w14:textFill>
            <w14:solidFill>
              <w14:schemeClr w14:val="tx1"/>
            </w14:solidFill>
          </w14:textFill>
        </w:rPr>
        <w:fldChar w:fldCharType="begin"/>
      </w:r>
      <w:r>
        <w:rPr>
          <w:rFonts w:ascii="Times New Roman" w:hAnsi="Times New Roman"/>
          <w:color w:val="000000" w:themeColor="text1"/>
          <w:szCs w:val="21"/>
          <w:highlight w:val="none"/>
          <w14:textFill>
            <w14:solidFill>
              <w14:schemeClr w14:val="tx1"/>
            </w14:solidFill>
          </w14:textFill>
        </w:rPr>
        <w:instrText xml:space="preserve"> TOC \o "1-1" \h \z \u </w:instrText>
      </w:r>
      <w:r>
        <w:rPr>
          <w:rFonts w:ascii="Times New Roman" w:hAnsi="Times New Roman"/>
          <w:color w:val="000000" w:themeColor="text1"/>
          <w:szCs w:val="21"/>
          <w:highlight w:val="none"/>
          <w14:textFill>
            <w14:solidFill>
              <w14:schemeClr w14:val="tx1"/>
            </w14:solidFill>
          </w14:textFill>
        </w:rPr>
        <w:fldChar w:fldCharType="separate"/>
      </w:r>
    </w:p>
    <w:sdt>
      <w:sdtPr>
        <w:rPr>
          <w:rFonts w:ascii="宋体" w:hAnsi="宋体"/>
          <w:highlight w:val="none"/>
        </w:rPr>
        <w:id w:val="147482577"/>
        <w15:color w:val="DBDBDB"/>
        <w:docPartObj>
          <w:docPartGallery w:val="Table of Contents"/>
          <w:docPartUnique/>
        </w:docPartObj>
      </w:sdtPr>
      <w:sdtEndPr>
        <w:rPr>
          <w:rFonts w:ascii="Calibri" w:hAnsi="Calibri"/>
          <w:highlight w:val="none"/>
        </w:rPr>
      </w:sdtEndPr>
      <w:sdtContent>
        <w:p w14:paraId="3A61C900">
          <w:pPr>
            <w:pStyle w:val="19"/>
            <w:tabs>
              <w:tab w:val="right" w:leader="dot" w:pos="9346"/>
            </w:tabs>
            <w:rPr>
              <w:rFonts w:hint="default" w:ascii="Times New Roman" w:hAnsi="Times New Roman" w:cs="Times New Roman" w:eastAsiaTheme="minorEastAsia"/>
              <w:sz w:val="22"/>
              <w:highlight w:val="none"/>
              <w14:ligatures w14:val="standardContextual"/>
            </w:rPr>
          </w:pPr>
          <w:r>
            <w:rPr>
              <w:rFonts w:ascii="Times New Roman" w:hAnsi="Times New Roman"/>
              <w:highlight w:val="none"/>
            </w:rPr>
            <w:fldChar w:fldCharType="begin"/>
          </w:r>
          <w:r>
            <w:rPr>
              <w:rFonts w:ascii="Times New Roman" w:hAnsi="Times New Roman"/>
              <w:highlight w:val="none"/>
            </w:rPr>
            <w:instrText xml:space="preserve">TOC \o "1-2" \h \u </w:instrText>
          </w:r>
          <w:r>
            <w:rPr>
              <w:rFonts w:ascii="Times New Roman" w:hAnsi="Times New Roman"/>
              <w:highlight w:val="none"/>
            </w:rPr>
            <w:fldChar w:fldCharType="separate"/>
          </w: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"_Toc232414117"</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highlight w:val="none"/>
            </w:rPr>
            <w:t>前言</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_Toc232414117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II</w:t>
          </w:r>
          <w:r>
            <w:rPr>
              <w:rFonts w:hint="default" w:ascii="Times New Roman" w:hAnsi="Times New Roman"/>
              <w:highlight w:val="none"/>
            </w:rPr>
            <w:fldChar w:fldCharType="end"/>
          </w:r>
          <w:r>
            <w:rPr>
              <w:rStyle w:val="32"/>
              <w:rFonts w:ascii="Times New Roman" w:hAnsi="Times New Roman"/>
              <w:highlight w:val="none"/>
            </w:rPr>
            <w:fldChar w:fldCharType="end"/>
          </w:r>
        </w:p>
        <w:p w14:paraId="1B20967F">
          <w:pPr>
            <w:pStyle w:val="19"/>
            <w:tabs>
              <w:tab w:val="right" w:leader="dot" w:pos="9346"/>
            </w:tabs>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"_Toc232414118"</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highlight w:val="none"/>
            </w:rPr>
            <w:t>引言</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_Toc232414118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III</w:t>
          </w:r>
          <w:r>
            <w:rPr>
              <w:rFonts w:hint="default" w:ascii="Times New Roman" w:hAnsi="Times New Roman"/>
              <w:highlight w:val="none"/>
            </w:rPr>
            <w:fldChar w:fldCharType="end"/>
          </w:r>
          <w:r>
            <w:rPr>
              <w:rStyle w:val="32"/>
              <w:rFonts w:ascii="Times New Roman" w:hAnsi="Times New Roman"/>
              <w:highlight w:val="none"/>
            </w:rPr>
            <w:fldChar w:fldCharType="end"/>
          </w:r>
        </w:p>
        <w:p w14:paraId="1FB62FAC">
          <w:pPr>
            <w:pStyle w:val="19"/>
            <w:tabs>
              <w:tab w:val="left" w:pos="420"/>
              <w:tab w:val="right" w:leader="dot" w:pos="9346"/>
            </w:tabs>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"_Toc232414119"</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highlight w:val="none"/>
            </w:rPr>
            <w:t>1</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highlight w:val="none"/>
            </w:rPr>
            <w:t>范围</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_Toc232414119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1</w:t>
          </w:r>
          <w:r>
            <w:rPr>
              <w:rFonts w:hint="default" w:ascii="Times New Roman" w:hAnsi="Times New Roman"/>
              <w:highlight w:val="none"/>
            </w:rPr>
            <w:fldChar w:fldCharType="end"/>
          </w:r>
          <w:r>
            <w:rPr>
              <w:rStyle w:val="32"/>
              <w:rFonts w:ascii="Times New Roman" w:hAnsi="Times New Roman"/>
              <w:highlight w:val="none"/>
            </w:rPr>
            <w:fldChar w:fldCharType="end"/>
          </w:r>
          <w:bookmarkStart w:id="89" w:name="_GoBack"/>
          <w:bookmarkEnd w:id="89"/>
        </w:p>
        <w:p w14:paraId="3F31997C">
          <w:pPr>
            <w:pStyle w:val="19"/>
            <w:tabs>
              <w:tab w:val="left" w:pos="420"/>
              <w:tab w:val="right" w:leader="dot" w:pos="9346"/>
            </w:tabs>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"_Toc232414120"</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highlight w:val="none"/>
            </w:rPr>
            <w:t>2</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highlight w:val="none"/>
            </w:rPr>
            <w:t>规范性引用文件</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_Toc232414120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1</w:t>
          </w:r>
          <w:r>
            <w:rPr>
              <w:rFonts w:hint="default" w:ascii="Times New Roman" w:hAnsi="Times New Roman"/>
              <w:highlight w:val="none"/>
            </w:rPr>
            <w:fldChar w:fldCharType="end"/>
          </w:r>
          <w:r>
            <w:rPr>
              <w:rStyle w:val="32"/>
              <w:rFonts w:ascii="Times New Roman" w:hAnsi="Times New Roman"/>
              <w:highlight w:val="none"/>
            </w:rPr>
            <w:fldChar w:fldCharType="end"/>
          </w:r>
        </w:p>
        <w:p w14:paraId="6B92D7EB">
          <w:pPr>
            <w:pStyle w:val="19"/>
            <w:tabs>
              <w:tab w:val="left" w:pos="420"/>
              <w:tab w:val="right" w:leader="dot" w:pos="9346"/>
            </w:tabs>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"_Toc232414122"</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highlight w:val="none"/>
            </w:rPr>
            <w:t>3</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highlight w:val="none"/>
            </w:rPr>
            <w:t>术语和定义</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_Toc232414122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1</w:t>
          </w:r>
          <w:r>
            <w:rPr>
              <w:rFonts w:hint="default" w:ascii="Times New Roman" w:hAnsi="Times New Roman"/>
              <w:highlight w:val="none"/>
            </w:rPr>
            <w:fldChar w:fldCharType="end"/>
          </w:r>
          <w:r>
            <w:rPr>
              <w:rStyle w:val="32"/>
              <w:rFonts w:ascii="Times New Roman" w:hAnsi="Times New Roman"/>
              <w:highlight w:val="none"/>
            </w:rPr>
            <w:fldChar w:fldCharType="end"/>
          </w:r>
        </w:p>
        <w:p w14:paraId="073E9181">
          <w:pPr>
            <w:pStyle w:val="19"/>
            <w:tabs>
              <w:tab w:val="left" w:pos="420"/>
              <w:tab w:val="right" w:leader="dot" w:pos="9346"/>
            </w:tabs>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"_Toc232414133"</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highlight w:val="none"/>
            </w:rPr>
            <w:t>4</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highlight w:val="none"/>
            </w:rPr>
            <w:t>基本规定</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_Toc232414133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2</w:t>
          </w:r>
          <w:r>
            <w:rPr>
              <w:rFonts w:hint="default" w:ascii="Times New Roman" w:hAnsi="Times New Roman"/>
              <w:highlight w:val="none"/>
            </w:rPr>
            <w:fldChar w:fldCharType="end"/>
          </w:r>
          <w:r>
            <w:rPr>
              <w:rStyle w:val="32"/>
              <w:rFonts w:ascii="Times New Roman" w:hAnsi="Times New Roman"/>
              <w:highlight w:val="none"/>
            </w:rPr>
            <w:fldChar w:fldCharType="end"/>
          </w:r>
        </w:p>
        <w:p w14:paraId="1D5E1D59">
          <w:pPr>
            <w:pStyle w:val="24"/>
            <w:tabs>
              <w:tab w:val="left" w:pos="1260"/>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"_Toc232414134"</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4.1</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遥感监测工作程序</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_Toc232414134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2</w:t>
          </w:r>
          <w:r>
            <w:rPr>
              <w:rFonts w:hint="default" w:ascii="Times New Roman" w:hAnsi="Times New Roman"/>
              <w:highlight w:val="none"/>
            </w:rPr>
            <w:fldChar w:fldCharType="end"/>
          </w:r>
          <w:r>
            <w:rPr>
              <w:rStyle w:val="32"/>
              <w:rFonts w:ascii="Times New Roman" w:hAnsi="Times New Roman"/>
              <w:highlight w:val="none"/>
            </w:rPr>
            <w:fldChar w:fldCharType="end"/>
          </w:r>
        </w:p>
        <w:p w14:paraId="5010A90F">
          <w:pPr>
            <w:pStyle w:val="24"/>
            <w:tabs>
              <w:tab w:val="left" w:pos="1260"/>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"_Toc232414139"</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4.2</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遥感监测范围</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_Toc232414139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2</w:t>
          </w:r>
          <w:r>
            <w:rPr>
              <w:rFonts w:hint="default" w:ascii="Times New Roman" w:hAnsi="Times New Roman"/>
              <w:highlight w:val="none"/>
            </w:rPr>
            <w:fldChar w:fldCharType="end"/>
          </w:r>
          <w:r>
            <w:rPr>
              <w:rStyle w:val="32"/>
              <w:rFonts w:ascii="Times New Roman" w:hAnsi="Times New Roman"/>
              <w:highlight w:val="none"/>
            </w:rPr>
            <w:fldChar w:fldCharType="end"/>
          </w:r>
        </w:p>
        <w:p w14:paraId="49B2DECB">
          <w:pPr>
            <w:pStyle w:val="24"/>
            <w:tabs>
              <w:tab w:val="left" w:pos="1260"/>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"_Toc232414140"</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4.3</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遥感监测周期</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_Toc232414140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2</w:t>
          </w:r>
          <w:r>
            <w:rPr>
              <w:rFonts w:hint="default" w:ascii="Times New Roman" w:hAnsi="Times New Roman"/>
              <w:highlight w:val="none"/>
            </w:rPr>
            <w:fldChar w:fldCharType="end"/>
          </w:r>
          <w:r>
            <w:rPr>
              <w:rStyle w:val="32"/>
              <w:rFonts w:ascii="Times New Roman" w:hAnsi="Times New Roman"/>
              <w:highlight w:val="none"/>
            </w:rPr>
            <w:fldChar w:fldCharType="end"/>
          </w:r>
        </w:p>
        <w:p w14:paraId="22566FAE">
          <w:pPr>
            <w:pStyle w:val="24"/>
            <w:tabs>
              <w:tab w:val="left" w:pos="1260"/>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"_Toc232414141"</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4.4</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遥感数据质量要求</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_Toc232414141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2</w:t>
          </w:r>
          <w:r>
            <w:rPr>
              <w:rFonts w:hint="default" w:ascii="Times New Roman" w:hAnsi="Times New Roman"/>
              <w:highlight w:val="none"/>
            </w:rPr>
            <w:fldChar w:fldCharType="end"/>
          </w:r>
          <w:r>
            <w:rPr>
              <w:rStyle w:val="32"/>
              <w:rFonts w:ascii="Times New Roman" w:hAnsi="Times New Roman"/>
              <w:highlight w:val="none"/>
            </w:rPr>
            <w:fldChar w:fldCharType="end"/>
          </w:r>
        </w:p>
        <w:p w14:paraId="358C7A9A">
          <w:pPr>
            <w:pStyle w:val="24"/>
            <w:tabs>
              <w:tab w:val="left" w:pos="1260"/>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"_Toc232414142"</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4.5</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遥感监测成果要求</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_Toc232414142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3</w:t>
          </w:r>
          <w:r>
            <w:rPr>
              <w:rFonts w:hint="default" w:ascii="Times New Roman" w:hAnsi="Times New Roman"/>
              <w:highlight w:val="none"/>
            </w:rPr>
            <w:fldChar w:fldCharType="end"/>
          </w:r>
          <w:r>
            <w:rPr>
              <w:rStyle w:val="32"/>
              <w:rFonts w:ascii="Times New Roman" w:hAnsi="Times New Roman"/>
              <w:highlight w:val="none"/>
            </w:rPr>
            <w:fldChar w:fldCharType="end"/>
          </w:r>
        </w:p>
        <w:p w14:paraId="1D3977A1">
          <w:pPr>
            <w:pStyle w:val="19"/>
            <w:tabs>
              <w:tab w:val="right" w:leader="dot" w:pos="9346"/>
            </w:tabs>
            <w:rPr>
              <w:rStyle w:val="32"/>
              <w:rFonts w:ascii="Times New Roman" w:hAnsi="Times New Roman"/>
              <w:highlight w:val="none"/>
            </w:rPr>
          </w:pPr>
          <w:r>
            <w:rPr>
              <w:rStyle w:val="32"/>
              <w:rFonts w:ascii="Times New Roman" w:hAnsi="Times New Roman"/>
              <w:highlight w:val="none"/>
            </w:rPr>
            <w:fldChar w:fldCharType="begin"/>
          </w:r>
          <w:r>
            <w:rPr>
              <w:rStyle w:val="32"/>
              <w:rFonts w:ascii="Times New Roman" w:hAnsi="Times New Roman"/>
              <w:highlight w:val="none"/>
            </w:rPr>
            <w:instrText xml:space="preserve"> HYPERLINK \l "_Toc232414143" </w:instrText>
          </w:r>
          <w:r>
            <w:rPr>
              <w:rStyle w:val="32"/>
              <w:rFonts w:ascii="Times New Roman" w:hAnsi="Times New Roman"/>
              <w:highlight w:val="none"/>
            </w:rPr>
            <w:fldChar w:fldCharType="separate"/>
          </w:r>
          <w:r>
            <w:rPr>
              <w:rStyle w:val="32"/>
              <w:rFonts w:ascii="Times New Roman" w:hAnsi="Times New Roman"/>
              <w:highlight w:val="none"/>
            </w:rPr>
            <w:t>5</w:t>
          </w:r>
          <w:r>
            <w:rPr>
              <w:rStyle w:val="32"/>
              <w:rFonts w:hint="default" w:ascii="Times New Roman" w:hAnsi="Times New Roman"/>
              <w:highlight w:val="none"/>
            </w:rPr>
            <w:t xml:space="preserve">  </w:t>
          </w:r>
          <w:r>
            <w:rPr>
              <w:rStyle w:val="32"/>
              <w:rFonts w:ascii="Times New Roman" w:hAnsi="Times New Roman"/>
              <w:highlight w:val="none"/>
            </w:rPr>
            <w:t>遥感监测准备</w:t>
          </w:r>
          <w:r>
            <w:rPr>
              <w:rStyle w:val="32"/>
              <w:rFonts w:ascii="Times New Roman" w:hAnsi="Times New Roman"/>
              <w:highlight w:val="none"/>
            </w:rPr>
            <w:tab/>
          </w:r>
          <w:r>
            <w:rPr>
              <w:rStyle w:val="32"/>
              <w:rFonts w:ascii="Times New Roman" w:hAnsi="Times New Roman"/>
              <w:highlight w:val="none"/>
            </w:rPr>
            <w:fldChar w:fldCharType="begin"/>
          </w:r>
          <w:r>
            <w:rPr>
              <w:rStyle w:val="32"/>
              <w:rFonts w:ascii="Times New Roman" w:hAnsi="Times New Roman"/>
              <w:highlight w:val="none"/>
            </w:rPr>
            <w:instrText xml:space="preserve"> PAGEREF _Toc232414143 \h </w:instrText>
          </w:r>
          <w:r>
            <w:rPr>
              <w:rStyle w:val="32"/>
              <w:rFonts w:ascii="Times New Roman" w:hAnsi="Times New Roman"/>
              <w:highlight w:val="none"/>
            </w:rPr>
            <w:fldChar w:fldCharType="separate"/>
          </w:r>
          <w:r>
            <w:rPr>
              <w:rStyle w:val="32"/>
              <w:rFonts w:ascii="Times New Roman" w:hAnsi="Times New Roman"/>
              <w:highlight w:val="none"/>
            </w:rPr>
            <w:t>3</w:t>
          </w:r>
          <w:r>
            <w:rPr>
              <w:rStyle w:val="32"/>
              <w:rFonts w:ascii="Times New Roman" w:hAnsi="Times New Roman"/>
              <w:highlight w:val="none"/>
            </w:rPr>
            <w:fldChar w:fldCharType="end"/>
          </w:r>
          <w:r>
            <w:rPr>
              <w:rStyle w:val="32"/>
              <w:rFonts w:ascii="Times New Roman" w:hAnsi="Times New Roman"/>
              <w:highlight w:val="none"/>
            </w:rPr>
            <w:fldChar w:fldCharType="end"/>
          </w:r>
        </w:p>
        <w:p w14:paraId="44F62347">
          <w:pPr>
            <w:pStyle w:val="24"/>
            <w:tabs>
              <w:tab w:val="left" w:pos="1260"/>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"_Toc232414144"</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5.1</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工程资料收集</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_Toc232414144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3</w:t>
          </w:r>
          <w:r>
            <w:rPr>
              <w:rFonts w:hint="default" w:ascii="Times New Roman" w:hAnsi="Times New Roman"/>
              <w:highlight w:val="none"/>
            </w:rPr>
            <w:fldChar w:fldCharType="end"/>
          </w:r>
          <w:r>
            <w:rPr>
              <w:rStyle w:val="32"/>
              <w:rFonts w:ascii="Times New Roman" w:hAnsi="Times New Roman"/>
              <w:highlight w:val="none"/>
            </w:rPr>
            <w:fldChar w:fldCharType="end"/>
          </w:r>
        </w:p>
        <w:p w14:paraId="6FF6D692">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"_Toc232414155"</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5.2</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遥感监测方案编制</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_Toc232414155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3</w:t>
          </w:r>
          <w:r>
            <w:rPr>
              <w:rFonts w:hint="default" w:ascii="Times New Roman" w:hAnsi="Times New Roman"/>
              <w:highlight w:val="none"/>
            </w:rPr>
            <w:fldChar w:fldCharType="end"/>
          </w:r>
          <w:r>
            <w:rPr>
              <w:rStyle w:val="32"/>
              <w:rFonts w:ascii="Times New Roman" w:hAnsi="Times New Roman"/>
              <w:highlight w:val="none"/>
            </w:rPr>
            <w:fldChar w:fldCharType="end"/>
          </w:r>
        </w:p>
        <w:p w14:paraId="0C44CE88">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"_Toc232414157"</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5.3</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遥感数据采集</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_Toc232414157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3</w:t>
          </w:r>
          <w:r>
            <w:rPr>
              <w:rFonts w:hint="default" w:ascii="Times New Roman" w:hAnsi="Times New Roman"/>
              <w:highlight w:val="none"/>
            </w:rPr>
            <w:fldChar w:fldCharType="end"/>
          </w:r>
          <w:r>
            <w:rPr>
              <w:rStyle w:val="32"/>
              <w:rFonts w:ascii="Times New Roman" w:hAnsi="Times New Roman"/>
              <w:highlight w:val="none"/>
            </w:rPr>
            <w:fldChar w:fldCharType="end"/>
          </w:r>
        </w:p>
        <w:p w14:paraId="4957659F">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"_Toc232414158"</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5.4</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遥感数据预处理</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_Toc232414158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3</w:t>
          </w:r>
          <w:r>
            <w:rPr>
              <w:rFonts w:hint="default" w:ascii="Times New Roman" w:hAnsi="Times New Roman"/>
              <w:highlight w:val="none"/>
            </w:rPr>
            <w:fldChar w:fldCharType="end"/>
          </w:r>
          <w:r>
            <w:rPr>
              <w:rStyle w:val="32"/>
              <w:rFonts w:ascii="Times New Roman" w:hAnsi="Times New Roman"/>
              <w:highlight w:val="none"/>
            </w:rPr>
            <w:fldChar w:fldCharType="end"/>
          </w:r>
        </w:p>
        <w:p w14:paraId="7DA3DCAC">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"_Toc232414163"</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5.5</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解译标志建立</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_Toc232414163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4</w:t>
          </w:r>
          <w:r>
            <w:rPr>
              <w:rFonts w:hint="default" w:ascii="Times New Roman" w:hAnsi="Times New Roman"/>
              <w:highlight w:val="none"/>
            </w:rPr>
            <w:fldChar w:fldCharType="end"/>
          </w:r>
          <w:r>
            <w:rPr>
              <w:rStyle w:val="32"/>
              <w:rFonts w:ascii="Times New Roman" w:hAnsi="Times New Roman"/>
              <w:highlight w:val="none"/>
            </w:rPr>
            <w:fldChar w:fldCharType="end"/>
          </w:r>
        </w:p>
        <w:p w14:paraId="7DE25DA7">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"_Toc232414170"</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5.6</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解译模型构建</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_Toc232414170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4</w:t>
          </w:r>
          <w:r>
            <w:rPr>
              <w:rFonts w:hint="default" w:ascii="Times New Roman" w:hAnsi="Times New Roman"/>
              <w:highlight w:val="none"/>
            </w:rPr>
            <w:fldChar w:fldCharType="end"/>
          </w:r>
          <w:r>
            <w:rPr>
              <w:rStyle w:val="32"/>
              <w:rFonts w:ascii="Times New Roman" w:hAnsi="Times New Roman"/>
              <w:highlight w:val="none"/>
            </w:rPr>
            <w:fldChar w:fldCharType="end"/>
          </w:r>
        </w:p>
        <w:p w14:paraId="1C57840C">
          <w:pPr>
            <w:pStyle w:val="19"/>
            <w:tabs>
              <w:tab w:val="right" w:leader="dot" w:pos="9346"/>
            </w:tabs>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"_Toc232414201"</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highlight w:val="none"/>
            </w:rPr>
            <w:t>6</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highlight w:val="none"/>
            </w:rPr>
            <w:t>遥感监测实施</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_Toc232414201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4</w:t>
          </w:r>
          <w:r>
            <w:rPr>
              <w:rFonts w:hint="default" w:ascii="Times New Roman" w:hAnsi="Times New Roman"/>
              <w:highlight w:val="none"/>
            </w:rPr>
            <w:fldChar w:fldCharType="end"/>
          </w:r>
          <w:r>
            <w:rPr>
              <w:rStyle w:val="32"/>
              <w:rFonts w:ascii="Times New Roman" w:hAnsi="Times New Roman"/>
              <w:highlight w:val="none"/>
            </w:rPr>
            <w:fldChar w:fldCharType="end"/>
          </w:r>
        </w:p>
        <w:p w14:paraId="198FFA39">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"_Toc232414202"</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6.1</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监测范围</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_Toc232414202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4</w:t>
          </w:r>
          <w:r>
            <w:rPr>
              <w:rFonts w:hint="default" w:ascii="Times New Roman" w:hAnsi="Times New Roman"/>
              <w:highlight w:val="none"/>
            </w:rPr>
            <w:fldChar w:fldCharType="end"/>
          </w:r>
          <w:r>
            <w:rPr>
              <w:rStyle w:val="32"/>
              <w:rFonts w:ascii="Times New Roman" w:hAnsi="Times New Roman"/>
              <w:highlight w:val="none"/>
            </w:rPr>
            <w:fldChar w:fldCharType="end"/>
          </w:r>
        </w:p>
        <w:p w14:paraId="2EB4D933">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"_Toc232414203"</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6.2</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监测内容</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_Toc232414203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4</w:t>
          </w:r>
          <w:r>
            <w:rPr>
              <w:rFonts w:hint="default" w:ascii="Times New Roman" w:hAnsi="Times New Roman"/>
              <w:highlight w:val="none"/>
            </w:rPr>
            <w:fldChar w:fldCharType="end"/>
          </w:r>
          <w:r>
            <w:rPr>
              <w:rStyle w:val="32"/>
              <w:rFonts w:ascii="Times New Roman" w:hAnsi="Times New Roman"/>
              <w:highlight w:val="none"/>
            </w:rPr>
            <w:fldChar w:fldCharType="end"/>
          </w:r>
        </w:p>
        <w:p w14:paraId="18F1EF1E">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"_Toc232414255"</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6.3</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监测频率</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_Toc232414255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4</w:t>
          </w:r>
          <w:r>
            <w:rPr>
              <w:rFonts w:hint="default" w:ascii="Times New Roman" w:hAnsi="Times New Roman"/>
              <w:highlight w:val="none"/>
            </w:rPr>
            <w:fldChar w:fldCharType="end"/>
          </w:r>
          <w:r>
            <w:rPr>
              <w:rStyle w:val="32"/>
              <w:rFonts w:ascii="Times New Roman" w:hAnsi="Times New Roman"/>
              <w:highlight w:val="none"/>
            </w:rPr>
            <w:fldChar w:fldCharType="end"/>
          </w:r>
        </w:p>
        <w:p w14:paraId="10C804FA">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"_Toc232414256"</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6.4</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cs="Times New Roman"/>
              <w:highlight w:val="none"/>
            </w:rPr>
            <w:t>监测精度</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_Toc232414256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4</w:t>
          </w:r>
          <w:r>
            <w:rPr>
              <w:rFonts w:hint="default" w:ascii="Times New Roman" w:hAnsi="Times New Roman"/>
              <w:highlight w:val="none"/>
            </w:rPr>
            <w:fldChar w:fldCharType="end"/>
          </w:r>
          <w:r>
            <w:rPr>
              <w:rStyle w:val="32"/>
              <w:rFonts w:ascii="Times New Roman" w:hAnsi="Times New Roman"/>
              <w:highlight w:val="none"/>
            </w:rPr>
            <w:fldChar w:fldCharType="end"/>
          </w:r>
        </w:p>
        <w:p w14:paraId="20B99822">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"_Toc232414257"</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6.5</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highlight w:val="none"/>
            </w:rPr>
            <w:t>监测解译</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_Toc232414257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5</w:t>
          </w:r>
          <w:r>
            <w:rPr>
              <w:rFonts w:hint="default" w:ascii="Times New Roman" w:hAnsi="Times New Roman"/>
              <w:highlight w:val="none"/>
            </w:rPr>
            <w:fldChar w:fldCharType="end"/>
          </w:r>
          <w:r>
            <w:rPr>
              <w:rStyle w:val="32"/>
              <w:rFonts w:ascii="Times New Roman" w:hAnsi="Times New Roman"/>
              <w:highlight w:val="none"/>
            </w:rPr>
            <w:fldChar w:fldCharType="end"/>
          </w:r>
        </w:p>
        <w:p w14:paraId="26304BE2">
          <w:pPr>
            <w:pStyle w:val="24"/>
            <w:tabs>
              <w:tab w:val="right" w:leader="dot" w:pos="9346"/>
              <w:tab w:val="clear" w:pos="9344"/>
            </w:tabs>
            <w:ind w:left="0" w:leftChars="0" w:firstLine="210" w:firstLineChars="100"/>
            <w:rPr>
              <w:rFonts w:hint="default" w:ascii="Times New Roman" w:hAnsi="Times New Roman" w:cs="Times New Roman" w:eastAsiaTheme="minorEastAsia"/>
              <w:sz w:val="22"/>
              <w:highlight w:val="none"/>
              <w14:ligatures w14:val="standardContextual"/>
            </w:rPr>
          </w:pP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"_Toc232414258"</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cs="Times New Roman"/>
              <w:highlight w:val="none"/>
            </w:rPr>
            <w:t>6.6</w:t>
          </w:r>
          <w:r>
            <w:rPr>
              <w:rFonts w:hint="default" w:ascii="Times New Roman" w:hAnsi="Times New Roman" w:eastAsiaTheme="minorEastAsia"/>
              <w:sz w:val="22"/>
              <w:highlight w:val="none"/>
              <w14:ligatures w14:val="standardContextual"/>
            </w:rPr>
            <w:t xml:space="preserve">  </w:t>
          </w:r>
          <w:r>
            <w:rPr>
              <w:rStyle w:val="32"/>
              <w:rFonts w:ascii="Times New Roman" w:hAnsi="Times New Roman"/>
              <w:highlight w:val="none"/>
            </w:rPr>
            <w:t>监测分析方法及成果</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_Toc232414258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5</w:t>
          </w:r>
          <w:r>
            <w:rPr>
              <w:rFonts w:hint="default" w:ascii="Times New Roman" w:hAnsi="Times New Roman"/>
              <w:highlight w:val="none"/>
            </w:rPr>
            <w:fldChar w:fldCharType="end"/>
          </w:r>
          <w:r>
            <w:rPr>
              <w:rStyle w:val="32"/>
              <w:rFonts w:ascii="Times New Roman" w:hAnsi="Times New Roman"/>
              <w:highlight w:val="none"/>
            </w:rPr>
            <w:fldChar w:fldCharType="end"/>
          </w:r>
        </w:p>
        <w:p w14:paraId="6ABC056F">
          <w:pPr>
            <w:pStyle w:val="19"/>
            <w:tabs>
              <w:tab w:val="right" w:leader="dot" w:pos="9346"/>
            </w:tabs>
            <w:rPr>
              <w:rFonts w:hint="default" w:ascii="Times New Roman" w:hAnsi="Times New Roman" w:cs="Times New Roman" w:eastAsiaTheme="minorEastAsia"/>
              <w:sz w:val="22"/>
              <w:highlight w:val="none"/>
              <w14:ligatures w14:val="standardContextual"/>
            </w:rPr>
          </w:pPr>
          <w:r>
            <w:rPr>
              <w:rStyle w:val="32"/>
              <w:rFonts w:ascii="Times New Roman" w:hAnsi="Times New Roman"/>
              <w:color w:val="auto"/>
              <w:highlight w:val="none"/>
            </w:rPr>
            <w:t>附录A</w:t>
          </w: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"_Toc232414292"</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highlight w:val="none"/>
            </w:rPr>
            <w:t xml:space="preserve"> </w:t>
          </w:r>
          <w:r>
            <w:rPr>
              <w:rStyle w:val="32"/>
              <w:rFonts w:hint="default" w:ascii="Times New Roman" w:hAnsi="Times New Roman"/>
              <w:highlight w:val="none"/>
            </w:rPr>
            <w:t xml:space="preserve"> </w:t>
          </w:r>
          <w:r>
            <w:rPr>
              <w:rStyle w:val="32"/>
              <w:rFonts w:ascii="Times New Roman" w:hAnsi="Times New Roman"/>
              <w:highlight w:val="none"/>
            </w:rPr>
            <w:t xml:space="preserve">（规范性） </w:t>
          </w:r>
          <w:r>
            <w:rPr>
              <w:rStyle w:val="32"/>
              <w:rFonts w:hint="default" w:ascii="Times New Roman" w:hAnsi="Times New Roman"/>
              <w:highlight w:val="none"/>
            </w:rPr>
            <w:t xml:space="preserve"> </w:t>
          </w:r>
          <w:r>
            <w:rPr>
              <w:rStyle w:val="32"/>
              <w:rFonts w:ascii="Times New Roman" w:hAnsi="Times New Roman"/>
              <w:highlight w:val="none"/>
            </w:rPr>
            <w:t>输变电工程水土保持遥感监测内容分类与说明</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_Toc232414292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6</w:t>
          </w:r>
          <w:r>
            <w:rPr>
              <w:rFonts w:hint="default" w:ascii="Times New Roman" w:hAnsi="Times New Roman"/>
              <w:highlight w:val="none"/>
            </w:rPr>
            <w:fldChar w:fldCharType="end"/>
          </w:r>
          <w:r>
            <w:rPr>
              <w:rStyle w:val="32"/>
              <w:rFonts w:ascii="Times New Roman" w:hAnsi="Times New Roman"/>
              <w:highlight w:val="none"/>
            </w:rPr>
            <w:fldChar w:fldCharType="end"/>
          </w:r>
        </w:p>
        <w:p w14:paraId="6F54C8BB">
          <w:pPr>
            <w:pStyle w:val="19"/>
            <w:tabs>
              <w:tab w:val="right" w:leader="dot" w:pos="9346"/>
            </w:tabs>
            <w:rPr>
              <w:rFonts w:hint="default" w:ascii="Times New Roman" w:hAnsi="Times New Roman" w:cs="Times New Roman" w:eastAsiaTheme="minorEastAsia"/>
              <w:sz w:val="22"/>
              <w:highlight w:val="none"/>
              <w14:ligatures w14:val="standardContextual"/>
            </w:rPr>
          </w:pPr>
          <w:r>
            <w:rPr>
              <w:rStyle w:val="32"/>
              <w:rFonts w:ascii="Times New Roman" w:hAnsi="Times New Roman"/>
              <w:color w:val="auto"/>
              <w:highlight w:val="none"/>
            </w:rPr>
            <w:t>附录B</w:t>
          </w:r>
          <w:r>
            <w:rPr>
              <w:rStyle w:val="32"/>
              <w:rFonts w:hint="default" w:ascii="Times New Roman" w:hAnsi="Times New Roman"/>
              <w:highlight w:val="none"/>
            </w:rPr>
            <w:t xml:space="preserve">  </w:t>
          </w:r>
          <w:r>
            <w:rPr>
              <w:rStyle w:val="32"/>
              <w:rFonts w:ascii="Times New Roman" w:hAnsi="Times New Roman"/>
              <w:highlight w:val="none"/>
            </w:rPr>
            <w:fldChar w:fldCharType="begin"/>
          </w:r>
          <w:r>
            <w:rPr>
              <w:rStyle w:val="32"/>
              <w:rFonts w:ascii="Times New Roman" w:hAnsi="Times New Roman"/>
              <w:highlight w:val="none"/>
            </w:rPr>
            <w:instrText xml:space="preserve"> </w:instrText>
          </w:r>
          <w:r>
            <w:rPr>
              <w:rFonts w:hint="default" w:ascii="Times New Roman" w:hAnsi="Times New Roman"/>
              <w:highlight w:val="none"/>
            </w:rPr>
            <w:instrText xml:space="preserve">HYPERLINK \l "_Toc232414293"</w:instrText>
          </w:r>
          <w:r>
            <w:rPr>
              <w:rStyle w:val="32"/>
              <w:rFonts w:ascii="Times New Roman" w:hAnsi="Times New Roman"/>
              <w:highlight w:val="none"/>
            </w:rPr>
            <w:instrText xml:space="preserve"> </w:instrText>
          </w:r>
          <w:r>
            <w:rPr>
              <w:rStyle w:val="32"/>
              <w:rFonts w:ascii="Times New Roman" w:hAnsi="Times New Roman"/>
              <w:highlight w:val="none"/>
            </w:rPr>
            <w:fldChar w:fldCharType="separate"/>
          </w:r>
          <w:r>
            <w:rPr>
              <w:rStyle w:val="32"/>
              <w:rFonts w:ascii="Times New Roman" w:hAnsi="Times New Roman"/>
              <w:highlight w:val="none"/>
            </w:rPr>
            <w:t>（规范性）</w:t>
          </w:r>
          <w:r>
            <w:rPr>
              <w:rStyle w:val="32"/>
              <w:rFonts w:hint="default" w:ascii="Times New Roman" w:hAnsi="Times New Roman"/>
              <w:highlight w:val="none"/>
            </w:rPr>
            <w:t xml:space="preserve"> </w:t>
          </w:r>
          <w:r>
            <w:rPr>
              <w:rStyle w:val="32"/>
              <w:rFonts w:ascii="Times New Roman" w:hAnsi="Times New Roman"/>
              <w:highlight w:val="none"/>
            </w:rPr>
            <w:t xml:space="preserve"> 施工期遥感监测解译流程示意图</w:t>
          </w:r>
          <w:r>
            <w:rPr>
              <w:rFonts w:hint="default" w:ascii="Times New Roman" w:hAnsi="Times New Roman"/>
              <w:highlight w:val="none"/>
            </w:rPr>
            <w:tab/>
          </w:r>
          <w:r>
            <w:rPr>
              <w:rFonts w:hint="default" w:ascii="Times New Roman" w:hAnsi="Times New Roman"/>
              <w:highlight w:val="none"/>
            </w:rPr>
            <w:fldChar w:fldCharType="begin"/>
          </w:r>
          <w:r>
            <w:rPr>
              <w:rFonts w:hint="default" w:ascii="Times New Roman" w:hAnsi="Times New Roman"/>
              <w:highlight w:val="none"/>
            </w:rPr>
            <w:instrText xml:space="preserve"> </w:instrText>
          </w:r>
          <w:r>
            <w:rPr>
              <w:rFonts w:ascii="Times New Roman" w:hAnsi="Times New Roman"/>
              <w:highlight w:val="none"/>
            </w:rPr>
            <w:instrText xml:space="preserve">PAGEREF _Toc232414293 \h</w:instrText>
          </w:r>
          <w:r>
            <w:rPr>
              <w:rFonts w:hint="default" w:ascii="Times New Roman" w:hAnsi="Times New Roman"/>
              <w:highlight w:val="none"/>
            </w:rPr>
            <w:instrText xml:space="preserve"> </w:instrText>
          </w:r>
          <w:r>
            <w:rPr>
              <w:rFonts w:hint="default" w:ascii="Times New Roman" w:hAnsi="Times New Roman"/>
              <w:highlight w:val="none"/>
            </w:rPr>
            <w:fldChar w:fldCharType="separate"/>
          </w:r>
          <w:r>
            <w:rPr>
              <w:rFonts w:ascii="Times New Roman" w:hAnsi="Times New Roman"/>
              <w:highlight w:val="none"/>
            </w:rPr>
            <w:t>7</w:t>
          </w:r>
          <w:r>
            <w:rPr>
              <w:rFonts w:hint="default" w:ascii="Times New Roman" w:hAnsi="Times New Roman"/>
              <w:highlight w:val="none"/>
            </w:rPr>
            <w:fldChar w:fldCharType="end"/>
          </w:r>
          <w:r>
            <w:rPr>
              <w:rStyle w:val="32"/>
              <w:rFonts w:ascii="Times New Roman" w:hAnsi="Times New Roman"/>
              <w:highlight w:val="none"/>
            </w:rPr>
            <w:fldChar w:fldCharType="end"/>
          </w:r>
        </w:p>
        <w:p w14:paraId="487C1984">
          <w:pPr>
            <w:pStyle w:val="19"/>
            <w:tabs>
              <w:tab w:val="right" w:leader="dot" w:pos="9356"/>
            </w:tabs>
            <w:rPr>
              <w:highlight w:val="none"/>
            </w:rPr>
          </w:pPr>
          <w:r>
            <w:rPr>
              <w:rFonts w:ascii="Times New Roman" w:hAnsi="Times New Roman"/>
              <w:highlight w:val="none"/>
            </w:rPr>
            <w:fldChar w:fldCharType="end"/>
          </w:r>
        </w:p>
      </w:sdtContent>
    </w:sdt>
    <w:p w14:paraId="0470E1AC">
      <w:pPr>
        <w:rPr>
          <w:highlight w:val="none"/>
        </w:rPr>
      </w:pPr>
    </w:p>
    <w:p w14:paraId="08ABBF0C">
      <w:pPr>
        <w:pStyle w:val="19"/>
        <w:tabs>
          <w:tab w:val="left" w:pos="420"/>
          <w:tab w:val="right" w:leader="dot" w:pos="9346"/>
        </w:tabs>
        <w:rPr>
          <w:color w:val="000000" w:themeColor="text1"/>
          <w:highlight w:val="none"/>
          <w14:textFill>
            <w14:solidFill>
              <w14:schemeClr w14:val="tx1"/>
            </w14:solidFill>
          </w14:textFill>
        </w:rPr>
        <w:sectPr>
          <w:headerReference r:id="rId9" w:type="default"/>
          <w:footerReference r:id="rId11" w:type="default"/>
          <w:headerReference r:id="rId10" w:type="even"/>
          <w:footerReference r:id="rId12" w:type="even"/>
          <w:pgSz w:w="11907" w:h="16839"/>
          <w:pgMar w:top="1417" w:right="1134" w:bottom="1134" w:left="1417" w:header="1020" w:footer="1020" w:gutter="0"/>
          <w:pgNumType w:fmt="upperRoman" w:start="1"/>
          <w:cols w:space="720" w:num="1"/>
          <w:docGrid w:linePitch="312" w:charSpace="0"/>
        </w:sectPr>
      </w:pPr>
      <w:r>
        <w:rPr>
          <w:rFonts w:ascii="Times New Roman" w:hAnsi="Times New Roman"/>
          <w:color w:val="000000" w:themeColor="text1"/>
          <w:szCs w:val="21"/>
          <w:highlight w:val="none"/>
          <w14:textFill>
            <w14:solidFill>
              <w14:schemeClr w14:val="tx1"/>
            </w14:solidFill>
          </w14:textFill>
        </w:rPr>
        <w:fldChar w:fldCharType="end"/>
      </w:r>
    </w:p>
    <w:p w14:paraId="0E5E1322">
      <w:pPr>
        <w:pStyle w:val="152"/>
        <w:rPr>
          <w:rFonts w:ascii="Times New Roman"/>
          <w:color w:val="000000" w:themeColor="text1"/>
          <w:highlight w:val="none"/>
          <w14:textFill>
            <w14:solidFill>
              <w14:schemeClr w14:val="tx1"/>
            </w14:solidFill>
          </w14:textFill>
        </w:rPr>
      </w:pPr>
      <w:bookmarkStart w:id="19" w:name="_Toc232414117"/>
      <w:bookmarkStart w:id="20" w:name="_Toc26089"/>
      <w:bookmarkStart w:id="21" w:name="_Toc19165"/>
      <w:bookmarkStart w:id="22" w:name="_Toc28638"/>
      <w:bookmarkStart w:id="23" w:name="_Toc32272"/>
      <w:bookmarkStart w:id="24" w:name="_Toc20607"/>
      <w:r>
        <w:rPr>
          <w:rFonts w:hint="eastAsia" w:ascii="Times New Roman"/>
          <w:color w:val="000000" w:themeColor="text1"/>
          <w:highlight w:val="none"/>
          <w14:textFill>
            <w14:solidFill>
              <w14:schemeClr w14:val="tx1"/>
            </w14:solidFill>
          </w14:textFill>
        </w:rPr>
        <w:t>前言</w:t>
      </w:r>
      <w:bookmarkEnd w:id="19"/>
      <w:bookmarkEnd w:id="20"/>
      <w:bookmarkEnd w:id="21"/>
      <w:bookmarkEnd w:id="22"/>
      <w:bookmarkEnd w:id="23"/>
    </w:p>
    <w:p w14:paraId="4C24E05F">
      <w:pPr>
        <w:pStyle w:val="230"/>
        <w:ind w:firstLine="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本文件按照GB/T 1.1—2020《标准化工作导则 第1部分：标准化文件的结构和起草规则》的规定起草。</w:t>
      </w:r>
    </w:p>
    <w:p w14:paraId="429143B4">
      <w:pPr>
        <w:pStyle w:val="230"/>
        <w:ind w:firstLine="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请注意本文件的某些内容可能涉及专利，本文件的发布机构不承担识别这些专利的责任。</w:t>
      </w:r>
    </w:p>
    <w:p w14:paraId="53BF95DD">
      <w:pPr>
        <w:pStyle w:val="230"/>
        <w:ind w:firstLine="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本文件由</w:t>
      </w:r>
      <w:r>
        <w:rPr>
          <w:rFonts w:hint="eastAsia"/>
          <w:color w:val="000000" w:themeColor="text1"/>
          <w:highlight w:val="none"/>
          <w14:textFill>
            <w14:solidFill>
              <w14:schemeClr w14:val="tx1"/>
            </w14:solidFill>
          </w14:textFill>
        </w:rPr>
        <w:t>中国电力建设企业协会</w:t>
      </w:r>
      <w:r>
        <w:rPr>
          <w:color w:val="000000" w:themeColor="text1"/>
          <w:highlight w:val="none"/>
          <w14:textFill>
            <w14:solidFill>
              <w14:schemeClr w14:val="tx1"/>
            </w14:solidFill>
          </w14:textFill>
        </w:rPr>
        <w:t>提出并归口。</w:t>
      </w:r>
    </w:p>
    <w:p w14:paraId="4572C949">
      <w:pPr>
        <w:pStyle w:val="230"/>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本文件主编单位：XXX。</w:t>
      </w:r>
    </w:p>
    <w:p w14:paraId="64E9133E">
      <w:pPr>
        <w:pStyle w:val="230"/>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本文件参编单位：XXX。</w:t>
      </w:r>
    </w:p>
    <w:p w14:paraId="1F20A037">
      <w:pPr>
        <w:pStyle w:val="230"/>
        <w:ind w:firstLine="420"/>
        <w:rPr>
          <w:color w:val="000000" w:themeColor="text1"/>
          <w:highlight w:val="none"/>
          <w14:textFill>
            <w14:solidFill>
              <w14:schemeClr w14:val="tx1"/>
            </w14:solidFill>
          </w14:textFill>
        </w:rPr>
      </w:pPr>
    </w:p>
    <w:p w14:paraId="07084DB7">
      <w:pPr>
        <w:pStyle w:val="230"/>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本标准主要起草人员：XXX</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14:paraId="257DE197">
      <w:pPr>
        <w:pStyle w:val="230"/>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14:paraId="3E112589">
      <w:pPr>
        <w:pStyle w:val="230"/>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本标准主要审查人员：XXX</w:t>
      </w:r>
    </w:p>
    <w:p w14:paraId="713C127C">
      <w:pPr>
        <w:pStyle w:val="230"/>
        <w:ind w:firstLine="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w:t>
      </w:r>
      <w:r>
        <w:rPr>
          <w:rFonts w:hint="eastAsia"/>
          <w:color w:val="000000" w:themeColor="text1"/>
          <w:highlight w:val="none"/>
          <w14:textFill>
            <w14:solidFill>
              <w14:schemeClr w14:val="tx1"/>
            </w14:solidFill>
          </w14:textFill>
        </w:rPr>
        <w:t>文件</w:t>
      </w:r>
      <w:r>
        <w:rPr>
          <w:color w:val="000000" w:themeColor="text1"/>
          <w:highlight w:val="none"/>
          <w14:textFill>
            <w14:solidFill>
              <w14:schemeClr w14:val="tx1"/>
            </w14:solidFill>
          </w14:textFill>
        </w:rPr>
        <w:t>为首次发布</w:t>
      </w:r>
      <w:r>
        <w:rPr>
          <w:rFonts w:hint="eastAsia"/>
          <w:color w:val="000000" w:themeColor="text1"/>
          <w:highlight w:val="none"/>
          <w14:textFill>
            <w14:solidFill>
              <w14:schemeClr w14:val="tx1"/>
            </w14:solidFill>
          </w14:textFill>
        </w:rPr>
        <w:t>。</w:t>
      </w:r>
    </w:p>
    <w:p w14:paraId="3F94315F">
      <w:pPr>
        <w:pStyle w:val="230"/>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本文件在执行过程中的意见或建议反馈至中国电力建设企业协会（地址：北京市丰台区西四环南路35号中都科技大厦3层，100071）。</w:t>
      </w:r>
    </w:p>
    <w:p w14:paraId="2A567D97">
      <w:pPr>
        <w:pStyle w:val="230"/>
        <w:ind w:firstLine="420"/>
        <w:rPr>
          <w:color w:val="000000" w:themeColor="text1"/>
          <w:highlight w:val="none"/>
          <w14:textFill>
            <w14:solidFill>
              <w14:schemeClr w14:val="tx1"/>
            </w14:solidFill>
          </w14:textFill>
        </w:rPr>
      </w:pPr>
    </w:p>
    <w:p w14:paraId="53BE038E">
      <w:pPr>
        <w:pStyle w:val="230"/>
        <w:ind w:firstLine="420"/>
        <w:rPr>
          <w:color w:val="000000" w:themeColor="text1"/>
          <w:highlight w:val="none"/>
          <w14:textFill>
            <w14:solidFill>
              <w14:schemeClr w14:val="tx1"/>
            </w14:solidFill>
          </w14:textFill>
        </w:rPr>
        <w:sectPr>
          <w:footerReference r:id="rId13" w:type="default"/>
          <w:pgSz w:w="11906" w:h="16838"/>
          <w:pgMar w:top="1701" w:right="1134" w:bottom="1134" w:left="1417" w:header="851" w:footer="850" w:gutter="0"/>
          <w:pgNumType w:fmt="upperRoman"/>
          <w:cols w:space="0" w:num="1"/>
          <w:docGrid w:type="lines" w:linePitch="318" w:charSpace="0"/>
        </w:sectPr>
      </w:pPr>
    </w:p>
    <w:p w14:paraId="4241E193">
      <w:pPr>
        <w:pStyle w:val="152"/>
        <w:rPr>
          <w:rFonts w:ascii="Times New Roman"/>
          <w:color w:val="000000" w:themeColor="text1"/>
          <w:highlight w:val="none"/>
          <w14:textFill>
            <w14:solidFill>
              <w14:schemeClr w14:val="tx1"/>
            </w14:solidFill>
          </w14:textFill>
        </w:rPr>
      </w:pPr>
      <w:bookmarkStart w:id="25" w:name="_Toc14361"/>
      <w:bookmarkStart w:id="26" w:name="_Toc232414118"/>
      <w:bookmarkStart w:id="27" w:name="_Toc18642"/>
      <w:r>
        <w:rPr>
          <w:rFonts w:hint="eastAsia" w:ascii="Times New Roman"/>
          <w:color w:val="000000" w:themeColor="text1"/>
          <w:highlight w:val="none"/>
          <w14:textFill>
            <w14:solidFill>
              <w14:schemeClr w14:val="tx1"/>
            </w14:solidFill>
          </w14:textFill>
        </w:rPr>
        <w:t>引言</w:t>
      </w:r>
      <w:bookmarkEnd w:id="25"/>
      <w:bookmarkEnd w:id="26"/>
      <w:bookmarkEnd w:id="27"/>
    </w:p>
    <w:p w14:paraId="5944C5C9">
      <w:pPr>
        <w:pStyle w:val="228"/>
        <w:ind w:firstLine="420" w:firstLineChars="200"/>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输变电工程建设易扰动地表，破坏植被覆盖，引发水土流失，不仅影响工程自身安全稳定，还会破坏周边生态环境，加剧区域生态压力。</w:t>
      </w:r>
    </w:p>
    <w:p w14:paraId="050DA2D8">
      <w:pPr>
        <w:pStyle w:val="228"/>
        <w:ind w:firstLine="420" w:firstLineChars="200"/>
        <w:rPr>
          <w:color w:val="000000" w:themeColor="text1"/>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针对输变电工程建设特点，为规范输变电工程水土保持遥感监测工作，统一监测标准、明确技术要求，捕捉水土保持方案监测期水土流失动态变化，制定本文件。</w:t>
      </w:r>
    </w:p>
    <w:p w14:paraId="69D93A8A">
      <w:pPr>
        <w:pStyle w:val="230"/>
        <w:ind w:firstLine="420"/>
        <w:rPr>
          <w:color w:val="000000" w:themeColor="text1"/>
          <w:highlight w:val="none"/>
          <w14:textFill>
            <w14:solidFill>
              <w14:schemeClr w14:val="tx1"/>
            </w14:solidFill>
          </w14:textFill>
        </w:rPr>
      </w:pPr>
    </w:p>
    <w:p w14:paraId="75B6818E">
      <w:pPr>
        <w:pStyle w:val="230"/>
        <w:ind w:firstLine="420"/>
        <w:rPr>
          <w:color w:val="000000" w:themeColor="text1"/>
          <w:highlight w:val="none"/>
          <w14:textFill>
            <w14:solidFill>
              <w14:schemeClr w14:val="tx1"/>
            </w14:solidFill>
          </w14:textFill>
        </w:rPr>
        <w:sectPr>
          <w:footerReference r:id="rId14" w:type="default"/>
          <w:footerReference r:id="rId15" w:type="even"/>
          <w:pgSz w:w="11906" w:h="16838"/>
          <w:pgMar w:top="1701" w:right="1134" w:bottom="1134" w:left="1417" w:header="851" w:footer="850" w:gutter="0"/>
          <w:pgNumType w:fmt="upperRoman"/>
          <w:cols w:space="0" w:num="1"/>
          <w:docGrid w:type="lines" w:linePitch="318" w:charSpace="0"/>
        </w:sectPr>
      </w:pPr>
    </w:p>
    <w:bookmarkEnd w:id="24"/>
    <w:p w14:paraId="1FEA57D9">
      <w:pPr>
        <w:snapToGrid w:val="0"/>
        <w:jc w:val="center"/>
        <w:rPr>
          <w:rFonts w:eastAsia="黑体"/>
          <w:color w:val="000000" w:themeColor="text1"/>
          <w:highlight w:val="none"/>
          <w14:textFill>
            <w14:solidFill>
              <w14:schemeClr w14:val="tx1"/>
            </w14:solidFill>
          </w14:textFill>
        </w:rPr>
      </w:pPr>
      <w:r>
        <w:rPr>
          <w:rFonts w:hint="eastAsia" w:eastAsia="黑体"/>
          <w:bCs/>
          <w:color w:val="000000" w:themeColor="text1"/>
          <w:kern w:val="44"/>
          <w:sz w:val="32"/>
          <w:szCs w:val="28"/>
          <w:highlight w:val="none"/>
          <w14:textFill>
            <w14:solidFill>
              <w14:schemeClr w14:val="tx1"/>
            </w14:solidFill>
          </w14:textFill>
        </w:rPr>
        <w:t>输变电工程水土保持遥感监测技术规范</w:t>
      </w:r>
    </w:p>
    <w:p w14:paraId="7DCF2F22">
      <w:pPr>
        <w:pStyle w:val="231"/>
        <w:keepNext/>
        <w:keepLines/>
        <w:widowControl/>
        <w:snapToGrid w:val="0"/>
        <w:ind w:hanging="425"/>
        <w:rPr>
          <w:rFonts w:hint="default" w:ascii="Times New Roman" w:hAnsi="Times New Roman"/>
          <w:b w:val="0"/>
          <w:color w:val="000000" w:themeColor="text1"/>
          <w:sz w:val="21"/>
          <w:szCs w:val="18"/>
          <w:highlight w:val="none"/>
          <w14:textFill>
            <w14:solidFill>
              <w14:schemeClr w14:val="tx1"/>
            </w14:solidFill>
          </w14:textFill>
        </w:rPr>
      </w:pPr>
      <w:bookmarkStart w:id="28" w:name="_Toc232414119"/>
      <w:bookmarkStart w:id="29" w:name="_Toc8100"/>
      <w:bookmarkStart w:id="30" w:name="_Toc25709"/>
      <w:r>
        <w:rPr>
          <w:rFonts w:ascii="Times New Roman" w:hAnsi="Times New Roman"/>
          <w:b w:val="0"/>
          <w:color w:val="000000" w:themeColor="text1"/>
          <w:sz w:val="21"/>
          <w:szCs w:val="18"/>
          <w:highlight w:val="none"/>
          <w14:textFill>
            <w14:solidFill>
              <w14:schemeClr w14:val="tx1"/>
            </w14:solidFill>
          </w14:textFill>
        </w:rPr>
        <w:t>范围</w:t>
      </w:r>
      <w:bookmarkEnd w:id="28"/>
      <w:bookmarkEnd w:id="29"/>
      <w:bookmarkEnd w:id="30"/>
    </w:p>
    <w:p w14:paraId="3C2075F4">
      <w:pPr>
        <w:snapToGrid w:val="0"/>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本文件提出了输变电工程建设水土保持遥感监测的基本要求，规定了遥感监测准备和实施的工作内容和技术要求。</w:t>
      </w:r>
    </w:p>
    <w:p w14:paraId="15FED5F1">
      <w:pPr>
        <w:snapToGrid w:val="0"/>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本文件适用于110kV及以上输变电工程建设水土保持遥感监测工作，为工程水土保持监管、治理及验收提供技术支撑。</w:t>
      </w:r>
    </w:p>
    <w:p w14:paraId="10CC6F78">
      <w:pPr>
        <w:pStyle w:val="231"/>
        <w:keepNext/>
        <w:keepLines/>
        <w:widowControl/>
        <w:snapToGrid w:val="0"/>
        <w:ind w:hanging="425"/>
        <w:rPr>
          <w:rFonts w:hint="default" w:ascii="Times New Roman" w:hAnsi="Times New Roman"/>
          <w:b w:val="0"/>
          <w:color w:val="000000" w:themeColor="text1"/>
          <w:sz w:val="21"/>
          <w:szCs w:val="18"/>
          <w:highlight w:val="none"/>
          <w14:textFill>
            <w14:solidFill>
              <w14:schemeClr w14:val="tx1"/>
            </w14:solidFill>
          </w14:textFill>
        </w:rPr>
      </w:pPr>
      <w:bookmarkStart w:id="31" w:name="_Toc227146196"/>
      <w:bookmarkEnd w:id="31"/>
      <w:bookmarkStart w:id="32" w:name="_Toc232414120"/>
      <w:bookmarkStart w:id="33" w:name="_Toc3719"/>
      <w:r>
        <w:rPr>
          <w:rFonts w:ascii="Times New Roman" w:hAnsi="Times New Roman"/>
          <w:b w:val="0"/>
          <w:color w:val="000000" w:themeColor="text1"/>
          <w:sz w:val="21"/>
          <w:szCs w:val="18"/>
          <w:highlight w:val="none"/>
          <w14:textFill>
            <w14:solidFill>
              <w14:schemeClr w14:val="tx1"/>
            </w14:solidFill>
          </w14:textFill>
        </w:rPr>
        <w:t>规范性引用文件</w:t>
      </w:r>
      <w:bookmarkEnd w:id="32"/>
      <w:bookmarkEnd w:id="33"/>
    </w:p>
    <w:p w14:paraId="7348EC5E">
      <w:pPr>
        <w:pStyle w:val="228"/>
        <w:ind w:firstLine="420" w:firstLineChars="200"/>
        <w:jc w:val="both"/>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2461E83">
      <w:pPr>
        <w:pStyle w:val="228"/>
        <w:ind w:firstLine="420" w:firstLineChars="200"/>
        <w:rPr>
          <w:rFonts w:hint="default" w:ascii="Times New Roman" w:hAnsi="Times New Roman" w:eastAsia="宋体"/>
          <w:color w:val="000000" w:themeColor="text1"/>
          <w:kern w:val="2"/>
          <w:sz w:val="21"/>
          <w:szCs w:val="24"/>
          <w:lang w:val="en-US" w:eastAsia="zh-CN"/>
          <w14:textFill>
            <w14:solidFill>
              <w14:schemeClr w14:val="tx1"/>
            </w14:solidFill>
          </w14:textFill>
        </w:rPr>
      </w:pPr>
      <w:r>
        <w:rPr>
          <w:rFonts w:hint="default" w:ascii="Times New Roman" w:hAnsi="Times New Roman"/>
          <w:color w:val="000000" w:themeColor="text1"/>
          <w:kern w:val="2"/>
          <w:sz w:val="21"/>
          <w:szCs w:val="24"/>
          <w14:textFill>
            <w14:solidFill>
              <w14:schemeClr w14:val="tx1"/>
            </w14:solidFill>
          </w14:textFill>
        </w:rPr>
        <w:t>GB/T 14950</w:t>
      </w:r>
      <w:r>
        <w:rPr>
          <w:rFonts w:hint="eastAsia" w:ascii="Times New Roman" w:hAnsi="Times New Roman"/>
          <w:color w:val="000000" w:themeColor="text1"/>
          <w:kern w:val="2"/>
          <w:sz w:val="21"/>
          <w:szCs w:val="24"/>
          <w:lang w:val="en-US" w:eastAsia="zh-CN"/>
          <w14:textFill>
            <w14:solidFill>
              <w14:schemeClr w14:val="tx1"/>
            </w14:solidFill>
          </w14:textFill>
        </w:rPr>
        <w:t xml:space="preserve">  摄影测量与遥感术语</w:t>
      </w:r>
    </w:p>
    <w:p w14:paraId="7B8A6111">
      <w:pPr>
        <w:pStyle w:val="228"/>
        <w:ind w:firstLine="420" w:firstLineChars="200"/>
        <w:rPr>
          <w:rFonts w:hint="default" w:ascii="Times New Roman" w:hAnsi="Times New Roman"/>
          <w:color w:val="000000" w:themeColor="text1"/>
          <w:kern w:val="2"/>
          <w:sz w:val="21"/>
          <w:szCs w:val="24"/>
          <w14:textFill>
            <w14:solidFill>
              <w14:schemeClr w14:val="tx1"/>
            </w14:solidFill>
          </w14:textFill>
        </w:rPr>
      </w:pPr>
      <w:r>
        <w:rPr>
          <w:rFonts w:hint="default" w:ascii="Times New Roman" w:hAnsi="Times New Roman"/>
          <w:color w:val="000000" w:themeColor="text1"/>
          <w:kern w:val="2"/>
          <w:sz w:val="21"/>
          <w:szCs w:val="24"/>
          <w14:textFill>
            <w14:solidFill>
              <w14:schemeClr w14:val="tx1"/>
            </w14:solidFill>
          </w14:textFill>
        </w:rPr>
        <w:t>GB/T 20465</w:t>
      </w:r>
      <w:r>
        <w:rPr>
          <w:rFonts w:hint="eastAsia" w:ascii="Times New Roman" w:hAnsi="Times New Roman"/>
          <w:color w:val="000000" w:themeColor="text1"/>
          <w:kern w:val="2"/>
          <w:sz w:val="21"/>
          <w:szCs w:val="24"/>
          <w:lang w:val="en-US" w:eastAsia="zh-CN"/>
          <w14:textFill>
            <w14:solidFill>
              <w14:schemeClr w14:val="tx1"/>
            </w14:solidFill>
          </w14:textFill>
        </w:rPr>
        <w:t xml:space="preserve">  水土保持术语</w:t>
      </w:r>
    </w:p>
    <w:p w14:paraId="3C2429BC">
      <w:pPr>
        <w:pStyle w:val="228"/>
        <w:ind w:firstLine="420" w:firstLineChars="200"/>
        <w:rPr>
          <w:rFonts w:hint="default" w:ascii="Times New Roman" w:hAnsi="Times New Roman"/>
          <w:color w:val="000000" w:themeColor="text1"/>
          <w:kern w:val="2"/>
          <w:sz w:val="21"/>
          <w:szCs w:val="24"/>
          <w:highlight w:val="none"/>
          <w14:textFill>
            <w14:solidFill>
              <w14:schemeClr w14:val="tx1"/>
            </w14:solidFill>
          </w14:textFill>
        </w:rPr>
      </w:pPr>
      <w:r>
        <w:rPr>
          <w:rFonts w:hint="default" w:ascii="Times New Roman" w:hAnsi="Times New Roman"/>
          <w:color w:val="000000" w:themeColor="text1"/>
          <w:kern w:val="2"/>
          <w:sz w:val="21"/>
          <w:szCs w:val="24"/>
          <w:highlight w:val="none"/>
          <w14:textFill>
            <w14:solidFill>
              <w14:schemeClr w14:val="tx1"/>
            </w14:solidFill>
          </w14:textFill>
        </w:rPr>
        <w:t>SL</w:t>
      </w:r>
      <w:r>
        <w:rPr>
          <w:rFonts w:ascii="Times New Roman" w:hAnsi="Times New Roman"/>
          <w:color w:val="000000" w:themeColor="text1"/>
          <w:kern w:val="2"/>
          <w:sz w:val="21"/>
          <w:szCs w:val="24"/>
          <w:highlight w:val="none"/>
          <w14:textFill>
            <w14:solidFill>
              <w14:schemeClr w14:val="tx1"/>
            </w14:solidFill>
          </w14:textFill>
        </w:rPr>
        <w:t>/T</w:t>
      </w:r>
      <w:r>
        <w:rPr>
          <w:rFonts w:hint="default" w:ascii="Times New Roman" w:hAnsi="Times New Roman"/>
          <w:color w:val="000000" w:themeColor="text1"/>
          <w:kern w:val="2"/>
          <w:sz w:val="21"/>
          <w:szCs w:val="24"/>
          <w:highlight w:val="none"/>
          <w14:textFill>
            <w14:solidFill>
              <w14:schemeClr w14:val="tx1"/>
            </w14:solidFill>
          </w14:textFill>
        </w:rPr>
        <w:t xml:space="preserve"> </w:t>
      </w:r>
      <w:r>
        <w:rPr>
          <w:rFonts w:ascii="Times New Roman" w:hAnsi="Times New Roman"/>
          <w:color w:val="000000" w:themeColor="text1"/>
          <w:kern w:val="2"/>
          <w:sz w:val="21"/>
          <w:szCs w:val="24"/>
          <w:highlight w:val="none"/>
          <w14:textFill>
            <w14:solidFill>
              <w14:schemeClr w14:val="tx1"/>
            </w14:solidFill>
          </w14:textFill>
        </w:rPr>
        <w:t xml:space="preserve">227  </w:t>
      </w:r>
      <w:r>
        <w:rPr>
          <w:rFonts w:hint="default" w:ascii="Times New Roman" w:hAnsi="Times New Roman"/>
          <w:color w:val="000000" w:themeColor="text1"/>
          <w:kern w:val="2"/>
          <w:sz w:val="21"/>
          <w:szCs w:val="24"/>
          <w:highlight w:val="none"/>
          <w14:textFill>
            <w14:solidFill>
              <w14:schemeClr w14:val="tx1"/>
            </w14:solidFill>
          </w14:textFill>
        </w:rPr>
        <w:t>水土保持监测</w:t>
      </w:r>
      <w:r>
        <w:rPr>
          <w:rFonts w:ascii="Times New Roman" w:hAnsi="Times New Roman"/>
          <w:color w:val="000000" w:themeColor="text1"/>
          <w:kern w:val="2"/>
          <w:sz w:val="21"/>
          <w:szCs w:val="24"/>
          <w:highlight w:val="none"/>
          <w14:textFill>
            <w14:solidFill>
              <w14:schemeClr w14:val="tx1"/>
            </w14:solidFill>
          </w14:textFill>
        </w:rPr>
        <w:t>技术规范</w:t>
      </w:r>
    </w:p>
    <w:p w14:paraId="3AF4EF55">
      <w:pPr>
        <w:pStyle w:val="228"/>
        <w:ind w:firstLine="420" w:firstLineChars="200"/>
        <w:rPr>
          <w:rFonts w:ascii="Times New Roman" w:hAnsi="Times New Roman"/>
          <w:color w:val="000000" w:themeColor="text1"/>
          <w:kern w:val="2"/>
          <w:sz w:val="21"/>
          <w:szCs w:val="24"/>
          <w:highlight w:val="none"/>
          <w14:textFill>
            <w14:solidFill>
              <w14:schemeClr w14:val="tx1"/>
            </w14:solidFill>
          </w14:textFill>
        </w:rPr>
      </w:pPr>
      <w:r>
        <w:rPr>
          <w:rFonts w:hint="default" w:ascii="Times New Roman" w:hAnsi="Times New Roman"/>
          <w:color w:val="000000" w:themeColor="text1"/>
          <w:kern w:val="2"/>
          <w:sz w:val="21"/>
          <w:szCs w:val="24"/>
          <w:highlight w:val="none"/>
          <w14:textFill>
            <w14:solidFill>
              <w14:schemeClr w14:val="tx1"/>
            </w14:solidFill>
          </w14:textFill>
        </w:rPr>
        <w:t>DL/T 5138</w:t>
      </w:r>
      <w:r>
        <w:rPr>
          <w:rFonts w:ascii="Times New Roman" w:hAnsi="Times New Roman"/>
          <w:color w:val="000000" w:themeColor="text1"/>
          <w:kern w:val="2"/>
          <w:sz w:val="21"/>
          <w:szCs w:val="24"/>
          <w:highlight w:val="none"/>
          <w14:textFill>
            <w14:solidFill>
              <w14:schemeClr w14:val="tx1"/>
            </w14:solidFill>
          </w14:textFill>
        </w:rPr>
        <w:t xml:space="preserve">  电力工程数字摄影测量规程</w:t>
      </w:r>
    </w:p>
    <w:p w14:paraId="17155C4F">
      <w:pPr>
        <w:pStyle w:val="231"/>
        <w:keepNext/>
        <w:keepLines/>
        <w:widowControl/>
        <w:snapToGrid w:val="0"/>
        <w:ind w:hanging="425"/>
        <w:rPr>
          <w:rFonts w:hint="default" w:ascii="Times New Roman" w:hAnsi="Times New Roman"/>
          <w:b w:val="0"/>
          <w:color w:val="000000" w:themeColor="text1"/>
          <w:sz w:val="21"/>
          <w:szCs w:val="18"/>
          <w:highlight w:val="none"/>
          <w14:textFill>
            <w14:solidFill>
              <w14:schemeClr w14:val="tx1"/>
            </w14:solidFill>
          </w14:textFill>
        </w:rPr>
      </w:pPr>
      <w:bookmarkStart w:id="34" w:name="_Toc8555"/>
      <w:bookmarkStart w:id="35" w:name="_Toc232414122"/>
      <w:r>
        <w:rPr>
          <w:rFonts w:ascii="Times New Roman" w:hAnsi="Times New Roman"/>
          <w:b w:val="0"/>
          <w:color w:val="000000" w:themeColor="text1"/>
          <w:sz w:val="21"/>
          <w:szCs w:val="18"/>
          <w:highlight w:val="none"/>
          <w14:textFill>
            <w14:solidFill>
              <w14:schemeClr w14:val="tx1"/>
            </w14:solidFill>
          </w14:textFill>
        </w:rPr>
        <w:t>术语和定义</w:t>
      </w:r>
      <w:bookmarkEnd w:id="34"/>
      <w:bookmarkEnd w:id="35"/>
    </w:p>
    <w:p w14:paraId="4A8B6E2F">
      <w:pPr>
        <w:pStyle w:val="228"/>
        <w:ind w:firstLine="420" w:firstLineChars="200"/>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下列术语和定义适用于本文件。</w:t>
      </w:r>
    </w:p>
    <w:p w14:paraId="70CFEDC9">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36" w:name="_Toc232414123"/>
      <w:bookmarkEnd w:id="36"/>
      <w:bookmarkStart w:id="37" w:name="_Toc232414124"/>
      <w:bookmarkEnd w:id="37"/>
      <w:bookmarkStart w:id="38" w:name="_Toc29203"/>
      <w:bookmarkEnd w:id="38"/>
      <w:bookmarkStart w:id="39" w:name="_Toc230373496"/>
      <w:bookmarkEnd w:id="39"/>
    </w:p>
    <w:p w14:paraId="006B6086">
      <w:pPr>
        <w:pStyle w:val="232"/>
        <w:widowControl/>
        <w:numPr>
          <w:ilvl w:val="0"/>
          <w:numId w:val="0"/>
        </w:numPr>
        <w:snapToGrid w:val="0"/>
        <w:spacing w:line="240" w:lineRule="auto"/>
        <w:ind w:firstLine="420" w:firstLineChars="200"/>
        <w:jc w:val="both"/>
        <w:outlineLvl w:val="9"/>
        <w:rPr>
          <w:rFonts w:hint="eastAsia" w:cs="黑体"/>
          <w:highlight w:val="none"/>
        </w:rPr>
      </w:pPr>
      <w:r>
        <w:rPr>
          <w:rFonts w:hint="eastAsia" w:cs="黑体"/>
          <w:highlight w:val="none"/>
        </w:rPr>
        <w:t>遥感 remote sensing</w:t>
      </w:r>
    </w:p>
    <w:p w14:paraId="24E37801">
      <w:pPr>
        <w:pStyle w:val="228"/>
        <w:ind w:firstLine="420"/>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不接触物体本身，用传感器收集目标物的电磁波信息，经处理、分析后，识别目标物、揭示其几何、物理特征和相互关系及其变化规律的现代科学技术。</w:t>
      </w:r>
    </w:p>
    <w:p w14:paraId="4DFECCF6">
      <w:pPr>
        <w:pStyle w:val="228"/>
        <w:ind w:firstLine="420"/>
        <w:rPr>
          <w:rFonts w:hint="default" w:ascii="Times New Roman" w:hAnsi="Times New Roman"/>
          <w:color w:val="000000" w:themeColor="text1"/>
          <w:kern w:val="2"/>
          <w:sz w:val="21"/>
          <w:szCs w:val="24"/>
          <w:highlight w:val="none"/>
          <w14:textFill>
            <w14:solidFill>
              <w14:schemeClr w14:val="tx1"/>
            </w14:solidFill>
          </w14:textFill>
        </w:rPr>
      </w:pPr>
      <w:r>
        <w:rPr>
          <w:rFonts w:hint="default" w:ascii="Times New Roman" w:hAnsi="Times New Roman"/>
          <w:color w:val="000000" w:themeColor="text1"/>
          <w:kern w:val="2"/>
          <w:sz w:val="21"/>
          <w:szCs w:val="24"/>
          <w:highlight w:val="none"/>
          <w14:textFill>
            <w14:solidFill>
              <w14:schemeClr w14:val="tx1"/>
            </w14:solidFill>
          </w14:textFill>
        </w:rPr>
        <w:t>[来源：GB/T 14950</w:t>
      </w:r>
      <w:r>
        <w:rPr>
          <w:color w:val="000000" w:themeColor="text1"/>
          <w:kern w:val="2"/>
          <w:sz w:val="21"/>
          <w:szCs w:val="24"/>
          <w:highlight w:val="none"/>
          <w14:textFill>
            <w14:solidFill>
              <w14:schemeClr w14:val="tx1"/>
            </w14:solidFill>
          </w14:textFill>
        </w:rPr>
        <w:t>―</w:t>
      </w:r>
      <w:r>
        <w:rPr>
          <w:rFonts w:hint="default" w:ascii="Times New Roman" w:hAnsi="Times New Roman"/>
          <w:color w:val="000000" w:themeColor="text1"/>
          <w:kern w:val="2"/>
          <w:sz w:val="21"/>
          <w:szCs w:val="24"/>
          <w:highlight w:val="none"/>
          <w14:textFill>
            <w14:solidFill>
              <w14:schemeClr w14:val="tx1"/>
            </w14:solidFill>
          </w14:textFill>
        </w:rPr>
        <w:t>2009，3.1]</w:t>
      </w:r>
    </w:p>
    <w:p w14:paraId="0FF1ED43">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40" w:name="_Toc16188"/>
      <w:bookmarkEnd w:id="40"/>
      <w:bookmarkStart w:id="41" w:name="_Toc230373497"/>
      <w:bookmarkEnd w:id="41"/>
      <w:bookmarkStart w:id="42" w:name="_Toc232414125"/>
      <w:bookmarkEnd w:id="42"/>
    </w:p>
    <w:p w14:paraId="1F040012">
      <w:pPr>
        <w:pStyle w:val="232"/>
        <w:widowControl/>
        <w:numPr>
          <w:ilvl w:val="0"/>
          <w:numId w:val="0"/>
        </w:numPr>
        <w:snapToGrid w:val="0"/>
        <w:spacing w:line="240" w:lineRule="auto"/>
        <w:ind w:firstLine="420" w:firstLineChars="200"/>
        <w:jc w:val="both"/>
        <w:outlineLvl w:val="9"/>
        <w:rPr>
          <w:rFonts w:hint="eastAsia" w:cs="黑体"/>
          <w:highlight w:val="none"/>
        </w:rPr>
      </w:pPr>
      <w:r>
        <w:rPr>
          <w:rFonts w:hint="eastAsia" w:cs="黑体"/>
          <w:highlight w:val="none"/>
        </w:rPr>
        <w:t>空间分辨率 spatial resolution</w:t>
      </w:r>
    </w:p>
    <w:p w14:paraId="0448EE8F">
      <w:pPr>
        <w:pStyle w:val="228"/>
        <w:ind w:firstLine="420"/>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在扫描成像过程中一个光敏探测元件通过望远镜系统投射到地面上的直径或对应的视场角度。</w:t>
      </w:r>
    </w:p>
    <w:p w14:paraId="4C03BF10">
      <w:pPr>
        <w:pStyle w:val="228"/>
        <w:ind w:firstLine="420"/>
        <w:rPr>
          <w:rFonts w:hint="default" w:ascii="Calibri" w:hAnsi="Calibri"/>
          <w:color w:val="000000" w:themeColor="text1"/>
          <w:kern w:val="2"/>
          <w:sz w:val="21"/>
          <w:szCs w:val="24"/>
          <w:highlight w:val="none"/>
          <w14:textFill>
            <w14:solidFill>
              <w14:schemeClr w14:val="tx1"/>
            </w14:solidFill>
          </w14:textFill>
        </w:rPr>
      </w:pPr>
      <w:r>
        <w:rPr>
          <w:rFonts w:hint="default" w:ascii="Times New Roman" w:hAnsi="Times New Roman"/>
          <w:color w:val="000000" w:themeColor="text1"/>
          <w:kern w:val="2"/>
          <w:sz w:val="21"/>
          <w:szCs w:val="24"/>
          <w:highlight w:val="none"/>
          <w14:textFill>
            <w14:solidFill>
              <w14:schemeClr w14:val="tx1"/>
            </w14:solidFill>
          </w14:textFill>
        </w:rPr>
        <w:t>[来源：GB/T 14950</w:t>
      </w:r>
      <w:r>
        <w:rPr>
          <w:color w:val="000000" w:themeColor="text1"/>
          <w:kern w:val="2"/>
          <w:sz w:val="21"/>
          <w:szCs w:val="24"/>
          <w:highlight w:val="none"/>
          <w14:textFill>
            <w14:solidFill>
              <w14:schemeClr w14:val="tx1"/>
            </w14:solidFill>
          </w14:textFill>
        </w:rPr>
        <w:t>―</w:t>
      </w:r>
      <w:r>
        <w:rPr>
          <w:rFonts w:hint="default" w:ascii="Times New Roman" w:hAnsi="Times New Roman"/>
          <w:color w:val="000000" w:themeColor="text1"/>
          <w:kern w:val="2"/>
          <w:sz w:val="21"/>
          <w:szCs w:val="24"/>
          <w:highlight w:val="none"/>
          <w14:textFill>
            <w14:solidFill>
              <w14:schemeClr w14:val="tx1"/>
            </w14:solidFill>
          </w14:textFill>
        </w:rPr>
        <w:t>2009，</w:t>
      </w:r>
      <w:r>
        <w:rPr>
          <w:rFonts w:ascii="Times New Roman" w:hAnsi="Times New Roman"/>
          <w:color w:val="000000" w:themeColor="text1"/>
          <w:kern w:val="2"/>
          <w:sz w:val="21"/>
          <w:szCs w:val="24"/>
          <w:highlight w:val="none"/>
          <w14:textFill>
            <w14:solidFill>
              <w14:schemeClr w14:val="tx1"/>
            </w14:solidFill>
          </w14:textFill>
        </w:rPr>
        <w:t>4.104</w:t>
      </w:r>
      <w:r>
        <w:rPr>
          <w:rFonts w:hint="default" w:ascii="Times New Roman" w:hAnsi="Times New Roman"/>
          <w:color w:val="000000" w:themeColor="text1"/>
          <w:kern w:val="2"/>
          <w:sz w:val="21"/>
          <w:szCs w:val="24"/>
          <w:highlight w:val="none"/>
          <w14:textFill>
            <w14:solidFill>
              <w14:schemeClr w14:val="tx1"/>
            </w14:solidFill>
          </w14:textFill>
        </w:rPr>
        <w:t>]</w:t>
      </w:r>
    </w:p>
    <w:p w14:paraId="334498D0">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43" w:name="_Toc232414126"/>
      <w:bookmarkEnd w:id="43"/>
      <w:bookmarkStart w:id="44" w:name="_Toc22822"/>
      <w:bookmarkEnd w:id="44"/>
      <w:bookmarkStart w:id="45" w:name="_Toc230373498"/>
      <w:bookmarkEnd w:id="45"/>
    </w:p>
    <w:p w14:paraId="326E25F5">
      <w:pPr>
        <w:pStyle w:val="232"/>
        <w:widowControl/>
        <w:numPr>
          <w:ilvl w:val="0"/>
          <w:numId w:val="0"/>
        </w:numPr>
        <w:snapToGrid w:val="0"/>
        <w:spacing w:line="240" w:lineRule="auto"/>
        <w:ind w:firstLine="420" w:firstLineChars="200"/>
        <w:jc w:val="both"/>
        <w:outlineLvl w:val="9"/>
        <w:rPr>
          <w:rFonts w:hint="eastAsia" w:cs="黑体"/>
          <w:highlight w:val="none"/>
        </w:rPr>
      </w:pPr>
      <w:r>
        <w:rPr>
          <w:rFonts w:hint="eastAsia" w:cs="黑体"/>
          <w:highlight w:val="none"/>
        </w:rPr>
        <w:t>解译标志 interpretation key</w:t>
      </w:r>
    </w:p>
    <w:p w14:paraId="110221AE">
      <w:pPr>
        <w:pStyle w:val="228"/>
        <w:ind w:firstLine="420"/>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遥感影像解译时，判断目标物所依据的图像特征，也称判读标志。包括：目标物的形状、大小、阴影、色调(或色彩)、纹理、图案、位置、布局等。</w:t>
      </w:r>
    </w:p>
    <w:p w14:paraId="40E2F6D0">
      <w:pPr>
        <w:pStyle w:val="228"/>
        <w:ind w:firstLine="420"/>
        <w:rPr>
          <w:rFonts w:hint="default" w:ascii="Times New Roman" w:hAnsi="Times New Roman"/>
          <w:color w:val="000000" w:themeColor="text1"/>
          <w:kern w:val="2"/>
          <w:sz w:val="21"/>
          <w:szCs w:val="24"/>
          <w:highlight w:val="none"/>
          <w14:textFill>
            <w14:solidFill>
              <w14:schemeClr w14:val="tx1"/>
            </w14:solidFill>
          </w14:textFill>
        </w:rPr>
      </w:pPr>
      <w:r>
        <w:rPr>
          <w:rFonts w:hint="default" w:ascii="Times New Roman" w:hAnsi="Times New Roman"/>
          <w:color w:val="000000" w:themeColor="text1"/>
          <w:kern w:val="2"/>
          <w:sz w:val="21"/>
          <w:szCs w:val="24"/>
          <w:highlight w:val="none"/>
          <w14:textFill>
            <w14:solidFill>
              <w14:schemeClr w14:val="tx1"/>
            </w14:solidFill>
          </w14:textFill>
        </w:rPr>
        <w:t xml:space="preserve">[来源：SL </w:t>
      </w:r>
      <w:r>
        <w:rPr>
          <w:rFonts w:ascii="Times New Roman" w:hAnsi="Times New Roman"/>
          <w:color w:val="000000" w:themeColor="text1"/>
          <w:kern w:val="2"/>
          <w:sz w:val="21"/>
          <w:szCs w:val="24"/>
          <w:highlight w:val="none"/>
          <w14:textFill>
            <w14:solidFill>
              <w14:schemeClr w14:val="tx1"/>
            </w14:solidFill>
          </w14:textFill>
        </w:rPr>
        <w:t>227</w:t>
      </w:r>
      <w:r>
        <w:rPr>
          <w:color w:val="000000" w:themeColor="text1"/>
          <w:kern w:val="2"/>
          <w:sz w:val="21"/>
          <w:szCs w:val="24"/>
          <w:highlight w:val="none"/>
          <w14:textFill>
            <w14:solidFill>
              <w14:schemeClr w14:val="tx1"/>
            </w14:solidFill>
          </w14:textFill>
        </w:rPr>
        <w:t>―</w:t>
      </w:r>
      <w:r>
        <w:rPr>
          <w:rFonts w:hint="default" w:ascii="Times New Roman" w:hAnsi="Times New Roman"/>
          <w:color w:val="000000" w:themeColor="text1"/>
          <w:kern w:val="2"/>
          <w:sz w:val="21"/>
          <w:szCs w:val="24"/>
          <w:highlight w:val="none"/>
          <w14:textFill>
            <w14:solidFill>
              <w14:schemeClr w14:val="tx1"/>
            </w14:solidFill>
          </w14:textFill>
        </w:rPr>
        <w:t>20</w:t>
      </w:r>
      <w:r>
        <w:rPr>
          <w:rFonts w:ascii="Times New Roman" w:hAnsi="Times New Roman"/>
          <w:color w:val="000000" w:themeColor="text1"/>
          <w:kern w:val="2"/>
          <w:sz w:val="21"/>
          <w:szCs w:val="24"/>
          <w:highlight w:val="none"/>
          <w14:textFill>
            <w14:solidFill>
              <w14:schemeClr w14:val="tx1"/>
            </w14:solidFill>
          </w14:textFill>
        </w:rPr>
        <w:t>24</w:t>
      </w:r>
      <w:r>
        <w:rPr>
          <w:rFonts w:hint="default" w:ascii="Times New Roman" w:hAnsi="Times New Roman"/>
          <w:color w:val="000000" w:themeColor="text1"/>
          <w:kern w:val="2"/>
          <w:sz w:val="21"/>
          <w:szCs w:val="24"/>
          <w:highlight w:val="none"/>
          <w14:textFill>
            <w14:solidFill>
              <w14:schemeClr w14:val="tx1"/>
            </w14:solidFill>
          </w14:textFill>
        </w:rPr>
        <w:t>，2.0.</w:t>
      </w:r>
      <w:r>
        <w:rPr>
          <w:rFonts w:ascii="Times New Roman" w:hAnsi="Times New Roman"/>
          <w:color w:val="000000" w:themeColor="text1"/>
          <w:kern w:val="2"/>
          <w:sz w:val="21"/>
          <w:szCs w:val="24"/>
          <w:highlight w:val="none"/>
          <w14:textFill>
            <w14:solidFill>
              <w14:schemeClr w14:val="tx1"/>
            </w14:solidFill>
          </w14:textFill>
        </w:rPr>
        <w:t>19</w:t>
      </w:r>
      <w:r>
        <w:rPr>
          <w:rFonts w:hint="default" w:ascii="Times New Roman" w:hAnsi="Times New Roman"/>
          <w:color w:val="000000" w:themeColor="text1"/>
          <w:kern w:val="2"/>
          <w:sz w:val="21"/>
          <w:szCs w:val="24"/>
          <w:highlight w:val="none"/>
          <w14:textFill>
            <w14:solidFill>
              <w14:schemeClr w14:val="tx1"/>
            </w14:solidFill>
          </w14:textFill>
        </w:rPr>
        <w:t>]</w:t>
      </w:r>
    </w:p>
    <w:p w14:paraId="2EF59BF3">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46" w:name="_Toc20652"/>
      <w:bookmarkEnd w:id="46"/>
      <w:bookmarkStart w:id="47" w:name="_Toc230373499"/>
      <w:bookmarkEnd w:id="47"/>
      <w:bookmarkStart w:id="48" w:name="_Toc232414127"/>
      <w:bookmarkEnd w:id="48"/>
      <w:bookmarkStart w:id="49" w:name="_Toc230373502"/>
      <w:bookmarkEnd w:id="49"/>
      <w:bookmarkStart w:id="50" w:name="_Toc32250"/>
      <w:bookmarkEnd w:id="50"/>
    </w:p>
    <w:p w14:paraId="5063515A">
      <w:pPr>
        <w:pStyle w:val="232"/>
        <w:widowControl/>
        <w:numPr>
          <w:ilvl w:val="0"/>
          <w:numId w:val="0"/>
        </w:numPr>
        <w:snapToGrid w:val="0"/>
        <w:spacing w:line="240" w:lineRule="auto"/>
        <w:ind w:firstLine="420" w:firstLineChars="200"/>
        <w:jc w:val="both"/>
        <w:outlineLvl w:val="9"/>
        <w:rPr>
          <w:rFonts w:hint="eastAsia" w:cs="黑体"/>
          <w:highlight w:val="none"/>
        </w:rPr>
      </w:pPr>
      <w:r>
        <w:rPr>
          <w:rFonts w:hint="eastAsia" w:cs="黑体"/>
          <w:highlight w:val="none"/>
        </w:rPr>
        <w:t>水土流失 soil erosion and water loss</w:t>
      </w:r>
    </w:p>
    <w:p w14:paraId="37ADA775">
      <w:pPr>
        <w:pStyle w:val="228"/>
        <w:ind w:firstLine="420"/>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在水力、风力、重力及冻融等自然营力和人类活动作用下，水土资源和土地生产能力的破坏和损失，包括土地表层侵蚀及水的损失，是输变电工程施工期主要生态环境问题之一。</w:t>
      </w:r>
    </w:p>
    <w:p w14:paraId="7DAAFA99">
      <w:pPr>
        <w:pStyle w:val="228"/>
        <w:ind w:firstLine="420"/>
        <w:rPr>
          <w:rFonts w:hint="default" w:ascii="Times New Roman" w:hAnsi="Times New Roman"/>
          <w:color w:val="000000" w:themeColor="text1"/>
          <w:highlight w:val="none"/>
          <w14:textFill>
            <w14:solidFill>
              <w14:schemeClr w14:val="tx1"/>
            </w14:solidFill>
          </w14:textFill>
        </w:rPr>
      </w:pPr>
      <w:r>
        <w:rPr>
          <w:rFonts w:hint="default" w:ascii="Times New Roman" w:hAnsi="Times New Roman"/>
          <w:color w:val="000000" w:themeColor="text1"/>
          <w:kern w:val="2"/>
          <w:sz w:val="21"/>
          <w:szCs w:val="24"/>
          <w:highlight w:val="none"/>
          <w14:textFill>
            <w14:solidFill>
              <w14:schemeClr w14:val="tx1"/>
            </w14:solidFill>
          </w14:textFill>
        </w:rPr>
        <w:t>[来源：GB/T 20465</w:t>
      </w:r>
      <w:r>
        <w:rPr>
          <w:color w:val="000000" w:themeColor="text1"/>
          <w:kern w:val="2"/>
          <w:sz w:val="21"/>
          <w:szCs w:val="24"/>
          <w:highlight w:val="none"/>
          <w14:textFill>
            <w14:solidFill>
              <w14:schemeClr w14:val="tx1"/>
            </w14:solidFill>
          </w14:textFill>
        </w:rPr>
        <w:t>―</w:t>
      </w:r>
      <w:r>
        <w:rPr>
          <w:rFonts w:hint="default" w:ascii="Times New Roman" w:hAnsi="Times New Roman"/>
          <w:color w:val="000000" w:themeColor="text1"/>
          <w:kern w:val="2"/>
          <w:sz w:val="21"/>
          <w:szCs w:val="24"/>
          <w:highlight w:val="none"/>
          <w14:textFill>
            <w14:solidFill>
              <w14:schemeClr w14:val="tx1"/>
            </w14:solidFill>
          </w14:textFill>
        </w:rPr>
        <w:t>2006，2.1.1</w:t>
      </w:r>
      <w:r>
        <w:rPr>
          <w:highlight w:val="none"/>
        </w:rPr>
        <w:t>，</w:t>
      </w:r>
      <w:r>
        <w:rPr>
          <w:rFonts w:ascii="Times New Roman" w:hAnsi="Times New Roman"/>
          <w:color w:val="000000" w:themeColor="text1"/>
          <w:kern w:val="2"/>
          <w:sz w:val="21"/>
          <w:szCs w:val="24"/>
          <w:highlight w:val="none"/>
          <w14:textFill>
            <w14:solidFill>
              <w14:schemeClr w14:val="tx1"/>
            </w14:solidFill>
          </w14:textFill>
        </w:rPr>
        <w:t>有修改</w:t>
      </w:r>
      <w:r>
        <w:rPr>
          <w:rFonts w:hint="default" w:ascii="Times New Roman" w:hAnsi="Times New Roman"/>
          <w:color w:val="000000" w:themeColor="text1"/>
          <w:kern w:val="2"/>
          <w:sz w:val="21"/>
          <w:szCs w:val="24"/>
          <w:highlight w:val="none"/>
          <w14:textFill>
            <w14:solidFill>
              <w14:schemeClr w14:val="tx1"/>
            </w14:solidFill>
          </w14:textFill>
        </w:rPr>
        <w:t>]</w:t>
      </w:r>
    </w:p>
    <w:p w14:paraId="1E6241BB">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51" w:name="_Toc232414128"/>
      <w:bookmarkEnd w:id="51"/>
      <w:bookmarkStart w:id="52" w:name="_Toc20319"/>
      <w:bookmarkEnd w:id="52"/>
      <w:bookmarkStart w:id="53" w:name="_Toc230373503"/>
      <w:bookmarkEnd w:id="53"/>
    </w:p>
    <w:p w14:paraId="50F71225">
      <w:pPr>
        <w:pStyle w:val="232"/>
        <w:widowControl/>
        <w:numPr>
          <w:ilvl w:val="0"/>
          <w:numId w:val="0"/>
        </w:numPr>
        <w:snapToGrid w:val="0"/>
        <w:spacing w:line="240" w:lineRule="auto"/>
        <w:ind w:firstLine="420" w:firstLineChars="200"/>
        <w:jc w:val="both"/>
        <w:outlineLvl w:val="9"/>
        <w:rPr>
          <w:rFonts w:hint="eastAsia" w:cs="黑体"/>
          <w:highlight w:val="none"/>
        </w:rPr>
      </w:pPr>
      <w:r>
        <w:rPr>
          <w:rFonts w:hint="eastAsia" w:cs="黑体"/>
          <w:highlight w:val="none"/>
        </w:rPr>
        <w:t>水土保持 soil and water conservation</w:t>
      </w:r>
    </w:p>
    <w:p w14:paraId="2CBE0870">
      <w:pPr>
        <w:pStyle w:val="228"/>
        <w:ind w:firstLine="420"/>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防治水土流失，保护、改良与合理利用水土资源，维护和提高土地生产力，减轻洪水、干旱和风沙灾害。</w:t>
      </w:r>
    </w:p>
    <w:p w14:paraId="1938BC0C">
      <w:pPr>
        <w:pStyle w:val="228"/>
        <w:snapToGrid w:val="0"/>
        <w:ind w:firstLine="420"/>
        <w:rPr>
          <w:strike/>
          <w:highlight w:val="none"/>
        </w:rPr>
      </w:pPr>
      <w:r>
        <w:rPr>
          <w:rFonts w:hint="default" w:ascii="Times New Roman" w:hAnsi="Times New Roman"/>
          <w:color w:val="000000" w:themeColor="text1"/>
          <w:kern w:val="2"/>
          <w:sz w:val="21"/>
          <w:szCs w:val="24"/>
          <w:highlight w:val="none"/>
          <w14:textFill>
            <w14:solidFill>
              <w14:schemeClr w14:val="tx1"/>
            </w14:solidFill>
          </w14:textFill>
        </w:rPr>
        <w:t>[来源：GB/T 20465</w:t>
      </w:r>
      <w:r>
        <w:rPr>
          <w:color w:val="000000" w:themeColor="text1"/>
          <w:kern w:val="2"/>
          <w:sz w:val="21"/>
          <w:szCs w:val="24"/>
          <w:highlight w:val="none"/>
          <w14:textFill>
            <w14:solidFill>
              <w14:schemeClr w14:val="tx1"/>
            </w14:solidFill>
          </w14:textFill>
        </w:rPr>
        <w:t>―</w:t>
      </w:r>
      <w:r>
        <w:rPr>
          <w:rFonts w:hint="default" w:ascii="Times New Roman" w:hAnsi="Times New Roman"/>
          <w:color w:val="000000" w:themeColor="text1"/>
          <w:kern w:val="2"/>
          <w:sz w:val="21"/>
          <w:szCs w:val="24"/>
          <w:highlight w:val="none"/>
          <w14:textFill>
            <w14:solidFill>
              <w14:schemeClr w14:val="tx1"/>
            </w14:solidFill>
          </w14:textFill>
        </w:rPr>
        <w:t>2006，2.1.</w:t>
      </w:r>
      <w:r>
        <w:rPr>
          <w:rFonts w:ascii="Times New Roman" w:hAnsi="Times New Roman"/>
          <w:color w:val="000000" w:themeColor="text1"/>
          <w:kern w:val="2"/>
          <w:sz w:val="21"/>
          <w:szCs w:val="24"/>
          <w:highlight w:val="none"/>
          <w14:textFill>
            <w14:solidFill>
              <w14:schemeClr w14:val="tx1"/>
            </w14:solidFill>
          </w14:textFill>
        </w:rPr>
        <w:t>9</w:t>
      </w:r>
      <w:r>
        <w:rPr>
          <w:highlight w:val="none"/>
        </w:rPr>
        <w:t>，</w:t>
      </w:r>
      <w:r>
        <w:rPr>
          <w:rFonts w:ascii="Times New Roman" w:hAnsi="Times New Roman"/>
          <w:color w:val="000000" w:themeColor="text1"/>
          <w:kern w:val="2"/>
          <w:sz w:val="21"/>
          <w:szCs w:val="24"/>
          <w:highlight w:val="none"/>
          <w14:textFill>
            <w14:solidFill>
              <w14:schemeClr w14:val="tx1"/>
            </w14:solidFill>
          </w14:textFill>
        </w:rPr>
        <w:t>有修改</w:t>
      </w:r>
      <w:r>
        <w:rPr>
          <w:rFonts w:hint="default" w:ascii="Times New Roman" w:hAnsi="Times New Roman"/>
          <w:color w:val="000000" w:themeColor="text1"/>
          <w:kern w:val="2"/>
          <w:sz w:val="21"/>
          <w:szCs w:val="24"/>
          <w:highlight w:val="none"/>
          <w14:textFill>
            <w14:solidFill>
              <w14:schemeClr w14:val="tx1"/>
            </w14:solidFill>
          </w14:textFill>
        </w:rPr>
        <w:t>]</w:t>
      </w:r>
    </w:p>
    <w:p w14:paraId="6BA5342B">
      <w:pPr>
        <w:pStyle w:val="231"/>
        <w:keepNext/>
        <w:keepLines/>
        <w:widowControl/>
        <w:snapToGrid w:val="0"/>
        <w:ind w:hanging="425"/>
        <w:rPr>
          <w:rFonts w:hint="default" w:ascii="Times New Roman" w:hAnsi="Times New Roman"/>
          <w:b w:val="0"/>
          <w:color w:val="000000" w:themeColor="text1"/>
          <w:sz w:val="21"/>
          <w:szCs w:val="18"/>
          <w:highlight w:val="none"/>
          <w14:textFill>
            <w14:solidFill>
              <w14:schemeClr w14:val="tx1"/>
            </w14:solidFill>
          </w14:textFill>
        </w:rPr>
      </w:pPr>
      <w:bookmarkStart w:id="54" w:name="_Toc232414129"/>
      <w:bookmarkEnd w:id="54"/>
      <w:bookmarkStart w:id="55" w:name="_Toc4934"/>
      <w:bookmarkEnd w:id="55"/>
      <w:bookmarkStart w:id="56" w:name="_Toc230373512"/>
      <w:bookmarkEnd w:id="56"/>
      <w:bookmarkStart w:id="57" w:name="_Toc232414132"/>
      <w:bookmarkEnd w:id="57"/>
      <w:bookmarkStart w:id="58" w:name="_Toc232414133"/>
      <w:bookmarkStart w:id="59" w:name="_Toc6619"/>
      <w:r>
        <w:rPr>
          <w:rFonts w:ascii="Times New Roman" w:hAnsi="Times New Roman"/>
          <w:b w:val="0"/>
          <w:color w:val="000000" w:themeColor="text1"/>
          <w:sz w:val="21"/>
          <w:szCs w:val="18"/>
          <w:highlight w:val="none"/>
          <w14:textFill>
            <w14:solidFill>
              <w14:schemeClr w14:val="tx1"/>
            </w14:solidFill>
          </w14:textFill>
        </w:rPr>
        <w:t>基本规定</w:t>
      </w:r>
      <w:bookmarkEnd w:id="58"/>
      <w:bookmarkEnd w:id="59"/>
    </w:p>
    <w:p w14:paraId="7ED24D0F">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60" w:name="_Toc232414134"/>
      <w:r>
        <w:rPr>
          <w:rFonts w:hint="eastAsia" w:cs="黑体"/>
          <w:color w:val="000000" w:themeColor="text1"/>
          <w:highlight w:val="none"/>
          <w14:textFill>
            <w14:solidFill>
              <w14:schemeClr w14:val="tx1"/>
            </w14:solidFill>
          </w14:textFill>
        </w:rPr>
        <w:t>遥感监测工作程序</w:t>
      </w:r>
      <w:bookmarkEnd w:id="60"/>
    </w:p>
    <w:p w14:paraId="267ABF1A">
      <w:pPr>
        <w:pStyle w:val="228"/>
        <w:ind w:firstLine="420"/>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水土保持遥感监测工作宜按遥感监测方案编制、遥感影像采集与预处理、解译标志建立、监测解译、分析评价和成果资料管理的程序进行。</w:t>
      </w:r>
    </w:p>
    <w:p w14:paraId="78302D8E">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61" w:name="_Toc232414139"/>
      <w:r>
        <w:rPr>
          <w:rFonts w:hint="eastAsia" w:cs="黑体"/>
          <w:color w:val="000000" w:themeColor="text1"/>
          <w:highlight w:val="none"/>
          <w14:textFill>
            <w14:solidFill>
              <w14:schemeClr w14:val="tx1"/>
            </w14:solidFill>
          </w14:textFill>
        </w:rPr>
        <w:t>遥感监测范围</w:t>
      </w:r>
      <w:bookmarkEnd w:id="61"/>
    </w:p>
    <w:p w14:paraId="3F4FB577">
      <w:pPr>
        <w:widowControl/>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遥感监测应覆盖输变电工程施工全</w:t>
      </w:r>
      <w:r>
        <w:rPr>
          <w:rFonts w:hint="eastAsia"/>
          <w:highlight w:val="none"/>
        </w:rPr>
        <w:t>域</w:t>
      </w:r>
      <w:r>
        <w:rPr>
          <w:rFonts w:hint="eastAsia"/>
          <w:color w:val="000000" w:themeColor="text1"/>
          <w:highlight w:val="none"/>
          <w14:textFill>
            <w14:solidFill>
              <w14:schemeClr w14:val="tx1"/>
            </w14:solidFill>
          </w14:textFill>
        </w:rPr>
        <w:t>，重点关注易引发水土流失区域。</w:t>
      </w:r>
    </w:p>
    <w:p w14:paraId="08FA2CEE">
      <w:pPr>
        <w:pStyle w:val="232"/>
        <w:widowControl/>
        <w:snapToGrid w:val="0"/>
        <w:spacing w:line="240" w:lineRule="auto"/>
        <w:jc w:val="both"/>
        <w:rPr>
          <w:rFonts w:cs="黑体"/>
          <w:color w:val="000000" w:themeColor="text1"/>
          <w:highlight w:val="none"/>
          <w14:textFill>
            <w14:solidFill>
              <w14:schemeClr w14:val="tx1"/>
            </w14:solidFill>
          </w14:textFill>
        </w:rPr>
      </w:pPr>
      <w:bookmarkStart w:id="62" w:name="_Toc232414140"/>
      <w:r>
        <w:rPr>
          <w:rFonts w:hint="eastAsia" w:cs="黑体"/>
          <w:color w:val="000000" w:themeColor="text1"/>
          <w:highlight w:val="none"/>
          <w14:textFill>
            <w14:solidFill>
              <w14:schemeClr w14:val="tx1"/>
            </w14:solidFill>
          </w14:textFill>
        </w:rPr>
        <w:t>遥感监测周期</w:t>
      </w:r>
      <w:bookmarkEnd w:id="62"/>
    </w:p>
    <w:p w14:paraId="5DC98348">
      <w:pPr>
        <w:widowControl/>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遥感监测一般按月、季、年等周期开展。</w:t>
      </w:r>
    </w:p>
    <w:p w14:paraId="73663022">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63" w:name="_Toc232414141"/>
      <w:r>
        <w:rPr>
          <w:rFonts w:hint="eastAsia" w:cs="黑体"/>
          <w:color w:val="000000" w:themeColor="text1"/>
          <w:highlight w:val="none"/>
          <w14:textFill>
            <w14:solidFill>
              <w14:schemeClr w14:val="tx1"/>
            </w14:solidFill>
          </w14:textFill>
        </w:rPr>
        <w:t>遥感数据质量要求</w:t>
      </w:r>
      <w:bookmarkEnd w:id="63"/>
    </w:p>
    <w:p w14:paraId="298D3BAF">
      <w:pPr>
        <w:widowControl/>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遥感监测数据应按监测范围、周期进行采集，精度应符合国家及行业标准相关要求。</w:t>
      </w:r>
    </w:p>
    <w:p w14:paraId="508A1696">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64" w:name="_Toc232414142"/>
      <w:r>
        <w:rPr>
          <w:rFonts w:hint="eastAsia" w:cs="黑体"/>
          <w:color w:val="000000" w:themeColor="text1"/>
          <w:highlight w:val="none"/>
          <w14:textFill>
            <w14:solidFill>
              <w14:schemeClr w14:val="tx1"/>
            </w14:solidFill>
          </w14:textFill>
        </w:rPr>
        <w:t>遥感监测成果要求</w:t>
      </w:r>
      <w:bookmarkEnd w:id="64"/>
    </w:p>
    <w:p w14:paraId="3D444F3E">
      <w:pPr>
        <w:widowControl/>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遥感监测成果应包含报告、图件等，确保成果齐全完整、准确可靠。</w:t>
      </w:r>
    </w:p>
    <w:p w14:paraId="16C6AD0B">
      <w:pPr>
        <w:pStyle w:val="231"/>
        <w:keepNext/>
        <w:keepLines/>
        <w:widowControl/>
        <w:snapToGrid w:val="0"/>
        <w:ind w:hanging="425"/>
        <w:rPr>
          <w:rFonts w:hint="default" w:ascii="Times New Roman" w:hAnsi="Times New Roman"/>
          <w:b w:val="0"/>
          <w:color w:val="000000" w:themeColor="text1"/>
          <w:sz w:val="21"/>
          <w:szCs w:val="18"/>
          <w:highlight w:val="none"/>
          <w14:textFill>
            <w14:solidFill>
              <w14:schemeClr w14:val="tx1"/>
            </w14:solidFill>
          </w14:textFill>
        </w:rPr>
      </w:pPr>
      <w:bookmarkStart w:id="65" w:name="_Toc32158"/>
      <w:bookmarkStart w:id="66" w:name="_Toc232414143"/>
      <w:r>
        <w:rPr>
          <w:rFonts w:ascii="Times New Roman" w:hAnsi="Times New Roman"/>
          <w:b w:val="0"/>
          <w:color w:val="000000" w:themeColor="text1"/>
          <w:sz w:val="21"/>
          <w:szCs w:val="18"/>
          <w:highlight w:val="none"/>
          <w14:textFill>
            <w14:solidFill>
              <w14:schemeClr w14:val="tx1"/>
            </w14:solidFill>
          </w14:textFill>
        </w:rPr>
        <w:t>遥感监测准备</w:t>
      </w:r>
      <w:bookmarkEnd w:id="65"/>
      <w:bookmarkEnd w:id="66"/>
    </w:p>
    <w:p w14:paraId="115F66B6">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67" w:name="_Toc232414144"/>
      <w:r>
        <w:rPr>
          <w:rFonts w:hint="eastAsia" w:cs="黑体"/>
          <w:color w:val="000000" w:themeColor="text1"/>
          <w:highlight w:val="none"/>
          <w14:textFill>
            <w14:solidFill>
              <w14:schemeClr w14:val="tx1"/>
            </w14:solidFill>
          </w14:textFill>
        </w:rPr>
        <w:t>工程资料收集</w:t>
      </w:r>
      <w:bookmarkEnd w:id="67"/>
    </w:p>
    <w:p w14:paraId="7EB56FA4">
      <w:pPr>
        <w:pStyle w:val="228"/>
        <w:ind w:firstLine="420" w:firstLineChars="200"/>
        <w:rPr>
          <w:rFonts w:hint="default" w:ascii="Calibri" w:hAnsi="Calibri"/>
          <w:color w:val="000000" w:themeColor="text1"/>
          <w:kern w:val="2"/>
          <w:sz w:val="21"/>
          <w:szCs w:val="24"/>
          <w:highlight w:val="none"/>
          <w14:textFill>
            <w14:solidFill>
              <w14:schemeClr w14:val="tx1"/>
            </w14:solidFill>
          </w14:textFill>
        </w:rPr>
      </w:pPr>
      <w:r>
        <w:rPr>
          <w:rFonts w:ascii="Calibri" w:hAnsi="Calibri"/>
          <w:color w:val="000000" w:themeColor="text1"/>
          <w:kern w:val="2"/>
          <w:sz w:val="21"/>
          <w:szCs w:val="24"/>
          <w:highlight w:val="none"/>
          <w14:textFill>
            <w14:solidFill>
              <w14:schemeClr w14:val="tx1"/>
            </w14:solidFill>
          </w14:textFill>
        </w:rPr>
        <w:t>遥感监测前期宜收集并核查以下工程资料：</w:t>
      </w:r>
    </w:p>
    <w:p w14:paraId="78CDE23B">
      <w:pPr>
        <w:widowControl/>
        <w:numPr>
          <w:ilvl w:val="0"/>
          <w:numId w:val="33"/>
        </w:numPr>
        <w:ind w:firstLine="420"/>
        <w:jc w:val="left"/>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工程沿线自然概况</w:t>
      </w:r>
      <w:r>
        <w:rPr>
          <w:rFonts w:hint="default" w:ascii="Times New Roman" w:hAnsi="Times New Roman"/>
          <w:color w:val="000000" w:themeColor="text1"/>
          <w:highlight w:val="none"/>
          <w14:textFill>
            <w14:solidFill>
              <w14:schemeClr w14:val="tx1"/>
            </w14:solidFill>
          </w14:textFill>
        </w:rPr>
        <w:t>，包括</w:t>
      </w:r>
      <w:r>
        <w:rPr>
          <w:rFonts w:ascii="Times New Roman" w:hAnsi="Times New Roman"/>
          <w:color w:val="000000" w:themeColor="text1"/>
          <w:highlight w:val="none"/>
          <w14:textFill>
            <w14:solidFill>
              <w14:schemeClr w14:val="tx1"/>
            </w14:solidFill>
          </w14:textFill>
        </w:rPr>
        <w:t>地形地貌、气象、水文、土壤、植被等</w:t>
      </w:r>
      <w:r>
        <w:rPr>
          <w:rFonts w:hint="default" w:ascii="Times New Roman" w:hAnsi="Times New Roman"/>
          <w:color w:val="000000" w:themeColor="text1"/>
          <w:highlight w:val="none"/>
          <w14:textFill>
            <w14:solidFill>
              <w14:schemeClr w14:val="tx1"/>
            </w14:solidFill>
          </w14:textFill>
        </w:rPr>
        <w:t>；</w:t>
      </w:r>
    </w:p>
    <w:p w14:paraId="7609F191">
      <w:pPr>
        <w:widowControl/>
        <w:numPr>
          <w:ilvl w:val="0"/>
          <w:numId w:val="33"/>
        </w:numPr>
        <w:ind w:firstLine="420"/>
        <w:jc w:val="left"/>
        <w:rPr>
          <w:rFonts w:ascii="Times New Roman" w:hAnsi="Times New Roman"/>
          <w:color w:val="000000" w:themeColor="text1"/>
          <w:highlight w:val="none"/>
          <w14:textFill>
            <w14:solidFill>
              <w14:schemeClr w14:val="tx1"/>
            </w14:solidFill>
          </w14:textFill>
        </w:rPr>
      </w:pPr>
      <w:r>
        <w:rPr>
          <w:rFonts w:hint="default" w:ascii="Times New Roman" w:hAnsi="Times New Roman"/>
          <w:color w:val="000000" w:themeColor="text1"/>
          <w:highlight w:val="none"/>
          <w14:textFill>
            <w14:solidFill>
              <w14:schemeClr w14:val="tx1"/>
            </w14:solidFill>
          </w14:textFill>
        </w:rPr>
        <w:t>工程</w:t>
      </w:r>
      <w:r>
        <w:rPr>
          <w:rFonts w:ascii="Times New Roman" w:hAnsi="Times New Roman"/>
          <w:color w:val="000000" w:themeColor="text1"/>
          <w:highlight w:val="none"/>
          <w14:textFill>
            <w14:solidFill>
              <w14:schemeClr w14:val="tx1"/>
            </w14:solidFill>
          </w14:textFill>
        </w:rPr>
        <w:t>水土保持方案</w:t>
      </w:r>
      <w:r>
        <w:rPr>
          <w:rFonts w:hint="default" w:ascii="Times New Roman" w:hAnsi="Times New Roman"/>
          <w:color w:val="000000" w:themeColor="text1"/>
          <w:highlight w:val="none"/>
          <w14:textFill>
            <w14:solidFill>
              <w14:schemeClr w14:val="tx1"/>
            </w14:solidFill>
          </w14:textFill>
        </w:rPr>
        <w:t>及批复文件；</w:t>
      </w:r>
    </w:p>
    <w:p w14:paraId="4E06EE64">
      <w:pPr>
        <w:widowControl/>
        <w:numPr>
          <w:ilvl w:val="0"/>
          <w:numId w:val="33"/>
        </w:numPr>
        <w:ind w:left="0" w:firstLine="420"/>
        <w:jc w:val="left"/>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工程</w:t>
      </w:r>
      <w:r>
        <w:rPr>
          <w:rFonts w:hint="default" w:ascii="Times New Roman" w:hAnsi="Times New Roman"/>
          <w:color w:val="000000" w:themeColor="text1"/>
          <w:highlight w:val="none"/>
          <w14:textFill>
            <w14:solidFill>
              <w14:schemeClr w14:val="tx1"/>
            </w14:solidFill>
          </w14:textFill>
        </w:rPr>
        <w:t>设计文件；</w:t>
      </w:r>
    </w:p>
    <w:p w14:paraId="66ADE8EE">
      <w:pPr>
        <w:widowControl/>
        <w:numPr>
          <w:ilvl w:val="0"/>
          <w:numId w:val="33"/>
        </w:numPr>
        <w:ind w:firstLine="420" w:firstLineChars="0"/>
        <w:jc w:val="left"/>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工程施工</w:t>
      </w:r>
      <w:r>
        <w:rPr>
          <w:rFonts w:hint="default" w:ascii="Times New Roman" w:hAnsi="Times New Roman"/>
          <w:color w:val="000000" w:themeColor="text1"/>
          <w:highlight w:val="none"/>
          <w14:textFill>
            <w14:solidFill>
              <w14:schemeClr w14:val="tx1"/>
            </w14:solidFill>
          </w14:textFill>
        </w:rPr>
        <w:t>方案。</w:t>
      </w:r>
    </w:p>
    <w:p w14:paraId="7F72CFE7">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68" w:name="_Toc230373532"/>
      <w:bookmarkEnd w:id="68"/>
      <w:bookmarkStart w:id="69" w:name="_Toc232414145"/>
      <w:bookmarkEnd w:id="69"/>
      <w:bookmarkStart w:id="70" w:name="_Toc232414155"/>
      <w:r>
        <w:rPr>
          <w:rFonts w:hint="eastAsia" w:cs="黑体"/>
          <w:color w:val="000000" w:themeColor="text1"/>
          <w:highlight w:val="none"/>
          <w14:textFill>
            <w14:solidFill>
              <w14:schemeClr w14:val="tx1"/>
            </w14:solidFill>
          </w14:textFill>
        </w:rPr>
        <w:t>遥感监测方案编制</w:t>
      </w:r>
      <w:bookmarkEnd w:id="70"/>
    </w:p>
    <w:p w14:paraId="1889ABFC">
      <w:pPr>
        <w:widowControl/>
        <w:ind w:firstLine="0" w:firstLineChars="0"/>
        <w:jc w:val="both"/>
        <w:rPr>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5.2.1</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监测方案应根据工程规模、施工进度、区域自然环境特点</w:t>
      </w:r>
      <w:r>
        <w:rPr>
          <w:rFonts w:hint="eastAsia"/>
          <w:lang w:val="en-US" w:eastAsia="zh-CN"/>
        </w:rPr>
        <w:t>等</w:t>
      </w:r>
      <w:r>
        <w:rPr>
          <w:color w:val="000000" w:themeColor="text1"/>
          <w:highlight w:val="none"/>
          <w14:textFill>
            <w14:solidFill>
              <w14:schemeClr w14:val="tx1"/>
            </w14:solidFill>
          </w14:textFill>
        </w:rPr>
        <w:t>编制</w:t>
      </w:r>
      <w:r>
        <w:rPr>
          <w:rFonts w:hint="eastAsia"/>
          <w:color w:val="000000" w:themeColor="text1"/>
          <w:highlight w:val="none"/>
          <w14:textFill>
            <w14:solidFill>
              <w14:schemeClr w14:val="tx1"/>
            </w14:solidFill>
          </w14:textFill>
        </w:rPr>
        <w:t>，确保方案针对性和可操作性。</w:t>
      </w:r>
    </w:p>
    <w:p w14:paraId="67152A54">
      <w:pPr>
        <w:widowControl/>
        <w:ind w:firstLine="0" w:firstLineChars="0"/>
        <w:jc w:val="both"/>
        <w:rPr>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5.2.2</w:t>
      </w:r>
      <w:r>
        <w:rPr>
          <w:rFonts w:hint="eastAsia"/>
          <w:color w:val="000000" w:themeColor="text1"/>
          <w:highlight w:val="none"/>
          <w14:textFill>
            <w14:solidFill>
              <w14:schemeClr w14:val="tx1"/>
            </w14:solidFill>
          </w14:textFill>
        </w:rPr>
        <w:t xml:space="preserve"> 监测方案主要内容应包括工程概况、监测内容和要求、监测</w:t>
      </w:r>
      <w:r>
        <w:rPr>
          <w:color w:val="000000" w:themeColor="text1"/>
          <w:highlight w:val="none"/>
          <w14:textFill>
            <w14:solidFill>
              <w14:schemeClr w14:val="tx1"/>
            </w14:solidFill>
          </w14:textFill>
        </w:rPr>
        <w:t>频次</w:t>
      </w:r>
      <w:r>
        <w:rPr>
          <w:rFonts w:hint="eastAsia"/>
          <w:color w:val="000000" w:themeColor="text1"/>
          <w:highlight w:val="none"/>
          <w14:textFill>
            <w14:solidFill>
              <w14:schemeClr w14:val="tx1"/>
            </w14:solidFill>
          </w14:textFill>
        </w:rPr>
        <w:t>和</w:t>
      </w:r>
      <w:r>
        <w:rPr>
          <w:color w:val="000000" w:themeColor="text1"/>
          <w:highlight w:val="none"/>
          <w14:textFill>
            <w14:solidFill>
              <w14:schemeClr w14:val="tx1"/>
            </w14:solidFill>
          </w14:textFill>
        </w:rPr>
        <w:t>精度</w:t>
      </w:r>
      <w:r>
        <w:rPr>
          <w:rFonts w:hint="eastAsia"/>
          <w:color w:val="000000" w:themeColor="text1"/>
          <w:highlight w:val="none"/>
          <w14:textFill>
            <w14:solidFill>
              <w14:schemeClr w14:val="tx1"/>
            </w14:solidFill>
          </w14:textFill>
        </w:rPr>
        <w:t>、监测成果</w:t>
      </w:r>
      <w:r>
        <w:rPr>
          <w:rFonts w:hint="eastAsia"/>
          <w:lang w:val="en-US" w:eastAsia="zh-CN"/>
        </w:rPr>
        <w:t>等</w:t>
      </w:r>
      <w:r>
        <w:rPr>
          <w:rFonts w:hint="eastAsia"/>
          <w:color w:val="000000" w:themeColor="text1"/>
          <w:highlight w:val="none"/>
          <w14:textFill>
            <w14:solidFill>
              <w14:schemeClr w14:val="tx1"/>
            </w14:solidFill>
          </w14:textFill>
        </w:rPr>
        <w:t>。</w:t>
      </w:r>
    </w:p>
    <w:p w14:paraId="15711D57">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71" w:name="_Toc232414157"/>
      <w:r>
        <w:rPr>
          <w:rFonts w:hint="eastAsia" w:cs="黑体"/>
          <w:color w:val="000000" w:themeColor="text1"/>
          <w:highlight w:val="none"/>
          <w14:textFill>
            <w14:solidFill>
              <w14:schemeClr w14:val="tx1"/>
            </w14:solidFill>
          </w14:textFill>
        </w:rPr>
        <w:t>遥感数据采集</w:t>
      </w:r>
      <w:bookmarkEnd w:id="71"/>
    </w:p>
    <w:p w14:paraId="29C1871C">
      <w:pPr>
        <w:widowControl/>
        <w:jc w:val="both"/>
        <w:rPr>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5.3.1 </w:t>
      </w:r>
      <w:r>
        <w:rPr>
          <w:rFonts w:hint="eastAsia"/>
          <w:color w:val="000000" w:themeColor="text1"/>
          <w:highlight w:val="none"/>
          <w14:textFill>
            <w14:solidFill>
              <w14:schemeClr w14:val="tx1"/>
            </w14:solidFill>
          </w14:textFill>
        </w:rPr>
        <w:t>遥感监测数据来源包括</w:t>
      </w:r>
      <w:r>
        <w:rPr>
          <w:rFonts w:hint="eastAsia"/>
          <w:strike w:val="0"/>
          <w:color w:val="000000" w:themeColor="text1"/>
          <w:highlight w:val="none"/>
          <w14:textFill>
            <w14:solidFill>
              <w14:schemeClr w14:val="tx1"/>
            </w14:solidFill>
          </w14:textFill>
        </w:rPr>
        <w:t>卫星、无人机</w:t>
      </w:r>
      <w:r>
        <w:rPr>
          <w:rFonts w:hint="eastAsia"/>
          <w:color w:val="000000" w:themeColor="text1"/>
          <w:highlight w:val="none"/>
          <w14:textFill>
            <w14:solidFill>
              <w14:schemeClr w14:val="tx1"/>
            </w14:solidFill>
          </w14:textFill>
        </w:rPr>
        <w:t>等影像，应根据任务要求，选择适宜的遥感影像。</w:t>
      </w:r>
    </w:p>
    <w:p w14:paraId="4F8740BD">
      <w:pPr>
        <w:widowControl/>
        <w:jc w:val="both"/>
        <w:rPr>
          <w:rFonts w:hint="eastAsia" w:ascii="黑体" w:hAnsi="黑体" w:eastAsia="黑体"/>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5.3.2 </w:t>
      </w:r>
      <w:r>
        <w:rPr>
          <w:color w:val="000000" w:themeColor="text1"/>
          <w:highlight w:val="none"/>
          <w14:textFill>
            <w14:solidFill>
              <w14:schemeClr w14:val="tx1"/>
            </w14:solidFill>
          </w14:textFill>
        </w:rPr>
        <w:t>数据</w:t>
      </w:r>
      <w:r>
        <w:rPr>
          <w:rFonts w:hint="eastAsia"/>
          <w:color w:val="000000" w:themeColor="text1"/>
          <w:highlight w:val="none"/>
          <w14:textFill>
            <w14:solidFill>
              <w14:schemeClr w14:val="tx1"/>
            </w14:solidFill>
          </w14:textFill>
        </w:rPr>
        <w:t>采集</w:t>
      </w:r>
      <w:r>
        <w:rPr>
          <w:color w:val="000000" w:themeColor="text1"/>
          <w:highlight w:val="none"/>
          <w14:textFill>
            <w14:solidFill>
              <w14:schemeClr w14:val="tx1"/>
            </w14:solidFill>
          </w14:textFill>
        </w:rPr>
        <w:t>宜连续稳定，不同监测期次获取的遥感影像应在范围、分辨率、预处理流程上保持一致。</w:t>
      </w:r>
    </w:p>
    <w:p w14:paraId="6E61A64B">
      <w:pPr>
        <w:widowControl/>
        <w:jc w:val="both"/>
        <w:rPr>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5.3.3 </w:t>
      </w:r>
      <w:r>
        <w:rPr>
          <w:rFonts w:hint="eastAsia"/>
          <w:color w:val="000000" w:themeColor="text1"/>
          <w:highlight w:val="none"/>
          <w14:textFill>
            <w14:solidFill>
              <w14:schemeClr w14:val="tx1"/>
            </w14:solidFill>
          </w14:textFill>
        </w:rPr>
        <w:t>数据质量应符合以下要求：</w:t>
      </w:r>
    </w:p>
    <w:p w14:paraId="25519696">
      <w:pPr>
        <w:widowControl/>
        <w:ind w:left="800" w:hanging="380"/>
        <w:jc w:val="both"/>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a</w:t>
      </w:r>
      <w:r>
        <w:rPr>
          <w:rFonts w:ascii="Times New Roman" w:hAnsi="Times New Roman"/>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Times New Roman" w:hAnsi="Times New Roman"/>
          <w:color w:val="000000" w:themeColor="text1"/>
          <w:highlight w:val="none"/>
          <w14:textFill>
            <w14:solidFill>
              <w14:schemeClr w14:val="tx1"/>
            </w14:solidFill>
          </w14:textFill>
        </w:rPr>
        <w:t>遥感</w:t>
      </w:r>
      <w:r>
        <w:rPr>
          <w:rFonts w:ascii="Times New Roman" w:hAnsi="Times New Roman"/>
          <w:color w:val="000000" w:themeColor="text1"/>
          <w:highlight w:val="none"/>
          <w14:textFill>
            <w14:solidFill>
              <w14:schemeClr w14:val="tx1"/>
            </w14:solidFill>
          </w14:textFill>
        </w:rPr>
        <w:t>影像清晰、色调均匀、反差适中，无噪声和条带缺失</w:t>
      </w:r>
      <w:r>
        <w:rPr>
          <w:rFonts w:hint="eastAsia" w:ascii="Times New Roman" w:hAnsi="Times New Roman"/>
          <w:color w:val="000000" w:themeColor="text1"/>
          <w:highlight w:val="none"/>
          <w14:textFill>
            <w14:solidFill>
              <w14:schemeClr w14:val="tx1"/>
            </w14:solidFill>
          </w14:textFill>
        </w:rPr>
        <w:t>；</w:t>
      </w:r>
    </w:p>
    <w:p w14:paraId="46A48406">
      <w:pPr>
        <w:widowControl/>
        <w:ind w:left="800" w:hanging="380"/>
        <w:jc w:val="both"/>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b) 影像中云层覆盖不应超过作业区面积的8%，且不覆盖塔基、变电站等核心监测部位。</w:t>
      </w:r>
    </w:p>
    <w:p w14:paraId="1EF324DB">
      <w:pPr>
        <w:widowControl/>
        <w:ind w:left="0" w:firstLine="0"/>
        <w:jc w:val="both"/>
        <w:rPr>
          <w:rFonts w:ascii="Times New Roman" w:hAnsi="Times New Roman"/>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5.3.4 </w:t>
      </w:r>
      <w:r>
        <w:rPr>
          <w:rFonts w:hint="eastAsia" w:ascii="Times New Roman" w:hAnsi="Times New Roman"/>
          <w:strike w:val="0"/>
          <w:color w:val="000000" w:themeColor="text1"/>
          <w:highlight w:val="none"/>
          <w14:textFill>
            <w14:solidFill>
              <w14:schemeClr w14:val="tx1"/>
            </w14:solidFill>
          </w14:textFill>
        </w:rPr>
        <w:t>卫星遥感影像空间分辨率不应低于</w:t>
      </w:r>
      <w:r>
        <w:rPr>
          <w:rFonts w:ascii="Times New Roman" w:hAnsi="Times New Roman"/>
          <w:strike w:val="0"/>
          <w:color w:val="000000" w:themeColor="text1"/>
          <w:highlight w:val="none"/>
          <w14:textFill>
            <w14:solidFill>
              <w14:schemeClr w14:val="tx1"/>
            </w14:solidFill>
          </w14:textFill>
        </w:rPr>
        <w:t>1m</w:t>
      </w:r>
      <w:r>
        <w:rPr>
          <w:rFonts w:hint="eastAsia" w:ascii="Times New Roman" w:hAnsi="Times New Roman"/>
          <w:strike w:val="0"/>
          <w:color w:val="000000" w:themeColor="text1"/>
          <w:highlight w:val="none"/>
          <w14:textFill>
            <w14:solidFill>
              <w14:schemeClr w14:val="tx1"/>
            </w14:solidFill>
          </w14:textFill>
        </w:rPr>
        <w:t>，塔基、变电站等重点部位不应低于</w:t>
      </w:r>
      <w:r>
        <w:rPr>
          <w:rFonts w:ascii="Times New Roman" w:hAnsi="Times New Roman"/>
          <w:strike w:val="0"/>
          <w:color w:val="000000" w:themeColor="text1"/>
          <w:highlight w:val="none"/>
          <w14:textFill>
            <w14:solidFill>
              <w14:schemeClr w14:val="tx1"/>
            </w14:solidFill>
          </w14:textFill>
        </w:rPr>
        <w:t>0.5m</w:t>
      </w:r>
      <w:r>
        <w:rPr>
          <w:rFonts w:hint="eastAsia"/>
          <w:highlight w:val="none"/>
        </w:rPr>
        <w:t>。</w:t>
      </w:r>
    </w:p>
    <w:p w14:paraId="385B5448">
      <w:pPr>
        <w:widowControl/>
        <w:ind w:left="0" w:firstLine="0"/>
        <w:jc w:val="both"/>
        <w:rPr>
          <w:rFonts w:ascii="Times New Roman" w:hAnsi="Times New Roman"/>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5.3.5 </w:t>
      </w:r>
      <w:r>
        <w:rPr>
          <w:rFonts w:ascii="Times New Roman" w:hAnsi="Times New Roman"/>
          <w:color w:val="000000" w:themeColor="text1"/>
          <w:highlight w:val="none"/>
          <w14:textFill>
            <w14:solidFill>
              <w14:schemeClr w14:val="tx1"/>
            </w14:solidFill>
          </w14:textFill>
        </w:rPr>
        <w:t>针对</w:t>
      </w:r>
      <w:r>
        <w:rPr>
          <w:rFonts w:hint="eastAsia" w:ascii="Times New Roman" w:hAnsi="Times New Roman"/>
          <w:color w:val="000000" w:themeColor="text1"/>
          <w:highlight w:val="none"/>
          <w14:textFill>
            <w14:solidFill>
              <w14:schemeClr w14:val="tx1"/>
            </w14:solidFill>
          </w14:textFill>
        </w:rPr>
        <w:t>卫星</w:t>
      </w:r>
      <w:r>
        <w:rPr>
          <w:rFonts w:ascii="Times New Roman" w:hAnsi="Times New Roman"/>
          <w:color w:val="000000" w:themeColor="text1"/>
          <w:highlight w:val="none"/>
          <w14:textFill>
            <w14:solidFill>
              <w14:schemeClr w14:val="tx1"/>
            </w14:solidFill>
          </w14:textFill>
        </w:rPr>
        <w:t>遥感监测精度不足区域</w:t>
      </w:r>
      <w:r>
        <w:rPr>
          <w:rFonts w:hint="eastAsia" w:ascii="Times New Roman" w:hAnsi="Times New Roman"/>
          <w:color w:val="000000" w:themeColor="text1"/>
          <w:highlight w:val="none"/>
          <w14:textFill>
            <w14:solidFill>
              <w14:schemeClr w14:val="tx1"/>
            </w14:solidFill>
          </w14:textFill>
        </w:rPr>
        <w:t>，无人机航测影像数据可作为补充数据，分辨率不应低于0.2m。</w:t>
      </w:r>
    </w:p>
    <w:p w14:paraId="7A951BC5">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72" w:name="_Toc232414158"/>
      <w:r>
        <w:rPr>
          <w:rFonts w:hint="eastAsia" w:cs="黑体"/>
          <w:color w:val="000000" w:themeColor="text1"/>
          <w:highlight w:val="none"/>
          <w14:textFill>
            <w14:solidFill>
              <w14:schemeClr w14:val="tx1"/>
            </w14:solidFill>
          </w14:textFill>
        </w:rPr>
        <w:t>遥感数据预处理</w:t>
      </w:r>
      <w:bookmarkEnd w:id="72"/>
    </w:p>
    <w:p w14:paraId="2F737B80">
      <w:pPr>
        <w:widowControl/>
        <w:ind w:firstLine="0" w:firstLineChars="0"/>
        <w:jc w:val="both"/>
        <w:rPr>
          <w:rFonts w:ascii="Times New Roman"/>
          <w:highlight w:val="none"/>
        </w:rPr>
      </w:pPr>
      <w:r>
        <w:rPr>
          <w:rFonts w:hint="eastAsia" w:ascii="黑体" w:hAnsi="黑体" w:eastAsia="黑体"/>
          <w:color w:val="000000" w:themeColor="text1"/>
          <w:highlight w:val="none"/>
          <w14:textFill>
            <w14:solidFill>
              <w14:schemeClr w14:val="tx1"/>
            </w14:solidFill>
          </w14:textFill>
        </w:rPr>
        <w:t>5.4.1</w:t>
      </w:r>
      <w:r>
        <w:rPr>
          <w:rFonts w:hint="eastAsia"/>
          <w:color w:val="000000" w:themeColor="text1"/>
          <w:highlight w:val="none"/>
          <w14:textFill>
            <w14:solidFill>
              <w14:schemeClr w14:val="tx1"/>
            </w14:solidFill>
          </w14:textFill>
        </w:rPr>
        <w:t xml:space="preserve"> 卫星遥感数据预处理包括</w:t>
      </w:r>
      <w:r>
        <w:rPr>
          <w:rFonts w:hint="eastAsia" w:ascii="Times New Roman"/>
          <w:highlight w:val="none"/>
        </w:rPr>
        <w:t>辐射校正、几何纠正、镶嵌融合和多时相配准等，</w:t>
      </w:r>
      <w:r>
        <w:rPr>
          <w:rFonts w:hint="eastAsia"/>
          <w:color w:val="000000" w:themeColor="text1"/>
          <w:highlight w:val="none"/>
          <w14:textFill>
            <w14:solidFill>
              <w14:schemeClr w14:val="tx1"/>
            </w14:solidFill>
          </w14:textFill>
        </w:rPr>
        <w:t>处理流程与质量应符合</w:t>
      </w:r>
      <w:r>
        <w:rPr>
          <w:rFonts w:hint="default" w:ascii="Times New Roman" w:hAnsi="Times New Roman"/>
          <w:color w:val="000000" w:themeColor="text1"/>
          <w:highlight w:val="none"/>
          <w14:textFill>
            <w14:solidFill>
              <w14:schemeClr w14:val="tx1"/>
            </w14:solidFill>
          </w14:textFill>
        </w:rPr>
        <w:t>SL/T 277中7.2.2的</w:t>
      </w:r>
      <w:r>
        <w:rPr>
          <w:rFonts w:hint="eastAsia"/>
          <w:color w:val="000000" w:themeColor="text1"/>
          <w:highlight w:val="none"/>
          <w14:textFill>
            <w14:solidFill>
              <w14:schemeClr w14:val="tx1"/>
            </w14:solidFill>
          </w14:textFill>
        </w:rPr>
        <w:t>规定。</w:t>
      </w:r>
    </w:p>
    <w:p w14:paraId="64CA0216">
      <w:pPr>
        <w:widowControl/>
        <w:ind w:firstLine="0" w:firstLineChars="0"/>
        <w:jc w:val="both"/>
        <w:rPr>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t>5.</w:t>
      </w:r>
      <w:r>
        <w:rPr>
          <w:rFonts w:hint="eastAsia" w:ascii="黑体" w:hAnsi="黑体" w:eastAsia="黑体"/>
          <w:color w:val="000000" w:themeColor="text1"/>
          <w:highlight w:val="none"/>
          <w14:textFill>
            <w14:solidFill>
              <w14:schemeClr w14:val="tx1"/>
            </w14:solidFill>
          </w14:textFill>
        </w:rPr>
        <w:t>4</w:t>
      </w:r>
      <w:r>
        <w:rPr>
          <w:rFonts w:ascii="黑体" w:hAnsi="黑体" w:eastAsia="黑体"/>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无人机遥感数据预处</w:t>
      </w:r>
      <w:r>
        <w:rPr>
          <w:rFonts w:hint="default" w:ascii="Times New Roman" w:hAnsi="Times New Roman"/>
          <w:color w:val="000000" w:themeColor="text1"/>
          <w:highlight w:val="none"/>
          <w14:textFill>
            <w14:solidFill>
              <w14:schemeClr w14:val="tx1"/>
            </w14:solidFill>
          </w14:textFill>
        </w:rPr>
        <w:t>理包括</w:t>
      </w:r>
      <w:r>
        <w:rPr>
          <w:rFonts w:ascii="Times New Roman" w:hAnsi="Times New Roman"/>
          <w:color w:val="000000" w:themeColor="text1"/>
          <w:highlight w:val="none"/>
          <w14:textFill>
            <w14:solidFill>
              <w14:schemeClr w14:val="tx1"/>
            </w14:solidFill>
          </w14:textFill>
        </w:rPr>
        <w:t>POS</w:t>
      </w:r>
      <w:r>
        <w:rPr>
          <w:rFonts w:hint="default" w:ascii="Times New Roman" w:hAnsi="Times New Roman"/>
          <w:color w:val="000000" w:themeColor="text1"/>
          <w:highlight w:val="none"/>
          <w14:textFill>
            <w14:solidFill>
              <w14:schemeClr w14:val="tx1"/>
            </w14:solidFill>
          </w14:textFill>
        </w:rPr>
        <w:t>数据处理、数字空中三角测量、定向建模及正射校正，处理流程与质量应符合</w:t>
      </w:r>
      <w:r>
        <w:rPr>
          <w:rFonts w:ascii="Times New Roman" w:hAnsi="Times New Roman"/>
          <w:color w:val="000000" w:themeColor="text1"/>
          <w:highlight w:val="none"/>
          <w14:textFill>
            <w14:solidFill>
              <w14:schemeClr w14:val="tx1"/>
            </w14:solidFill>
          </w14:textFill>
        </w:rPr>
        <w:t>DL/T</w:t>
      </w:r>
      <w:r>
        <w:rPr>
          <w:rFonts w:hint="default" w:ascii="Times New Roman" w:hAnsi="Times New Roman"/>
          <w:color w:val="000000" w:themeColor="text1"/>
          <w:highlight w:val="none"/>
          <w14:textFill>
            <w14:solidFill>
              <w14:schemeClr w14:val="tx1"/>
            </w14:solidFill>
          </w14:textFill>
        </w:rPr>
        <w:t xml:space="preserve"> </w:t>
      </w:r>
      <w:r>
        <w:rPr>
          <w:rFonts w:ascii="Times New Roman" w:hAnsi="Times New Roman"/>
          <w:color w:val="000000" w:themeColor="text1"/>
          <w:highlight w:val="none"/>
          <w14:textFill>
            <w14:solidFill>
              <w14:schemeClr w14:val="tx1"/>
            </w14:solidFill>
          </w14:textFill>
        </w:rPr>
        <w:t>5138</w:t>
      </w:r>
      <w:r>
        <w:rPr>
          <w:rFonts w:hint="eastAsia" w:ascii="Times New Roman" w:hAnsi="Times New Roman"/>
          <w:color w:val="000000" w:themeColor="text1"/>
          <w:highlight w:val="none"/>
          <w14:textFill>
            <w14:solidFill>
              <w14:schemeClr w14:val="tx1"/>
            </w14:solidFill>
          </w14:textFill>
        </w:rPr>
        <w:t>第5章</w:t>
      </w:r>
      <w:r>
        <w:rPr>
          <w:rFonts w:hint="default" w:ascii="Times New Roman" w:hAnsi="Times New Roman"/>
          <w:color w:val="000000" w:themeColor="text1"/>
          <w:highlight w:val="none"/>
          <w14:textFill>
            <w14:solidFill>
              <w14:schemeClr w14:val="tx1"/>
            </w14:solidFill>
          </w14:textFill>
        </w:rPr>
        <w:t>的规</w:t>
      </w:r>
      <w:r>
        <w:rPr>
          <w:rFonts w:hint="eastAsia"/>
          <w:color w:val="000000" w:themeColor="text1"/>
          <w:highlight w:val="none"/>
          <w14:textFill>
            <w14:solidFill>
              <w14:schemeClr w14:val="tx1"/>
            </w14:solidFill>
          </w14:textFill>
        </w:rPr>
        <w:t>定。</w:t>
      </w:r>
    </w:p>
    <w:p w14:paraId="24F5226F">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73" w:name="_Toc230373538"/>
      <w:bookmarkEnd w:id="73"/>
      <w:bookmarkStart w:id="74" w:name="_Toc232414163"/>
      <w:r>
        <w:rPr>
          <w:rFonts w:hint="eastAsia" w:cs="黑体"/>
          <w:color w:val="000000" w:themeColor="text1"/>
          <w:highlight w:val="none"/>
          <w14:textFill>
            <w14:solidFill>
              <w14:schemeClr w14:val="tx1"/>
            </w14:solidFill>
          </w14:textFill>
        </w:rPr>
        <w:t>解译标志建立</w:t>
      </w:r>
      <w:bookmarkEnd w:id="74"/>
    </w:p>
    <w:p w14:paraId="4812CC8A">
      <w:pPr>
        <w:widowControl/>
        <w:jc w:val="both"/>
        <w:rPr>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5.5.1 </w:t>
      </w:r>
      <w:r>
        <w:rPr>
          <w:rFonts w:hint="eastAsia"/>
          <w:color w:val="000000" w:themeColor="text1"/>
          <w:highlight w:val="none"/>
          <w14:textFill>
            <w14:solidFill>
              <w14:schemeClr w14:val="tx1"/>
            </w14:solidFill>
          </w14:textFill>
        </w:rPr>
        <w:t>根据监测内容、影像分辨率及时相，建立输变电工程水土流失遥感解译标志。</w:t>
      </w:r>
    </w:p>
    <w:p w14:paraId="09AC05A9">
      <w:pPr>
        <w:widowControl/>
        <w:jc w:val="both"/>
        <w:rPr>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5.5.2 </w:t>
      </w:r>
      <w:r>
        <w:rPr>
          <w:rFonts w:hint="eastAsia"/>
          <w:color w:val="000000" w:themeColor="text1"/>
          <w:highlight w:val="none"/>
          <w14:textFill>
            <w14:solidFill>
              <w14:schemeClr w14:val="tx1"/>
            </w14:solidFill>
          </w14:textFill>
        </w:rPr>
        <w:t>遥感解译标志可通过参考同类工程解译案例、对照影像特征与实地情况一致性等方式建立。</w:t>
      </w:r>
    </w:p>
    <w:p w14:paraId="6688E2B9">
      <w:pPr>
        <w:widowControl/>
        <w:jc w:val="both"/>
        <w:rPr>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5.5.3 </w:t>
      </w:r>
      <w:r>
        <w:rPr>
          <w:rFonts w:hint="eastAsia"/>
          <w:color w:val="000000" w:themeColor="text1"/>
          <w:highlight w:val="none"/>
          <w14:textFill>
            <w14:solidFill>
              <w14:schemeClr w14:val="tx1"/>
            </w14:solidFill>
          </w14:textFill>
        </w:rPr>
        <w:t>遥感解译标志宜包含以下几类：</w:t>
      </w:r>
    </w:p>
    <w:p w14:paraId="7842BCE0">
      <w:pPr>
        <w:widowControl/>
        <w:ind w:firstLine="420"/>
        <w:jc w:val="both"/>
        <w:rPr>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 xml:space="preserve">a) </w:t>
      </w:r>
      <w:r>
        <w:rPr>
          <w:rFonts w:hint="eastAsia"/>
          <w:color w:val="000000" w:themeColor="text1"/>
          <w:highlight w:val="none"/>
          <w14:textFill>
            <w14:solidFill>
              <w14:schemeClr w14:val="tx1"/>
            </w14:solidFill>
          </w14:textFill>
        </w:rPr>
        <w:t>施工扰动区域的土地利用类型，主要包括耕地、林地、草地等；</w:t>
      </w:r>
    </w:p>
    <w:p w14:paraId="3105DD3D">
      <w:pPr>
        <w:widowControl/>
        <w:ind w:left="800" w:hanging="380"/>
        <w:jc w:val="both"/>
        <w:rPr>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b)</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输变电工程施工扰动引发的水土流失状况；</w:t>
      </w:r>
    </w:p>
    <w:p w14:paraId="3CCFD10C">
      <w:pPr>
        <w:widowControl/>
        <w:ind w:left="800" w:hanging="380"/>
        <w:jc w:val="both"/>
        <w:rPr>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c)</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水土保持措施，主要包括工程措施、植物措施、临时措施等实物。</w:t>
      </w:r>
    </w:p>
    <w:p w14:paraId="54DA684E">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75" w:name="_Toc232414170"/>
      <w:r>
        <w:rPr>
          <w:rFonts w:hint="eastAsia" w:cs="黑体"/>
          <w:color w:val="000000" w:themeColor="text1"/>
          <w:highlight w:val="none"/>
          <w14:textFill>
            <w14:solidFill>
              <w14:schemeClr w14:val="tx1"/>
            </w14:solidFill>
          </w14:textFill>
        </w:rPr>
        <w:t>解译模型构建</w:t>
      </w:r>
      <w:bookmarkEnd w:id="75"/>
    </w:p>
    <w:p w14:paraId="2FDD135F">
      <w:pPr>
        <w:pStyle w:val="228"/>
        <w:ind w:firstLine="420" w:firstLineChars="200"/>
        <w:rPr>
          <w:rFonts w:hint="default" w:ascii="Calibri" w:hAnsi="Calibri"/>
          <w:color w:val="000000" w:themeColor="text1"/>
          <w:kern w:val="2"/>
          <w:sz w:val="21"/>
          <w:szCs w:val="24"/>
          <w:highlight w:val="none"/>
          <w14:textFill>
            <w14:solidFill>
              <w14:schemeClr w14:val="tx1"/>
            </w14:solidFill>
          </w14:textFill>
        </w:rPr>
      </w:pPr>
      <w:r>
        <w:rPr>
          <w:rFonts w:ascii="Times New Roman" w:hAnsi="Times New Roman"/>
          <w:color w:val="000000" w:themeColor="text1"/>
          <w:sz w:val="21"/>
          <w:szCs w:val="21"/>
          <w:highlight w:val="none"/>
          <w14:textFill>
            <w14:solidFill>
              <w14:schemeClr w14:val="tx1"/>
            </w14:solidFill>
          </w14:textFill>
        </w:rPr>
        <w:t>依据解译标志，构建涵盖施工扰动区域、核心标志物的样本库，完成智能识别模型训练及优化。</w:t>
      </w:r>
    </w:p>
    <w:p w14:paraId="108EAF5D">
      <w:pPr>
        <w:pStyle w:val="231"/>
        <w:keepNext/>
        <w:keepLines/>
        <w:widowControl/>
        <w:snapToGrid w:val="0"/>
        <w:ind w:hanging="425"/>
        <w:rPr>
          <w:rFonts w:hint="default" w:ascii="Times New Roman" w:hAnsi="Times New Roman"/>
          <w:b w:val="0"/>
          <w:color w:val="000000" w:themeColor="text1"/>
          <w:sz w:val="21"/>
          <w:szCs w:val="18"/>
          <w:highlight w:val="none"/>
          <w14:textFill>
            <w14:solidFill>
              <w14:schemeClr w14:val="tx1"/>
            </w14:solidFill>
          </w14:textFill>
        </w:rPr>
      </w:pPr>
      <w:bookmarkStart w:id="76" w:name="_Toc232414200"/>
      <w:bookmarkEnd w:id="76"/>
      <w:bookmarkStart w:id="77" w:name="_Toc2201"/>
      <w:bookmarkStart w:id="78" w:name="_Toc232414201"/>
      <w:r>
        <w:rPr>
          <w:rFonts w:ascii="Times New Roman" w:hAnsi="Times New Roman"/>
          <w:b w:val="0"/>
          <w:color w:val="000000" w:themeColor="text1"/>
          <w:sz w:val="21"/>
          <w:szCs w:val="18"/>
          <w:highlight w:val="none"/>
          <w14:textFill>
            <w14:solidFill>
              <w14:schemeClr w14:val="tx1"/>
            </w14:solidFill>
          </w14:textFill>
        </w:rPr>
        <w:t>遥感监测</w:t>
      </w:r>
      <w:bookmarkEnd w:id="77"/>
      <w:r>
        <w:rPr>
          <w:rFonts w:ascii="Times New Roman" w:hAnsi="Times New Roman"/>
          <w:b w:val="0"/>
          <w:color w:val="000000" w:themeColor="text1"/>
          <w:sz w:val="21"/>
          <w:szCs w:val="18"/>
          <w:highlight w:val="none"/>
          <w14:textFill>
            <w14:solidFill>
              <w14:schemeClr w14:val="tx1"/>
            </w14:solidFill>
          </w14:textFill>
        </w:rPr>
        <w:t>实施</w:t>
      </w:r>
      <w:bookmarkEnd w:id="78"/>
    </w:p>
    <w:p w14:paraId="5F8B4FCE">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79" w:name="_Toc232414202"/>
      <w:r>
        <w:rPr>
          <w:rFonts w:hint="eastAsia" w:cs="黑体"/>
          <w:color w:val="000000" w:themeColor="text1"/>
          <w:highlight w:val="none"/>
          <w14:textFill>
            <w14:solidFill>
              <w14:schemeClr w14:val="tx1"/>
            </w14:solidFill>
          </w14:textFill>
        </w:rPr>
        <w:t>监测范围</w:t>
      </w:r>
      <w:bookmarkEnd w:id="79"/>
    </w:p>
    <w:p w14:paraId="1D4F8685">
      <w:pPr>
        <w:widowControl/>
        <w:jc w:val="both"/>
        <w:rPr>
          <w:rFonts w:ascii="Times New Roman" w:hAnsi="Times New Roman"/>
          <w:color w:val="000000" w:themeColor="text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 xml:space="preserve">6.1.1 </w:t>
      </w:r>
      <w:r>
        <w:rPr>
          <w:rFonts w:hint="eastAsia" w:ascii="Times New Roman" w:hAnsi="Times New Roman"/>
          <w:color w:val="000000" w:themeColor="text1"/>
          <w:highlight w:val="none"/>
          <w14:textFill>
            <w14:solidFill>
              <w14:schemeClr w14:val="tx1"/>
            </w14:solidFill>
          </w14:textFill>
        </w:rPr>
        <w:t>监测范围</w:t>
      </w:r>
      <w:r>
        <w:rPr>
          <w:rFonts w:hint="eastAsia"/>
          <w:color w:val="000000" w:themeColor="text1"/>
          <w:highlight w:val="none"/>
          <w:lang w:bidi="ar"/>
          <w14:textFill>
            <w14:solidFill>
              <w14:schemeClr w14:val="tx1"/>
            </w14:solidFill>
          </w14:textFill>
        </w:rPr>
        <w:t>应覆盖输变电工程施工扰动区域，重点涵盖变电站、塔基、牵张场等。</w:t>
      </w:r>
    </w:p>
    <w:p w14:paraId="684351B9">
      <w:pPr>
        <w:widowControl/>
        <w:jc w:val="both"/>
        <w:rPr>
          <w:rFonts w:ascii="Times New Roman" w:hAnsi="Times New Roman"/>
          <w:color w:val="000000" w:themeColor="text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 xml:space="preserve">6.1.2 </w:t>
      </w:r>
      <w:r>
        <w:rPr>
          <w:rFonts w:hint="eastAsia"/>
          <w:color w:val="000000" w:themeColor="text1"/>
          <w:highlight w:val="none"/>
          <w:lang w:bidi="ar"/>
          <w14:textFill>
            <w14:solidFill>
              <w14:schemeClr w14:val="tx1"/>
            </w14:solidFill>
          </w14:textFill>
        </w:rPr>
        <w:t>监测范围边界应清晰明确，采用坐标定位方式界定</w:t>
      </w:r>
      <w:r>
        <w:rPr>
          <w:rFonts w:hint="eastAsia" w:ascii="Times New Roman" w:hAnsi="Times New Roman"/>
          <w:color w:val="000000" w:themeColor="text1"/>
          <w:highlight w:val="none"/>
          <w14:textFill>
            <w14:solidFill>
              <w14:schemeClr w14:val="tx1"/>
            </w14:solidFill>
          </w14:textFill>
        </w:rPr>
        <w:t>。</w:t>
      </w:r>
    </w:p>
    <w:p w14:paraId="4A58F4F5">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80" w:name="_Toc230373543"/>
      <w:bookmarkEnd w:id="80"/>
      <w:bookmarkStart w:id="81" w:name="_Toc232414203"/>
      <w:r>
        <w:rPr>
          <w:rFonts w:hint="eastAsia" w:cs="黑体"/>
          <w:color w:val="000000" w:themeColor="text1"/>
          <w:highlight w:val="none"/>
          <w14:textFill>
            <w14:solidFill>
              <w14:schemeClr w14:val="tx1"/>
            </w14:solidFill>
          </w14:textFill>
        </w:rPr>
        <w:t>监测内容</w:t>
      </w:r>
      <w:bookmarkEnd w:id="81"/>
    </w:p>
    <w:p w14:paraId="0A65A99A">
      <w:pPr>
        <w:widowControl/>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输变电工程水土保持遥感监测内容可分为</w:t>
      </w:r>
      <w:r>
        <w:rPr>
          <w:rFonts w:hint="eastAsia" w:ascii="Calibri" w:hAnsi="Calibri"/>
          <w:color w:val="000000" w:themeColor="text1"/>
          <w:kern w:val="2"/>
          <w:sz w:val="21"/>
          <w:szCs w:val="24"/>
          <w:highlight w:val="none"/>
          <w:lang w:bidi="ar"/>
          <w14:textFill>
            <w14:solidFill>
              <w14:schemeClr w14:val="tx1"/>
            </w14:solidFill>
          </w14:textFill>
        </w:rPr>
        <w:t>土地利用类型</w:t>
      </w:r>
      <w:r>
        <w:rPr>
          <w:rFonts w:hint="eastAsia"/>
          <w:color w:val="000000" w:themeColor="text1"/>
          <w:highlight w:val="none"/>
          <w:lang w:bidi="ar"/>
          <w14:textFill>
            <w14:solidFill>
              <w14:schemeClr w14:val="tx1"/>
            </w14:solidFill>
          </w14:textFill>
        </w:rPr>
        <w:t>监测</w:t>
      </w:r>
      <w:r>
        <w:rPr>
          <w:rFonts w:hint="eastAsia" w:ascii="Calibri" w:hAnsi="Calibri"/>
          <w:color w:val="000000" w:themeColor="text1"/>
          <w:kern w:val="2"/>
          <w:sz w:val="21"/>
          <w:szCs w:val="24"/>
          <w:highlight w:val="none"/>
          <w:lang w:bidi="ar"/>
          <w14:textFill>
            <w14:solidFill>
              <w14:schemeClr w14:val="tx1"/>
            </w14:solidFill>
          </w14:textFill>
        </w:rPr>
        <w:t>、</w:t>
      </w:r>
      <w:r>
        <w:rPr>
          <w:rFonts w:hint="eastAsia"/>
          <w:color w:val="000000" w:themeColor="text1"/>
          <w:kern w:val="2"/>
          <w:sz w:val="21"/>
          <w:szCs w:val="24"/>
          <w:highlight w:val="none"/>
          <w:lang w:val="en-US" w:eastAsia="zh-CN" w:bidi="ar"/>
          <w14:textFill>
            <w14:solidFill>
              <w14:schemeClr w14:val="tx1"/>
            </w14:solidFill>
          </w14:textFill>
        </w:rPr>
        <w:t>施工</w:t>
      </w:r>
      <w:r>
        <w:rPr>
          <w:rFonts w:hint="eastAsia" w:ascii="Calibri" w:hAnsi="Calibri"/>
          <w:color w:val="000000" w:themeColor="text1"/>
          <w:kern w:val="2"/>
          <w:sz w:val="21"/>
          <w:szCs w:val="24"/>
          <w:highlight w:val="none"/>
          <w:lang w:bidi="ar"/>
          <w14:textFill>
            <w14:solidFill>
              <w14:schemeClr w14:val="tx1"/>
            </w14:solidFill>
          </w14:textFill>
        </w:rPr>
        <w:t>扰动</w:t>
      </w:r>
      <w:r>
        <w:rPr>
          <w:rFonts w:hint="eastAsia"/>
          <w:color w:val="000000" w:themeColor="text1"/>
          <w:highlight w:val="none"/>
          <w:lang w:bidi="ar"/>
          <w14:textFill>
            <w14:solidFill>
              <w14:schemeClr w14:val="tx1"/>
            </w14:solidFill>
          </w14:textFill>
        </w:rPr>
        <w:t>监测</w:t>
      </w:r>
      <w:r>
        <w:rPr>
          <w:rFonts w:hint="eastAsia" w:ascii="Calibri" w:hAnsi="Calibri"/>
          <w:color w:val="000000" w:themeColor="text1"/>
          <w:kern w:val="2"/>
          <w:sz w:val="21"/>
          <w:szCs w:val="24"/>
          <w:highlight w:val="none"/>
          <w:lang w:bidi="ar"/>
          <w14:textFill>
            <w14:solidFill>
              <w14:schemeClr w14:val="tx1"/>
            </w14:solidFill>
          </w14:textFill>
        </w:rPr>
        <w:t>、水土保持措施</w:t>
      </w:r>
      <w:r>
        <w:rPr>
          <w:rFonts w:hint="eastAsia"/>
          <w:color w:val="000000" w:themeColor="text1"/>
          <w:highlight w:val="none"/>
          <w:lang w:bidi="ar"/>
          <w14:textFill>
            <w14:solidFill>
              <w14:schemeClr w14:val="tx1"/>
            </w14:solidFill>
          </w14:textFill>
        </w:rPr>
        <w:t>监测</w:t>
      </w:r>
      <w:r>
        <w:rPr>
          <w:rFonts w:hint="eastAsia"/>
          <w:color w:val="000000" w:themeColor="text1"/>
          <w:highlight w:val="none"/>
          <w14:textFill>
            <w14:solidFill>
              <w14:schemeClr w14:val="tx1"/>
            </w14:solidFill>
          </w14:textFill>
        </w:rPr>
        <w:t>三大类，具体监测内容见附录</w:t>
      </w:r>
      <w:r>
        <w:rPr>
          <w:color w:val="000000" w:themeColor="text1"/>
          <w:highlight w:val="none"/>
          <w14:textFill>
            <w14:solidFill>
              <w14:schemeClr w14:val="tx1"/>
            </w14:solidFill>
          </w14:textFill>
        </w:rPr>
        <w:t>B</w:t>
      </w:r>
      <w:r>
        <w:rPr>
          <w:rFonts w:hint="eastAsia"/>
          <w:color w:val="000000" w:themeColor="text1"/>
          <w:highlight w:val="none"/>
          <w14:textFill>
            <w14:solidFill>
              <w14:schemeClr w14:val="tx1"/>
            </w14:solidFill>
          </w14:textFill>
        </w:rPr>
        <w:t>。</w:t>
      </w:r>
    </w:p>
    <w:p w14:paraId="4B988486">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82" w:name="_Toc232414255"/>
      <w:r>
        <w:rPr>
          <w:rFonts w:hint="eastAsia" w:cs="黑体"/>
          <w:color w:val="000000" w:themeColor="text1"/>
          <w:highlight w:val="none"/>
          <w14:textFill>
            <w14:solidFill>
              <w14:schemeClr w14:val="tx1"/>
            </w14:solidFill>
          </w14:textFill>
        </w:rPr>
        <w:t>监测频率</w:t>
      </w:r>
      <w:bookmarkEnd w:id="82"/>
    </w:p>
    <w:p w14:paraId="0D7EF139">
      <w:pPr>
        <w:widowControl/>
        <w:jc w:val="both"/>
        <w:rPr>
          <w:rFonts w:ascii="Times New Roman" w:hAnsi="Times New Roman"/>
          <w:color w:val="000000" w:themeColor="text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 xml:space="preserve">6.3.1 </w:t>
      </w:r>
      <w:r>
        <w:rPr>
          <w:rFonts w:hint="eastAsia" w:ascii="Times New Roman" w:hAnsi="Times New Roman" w:eastAsia="宋体"/>
          <w:color w:val="000000" w:themeColor="text1"/>
          <w:szCs w:val="24"/>
          <w:highlight w:val="none"/>
          <w14:textFill>
            <w14:solidFill>
              <w14:schemeClr w14:val="tx1"/>
            </w14:solidFill>
          </w14:textFill>
        </w:rPr>
        <w:t>卫星</w:t>
      </w:r>
      <w:r>
        <w:rPr>
          <w:rFonts w:hint="eastAsia" w:ascii="Times New Roman" w:hAnsi="Times New Roman"/>
          <w:color w:val="000000" w:themeColor="text1"/>
          <w:highlight w:val="none"/>
          <w14:textFill>
            <w14:solidFill>
              <w14:schemeClr w14:val="tx1"/>
            </w14:solidFill>
          </w14:textFill>
        </w:rPr>
        <w:t>遥感全域监测可在施工扰动前开展</w:t>
      </w:r>
      <w:r>
        <w:rPr>
          <w:rFonts w:ascii="Times New Roman" w:hAnsi="Times New Roman"/>
          <w:color w:val="000000" w:themeColor="text1"/>
          <w:highlight w:val="none"/>
          <w14:textFill>
            <w14:solidFill>
              <w14:schemeClr w14:val="tx1"/>
            </w14:solidFill>
          </w14:textFill>
        </w:rPr>
        <w:t>1</w:t>
      </w:r>
      <w:r>
        <w:rPr>
          <w:rFonts w:hint="eastAsia" w:ascii="Times New Roman" w:hAnsi="Times New Roman"/>
          <w:color w:val="000000" w:themeColor="text1"/>
          <w:highlight w:val="none"/>
          <w14:textFill>
            <w14:solidFill>
              <w14:schemeClr w14:val="tx1"/>
            </w14:solidFill>
          </w14:textFill>
        </w:rPr>
        <w:t>次，施工期宜每季度</w:t>
      </w:r>
      <w:r>
        <w:rPr>
          <w:rFonts w:ascii="Times New Roman" w:hAnsi="Times New Roman"/>
          <w:color w:val="000000" w:themeColor="text1"/>
          <w:highlight w:val="none"/>
          <w14:textFill>
            <w14:solidFill>
              <w14:schemeClr w14:val="tx1"/>
            </w14:solidFill>
          </w14:textFill>
        </w:rPr>
        <w:t>1</w:t>
      </w:r>
      <w:r>
        <w:rPr>
          <w:rFonts w:hint="eastAsia" w:ascii="Times New Roman" w:hAnsi="Times New Roman"/>
          <w:color w:val="000000" w:themeColor="text1"/>
          <w:highlight w:val="none"/>
          <w14:textFill>
            <w14:solidFill>
              <w14:schemeClr w14:val="tx1"/>
            </w14:solidFill>
          </w14:textFill>
        </w:rPr>
        <w:t>次。</w:t>
      </w:r>
    </w:p>
    <w:p w14:paraId="7E5D750C">
      <w:pPr>
        <w:widowControl/>
        <w:jc w:val="both"/>
        <w:rPr>
          <w:rFonts w:ascii="Times New Roman" w:hAnsi="Times New Roman"/>
          <w:color w:val="000000" w:themeColor="text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 xml:space="preserve">6.3.2 </w:t>
      </w:r>
      <w:r>
        <w:rPr>
          <w:rFonts w:hint="eastAsia" w:ascii="Times New Roman" w:hAnsi="Times New Roman" w:eastAsia="宋体"/>
          <w:color w:val="000000" w:themeColor="text1"/>
          <w:szCs w:val="24"/>
          <w:highlight w:val="none"/>
          <w:lang w:val="en-US" w:eastAsia="zh-CN"/>
          <w14:textFill>
            <w14:solidFill>
              <w14:schemeClr w14:val="tx1"/>
            </w14:solidFill>
          </w14:textFill>
        </w:rPr>
        <w:t>施工</w:t>
      </w:r>
      <w:r>
        <w:rPr>
          <w:rFonts w:hint="eastAsia" w:ascii="Times New Roman" w:hAnsi="Times New Roman"/>
          <w:color w:val="000000" w:themeColor="text1"/>
          <w:highlight w:val="none"/>
          <w14:textFill>
            <w14:solidFill>
              <w14:schemeClr w14:val="tx1"/>
            </w14:solidFill>
          </w14:textFill>
        </w:rPr>
        <w:t>扰动、水土保持措施相关卫星遥感监测，宜每月1次；弃渣场、取料场等易引发高强度水土流失的地表区域，可适当加密。</w:t>
      </w:r>
    </w:p>
    <w:p w14:paraId="49C7D98D">
      <w:pPr>
        <w:widowControl/>
        <w:jc w:val="both"/>
        <w:rPr>
          <w:rFonts w:ascii="Times New Roman" w:hAnsi="Times New Roman"/>
          <w:color w:val="000000" w:themeColor="text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 xml:space="preserve">6.3.3 </w:t>
      </w:r>
      <w:r>
        <w:rPr>
          <w:rFonts w:hint="eastAsia" w:ascii="Times New Roman" w:hAnsi="Times New Roman"/>
          <w:color w:val="000000" w:themeColor="text1"/>
          <w:highlight w:val="none"/>
          <w14:textFill>
            <w14:solidFill>
              <w14:schemeClr w14:val="tx1"/>
            </w14:solidFill>
          </w14:textFill>
        </w:rPr>
        <w:t>汛期、雨季及水土流失事件发生后，可快速开展应急监测。</w:t>
      </w:r>
    </w:p>
    <w:p w14:paraId="54A2FB4E">
      <w:pPr>
        <w:widowControl/>
        <w:jc w:val="both"/>
        <w:rPr>
          <w:rFonts w:ascii="黑体" w:hAnsi="黑体" w:eastAsia="宋体"/>
          <w:color w:val="000000" w:themeColor="text1"/>
          <w:szCs w:val="2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 xml:space="preserve">6.3.4 </w:t>
      </w:r>
      <w:r>
        <w:rPr>
          <w:rFonts w:hint="eastAsia" w:ascii="Times New Roman" w:hAnsi="Times New Roman"/>
          <w:color w:val="000000" w:themeColor="text1"/>
          <w:highlight w:val="none"/>
          <w14:textFill>
            <w14:solidFill>
              <w14:schemeClr w14:val="tx1"/>
            </w14:solidFill>
          </w14:textFill>
        </w:rPr>
        <w:t>无人机航测补充监测频率根据实际情况确定。</w:t>
      </w:r>
    </w:p>
    <w:p w14:paraId="20028930">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83" w:name="_Toc232414256"/>
      <w:r>
        <w:rPr>
          <w:rFonts w:hint="eastAsia" w:cs="黑体"/>
          <w:color w:val="000000" w:themeColor="text1"/>
          <w:highlight w:val="none"/>
          <w14:textFill>
            <w14:solidFill>
              <w14:schemeClr w14:val="tx1"/>
            </w14:solidFill>
          </w14:textFill>
        </w:rPr>
        <w:t>监测精度</w:t>
      </w:r>
      <w:bookmarkEnd w:id="83"/>
    </w:p>
    <w:p w14:paraId="5ED64515">
      <w:pPr>
        <w:widowControl/>
        <w:jc w:val="both"/>
        <w:rPr>
          <w:color w:val="000000" w:themeColor="text1"/>
          <w:highlight w:val="none"/>
          <w:lang w:bidi="ar"/>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 xml:space="preserve">6.4.1 </w:t>
      </w:r>
      <w:r>
        <w:rPr>
          <w:rFonts w:hint="eastAsia" w:ascii="Calibri" w:hAnsi="Calibri" w:eastAsia="宋体"/>
          <w:color w:val="000000" w:themeColor="text1"/>
          <w:szCs w:val="24"/>
          <w:highlight w:val="none"/>
          <w:lang w:bidi="ar"/>
          <w14:textFill>
            <w14:solidFill>
              <w14:schemeClr w14:val="tx1"/>
            </w14:solidFill>
          </w14:textFill>
        </w:rPr>
        <w:t>土地利用类型</w:t>
      </w:r>
      <w:r>
        <w:rPr>
          <w:rFonts w:hint="eastAsia"/>
          <w:color w:val="000000" w:themeColor="text1"/>
          <w:highlight w:val="none"/>
          <w:lang w:bidi="ar"/>
          <w14:textFill>
            <w14:solidFill>
              <w14:schemeClr w14:val="tx1"/>
            </w14:solidFill>
          </w14:textFill>
        </w:rPr>
        <w:t>遥感解译准确率≥8</w:t>
      </w:r>
      <w:r>
        <w:rPr>
          <w:color w:val="000000" w:themeColor="text1"/>
          <w:highlight w:val="none"/>
          <w:lang w:bidi="ar"/>
          <w14:textFill>
            <w14:solidFill>
              <w14:schemeClr w14:val="tx1"/>
            </w14:solidFill>
          </w14:textFill>
        </w:rPr>
        <w:t>0%</w:t>
      </w:r>
      <w:r>
        <w:rPr>
          <w:rFonts w:hint="eastAsia"/>
          <w:color w:val="000000" w:themeColor="text1"/>
          <w:highlight w:val="none"/>
          <w:lang w:bidi="ar"/>
          <w14:textFill>
            <w14:solidFill>
              <w14:schemeClr w14:val="tx1"/>
            </w14:solidFill>
          </w14:textFill>
        </w:rPr>
        <w:t>。</w:t>
      </w:r>
    </w:p>
    <w:p w14:paraId="015B7455">
      <w:pPr>
        <w:widowControl/>
        <w:jc w:val="both"/>
        <w:rPr>
          <w:color w:val="000000" w:themeColor="text1"/>
          <w:highlight w:val="none"/>
          <w:lang w:bidi="ar"/>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 xml:space="preserve">6.4.2 </w:t>
      </w:r>
      <w:r>
        <w:rPr>
          <w:rFonts w:hint="eastAsia"/>
          <w:color w:val="000000" w:themeColor="text1"/>
          <w:highlight w:val="none"/>
          <w:lang w:val="en-US" w:eastAsia="zh-CN" w:bidi="ar"/>
          <w14:textFill>
            <w14:solidFill>
              <w14:schemeClr w14:val="tx1"/>
            </w14:solidFill>
          </w14:textFill>
        </w:rPr>
        <w:t>施工</w:t>
      </w:r>
      <w:r>
        <w:rPr>
          <w:rFonts w:hint="eastAsia"/>
          <w:color w:val="000000" w:themeColor="text1"/>
          <w:highlight w:val="none"/>
          <w:lang w:bidi="ar"/>
          <w14:textFill>
            <w14:solidFill>
              <w14:schemeClr w14:val="tx1"/>
            </w14:solidFill>
          </w14:textFill>
        </w:rPr>
        <w:t>扰动面积测算误差≤</w:t>
      </w:r>
      <w:r>
        <w:rPr>
          <w:color w:val="000000" w:themeColor="text1"/>
          <w:highlight w:val="none"/>
          <w:lang w:bidi="ar"/>
          <w14:textFill>
            <w14:solidFill>
              <w14:schemeClr w14:val="tx1"/>
            </w14:solidFill>
          </w14:textFill>
        </w:rPr>
        <w:t>10%</w:t>
      </w:r>
      <w:r>
        <w:rPr>
          <w:rFonts w:hint="eastAsia"/>
          <w:color w:val="000000" w:themeColor="text1"/>
          <w:highlight w:val="none"/>
          <w:lang w:bidi="ar"/>
          <w14:textFill>
            <w14:solidFill>
              <w14:schemeClr w14:val="tx1"/>
            </w14:solidFill>
          </w14:textFill>
        </w:rPr>
        <w:t>。</w:t>
      </w:r>
    </w:p>
    <w:p w14:paraId="21787B62">
      <w:pPr>
        <w:widowControl/>
        <w:jc w:val="both"/>
        <w:rPr>
          <w:rFonts w:ascii="Times New Roman" w:hAnsi="Times New Roman"/>
          <w:color w:val="000000" w:themeColor="text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 xml:space="preserve">6.4.3 </w:t>
      </w:r>
      <w:r>
        <w:rPr>
          <w:rFonts w:hint="eastAsia" w:ascii="Calibri" w:hAnsi="Calibri" w:eastAsia="宋体"/>
          <w:color w:val="000000" w:themeColor="text1"/>
          <w:szCs w:val="24"/>
          <w:highlight w:val="none"/>
          <w:lang w:bidi="ar"/>
          <w14:textFill>
            <w14:solidFill>
              <w14:schemeClr w14:val="tx1"/>
            </w14:solidFill>
          </w14:textFill>
        </w:rPr>
        <w:t>工程措施与临时措施</w:t>
      </w:r>
      <w:r>
        <w:rPr>
          <w:rFonts w:hint="eastAsia"/>
          <w:strike w:val="0"/>
          <w:color w:val="000000" w:themeColor="text1"/>
          <w:highlight w:val="none"/>
          <w:lang w:bidi="ar"/>
          <w14:textFill>
            <w14:solidFill>
              <w14:schemeClr w14:val="tx1"/>
            </w14:solidFill>
          </w14:textFill>
        </w:rPr>
        <w:t>相关内容</w:t>
      </w:r>
      <w:r>
        <w:rPr>
          <w:rFonts w:hint="eastAsia" w:ascii="Calibri" w:hAnsi="Calibri" w:eastAsia="宋体"/>
          <w:color w:val="000000" w:themeColor="text1"/>
          <w:szCs w:val="24"/>
          <w:highlight w:val="none"/>
          <w:lang w:bidi="ar"/>
          <w14:textFill>
            <w14:solidFill>
              <w14:schemeClr w14:val="tx1"/>
            </w14:solidFill>
          </w14:textFill>
        </w:rPr>
        <w:t>遥感判读准确率</w:t>
      </w:r>
      <w:r>
        <w:rPr>
          <w:rFonts w:hint="eastAsia"/>
          <w:color w:val="000000" w:themeColor="text1"/>
          <w:highlight w:val="none"/>
          <w:lang w:bidi="ar"/>
          <w14:textFill>
            <w14:solidFill>
              <w14:schemeClr w14:val="tx1"/>
            </w14:solidFill>
          </w14:textFill>
        </w:rPr>
        <w:t>≥</w:t>
      </w:r>
      <w:r>
        <w:rPr>
          <w:rFonts w:hint="eastAsia" w:ascii="Calibri" w:hAnsi="Calibri" w:eastAsia="宋体"/>
          <w:color w:val="000000" w:themeColor="text1"/>
          <w:szCs w:val="24"/>
          <w:highlight w:val="none"/>
          <w:lang w:bidi="ar"/>
          <w14:textFill>
            <w14:solidFill>
              <w14:schemeClr w14:val="tx1"/>
            </w14:solidFill>
          </w14:textFill>
        </w:rPr>
        <w:t>80%；植物措施的植被覆盖度反演精度</w:t>
      </w:r>
      <w:r>
        <w:rPr>
          <w:rFonts w:hint="eastAsia"/>
          <w:color w:val="000000" w:themeColor="text1"/>
          <w:highlight w:val="none"/>
          <w:lang w:bidi="ar"/>
          <w14:textFill>
            <w14:solidFill>
              <w14:schemeClr w14:val="tx1"/>
            </w14:solidFill>
          </w14:textFill>
        </w:rPr>
        <w:t>≥</w:t>
      </w:r>
      <w:r>
        <w:rPr>
          <w:rFonts w:hint="eastAsia" w:ascii="Calibri" w:hAnsi="Calibri" w:eastAsia="宋体"/>
          <w:color w:val="000000" w:themeColor="text1"/>
          <w:szCs w:val="24"/>
          <w:highlight w:val="none"/>
          <w:lang w:bidi="ar"/>
          <w14:textFill>
            <w14:solidFill>
              <w14:schemeClr w14:val="tx1"/>
            </w14:solidFill>
          </w14:textFill>
        </w:rPr>
        <w:t>90%</w:t>
      </w:r>
      <w:r>
        <w:rPr>
          <w:rFonts w:hint="eastAsia"/>
          <w:color w:val="000000" w:themeColor="text1"/>
          <w:highlight w:val="none"/>
          <w:lang w:bidi="ar"/>
          <w14:textFill>
            <w14:solidFill>
              <w14:schemeClr w14:val="tx1"/>
            </w14:solidFill>
          </w14:textFill>
        </w:rPr>
        <w:t>。</w:t>
      </w:r>
    </w:p>
    <w:p w14:paraId="15F43D92">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84" w:name="_Toc232414257"/>
      <w:r>
        <w:rPr>
          <w:rFonts w:hint="eastAsia" w:ascii="Times New Roman" w:hAnsi="Times New Roman"/>
          <w:color w:val="000000" w:themeColor="text1"/>
          <w:highlight w:val="none"/>
          <w14:textFill>
            <w14:solidFill>
              <w14:schemeClr w14:val="tx1"/>
            </w14:solidFill>
          </w14:textFill>
        </w:rPr>
        <w:t>监测解译</w:t>
      </w:r>
      <w:bookmarkEnd w:id="84"/>
    </w:p>
    <w:p w14:paraId="09DB1E9B">
      <w:pPr>
        <w:pStyle w:val="233"/>
        <w:keepNext w:val="0"/>
        <w:keepLines w:val="0"/>
        <w:widowControl/>
        <w:snapToGrid w:val="0"/>
        <w:spacing w:line="240" w:lineRule="auto"/>
        <w:ind w:left="567" w:hanging="567"/>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解译流程</w:t>
      </w:r>
    </w:p>
    <w:p w14:paraId="3099F10D">
      <w:pPr>
        <w:pStyle w:val="233"/>
        <w:keepNext w:val="0"/>
        <w:keepLines w:val="0"/>
        <w:widowControl/>
        <w:numPr>
          <w:ilvl w:val="255"/>
          <w:numId w:val="0"/>
        </w:numPr>
        <w:snapToGrid w:val="0"/>
        <w:spacing w:before="0" w:after="0" w:line="240" w:lineRule="auto"/>
        <w:ind w:firstLine="420" w:firstLineChars="200"/>
        <w:jc w:val="both"/>
        <w:outlineLvl w:val="9"/>
        <w:rPr>
          <w:rFonts w:ascii="Times New Roman" w:hAnsi="Times New Roman"/>
          <w:strike/>
          <w:color w:val="000000" w:themeColor="text1"/>
          <w:highlight w:val="none"/>
          <w14:textFill>
            <w14:solidFill>
              <w14:schemeClr w14:val="tx1"/>
            </w14:solidFill>
          </w14:textFill>
        </w:rPr>
      </w:pPr>
      <w:r>
        <w:rPr>
          <w:rFonts w:hint="eastAsia" w:ascii="Calibri" w:hAnsi="Calibri" w:eastAsia="宋体"/>
          <w:bCs w:val="0"/>
          <w:szCs w:val="24"/>
          <w:highlight w:val="none"/>
        </w:rPr>
        <w:t>监测解译</w:t>
      </w:r>
      <w:r>
        <w:rPr>
          <w:rFonts w:hint="eastAsia" w:ascii="Calibri" w:hAnsi="Calibri" w:eastAsia="宋体"/>
          <w:bCs w:val="0"/>
          <w:szCs w:val="24"/>
          <w:highlight w:val="none"/>
          <w:lang w:val="en-US" w:eastAsia="zh-CN"/>
        </w:rPr>
        <w:t>宜</w:t>
      </w:r>
      <w:r>
        <w:rPr>
          <w:rFonts w:hint="eastAsia" w:ascii="Calibri" w:hAnsi="Calibri" w:eastAsia="宋体"/>
          <w:bCs w:val="0"/>
          <w:szCs w:val="24"/>
          <w:highlight w:val="none"/>
        </w:rPr>
        <w:t>按</w:t>
      </w:r>
      <w:r>
        <w:rPr>
          <w:rFonts w:hint="eastAsia" w:ascii="Calibri" w:hAnsi="Calibri" w:eastAsia="宋体"/>
          <w:bCs w:val="0"/>
          <w:szCs w:val="24"/>
          <w:highlight w:val="none"/>
          <w:lang w:val="en-US" w:eastAsia="zh-CN"/>
        </w:rPr>
        <w:t>照</w:t>
      </w:r>
      <w:r>
        <w:rPr>
          <w:rFonts w:hint="eastAsia" w:ascii="Calibri" w:hAnsi="Calibri" w:eastAsia="宋体"/>
          <w:bCs w:val="0"/>
          <w:strike w:val="0"/>
          <w:color w:val="000000" w:themeColor="text1"/>
          <w:szCs w:val="24"/>
          <w:highlight w:val="none"/>
          <w:lang w:val="en-US" w:eastAsia="zh-CN"/>
          <w14:textFill>
            <w14:solidFill>
              <w14:schemeClr w14:val="tx1"/>
            </w14:solidFill>
          </w14:textFill>
        </w:rPr>
        <w:t>解译准备</w:t>
      </w:r>
      <w:r>
        <w:rPr>
          <w:rFonts w:hint="eastAsia" w:ascii="Calibri" w:hAnsi="Calibri" w:eastAsia="宋体"/>
          <w:bCs w:val="0"/>
          <w:strike w:val="0"/>
          <w:color w:val="000000" w:themeColor="text1"/>
          <w:szCs w:val="24"/>
          <w:highlight w:val="none"/>
          <w14:textFill>
            <w14:solidFill>
              <w14:schemeClr w14:val="tx1"/>
            </w14:solidFill>
          </w14:textFill>
        </w:rPr>
        <w:t>、智能解译、人工校核、野外验证、成果整理</w:t>
      </w:r>
      <w:r>
        <w:rPr>
          <w:rFonts w:hint="eastAsia" w:ascii="Calibri" w:hAnsi="Calibri" w:eastAsia="宋体"/>
          <w:bCs w:val="0"/>
          <w:strike w:val="0"/>
          <w:color w:val="000000" w:themeColor="text1"/>
          <w:szCs w:val="24"/>
          <w:highlight w:val="none"/>
          <w:lang w:val="en-US" w:eastAsia="zh-CN"/>
          <w14:textFill>
            <w14:solidFill>
              <w14:schemeClr w14:val="tx1"/>
            </w14:solidFill>
          </w14:textFill>
        </w:rPr>
        <w:t>等</w:t>
      </w:r>
      <w:r>
        <w:rPr>
          <w:rFonts w:hint="eastAsia" w:ascii="Calibri" w:hAnsi="Calibri" w:eastAsia="宋体"/>
          <w:bCs w:val="0"/>
          <w:strike w:val="0"/>
          <w:szCs w:val="24"/>
          <w:highlight w:val="none"/>
        </w:rPr>
        <w:t>流程开展</w:t>
      </w:r>
      <w:r>
        <w:rPr>
          <w:rFonts w:hint="eastAsia" w:ascii="Calibri" w:hAnsi="Calibri" w:eastAsia="宋体"/>
          <w:bCs w:val="0"/>
          <w:strike w:val="0"/>
          <w:color w:val="000000" w:themeColor="text1"/>
          <w:szCs w:val="24"/>
          <w:highlight w:val="none"/>
          <w14:textFill>
            <w14:solidFill>
              <w14:schemeClr w14:val="tx1"/>
            </w14:solidFill>
          </w14:textFill>
        </w:rPr>
        <w:t>。</w:t>
      </w:r>
    </w:p>
    <w:p w14:paraId="4FEB7512">
      <w:pPr>
        <w:widowControl/>
        <w:ind w:left="692" w:hanging="272"/>
        <w:jc w:val="both"/>
        <w:rPr>
          <w:rFonts w:ascii="Times New Roman" w:hAnsi="Times New Roman"/>
          <w:strike w:val="0"/>
          <w:color w:val="000000" w:themeColor="text1"/>
          <w:highlight w:val="none"/>
          <w14:textFill>
            <w14:solidFill>
              <w14:schemeClr w14:val="tx1"/>
            </w14:solidFill>
          </w14:textFill>
        </w:rPr>
      </w:pPr>
      <w:r>
        <w:rPr>
          <w:rFonts w:ascii="Times New Roman" w:hAnsi="Times New Roman"/>
          <w:strike w:val="0"/>
          <w:color w:val="000000" w:themeColor="text1"/>
          <w:highlight w:val="none"/>
          <w14:textFill>
            <w14:solidFill>
              <w14:schemeClr w14:val="tx1"/>
            </w14:solidFill>
          </w14:textFill>
        </w:rPr>
        <w:t xml:space="preserve">a) </w:t>
      </w:r>
      <w:r>
        <w:rPr>
          <w:rFonts w:hint="eastAsia" w:ascii="Times New Roman" w:hAnsi="Times New Roman"/>
          <w:strike w:val="0"/>
          <w:color w:val="000000" w:themeColor="text1"/>
          <w:highlight w:val="none"/>
          <w:lang w:val="en-US" w:eastAsia="zh-CN"/>
          <w14:textFill>
            <w14:solidFill>
              <w14:schemeClr w14:val="tx1"/>
            </w14:solidFill>
          </w14:textFill>
        </w:rPr>
        <w:t>解译准备</w:t>
      </w:r>
      <w:r>
        <w:rPr>
          <w:rFonts w:hint="eastAsia" w:ascii="Times New Roman" w:hAnsi="Times New Roman"/>
          <w:strike w:val="0"/>
          <w:color w:val="000000" w:themeColor="text1"/>
          <w:highlight w:val="none"/>
          <w14:textFill>
            <w14:solidFill>
              <w14:schemeClr w14:val="tx1"/>
            </w14:solidFill>
          </w14:textFill>
        </w:rPr>
        <w:t>：解译前应核查遥感影像预处理质量，确保影像清晰度、坐标精度满足解译需求。</w:t>
      </w:r>
    </w:p>
    <w:p w14:paraId="3935E1C4">
      <w:pPr>
        <w:widowControl/>
        <w:ind w:left="692" w:hanging="272"/>
        <w:jc w:val="both"/>
        <w:rPr>
          <w:rFonts w:ascii="Times New Roman" w:hAnsi="Times New Roman"/>
          <w:strike w:val="0"/>
          <w:color w:val="000000" w:themeColor="text1"/>
          <w:highlight w:val="none"/>
          <w14:textFill>
            <w14:solidFill>
              <w14:schemeClr w14:val="tx1"/>
            </w14:solidFill>
          </w14:textFill>
        </w:rPr>
      </w:pPr>
      <w:r>
        <w:rPr>
          <w:rFonts w:ascii="Times New Roman" w:hAnsi="Times New Roman"/>
          <w:strike w:val="0"/>
          <w:color w:val="000000" w:themeColor="text1"/>
          <w:highlight w:val="none"/>
          <w14:textFill>
            <w14:solidFill>
              <w14:schemeClr w14:val="tx1"/>
            </w14:solidFill>
          </w14:textFill>
        </w:rPr>
        <w:t xml:space="preserve">b) </w:t>
      </w:r>
      <w:r>
        <w:rPr>
          <w:rFonts w:hint="eastAsia" w:ascii="Times New Roman" w:hAnsi="Times New Roman"/>
          <w:strike w:val="0"/>
          <w:color w:val="000000" w:themeColor="text1"/>
          <w:highlight w:val="none"/>
          <w14:textFill>
            <w14:solidFill>
              <w14:schemeClr w14:val="tx1"/>
            </w14:solidFill>
          </w14:textFill>
        </w:rPr>
        <w:t>智能解译：</w:t>
      </w:r>
      <w:r>
        <w:rPr>
          <w:rFonts w:hint="eastAsia" w:ascii="Times New Roman" w:hAnsi="Times New Roman"/>
          <w:strike w:val="0"/>
          <w:color w:val="000000" w:themeColor="text1"/>
          <w:highlight w:val="none"/>
          <w:lang w:val="en-US" w:eastAsia="zh-CN"/>
          <w14:textFill>
            <w14:solidFill>
              <w14:schemeClr w14:val="tx1"/>
            </w14:solidFill>
          </w14:textFill>
        </w:rPr>
        <w:t>采用</w:t>
      </w:r>
      <w:r>
        <w:rPr>
          <w:rFonts w:hint="eastAsia" w:ascii="Times New Roman" w:hAnsi="Times New Roman"/>
          <w:strike w:val="0"/>
          <w:color w:val="000000" w:themeColor="text1"/>
          <w:highlight w:val="none"/>
          <w14:textFill>
            <w14:solidFill>
              <w14:schemeClr w14:val="tx1"/>
            </w14:solidFill>
          </w14:textFill>
        </w:rPr>
        <w:t>智能</w:t>
      </w:r>
      <w:r>
        <w:rPr>
          <w:rFonts w:hint="eastAsia" w:ascii="Times New Roman" w:hAnsi="Times New Roman"/>
          <w:color w:val="000000" w:themeColor="text1"/>
          <w:highlight w:val="none"/>
          <w14:textFill>
            <w14:solidFill>
              <w14:schemeClr w14:val="tx1"/>
            </w14:solidFill>
          </w14:textFill>
        </w:rPr>
        <w:t>解译</w:t>
      </w:r>
      <w:r>
        <w:rPr>
          <w:rFonts w:hint="eastAsia" w:ascii="Times New Roman" w:hAnsi="Times New Roman"/>
          <w:strike w:val="0"/>
          <w:color w:val="000000" w:themeColor="text1"/>
          <w:highlight w:val="none"/>
          <w14:textFill>
            <w14:solidFill>
              <w14:schemeClr w14:val="tx1"/>
            </w14:solidFill>
          </w14:textFill>
        </w:rPr>
        <w:t>模型，对遥感影像进行批量解译，识别土地利用类型、</w:t>
      </w:r>
      <w:r>
        <w:rPr>
          <w:rFonts w:hint="eastAsia" w:ascii="Times New Roman" w:hAnsi="Times New Roman"/>
          <w:strike w:val="0"/>
          <w:color w:val="000000" w:themeColor="text1"/>
          <w:highlight w:val="none"/>
          <w:lang w:val="en-US" w:eastAsia="zh-CN"/>
          <w14:textFill>
            <w14:solidFill>
              <w14:schemeClr w14:val="tx1"/>
            </w14:solidFill>
          </w14:textFill>
        </w:rPr>
        <w:t>施工</w:t>
      </w:r>
      <w:r>
        <w:rPr>
          <w:rFonts w:hint="eastAsia" w:ascii="Times New Roman" w:hAnsi="Times New Roman"/>
          <w:strike w:val="0"/>
          <w:color w:val="000000" w:themeColor="text1"/>
          <w:highlight w:val="none"/>
          <w14:textFill>
            <w14:solidFill>
              <w14:schemeClr w14:val="tx1"/>
            </w14:solidFill>
          </w14:textFill>
        </w:rPr>
        <w:t>扰动范围及水土保持措施布设，生成初始解译成果。</w:t>
      </w:r>
    </w:p>
    <w:p w14:paraId="1CBA7BDC">
      <w:pPr>
        <w:widowControl/>
        <w:ind w:left="692" w:hanging="272"/>
        <w:jc w:val="both"/>
        <w:rPr>
          <w:rFonts w:ascii="Times New Roman" w:hAnsi="Times New Roman"/>
          <w:strike w:val="0"/>
          <w:color w:val="000000" w:themeColor="text1"/>
          <w:highlight w:val="none"/>
          <w14:textFill>
            <w14:solidFill>
              <w14:schemeClr w14:val="tx1"/>
            </w14:solidFill>
          </w14:textFill>
        </w:rPr>
      </w:pPr>
      <w:r>
        <w:rPr>
          <w:rFonts w:ascii="Times New Roman" w:hAnsi="Times New Roman"/>
          <w:strike w:val="0"/>
          <w:color w:val="000000" w:themeColor="text1"/>
          <w:highlight w:val="none"/>
          <w14:textFill>
            <w14:solidFill>
              <w14:schemeClr w14:val="tx1"/>
            </w14:solidFill>
          </w14:textFill>
        </w:rPr>
        <w:t xml:space="preserve">c) </w:t>
      </w:r>
      <w:r>
        <w:rPr>
          <w:rFonts w:hint="eastAsia" w:ascii="Times New Roman" w:hAnsi="Times New Roman"/>
          <w:strike w:val="0"/>
          <w:color w:val="000000" w:themeColor="text1"/>
          <w:highlight w:val="none"/>
          <w14:textFill>
            <w14:solidFill>
              <w14:schemeClr w14:val="tx1"/>
            </w14:solidFill>
          </w14:textFill>
        </w:rPr>
        <w:t>人工校核：对初始解译成果进行全面校核，重点核查塔基施工区、临时施工道路等解译准确性，修正误判、漏判，补充解译细节，形成解译成果。</w:t>
      </w:r>
    </w:p>
    <w:p w14:paraId="1FF1461F">
      <w:pPr>
        <w:widowControl/>
        <w:ind w:left="692" w:hanging="272"/>
        <w:jc w:val="both"/>
        <w:rPr>
          <w:rFonts w:ascii="Times New Roman" w:hAnsi="Times New Roman"/>
          <w:strike w:val="0"/>
          <w:color w:val="000000" w:themeColor="text1"/>
          <w:highlight w:val="none"/>
          <w14:textFill>
            <w14:solidFill>
              <w14:schemeClr w14:val="tx1"/>
            </w14:solidFill>
          </w14:textFill>
        </w:rPr>
      </w:pPr>
      <w:r>
        <w:rPr>
          <w:rFonts w:ascii="Times New Roman" w:hAnsi="Times New Roman"/>
          <w:strike w:val="0"/>
          <w:color w:val="000000" w:themeColor="text1"/>
          <w:highlight w:val="none"/>
          <w14:textFill>
            <w14:solidFill>
              <w14:schemeClr w14:val="tx1"/>
            </w14:solidFill>
          </w14:textFill>
        </w:rPr>
        <w:t xml:space="preserve">d) </w:t>
      </w:r>
      <w:r>
        <w:rPr>
          <w:rFonts w:hint="eastAsia" w:ascii="Times New Roman" w:hAnsi="Times New Roman"/>
          <w:strike w:val="0"/>
          <w:color w:val="000000" w:themeColor="text1"/>
          <w:highlight w:val="none"/>
          <w14:textFill>
            <w14:solidFill>
              <w14:schemeClr w14:val="tx1"/>
            </w14:solidFill>
          </w14:textFill>
        </w:rPr>
        <w:t>野外验证：随机抽取</w:t>
      </w:r>
      <w:r>
        <w:rPr>
          <w:rFonts w:hint="eastAsia" w:ascii="Times New Roman" w:hAnsi="Times New Roman"/>
          <w:strike w:val="0"/>
          <w:color w:val="000000" w:themeColor="text1"/>
          <w:highlight w:val="none"/>
          <w:lang w:val="en-US" w:eastAsia="zh-CN"/>
          <w14:textFill>
            <w14:solidFill>
              <w14:schemeClr w14:val="tx1"/>
            </w14:solidFill>
          </w14:textFill>
        </w:rPr>
        <w:t>不少于10%的</w:t>
      </w:r>
      <w:r>
        <w:rPr>
          <w:rFonts w:hint="eastAsia" w:ascii="Times New Roman" w:hAnsi="Times New Roman"/>
          <w:strike w:val="0"/>
          <w:color w:val="000000" w:themeColor="text1"/>
          <w:highlight w:val="none"/>
          <w14:textFill>
            <w14:solidFill>
              <w14:schemeClr w14:val="tx1"/>
            </w14:solidFill>
          </w14:textFill>
        </w:rPr>
        <w:t>解译点位进行实地核查，验证解译结果与现场实际的一致性，并据此调整监测模型。</w:t>
      </w:r>
    </w:p>
    <w:p w14:paraId="4FD14F67">
      <w:pPr>
        <w:widowControl/>
        <w:ind w:left="692" w:hanging="272"/>
        <w:jc w:val="both"/>
        <w:rPr>
          <w:rFonts w:ascii="Times New Roman" w:hAnsi="Times New Roman"/>
          <w:color w:val="000000" w:themeColor="text1"/>
          <w:highlight w:val="none"/>
          <w14:textFill>
            <w14:solidFill>
              <w14:schemeClr w14:val="tx1"/>
            </w14:solidFill>
          </w14:textFill>
        </w:rPr>
      </w:pPr>
      <w:r>
        <w:rPr>
          <w:rFonts w:ascii="Times New Roman" w:hAnsi="Times New Roman"/>
          <w:strike w:val="0"/>
          <w:color w:val="000000" w:themeColor="text1"/>
          <w:highlight w:val="none"/>
          <w14:textFill>
            <w14:solidFill>
              <w14:schemeClr w14:val="tx1"/>
            </w14:solidFill>
          </w14:textFill>
        </w:rPr>
        <w:t xml:space="preserve">e) </w:t>
      </w:r>
      <w:r>
        <w:rPr>
          <w:rFonts w:hint="eastAsia" w:ascii="Times New Roman" w:hAnsi="Times New Roman"/>
          <w:strike w:val="0"/>
          <w:color w:val="000000" w:themeColor="text1"/>
          <w:highlight w:val="none"/>
          <w14:textFill>
            <w14:solidFill>
              <w14:schemeClr w14:val="tx1"/>
            </w14:solidFill>
          </w14:textFill>
        </w:rPr>
        <w:t>成果整理：整理形成解译报告、解译图件及解译台账，明确解译方法、解译精度及修正说明，纳入监测成果统一管理。</w:t>
      </w:r>
    </w:p>
    <w:p w14:paraId="4EC3DDCD">
      <w:pPr>
        <w:pStyle w:val="233"/>
        <w:keepNext w:val="0"/>
        <w:keepLines w:val="0"/>
        <w:widowControl/>
        <w:snapToGrid w:val="0"/>
        <w:spacing w:line="240" w:lineRule="auto"/>
        <w:ind w:left="567" w:hanging="567"/>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解译质量控制</w:t>
      </w:r>
    </w:p>
    <w:p w14:paraId="5FE5B76A">
      <w:pPr>
        <w:ind w:firstLine="420" w:firstLineChars="200"/>
        <w:rPr>
          <w:highlight w:val="none"/>
        </w:rPr>
      </w:pPr>
      <w:r>
        <w:rPr>
          <w:rFonts w:hint="eastAsia"/>
          <w:highlight w:val="none"/>
        </w:rPr>
        <w:t>解译过程中应加强质量控制</w:t>
      </w:r>
      <w:r>
        <w:rPr>
          <w:rFonts w:hint="eastAsia"/>
          <w:strike w:val="0"/>
          <w:highlight w:val="none"/>
        </w:rPr>
        <w:t>，具体要求如下</w:t>
      </w:r>
      <w:r>
        <w:rPr>
          <w:rFonts w:hint="eastAsia"/>
          <w:highlight w:val="none"/>
        </w:rPr>
        <w:t>：</w:t>
      </w:r>
    </w:p>
    <w:p w14:paraId="68F505F9">
      <w:pPr>
        <w:widowControl/>
        <w:ind w:left="800" w:hanging="380"/>
        <w:jc w:val="both"/>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lang w:val="en-US" w:eastAsia="zh-CN"/>
          <w14:textFill>
            <w14:solidFill>
              <w14:schemeClr w14:val="tx1"/>
            </w14:solidFill>
          </w14:textFill>
        </w:rPr>
        <w:t>a</w:t>
      </w:r>
      <w:r>
        <w:rPr>
          <w:rFonts w:ascii="Times New Roman" w:hAnsi="Times New Roman"/>
          <w:color w:val="000000" w:themeColor="text1"/>
          <w:highlight w:val="none"/>
          <w14:textFill>
            <w14:solidFill>
              <w14:schemeClr w14:val="tx1"/>
            </w14:solidFill>
          </w14:textFill>
        </w:rPr>
        <w:t xml:space="preserve">) </w:t>
      </w:r>
      <w:r>
        <w:rPr>
          <w:rFonts w:hint="eastAsia" w:ascii="Times New Roman" w:hAnsi="Times New Roman"/>
          <w:color w:val="000000" w:themeColor="text1"/>
          <w:highlight w:val="none"/>
          <w14:textFill>
            <w14:solidFill>
              <w14:schemeClr w14:val="tx1"/>
            </w14:solidFill>
          </w14:textFill>
        </w:rPr>
        <w:t>解译过程中应遵循解译标志，不得随意更改解译标准；</w:t>
      </w:r>
    </w:p>
    <w:p w14:paraId="784651FC">
      <w:pPr>
        <w:widowControl/>
        <w:ind w:left="800" w:hanging="380"/>
        <w:jc w:val="both"/>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lang w:val="en-US" w:eastAsia="zh-CN"/>
          <w14:textFill>
            <w14:solidFill>
              <w14:schemeClr w14:val="tx1"/>
            </w14:solidFill>
          </w14:textFill>
        </w:rPr>
        <w:t>b</w:t>
      </w:r>
      <w:r>
        <w:rPr>
          <w:rFonts w:ascii="Times New Roman" w:hAnsi="Times New Roman"/>
          <w:color w:val="000000" w:themeColor="text1"/>
          <w:highlight w:val="none"/>
          <w14:textFill>
            <w14:solidFill>
              <w14:schemeClr w14:val="tx1"/>
            </w14:solidFill>
          </w14:textFill>
        </w:rPr>
        <w:t xml:space="preserve">) </w:t>
      </w:r>
      <w:r>
        <w:rPr>
          <w:rFonts w:hint="eastAsia" w:ascii="Times New Roman" w:hAnsi="Times New Roman"/>
          <w:color w:val="000000" w:themeColor="text1"/>
          <w:highlight w:val="none"/>
          <w14:textFill>
            <w14:solidFill>
              <w14:schemeClr w14:val="tx1"/>
            </w14:solidFill>
          </w14:textFill>
        </w:rPr>
        <w:t>解译过程中应做好详细记录，</w:t>
      </w:r>
      <w:r>
        <w:rPr>
          <w:rFonts w:hint="eastAsia" w:ascii="Times New Roman" w:hAnsi="Times New Roman"/>
          <w:color w:val="000000" w:themeColor="text1"/>
          <w:highlight w:val="none"/>
          <w:lang w:val="en-US" w:eastAsia="zh-CN"/>
          <w14:textFill>
            <w14:solidFill>
              <w14:schemeClr w14:val="tx1"/>
            </w14:solidFill>
          </w14:textFill>
        </w:rPr>
        <w:t>宜</w:t>
      </w:r>
      <w:r>
        <w:rPr>
          <w:rFonts w:hint="eastAsia" w:ascii="Times New Roman" w:hAnsi="Times New Roman"/>
          <w:color w:val="000000" w:themeColor="text1"/>
          <w:highlight w:val="none"/>
          <w14:textFill>
            <w14:solidFill>
              <w14:schemeClr w14:val="tx1"/>
            </w14:solidFill>
          </w14:textFill>
        </w:rPr>
        <w:t>包括解译时间、解译人员、解译标准、修正内容、验证结果等。</w:t>
      </w:r>
    </w:p>
    <w:p w14:paraId="2D393685">
      <w:pPr>
        <w:pStyle w:val="232"/>
        <w:widowControl/>
        <w:snapToGrid w:val="0"/>
        <w:spacing w:line="240" w:lineRule="auto"/>
        <w:jc w:val="both"/>
        <w:rPr>
          <w:rFonts w:hint="eastAsia" w:cs="黑体"/>
          <w:color w:val="000000" w:themeColor="text1"/>
          <w:highlight w:val="none"/>
          <w14:textFill>
            <w14:solidFill>
              <w14:schemeClr w14:val="tx1"/>
            </w14:solidFill>
          </w14:textFill>
        </w:rPr>
      </w:pPr>
      <w:bookmarkStart w:id="85" w:name="_Toc232414258"/>
      <w:r>
        <w:rPr>
          <w:rFonts w:hint="eastAsia" w:ascii="Times New Roman" w:hAnsi="Times New Roman"/>
          <w:color w:val="000000" w:themeColor="text1"/>
          <w:highlight w:val="none"/>
          <w14:textFill>
            <w14:solidFill>
              <w14:schemeClr w14:val="tx1"/>
            </w14:solidFill>
          </w14:textFill>
        </w:rPr>
        <w:t>监测分析方法及成果</w:t>
      </w:r>
      <w:bookmarkEnd w:id="85"/>
    </w:p>
    <w:p w14:paraId="3577DF0A">
      <w:pPr>
        <w:pStyle w:val="233"/>
        <w:keepNext w:val="0"/>
        <w:keepLines w:val="0"/>
        <w:widowControl/>
        <w:snapToGrid w:val="0"/>
        <w:spacing w:line="240" w:lineRule="auto"/>
        <w:ind w:left="567" w:hanging="567"/>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监测成果</w:t>
      </w:r>
    </w:p>
    <w:p w14:paraId="1E1579C2">
      <w:pPr>
        <w:widowControl/>
        <w:numPr>
          <w:ilvl w:val="255"/>
          <w:numId w:val="0"/>
        </w:numPr>
        <w:ind w:firstLine="420" w:firstLineChars="200"/>
        <w:jc w:val="both"/>
        <w:rPr>
          <w:rFonts w:ascii="Times New Roman" w:hAnsi="Times New Roman"/>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监测成果</w:t>
      </w:r>
      <w:r>
        <w:rPr>
          <w:rFonts w:hint="eastAsia" w:ascii="宋体" w:hAnsi="宋体"/>
          <w:color w:val="000000" w:themeColor="text1"/>
          <w:highlight w:val="none"/>
          <w:lang w:val="en-US" w:eastAsia="zh-CN"/>
          <w14:textFill>
            <w14:solidFill>
              <w14:schemeClr w14:val="tx1"/>
            </w14:solidFill>
          </w14:textFill>
        </w:rPr>
        <w:t>宜</w:t>
      </w:r>
      <w:r>
        <w:rPr>
          <w:rFonts w:hint="eastAsia" w:ascii="宋体" w:hAnsi="宋体"/>
          <w:color w:val="000000" w:themeColor="text1"/>
          <w:highlight w:val="none"/>
          <w14:textFill>
            <w14:solidFill>
              <w14:schemeClr w14:val="tx1"/>
            </w14:solidFill>
          </w14:textFill>
        </w:rPr>
        <w:t>包括</w:t>
      </w:r>
      <w:r>
        <w:rPr>
          <w:rFonts w:hint="eastAsia" w:ascii="宋体" w:hAnsi="宋体"/>
          <w:color w:val="000000" w:themeColor="text1"/>
          <w:highlight w:val="none"/>
          <w:lang w:val="en-US" w:eastAsia="zh-CN"/>
          <w14:textFill>
            <w14:solidFill>
              <w14:schemeClr w14:val="tx1"/>
            </w14:solidFill>
          </w14:textFill>
        </w:rPr>
        <w:t>专题分析</w:t>
      </w:r>
      <w:r>
        <w:rPr>
          <w:rFonts w:hint="eastAsia" w:ascii="Times New Roman" w:hAnsi="Times New Roman"/>
          <w:color w:val="000000" w:themeColor="text1"/>
          <w:highlight w:val="none"/>
          <w14:textFill>
            <w14:solidFill>
              <w14:schemeClr w14:val="tx1"/>
            </w14:solidFill>
          </w14:textFill>
        </w:rPr>
        <w:t>数据、</w:t>
      </w:r>
      <w:r>
        <w:rPr>
          <w:rFonts w:hint="eastAsia" w:ascii="Times New Roman" w:hAnsi="Times New Roman"/>
          <w:color w:val="000000" w:themeColor="text1"/>
          <w:highlight w:val="none"/>
          <w:lang w:val="en-US" w:eastAsia="zh-CN"/>
          <w14:textFill>
            <w14:solidFill>
              <w14:schemeClr w14:val="tx1"/>
            </w14:solidFill>
          </w14:textFill>
        </w:rPr>
        <w:t>监测</w:t>
      </w:r>
      <w:r>
        <w:rPr>
          <w:rFonts w:hint="eastAsia" w:ascii="Times New Roman" w:hAnsi="Times New Roman"/>
          <w:color w:val="000000" w:themeColor="text1"/>
          <w:highlight w:val="none"/>
          <w14:textFill>
            <w14:solidFill>
              <w14:schemeClr w14:val="tx1"/>
            </w14:solidFill>
          </w14:textFill>
        </w:rPr>
        <w:t>报告等类型，报告中应体现监测结论及整改建议。</w:t>
      </w:r>
    </w:p>
    <w:p w14:paraId="3CC169F5">
      <w:pPr>
        <w:pStyle w:val="233"/>
        <w:keepNext w:val="0"/>
        <w:keepLines w:val="0"/>
        <w:widowControl/>
        <w:snapToGrid w:val="0"/>
        <w:spacing w:line="240" w:lineRule="auto"/>
        <w:ind w:left="567" w:hanging="567"/>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成果要求</w:t>
      </w:r>
    </w:p>
    <w:p w14:paraId="35C9EF76">
      <w:pPr>
        <w:widowControl/>
        <w:ind w:firstLine="420" w:firstLineChars="200"/>
        <w:jc w:val="both"/>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监测成果应符合以下要求：</w:t>
      </w:r>
    </w:p>
    <w:p w14:paraId="706FAF66">
      <w:pPr>
        <w:widowControl/>
        <w:ind w:left="800" w:hanging="380"/>
        <w:jc w:val="both"/>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 xml:space="preserve">a) </w:t>
      </w:r>
      <w:r>
        <w:rPr>
          <w:rFonts w:hint="eastAsia"/>
          <w:highlight w:val="none"/>
        </w:rPr>
        <w:t>成果命名规范、条理清晰，便于查阅、归档和复用</w:t>
      </w:r>
      <w:r>
        <w:rPr>
          <w:rFonts w:hint="eastAsia" w:ascii="Times New Roman" w:hAnsi="Times New Roman"/>
          <w:color w:val="000000" w:themeColor="text1"/>
          <w:highlight w:val="none"/>
          <w14:textFill>
            <w14:solidFill>
              <w14:schemeClr w14:val="tx1"/>
            </w14:solidFill>
          </w14:textFill>
        </w:rPr>
        <w:t>；</w:t>
      </w:r>
    </w:p>
    <w:p w14:paraId="09096AB4">
      <w:pPr>
        <w:widowControl/>
        <w:ind w:left="800" w:hanging="380"/>
        <w:jc w:val="both"/>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b</w:t>
      </w:r>
      <w:r>
        <w:rPr>
          <w:rFonts w:ascii="Times New Roman" w:hAnsi="Times New Roman"/>
          <w:color w:val="000000" w:themeColor="text1"/>
          <w:highlight w:val="none"/>
          <w14:textFill>
            <w14:solidFill>
              <w14:schemeClr w14:val="tx1"/>
            </w14:solidFill>
          </w14:textFill>
        </w:rPr>
        <w:t xml:space="preserve">) </w:t>
      </w:r>
      <w:r>
        <w:rPr>
          <w:rFonts w:hint="eastAsia"/>
          <w:highlight w:val="none"/>
        </w:rPr>
        <w:t>成果输出频次与监测频次同步，监测完成后5日内提交</w:t>
      </w:r>
      <w:r>
        <w:rPr>
          <w:rFonts w:hint="eastAsia" w:ascii="Times New Roman" w:hAnsi="Times New Roman"/>
          <w:color w:val="000000" w:themeColor="text1"/>
          <w:highlight w:val="none"/>
          <w14:textFill>
            <w14:solidFill>
              <w14:schemeClr w14:val="tx1"/>
            </w14:solidFill>
          </w14:textFill>
        </w:rPr>
        <w:t>；</w:t>
      </w:r>
    </w:p>
    <w:p w14:paraId="661F36DE">
      <w:pPr>
        <w:widowControl/>
        <w:ind w:left="800" w:hanging="380"/>
        <w:jc w:val="both"/>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c</w:t>
      </w:r>
      <w:r>
        <w:rPr>
          <w:rFonts w:ascii="Times New Roman" w:hAnsi="Times New Roman"/>
          <w:color w:val="000000" w:themeColor="text1"/>
          <w:highlight w:val="none"/>
          <w14:textFill>
            <w14:solidFill>
              <w14:schemeClr w14:val="tx1"/>
            </w14:solidFill>
          </w14:textFill>
        </w:rPr>
        <w:t xml:space="preserve">) </w:t>
      </w:r>
      <w:r>
        <w:rPr>
          <w:rFonts w:hint="eastAsia"/>
          <w:highlight w:val="none"/>
        </w:rPr>
        <w:t>成果应基于真实监测数据及解译分析结果，数据详实、结论客观</w:t>
      </w:r>
      <w:r>
        <w:rPr>
          <w:rFonts w:hint="eastAsia" w:ascii="Times New Roman" w:hAnsi="Times New Roman"/>
          <w:color w:val="000000" w:themeColor="text1"/>
          <w:highlight w:val="none"/>
          <w14:textFill>
            <w14:solidFill>
              <w14:schemeClr w14:val="tx1"/>
            </w14:solidFill>
          </w14:textFill>
        </w:rPr>
        <w:t>。</w:t>
      </w:r>
    </w:p>
    <w:p w14:paraId="5460B057">
      <w:pPr>
        <w:widowControl/>
        <w:ind w:left="0" w:firstLine="0"/>
        <w:jc w:val="both"/>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br w:type="page"/>
      </w:r>
    </w:p>
    <w:p w14:paraId="5BBF2D79">
      <w:pPr>
        <w:pStyle w:val="76"/>
        <w:spacing w:before="156" w:beforeLines="50" w:after="156" w:line="240" w:lineRule="auto"/>
        <w:rPr>
          <w:rFonts w:hAnsi="黑体"/>
          <w:szCs w:val="21"/>
          <w:highlight w:val="none"/>
        </w:rPr>
      </w:pPr>
      <w:r>
        <w:rPr>
          <w:rFonts w:ascii="Times New Roman"/>
          <w:color w:val="000000" w:themeColor="text1"/>
          <w:highlight w:val="none"/>
          <w14:textFill>
            <w14:solidFill>
              <w14:schemeClr w14:val="tx1"/>
            </w14:solidFill>
          </w14:textFill>
        </w:rPr>
        <w:br w:type="textWrapping"/>
      </w:r>
      <w:bookmarkStart w:id="86" w:name="_Toc232414292"/>
      <w:bookmarkStart w:id="87" w:name="_Toc22031"/>
      <w:r>
        <w:rPr>
          <w:rFonts w:hint="eastAsia"/>
          <w:color w:val="000000" w:themeColor="text1"/>
          <w:highlight w:val="none"/>
          <w14:textFill>
            <w14:solidFill>
              <w14:schemeClr w14:val="tx1"/>
            </w14:solidFill>
          </w14:textFill>
        </w:rPr>
        <w:t>（规范性）</w:t>
      </w:r>
      <w:r>
        <w:rPr>
          <w:color w:val="000000" w:themeColor="text1"/>
          <w:highlight w:val="none"/>
          <w14:textFill>
            <w14:solidFill>
              <w14:schemeClr w14:val="tx1"/>
            </w14:solidFill>
          </w14:textFill>
        </w:rPr>
        <w:br w:type="textWrapping"/>
      </w:r>
      <w:r>
        <w:rPr>
          <w:rFonts w:hint="eastAsia" w:hAnsi="黑体"/>
          <w:szCs w:val="21"/>
          <w:highlight w:val="none"/>
        </w:rPr>
        <w:t>输变电工程水土保持遥感监测内容分类与说明</w:t>
      </w:r>
      <w:bookmarkEnd w:id="86"/>
    </w:p>
    <w:p w14:paraId="0096C349">
      <w:pPr>
        <w:pStyle w:val="56"/>
        <w:ind w:firstLine="420"/>
        <w:rPr>
          <w:rFonts w:ascii="Times New Roman"/>
          <w:color w:val="000000" w:themeColor="text1"/>
          <w:highlight w:val="none"/>
          <w14:textFill>
            <w14:solidFill>
              <w14:schemeClr w14:val="tx1"/>
            </w14:solidFill>
          </w14:textFill>
        </w:rPr>
      </w:pPr>
      <w:r>
        <w:rPr>
          <w:rFonts w:hint="default" w:ascii="Times New Roman" w:eastAsia="宋体"/>
          <w:color w:val="000000" w:themeColor="text1"/>
          <w:highlight w:val="none"/>
          <w14:textFill>
            <w14:solidFill>
              <w14:schemeClr w14:val="tx1"/>
            </w14:solidFill>
          </w14:textFill>
        </w:rPr>
        <w:t>表A.1</w:t>
      </w:r>
      <w:r>
        <w:rPr>
          <w:rFonts w:hint="eastAsia" w:ascii="Times New Roman"/>
          <w:color w:val="000000" w:themeColor="text1"/>
          <w:highlight w:val="none"/>
          <w14:textFill>
            <w14:solidFill>
              <w14:schemeClr w14:val="tx1"/>
            </w14:solidFill>
          </w14:textFill>
        </w:rPr>
        <w:t>规定了输电工程水土保持遥感监测内容。</w:t>
      </w:r>
    </w:p>
    <w:p w14:paraId="01B3BD6B">
      <w:pPr>
        <w:pStyle w:val="56"/>
        <w:spacing w:before="156" w:beforeLines="50" w:after="156" w:afterLines="50"/>
        <w:ind w:firstLine="0" w:firstLineChars="0"/>
        <w:jc w:val="center"/>
        <w:rPr>
          <w:rFonts w:hint="eastAsia" w:ascii="黑体" w:hAnsi="黑体" w:eastAsia="黑体"/>
          <w:szCs w:val="21"/>
          <w:highlight w:val="none"/>
        </w:rPr>
      </w:pPr>
      <w:r>
        <w:rPr>
          <w:rFonts w:hint="eastAsia" w:ascii="黑体" w:hAnsi="黑体" w:eastAsia="黑体"/>
          <w:highlight w:val="none"/>
        </w:rPr>
        <w:t xml:space="preserve">表A.1 </w:t>
      </w:r>
      <w:r>
        <w:rPr>
          <w:rFonts w:ascii="黑体" w:hAnsi="黑体" w:eastAsia="黑体"/>
          <w:highlight w:val="none"/>
        </w:rPr>
        <w:t>输变电工程水土保持遥感监测内容分类与说明</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222"/>
        <w:gridCol w:w="2256"/>
        <w:gridCol w:w="5065"/>
      </w:tblGrid>
      <w:tr w14:paraId="1DF3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715" w:type="pct"/>
            <w:tcMar>
              <w:top w:w="120" w:type="dxa"/>
              <w:left w:w="120" w:type="dxa"/>
              <w:bottom w:w="120" w:type="dxa"/>
              <w:right w:w="120" w:type="dxa"/>
            </w:tcMar>
            <w:vAlign w:val="center"/>
          </w:tcPr>
          <w:p w14:paraId="740519A2">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监测大类</w:t>
            </w:r>
          </w:p>
        </w:tc>
        <w:tc>
          <w:tcPr>
            <w:tcW w:w="1320" w:type="pct"/>
            <w:tcMar>
              <w:top w:w="120" w:type="dxa"/>
              <w:left w:w="120" w:type="dxa"/>
              <w:bottom w:w="120" w:type="dxa"/>
              <w:right w:w="120" w:type="dxa"/>
            </w:tcMar>
            <w:vAlign w:val="center"/>
          </w:tcPr>
          <w:p w14:paraId="328A0023">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sz w:val="18"/>
                <w:szCs w:val="18"/>
                <w:highlight w:val="none"/>
              </w:rPr>
              <w:t>监测子类</w:t>
            </w:r>
          </w:p>
        </w:tc>
        <w:tc>
          <w:tcPr>
            <w:tcW w:w="2964" w:type="pct"/>
            <w:tcMar>
              <w:top w:w="120" w:type="dxa"/>
              <w:left w:w="120" w:type="dxa"/>
              <w:bottom w:w="120" w:type="dxa"/>
              <w:right w:w="120" w:type="dxa"/>
            </w:tcMar>
            <w:vAlign w:val="center"/>
          </w:tcPr>
          <w:p w14:paraId="5EDCCEE4">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监测说明</w:t>
            </w:r>
          </w:p>
        </w:tc>
      </w:tr>
      <w:tr w14:paraId="47AFB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5" w:type="pct"/>
            <w:vMerge w:val="restart"/>
            <w:tcMar>
              <w:top w:w="120" w:type="dxa"/>
              <w:left w:w="120" w:type="dxa"/>
              <w:bottom w:w="120" w:type="dxa"/>
              <w:right w:w="120" w:type="dxa"/>
            </w:tcMar>
            <w:vAlign w:val="center"/>
          </w:tcPr>
          <w:p w14:paraId="02876B33">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土地利用</w:t>
            </w:r>
            <w:r>
              <w:rPr>
                <w:rFonts w:hint="eastAsia" w:ascii="Times New Roman" w:hAnsi="Times New Roman"/>
                <w:kern w:val="0"/>
                <w:sz w:val="18"/>
                <w:szCs w:val="18"/>
                <w:highlight w:val="none"/>
                <w:lang w:bidi="ar"/>
              </w:rPr>
              <w:t>现状分类</w:t>
            </w:r>
          </w:p>
        </w:tc>
        <w:tc>
          <w:tcPr>
            <w:tcW w:w="1320" w:type="pct"/>
            <w:tcMar>
              <w:top w:w="120" w:type="dxa"/>
              <w:left w:w="120" w:type="dxa"/>
              <w:bottom w:w="120" w:type="dxa"/>
              <w:right w:w="120" w:type="dxa"/>
            </w:tcMar>
            <w:vAlign w:val="center"/>
          </w:tcPr>
          <w:p w14:paraId="2307AB69">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核心施工区域土地利用类型</w:t>
            </w:r>
          </w:p>
        </w:tc>
        <w:tc>
          <w:tcPr>
            <w:tcW w:w="2964" w:type="pct"/>
            <w:tcMar>
              <w:top w:w="120" w:type="dxa"/>
              <w:left w:w="120" w:type="dxa"/>
              <w:bottom w:w="120" w:type="dxa"/>
              <w:right w:w="120" w:type="dxa"/>
            </w:tcMar>
            <w:vAlign w:val="center"/>
          </w:tcPr>
          <w:p w14:paraId="5888C4B4">
            <w:pPr>
              <w:widowControl/>
              <w:adjustRightInd w:val="0"/>
              <w:snapToGrid w:val="0"/>
              <w:spacing w:line="300" w:lineRule="exact"/>
              <w:textAlignment w:val="top"/>
              <w:rPr>
                <w:rFonts w:ascii="Times New Roman" w:hAnsi="Times New Roman"/>
                <w:sz w:val="18"/>
                <w:szCs w:val="18"/>
                <w:highlight w:val="none"/>
              </w:rPr>
            </w:pPr>
            <w:r>
              <w:rPr>
                <w:rFonts w:ascii="Times New Roman" w:hAnsi="Times New Roman"/>
                <w:kern w:val="0"/>
                <w:sz w:val="18"/>
                <w:szCs w:val="18"/>
                <w:highlight w:val="none"/>
                <w:lang w:bidi="ar"/>
              </w:rPr>
              <w:t>重点识别变电站、塔基、牵张场等核心标志物区域的土地利用类型</w:t>
            </w:r>
          </w:p>
        </w:tc>
      </w:tr>
      <w:tr w14:paraId="13F2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5" w:type="pct"/>
            <w:vMerge w:val="continue"/>
            <w:tcMar>
              <w:top w:w="120" w:type="dxa"/>
              <w:left w:w="120" w:type="dxa"/>
              <w:bottom w:w="120" w:type="dxa"/>
              <w:right w:w="120" w:type="dxa"/>
            </w:tcMar>
            <w:vAlign w:val="center"/>
          </w:tcPr>
          <w:p w14:paraId="7B95ED52">
            <w:pPr>
              <w:widowControl/>
              <w:adjustRightInd w:val="0"/>
              <w:snapToGrid w:val="0"/>
              <w:spacing w:line="300" w:lineRule="exact"/>
              <w:jc w:val="center"/>
              <w:rPr>
                <w:rFonts w:ascii="Times New Roman" w:hAnsi="Times New Roman"/>
                <w:sz w:val="18"/>
                <w:szCs w:val="18"/>
                <w:highlight w:val="none"/>
              </w:rPr>
            </w:pPr>
          </w:p>
        </w:tc>
        <w:tc>
          <w:tcPr>
            <w:tcW w:w="1320" w:type="pct"/>
            <w:tcMar>
              <w:top w:w="120" w:type="dxa"/>
              <w:left w:w="120" w:type="dxa"/>
              <w:bottom w:w="120" w:type="dxa"/>
              <w:right w:w="120" w:type="dxa"/>
            </w:tcMar>
            <w:vAlign w:val="center"/>
          </w:tcPr>
          <w:p w14:paraId="657586AD">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线路沿线土地利用类型</w:t>
            </w:r>
          </w:p>
        </w:tc>
        <w:tc>
          <w:tcPr>
            <w:tcW w:w="2964" w:type="pct"/>
            <w:tcMar>
              <w:top w:w="120" w:type="dxa"/>
              <w:left w:w="120" w:type="dxa"/>
              <w:bottom w:w="120" w:type="dxa"/>
              <w:right w:w="120" w:type="dxa"/>
            </w:tcMar>
            <w:vAlign w:val="center"/>
          </w:tcPr>
          <w:p w14:paraId="08E54F28">
            <w:pPr>
              <w:widowControl/>
              <w:adjustRightInd w:val="0"/>
              <w:snapToGrid w:val="0"/>
              <w:spacing w:line="300" w:lineRule="exact"/>
              <w:textAlignment w:val="top"/>
              <w:rPr>
                <w:rFonts w:ascii="Times New Roman" w:hAnsi="Times New Roman"/>
                <w:sz w:val="18"/>
                <w:szCs w:val="18"/>
                <w:highlight w:val="none"/>
              </w:rPr>
            </w:pPr>
            <w:r>
              <w:rPr>
                <w:rFonts w:ascii="Times New Roman" w:hAnsi="Times New Roman"/>
                <w:kern w:val="0"/>
                <w:sz w:val="18"/>
                <w:szCs w:val="18"/>
                <w:highlight w:val="none"/>
                <w:lang w:bidi="ar"/>
              </w:rPr>
              <w:t>监测输变电线路走廊及周边一定范围内的土地利用类型</w:t>
            </w:r>
          </w:p>
        </w:tc>
      </w:tr>
      <w:tr w14:paraId="00F2C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5" w:type="pct"/>
            <w:vMerge w:val="continue"/>
            <w:tcMar>
              <w:top w:w="120" w:type="dxa"/>
              <w:left w:w="120" w:type="dxa"/>
              <w:bottom w:w="120" w:type="dxa"/>
              <w:right w:w="120" w:type="dxa"/>
            </w:tcMar>
            <w:vAlign w:val="center"/>
          </w:tcPr>
          <w:p w14:paraId="1CDDCA7C">
            <w:pPr>
              <w:widowControl/>
              <w:adjustRightInd w:val="0"/>
              <w:snapToGrid w:val="0"/>
              <w:spacing w:line="300" w:lineRule="exact"/>
              <w:jc w:val="center"/>
              <w:rPr>
                <w:rFonts w:ascii="Times New Roman" w:hAnsi="Times New Roman"/>
                <w:sz w:val="18"/>
                <w:szCs w:val="18"/>
                <w:highlight w:val="none"/>
              </w:rPr>
            </w:pPr>
          </w:p>
        </w:tc>
        <w:tc>
          <w:tcPr>
            <w:tcW w:w="1320" w:type="pct"/>
            <w:tcMar>
              <w:top w:w="120" w:type="dxa"/>
              <w:left w:w="120" w:type="dxa"/>
              <w:bottom w:w="120" w:type="dxa"/>
              <w:right w:w="120" w:type="dxa"/>
            </w:tcMar>
            <w:vAlign w:val="center"/>
          </w:tcPr>
          <w:p w14:paraId="6AC98605">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扰动区域土地利用</w:t>
            </w:r>
            <w:r>
              <w:rPr>
                <w:rFonts w:hint="eastAsia" w:ascii="Times New Roman" w:hAnsi="Times New Roman"/>
                <w:kern w:val="0"/>
                <w:sz w:val="18"/>
                <w:szCs w:val="18"/>
                <w:highlight w:val="none"/>
                <w:lang w:val="en-US" w:eastAsia="zh-CN" w:bidi="ar"/>
              </w:rPr>
              <w:t>变化</w:t>
            </w:r>
          </w:p>
        </w:tc>
        <w:tc>
          <w:tcPr>
            <w:tcW w:w="2964" w:type="pct"/>
            <w:tcMar>
              <w:top w:w="120" w:type="dxa"/>
              <w:left w:w="120" w:type="dxa"/>
              <w:bottom w:w="120" w:type="dxa"/>
              <w:right w:w="120" w:type="dxa"/>
            </w:tcMar>
            <w:vAlign w:val="center"/>
          </w:tcPr>
          <w:p w14:paraId="09267CCE">
            <w:pPr>
              <w:widowControl/>
              <w:adjustRightInd w:val="0"/>
              <w:snapToGrid w:val="0"/>
              <w:spacing w:line="300" w:lineRule="exact"/>
              <w:textAlignment w:val="top"/>
              <w:rPr>
                <w:rFonts w:hint="eastAsia" w:ascii="Times New Roman" w:hAnsi="Times New Roman" w:eastAsia="宋体"/>
                <w:sz w:val="18"/>
                <w:szCs w:val="18"/>
                <w:highlight w:val="none"/>
                <w:lang w:val="en-US" w:eastAsia="zh-CN"/>
              </w:rPr>
            </w:pPr>
            <w:r>
              <w:rPr>
                <w:rFonts w:ascii="Times New Roman" w:hAnsi="Times New Roman"/>
                <w:kern w:val="0"/>
                <w:sz w:val="18"/>
                <w:szCs w:val="18"/>
                <w:highlight w:val="none"/>
                <w:lang w:bidi="ar"/>
              </w:rPr>
              <w:t>监测施工扰动导致的土地利用类型</w:t>
            </w:r>
            <w:r>
              <w:rPr>
                <w:rFonts w:hint="eastAsia" w:ascii="Times New Roman" w:hAnsi="Times New Roman"/>
                <w:kern w:val="0"/>
                <w:sz w:val="18"/>
                <w:szCs w:val="18"/>
                <w:highlight w:val="none"/>
                <w:lang w:val="en-US" w:eastAsia="zh-CN" w:bidi="ar"/>
              </w:rPr>
              <w:t>变化</w:t>
            </w:r>
          </w:p>
        </w:tc>
      </w:tr>
      <w:tr w14:paraId="0FDE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5" w:type="pct"/>
            <w:vMerge w:val="restart"/>
            <w:tcMar>
              <w:top w:w="120" w:type="dxa"/>
              <w:left w:w="120" w:type="dxa"/>
              <w:bottom w:w="120" w:type="dxa"/>
              <w:right w:w="120" w:type="dxa"/>
            </w:tcMar>
            <w:vAlign w:val="center"/>
          </w:tcPr>
          <w:p w14:paraId="19FF1D01">
            <w:pPr>
              <w:widowControl/>
              <w:adjustRightInd w:val="0"/>
              <w:snapToGrid w:val="0"/>
              <w:spacing w:line="300" w:lineRule="exact"/>
              <w:jc w:val="center"/>
              <w:textAlignment w:val="top"/>
              <w:rPr>
                <w:rFonts w:ascii="Times New Roman" w:hAnsi="Times New Roman"/>
                <w:sz w:val="18"/>
                <w:szCs w:val="18"/>
                <w:highlight w:val="none"/>
              </w:rPr>
            </w:pPr>
            <w:r>
              <w:rPr>
                <w:rFonts w:hint="eastAsia" w:ascii="Times New Roman" w:hAnsi="Times New Roman"/>
                <w:kern w:val="0"/>
                <w:sz w:val="18"/>
                <w:szCs w:val="18"/>
                <w:highlight w:val="none"/>
                <w:lang w:bidi="ar"/>
              </w:rPr>
              <w:t>地表扰动</w:t>
            </w:r>
          </w:p>
        </w:tc>
        <w:tc>
          <w:tcPr>
            <w:tcW w:w="1320" w:type="pct"/>
            <w:tcMar>
              <w:top w:w="120" w:type="dxa"/>
              <w:left w:w="120" w:type="dxa"/>
              <w:bottom w:w="120" w:type="dxa"/>
              <w:right w:w="120" w:type="dxa"/>
            </w:tcMar>
            <w:vAlign w:val="center"/>
          </w:tcPr>
          <w:p w14:paraId="4C39DF79">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扰动面积与分布</w:t>
            </w:r>
          </w:p>
        </w:tc>
        <w:tc>
          <w:tcPr>
            <w:tcW w:w="2964" w:type="pct"/>
            <w:tcMar>
              <w:top w:w="120" w:type="dxa"/>
              <w:left w:w="120" w:type="dxa"/>
              <w:bottom w:w="120" w:type="dxa"/>
              <w:right w:w="120" w:type="dxa"/>
            </w:tcMar>
            <w:vAlign w:val="center"/>
          </w:tcPr>
          <w:p w14:paraId="62447AFF">
            <w:pPr>
              <w:widowControl/>
              <w:adjustRightInd w:val="0"/>
              <w:snapToGrid w:val="0"/>
              <w:spacing w:line="300" w:lineRule="exact"/>
              <w:textAlignment w:val="top"/>
              <w:rPr>
                <w:rFonts w:ascii="Times New Roman" w:hAnsi="Times New Roman"/>
                <w:sz w:val="18"/>
                <w:szCs w:val="18"/>
                <w:highlight w:val="none"/>
              </w:rPr>
            </w:pPr>
            <w:r>
              <w:rPr>
                <w:rFonts w:ascii="Times New Roman" w:hAnsi="Times New Roman"/>
                <w:kern w:val="0"/>
                <w:sz w:val="18"/>
                <w:szCs w:val="18"/>
                <w:highlight w:val="none"/>
                <w:lang w:bidi="ar"/>
              </w:rPr>
              <w:t>监测工程区域内</w:t>
            </w:r>
            <w:r>
              <w:rPr>
                <w:rFonts w:hint="eastAsia" w:ascii="Times New Roman" w:hAnsi="Times New Roman"/>
                <w:kern w:val="0"/>
                <w:sz w:val="18"/>
                <w:szCs w:val="18"/>
                <w:highlight w:val="none"/>
                <w:lang w:bidi="ar"/>
              </w:rPr>
              <w:t>施工</w:t>
            </w:r>
            <w:r>
              <w:rPr>
                <w:rFonts w:ascii="Times New Roman" w:hAnsi="Times New Roman"/>
                <w:kern w:val="0"/>
                <w:sz w:val="18"/>
                <w:szCs w:val="18"/>
                <w:highlight w:val="none"/>
                <w:lang w:bidi="ar"/>
              </w:rPr>
              <w:t>扰动面积、空间分布及动态变化</w:t>
            </w:r>
          </w:p>
        </w:tc>
      </w:tr>
      <w:tr w14:paraId="6A68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5" w:type="pct"/>
            <w:vMerge w:val="continue"/>
            <w:tcMar>
              <w:top w:w="120" w:type="dxa"/>
              <w:left w:w="120" w:type="dxa"/>
              <w:bottom w:w="120" w:type="dxa"/>
              <w:right w:w="120" w:type="dxa"/>
            </w:tcMar>
            <w:vAlign w:val="center"/>
          </w:tcPr>
          <w:p w14:paraId="7EFFCE40">
            <w:pPr>
              <w:widowControl/>
              <w:adjustRightInd w:val="0"/>
              <w:snapToGrid w:val="0"/>
              <w:spacing w:line="300" w:lineRule="exact"/>
              <w:jc w:val="center"/>
              <w:rPr>
                <w:rFonts w:ascii="Times New Roman" w:hAnsi="Times New Roman"/>
                <w:sz w:val="18"/>
                <w:szCs w:val="18"/>
                <w:highlight w:val="none"/>
              </w:rPr>
            </w:pPr>
          </w:p>
        </w:tc>
        <w:tc>
          <w:tcPr>
            <w:tcW w:w="1320" w:type="pct"/>
            <w:tcMar>
              <w:top w:w="120" w:type="dxa"/>
              <w:left w:w="120" w:type="dxa"/>
              <w:bottom w:w="120" w:type="dxa"/>
              <w:right w:w="120" w:type="dxa"/>
            </w:tcMar>
            <w:vAlign w:val="center"/>
          </w:tcPr>
          <w:p w14:paraId="1EF431AE">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扰动强度</w:t>
            </w:r>
          </w:p>
        </w:tc>
        <w:tc>
          <w:tcPr>
            <w:tcW w:w="2964" w:type="pct"/>
            <w:tcMar>
              <w:top w:w="120" w:type="dxa"/>
              <w:left w:w="120" w:type="dxa"/>
              <w:bottom w:w="120" w:type="dxa"/>
              <w:right w:w="120" w:type="dxa"/>
            </w:tcMar>
            <w:vAlign w:val="center"/>
          </w:tcPr>
          <w:p w14:paraId="59C9037C">
            <w:pPr>
              <w:widowControl/>
              <w:adjustRightInd w:val="0"/>
              <w:snapToGrid w:val="0"/>
              <w:spacing w:line="300" w:lineRule="exact"/>
              <w:textAlignment w:val="top"/>
              <w:rPr>
                <w:rFonts w:ascii="Times New Roman" w:hAnsi="Times New Roman"/>
                <w:sz w:val="18"/>
                <w:szCs w:val="18"/>
                <w:highlight w:val="none"/>
              </w:rPr>
            </w:pPr>
            <w:r>
              <w:rPr>
                <w:rFonts w:ascii="Times New Roman" w:hAnsi="Times New Roman"/>
                <w:kern w:val="0"/>
                <w:sz w:val="18"/>
                <w:szCs w:val="18"/>
                <w:highlight w:val="none"/>
                <w:lang w:bidi="ar"/>
              </w:rPr>
              <w:t>监测不同区域扰动强度，重点关注塔基开挖、弃渣堆放等重度扰动区域</w:t>
            </w:r>
          </w:p>
        </w:tc>
      </w:tr>
      <w:tr w14:paraId="336B3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5" w:type="pct"/>
            <w:vMerge w:val="restart"/>
            <w:tcMar>
              <w:top w:w="120" w:type="dxa"/>
              <w:left w:w="120" w:type="dxa"/>
              <w:bottom w:w="120" w:type="dxa"/>
              <w:right w:w="120" w:type="dxa"/>
            </w:tcMar>
            <w:vAlign w:val="center"/>
          </w:tcPr>
          <w:p w14:paraId="158B56D6">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水土保持措施</w:t>
            </w:r>
          </w:p>
        </w:tc>
        <w:tc>
          <w:tcPr>
            <w:tcW w:w="1320" w:type="pct"/>
            <w:tcMar>
              <w:top w:w="120" w:type="dxa"/>
              <w:left w:w="120" w:type="dxa"/>
              <w:bottom w:w="120" w:type="dxa"/>
              <w:right w:w="120" w:type="dxa"/>
            </w:tcMar>
            <w:vAlign w:val="center"/>
          </w:tcPr>
          <w:p w14:paraId="52DFFEDA">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工程措施</w:t>
            </w:r>
          </w:p>
        </w:tc>
        <w:tc>
          <w:tcPr>
            <w:tcW w:w="2964" w:type="pct"/>
            <w:tcMar>
              <w:top w:w="120" w:type="dxa"/>
              <w:left w:w="120" w:type="dxa"/>
              <w:bottom w:w="120" w:type="dxa"/>
              <w:right w:w="120" w:type="dxa"/>
            </w:tcMar>
            <w:vAlign w:val="center"/>
          </w:tcPr>
          <w:p w14:paraId="51234AA1">
            <w:pPr>
              <w:widowControl/>
              <w:adjustRightInd w:val="0"/>
              <w:snapToGrid w:val="0"/>
              <w:spacing w:line="300" w:lineRule="exact"/>
              <w:textAlignment w:val="top"/>
              <w:rPr>
                <w:rFonts w:ascii="Times New Roman" w:hAnsi="Times New Roman"/>
                <w:sz w:val="18"/>
                <w:szCs w:val="18"/>
                <w:highlight w:val="none"/>
              </w:rPr>
            </w:pPr>
            <w:r>
              <w:rPr>
                <w:rFonts w:ascii="Times New Roman" w:hAnsi="Times New Roman"/>
                <w:kern w:val="0"/>
                <w:sz w:val="18"/>
                <w:szCs w:val="18"/>
                <w:highlight w:val="none"/>
                <w:lang w:bidi="ar"/>
              </w:rPr>
              <w:t>监测拦挡设施、截排水系统、综合护坡、弃渣防护等工程措施的</w:t>
            </w:r>
            <w:r>
              <w:rPr>
                <w:rFonts w:hint="eastAsia" w:ascii="Times New Roman" w:hAnsi="Times New Roman"/>
                <w:kern w:val="0"/>
                <w:sz w:val="18"/>
                <w:szCs w:val="18"/>
                <w:highlight w:val="none"/>
                <w:lang w:bidi="ar"/>
              </w:rPr>
              <w:t>落实情况</w:t>
            </w:r>
          </w:p>
        </w:tc>
      </w:tr>
      <w:tr w14:paraId="4189A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5" w:type="pct"/>
            <w:vMerge w:val="continue"/>
            <w:tcMar>
              <w:top w:w="120" w:type="dxa"/>
              <w:left w:w="120" w:type="dxa"/>
              <w:bottom w:w="120" w:type="dxa"/>
              <w:right w:w="120" w:type="dxa"/>
            </w:tcMar>
            <w:vAlign w:val="center"/>
          </w:tcPr>
          <w:p w14:paraId="5AF4F17A">
            <w:pPr>
              <w:widowControl/>
              <w:adjustRightInd w:val="0"/>
              <w:snapToGrid w:val="0"/>
              <w:spacing w:line="300" w:lineRule="exact"/>
              <w:jc w:val="center"/>
              <w:rPr>
                <w:rFonts w:ascii="Times New Roman" w:hAnsi="Times New Roman"/>
                <w:sz w:val="18"/>
                <w:szCs w:val="18"/>
                <w:highlight w:val="none"/>
              </w:rPr>
            </w:pPr>
          </w:p>
        </w:tc>
        <w:tc>
          <w:tcPr>
            <w:tcW w:w="1320" w:type="pct"/>
            <w:tcMar>
              <w:top w:w="120" w:type="dxa"/>
              <w:left w:w="120" w:type="dxa"/>
              <w:bottom w:w="120" w:type="dxa"/>
              <w:right w:w="120" w:type="dxa"/>
            </w:tcMar>
            <w:vAlign w:val="center"/>
          </w:tcPr>
          <w:p w14:paraId="128749FD">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植物措施</w:t>
            </w:r>
          </w:p>
        </w:tc>
        <w:tc>
          <w:tcPr>
            <w:tcW w:w="2964" w:type="pct"/>
            <w:tcMar>
              <w:top w:w="120" w:type="dxa"/>
              <w:left w:w="120" w:type="dxa"/>
              <w:bottom w:w="120" w:type="dxa"/>
              <w:right w:w="120" w:type="dxa"/>
            </w:tcMar>
            <w:vAlign w:val="center"/>
          </w:tcPr>
          <w:p w14:paraId="105CE8EB">
            <w:pPr>
              <w:widowControl/>
              <w:adjustRightInd w:val="0"/>
              <w:snapToGrid w:val="0"/>
              <w:spacing w:line="300" w:lineRule="exact"/>
              <w:textAlignment w:val="top"/>
              <w:rPr>
                <w:rFonts w:ascii="Times New Roman" w:hAnsi="Times New Roman"/>
                <w:sz w:val="18"/>
                <w:szCs w:val="18"/>
                <w:highlight w:val="none"/>
              </w:rPr>
            </w:pPr>
            <w:r>
              <w:rPr>
                <w:rFonts w:ascii="Times New Roman" w:hAnsi="Times New Roman"/>
                <w:kern w:val="0"/>
                <w:sz w:val="18"/>
                <w:szCs w:val="18"/>
                <w:highlight w:val="none"/>
                <w:lang w:bidi="ar"/>
              </w:rPr>
              <w:t>监测绿化种植</w:t>
            </w:r>
            <w:r>
              <w:rPr>
                <w:rFonts w:hint="eastAsia" w:ascii="Times New Roman" w:hAnsi="Times New Roman"/>
                <w:kern w:val="0"/>
                <w:sz w:val="18"/>
                <w:szCs w:val="18"/>
                <w:highlight w:val="none"/>
                <w:lang w:bidi="ar"/>
              </w:rPr>
              <w:t>、</w:t>
            </w:r>
            <w:r>
              <w:rPr>
                <w:rFonts w:ascii="Times New Roman" w:hAnsi="Times New Roman"/>
                <w:kern w:val="0"/>
                <w:sz w:val="18"/>
                <w:szCs w:val="18"/>
                <w:highlight w:val="none"/>
                <w:lang w:bidi="ar"/>
              </w:rPr>
              <w:t>植被恢复等植物措施的</w:t>
            </w:r>
            <w:r>
              <w:rPr>
                <w:rFonts w:hint="eastAsia" w:ascii="Times New Roman" w:hAnsi="Times New Roman"/>
                <w:kern w:val="0"/>
                <w:sz w:val="18"/>
                <w:szCs w:val="18"/>
                <w:highlight w:val="none"/>
                <w:lang w:bidi="ar"/>
              </w:rPr>
              <w:t>落实与生长情况</w:t>
            </w:r>
          </w:p>
        </w:tc>
      </w:tr>
      <w:tr w14:paraId="1ABA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5" w:type="pct"/>
            <w:vMerge w:val="continue"/>
            <w:tcMar>
              <w:top w:w="120" w:type="dxa"/>
              <w:left w:w="120" w:type="dxa"/>
              <w:bottom w:w="120" w:type="dxa"/>
              <w:right w:w="120" w:type="dxa"/>
            </w:tcMar>
            <w:vAlign w:val="center"/>
          </w:tcPr>
          <w:p w14:paraId="37C1A036">
            <w:pPr>
              <w:widowControl/>
              <w:adjustRightInd w:val="0"/>
              <w:snapToGrid w:val="0"/>
              <w:spacing w:line="300" w:lineRule="exact"/>
              <w:jc w:val="center"/>
              <w:rPr>
                <w:rFonts w:ascii="Times New Roman" w:hAnsi="Times New Roman"/>
                <w:sz w:val="18"/>
                <w:szCs w:val="18"/>
                <w:highlight w:val="none"/>
              </w:rPr>
            </w:pPr>
          </w:p>
        </w:tc>
        <w:tc>
          <w:tcPr>
            <w:tcW w:w="1320" w:type="pct"/>
            <w:tcMar>
              <w:top w:w="120" w:type="dxa"/>
              <w:left w:w="120" w:type="dxa"/>
              <w:bottom w:w="120" w:type="dxa"/>
              <w:right w:w="120" w:type="dxa"/>
            </w:tcMar>
            <w:vAlign w:val="center"/>
          </w:tcPr>
          <w:p w14:paraId="22CF2CF5">
            <w:pPr>
              <w:widowControl/>
              <w:adjustRightInd w:val="0"/>
              <w:snapToGrid w:val="0"/>
              <w:spacing w:line="300" w:lineRule="exact"/>
              <w:jc w:val="center"/>
              <w:textAlignment w:val="top"/>
              <w:rPr>
                <w:rFonts w:ascii="Times New Roman" w:hAnsi="Times New Roman"/>
                <w:sz w:val="18"/>
                <w:szCs w:val="18"/>
                <w:highlight w:val="none"/>
              </w:rPr>
            </w:pPr>
            <w:r>
              <w:rPr>
                <w:rFonts w:ascii="Times New Roman" w:hAnsi="Times New Roman"/>
                <w:kern w:val="0"/>
                <w:sz w:val="18"/>
                <w:szCs w:val="18"/>
                <w:highlight w:val="none"/>
                <w:lang w:bidi="ar"/>
              </w:rPr>
              <w:t>临时措施</w:t>
            </w:r>
          </w:p>
        </w:tc>
        <w:tc>
          <w:tcPr>
            <w:tcW w:w="2964" w:type="pct"/>
            <w:tcMar>
              <w:top w:w="120" w:type="dxa"/>
              <w:left w:w="120" w:type="dxa"/>
              <w:bottom w:w="120" w:type="dxa"/>
              <w:right w:w="120" w:type="dxa"/>
            </w:tcMar>
            <w:vAlign w:val="center"/>
          </w:tcPr>
          <w:p w14:paraId="3C12F575">
            <w:pPr>
              <w:widowControl/>
              <w:adjustRightInd w:val="0"/>
              <w:snapToGrid w:val="0"/>
              <w:spacing w:line="300" w:lineRule="exact"/>
              <w:textAlignment w:val="top"/>
              <w:rPr>
                <w:rFonts w:ascii="Times New Roman" w:hAnsi="Times New Roman"/>
                <w:sz w:val="18"/>
                <w:szCs w:val="18"/>
                <w:highlight w:val="none"/>
              </w:rPr>
            </w:pPr>
            <w:r>
              <w:rPr>
                <w:rFonts w:ascii="Times New Roman" w:hAnsi="Times New Roman"/>
                <w:kern w:val="0"/>
                <w:sz w:val="18"/>
                <w:szCs w:val="18"/>
                <w:highlight w:val="none"/>
                <w:lang w:bidi="ar"/>
              </w:rPr>
              <w:t>监测</w:t>
            </w:r>
            <w:r>
              <w:rPr>
                <w:rFonts w:hint="eastAsia" w:ascii="Times New Roman" w:hAnsi="Times New Roman"/>
                <w:kern w:val="0"/>
                <w:sz w:val="18"/>
                <w:szCs w:val="18"/>
                <w:highlight w:val="none"/>
                <w:lang w:bidi="ar"/>
              </w:rPr>
              <w:t>苫盖</w:t>
            </w:r>
            <w:r>
              <w:rPr>
                <w:rFonts w:ascii="Times New Roman" w:hAnsi="Times New Roman"/>
                <w:kern w:val="0"/>
                <w:sz w:val="18"/>
                <w:szCs w:val="18"/>
                <w:highlight w:val="none"/>
                <w:lang w:bidi="ar"/>
              </w:rPr>
              <w:t>、</w:t>
            </w:r>
            <w:r>
              <w:rPr>
                <w:rFonts w:hint="eastAsia" w:ascii="Times New Roman" w:hAnsi="Times New Roman"/>
                <w:kern w:val="0"/>
                <w:sz w:val="18"/>
                <w:szCs w:val="18"/>
                <w:highlight w:val="none"/>
                <w:lang w:bidi="ar"/>
              </w:rPr>
              <w:t>临时沉淀池</w:t>
            </w:r>
            <w:r>
              <w:rPr>
                <w:rFonts w:ascii="Times New Roman" w:hAnsi="Times New Roman"/>
                <w:kern w:val="0"/>
                <w:sz w:val="18"/>
                <w:szCs w:val="18"/>
                <w:highlight w:val="none"/>
                <w:lang w:bidi="ar"/>
              </w:rPr>
              <w:t>等临时措施的</w:t>
            </w:r>
            <w:r>
              <w:rPr>
                <w:rFonts w:hint="eastAsia" w:ascii="Times New Roman" w:hAnsi="Times New Roman"/>
                <w:kern w:val="0"/>
                <w:sz w:val="18"/>
                <w:szCs w:val="18"/>
                <w:highlight w:val="none"/>
                <w:lang w:bidi="ar"/>
              </w:rPr>
              <w:t>落实情况</w:t>
            </w:r>
          </w:p>
        </w:tc>
      </w:tr>
    </w:tbl>
    <w:p w14:paraId="183CD608">
      <w:pPr>
        <w:ind w:firstLine="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68CDFB7">
      <w:pPr>
        <w:pStyle w:val="76"/>
        <w:spacing w:before="78" w:after="156"/>
        <w:rPr>
          <w:color w:val="000000" w:themeColor="text1"/>
          <w:highlight w:val="none"/>
          <w14:textFill>
            <w14:solidFill>
              <w14:schemeClr w14:val="tx1"/>
            </w14:solidFill>
          </w14:textFill>
        </w:rPr>
      </w:pPr>
      <w:r>
        <w:rPr>
          <w:rFonts w:hAnsi="黑体"/>
          <w:color w:val="000000" w:themeColor="text1"/>
          <w:highlight w:val="none"/>
          <w14:textFill>
            <w14:solidFill>
              <w14:schemeClr w14:val="tx1"/>
            </w14:solidFill>
          </w14:textFill>
        </w:rPr>
        <w:br w:type="textWrapping"/>
      </w:r>
      <w:bookmarkStart w:id="88" w:name="_Toc232414293"/>
      <w:r>
        <w:rPr>
          <w:rFonts w:hint="eastAsia"/>
          <w:color w:val="000000" w:themeColor="text1"/>
          <w:highlight w:val="none"/>
          <w14:textFill>
            <w14:solidFill>
              <w14:schemeClr w14:val="tx1"/>
            </w14:solidFill>
          </w14:textFill>
        </w:rPr>
        <w:t>（规范性）</w:t>
      </w:r>
      <w:r>
        <w:rPr>
          <w:color w:val="000000" w:themeColor="text1"/>
          <w:highlight w:val="none"/>
          <w14:textFill>
            <w14:solidFill>
              <w14:schemeClr w14:val="tx1"/>
            </w14:solidFill>
          </w14:textFill>
        </w:rPr>
        <w:br w:type="textWrapping"/>
      </w:r>
      <w:r>
        <w:rPr>
          <w:rFonts w:hint="eastAsia"/>
          <w:color w:val="000000" w:themeColor="text1"/>
          <w:highlight w:val="none"/>
          <w14:textFill>
            <w14:solidFill>
              <w14:schemeClr w14:val="tx1"/>
            </w14:solidFill>
          </w14:textFill>
        </w:rPr>
        <w:t>施工期遥感监测解译流程示意图</w:t>
      </w:r>
      <w:bookmarkEnd w:id="87"/>
      <w:bookmarkEnd w:id="88"/>
    </w:p>
    <w:p w14:paraId="01F39B22">
      <w:pPr>
        <w:pStyle w:val="56"/>
        <w:ind w:firstLine="420"/>
        <w:rPr>
          <w:rFonts w:ascii="Times New Roman"/>
          <w:highlight w:val="none"/>
        </w:rPr>
      </w:pPr>
      <w:r>
        <w:rPr>
          <w:rFonts w:hint="default" w:ascii="Times New Roman"/>
          <w:highlight w:val="none"/>
        </w:rPr>
        <w:t>图B.1规定了施工期遥感监测解译的流程。</w:t>
      </w:r>
    </w:p>
    <w:p w14:paraId="4CE012B8">
      <w:pPr>
        <w:pStyle w:val="56"/>
        <w:ind w:firstLine="420"/>
        <w:rPr>
          <w:rFonts w:hint="eastAsia"/>
          <w:color w:val="000000" w:themeColor="text1"/>
          <w:highlight w:val="none"/>
          <w14:textFill>
            <w14:solidFill>
              <w14:schemeClr w14:val="tx1"/>
            </w14:solidFill>
          </w14:textFill>
        </w:rPr>
      </w:pPr>
    </w:p>
    <w:p w14:paraId="01D02CBC">
      <w:pPr>
        <w:pStyle w:val="76"/>
        <w:numPr>
          <w:ilvl w:val="255"/>
          <w:numId w:val="0"/>
        </w:numPr>
        <w:adjustRightInd w:val="0"/>
        <w:snapToGrid w:val="0"/>
        <w:spacing w:before="78" w:after="156"/>
        <w:outlineLvl w:val="9"/>
        <w:rPr>
          <w:rFonts w:hint="eastAsia"/>
          <w:highlight w:val="none"/>
        </w:rPr>
      </w:pPr>
      <w:r>
        <w:rPr>
          <w:highlight w:val="none"/>
        </w:rPr>
        <w:drawing>
          <wp:inline distT="0" distB="0" distL="0" distR="0">
            <wp:extent cx="2038350" cy="4288155"/>
            <wp:effectExtent l="0" t="0" r="6350" b="4445"/>
            <wp:docPr id="65952132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521328"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052051" cy="4316751"/>
                    </a:xfrm>
                    <a:prstGeom prst="rect">
                      <a:avLst/>
                    </a:prstGeom>
                    <a:noFill/>
                  </pic:spPr>
                </pic:pic>
              </a:graphicData>
            </a:graphic>
          </wp:inline>
        </w:drawing>
      </w:r>
    </w:p>
    <w:p w14:paraId="7E5790FE">
      <w:pPr>
        <w:pStyle w:val="56"/>
        <w:adjustRightInd w:val="0"/>
        <w:snapToGrid w:val="0"/>
        <w:ind w:firstLine="0" w:firstLineChars="0"/>
        <w:jc w:val="center"/>
        <w:rPr>
          <w:color w:val="000000" w:themeColor="text1"/>
          <w:highlight w:val="none"/>
          <w14:textFill>
            <w14:solidFill>
              <w14:schemeClr w14:val="tx1"/>
            </w14:solidFill>
          </w14:textFill>
        </w:rPr>
      </w:pPr>
      <w:r>
        <w:rPr>
          <w:rFonts w:hint="eastAsia" w:ascii="黑体" w:hAnsi="黑体" w:eastAsia="黑体"/>
          <w:highlight w:val="none"/>
        </w:rPr>
        <w:t xml:space="preserve">图B.1 </w:t>
      </w:r>
      <w:r>
        <w:rPr>
          <w:rFonts w:ascii="黑体" w:hAnsi="黑体" w:eastAsia="黑体"/>
          <w:highlight w:val="none"/>
        </w:rPr>
        <w:t>施工期遥感监测解译流程示意图</w:t>
      </w:r>
    </w:p>
    <w:p w14:paraId="3306BD53">
      <w:pPr>
        <w:pStyle w:val="56"/>
        <w:bidi w:val="0"/>
      </w:pPr>
    </w:p>
    <w:sectPr>
      <w:footerReference r:id="rId16" w:type="default"/>
      <w:footerReference r:id="rId17"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1954E">
    <w:pPr>
      <w:pStyle w:val="17"/>
    </w:pPr>
    <w:r>
      <w:fldChar w:fldCharType="begin"/>
    </w:r>
    <w:r>
      <w:instrText xml:space="preserve">PAGE   \* MERGEFORMAT</w:instrText>
    </w:r>
    <w:r>
      <w:fldChar w:fldCharType="separate"/>
    </w:r>
    <w:r>
      <w:rPr>
        <w:lang w:val="zh-CN"/>
      </w:rP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AFFD5">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FE2A5">
    <w:pPr>
      <w:pStyle w:val="17"/>
      <w:ind w:firstLine="360"/>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9F797E">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19F797E">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48710">
    <w:pPr>
      <w:pStyle w:val="17"/>
    </w:pPr>
    <w:r>
      <w:fldChar w:fldCharType="begin"/>
    </w:r>
    <w:r>
      <w:instrText xml:space="preserve">PAGE   \* MERGEFORMAT</w:instrText>
    </w:r>
    <w:r>
      <w:fldChar w:fldCharType="separate"/>
    </w:r>
    <w:r>
      <w:rPr>
        <w:lang w:val="zh-CN"/>
      </w:rPr>
      <w:t>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ADD6A">
    <w:pPr>
      <w:pStyle w:val="17"/>
      <w:ind w:firstLine="360"/>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9EF3561">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9EF3561">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7B1ED">
    <w:pPr>
      <w:pStyle w:val="17"/>
      <w:ind w:firstLine="360"/>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0E715B2">
                          <w:pPr>
                            <w:pStyle w:val="1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10E715B2">
                    <w:pPr>
                      <w:pStyle w:val="1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6357C">
    <w:pPr>
      <w:pStyle w:val="17"/>
    </w:pPr>
    <w: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DDFA9B">
                          <w:pPr>
                            <w:pStyle w:val="17"/>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9DDFA9B">
                    <w:pPr>
                      <w:pStyle w:val="17"/>
                    </w:pPr>
                    <w:r>
                      <w:fldChar w:fldCharType="begin"/>
                    </w:r>
                    <w:r>
                      <w:instrText xml:space="preserve">PAGE   \* MERGEFORMAT</w:instrText>
                    </w:r>
                    <w:r>
                      <w:fldChar w:fldCharType="separate"/>
                    </w:r>
                    <w:r>
                      <w:rPr>
                        <w:lang w:val="zh-CN"/>
                      </w:rPr>
                      <w:t>6</w:t>
                    </w:r>
                    <w:r>
                      <w:fldChar w:fldCharType="end"/>
                    </w:r>
                  </w:p>
                </w:txbxContent>
              </v:textbox>
            </v:shape>
          </w:pict>
        </mc:Fallback>
      </mc:AlternateContent>
    </w:r>
    <w:r>
      <w:t>Ⅱ</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2D268">
    <w:pPr>
      <w:pStyle w:val="17"/>
      <w:ind w:firstLine="360"/>
      <w:jc w:val="center"/>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8DBD6A">
                          <w:pPr>
                            <w:pStyle w:val="17"/>
                            <w:jc w:val="center"/>
                          </w:pPr>
                          <w:r>
                            <w:fldChar w:fldCharType="begin"/>
                          </w:r>
                          <w:r>
                            <w:instrText xml:space="preserve">PAGE   \* MERGEFORMAT</w:instrText>
                          </w:r>
                          <w:r>
                            <w:fldChar w:fldCharType="separate"/>
                          </w:r>
                          <w:r>
                            <w:rPr>
                              <w:lang w:val="zh-CN"/>
                            </w:rPr>
                            <w:t>14</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028DBD6A">
                    <w:pPr>
                      <w:pStyle w:val="17"/>
                      <w:jc w:val="center"/>
                    </w:pPr>
                    <w:r>
                      <w:fldChar w:fldCharType="begin"/>
                    </w:r>
                    <w:r>
                      <w:instrText xml:space="preserve">PAGE   \* MERGEFORMAT</w:instrText>
                    </w:r>
                    <w:r>
                      <w:fldChar w:fldCharType="separate"/>
                    </w:r>
                    <w:r>
                      <w:rPr>
                        <w:lang w:val="zh-CN"/>
                      </w:rPr>
                      <w:t>14</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78169">
    <w:pPr>
      <w:pStyle w:val="17"/>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2907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4DD1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5A340">
    <w:pPr>
      <w:pStyle w:val="61"/>
    </w:pPr>
    <w:r>
      <w:fldChar w:fldCharType="begin"/>
    </w:r>
    <w:r>
      <w:instrText xml:space="preserve"> STYLEREF  标准文件_文件编号  \* MERGEFORMAT </w:instrText>
    </w:r>
    <w:r>
      <w:fldChar w:fldCharType="separate"/>
    </w:r>
    <w:r>
      <w:t>T/CEPCA XXXX—2025</w:t>
    </w:r>
    <w:r>
      <w:fldChar w:fldCharType="end"/>
    </w:r>
  </w:p>
  <w:p w14:paraId="2E8E88FD">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99835">
    <w:r>
      <w:t>Q/C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94828"/>
    <w:multiLevelType w:val="singleLevel"/>
    <w:tmpl w:val="AFD94828"/>
    <w:lvl w:ilvl="0" w:tentative="0">
      <w:start w:val="1"/>
      <w:numFmt w:val="lowerLetter"/>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3DE53CB"/>
    <w:multiLevelType w:val="multilevel"/>
    <w:tmpl w:val="43DE53CB"/>
    <w:lvl w:ilvl="0" w:tentative="0">
      <w:start w:val="1"/>
      <w:numFmt w:val="decimal"/>
      <w:pStyle w:val="231"/>
      <w:lvlText w:val="%1 "/>
      <w:lvlJc w:val="left"/>
      <w:pPr>
        <w:ind w:left="425" w:hanging="425"/>
      </w:pPr>
      <w:rPr>
        <w:rFonts w:hint="default" w:ascii="黑体" w:hAnsi="黑体" w:eastAsia="黑体"/>
        <w:color w:val="auto"/>
      </w:rPr>
    </w:lvl>
    <w:lvl w:ilvl="1" w:tentative="0">
      <w:start w:val="1"/>
      <w:numFmt w:val="decimal"/>
      <w:pStyle w:val="232"/>
      <w:lvlText w:val="%1.%2 "/>
      <w:lvlJc w:val="left"/>
      <w:pPr>
        <w:ind w:left="567" w:hanging="567"/>
      </w:pPr>
      <w:rPr>
        <w:rFonts w:hint="default"/>
        <w:i w:val="0"/>
        <w:iCs w:val="0"/>
        <w:color w:val="auto"/>
        <w:u w:val="none"/>
      </w:rPr>
    </w:lvl>
    <w:lvl w:ilvl="2" w:tentative="0">
      <w:start w:val="1"/>
      <w:numFmt w:val="decimal"/>
      <w:pStyle w:val="233"/>
      <w:lvlText w:val="%1.%2.%3"/>
      <w:lvlJc w:val="left"/>
      <w:pPr>
        <w:ind w:left="1588" w:hanging="1021"/>
      </w:pPr>
      <w:rPr>
        <w:rFonts w:hint="default"/>
        <w:color w:val="auto"/>
      </w:rPr>
    </w:lvl>
    <w:lvl w:ilvl="3" w:tentative="0">
      <w:start w:val="1"/>
      <w:numFmt w:val="decimal"/>
      <w:lvlText w:val="%1.%2.%3.%4"/>
      <w:lvlJc w:val="left"/>
      <w:pPr>
        <w:ind w:left="1984" w:hanging="153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2"/>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1"/>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3"/>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2F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7F6"/>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58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488"/>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556"/>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6B"/>
    <w:rsid w:val="002B7F51"/>
    <w:rsid w:val="002C09E7"/>
    <w:rsid w:val="002C1E06"/>
    <w:rsid w:val="002C3F07"/>
    <w:rsid w:val="002C5278"/>
    <w:rsid w:val="002C7EBB"/>
    <w:rsid w:val="002D06C1"/>
    <w:rsid w:val="002D42B5"/>
    <w:rsid w:val="002D4F1A"/>
    <w:rsid w:val="002D6EC6"/>
    <w:rsid w:val="002D79AC"/>
    <w:rsid w:val="002E039D"/>
    <w:rsid w:val="002E4D5A"/>
    <w:rsid w:val="002E62C8"/>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8B9"/>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837"/>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FC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FB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DA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4E"/>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CA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497"/>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035"/>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B6A"/>
    <w:rsid w:val="00A36DD1"/>
    <w:rsid w:val="00A4006C"/>
    <w:rsid w:val="00A40091"/>
    <w:rsid w:val="00A4030F"/>
    <w:rsid w:val="00A41C79"/>
    <w:rsid w:val="00A41CB5"/>
    <w:rsid w:val="00A42CDF"/>
    <w:rsid w:val="00A4452E"/>
    <w:rsid w:val="00A4472C"/>
    <w:rsid w:val="00A44E69"/>
    <w:rsid w:val="00A4661E"/>
    <w:rsid w:val="00A51EF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D75"/>
    <w:rsid w:val="00BA7C9A"/>
    <w:rsid w:val="00BB5F8F"/>
    <w:rsid w:val="00BB657A"/>
    <w:rsid w:val="00BC1A4E"/>
    <w:rsid w:val="00BC5DC7"/>
    <w:rsid w:val="00BC6B8B"/>
    <w:rsid w:val="00BC73D8"/>
    <w:rsid w:val="00BD52D7"/>
    <w:rsid w:val="00BD5AD2"/>
    <w:rsid w:val="00BE22F3"/>
    <w:rsid w:val="00BE5B52"/>
    <w:rsid w:val="00BE7B8D"/>
    <w:rsid w:val="00BF02F5"/>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671"/>
    <w:rsid w:val="00C80CB8"/>
    <w:rsid w:val="00C819F8"/>
    <w:rsid w:val="00C8248C"/>
    <w:rsid w:val="00C84E33"/>
    <w:rsid w:val="00C86D6F"/>
    <w:rsid w:val="00C905FC"/>
    <w:rsid w:val="00C92A0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6FCD"/>
    <w:rsid w:val="00CF7BCA"/>
    <w:rsid w:val="00D008FD"/>
    <w:rsid w:val="00D0321C"/>
    <w:rsid w:val="00D035EC"/>
    <w:rsid w:val="00D06AB1"/>
    <w:rsid w:val="00D06FC1"/>
    <w:rsid w:val="00D072ED"/>
    <w:rsid w:val="00D0767C"/>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931"/>
    <w:rsid w:val="00D72A9C"/>
    <w:rsid w:val="00D77031"/>
    <w:rsid w:val="00D84941"/>
    <w:rsid w:val="00D84FA1"/>
    <w:rsid w:val="00D851F0"/>
    <w:rsid w:val="00D86DB7"/>
    <w:rsid w:val="00D87BF5"/>
    <w:rsid w:val="00D90721"/>
    <w:rsid w:val="00D926D0"/>
    <w:rsid w:val="00D93030"/>
    <w:rsid w:val="00D935AE"/>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493"/>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30DE"/>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AE4C0B"/>
    <w:rsid w:val="079254DA"/>
    <w:rsid w:val="120E7E53"/>
    <w:rsid w:val="17E6429C"/>
    <w:rsid w:val="1DEC0A78"/>
    <w:rsid w:val="2E5F5403"/>
    <w:rsid w:val="36643DEC"/>
    <w:rsid w:val="3A577D13"/>
    <w:rsid w:val="4F6F72E9"/>
    <w:rsid w:val="7DBA6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basedOn w:val="28"/>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3 Char"/>
    <w:link w:val="4"/>
    <w:qFormat/>
    <w:uiPriority w:val="0"/>
    <w:rPr>
      <w:b/>
      <w:bCs/>
      <w:kern w:val="2"/>
      <w:sz w:val="32"/>
      <w:szCs w:val="32"/>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ZW"/>
    <w:basedOn w:val="1"/>
    <w:qFormat/>
    <w:uiPriority w:val="0"/>
    <w:pPr>
      <w:ind w:firstLine="1148" w:firstLineChars="200"/>
    </w:pPr>
    <w:rPr>
      <w:rFonts w:ascii="Times New Roman" w:hAnsi="Times New Roman"/>
    </w:rPr>
  </w:style>
  <w:style w:type="paragraph" w:customStyle="1" w:styleId="231">
    <w:name w:val="yq标题1"/>
    <w:basedOn w:val="2"/>
    <w:qFormat/>
    <w:uiPriority w:val="0"/>
    <w:pPr>
      <w:numPr>
        <w:ilvl w:val="0"/>
        <w:numId w:val="32"/>
      </w:numPr>
      <w:ind w:firstLine="0"/>
      <w:jc w:val="left"/>
    </w:pPr>
    <w:rPr>
      <w:rFonts w:ascii="黑体" w:hAnsi="黑体" w:eastAsia="黑体"/>
      <w:szCs w:val="24"/>
    </w:rPr>
  </w:style>
  <w:style w:type="paragraph" w:customStyle="1" w:styleId="232">
    <w:name w:val="yq标题2"/>
    <w:basedOn w:val="3"/>
    <w:qFormat/>
    <w:uiPriority w:val="0"/>
    <w:pPr>
      <w:numPr>
        <w:ilvl w:val="1"/>
        <w:numId w:val="32"/>
      </w:numPr>
    </w:pPr>
    <w:rPr>
      <w:rFonts w:ascii="黑体" w:hAnsi="黑体" w:eastAsia="黑体"/>
      <w:b w:val="0"/>
      <w:sz w:val="21"/>
      <w:szCs w:val="21"/>
    </w:rPr>
  </w:style>
  <w:style w:type="paragraph" w:customStyle="1" w:styleId="233">
    <w:name w:val="yq标题3"/>
    <w:basedOn w:val="232"/>
    <w:qFormat/>
    <w:uiPriority w:val="0"/>
    <w:pPr>
      <w:numPr>
        <w:ilvl w:val="2"/>
      </w:numPr>
      <w:spacing w:line="415" w:lineRule="auto"/>
      <w:outlineLvl w:val="2"/>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d4995b1f-e63b-41c8-a93d-e527c586cab9</errorID>
      <errorWord>  </errorWord>
      <group>L1_Format</group>
      <groupName>格式问题</groupName>
      <ability>L2_Whitespace</ability>
      <abilityName>空白字符</abilityName>
      <candidateList>
        <item/>
      </candidateList>
      <explain>文本间存在多余的空白字符。</explain>
      <paraID>78213F66</paraID>
      <start>3</start>
      <end>5</end>
      <status>unmodified</status>
      <modifiedWord/>
      <trackRevisions>false</trackRevisions>
    </reviewItem>
    <reviewItem>
      <errorID>b51d048a-95c3-4fc2-9517-14e5cb1ec5f6</errorID>
      <errorWord>  </errorWord>
      <group>L1_Format</group>
      <groupName>格式问题</groupName>
      <ability>L2_Whitespace</ability>
      <abilityName>空白字符</abilityName>
      <candidateList>
        <item/>
      </candidateList>
      <explain>文本间存在多余的空白字符。</explain>
      <paraID>74AC8C82</paraID>
      <start>3</start>
      <end>5</end>
      <status>unmodified</status>
      <modifiedWord/>
      <trackRevisions>false</trackRevisions>
    </reviewItem>
    <reviewItem>
      <errorID>94c3e7e8-8fd1-4e9b-8323-6e31396d3d12</errorID>
      <errorWord>  </errorWord>
      <group>L1_Format</group>
      <groupName>格式问题</groupName>
      <ability>L2_Whitespace</ability>
      <abilityName>空白字符</abilityName>
      <candidateList>
        <item/>
      </candidateList>
      <explain>文本间存在多余的空白字符。</explain>
      <paraID>5E0C8BD7</paraID>
      <start>26</start>
      <end>28</end>
      <status>unmodified</status>
      <modifiedWord/>
      <trackRevisions>false</trackRevisions>
    </reviewItem>
    <reviewItem>
      <errorID/>
      <errorWord>变电工程抗台风设计技术规程
</errorWord>
      <group>L1_Other</group>
      <groupName>其他问题</groupName>
      <ability>L2_RepeatSentence</ability>
      <abilityName>重句检查</abilityName>
      <candidateList>
        <item/>
      </candidateList>
      <explain>重句检查</explain>
      <paraID>40B38D02</paraID>
      <start>0</start>
      <end>16</end>
      <status>unmodified</status>
      <modifiedWord/>
      <trackRevisions>false</trackRevisions>
    </reviewItem>
    <reviewItem>
      <errorID>af0e2ccd-38a8-44e7-a475-aeec73c39b92</errorID>
      <errorWord>刚架</errorWord>
      <group>L1_Word</group>
      <groupName>字词问题</groupName>
      <ability>L2_Typo</ability>
      <abilityName>字词错误</abilityName>
      <candidateList>
        <item>钢架</item>
      </candidateList>
      <explain/>
      <paraID>4B6E6FA3</paraID>
      <start>11</start>
      <end>13</end>
      <status>unmodified</status>
      <modifiedWord/>
      <trackRevisions>false</trackRevisions>
    </reviewItem>
    <reviewItem>
      <errorID>9273b7b4-8704-4218-a192-fcc50f315920</errorID>
      <errorWord> </errorWord>
      <group>L1_Format</group>
      <groupName>格式问题</groupName>
      <ability>L2_Whitespace</ability>
      <abilityName>空白字符</abilityName>
      <candidateList>
        <item/>
      </candidateList>
      <explain>文本间存在多余的空白字符。</explain>
      <paraID>4BC3E304</paraID>
      <start>16</start>
      <end>17</end>
      <status>unmodified</status>
      <modifiedWord/>
      <trackRevisions>false</trackRevisions>
    </reviewItem>
    <reviewItem>
      <errorID>905348ab-3b12-4b52-b232-24ed5bc24a2a</errorID>
      <errorWord> </errorWord>
      <group>L1_Format</group>
      <groupName>格式问题</groupName>
      <ability>L2_Whitespace</ability>
      <abilityName>空白字符</abilityName>
      <candidateList>
        <item/>
      </candidateList>
      <explain>文本间存在多余的空白字符。</explain>
      <paraID>602C17B9</paraID>
      <start>20</start>
      <end>21</end>
      <status>unmodified</status>
      <modifiedWord/>
      <trackRevisions>false</trackRevisions>
    </reviewItem>
    <reviewItem>
      <errorID>95ad6d6b-5be4-45fe-b2d4-67a374f397ad</errorID>
      <errorWord> </errorWord>
      <group>L1_Format</group>
      <groupName>格式问题</groupName>
      <ability>L2_Whitespace</ability>
      <abilityName>空白字符</abilityName>
      <candidateList>
        <item/>
      </candidateList>
      <explain>文本间存在多余的空白字符。</explain>
      <paraID> 67937C5</paraID>
      <start>23</start>
      <end>24</end>
      <status>unmodified</status>
      <modifiedWord/>
      <trackRevisions>false</trackRevisions>
    </reviewItem>
    <reviewItem>
      <errorID>718b689a-8b12-4d5e-b6dc-deb452708def</errorID>
      <errorWord> </errorWord>
      <group>L1_Format</group>
      <groupName>格式问题</groupName>
      <ability>L2_Whitespace</ability>
      <abilityName>空白字符</abilityName>
      <candidateList>
        <item/>
      </candidateList>
      <explain>文本间存在多余的空白字符。</explain>
      <paraID>6764982E</paraID>
      <start>6</start>
      <end>7</end>
      <status>unmodified</status>
      <modifiedWord/>
      <trackRevisions>false</trackRevisions>
    </reviewItem>
    <reviewItem>
      <errorID>4a16f5f6-62cb-4c80-91e0-fda9a2949faf</errorID>
      <errorWord> </errorWord>
      <group>L1_Format</group>
      <groupName>格式问题</groupName>
      <ability>L2_Whitespace</ability>
      <abilityName>空白字符</abilityName>
      <candidateList>
        <item/>
      </candidateList>
      <explain>文本间存在多余的空白字符。</explain>
      <paraID>41D8794A</paraID>
      <start>4</start>
      <end>5</end>
      <status>unmodified</status>
      <modifiedWord/>
      <trackRevisions>false</trackRevisions>
    </reviewItem>
    <reviewItem>
      <errorID>5cc5298e-651b-46f5-b2d6-bc25c623f5fe</errorID>
      <errorWord> </errorWord>
      <group>L1_Format</group>
      <groupName>格式问题</groupName>
      <ability>L2_Whitespace</ability>
      <abilityName>空白字符</abilityName>
      <candidateList>
        <item/>
      </candidateList>
      <explain>文本间存在多余的空白字符。</explain>
      <paraID>3259E684</paraID>
      <start>2</start>
      <end>3</end>
      <status>unmodified</status>
      <modifiedWord/>
      <trackRevisions>false</trackRevisions>
    </reviewItem>
    <reviewItem>
      <errorID/>
      <errorWord>GB/T19201-2006，</errorWord>
      <group>L1_Other</group>
      <groupName>其他问题</groupName>
      <ability>L2_RepeatSentence</ability>
      <abilityName>重句检查</abilityName>
      <candidateList>
        <item/>
      </candidateList>
      <explain>重句检查</explain>
      <paraID>43B7DC2B</paraID>
      <start>4</start>
      <end>19</end>
      <status>unmodified</status>
      <modifiedWord/>
      <trackRevisions>false</trackRevisions>
    </reviewItem>
    <reviewItem>
      <errorID>48421a5f-25aa-43c3-a25b-0c3c3717e4d8</errorID>
      <errorWord> </errorWord>
      <group>L1_Format</group>
      <groupName>格式问题</groupName>
      <ability>L2_Whitespace</ability>
      <abilityName>空白字符</abilityName>
      <candidateList>
        <item/>
      </candidateList>
      <explain>文本间存在多余的空白字符。</explain>
      <paraID>7C704837</paraID>
      <start>4</start>
      <end>5</end>
      <status>unmodified</status>
      <modifiedWord/>
      <trackRevisions>false</trackRevisions>
    </reviewItem>
    <reviewItem>
      <errorID>5e0da2ee-7649-44c4-9594-9edb7e1c1664</errorID>
      <errorWord> </errorWord>
      <group>L1_Format</group>
      <groupName>格式问题</groupName>
      <ability>L2_Whitespace</ability>
      <abilityName>空白字符</abilityName>
      <candidateList>
        <item/>
      </candidateList>
      <explain>文本间存在多余的空白字符。</explain>
      <paraID> 99EA8D1</paraID>
      <start>4</start>
      <end>5</end>
      <status>unmodified</status>
      <modifiedWord/>
      <trackRevisions>false</trackRevisions>
    </reviewItem>
    <reviewItem>
      <errorID/>
      <errorWord>底层中心附近最大平均风速32.</errorWord>
      <group>L1_Other</group>
      <groupName>其他问题</groupName>
      <ability>L2_RepeatSentence</ability>
      <abilityName>重句检查</abilityName>
      <candidateList>
        <item/>
      </candidateList>
      <explain>重句检查</explain>
      <paraID>260FD90C</paraID>
      <start>0</start>
      <end>15</end>
      <status>unmodified</status>
      <modifiedWord/>
      <trackRevisions>false</trackRevisions>
    </reviewItem>
    <reviewItem>
      <errorID/>
      <errorWord>7m/s及以上的热带气旋，</errorWord>
      <group>L1_Other</group>
      <groupName>其他问题</groupName>
      <ability>L2_RepeatSentence</ability>
      <abilityName>重句检查</abilityName>
      <candidateList>
        <item/>
      </candidateList>
      <explain>重句检查</explain>
      <paraID>260FD90C</paraID>
      <start>15</start>
      <end>28</end>
      <status>unmodified</status>
      <modifiedWord/>
      <trackRevisions>false</trackRevisions>
    </reviewItem>
    <reviewItem>
      <errorID/>
      <errorWord>经概率统计得出相应重现期最大值后确定的风速。</errorWord>
      <group>L1_Other</group>
      <groupName>其他问题</groupName>
      <ability>L2_RepeatSentence</ability>
      <abilityName>重句检查</abilityName>
      <candidateList>
        <item/>
      </candidateList>
      <explain>重句检查</explain>
      <paraID>260FD90C</paraID>
      <start>60</start>
      <end>82</end>
      <status>unmodified</status>
      <modifiedWord/>
      <trackRevisions>false</trackRevisions>
    </reviewItem>
    <reviewItem>
      <errorID/>
      <errorWord>GB/T19201-2006，</errorWord>
      <group>L1_Other</group>
      <groupName>其他问题</groupName>
      <ability>L2_RepeatSentence</ability>
      <abilityName>重句检查</abilityName>
      <candidateList>
        <item/>
      </candidateList>
      <explain>重句检查</explain>
      <paraID>57E0E689</paraID>
      <start>4</start>
      <end>19</end>
      <status>unmodified</status>
      <modifiedWord/>
      <trackRevisions>false</trackRevisions>
    </reviewItem>
    <reviewItem>
      <errorID/>
      <errorWord>此处平均风速时距为2min]
</errorWord>
      <group>L1_Other</group>
      <groupName>其他问题</groupName>
      <ability>L2_RepeatSentence</ability>
      <abilityName>重句检查</abilityName>
      <candidateList>
        <item/>
      </candidateList>
      <explain>重句检查</explain>
      <paraID>57E0E689</paraID>
      <start>25</start>
      <end>40</end>
      <status>unmodified</status>
      <modifiedWord/>
      <trackRevisions>false</trackRevisions>
    </reviewItem>
    <reviewItem>
      <errorID>3d4cbadf-e728-4df5-8e30-ebefa649d277</errorID>
      <errorWord>  </errorWord>
      <group>L1_Format</group>
      <groupName>格式问题</groupName>
      <ability>L2_Whitespace</ability>
      <abilityName>空白字符</abilityName>
      <candidateList>
        <item/>
      </candidateList>
      <explain>文本间存在多余的空白字符。</explain>
      <paraID>442E7A53</paraID>
      <start>4</start>
      <end>6</end>
      <status>unmodified</status>
      <modifiedWord/>
      <trackRevisions>false</trackRevisions>
    </reviewItem>
    <reviewItem>
      <errorID>4edc01a0-34cf-4371-917a-96284b019f7a</errorID>
      <errorWord>  </errorWord>
      <group>L1_Format</group>
      <groupName>格式问题</groupName>
      <ability>L2_Whitespace</ability>
      <abilityName>空白字符</abilityName>
      <candidateList>
        <item/>
      </candidateList>
      <explain>文本间存在多余的空白字符。</explain>
      <paraID>2311574C</paraID>
      <start>5</start>
      <end>7</end>
      <status>unmodified</status>
      <modifiedWord/>
      <trackRevisions>false</trackRevisions>
    </reviewItem>
    <reviewItem>
      <errorID>fc79ed9a-777d-45a6-b176-e2f49aa9847a</errorID>
      <errorWord> </errorWord>
      <group>L1_Format</group>
      <groupName>格式问题</groupName>
      <ability>L2_Whitespace</ability>
      <abilityName>空白字符</abilityName>
      <candidateList>
        <item/>
      </candidateList>
      <explain>文本间存在多余的空白字符。</explain>
      <paraID>1FAE6DB4</paraID>
      <start>5</start>
      <end>6</end>
      <status>unmodified</status>
      <modifiedWord/>
      <trackRevisions>false</trackRevisions>
    </reviewItem>
    <reviewItem>
      <errorID/>
      <errorWord>GB50009-2012，</errorWord>
      <group>L1_Other</group>
      <groupName>其他问题</groupName>
      <ability>L2_RepeatSentence</ability>
      <abilityName>重句检查</abilityName>
      <candidateList>
        <item/>
      </candidateList>
      <explain>重句检查</explain>
      <paraID>1C80E871</paraID>
      <start>4</start>
      <end>4</end>
      <status>modified</status>
      <modifiedWord/>
      <trackRevisions>false</trackRevisions>
    </reviewItem>
    <reviewItem>
      <errorID>acb88c64-bb3f-4ca6-87e3-0e6405208ab5</errorID>
      <errorWord>海拔高度</errorWord>
      <group>L1_Word</group>
      <groupName>字词问题</groupName>
      <ability>L2_Typo</ability>
      <abilityName>字词错误</abilityName>
      <candidateList>
        <item>海拔</item>
      </candidateList>
      <explain>〈名〉从平均海平面起算的高度。</explain>
      <paraID>265C5E52</paraID>
      <start>13</start>
      <end>17</end>
      <status>unmodified</status>
      <modifiedWord/>
      <trackRevisions>false</trackRevisions>
    </reviewItem>
    <reviewItem>
      <errorID>36fa0411-9d57-483f-baf3-b38e32bf4486</errorID>
      <errorWord>)</errorWord>
      <group>L1_Format</group>
      <groupName>格式问题</groupName>
      <ability>L2_HalfPunc</ability>
      <abilityName>全半角检查</abilityName>
      <candidateList>
        <item>）</item>
      </candidateList>
      <explain>文本全半角错误。</explain>
      <paraID> B728940</paraID>
      <start>3</start>
      <end>4</end>
      <status>modified</status>
      <modifiedWord>）</modifiedWord>
      <trackRevisions>false</trackRevisions>
    </reviewItem>
    <reviewItem>
      <errorID>7d250c7c-9d2f-40ff-9bab-4801b2b7798e</errorID>
      <errorWord> </errorWord>
      <group>L1_Format</group>
      <groupName>格式问题</groupName>
      <ability>L2_Whitespace</ability>
      <abilityName>空白字符</abilityName>
      <candidateList>
        <item/>
      </candidateList>
      <explain>文本间存在多余的空白字符。</explain>
      <paraID> 4DBFA68</paraID>
      <start>1</start>
      <end>2</end>
      <status>unmodified</status>
      <modifiedWord/>
      <trackRevisions>false</trackRevisions>
    </reviewItem>
    <reviewItem>
      <errorID>0b34c732-27b6-4488-91a9-c67a92eda2b2</errorID>
      <errorWord> </errorWord>
      <group>L1_Format</group>
      <groupName>格式问题</groupName>
      <ability>L2_Whitespace</ability>
      <abilityName>空白字符</abilityName>
      <candidateList>
        <item/>
      </candidateList>
      <explain>文本间存在多余的空白字符。</explain>
      <paraID>6855A100</paraID>
      <start>1</start>
      <end>2</end>
      <status>unmodified</status>
      <modifiedWord/>
      <trackRevisions>false</trackRevisions>
    </reviewItem>
    <reviewItem>
      <errorID>7fd89cad-f1ab-4b67-8c46-c97a192d0602</errorID>
      <errorWord> </errorWord>
      <group>L1_Format</group>
      <groupName>格式问题</groupName>
      <ability>L2_Whitespace</ability>
      <abilityName>空白字符</abilityName>
      <candidateList>
        <item/>
      </candidateList>
      <explain>文本间存在多余的空白字符。</explain>
      <paraID>634F3645</paraID>
      <start>1</start>
      <end>2</end>
      <status>unmodified</status>
      <modifiedWord/>
      <trackRevisions>false</trackRevisions>
    </reviewItem>
    <reviewItem>
      <errorID>b5d17ebc-62c6-477d-a075-9d205533cbec</errorID>
      <errorWord> </errorWord>
      <group>L1_Format</group>
      <groupName>格式问题</groupName>
      <ability>L2_Whitespace</ability>
      <abilityName>空白字符</abilityName>
      <candidateList>
        <item/>
      </candidateList>
      <explain>文本间存在多余的空白字符。</explain>
      <paraID>6E2CDA91</paraID>
      <start>1</start>
      <end>2</end>
      <status>unmodified</status>
      <modifiedWord/>
      <trackRevisions>false</trackRevisions>
    </reviewItem>
    <reviewItem>
      <errorID>0f8da993-435d-4389-9a4b-def7e5114a28</errorID>
      <errorWord>增大</errorWord>
      <group>L1_Grammar</group>
      <groupName>语法问题</groupName>
      <ability>L2_Grammar</ability>
      <abilityName>语法错误</abilityName>
      <candidateList>
        <item>扩大</item>
      </candidateList>
      <explain>“增大～影响”搭配不当，建议修改为“扩大～影响”。</explain>
      <paraID>4F07A14C</paraID>
      <start>54</start>
      <end>56</end>
      <status>unmodified</status>
      <modifiedWord/>
      <trackRevisions>false</trackRevisions>
    </reviewItem>
    <reviewItem>
      <errorID/>
      <errorWord>距海岸越远取值越大）
</errorWord>
      <group>L1_Other</group>
      <groupName>其他问题</groupName>
      <ability>L2_RepeatSentence</ability>
      <abilityName>重句检查</abilityName>
      <candidateList>
        <item/>
      </candidateList>
      <explain>重句检查</explain>
      <paraID>35704148</paraID>
      <start>13</start>
      <end>24</end>
      <status>unmodified</status>
      <modifiedWord/>
      <trackRevisions>false</trackRevisions>
    </reviewItem>
    <reviewItem>
      <errorID>537079e1-c978-4627-a983-b1f2e62ef080</errorID>
      <errorWord>其它</errorWord>
      <group>L1_Word</group>
      <groupName>字词问题</groupName>
      <ability>L2_Alias</ability>
      <abilityName>也作/曾用词</abilityName>
      <candidateList>
        <item>其他</item>
      </candidateList>
      <explain>词汇[其它]为不规范表述或旧称，其规范书面表述为[其他]。</explain>
      <paraID> 4987A27</paraID>
      <start>0</start>
      <end>2</end>
      <status>unmodified</status>
      <modifiedWord/>
      <trackRevisions>false</trackRevisions>
    </reviewItem>
    <reviewItem>
      <errorID>defa7a81-fd96-42bf-baf9-5dd8a374da3a</errorID>
      <errorWord> </errorWord>
      <group>L1_Format</group>
      <groupName>格式问题</groupName>
      <ability>L2_Whitespace</ability>
      <abilityName>空白字符</abilityName>
      <candidateList>
        <item/>
      </candidateList>
      <explain>文本间存在多余的空白字符。</explain>
      <paraID>3B52D8F3</paraID>
      <start>50</start>
      <end>51</end>
      <status>unmodified</status>
      <modifiedWord/>
      <trackRevisions>false</trackRevisions>
    </reviewItem>
    <reviewItem>
      <errorID>de4849c5-1135-4c0c-b118-ab974d3b7996</errorID>
      <errorWord>粘结</errorWord>
      <group>L1_Word</group>
      <groupName>字词问题</groupName>
      <ability>L2_Typo</ability>
      <abilityName>字词错误</abilityName>
      <candidateList>
        <item>黏结</item>
      </candidateList>
      <explain>存在发音相同字词的误用。</explain>
      <paraID>6730D1AF</paraID>
      <start>83</start>
      <end>85</end>
      <status>unmodified</status>
      <modifiedWord/>
      <trackRevisions>false</trackRevisions>
    </reviewItem>
    <reviewItem>
      <errorID/>
      <errorWord>并与主体结构可靠锚固，</errorWord>
      <group>L1_Other</group>
      <groupName>其他问题</groupName>
      <ability>L2_RepeatSentence</ability>
      <abilityName>重句检查</abilityName>
      <candidateList>
        <item/>
      </candidateList>
      <explain>重句检查</explain>
      <paraID>71B302D2</paraID>
      <start>38</start>
      <end>49</end>
      <status>unmodified</status>
      <modifiedWord/>
      <trackRevisions>false</trackRevisions>
    </reviewItem>
    <reviewItem>
      <errorID>ae78f754-be7d-49e2-889c-49d287fb26ad</errorID>
      <errorWord>-</errorWord>
      <group>L1_Format</group>
      <groupName>格式问题</groupName>
      <ability>L2_HalfPunc</ability>
      <abilityName>全半角检查</abilityName>
      <candidateList>
        <item>－</item>
      </candidateList>
      <explain>文本全半角错误。</explain>
      <paraID>4FD5EAFB</paraID>
      <start>38</start>
      <end>39</end>
      <status>unmodified</status>
      <modifiedWord/>
      <trackRevisions>false</trackRevisions>
    </reviewItem>
    <reviewItem>
      <errorID>05a9d3ba-d52c-478a-a9f6-edb92bcdbc48</errorID>
      <errorWord>刚架</errorWord>
      <group>L1_Word</group>
      <groupName>字词问题</groupName>
      <ability>L2_Typo</ability>
      <abilityName>字词错误</abilityName>
      <candidateList>
        <item>钢架</item>
      </candidateList>
      <explain/>
      <paraID>245EFA1D</paraID>
      <start>23</start>
      <end>25</end>
      <status>unmodified</status>
      <modifiedWord/>
      <trackRevisions>false</trackRevisions>
    </reviewItem>
    <reviewItem>
      <errorID>176fd02d-08fe-418f-b5ef-d7d82bbf8c28</errorID>
      <errorWord>刚架</errorWord>
      <group>L1_Word</group>
      <groupName>字词问题</groupName>
      <ability>L2_Typo</ability>
      <abilityName>字词错误</abilityName>
      <candidateList>
        <item>钢架</item>
      </candidateList>
      <explain/>
      <paraID>245EFA1D</paraID>
      <start>39</start>
      <end>41</end>
      <status>unmodified</status>
      <modifiedWord/>
      <trackRevisions>false</trackRevisions>
    </reviewItem>
    <reviewItem>
      <errorID>c779773f-630d-4d9e-91d3-db6e1b3c4c92</errorID>
      <errorWord>-</errorWord>
      <group>L1_Format</group>
      <groupName>格式问题</groupName>
      <ability>L2_HalfPunc</ability>
      <abilityName>全半角检查</abilityName>
      <candidateList>
        <item>－</item>
      </candidateList>
      <explain>文本全半角错误。</explain>
      <paraID> A6064CD</paraID>
      <start>43</start>
      <end>44</end>
      <status>unmodified</status>
      <modifiedWord/>
      <trackRevisions>false</trackRevisions>
    </reviewItem>
    <reviewItem>
      <errorID>936b93b9-3cbf-41dd-8ce4-275587819382</errorID>
      <errorWord>增大</errorWord>
      <group>L1_Grammar</group>
      <groupName>语法问题</groupName>
      <ability>L2_Grammar</ability>
      <abilityName>语法错误</abilityName>
      <candidateList>
        <item>扩大</item>
      </candidateList>
      <explain>“增大～影响”搭配不当，建议修改为“扩大～影响”。</explain>
      <paraID>7A54D4D0</paraID>
      <start>29</start>
      <end>31</end>
      <status>unmodified</status>
      <modifiedWord/>
      <trackRevisions>false</trackRevisions>
    </reviewItem>
    <reviewItem>
      <errorID>38e55abb-052b-44dd-b829-0da0b687377c</errorID>
      <errorWord> </errorWord>
      <group>L1_Format</group>
      <groupName>格式问题</groupName>
      <ability>L2_Whitespace</ability>
      <abilityName>空白字符</abilityName>
      <candidateList>
        <item/>
      </candidateList>
      <explain>文本间存在多余的空白字符。</explain>
      <paraID>7A54D4D0</paraID>
      <start>35</start>
      <end>36</end>
      <status>unmodified</status>
      <modifiedWord/>
      <trackRevisions>false</trackRevisions>
    </reviewItem>
    <reviewItem>
      <errorID>ace2856c-d1a3-4b79-a92b-03ce98329a05</errorID>
      <errorWord>其它构筑物</errorWord>
      <group>L1_Word</group>
      <groupName>字词问题</groupName>
      <ability>L2_Alias</ability>
      <abilityName>也作/曾用词</abilityName>
      <candidateList>
        <item>其他构筑物</item>
      </candidateList>
      <explain>词汇[其它构筑物]为不规范表述或旧称，其规范书面表述为[其他构筑物]。</explain>
      <paraID>63FC4688</paraID>
      <start>0</start>
      <end>5</end>
      <status>unmodified</status>
      <modifiedWord/>
      <trackRevisions>false</trackRevisions>
    </reviewItem>
    <reviewItem>
      <errorID>46b2e16f-d381-46df-9c3a-68a570bd4529</errorID>
      <errorWord>临近</errorWord>
      <group>L1_Word</group>
      <groupName>字词问题</groupName>
      <ability>L2_Typo</ability>
      <abilityName>字词错误</abilityName>
      <candidateList>
        <item>邻近</item>
      </candidateList>
      <explain>存在发音相同字词的误用。</explain>
      <paraID> 75CC1BC</paraID>
      <start>38</start>
      <end>40</end>
      <status>modified</status>
      <modifiedWord>邻近</modifiedWord>
      <trackRevisions>false</trackRevisions>
    </reviewItem>
    <reviewItem>
      <errorID>fc4b26de-b429-4d92-bded-25380cab4f90</errorID>
      <errorWord>-</errorWord>
      <group>L1_Format</group>
      <groupName>格式问题</groupName>
      <ability>L2_HalfPunc</ability>
      <abilityName>全半角检查</abilityName>
      <candidateList>
        <item>－</item>
      </candidateList>
      <explain>文本全半角错误。</explain>
      <paraID>451C2AAB</paraID>
      <start>4</start>
      <end>5</end>
      <status>unmodified</status>
      <modifiedWord/>
      <trackRevisions>false</trackRevisions>
    </reviewItem>
    <reviewItem>
      <errorID>5823132c-0aaf-4496-bf33-6d9a70401a68</errorID>
      <errorWord>-</errorWord>
      <group>L1_Format</group>
      <groupName>格式问题</groupName>
      <ability>L2_HalfPunc</ability>
      <abilityName>全半角检查</abilityName>
      <candidateList>
        <item>－</item>
      </candidateList>
      <explain>文本全半角错误。</explain>
      <paraID>323E3E16</paraID>
      <start>4</start>
      <end>5</end>
      <status>unmodified</status>
      <modifiedWord/>
      <trackRevisions>false</trackRevisions>
    </reviewItem>
    <reviewItem>
      <errorID>86282c39-bb2c-471d-9e95-b9c4a29101f5</errorID>
      <errorWord>-</errorWord>
      <group>L1_Format</group>
      <groupName>格式问题</groupName>
      <ability>L2_HalfPunc</ability>
      <abilityName>全半角检查</abilityName>
      <candidateList>
        <item>－</item>
      </candidateList>
      <explain>文本全半角错误。</explain>
      <paraID>3EFA9897</paraID>
      <start>4</start>
      <end>5</end>
      <status>unmodified</status>
      <modifiedWord/>
      <trackRevisions>false</trackRevisions>
    </reviewItem>
    <reviewItem>
      <errorID>bfdfbda7-0e21-49f7-af01-5c0d78d1bf51</errorID>
      <errorWord>-</errorWord>
      <group>L1_Format</group>
      <groupName>格式问题</groupName>
      <ability>L2_HalfPunc</ability>
      <abilityName>全半角检查</abilityName>
      <candidateList>
        <item>－</item>
      </candidateList>
      <explain>文本全半角错误。</explain>
      <paraID>55F85D47</paraID>
      <start>5</start>
      <end>6</end>
      <status>unmodified</status>
      <modifiedWord/>
      <trackRevisions>false</trackRevisions>
    </reviewItem>
    <reviewItem>
      <errorID>5e62c98a-9e35-4c7b-90fb-791dda32af2c</errorID>
      <errorWord>-</errorWord>
      <group>L1_Format</group>
      <groupName>格式问题</groupName>
      <ability>L2_HalfPunc</ability>
      <abilityName>全半角检查</abilityName>
      <candidateList>
        <item>－</item>
      </candidateList>
      <explain>文本全半角错误。</explain>
      <paraID>28BAC4F0</paraID>
      <start>5</start>
      <end>6</end>
      <status>unmodified</status>
      <modifiedWord/>
      <trackRevisions>false</trackRevisions>
    </reviewItem>
    <reviewItem>
      <errorID>88d1a79d-de04-4fd3-a26f-bf50bb8314d8</errorID>
      <errorWord>超</errorWord>
      <group>L1_Word</group>
      <groupName>字词问题</groupName>
      <ability>L2_Typo</ability>
      <abilityName>字词错误</abilityName>
      <candidateList>
        <item>超过</item>
      </candidateList>
      <explain/>
      <paraID>2D41D5E4</paraID>
      <start>96</start>
      <end>97</end>
      <status>unmodified</status>
      <modifiedWord/>
      <trackRevisions>false</trackRevisions>
    </reviewItem>
    <reviewItem>
      <errorID>a2ea5d4c-e26e-47b9-b9fc-555abf750537</errorID>
      <errorWord>-</errorWord>
      <group>L1_Format</group>
      <groupName>格式问题</groupName>
      <ability>L2_HalfPunc</ability>
      <abilityName>全半角检查</abilityName>
      <candidateList>
        <item>－</item>
      </candidateList>
      <explain>文本全半角错误。</explain>
      <paraID>4D7D52AD</paraID>
      <start>5</start>
      <end>6</end>
      <status>unmodified</status>
      <modifiedWord/>
      <trackRevisions>false</trackRevisions>
    </reviewItem>
    <reviewItem>
      <errorID>9c1c9277-4bd5-4ddf-9662-509f7e57bebb</errorID>
      <errorWord>-</errorWord>
      <group>L1_Format</group>
      <groupName>格式问题</groupName>
      <ability>L2_HalfPunc</ability>
      <abilityName>全半角检查</abilityName>
      <candidateList>
        <item>－</item>
      </candidateList>
      <explain>文本全半角错误。</explain>
      <paraID>4EA6988F</paraID>
      <start>6</start>
      <end>7</end>
      <status>unmodified</status>
      <modifiedWord/>
      <trackRevisions>false</trackRevisions>
    </reviewItem>
    <reviewItem>
      <errorID>6be5b87e-f11c-419e-91cb-9aefb28a18fb</errorID>
      <errorWord>-</errorWord>
      <group>L1_Format</group>
      <groupName>格式问题</groupName>
      <ability>L2_HalfPunc</ability>
      <abilityName>全半角检查</abilityName>
      <candidateList>
        <item>－</item>
      </candidateList>
      <explain>文本全半角错误。</explain>
      <paraID>235BE273</paraID>
      <start>6</start>
      <end>7</end>
      <status>unmodified</status>
      <modifiedWord/>
      <trackRevisions>false</trackRevisions>
    </reviewItem>
    <reviewItem>
      <errorID>b8f5d53c-8014-4f7e-bffa-d391c5eaa1eb</errorID>
      <errorWord>-</errorWord>
      <group>L1_Format</group>
      <groupName>格式问题</groupName>
      <ability>L2_HalfPunc</ability>
      <abilityName>全半角检查</abilityName>
      <candidateList>
        <item>－</item>
      </candidateList>
      <explain>文本全半角错误。</explain>
      <paraID>63883C61</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 92978E9</paraID>
      <start>0</start>
      <end>6</end>
      <status>unmodified</status>
      <modifiedWord/>
      <trackRevisions>false</trackRevisions>
    </reviewItem>
    <reviewItem>
      <errorID>26198b9f-9c4c-4070-9483-a4ec2e8ec04a</errorID>
      <errorWord>-</errorWord>
      <group>L1_Format</group>
      <groupName>格式问题</groupName>
      <ability>L2_HalfPunc</ability>
      <abilityName>全半角检查</abilityName>
      <candidateList>
        <item>－</item>
      </candidateList>
      <explain>文本全半角错误。</explain>
      <paraID>76D20D2C</paraID>
      <start>6</start>
      <end>7</end>
      <status>unmodified</status>
      <modifiedWord/>
      <trackRevisions>false</trackRevisions>
    </reviewItem>
    <reviewItem>
      <errorID/>
      <errorWord>符合设计抗风荷载要求，</errorWord>
      <group>L1_Other</group>
      <groupName>其他问题</groupName>
      <ability>L2_RepeatSentence</ability>
      <abilityName>重句检查</abilityName>
      <candidateList>
        <item/>
      </candidateList>
      <explain>重句检查</explain>
      <paraID>66B35ED6</paraID>
      <start>0</start>
      <end>11</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18773D3D</paraID>
      <start>0</start>
      <end>6</end>
      <status>unmodified</status>
      <modifiedWord/>
      <trackRevisions>false</trackRevisions>
    </reviewItem>
    <reviewItem>
      <errorID>736bc2ed-7355-4201-ba76-a8eb74f0322f</errorID>
      <errorWord>-</errorWord>
      <group>L1_Format</group>
      <groupName>格式问题</groupName>
      <ability>L2_HalfPunc</ability>
      <abilityName>全半角检查</abilityName>
      <candidateList>
        <item>－</item>
      </candidateList>
      <explain>文本全半角错误。</explain>
      <paraID>79D3482E</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1B8CBF46</paraID>
      <start>0</start>
      <end>6</end>
      <status>unmodified</status>
      <modifiedWord/>
      <trackRevisions>false</trackRevisions>
    </reviewItem>
    <reviewItem>
      <errorID>fb5d908d-9060-43c7-9e9f-7972d87ff814</errorID>
      <errorWord>-</errorWord>
      <group>L1_Format</group>
      <groupName>格式问题</groupName>
      <ability>L2_HalfPunc</ability>
      <abilityName>全半角检查</abilityName>
      <candidateList>
        <item>－</item>
      </candidateList>
      <explain>文本全半角错误。</explain>
      <paraID>632EA725</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3806FA0B</paraID>
      <start>0</start>
      <end>6</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 68CF15F</paraID>
      <start>0</start>
      <end>6</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63210A40</paraID>
      <start>0</start>
      <end>6</end>
      <status>unmodified</status>
      <modifiedWord/>
      <trackRevisions>false</trackRevisions>
    </reviewItem>
    <reviewItem>
      <errorID>8c4d5787-e140-469b-adb1-00b576a475c5</errorID>
      <errorWord>-</errorWord>
      <group>L1_Format</group>
      <groupName>格式问题</groupName>
      <ability>L2_HalfPunc</ability>
      <abilityName>全半角检查</abilityName>
      <candidateList>
        <item>－</item>
      </candidateList>
      <explain>文本全半角错误。</explain>
      <paraID>7161EE14</paraID>
      <start>6</start>
      <end>7</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57AA1E98</paraID>
      <start>0</start>
      <end>6</end>
      <status>unmodified</status>
      <modifiedWord/>
      <trackRevisions>false</trackRevisions>
    </reviewItem>
    <reviewItem>
      <errorID>76191aed-8093-4e87-ad90-879b7c06bd19</errorID>
      <errorWord>-</errorWord>
      <group>L1_Format</group>
      <groupName>格式问题</groupName>
      <ability>L2_HalfPunc</ability>
      <abilityName>全半角检查</abilityName>
      <candidateList>
        <item>－</item>
      </candidateList>
      <explain>文本全半角错误。</explain>
      <paraID> 7B83393</paraID>
      <start>6</start>
      <end>7</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3B3B19DF</paraID>
      <start>0</start>
      <end>6</end>
      <status>unmodified</status>
      <modifiedWord/>
      <trackRevisions>false</trackRevisions>
    </reviewItem>
    <reviewItem>
      <errorID>13f0068f-fc8c-41d0-a45b-0aaae42c89f5</errorID>
      <errorWord>超</errorWord>
      <group>L1_Word</group>
      <groupName>字词问题</groupName>
      <ability>L2_Typo</ability>
      <abilityName>字词错误</abilityName>
      <candidateList>
        <item>超过</item>
      </candidateList>
      <explain/>
      <paraID>474B4D99</paraID>
      <start>2</start>
      <end>3</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1A47267A</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 2C18455</paraID>
      <start>0</start>
      <end>6</end>
      <status>unmodified</status>
      <modifiedWord/>
      <trackRevisions>false</trackRevisions>
    </reviewItem>
    <reviewItem>
      <errorID>d7948f46-6f06-423c-bd5e-fbd90da1ff7b</errorID>
      <errorWord>-</errorWord>
      <group>L1_Format</group>
      <groupName>格式问题</groupName>
      <ability>L2_HalfPunc</ability>
      <abilityName>全半角检查</abilityName>
      <candidateList>
        <item>－</item>
      </candidateList>
      <explain>文本全半角错误。</explain>
      <paraID>10747EC6</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1F889F61</paraID>
      <start>0</start>
      <end>6</end>
      <status>unmodified</status>
      <modifiedWord/>
      <trackRevisions>false</trackRevisions>
    </reviewItem>
    <reviewItem>
      <errorID>ee86e487-6aa3-4e96-a176-968b40a89935</errorID>
      <errorWord>-</errorWord>
      <group>L1_Format</group>
      <groupName>格式问题</groupName>
      <ability>L2_HalfPunc</ability>
      <abilityName>全半角检查</abilityName>
      <candidateList>
        <item>－</item>
      </candidateList>
      <explain>文本全半角错误。</explain>
      <paraID>3356E90B</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5AAAC8F5</paraID>
      <start>0</start>
      <end>6</end>
      <status>unmodified</status>
      <modifiedWord/>
      <trackRevisions>false</trackRevisions>
    </reviewItem>
    <reviewItem>
      <errorID>07421a8a-d07e-4a58-9679-d2f17afaa4c0</errorID>
      <errorWord>-</errorWord>
      <group>L1_Format</group>
      <groupName>格式问题</groupName>
      <ability>L2_HalfPunc</ability>
      <abilityName>全半角检查</abilityName>
      <candidateList>
        <item>－</item>
      </candidateList>
      <explain>文本全半角错误。</explain>
      <paraID>76CE7E48</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3CBAEB42</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52B02F71</paraID>
      <start>0</start>
      <end>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901214-3F13-4D39-A25C-923A91DC6B28}">
  <ds:schemaRefs/>
</ds:datastoreItem>
</file>

<file path=customXml/itemProps3.xml><?xml version="1.0" encoding="utf-8"?>
<ds:datastoreItem xmlns:ds="http://schemas.openxmlformats.org/officeDocument/2006/customXml" ds:itemID="{ecb07c2a-9d38-4698-a672-a819a5567cb7}">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11</Pages>
  <Words>3621</Words>
  <Characters>4165</Characters>
  <Lines>139</Lines>
  <Paragraphs>39</Paragraphs>
  <TotalTime>0</TotalTime>
  <ScaleCrop>false</ScaleCrop>
  <LinksUpToDate>false</LinksUpToDate>
  <CharactersWithSpaces>5150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2026-05-06T02:58:00Z</dcterms:created>
  <dc:creator>xin han</dc:creator>
  <dc:description>&lt;config cover="true" show_menu="true" version="1.0.0" doctype="SDKXY"&gt;_x000d_
&lt;/config&gt;</dc:description>
  <cp:lastModifiedBy>WPS_1774234171</cp:lastModifiedBy>
  <cp:lastPrinted>2021-02-02T08:22:00Z</cp:lastPrinted>
  <dcterms:modified xsi:type="dcterms:W3CDTF">2026-07-07T07:20:21Z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eyJoZGlkIjoiM2Q1MjM1MzJjMTc2NjdkOTNmZmMwYTYyOWNjMmRjZTEiLCJ1c2VySWQiOiIxODE0OTYxNDE0In0=</vt:lpwstr>
  </property>
  <property fmtid="{D5CDD505-2E9C-101B-9397-08002B2CF9AE}" pid="15" name="KSOProductBuildVer">
    <vt:lpwstr>2052-12.1.0.26895</vt:lpwstr>
  </property>
  <property fmtid="{D5CDD505-2E9C-101B-9397-08002B2CF9AE}" pid="16" name="ICV">
    <vt:lpwstr>801B5FF79DAB49349263462A8753508D_13</vt:lpwstr>
  </property>
</Properties>
</file>